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786E" w:rsidRPr="00751860" w:rsidP="000A697C" w14:paraId="1300BCCD" w14:textId="226735AD">
      <w:pPr>
        <w:pStyle w:val="Title"/>
        <w:spacing w:line="276" w:lineRule="auto"/>
        <w:contextualSpacing/>
        <w:jc w:val="right"/>
        <w:rPr>
          <w:color w:val="000000" w:themeColor="text1"/>
          <w:sz w:val="28"/>
          <w:szCs w:val="28"/>
        </w:rPr>
      </w:pPr>
      <w:r>
        <w:rPr>
          <w:color w:val="000000" w:themeColor="text1"/>
          <w:sz w:val="28"/>
          <w:szCs w:val="28"/>
        </w:rPr>
        <w:t>March 1</w:t>
      </w:r>
      <w:r w:rsidRPr="00751860" w:rsidR="002F0032">
        <w:rPr>
          <w:color w:val="000000" w:themeColor="text1"/>
          <w:sz w:val="28"/>
          <w:szCs w:val="28"/>
        </w:rPr>
        <w:t>, 202</w:t>
      </w:r>
      <w:r w:rsidRPr="00751860" w:rsidR="00D11BD0">
        <w:rPr>
          <w:color w:val="000000" w:themeColor="text1"/>
          <w:sz w:val="28"/>
          <w:szCs w:val="28"/>
        </w:rPr>
        <w:t>3</w:t>
      </w:r>
    </w:p>
    <w:p w:rsidR="000A6018" w:rsidRPr="000A697C" w:rsidP="000A697C" w14:paraId="1E57BC4C" w14:textId="77777777">
      <w:pPr>
        <w:pStyle w:val="Title"/>
        <w:spacing w:line="276" w:lineRule="auto"/>
        <w:contextualSpacing/>
        <w:rPr>
          <w:color w:val="000000" w:themeColor="text1"/>
          <w:szCs w:val="32"/>
        </w:rPr>
      </w:pPr>
      <w:r w:rsidRPr="000A697C">
        <w:rPr>
          <w:color w:val="000000" w:themeColor="text1"/>
          <w:szCs w:val="32"/>
        </w:rPr>
        <w:t xml:space="preserve">Supporting Statement for </w:t>
      </w:r>
    </w:p>
    <w:p w:rsidR="00842E74" w:rsidRPr="000A697C" w:rsidP="000A697C" w14:paraId="26DF6F73" w14:textId="77777777">
      <w:pPr>
        <w:pStyle w:val="Title"/>
        <w:spacing w:line="276" w:lineRule="auto"/>
        <w:contextualSpacing/>
        <w:rPr>
          <w:color w:val="000000" w:themeColor="text1"/>
          <w:szCs w:val="32"/>
        </w:rPr>
      </w:pPr>
      <w:r w:rsidRPr="000A697C">
        <w:rPr>
          <w:color w:val="000000" w:themeColor="text1"/>
          <w:szCs w:val="32"/>
        </w:rPr>
        <w:t>Paperwork Reduction Act Submissions</w:t>
      </w:r>
    </w:p>
    <w:p w:rsidR="00842E74" w:rsidRPr="000A697C" w:rsidP="000A697C" w14:paraId="64C35F53" w14:textId="77777777">
      <w:pPr>
        <w:tabs>
          <w:tab w:val="left" w:pos="-720"/>
        </w:tabs>
        <w:suppressAutoHyphens/>
        <w:spacing w:line="276" w:lineRule="auto"/>
        <w:contextualSpacing/>
        <w:rPr>
          <w:b/>
          <w:color w:val="000000" w:themeColor="text1"/>
          <w:sz w:val="32"/>
          <w:szCs w:val="32"/>
        </w:rPr>
      </w:pPr>
    </w:p>
    <w:p w:rsidR="00842E74" w:rsidRPr="000A697C" w:rsidP="000A697C" w14:paraId="362CD71C" w14:textId="77777777">
      <w:pPr>
        <w:tabs>
          <w:tab w:val="left" w:pos="-720"/>
        </w:tabs>
        <w:suppressAutoHyphens/>
        <w:spacing w:line="276" w:lineRule="auto"/>
        <w:contextualSpacing/>
        <w:rPr>
          <w:b/>
          <w:color w:val="000000" w:themeColor="text1"/>
          <w:sz w:val="28"/>
          <w:szCs w:val="28"/>
        </w:rPr>
      </w:pPr>
      <w:r w:rsidRPr="000A697C">
        <w:rPr>
          <w:b/>
          <w:color w:val="000000" w:themeColor="text1"/>
          <w:sz w:val="28"/>
          <w:szCs w:val="28"/>
        </w:rPr>
        <w:t>OMB Control Number:  1660</w:t>
      </w:r>
      <w:r w:rsidRPr="000A697C" w:rsidR="0046431C">
        <w:rPr>
          <w:b/>
          <w:color w:val="000000" w:themeColor="text1"/>
          <w:sz w:val="28"/>
          <w:szCs w:val="28"/>
        </w:rPr>
        <w:t xml:space="preserve"> </w:t>
      </w:r>
      <w:r w:rsidRPr="000A697C">
        <w:rPr>
          <w:b/>
          <w:color w:val="000000" w:themeColor="text1"/>
          <w:sz w:val="28"/>
          <w:szCs w:val="28"/>
        </w:rPr>
        <w:t>-</w:t>
      </w:r>
      <w:r w:rsidRPr="000A697C" w:rsidR="0046431C">
        <w:rPr>
          <w:b/>
          <w:color w:val="000000" w:themeColor="text1"/>
          <w:sz w:val="28"/>
          <w:szCs w:val="28"/>
        </w:rPr>
        <w:t xml:space="preserve"> </w:t>
      </w:r>
      <w:r w:rsidRPr="000A697C" w:rsidR="004E08A9">
        <w:rPr>
          <w:b/>
          <w:color w:val="000000" w:themeColor="text1"/>
          <w:sz w:val="28"/>
          <w:szCs w:val="28"/>
        </w:rPr>
        <w:t>0107</w:t>
      </w:r>
    </w:p>
    <w:p w:rsidR="00E45F7E" w:rsidRPr="000A697C" w:rsidP="000A697C" w14:paraId="71450C7C" w14:textId="77777777">
      <w:pPr>
        <w:tabs>
          <w:tab w:val="left" w:pos="-720"/>
        </w:tabs>
        <w:suppressAutoHyphens/>
        <w:spacing w:line="276" w:lineRule="auto"/>
        <w:contextualSpacing/>
        <w:rPr>
          <w:b/>
          <w:color w:val="000000" w:themeColor="text1"/>
          <w:sz w:val="28"/>
          <w:szCs w:val="28"/>
        </w:rPr>
      </w:pPr>
    </w:p>
    <w:p w:rsidR="00842E74" w:rsidRPr="000A697C" w:rsidP="000A697C" w14:paraId="00FCDD8C" w14:textId="77777777">
      <w:pPr>
        <w:tabs>
          <w:tab w:val="left" w:pos="-720"/>
        </w:tabs>
        <w:suppressAutoHyphens/>
        <w:spacing w:line="276" w:lineRule="auto"/>
        <w:contextualSpacing/>
        <w:rPr>
          <w:b/>
          <w:color w:val="000000" w:themeColor="text1"/>
          <w:sz w:val="28"/>
          <w:szCs w:val="28"/>
        </w:rPr>
      </w:pPr>
      <w:r w:rsidRPr="000A697C">
        <w:rPr>
          <w:b/>
          <w:color w:val="000000" w:themeColor="text1"/>
          <w:sz w:val="28"/>
          <w:szCs w:val="28"/>
        </w:rPr>
        <w:t xml:space="preserve">Title:  </w:t>
      </w:r>
      <w:r w:rsidRPr="000A697C" w:rsidR="004E08A9">
        <w:rPr>
          <w:b/>
          <w:color w:val="000000" w:themeColor="text1"/>
          <w:sz w:val="28"/>
          <w:szCs w:val="28"/>
        </w:rPr>
        <w:t>Public Assistance Customer Satisfaction Survey</w:t>
      </w:r>
      <w:r w:rsidRPr="000A697C" w:rsidR="000E1CB7">
        <w:rPr>
          <w:b/>
          <w:color w:val="000000" w:themeColor="text1"/>
          <w:sz w:val="28"/>
          <w:szCs w:val="28"/>
        </w:rPr>
        <w:t>s</w:t>
      </w:r>
    </w:p>
    <w:p w:rsidR="00842E74" w:rsidRPr="000A697C" w:rsidP="000A697C" w14:paraId="7FCBF7EE" w14:textId="77777777">
      <w:pPr>
        <w:tabs>
          <w:tab w:val="left" w:pos="-720"/>
        </w:tabs>
        <w:suppressAutoHyphens/>
        <w:spacing w:line="276" w:lineRule="auto"/>
        <w:contextualSpacing/>
        <w:rPr>
          <w:b/>
          <w:color w:val="000000" w:themeColor="text1"/>
          <w:sz w:val="28"/>
          <w:szCs w:val="28"/>
        </w:rPr>
      </w:pPr>
    </w:p>
    <w:p w:rsidR="004E08A9" w:rsidRPr="000A697C" w:rsidP="000A697C" w14:paraId="4EF36EE1" w14:textId="77777777">
      <w:pPr>
        <w:tabs>
          <w:tab w:val="left" w:pos="-720"/>
        </w:tabs>
        <w:suppressAutoHyphens/>
        <w:spacing w:line="276" w:lineRule="auto"/>
        <w:contextualSpacing/>
        <w:rPr>
          <w:b/>
          <w:color w:val="000000" w:themeColor="text1"/>
          <w:sz w:val="28"/>
          <w:szCs w:val="28"/>
        </w:rPr>
      </w:pPr>
      <w:r w:rsidRPr="000A697C">
        <w:rPr>
          <w:b/>
          <w:color w:val="000000" w:themeColor="text1"/>
          <w:sz w:val="28"/>
          <w:szCs w:val="28"/>
        </w:rPr>
        <w:t xml:space="preserve">Form Number(s):  </w:t>
      </w:r>
    </w:p>
    <w:p w:rsidR="004E08A9" w:rsidRPr="000A697C" w:rsidP="000A697C" w14:paraId="6BF1980F"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FF-104-FY-21-155 (formerly 519-0-32)</w:t>
      </w:r>
      <w:bookmarkStart w:id="0" w:name="_Hlk116390679"/>
      <w:r w:rsidRPr="000A697C" w:rsidR="00017485">
        <w:rPr>
          <w:rFonts w:ascii="Times New Roman" w:hAnsi="Times New Roman" w:cs="Times New Roman"/>
          <w:color w:val="000000" w:themeColor="text1"/>
          <w:sz w:val="24"/>
          <w:szCs w:val="24"/>
        </w:rPr>
        <w:t>,</w:t>
      </w:r>
      <w:r w:rsidRPr="000A697C" w:rsidR="00F65CD6">
        <w:rPr>
          <w:rFonts w:ascii="Times New Roman" w:hAnsi="Times New Roman" w:cs="Times New Roman"/>
          <w:b/>
          <w:color w:val="000000" w:themeColor="text1"/>
          <w:sz w:val="24"/>
          <w:szCs w:val="24"/>
        </w:rPr>
        <w:t xml:space="preserve"> </w:t>
      </w:r>
      <w:r w:rsidRPr="000A697C">
        <w:rPr>
          <w:rFonts w:ascii="Times New Roman" w:hAnsi="Times New Roman" w:cs="Times New Roman"/>
          <w:color w:val="000000" w:themeColor="text1"/>
          <w:sz w:val="24"/>
          <w:szCs w:val="24"/>
        </w:rPr>
        <w:t>Public Assistance</w:t>
      </w:r>
      <w:r w:rsidRPr="000A697C" w:rsidR="00502021">
        <w:rPr>
          <w:rFonts w:ascii="Times New Roman" w:hAnsi="Times New Roman" w:cs="Times New Roman"/>
          <w:color w:val="000000" w:themeColor="text1"/>
          <w:sz w:val="24"/>
          <w:szCs w:val="24"/>
        </w:rPr>
        <w:t xml:space="preserve"> Initial</w:t>
      </w:r>
      <w:r w:rsidRPr="000A697C">
        <w:rPr>
          <w:rFonts w:ascii="Times New Roman" w:hAnsi="Times New Roman" w:cs="Times New Roman"/>
          <w:color w:val="000000" w:themeColor="text1"/>
          <w:sz w:val="24"/>
          <w:szCs w:val="24"/>
        </w:rPr>
        <w:t xml:space="preserve"> Customer Satisfaction Survey </w:t>
      </w:r>
      <w:bookmarkEnd w:id="0"/>
      <w:r w:rsidRPr="000A697C" w:rsidR="00F65CD6">
        <w:rPr>
          <w:rFonts w:ascii="Times New Roman" w:hAnsi="Times New Roman" w:cs="Times New Roman"/>
          <w:color w:val="000000" w:themeColor="text1"/>
          <w:sz w:val="24"/>
          <w:szCs w:val="24"/>
        </w:rPr>
        <w:t>(Telephone)</w:t>
      </w:r>
      <w:r w:rsidRPr="000A697C" w:rsidR="00A60E1F">
        <w:rPr>
          <w:rFonts w:ascii="Times New Roman" w:hAnsi="Times New Roman" w:cs="Times New Roman"/>
          <w:color w:val="000000" w:themeColor="text1"/>
          <w:sz w:val="24"/>
          <w:szCs w:val="24"/>
        </w:rPr>
        <w:t>;</w:t>
      </w:r>
    </w:p>
    <w:p w:rsidR="00502021" w:rsidRPr="000A697C" w:rsidP="000A697C" w14:paraId="2E636DFD"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FF-104-FY-21-156 (formerly 519-0-33)</w:t>
      </w:r>
      <w:r w:rsidRPr="000A697C" w:rsidR="00F65CD6">
        <w:rPr>
          <w:rFonts w:ascii="Times New Roman" w:hAnsi="Times New Roman" w:cs="Times New Roman"/>
          <w:color w:val="000000" w:themeColor="text1"/>
          <w:sz w:val="24"/>
          <w:szCs w:val="24"/>
        </w:rPr>
        <w:t>,</w:t>
      </w:r>
      <w:r w:rsidRPr="000A697C">
        <w:rPr>
          <w:rFonts w:ascii="Times New Roman" w:hAnsi="Times New Roman" w:cs="Times New Roman"/>
          <w:color w:val="000000" w:themeColor="text1"/>
          <w:sz w:val="24"/>
          <w:szCs w:val="24"/>
        </w:rPr>
        <w:t xml:space="preserve"> </w:t>
      </w:r>
      <w:r w:rsidRPr="000A697C" w:rsidR="00F65CD6">
        <w:rPr>
          <w:rFonts w:ascii="Times New Roman" w:hAnsi="Times New Roman" w:cs="Times New Roman"/>
          <w:color w:val="000000" w:themeColor="text1"/>
          <w:sz w:val="24"/>
          <w:szCs w:val="24"/>
        </w:rPr>
        <w:t>Public Assistance Initial</w:t>
      </w:r>
      <w:r w:rsidRPr="000A697C">
        <w:rPr>
          <w:rFonts w:ascii="Times New Roman" w:hAnsi="Times New Roman" w:cs="Times New Roman"/>
          <w:color w:val="000000" w:themeColor="text1"/>
          <w:sz w:val="24"/>
          <w:szCs w:val="24"/>
        </w:rPr>
        <w:t xml:space="preserve"> Customer</w:t>
      </w:r>
      <w:r w:rsidRPr="000A697C" w:rsidR="00C20CE9">
        <w:rPr>
          <w:rFonts w:ascii="Times New Roman" w:hAnsi="Times New Roman" w:cs="Times New Roman"/>
          <w:color w:val="000000" w:themeColor="text1"/>
          <w:sz w:val="24"/>
          <w:szCs w:val="24"/>
        </w:rPr>
        <w:t xml:space="preserve"> Satisfaction Survey </w:t>
      </w:r>
      <w:r w:rsidRPr="000A697C" w:rsidR="00A17173">
        <w:rPr>
          <w:rFonts w:ascii="Times New Roman" w:hAnsi="Times New Roman" w:cs="Times New Roman"/>
          <w:color w:val="000000" w:themeColor="text1"/>
          <w:sz w:val="24"/>
          <w:szCs w:val="24"/>
        </w:rPr>
        <w:t>(Internet</w:t>
      </w:r>
      <w:r w:rsidRPr="000A697C" w:rsidR="00F65CD6">
        <w:rPr>
          <w:rFonts w:ascii="Times New Roman" w:hAnsi="Times New Roman" w:cs="Times New Roman"/>
          <w:color w:val="000000" w:themeColor="text1"/>
          <w:sz w:val="24"/>
          <w:szCs w:val="24"/>
        </w:rPr>
        <w:t>)</w:t>
      </w:r>
      <w:r w:rsidRPr="000A697C" w:rsidR="00A60E1F">
        <w:rPr>
          <w:rFonts w:ascii="Times New Roman" w:hAnsi="Times New Roman" w:cs="Times New Roman"/>
          <w:color w:val="000000" w:themeColor="text1"/>
          <w:sz w:val="24"/>
          <w:szCs w:val="24"/>
        </w:rPr>
        <w:t>;</w:t>
      </w:r>
    </w:p>
    <w:p w:rsidR="00F65CD6" w:rsidRPr="000A697C" w:rsidP="000A697C" w14:paraId="377F442C"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FF-104-FY-21-157 (formerly 519-0-34)</w:t>
      </w:r>
      <w:bookmarkStart w:id="1" w:name="_Hlk116390788"/>
      <w:r w:rsidRPr="000A697C">
        <w:rPr>
          <w:rFonts w:ascii="Times New Roman" w:hAnsi="Times New Roman" w:cs="Times New Roman"/>
          <w:color w:val="000000" w:themeColor="text1"/>
          <w:sz w:val="24"/>
          <w:szCs w:val="24"/>
        </w:rPr>
        <w:t>, Public Assistance Assessment Customer Satisfaction Survey (Telephone)</w:t>
      </w:r>
      <w:r w:rsidRPr="000A697C" w:rsidR="00A60E1F">
        <w:rPr>
          <w:rFonts w:ascii="Times New Roman" w:hAnsi="Times New Roman" w:cs="Times New Roman"/>
          <w:color w:val="000000" w:themeColor="text1"/>
          <w:sz w:val="24"/>
          <w:szCs w:val="24"/>
        </w:rPr>
        <w:t>;</w:t>
      </w:r>
    </w:p>
    <w:bookmarkEnd w:id="1"/>
    <w:p w:rsidR="00F65CD6" w:rsidRPr="000A697C" w:rsidP="000A697C" w14:paraId="28672DD8"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FF-104-FY-21-158 (formerly 519-0-35)</w:t>
      </w:r>
      <w:r w:rsidRPr="000A697C">
        <w:rPr>
          <w:rFonts w:ascii="Times New Roman" w:hAnsi="Times New Roman" w:cs="Times New Roman"/>
          <w:color w:val="000000" w:themeColor="text1"/>
          <w:sz w:val="24"/>
          <w:szCs w:val="24"/>
        </w:rPr>
        <w:t>, Public Assistance Assessment Customer Satisfactio</w:t>
      </w:r>
      <w:r w:rsidRPr="000A697C" w:rsidR="00A17173">
        <w:rPr>
          <w:rFonts w:ascii="Times New Roman" w:hAnsi="Times New Roman" w:cs="Times New Roman"/>
          <w:color w:val="000000" w:themeColor="text1"/>
          <w:sz w:val="24"/>
          <w:szCs w:val="24"/>
        </w:rPr>
        <w:t>n Survey (Internet</w:t>
      </w:r>
      <w:r w:rsidRPr="000A697C">
        <w:rPr>
          <w:rFonts w:ascii="Times New Roman" w:hAnsi="Times New Roman" w:cs="Times New Roman"/>
          <w:color w:val="000000" w:themeColor="text1"/>
          <w:sz w:val="24"/>
          <w:szCs w:val="24"/>
        </w:rPr>
        <w:t>)</w:t>
      </w:r>
    </w:p>
    <w:p w:rsidR="00A87E5C" w:rsidRPr="000A697C" w:rsidP="000A697C" w14:paraId="1956737D"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bCs/>
          <w:color w:val="000000" w:themeColor="text1"/>
          <w:sz w:val="24"/>
          <w:szCs w:val="24"/>
        </w:rPr>
        <w:t xml:space="preserve">FEMA Manual FM-104-FY-22-102, </w:t>
      </w:r>
      <w:r w:rsidRPr="000A697C">
        <w:rPr>
          <w:rFonts w:ascii="Times New Roman" w:hAnsi="Times New Roman" w:cs="Times New Roman"/>
          <w:color w:val="000000" w:themeColor="text1"/>
          <w:sz w:val="24"/>
          <w:szCs w:val="24"/>
        </w:rPr>
        <w:t>CSA Qualitative Research Protocol</w:t>
      </w:r>
    </w:p>
    <w:p w:rsidR="0017452E" w:rsidRPr="000A697C" w:rsidP="000A697C" w14:paraId="249948D8" w14:textId="77777777">
      <w:pPr>
        <w:tabs>
          <w:tab w:val="left" w:pos="-720"/>
        </w:tabs>
        <w:suppressAutoHyphens/>
        <w:spacing w:line="276" w:lineRule="auto"/>
        <w:contextualSpacing/>
        <w:rPr>
          <w:color w:val="000000" w:themeColor="text1"/>
          <w:sz w:val="28"/>
          <w:szCs w:val="28"/>
        </w:rPr>
      </w:pPr>
    </w:p>
    <w:p w:rsidR="00842E74" w:rsidRPr="000A697C" w:rsidP="000A697C" w14:paraId="1D208B93" w14:textId="77777777">
      <w:pPr>
        <w:pStyle w:val="Heading1"/>
        <w:spacing w:line="276" w:lineRule="auto"/>
        <w:contextualSpacing/>
        <w:rPr>
          <w:color w:val="000000" w:themeColor="text1"/>
          <w:szCs w:val="28"/>
        </w:rPr>
      </w:pPr>
      <w:r w:rsidRPr="000A697C">
        <w:rPr>
          <w:color w:val="000000" w:themeColor="text1"/>
          <w:sz w:val="24"/>
          <w:szCs w:val="24"/>
        </w:rPr>
        <w:t xml:space="preserve">A.  </w:t>
      </w:r>
      <w:r w:rsidRPr="000A697C">
        <w:rPr>
          <w:color w:val="000000" w:themeColor="text1"/>
          <w:szCs w:val="28"/>
        </w:rPr>
        <w:t>Justification</w:t>
      </w:r>
    </w:p>
    <w:p w:rsidR="00842E74" w:rsidRPr="000A697C" w:rsidP="000A697C" w14:paraId="04974B0A" w14:textId="77777777">
      <w:pPr>
        <w:spacing w:line="276" w:lineRule="auto"/>
        <w:contextualSpacing/>
        <w:rPr>
          <w:color w:val="000000" w:themeColor="text1"/>
        </w:rPr>
      </w:pPr>
    </w:p>
    <w:p w:rsidR="00842E74" w:rsidRPr="00C34635" w:rsidP="00762A0D" w14:paraId="3B2680CC" w14:textId="6B4B579C">
      <w:pPr>
        <w:spacing w:line="276" w:lineRule="auto"/>
        <w:contextualSpacing/>
        <w:rPr>
          <w:b/>
          <w:bCs/>
          <w:color w:val="000000" w:themeColor="text1"/>
        </w:rPr>
      </w:pPr>
      <w:r>
        <w:rPr>
          <w:b/>
          <w:bCs/>
          <w:color w:val="000000" w:themeColor="text1"/>
        </w:rPr>
        <w:t xml:space="preserve">1.  </w:t>
      </w:r>
      <w:r w:rsidRPr="00C34635" w:rsidR="00D611B7">
        <w:rPr>
          <w:b/>
          <w:bCs/>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34635" w:rsidR="00DD093C">
        <w:rPr>
          <w:b/>
          <w:bCs/>
          <w:color w:val="000000" w:themeColor="text1"/>
        </w:rPr>
        <w:t xml:space="preserve">  Provide a detailed description of the nature and source of the information to be collected.   </w:t>
      </w:r>
    </w:p>
    <w:p w:rsidR="00D611B7" w:rsidRPr="00C34635" w:rsidP="00C34635" w14:paraId="4F27D47F" w14:textId="77777777">
      <w:pPr>
        <w:spacing w:line="276" w:lineRule="auto"/>
        <w:ind w:left="720"/>
        <w:contextualSpacing/>
        <w:rPr>
          <w:b/>
          <w:bCs/>
          <w:color w:val="000000" w:themeColor="text1"/>
        </w:rPr>
      </w:pPr>
    </w:p>
    <w:p w:rsidR="00E5735C" w:rsidRPr="00C34635" w:rsidP="00C34635" w14:paraId="460FE36E" w14:textId="5E1E0D7A">
      <w:pPr>
        <w:spacing w:line="276" w:lineRule="auto"/>
        <w:contextualSpacing/>
        <w:rPr>
          <w:color w:val="000000" w:themeColor="text1"/>
        </w:rPr>
      </w:pPr>
      <w:r w:rsidRPr="00C34635">
        <w:rPr>
          <w:color w:val="000000" w:themeColor="text1"/>
          <w:spacing w:val="-3"/>
        </w:rPr>
        <w:t xml:space="preserve">This collection contains </w:t>
      </w:r>
      <w:r w:rsidRPr="00C34635" w:rsidR="003A5B7C">
        <w:rPr>
          <w:color w:val="000000" w:themeColor="text1"/>
          <w:spacing w:val="-3"/>
        </w:rPr>
        <w:t>two (</w:t>
      </w:r>
      <w:r w:rsidRPr="00C34635">
        <w:rPr>
          <w:color w:val="000000" w:themeColor="text1"/>
          <w:spacing w:val="-3"/>
        </w:rPr>
        <w:t>2</w:t>
      </w:r>
      <w:r w:rsidRPr="00C34635" w:rsidR="003A5B7C">
        <w:rPr>
          <w:color w:val="000000" w:themeColor="text1"/>
          <w:spacing w:val="-3"/>
        </w:rPr>
        <w:t>)</w:t>
      </w:r>
      <w:r w:rsidRPr="00C34635">
        <w:rPr>
          <w:color w:val="000000" w:themeColor="text1"/>
          <w:spacing w:val="-3"/>
        </w:rPr>
        <w:t xml:space="preserve"> surveys and </w:t>
      </w:r>
      <w:r w:rsidRPr="00C34635" w:rsidR="003A5B7C">
        <w:rPr>
          <w:color w:val="000000" w:themeColor="text1"/>
          <w:spacing w:val="-3"/>
        </w:rPr>
        <w:t>two (</w:t>
      </w:r>
      <w:r w:rsidRPr="00C34635">
        <w:rPr>
          <w:color w:val="000000" w:themeColor="text1"/>
          <w:spacing w:val="-3"/>
        </w:rPr>
        <w:t>2</w:t>
      </w:r>
      <w:r w:rsidRPr="00C34635" w:rsidR="003A5B7C">
        <w:rPr>
          <w:color w:val="000000" w:themeColor="text1"/>
          <w:spacing w:val="-3"/>
        </w:rPr>
        <w:t>)</w:t>
      </w:r>
      <w:r w:rsidRPr="00C34635">
        <w:rPr>
          <w:color w:val="000000" w:themeColor="text1"/>
          <w:spacing w:val="-3"/>
        </w:rPr>
        <w:t xml:space="preserve"> qualitative methods.</w:t>
      </w:r>
      <w:r w:rsidRPr="00C34635" w:rsidR="00A302F5">
        <w:rPr>
          <w:color w:val="000000" w:themeColor="text1"/>
          <w:spacing w:val="-3"/>
        </w:rPr>
        <w:t xml:space="preserve">  </w:t>
      </w:r>
      <w:r w:rsidRPr="00C34635">
        <w:rPr>
          <w:color w:val="000000" w:themeColor="text1"/>
        </w:rPr>
        <w:t>Surveys in this collection support the Agency’s 2022-2026 Strategic Plan: Unify coordination and delivery of Federal Assistance (Objective 3.3).  The Public Assistance Program (PA) utilizes survey feedback to assess applicant satisfaction with service delivery.  Survey questions are used for general performance management and support PA’s reporting for the Government Performance and Results Act (GPRA).  Examples of survey questions that are currently used for GPRA include:</w:t>
      </w:r>
    </w:p>
    <w:p w:rsidR="00F12073" w:rsidRPr="00C34635" w:rsidP="00C34635" w14:paraId="6A94BDE3" w14:textId="77777777">
      <w:pPr>
        <w:spacing w:line="276" w:lineRule="auto"/>
        <w:contextualSpacing/>
        <w:jc w:val="both"/>
        <w:rPr>
          <w:bCs/>
          <w:color w:val="000000" w:themeColor="text1"/>
          <w:spacing w:val="-3"/>
        </w:rPr>
      </w:pPr>
    </w:p>
    <w:p w:rsidR="00E5735C" w:rsidRPr="00762A0D" w:rsidP="00762A0D" w14:paraId="67459FE1" w14:textId="77777777">
      <w:pPr>
        <w:numPr>
          <w:ilvl w:val="0"/>
          <w:numId w:val="42"/>
        </w:numPr>
        <w:spacing w:line="276" w:lineRule="auto"/>
        <w:ind w:left="720"/>
        <w:contextualSpacing/>
        <w:rPr>
          <w:color w:val="000000" w:themeColor="text1"/>
        </w:rPr>
      </w:pPr>
      <w:r w:rsidRPr="00C34635">
        <w:rPr>
          <w:color w:val="000000" w:themeColor="text1"/>
        </w:rPr>
        <w:t>Overall customer service</w:t>
      </w:r>
    </w:p>
    <w:p w:rsidR="00E5735C" w:rsidRPr="00C34635" w:rsidP="00762A0D" w14:paraId="75136296" w14:textId="77777777">
      <w:pPr>
        <w:numPr>
          <w:ilvl w:val="0"/>
          <w:numId w:val="42"/>
        </w:numPr>
        <w:spacing w:line="276" w:lineRule="auto"/>
        <w:ind w:left="720"/>
        <w:contextualSpacing/>
        <w:rPr>
          <w:color w:val="000000" w:themeColor="text1"/>
        </w:rPr>
      </w:pPr>
      <w:r w:rsidRPr="00C34635">
        <w:rPr>
          <w:color w:val="000000" w:themeColor="text1"/>
        </w:rPr>
        <w:t xml:space="preserve">Helpfulness of PA staff throughout the PA process  </w:t>
      </w:r>
    </w:p>
    <w:p w:rsidR="00E5735C" w:rsidRPr="00C34635" w:rsidP="00762A0D" w14:paraId="03BA0B42" w14:textId="77777777">
      <w:pPr>
        <w:numPr>
          <w:ilvl w:val="0"/>
          <w:numId w:val="42"/>
        </w:numPr>
        <w:spacing w:line="276" w:lineRule="auto"/>
        <w:ind w:left="720"/>
        <w:contextualSpacing/>
        <w:rPr>
          <w:color w:val="000000" w:themeColor="text1"/>
        </w:rPr>
      </w:pPr>
      <w:r w:rsidRPr="00C34635">
        <w:rPr>
          <w:color w:val="000000" w:themeColor="text1"/>
        </w:rPr>
        <w:t>Reasonableness of the level of documentation required for grant processing</w:t>
      </w:r>
    </w:p>
    <w:p w:rsidR="00E5735C" w:rsidRPr="00C34635" w:rsidP="00762A0D" w14:paraId="134E92B5" w14:textId="77777777">
      <w:pPr>
        <w:numPr>
          <w:ilvl w:val="0"/>
          <w:numId w:val="42"/>
        </w:numPr>
        <w:spacing w:line="276" w:lineRule="auto"/>
        <w:ind w:left="720"/>
        <w:contextualSpacing/>
        <w:rPr>
          <w:color w:val="000000" w:themeColor="text1"/>
        </w:rPr>
      </w:pPr>
      <w:r w:rsidRPr="00C34635">
        <w:rPr>
          <w:color w:val="000000" w:themeColor="text1"/>
        </w:rPr>
        <w:t>Satisfaction with the simplicity of the Grants Portal</w:t>
      </w:r>
    </w:p>
    <w:p w:rsidR="00E5735C" w:rsidRPr="00C34635" w:rsidP="00762A0D" w14:paraId="485EF847" w14:textId="77777777">
      <w:pPr>
        <w:numPr>
          <w:ilvl w:val="0"/>
          <w:numId w:val="42"/>
        </w:numPr>
        <w:spacing w:line="276" w:lineRule="auto"/>
        <w:ind w:left="720"/>
        <w:contextualSpacing/>
        <w:rPr>
          <w:color w:val="000000" w:themeColor="text1"/>
        </w:rPr>
      </w:pPr>
      <w:r w:rsidRPr="00C34635">
        <w:rPr>
          <w:color w:val="000000" w:themeColor="text1"/>
        </w:rPr>
        <w:t>Timeliness of when the PA grant award was approved</w:t>
      </w:r>
    </w:p>
    <w:p w:rsidR="002E2566" w:rsidRPr="00C34635" w:rsidP="00C34635" w14:paraId="7E67A36A" w14:textId="77777777">
      <w:pPr>
        <w:pStyle w:val="NoSpacing"/>
        <w:spacing w:line="276" w:lineRule="auto"/>
        <w:contextualSpacing/>
        <w:rPr>
          <w:rFonts w:ascii="Times New Roman" w:hAnsi="Times New Roman"/>
          <w:color w:val="000000" w:themeColor="text1"/>
          <w:sz w:val="24"/>
          <w:szCs w:val="24"/>
        </w:rPr>
      </w:pPr>
    </w:p>
    <w:p w:rsidR="00C86544" w:rsidRPr="00C34635" w:rsidP="00C34635" w14:paraId="68F521BA"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bCs/>
          <w:color w:val="000000" w:themeColor="text1"/>
          <w:sz w:val="24"/>
          <w:szCs w:val="24"/>
        </w:rPr>
        <w:t xml:space="preserve">The target population consists of organizations or entities that applied for Public Assistance (PA) following a major disaster declared under the Stafford Act (42 U.S.C. §§ 5121 </w:t>
      </w:r>
      <w:r w:rsidRPr="00C34635">
        <w:rPr>
          <w:rFonts w:ascii="Times New Roman" w:hAnsi="Times New Roman"/>
          <w:bCs/>
          <w:i/>
          <w:iCs/>
          <w:color w:val="000000" w:themeColor="text1"/>
          <w:sz w:val="24"/>
          <w:szCs w:val="24"/>
        </w:rPr>
        <w:t>et seq</w:t>
      </w:r>
      <w:r w:rsidRPr="00C34635">
        <w:rPr>
          <w:rFonts w:ascii="Times New Roman" w:hAnsi="Times New Roman"/>
          <w:bCs/>
          <w:color w:val="000000" w:themeColor="text1"/>
          <w:sz w:val="24"/>
          <w:szCs w:val="24"/>
        </w:rPr>
        <w:t xml:space="preserve">). </w:t>
      </w:r>
      <w:r w:rsidRPr="00C34635" w:rsidR="00E45F7E">
        <w:rPr>
          <w:rFonts w:ascii="Times New Roman" w:hAnsi="Times New Roman"/>
          <w:color w:val="000000" w:themeColor="text1"/>
          <w:sz w:val="24"/>
          <w:szCs w:val="24"/>
        </w:rPr>
        <w:t>Applicants</w:t>
      </w:r>
      <w:r w:rsidRPr="00C34635" w:rsidR="00E5735C">
        <w:rPr>
          <w:rFonts w:ascii="Times New Roman" w:hAnsi="Times New Roman"/>
          <w:color w:val="000000" w:themeColor="text1"/>
          <w:sz w:val="24"/>
          <w:szCs w:val="24"/>
        </w:rPr>
        <w:t xml:space="preserve"> for Public Assistance</w:t>
      </w:r>
      <w:r w:rsidRPr="00C34635" w:rsidR="00E45F7E">
        <w:rPr>
          <w:rFonts w:ascii="Times New Roman" w:hAnsi="Times New Roman"/>
          <w:color w:val="000000" w:themeColor="text1"/>
          <w:sz w:val="24"/>
          <w:szCs w:val="24"/>
        </w:rPr>
        <w:t xml:space="preserve"> </w:t>
      </w:r>
      <w:r w:rsidRPr="00C34635" w:rsidR="00847856">
        <w:rPr>
          <w:rFonts w:ascii="Times New Roman" w:hAnsi="Times New Roman"/>
          <w:color w:val="000000" w:themeColor="text1"/>
          <w:sz w:val="24"/>
          <w:szCs w:val="24"/>
        </w:rPr>
        <w:t>are</w:t>
      </w:r>
      <w:r w:rsidRPr="00C34635" w:rsidR="00E45F7E">
        <w:rPr>
          <w:rFonts w:ascii="Times New Roman" w:hAnsi="Times New Roman"/>
          <w:color w:val="000000" w:themeColor="text1"/>
          <w:sz w:val="24"/>
          <w:szCs w:val="24"/>
        </w:rPr>
        <w:t xml:space="preserve"> surveyed at the beginning an</w:t>
      </w:r>
      <w:r w:rsidRPr="00C34635" w:rsidR="00D01544">
        <w:rPr>
          <w:rFonts w:ascii="Times New Roman" w:hAnsi="Times New Roman"/>
          <w:color w:val="000000" w:themeColor="text1"/>
          <w:sz w:val="24"/>
          <w:szCs w:val="24"/>
        </w:rPr>
        <w:t xml:space="preserve">d end of the </w:t>
      </w:r>
      <w:r w:rsidRPr="00C34635" w:rsidR="00E5735C">
        <w:rPr>
          <w:rFonts w:ascii="Times New Roman" w:hAnsi="Times New Roman"/>
          <w:color w:val="000000" w:themeColor="text1"/>
          <w:sz w:val="24"/>
          <w:szCs w:val="24"/>
        </w:rPr>
        <w:t>customer journey</w:t>
      </w:r>
      <w:r w:rsidRPr="00C34635" w:rsidR="00E45F7E">
        <w:rPr>
          <w:rFonts w:ascii="Times New Roman" w:hAnsi="Times New Roman"/>
          <w:color w:val="000000" w:themeColor="text1"/>
          <w:sz w:val="24"/>
          <w:szCs w:val="24"/>
        </w:rPr>
        <w:t>.</w:t>
      </w:r>
      <w:r w:rsidRPr="00C34635" w:rsidR="004D45D5">
        <w:rPr>
          <w:rFonts w:ascii="Times New Roman" w:hAnsi="Times New Roman"/>
          <w:color w:val="000000" w:themeColor="text1"/>
          <w:sz w:val="24"/>
          <w:szCs w:val="24"/>
        </w:rPr>
        <w:t xml:space="preserve">  Applicants surveyed at the beginning of the process may be eligible or ineligible for funding, whereas</w:t>
      </w:r>
      <w:r w:rsidRPr="00C34635" w:rsidR="00E20A7C">
        <w:rPr>
          <w:rFonts w:ascii="Times New Roman" w:hAnsi="Times New Roman"/>
          <w:color w:val="000000" w:themeColor="text1"/>
          <w:sz w:val="24"/>
          <w:szCs w:val="24"/>
        </w:rPr>
        <w:t xml:space="preserve"> </w:t>
      </w:r>
      <w:r w:rsidRPr="00C34635" w:rsidR="004D45D5">
        <w:rPr>
          <w:rFonts w:ascii="Times New Roman" w:hAnsi="Times New Roman"/>
          <w:color w:val="000000" w:themeColor="text1"/>
          <w:sz w:val="24"/>
          <w:szCs w:val="24"/>
        </w:rPr>
        <w:t>applicants surveyed at the end of the process</w:t>
      </w:r>
      <w:r w:rsidRPr="00C34635" w:rsidR="00773CAA">
        <w:rPr>
          <w:rFonts w:ascii="Times New Roman" w:hAnsi="Times New Roman"/>
          <w:color w:val="000000" w:themeColor="text1"/>
          <w:sz w:val="24"/>
          <w:szCs w:val="24"/>
        </w:rPr>
        <w:t xml:space="preserve"> </w:t>
      </w:r>
      <w:r w:rsidRPr="00C34635" w:rsidR="003A1616">
        <w:rPr>
          <w:rFonts w:ascii="Times New Roman" w:hAnsi="Times New Roman"/>
          <w:color w:val="000000" w:themeColor="text1"/>
          <w:sz w:val="24"/>
          <w:szCs w:val="24"/>
        </w:rPr>
        <w:t xml:space="preserve">are eligible and </w:t>
      </w:r>
      <w:r w:rsidRPr="00C34635" w:rsidR="00773CAA">
        <w:rPr>
          <w:rFonts w:ascii="Times New Roman" w:hAnsi="Times New Roman"/>
          <w:color w:val="000000" w:themeColor="text1"/>
          <w:sz w:val="24"/>
          <w:szCs w:val="24"/>
        </w:rPr>
        <w:t>have</w:t>
      </w:r>
      <w:r w:rsidRPr="00C34635" w:rsidR="00E20A7C">
        <w:rPr>
          <w:rFonts w:ascii="Times New Roman" w:hAnsi="Times New Roman"/>
          <w:color w:val="000000" w:themeColor="text1"/>
          <w:sz w:val="24"/>
          <w:szCs w:val="24"/>
        </w:rPr>
        <w:t xml:space="preserve"> </w:t>
      </w:r>
      <w:r w:rsidRPr="00C34635" w:rsidR="005B575F">
        <w:rPr>
          <w:rFonts w:ascii="Times New Roman" w:hAnsi="Times New Roman"/>
          <w:color w:val="000000" w:themeColor="text1"/>
          <w:sz w:val="24"/>
          <w:szCs w:val="24"/>
        </w:rPr>
        <w:t>received funding for at least one of their projects.</w:t>
      </w:r>
      <w:r w:rsidRPr="00C34635" w:rsidR="00E45F7E">
        <w:rPr>
          <w:rFonts w:ascii="Times New Roman" w:hAnsi="Times New Roman"/>
          <w:color w:val="000000" w:themeColor="text1"/>
          <w:sz w:val="24"/>
          <w:szCs w:val="24"/>
        </w:rPr>
        <w:t xml:space="preserve"> </w:t>
      </w:r>
    </w:p>
    <w:p w:rsidR="00141585" w:rsidRPr="00C34635" w:rsidP="00C34635" w14:paraId="1F1BBF1A" w14:textId="77777777">
      <w:pPr>
        <w:pStyle w:val="NoSpacing"/>
        <w:spacing w:line="276" w:lineRule="auto"/>
        <w:contextualSpacing/>
        <w:rPr>
          <w:rFonts w:ascii="Times New Roman" w:hAnsi="Times New Roman"/>
          <w:color w:val="000000" w:themeColor="text1"/>
          <w:sz w:val="24"/>
          <w:szCs w:val="24"/>
        </w:rPr>
      </w:pPr>
    </w:p>
    <w:p w:rsidR="00141585" w:rsidRPr="00C34635" w:rsidP="00C34635" w14:paraId="067F1CD2" w14:textId="77777777">
      <w:pPr>
        <w:spacing w:line="276" w:lineRule="auto"/>
        <w:contextualSpacing/>
        <w:rPr>
          <w:bCs/>
          <w:color w:val="000000" w:themeColor="text1"/>
        </w:rPr>
      </w:pPr>
      <w:r w:rsidRPr="00C34635">
        <w:rPr>
          <w:bCs/>
          <w:color w:val="000000" w:themeColor="text1"/>
        </w:rPr>
        <w:t>The following legal authorities mandate the collection of the information in this request:</w:t>
      </w:r>
    </w:p>
    <w:p w:rsidR="00141585" w:rsidRPr="00C34635" w:rsidP="00C34635" w14:paraId="558145A2" w14:textId="77777777">
      <w:pPr>
        <w:spacing w:line="276" w:lineRule="auto"/>
        <w:contextualSpacing/>
        <w:rPr>
          <w:b/>
          <w:bCs/>
          <w:color w:val="000000" w:themeColor="text1"/>
        </w:rPr>
      </w:pPr>
    </w:p>
    <w:p w:rsidR="00D000C7" w:rsidRPr="00C34635" w:rsidP="00C34635" w14:paraId="5B592B2C" w14:textId="3181689E">
      <w:pPr>
        <w:numPr>
          <w:ilvl w:val="0"/>
          <w:numId w:val="42"/>
        </w:numPr>
        <w:spacing w:line="276" w:lineRule="auto"/>
        <w:ind w:left="720"/>
        <w:contextualSpacing/>
        <w:rPr>
          <w:color w:val="000000" w:themeColor="text1"/>
        </w:rPr>
      </w:pPr>
      <w:r w:rsidRPr="00C34635">
        <w:rPr>
          <w:color w:val="000000" w:themeColor="text1"/>
        </w:rPr>
        <w:t>The September 11, 1993</w:t>
      </w:r>
      <w:r w:rsidRPr="00C34635" w:rsidR="003A5B7C">
        <w:rPr>
          <w:color w:val="000000" w:themeColor="text1"/>
        </w:rPr>
        <w:t>,</w:t>
      </w:r>
      <w:r w:rsidRPr="00C34635">
        <w:rPr>
          <w:color w:val="000000" w:themeColor="text1"/>
        </w:rPr>
        <w:t xml:space="preserve"> Executive Order 12862, “Setting Customer Service Standards,” and its March 23, 1995</w:t>
      </w:r>
      <w:r w:rsidRPr="00C34635" w:rsidR="003A5B7C">
        <w:rPr>
          <w:color w:val="000000" w:themeColor="text1"/>
        </w:rPr>
        <w:t>,</w:t>
      </w:r>
      <w:r w:rsidRPr="00C34635">
        <w:rPr>
          <w:color w:val="000000" w:themeColor="text1"/>
        </w:rPr>
        <w:t xml:space="preserve"> Memorandum addendum, “Improving Customer Service,” requires that all Federal agencies ask their customers what is most important to them and survey their customers to determine the kind and quality of services the customers want and their level of satisfaction with existing services.  The 1993 Government Performance and Results Act (GPRA) requires agencies to set missions and goals, and measure performance against them.</w:t>
      </w:r>
    </w:p>
    <w:p w:rsidR="00D000C7" w:rsidRPr="00C34635" w:rsidP="00C34635" w14:paraId="06DA103A" w14:textId="11B15DBD">
      <w:pPr>
        <w:numPr>
          <w:ilvl w:val="0"/>
          <w:numId w:val="42"/>
        </w:numPr>
        <w:spacing w:line="276" w:lineRule="auto"/>
        <w:ind w:left="720"/>
        <w:contextualSpacing/>
        <w:rPr>
          <w:color w:val="000000" w:themeColor="text1"/>
        </w:rPr>
      </w:pPr>
      <w:r w:rsidRPr="00C34635">
        <w:rPr>
          <w:color w:val="000000" w:themeColor="text1"/>
        </w:rPr>
        <w:t xml:space="preserve">The E-Government Act of 2002 </w:t>
      </w:r>
      <w:r w:rsidRPr="00C34635" w:rsidR="00FD47B4">
        <w:rPr>
          <w:color w:val="000000" w:themeColor="text1"/>
        </w:rPr>
        <w:t xml:space="preserve">(Public Law 107-347) </w:t>
      </w:r>
      <w:r w:rsidRPr="00C34635">
        <w:rPr>
          <w:color w:val="000000" w:themeColor="text1"/>
        </w:rPr>
        <w:t>includes finding innovative ways to improve the performance of governments in collaborating on the use of information technology to improve the delivery of Government information and services.</w:t>
      </w:r>
    </w:p>
    <w:p w:rsidR="00D000C7" w:rsidRPr="00C34635" w:rsidP="00C34635" w14:paraId="76AD415B" w14:textId="4C975588">
      <w:pPr>
        <w:numPr>
          <w:ilvl w:val="0"/>
          <w:numId w:val="42"/>
        </w:numPr>
        <w:spacing w:line="276" w:lineRule="auto"/>
        <w:ind w:left="720"/>
        <w:contextualSpacing/>
        <w:rPr>
          <w:color w:val="000000" w:themeColor="text1"/>
        </w:rPr>
      </w:pPr>
      <w:r w:rsidRPr="00C34635">
        <w:rPr>
          <w:color w:val="000000" w:themeColor="text1"/>
        </w:rPr>
        <w:t>The GPRA Modernization Act of 2010 requires quarterly performance assessments of Government programs for purposes of assessing agency performance and improvement, and to establish agency performance improvement officers and the Performance Improvement Council.  Executive Order 13571 “Streamlining Service Delivery and Improving Customer Service” and its June 13, 2011</w:t>
      </w:r>
      <w:r w:rsidRPr="00C34635" w:rsidR="003A5B7C">
        <w:rPr>
          <w:color w:val="000000" w:themeColor="text1"/>
        </w:rPr>
        <w:t>,</w:t>
      </w:r>
      <w:r w:rsidRPr="00C34635">
        <w:rPr>
          <w:color w:val="000000" w:themeColor="text1"/>
        </w:rPr>
        <w:t xml:space="preserve"> Memorandum “Implementing Executive Order 13571 on Streamlining Service Delivery and Improving Customer Service” sets out guidelines for establishing customer service plans and activities; plus it expands the definition of customer and encourages the use of a broader set of tools to solicit actionable, timely customer feedback to capture insights and identify early warning signals.  </w:t>
      </w:r>
    </w:p>
    <w:p w:rsidR="008B752E" w:rsidRPr="00C34635" w:rsidP="00C34635" w14:paraId="6FB13A6A" w14:textId="77777777">
      <w:pPr>
        <w:numPr>
          <w:ilvl w:val="0"/>
          <w:numId w:val="42"/>
        </w:numPr>
        <w:spacing w:line="276" w:lineRule="auto"/>
        <w:ind w:left="720"/>
        <w:contextualSpacing/>
        <w:rPr>
          <w:color w:val="000000" w:themeColor="text1"/>
        </w:rPr>
      </w:pPr>
      <w:r w:rsidRPr="00C34635">
        <w:rPr>
          <w:color w:val="000000" w:themeColor="text1"/>
        </w:rPr>
        <w:t>The Sandy Recovery Improvement Act (SRIA) of 2013 and the response provided by FEMA staff from all divisions during Hurricane Sandy, the Disaster Survivor Assistance (DSA) Program was formed to provide additional in-person customer service during the initial phase of the recovery process.</w:t>
      </w:r>
    </w:p>
    <w:p w:rsidR="0042786E" w:rsidRPr="00C34635" w:rsidP="00C34635" w14:paraId="7D1AE62C" w14:textId="77777777">
      <w:pPr>
        <w:spacing w:line="276" w:lineRule="auto"/>
        <w:contextualSpacing/>
        <w:rPr>
          <w:color w:val="000000" w:themeColor="text1"/>
        </w:rPr>
      </w:pPr>
    </w:p>
    <w:p w:rsidR="0042786E" w:rsidRPr="00C34635" w:rsidP="00C34635" w14:paraId="0BFD14F5" w14:textId="77777777">
      <w:pPr>
        <w:spacing w:line="276" w:lineRule="auto"/>
        <w:contextualSpacing/>
        <w:rPr>
          <w:color w:val="000000" w:themeColor="text1"/>
        </w:rPr>
      </w:pPr>
      <w:r w:rsidRPr="00C34635">
        <w:rPr>
          <w:color w:val="000000" w:themeColor="text1"/>
        </w:rPr>
        <w:t xml:space="preserve">The survey results provide FEMA an overall gauge of performance at different points in the Public Assistance process.  Drops in overall satisfaction or customer service ratings prompt </w:t>
      </w:r>
      <w:r w:rsidRPr="00C34635">
        <w:rPr>
          <w:color w:val="000000" w:themeColor="text1"/>
        </w:rPr>
        <w:t xml:space="preserve">analysts to examine specific survey questions more closely in order to pinpoint underlying causes for dissatisfaction and identify possible strategies for improvement.   </w:t>
      </w:r>
    </w:p>
    <w:p w:rsidR="004E08A9" w:rsidRPr="00C34635" w:rsidP="00C34635" w14:paraId="0719AEEF" w14:textId="77777777">
      <w:pPr>
        <w:spacing w:line="276" w:lineRule="auto"/>
        <w:contextualSpacing/>
        <w:rPr>
          <w:color w:val="000000" w:themeColor="text1"/>
          <w:spacing w:val="-3"/>
          <w:u w:val="single"/>
        </w:rPr>
      </w:pPr>
    </w:p>
    <w:p w:rsidR="00842E74" w:rsidRPr="00C34635" w:rsidP="00C34635" w14:paraId="7F58B593"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 xml:space="preserve">2.  </w:t>
      </w:r>
      <w:r w:rsidRPr="00C34635" w:rsidR="00D611B7">
        <w:rPr>
          <w:b/>
          <w:bCs/>
          <w:color w:val="000000" w:themeColor="text1"/>
        </w:rPr>
        <w:t>Indicate how, by whom, and for what purpose the information is to be used. Except for a new collection, indicate the actual use the agency has made of the information received from the current collection.</w:t>
      </w:r>
      <w:r w:rsidRPr="00C34635" w:rsidR="00DD093C">
        <w:rPr>
          <w:b/>
          <w:bCs/>
          <w:color w:val="000000" w:themeColor="text1"/>
        </w:rPr>
        <w:t xml:space="preserve">  Provide a detailed description of: how the information will be shared, if applicable, and for what programmatic purpose.       </w:t>
      </w:r>
    </w:p>
    <w:p w:rsidR="00842E74" w:rsidRPr="00C34635" w:rsidP="00C34635" w14:paraId="093AD5CC" w14:textId="77777777">
      <w:pPr>
        <w:spacing w:line="276" w:lineRule="auto"/>
        <w:contextualSpacing/>
        <w:rPr>
          <w:color w:val="000000" w:themeColor="text1"/>
        </w:rPr>
      </w:pPr>
    </w:p>
    <w:p w:rsidR="00D000C7" w:rsidRPr="00C34635" w:rsidP="00C34635" w14:paraId="31289D4C" w14:textId="6AAFD4B8">
      <w:pPr>
        <w:spacing w:line="276" w:lineRule="auto"/>
        <w:contextualSpacing/>
        <w:rPr>
          <w:color w:val="000000" w:themeColor="text1"/>
        </w:rPr>
      </w:pPr>
      <w:r w:rsidRPr="00C34635">
        <w:rPr>
          <w:color w:val="000000" w:themeColor="text1"/>
        </w:rPr>
        <w:t>This collection includes the FEMA Public Assistance</w:t>
      </w:r>
      <w:r w:rsidRPr="00C34635" w:rsidR="3EC4406E">
        <w:rPr>
          <w:color w:val="000000" w:themeColor="text1"/>
        </w:rPr>
        <w:t>’</w:t>
      </w:r>
      <w:r w:rsidRPr="00C34635">
        <w:rPr>
          <w:color w:val="000000" w:themeColor="text1"/>
        </w:rPr>
        <w:t>s Customer Satisfaction Surveys.  This collection is managed by the Recovery Directorate, through the Reporting &amp; Analytics Division’s Customer Survey &amp; Analysis (CSA) Section.  CSA is responsible for administering and reporting survey results.  CSA also assists with survey design in conjunction with stakeholders.  Questions used for performance management are chosen by the FEMA Recovery Performance Management Team and Leadership.</w:t>
      </w:r>
    </w:p>
    <w:p w:rsidR="00D000C7" w:rsidRPr="00C34635" w:rsidP="00C34635" w14:paraId="7E272A32" w14:textId="77777777">
      <w:pPr>
        <w:spacing w:line="276" w:lineRule="auto"/>
        <w:contextualSpacing/>
        <w:rPr>
          <w:color w:val="000000" w:themeColor="text1"/>
        </w:rPr>
      </w:pPr>
    </w:p>
    <w:p w:rsidR="00042E58" w:rsidRPr="00C34635" w:rsidP="00C34635" w14:paraId="3F8ACC35" w14:textId="23991FC7">
      <w:pPr>
        <w:spacing w:line="276" w:lineRule="auto"/>
        <w:contextualSpacing/>
        <w:rPr>
          <w:color w:val="000000" w:themeColor="text1"/>
        </w:rPr>
      </w:pPr>
      <w:r w:rsidRPr="00C34635">
        <w:rPr>
          <w:color w:val="000000" w:themeColor="text1"/>
        </w:rPr>
        <w:t xml:space="preserve">FEMA’s mission is </w:t>
      </w:r>
      <w:r w:rsidRPr="00C34635" w:rsidR="62A6D21A">
        <w:rPr>
          <w:color w:val="000000" w:themeColor="text1"/>
        </w:rPr>
        <w:t xml:space="preserve">helping people before, during and after disasters.  </w:t>
      </w:r>
      <w:r w:rsidRPr="00C34635">
        <w:rPr>
          <w:color w:val="000000" w:themeColor="text1"/>
        </w:rPr>
        <w:t xml:space="preserve"> </w:t>
      </w:r>
      <w:r w:rsidRPr="00C34635" w:rsidR="00187F66">
        <w:rPr>
          <w:color w:val="000000" w:themeColor="text1"/>
        </w:rPr>
        <w:t>The purpose of the Public Assistance Customer Satisfaction Survey</w:t>
      </w:r>
      <w:r w:rsidRPr="00C34635" w:rsidR="0063643B">
        <w:rPr>
          <w:color w:val="000000" w:themeColor="text1"/>
        </w:rPr>
        <w:t>s</w:t>
      </w:r>
      <w:r w:rsidRPr="00C34635" w:rsidR="00187F66">
        <w:rPr>
          <w:color w:val="000000" w:themeColor="text1"/>
        </w:rPr>
        <w:t xml:space="preserve"> </w:t>
      </w:r>
      <w:r w:rsidRPr="00C34635" w:rsidR="00F94D51">
        <w:rPr>
          <w:color w:val="000000" w:themeColor="text1"/>
        </w:rPr>
        <w:t>is</w:t>
      </w:r>
      <w:r w:rsidRPr="00C34635" w:rsidR="00187F66">
        <w:rPr>
          <w:color w:val="000000" w:themeColor="text1"/>
        </w:rPr>
        <w:t xml:space="preserve"> to assess customer satisfaction</w:t>
      </w:r>
      <w:r w:rsidRPr="00C34635" w:rsidR="004F4561">
        <w:rPr>
          <w:color w:val="000000" w:themeColor="text1"/>
        </w:rPr>
        <w:t xml:space="preserve"> </w:t>
      </w:r>
      <w:r w:rsidRPr="00C34635" w:rsidR="00187F66">
        <w:rPr>
          <w:color w:val="000000" w:themeColor="text1"/>
        </w:rPr>
        <w:t>with</w:t>
      </w:r>
      <w:r w:rsidRPr="00C34635" w:rsidR="004F4561">
        <w:rPr>
          <w:color w:val="000000" w:themeColor="text1"/>
        </w:rPr>
        <w:t xml:space="preserve"> the Public Assistance Program, and to</w:t>
      </w:r>
      <w:r w:rsidRPr="00C34635" w:rsidR="00FB562E">
        <w:rPr>
          <w:color w:val="000000" w:themeColor="text1"/>
        </w:rPr>
        <w:t xml:space="preserve"> </w:t>
      </w:r>
      <w:r w:rsidRPr="00C34635" w:rsidR="00187F66">
        <w:rPr>
          <w:color w:val="000000" w:themeColor="text1"/>
        </w:rPr>
        <w:t>improve the q</w:t>
      </w:r>
      <w:r w:rsidRPr="00C34635" w:rsidR="004F4561">
        <w:rPr>
          <w:color w:val="000000" w:themeColor="text1"/>
        </w:rPr>
        <w:t>uality of service for</w:t>
      </w:r>
      <w:r w:rsidRPr="00C34635" w:rsidR="00187F66">
        <w:rPr>
          <w:color w:val="000000" w:themeColor="text1"/>
        </w:rPr>
        <w:t xml:space="preserve"> applicant</w:t>
      </w:r>
      <w:r w:rsidRPr="00C34635" w:rsidR="004F4561">
        <w:rPr>
          <w:color w:val="000000" w:themeColor="text1"/>
        </w:rPr>
        <w:t>s (</w:t>
      </w:r>
      <w:r w:rsidRPr="00C34635" w:rsidR="00187F66">
        <w:rPr>
          <w:color w:val="000000" w:themeColor="text1"/>
        </w:rPr>
        <w:t xml:space="preserve">State, </w:t>
      </w:r>
      <w:r w:rsidRPr="00C34635" w:rsidR="004F4561">
        <w:rPr>
          <w:color w:val="000000" w:themeColor="text1"/>
        </w:rPr>
        <w:t>Local, Tribal government</w:t>
      </w:r>
      <w:r w:rsidRPr="00C34635" w:rsidR="442795BE">
        <w:rPr>
          <w:color w:val="000000" w:themeColor="text1"/>
        </w:rPr>
        <w:t>s</w:t>
      </w:r>
      <w:r w:rsidRPr="00C34635" w:rsidR="004F4561">
        <w:rPr>
          <w:color w:val="000000" w:themeColor="text1"/>
        </w:rPr>
        <w:t xml:space="preserve">, </w:t>
      </w:r>
      <w:r w:rsidRPr="00C34635" w:rsidR="00B00A24">
        <w:rPr>
          <w:color w:val="000000" w:themeColor="text1"/>
        </w:rPr>
        <w:t xml:space="preserve">and eligible </w:t>
      </w:r>
      <w:r w:rsidRPr="00C34635" w:rsidR="004F4561">
        <w:rPr>
          <w:color w:val="000000" w:themeColor="text1"/>
        </w:rPr>
        <w:t>Private Non-Profit organizations)</w:t>
      </w:r>
      <w:r w:rsidRPr="00C34635" w:rsidR="00187F66">
        <w:rPr>
          <w:color w:val="000000" w:themeColor="text1"/>
        </w:rPr>
        <w:t xml:space="preserve"> who have been affected by a disaster</w:t>
      </w:r>
      <w:r w:rsidRPr="00C34635" w:rsidR="00770214">
        <w:rPr>
          <w:color w:val="000000" w:themeColor="text1"/>
        </w:rPr>
        <w:t>.</w:t>
      </w:r>
      <w:r w:rsidRPr="00C34635">
        <w:rPr>
          <w:color w:val="000000" w:themeColor="text1"/>
        </w:rPr>
        <w:t xml:space="preserve">  The results provide continuous feedback and help management make data-driven decisions to improve service delivery across all customer touchpoints.  The survey results are also used in FEMA’s GPRA measures and performance measures under guidance from the FEMA Recovery Performance Management Team.  The questions utilized may change over time as priorities </w:t>
      </w:r>
      <w:r w:rsidRPr="00C34635" w:rsidR="7EDA4321">
        <w:rPr>
          <w:color w:val="000000" w:themeColor="text1"/>
        </w:rPr>
        <w:t>evolve</w:t>
      </w:r>
      <w:r w:rsidRPr="00C34635">
        <w:rPr>
          <w:color w:val="000000" w:themeColor="text1"/>
        </w:rPr>
        <w:t>.</w:t>
      </w:r>
    </w:p>
    <w:p w:rsidR="007E3339" w:rsidRPr="00C34635" w:rsidP="00C34635" w14:paraId="4AC8D376" w14:textId="77777777">
      <w:pPr>
        <w:spacing w:line="276" w:lineRule="auto"/>
        <w:contextualSpacing/>
        <w:rPr>
          <w:color w:val="000000" w:themeColor="text1"/>
        </w:rPr>
      </w:pPr>
    </w:p>
    <w:p w:rsidR="007E3339" w:rsidRPr="00C34635" w:rsidP="00C34635" w14:paraId="15653747" w14:textId="77777777">
      <w:pPr>
        <w:tabs>
          <w:tab w:val="left" w:pos="-720"/>
          <w:tab w:val="num" w:pos="0"/>
        </w:tabs>
        <w:suppressAutoHyphens/>
        <w:spacing w:line="276" w:lineRule="auto"/>
        <w:contextualSpacing/>
        <w:rPr>
          <w:color w:val="000000" w:themeColor="text1"/>
        </w:rPr>
      </w:pPr>
      <w:r w:rsidRPr="00C34635">
        <w:rPr>
          <w:color w:val="000000" w:themeColor="text1"/>
        </w:rPr>
        <w:t xml:space="preserve">Survey results reports are usually distributed by email to stakeholders, which includes Public Assistance Leadership and the Recovery Reporting and Analytics Branch.  Reports are distributed on a quarterly basis, and include descriptive breakdowns of each question (e.g., means and percentages).  Stakeholders may request reports more often than quarterly if they want to examine customer satisfaction for a given disaster, state, or FEMA Region.  Additionally, there is a Tableau Dashboard that displays survey results (averages for select questions) that anyone in FEMA can access.  The dashboards are refreshed on a monthly basis. </w:t>
      </w:r>
    </w:p>
    <w:p w:rsidR="00042E58" w:rsidRPr="00C34635" w:rsidP="00C34635" w14:paraId="6706575D" w14:textId="77777777">
      <w:pPr>
        <w:spacing w:line="276" w:lineRule="auto"/>
        <w:contextualSpacing/>
        <w:rPr>
          <w:color w:val="000000" w:themeColor="text1"/>
        </w:rPr>
      </w:pPr>
      <w:r w:rsidRPr="00C34635">
        <w:rPr>
          <w:color w:val="000000" w:themeColor="text1"/>
        </w:rPr>
        <w:t xml:space="preserve"> </w:t>
      </w:r>
    </w:p>
    <w:p w:rsidR="00042E58" w:rsidRPr="00C34635" w:rsidP="00C34635" w14:paraId="795269F1" w14:textId="77777777">
      <w:pPr>
        <w:spacing w:line="276" w:lineRule="auto"/>
        <w:contextualSpacing/>
        <w:rPr>
          <w:color w:val="000000" w:themeColor="text1"/>
        </w:rPr>
      </w:pPr>
      <w:r w:rsidRPr="00C34635">
        <w:rPr>
          <w:color w:val="000000" w:themeColor="text1"/>
        </w:rPr>
        <w:t>The purpose for each survey, as a part of our ongoing improvement process and mandates from various Acts and Executive Orders, is as follows:</w:t>
      </w:r>
    </w:p>
    <w:p w:rsidR="000E3859" w:rsidRPr="00C34635" w:rsidP="00C34635" w14:paraId="69B7369D" w14:textId="77777777">
      <w:pPr>
        <w:spacing w:line="276" w:lineRule="auto"/>
        <w:contextualSpacing/>
        <w:rPr>
          <w:color w:val="000000" w:themeColor="text1"/>
        </w:rPr>
      </w:pPr>
    </w:p>
    <w:p w:rsidR="000E3859" w:rsidRPr="00C34635" w:rsidP="00C34635" w14:paraId="34B70CD0"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b/>
          <w:bCs/>
          <w:color w:val="000000" w:themeColor="text1"/>
          <w:sz w:val="24"/>
          <w:szCs w:val="24"/>
        </w:rPr>
        <w:t xml:space="preserve">FEMA Form </w:t>
      </w:r>
      <w:r w:rsidRPr="00C34635" w:rsidR="00026741">
        <w:rPr>
          <w:rFonts w:ascii="Times New Roman" w:hAnsi="Times New Roman"/>
          <w:b/>
          <w:bCs/>
          <w:color w:val="000000" w:themeColor="text1"/>
          <w:sz w:val="24"/>
          <w:szCs w:val="24"/>
        </w:rPr>
        <w:t>FF-104-FY-21-155 (formerly 519-0-32)</w:t>
      </w:r>
      <w:r w:rsidRPr="00C34635">
        <w:rPr>
          <w:rFonts w:ascii="Times New Roman" w:hAnsi="Times New Roman"/>
          <w:b/>
          <w:bCs/>
          <w:color w:val="000000" w:themeColor="text1"/>
          <w:sz w:val="24"/>
          <w:szCs w:val="24"/>
        </w:rPr>
        <w:t xml:space="preserve"> Phone and FEMA Form </w:t>
      </w:r>
      <w:r w:rsidRPr="00C34635" w:rsidR="00026741">
        <w:rPr>
          <w:rFonts w:ascii="Times New Roman" w:hAnsi="Times New Roman"/>
          <w:b/>
          <w:bCs/>
          <w:color w:val="000000" w:themeColor="text1"/>
          <w:sz w:val="24"/>
          <w:szCs w:val="24"/>
        </w:rPr>
        <w:t>FF-104-FY-21-156 (formerly 519-0-33)</w:t>
      </w:r>
      <w:r w:rsidRPr="00C34635">
        <w:rPr>
          <w:rFonts w:ascii="Times New Roman" w:hAnsi="Times New Roman"/>
          <w:b/>
          <w:bCs/>
          <w:color w:val="000000" w:themeColor="text1"/>
          <w:sz w:val="24"/>
          <w:szCs w:val="24"/>
        </w:rPr>
        <w:t xml:space="preserve"> Electronic, Public Assistance Initial (PAI) Survey</w:t>
      </w:r>
      <w:r w:rsidRPr="00C34635">
        <w:rPr>
          <w:rFonts w:ascii="Times New Roman" w:hAnsi="Times New Roman"/>
          <w:color w:val="000000" w:themeColor="text1"/>
          <w:sz w:val="24"/>
          <w:szCs w:val="24"/>
        </w:rPr>
        <w:t xml:space="preserve"> assesses whether applicants are satisfied with the service and materials they receive from Public Assistance at the onset of the process.  All applicants have a Recovery Scoping Meeting where </w:t>
      </w:r>
      <w:r w:rsidRPr="00C34635">
        <w:rPr>
          <w:rFonts w:ascii="Times New Roman" w:hAnsi="Times New Roman"/>
          <w:color w:val="000000" w:themeColor="text1"/>
          <w:sz w:val="24"/>
          <w:szCs w:val="24"/>
        </w:rPr>
        <w:t xml:space="preserve">their Program Delivery Manager sets expectations and provides timelines.  Applicants receive important instructions and materials that can set the tone for the rest of the grant process.  </w:t>
      </w:r>
      <w:r w:rsidRPr="00C34635" w:rsidR="00D000C7">
        <w:rPr>
          <w:rFonts w:ascii="Times New Roman" w:hAnsi="Times New Roman"/>
          <w:color w:val="000000" w:themeColor="text1"/>
          <w:sz w:val="24"/>
          <w:szCs w:val="24"/>
        </w:rPr>
        <w:t>A disaster is qualified for surveying when ~60 days have elapsed since the declaration date and ~70% of Recovery Scoping Meetings have been completed.</w:t>
      </w:r>
    </w:p>
    <w:p w:rsidR="000E3859" w:rsidRPr="00C34635" w:rsidP="00C34635" w14:paraId="6D7350FD" w14:textId="77777777">
      <w:pPr>
        <w:pStyle w:val="NoSpacing"/>
        <w:spacing w:line="276" w:lineRule="auto"/>
        <w:contextualSpacing/>
        <w:rPr>
          <w:rFonts w:ascii="Times New Roman" w:hAnsi="Times New Roman"/>
          <w:color w:val="000000" w:themeColor="text1"/>
          <w:sz w:val="24"/>
          <w:szCs w:val="24"/>
        </w:rPr>
      </w:pPr>
    </w:p>
    <w:p w:rsidR="000E3859" w:rsidRPr="00C34635" w:rsidP="00C34635" w14:paraId="7BF6FA69"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b/>
          <w:bCs/>
          <w:color w:val="000000" w:themeColor="text1"/>
          <w:sz w:val="24"/>
          <w:szCs w:val="24"/>
        </w:rPr>
        <w:t xml:space="preserve">FEMA Form </w:t>
      </w:r>
      <w:r w:rsidRPr="00C34635" w:rsidR="00026741">
        <w:rPr>
          <w:rFonts w:ascii="Times New Roman" w:hAnsi="Times New Roman"/>
          <w:b/>
          <w:bCs/>
          <w:color w:val="000000" w:themeColor="text1"/>
          <w:sz w:val="24"/>
          <w:szCs w:val="24"/>
        </w:rPr>
        <w:t>FF-104-FY-21-157 (formerly 519-0-34)</w:t>
      </w:r>
      <w:r w:rsidRPr="00C34635">
        <w:rPr>
          <w:rFonts w:ascii="Times New Roman" w:hAnsi="Times New Roman"/>
          <w:b/>
          <w:bCs/>
          <w:color w:val="000000" w:themeColor="text1"/>
          <w:sz w:val="24"/>
          <w:szCs w:val="24"/>
        </w:rPr>
        <w:t xml:space="preserve"> Phone and FEMA Form </w:t>
      </w:r>
      <w:r w:rsidRPr="00C34635" w:rsidR="00026741">
        <w:rPr>
          <w:rFonts w:ascii="Times New Roman" w:hAnsi="Times New Roman"/>
          <w:b/>
          <w:bCs/>
          <w:color w:val="000000" w:themeColor="text1"/>
          <w:sz w:val="24"/>
          <w:szCs w:val="24"/>
        </w:rPr>
        <w:t>FF-104-FY-21-158 (formerly 519-0-35)</w:t>
      </w:r>
      <w:r w:rsidRPr="00C34635">
        <w:rPr>
          <w:rFonts w:ascii="Times New Roman" w:hAnsi="Times New Roman"/>
          <w:b/>
          <w:bCs/>
          <w:color w:val="000000" w:themeColor="text1"/>
          <w:sz w:val="24"/>
          <w:szCs w:val="24"/>
        </w:rPr>
        <w:t xml:space="preserve"> Electronic, Public Assistance Assessment (PAA) Survey</w:t>
      </w:r>
      <w:r w:rsidRPr="00C34635">
        <w:rPr>
          <w:rFonts w:ascii="Times New Roman" w:hAnsi="Times New Roman"/>
          <w:color w:val="000000" w:themeColor="text1"/>
          <w:sz w:val="24"/>
          <w:szCs w:val="24"/>
        </w:rPr>
        <w:t xml:space="preserve"> assesses customer satisfaction throughout the entire Public Assistance process.  Survey topics include knowledge and helpfulness of FEMA representatives, timeliness of awards, simplicity of the process, reasonableness of requirements, accuracy of materials, satisfaction with communication, and usability of the Grants Portal.  </w:t>
      </w:r>
      <w:r w:rsidRPr="00C34635" w:rsidR="00D000C7">
        <w:rPr>
          <w:rFonts w:ascii="Times New Roman" w:hAnsi="Times New Roman"/>
          <w:color w:val="000000" w:themeColor="text1"/>
          <w:sz w:val="24"/>
          <w:szCs w:val="24"/>
        </w:rPr>
        <w:t>A disaster is qualified for surveying when ~210 days have elapsed since the declaration date and ~70% of funds have been obligated to projects.</w:t>
      </w:r>
    </w:p>
    <w:p w:rsidR="007E3339" w:rsidRPr="00C34635" w:rsidP="00C34635" w14:paraId="4CF17BC4" w14:textId="77777777">
      <w:pPr>
        <w:pStyle w:val="NoSpacing"/>
        <w:spacing w:line="276" w:lineRule="auto"/>
        <w:contextualSpacing/>
        <w:rPr>
          <w:rFonts w:ascii="Times New Roman" w:hAnsi="Times New Roman"/>
          <w:color w:val="000000" w:themeColor="text1"/>
          <w:sz w:val="24"/>
          <w:szCs w:val="24"/>
        </w:rPr>
      </w:pPr>
    </w:p>
    <w:p w:rsidR="007E3339" w:rsidRPr="00C34635" w:rsidP="00C34635" w14:paraId="6725DE26"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color w:val="000000" w:themeColor="text1"/>
          <w:sz w:val="24"/>
          <w:szCs w:val="24"/>
        </w:rPr>
        <w:t xml:space="preserve">In addition to the surveys, specialized qualitative research (e.g., focus groups; interviews) may be conducted periodically to assess program areas or program changes that the Public Assistance surveys do not capture.  These are usually based on a convenience sample and target population will vary depending on research question.  Such projects are conducted at the request of Public Assistance when funding is available.  This type of research allows for flexibility to assess programmatic changes that surveys are unable to capture.  Examples might include technological upgrades to the Grants Portal, or changes to existing programs like 428 Alternative Procedures.  Qualitative research can also help inform survey development through identifying new topic areas that need to be assessed.  Funding is usually limited, so sampling is often restricted to a few geographic regions.  Focus groups are more feasible when applicants are densely packed in one area, whereas interviews are more practical when applicants are spread out over a geographic region.  </w:t>
      </w:r>
    </w:p>
    <w:p w:rsidR="00EA4A80" w:rsidRPr="00C34635" w:rsidP="00C34635" w14:paraId="32C850BD" w14:textId="77777777">
      <w:pPr>
        <w:tabs>
          <w:tab w:val="left" w:pos="-720"/>
          <w:tab w:val="num" w:pos="0"/>
        </w:tabs>
        <w:suppressAutoHyphens/>
        <w:spacing w:line="276" w:lineRule="auto"/>
        <w:contextualSpacing/>
        <w:rPr>
          <w:color w:val="000000" w:themeColor="text1"/>
        </w:rPr>
      </w:pPr>
    </w:p>
    <w:p w:rsidR="00842E74" w:rsidRPr="00C34635" w:rsidP="00C34635" w14:paraId="49CE42F1"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w:t>
      </w:r>
      <w:r w:rsidRPr="00C34635" w:rsidR="006A4787">
        <w:rPr>
          <w:b/>
          <w:bCs/>
          <w:color w:val="000000" w:themeColor="text1"/>
        </w:rPr>
        <w:t xml:space="preserve"> </w:t>
      </w:r>
      <w:r w:rsidRPr="00C34635">
        <w:rPr>
          <w:b/>
          <w:bCs/>
          <w:color w:val="000000" w:themeColor="text1"/>
        </w:rPr>
        <w:t xml:space="preserve">information technology to reduce burden. </w:t>
      </w:r>
    </w:p>
    <w:p w:rsidR="009F658D" w:rsidRPr="00C34635" w:rsidP="00C34635" w14:paraId="08EB010E" w14:textId="77777777">
      <w:pPr>
        <w:spacing w:line="276" w:lineRule="auto"/>
        <w:contextualSpacing/>
        <w:rPr>
          <w:b/>
          <w:bCs/>
          <w:color w:val="000000" w:themeColor="text1"/>
        </w:rPr>
      </w:pPr>
    </w:p>
    <w:p w:rsidR="00405B17" w:rsidRPr="00C34635" w:rsidP="00C34635" w14:paraId="3A941FF9" w14:textId="77777777">
      <w:pPr>
        <w:spacing w:line="276" w:lineRule="auto"/>
        <w:contextualSpacing/>
        <w:rPr>
          <w:color w:val="000000" w:themeColor="text1"/>
        </w:rPr>
      </w:pPr>
      <w:r w:rsidRPr="00C34635">
        <w:rPr>
          <w:color w:val="000000" w:themeColor="text1"/>
        </w:rPr>
        <w:t>The Customer Survey and Analysis Section (</w:t>
      </w:r>
      <w:r w:rsidRPr="00C34635" w:rsidR="009E3723">
        <w:rPr>
          <w:color w:val="000000" w:themeColor="text1"/>
        </w:rPr>
        <w:t>CSA</w:t>
      </w:r>
      <w:r w:rsidRPr="00C34635">
        <w:rPr>
          <w:color w:val="000000" w:themeColor="text1"/>
        </w:rPr>
        <w:t>)</w:t>
      </w:r>
      <w:r w:rsidRPr="00C34635" w:rsidR="001B09BD">
        <w:rPr>
          <w:color w:val="000000" w:themeColor="text1"/>
        </w:rPr>
        <w:t xml:space="preserve"> is responsible for administering the Public Assistance Surveys.  In the previous submission of this collection, a software acquisition was in process that would </w:t>
      </w:r>
      <w:r w:rsidRPr="00C34635" w:rsidR="007310EF">
        <w:rPr>
          <w:color w:val="000000" w:themeColor="text1"/>
        </w:rPr>
        <w:t>enable</w:t>
      </w:r>
      <w:r w:rsidRPr="00C34635" w:rsidR="001B09BD">
        <w:rPr>
          <w:color w:val="000000" w:themeColor="text1"/>
        </w:rPr>
        <w:t xml:space="preserve"> electronic survey administration, but it was not yet implemented.  Electronic survey administration be</w:t>
      </w:r>
      <w:r w:rsidRPr="00C34635" w:rsidR="007310EF">
        <w:rPr>
          <w:color w:val="000000" w:themeColor="text1"/>
        </w:rPr>
        <w:t>gan</w:t>
      </w:r>
      <w:r w:rsidRPr="00C34635" w:rsidR="001B09BD">
        <w:rPr>
          <w:color w:val="000000" w:themeColor="text1"/>
        </w:rPr>
        <w:t xml:space="preserve"> in July 2021.  Currently both phone and electronic survey administration is utilized.  </w:t>
      </w:r>
      <w:r w:rsidRPr="00C34635" w:rsidR="009E3723">
        <w:rPr>
          <w:color w:val="000000" w:themeColor="text1"/>
        </w:rPr>
        <w:t xml:space="preserve"> </w:t>
      </w:r>
    </w:p>
    <w:p w:rsidR="003744EF" w:rsidRPr="00C34635" w:rsidP="00C34635" w14:paraId="5F9B5B89" w14:textId="77777777">
      <w:pPr>
        <w:spacing w:line="276" w:lineRule="auto"/>
        <w:contextualSpacing/>
        <w:rPr>
          <w:color w:val="000000" w:themeColor="text1"/>
        </w:rPr>
      </w:pPr>
    </w:p>
    <w:p w:rsidR="00F301E8" w:rsidRPr="00C34635" w:rsidP="00C34635" w14:paraId="66138CEE" w14:textId="77777777">
      <w:pPr>
        <w:spacing w:line="276" w:lineRule="auto"/>
        <w:contextualSpacing/>
        <w:rPr>
          <w:color w:val="000000" w:themeColor="text1"/>
        </w:rPr>
      </w:pPr>
      <w:r w:rsidRPr="00C34635">
        <w:rPr>
          <w:color w:val="000000" w:themeColor="text1"/>
        </w:rPr>
        <w:t>Most a</w:t>
      </w:r>
      <w:r w:rsidRPr="00C34635" w:rsidR="00E21AA6">
        <w:rPr>
          <w:color w:val="000000" w:themeColor="text1"/>
        </w:rPr>
        <w:t xml:space="preserve">pplicant organizations responding to the FEMA Public Assistance Customer Satisfaction Surveys </w:t>
      </w:r>
      <w:r w:rsidRPr="00C34635">
        <w:rPr>
          <w:color w:val="000000" w:themeColor="text1"/>
        </w:rPr>
        <w:t xml:space="preserve">have an email address on file.  All applicants initially receive electronic surveys.  In the </w:t>
      </w:r>
      <w:r w:rsidRPr="00C34635">
        <w:rPr>
          <w:color w:val="000000" w:themeColor="text1"/>
        </w:rPr>
        <w:t xml:space="preserve">rare case where an applicant does not have a valid email address on file, a phone survey is administered instead.  All electronic surveys are open for two weeks.  Once the electronic surveying period closes, applicants who have not completed </w:t>
      </w:r>
      <w:r w:rsidRPr="00C34635" w:rsidR="00937A3A">
        <w:rPr>
          <w:color w:val="000000" w:themeColor="text1"/>
        </w:rPr>
        <w:t>an electronic</w:t>
      </w:r>
      <w:r w:rsidRPr="00C34635">
        <w:rPr>
          <w:color w:val="000000" w:themeColor="text1"/>
        </w:rPr>
        <w:t xml:space="preserve"> survey are contacted via phone.</w:t>
      </w:r>
    </w:p>
    <w:p w:rsidR="000C4C1A" w:rsidRPr="00C34635" w:rsidP="00C34635" w14:paraId="178EECFD" w14:textId="77777777">
      <w:pPr>
        <w:spacing w:before="240" w:line="276" w:lineRule="auto"/>
        <w:contextualSpacing/>
        <w:rPr>
          <w:color w:val="000000" w:themeColor="text1"/>
        </w:rPr>
      </w:pPr>
    </w:p>
    <w:p w:rsidR="008E1BCA" w:rsidRPr="00C34635" w:rsidP="00C34635" w14:paraId="17127176" w14:textId="27CA50EA">
      <w:pPr>
        <w:spacing w:before="240" w:line="276" w:lineRule="auto"/>
        <w:contextualSpacing/>
      </w:pPr>
      <w:r w:rsidRPr="00C34635">
        <w:rPr>
          <w:color w:val="000000" w:themeColor="text1"/>
        </w:rPr>
        <w:t>Response rates have declined since the previous submission of this collection, although they remain relatively high compared to industry standards.  For the collection as a whole, response rates are around 37%</w:t>
      </w:r>
      <w:r w:rsidRPr="00C34635" w:rsidR="00031378">
        <w:rPr>
          <w:color w:val="000000" w:themeColor="text1"/>
        </w:rPr>
        <w:t>.</w:t>
      </w:r>
      <w:r w:rsidRPr="00C34635" w:rsidR="00910908">
        <w:rPr>
          <w:color w:val="000000" w:themeColor="text1"/>
        </w:rPr>
        <w:t xml:space="preserve">  The Public Assistance Assessment Survey has slightly higher response rates than the Public Assistance Initial Survey (39% vs. 35%), and phone surveys have significantly higher response rates than electronic surveys (42% vs. 12%).</w:t>
      </w:r>
      <w:r w:rsidRPr="00C34635" w:rsidR="00E21AA6">
        <w:rPr>
          <w:color w:val="000000" w:themeColor="text1"/>
        </w:rPr>
        <w:t xml:space="preserve">  </w:t>
      </w:r>
      <w:r w:rsidRPr="00C34635" w:rsidR="00031378">
        <w:rPr>
          <w:color w:val="000000" w:themeColor="text1"/>
        </w:rPr>
        <w:t>Based on previous research, r</w:t>
      </w:r>
      <w:r w:rsidRPr="00C34635" w:rsidR="00E21AA6">
        <w:rPr>
          <w:color w:val="000000" w:themeColor="text1"/>
        </w:rPr>
        <w:t xml:space="preserve">esponse rates for </w:t>
      </w:r>
      <w:r w:rsidRPr="00C34635" w:rsidR="00031378">
        <w:rPr>
          <w:color w:val="000000" w:themeColor="text1"/>
        </w:rPr>
        <w:t>electronic surveys</w:t>
      </w:r>
      <w:r w:rsidRPr="00C34635" w:rsidR="00E21AA6">
        <w:rPr>
          <w:color w:val="000000" w:themeColor="text1"/>
        </w:rPr>
        <w:t xml:space="preserve"> </w:t>
      </w:r>
      <w:r w:rsidRPr="00C34635" w:rsidR="007310EF">
        <w:rPr>
          <w:color w:val="000000" w:themeColor="text1"/>
        </w:rPr>
        <w:t>were</w:t>
      </w:r>
      <w:r w:rsidRPr="00C34635" w:rsidR="00E21AA6">
        <w:rPr>
          <w:color w:val="000000" w:themeColor="text1"/>
        </w:rPr>
        <w:t xml:space="preserve"> </w:t>
      </w:r>
      <w:r w:rsidRPr="00C34635" w:rsidR="00910908">
        <w:rPr>
          <w:color w:val="000000" w:themeColor="text1"/>
        </w:rPr>
        <w:t>expected to be</w:t>
      </w:r>
      <w:r w:rsidRPr="00C34635" w:rsidR="00E21AA6">
        <w:rPr>
          <w:color w:val="000000" w:themeColor="text1"/>
        </w:rPr>
        <w:t xml:space="preserve"> lower than phone administered surveys</w:t>
      </w:r>
      <w:r w:rsidRPr="00C34635" w:rsidR="00910908">
        <w:rPr>
          <w:color w:val="000000" w:themeColor="text1"/>
        </w:rPr>
        <w:t xml:space="preserve">.  </w:t>
      </w:r>
      <w:r w:rsidRPr="00C34635">
        <w:rPr>
          <w:color w:val="000000" w:themeColor="text1"/>
        </w:rPr>
        <w:t xml:space="preserve">For example, in a research study examining response rates by administration mode, telephone administered surveys produced the highest response </w:t>
      </w:r>
      <w:r w:rsidRPr="00C34635">
        <w:t>rates (30.2%), whereas internet administered surveys had the lowest response rates (</w:t>
      </w:r>
      <w:hyperlink w:anchor="_References" w:history="1">
        <w:r w:rsidRPr="00C34635">
          <w:rPr>
            <w:rStyle w:val="Hyperlink"/>
          </w:rPr>
          <w:t>4.7%; Sinclair et al., 2012</w:t>
        </w:r>
      </w:hyperlink>
      <w:r w:rsidRPr="00C34635">
        <w:t>).</w:t>
      </w:r>
      <w:r w:rsidRPr="00C34635" w:rsidR="005D5768">
        <w:t xml:space="preserve">  </w:t>
      </w:r>
    </w:p>
    <w:p w:rsidR="000C4C1A" w:rsidRPr="00C34635" w:rsidP="00C34635" w14:paraId="005DF725" w14:textId="77777777">
      <w:pPr>
        <w:spacing w:before="240" w:line="276" w:lineRule="auto"/>
        <w:contextualSpacing/>
      </w:pPr>
    </w:p>
    <w:p w:rsidR="00031378" w:rsidRPr="00C34635" w:rsidP="00C34635" w14:paraId="39977E08" w14:textId="5A7973D7">
      <w:pPr>
        <w:spacing w:before="240" w:line="276" w:lineRule="auto"/>
        <w:contextualSpacing/>
      </w:pPr>
      <w:r w:rsidRPr="00C34635">
        <w:t xml:space="preserve">Incorporating electronic administration has allowed respondents, who are often extremely busy responding to disaster operations, to complete surveys when it is convenient.  Electronic surveys are also more efficient and reduce overall burden.  To keep response rates high, phone surveys are still offered if electronic surveys are not completed in a 2-week timeframe.  </w:t>
      </w:r>
    </w:p>
    <w:p w:rsidR="00DD1600" w:rsidRPr="00C34635" w:rsidP="00C34635" w14:paraId="4139C704" w14:textId="6094ADCE">
      <w:pPr>
        <w:spacing w:before="240" w:line="276" w:lineRule="auto"/>
        <w:contextualSpacing/>
      </w:pPr>
    </w:p>
    <w:p w:rsidR="00DD1600" w:rsidRPr="00C34635" w:rsidP="00C34635" w14:paraId="278D54D1" w14:textId="29534F6F">
      <w:pPr>
        <w:spacing w:line="276" w:lineRule="auto"/>
        <w:contextualSpacing/>
        <w:rPr>
          <w:color w:val="000000" w:themeColor="text1"/>
        </w:rPr>
      </w:pPr>
      <w:r w:rsidRPr="00C34635">
        <w:rPr>
          <w:color w:val="000000" w:themeColor="text1"/>
        </w:rPr>
        <w:t>Usability testing has been conducted on this collection.  As a result, a reduction of 63 burden hours has been recognized and included as an update to the collection.</w:t>
      </w:r>
    </w:p>
    <w:p w:rsidR="00DD1600" w:rsidRPr="00C34635" w:rsidP="00C34635" w14:paraId="42DCB15F" w14:textId="77777777">
      <w:pPr>
        <w:spacing w:before="240" w:line="276" w:lineRule="auto"/>
        <w:contextualSpacing/>
      </w:pPr>
    </w:p>
    <w:p w:rsidR="003C2713" w:rsidRPr="00C34635" w:rsidP="00C34635" w14:paraId="03CABB4C" w14:textId="77777777">
      <w:pPr>
        <w:spacing w:line="276" w:lineRule="auto"/>
        <w:contextualSpacing/>
      </w:pPr>
    </w:p>
    <w:p w:rsidR="00842E74" w:rsidRPr="00C34635" w:rsidP="00C34635" w14:paraId="1380038A" w14:textId="22B1F5FF">
      <w:pPr>
        <w:spacing w:line="276" w:lineRule="auto"/>
        <w:contextualSpacing/>
        <w:rPr>
          <w:b/>
          <w:bCs/>
          <w:color w:val="000000" w:themeColor="text1"/>
        </w:rPr>
      </w:pPr>
      <w:r w:rsidRPr="00C34635">
        <w:fldChar w:fldCharType="begin"/>
      </w:r>
      <w:r w:rsidRPr="00C34635">
        <w:instrText>ADVANCE \R 0.95</w:instrText>
      </w:r>
      <w:r w:rsidRPr="00C34635">
        <w:fldChar w:fldCharType="end"/>
      </w:r>
      <w:r w:rsidRPr="00C34635">
        <w:rPr>
          <w:b/>
          <w:bCs/>
          <w:color w:val="000000" w:themeColor="text1"/>
        </w:rPr>
        <w:t xml:space="preserve">4.  Describe efforts to identify duplication.  Show specifically why any similar information already available cannot be used or modified for use for the purposes described in Item 2 above.  </w:t>
      </w:r>
    </w:p>
    <w:p w:rsidR="00B66BAC" w:rsidRPr="00C34635" w:rsidP="00C34635" w14:paraId="31149010" w14:textId="77777777">
      <w:pPr>
        <w:spacing w:line="276" w:lineRule="auto"/>
        <w:contextualSpacing/>
        <w:rPr>
          <w:b/>
          <w:bCs/>
          <w:color w:val="000000" w:themeColor="text1"/>
        </w:rPr>
      </w:pPr>
    </w:p>
    <w:p w:rsidR="00031378" w:rsidRPr="00C34635" w:rsidP="00C34635" w14:paraId="7CE781DC" w14:textId="77777777">
      <w:pPr>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r w:rsidRPr="00C34635">
        <w:rPr>
          <w:color w:val="000000" w:themeColor="text1"/>
        </w:rPr>
        <w:t>As this collection was just approved last year, CSA did not go through rigorous efforts to identify duplication for this filing.</w:t>
      </w:r>
    </w:p>
    <w:p w:rsidR="00031378" w:rsidRPr="00C34635" w:rsidP="00C34635" w14:paraId="586DE322" w14:textId="77777777">
      <w:pPr>
        <w:tabs>
          <w:tab w:val="left" w:pos="-720"/>
        </w:tabs>
        <w:suppressAutoHyphens/>
        <w:spacing w:line="276" w:lineRule="auto"/>
        <w:contextualSpacing/>
        <w:rPr>
          <w:color w:val="000000" w:themeColor="text1"/>
        </w:rPr>
      </w:pPr>
    </w:p>
    <w:p w:rsidR="00F767FC" w:rsidRPr="00C34635" w:rsidP="00C34635" w14:paraId="0AAF8644" w14:textId="77777777">
      <w:pPr>
        <w:tabs>
          <w:tab w:val="left" w:pos="-720"/>
        </w:tabs>
        <w:suppressAutoHyphens/>
        <w:spacing w:line="276" w:lineRule="auto"/>
        <w:contextualSpacing/>
        <w:rPr>
          <w:color w:val="000000" w:themeColor="text1"/>
        </w:rPr>
      </w:pPr>
      <w:r w:rsidRPr="00C34635">
        <w:rPr>
          <w:color w:val="000000" w:themeColor="text1"/>
        </w:rPr>
        <w:t>As of last filing, t</w:t>
      </w:r>
      <w:r w:rsidRPr="00C34635" w:rsidR="00B66BAC">
        <w:rPr>
          <w:color w:val="000000" w:themeColor="text1"/>
        </w:rPr>
        <w:t xml:space="preserve">he information gathered in the survey is not available from any other source. </w:t>
      </w:r>
      <w:r w:rsidRPr="00C34635" w:rsidR="00E465F4">
        <w:rPr>
          <w:color w:val="000000" w:themeColor="text1"/>
        </w:rPr>
        <w:t xml:space="preserve">  CSA me</w:t>
      </w:r>
      <w:r w:rsidRPr="00C34635">
        <w:rPr>
          <w:color w:val="000000" w:themeColor="text1"/>
        </w:rPr>
        <w:t>t</w:t>
      </w:r>
      <w:r w:rsidRPr="00C34635" w:rsidR="00E465F4">
        <w:rPr>
          <w:color w:val="000000" w:themeColor="text1"/>
        </w:rPr>
        <w:t xml:space="preserve"> with stakeholders to ensure the surveys are adequately assessing the Public Assistance Program and reflect current practices.</w:t>
      </w:r>
    </w:p>
    <w:p w:rsidR="00B66BAC" w:rsidRPr="00C34635" w:rsidP="00C34635" w14:paraId="0ABE9C4C" w14:textId="77777777">
      <w:pPr>
        <w:spacing w:line="276" w:lineRule="auto"/>
        <w:contextualSpacing/>
        <w:rPr>
          <w:color w:val="000000" w:themeColor="text1"/>
        </w:rPr>
      </w:pPr>
    </w:p>
    <w:p w:rsidR="00842E74" w:rsidRPr="00C34635" w:rsidP="00C34635" w14:paraId="4D7ECEEC" w14:textId="77777777">
      <w:pPr>
        <w:tabs>
          <w:tab w:val="left" w:pos="360"/>
        </w:tabs>
        <w:spacing w:line="276" w:lineRule="auto"/>
        <w:contextualSpacing/>
        <w:rPr>
          <w:b/>
          <w:bCs/>
          <w:color w:val="000000" w:themeColor="text1"/>
        </w:rPr>
      </w:pPr>
      <w:r w:rsidRPr="00C34635">
        <w:rPr>
          <w:b/>
          <w:bCs/>
          <w:color w:val="000000" w:themeColor="text1"/>
        </w:rPr>
        <w:t xml:space="preserve">5.  </w:t>
      </w:r>
      <w:r w:rsidRPr="00C34635" w:rsidR="00BF4DF2">
        <w:rPr>
          <w:b/>
          <w:bCs/>
          <w:color w:val="000000" w:themeColor="text1"/>
        </w:rPr>
        <w:tab/>
      </w:r>
      <w:r w:rsidRPr="00C34635">
        <w:rPr>
          <w:b/>
          <w:bCs/>
          <w:color w:val="000000" w:themeColor="text1"/>
        </w:rPr>
        <w:t>If the collection of information impacts small businesses or other small entities (Item 5 of OMB Form 83-I), describe any methods used to minimize</w:t>
      </w:r>
      <w:r w:rsidRPr="00C34635" w:rsidR="00065245">
        <w:rPr>
          <w:b/>
          <w:bCs/>
          <w:color w:val="000000" w:themeColor="text1"/>
        </w:rPr>
        <w:t xml:space="preserve"> burden</w:t>
      </w:r>
      <w:r w:rsidRPr="00C34635">
        <w:rPr>
          <w:b/>
          <w:bCs/>
          <w:color w:val="000000" w:themeColor="text1"/>
        </w:rPr>
        <w:t>.</w:t>
      </w:r>
    </w:p>
    <w:p w:rsidR="00842E74" w:rsidRPr="00C34635" w:rsidP="00C34635" w14:paraId="14D5203C" w14:textId="77777777">
      <w:pPr>
        <w:spacing w:line="276" w:lineRule="auto"/>
        <w:contextualSpacing/>
        <w:rPr>
          <w:color w:val="000000" w:themeColor="text1"/>
          <w:spacing w:val="-3"/>
        </w:rPr>
      </w:pPr>
    </w:p>
    <w:p w:rsidR="00FA3C3D" w:rsidRPr="00C34635" w:rsidP="00C34635" w14:paraId="4F4251DF" w14:textId="77777777">
      <w:pPr>
        <w:tabs>
          <w:tab w:val="left" w:pos="-720"/>
        </w:tabs>
        <w:suppressAutoHyphens/>
        <w:spacing w:line="276" w:lineRule="auto"/>
        <w:contextualSpacing/>
        <w:rPr>
          <w:color w:val="000000" w:themeColor="text1"/>
          <w:spacing w:val="-3"/>
        </w:rPr>
      </w:pPr>
      <w:r w:rsidRPr="00C34635">
        <w:rPr>
          <w:color w:val="000000" w:themeColor="text1"/>
        </w:rPr>
        <w:t>There is no impact from this collection of information on small businesses or other small entities.</w:t>
      </w:r>
    </w:p>
    <w:p w:rsidR="00187886" w:rsidRPr="00C34635" w:rsidP="00C34635" w14:paraId="3E4BBB11" w14:textId="77777777">
      <w:pPr>
        <w:spacing w:line="276" w:lineRule="auto"/>
        <w:contextualSpacing/>
        <w:rPr>
          <w:color w:val="000000" w:themeColor="text1"/>
          <w:spacing w:val="-3"/>
        </w:rPr>
      </w:pPr>
    </w:p>
    <w:p w:rsidR="00842E74" w:rsidRPr="00C34635" w:rsidP="00C34635" w14:paraId="7A5459F5"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6.  Describe the consequence to Federal/FEMA program or policy activities if the collection of information is not conducted, or is conducted less frequently</w:t>
      </w:r>
      <w:r w:rsidRPr="00C34635" w:rsidR="009F46CE">
        <w:rPr>
          <w:b/>
          <w:bCs/>
          <w:color w:val="000000" w:themeColor="text1"/>
        </w:rPr>
        <w:t xml:space="preserve"> </w:t>
      </w:r>
      <w:r w:rsidRPr="00C34635">
        <w:rPr>
          <w:b/>
          <w:bCs/>
          <w:color w:val="000000" w:themeColor="text1"/>
        </w:rPr>
        <w:t xml:space="preserve">as well as any technical or legal obstacles to reducing burden.  </w:t>
      </w:r>
    </w:p>
    <w:p w:rsidR="00187886" w:rsidRPr="00C34635" w:rsidP="00C34635" w14:paraId="110C0398" w14:textId="77777777">
      <w:pPr>
        <w:spacing w:line="276" w:lineRule="auto"/>
        <w:contextualSpacing/>
        <w:rPr>
          <w:b/>
          <w:bCs/>
          <w:color w:val="000000" w:themeColor="text1"/>
        </w:rPr>
      </w:pPr>
    </w:p>
    <w:p w:rsidR="00FA3C3D" w:rsidRPr="00C34635" w:rsidP="00C34635" w14:paraId="14F28DCD" w14:textId="77777777">
      <w:pPr>
        <w:spacing w:line="276" w:lineRule="auto"/>
        <w:contextualSpacing/>
        <w:rPr>
          <w:color w:val="000000" w:themeColor="text1"/>
        </w:rPr>
      </w:pPr>
      <w:r w:rsidRPr="00C34635">
        <w:rPr>
          <w:color w:val="000000" w:themeColor="text1"/>
        </w:rPr>
        <w:t>Failure to conduct the Public Assistance Customer Satisfaction Surveys</w:t>
      </w:r>
      <w:r w:rsidRPr="00C34635">
        <w:rPr>
          <w:color w:val="000000" w:themeColor="text1"/>
        </w:rPr>
        <w:t xml:space="preserve"> would</w:t>
      </w:r>
      <w:r w:rsidRPr="00C34635">
        <w:rPr>
          <w:color w:val="000000" w:themeColor="text1"/>
        </w:rPr>
        <w:t xml:space="preserve"> result in</w:t>
      </w:r>
      <w:r w:rsidRPr="00C34635">
        <w:rPr>
          <w:color w:val="000000" w:themeColor="text1"/>
        </w:rPr>
        <w:t xml:space="preserve"> the absence of documentation about customer input on the quality and timeline</w:t>
      </w:r>
      <w:r w:rsidRPr="00C34635" w:rsidR="0087340F">
        <w:rPr>
          <w:color w:val="000000" w:themeColor="text1"/>
        </w:rPr>
        <w:t>ss of disaster assistance for Public Assistance applicants</w:t>
      </w:r>
      <w:r w:rsidRPr="00C34635">
        <w:rPr>
          <w:color w:val="000000" w:themeColor="text1"/>
        </w:rPr>
        <w:t>.  The survey results serve as a vital tool for measuring customer satisfaction and are a requirement of the Executive Orders 12682 and 13571,</w:t>
      </w:r>
      <w:r w:rsidRPr="00C34635" w:rsidR="002F2F34">
        <w:rPr>
          <w:color w:val="000000" w:themeColor="text1"/>
        </w:rPr>
        <w:t xml:space="preserve"> </w:t>
      </w:r>
      <w:r w:rsidRPr="00C34635">
        <w:rPr>
          <w:color w:val="000000" w:themeColor="text1"/>
        </w:rPr>
        <w:t xml:space="preserve">and resulting Memorandums for “Streamlining Service Delivery and Improving Customer Service.”  </w:t>
      </w:r>
      <w:r w:rsidRPr="00C34635" w:rsidR="008B7CC9">
        <w:rPr>
          <w:color w:val="000000" w:themeColor="text1"/>
        </w:rPr>
        <w:t>The surveys also support the Administrator’s Strategic Plan when it comes to measuring service delivery.</w:t>
      </w:r>
      <w:r w:rsidRPr="00C34635">
        <w:rPr>
          <w:color w:val="000000" w:themeColor="text1"/>
        </w:rPr>
        <w:t xml:space="preserve">  If conducted less frequently, applicants </w:t>
      </w:r>
      <w:r w:rsidRPr="00C34635" w:rsidR="007020F8">
        <w:rPr>
          <w:color w:val="000000" w:themeColor="text1"/>
        </w:rPr>
        <w:t xml:space="preserve">may have difficulty </w:t>
      </w:r>
      <w:r w:rsidRPr="00C34635" w:rsidR="00E970AE">
        <w:rPr>
          <w:color w:val="000000" w:themeColor="text1"/>
        </w:rPr>
        <w:t>recalling the</w:t>
      </w:r>
      <w:r w:rsidRPr="00C34635" w:rsidR="007020F8">
        <w:rPr>
          <w:color w:val="000000" w:themeColor="text1"/>
        </w:rPr>
        <w:t xml:space="preserve"> specific</w:t>
      </w:r>
      <w:r w:rsidRPr="00C34635" w:rsidR="00E970AE">
        <w:rPr>
          <w:color w:val="000000" w:themeColor="text1"/>
        </w:rPr>
        <w:t xml:space="preserve"> </w:t>
      </w:r>
      <w:r w:rsidRPr="00C34635">
        <w:rPr>
          <w:color w:val="000000" w:themeColor="text1"/>
        </w:rPr>
        <w:t xml:space="preserve">aspects of the </w:t>
      </w:r>
      <w:r w:rsidRPr="00C34635" w:rsidR="007020F8">
        <w:rPr>
          <w:color w:val="000000" w:themeColor="text1"/>
        </w:rPr>
        <w:t xml:space="preserve">process if </w:t>
      </w:r>
      <w:r w:rsidRPr="00C34635">
        <w:rPr>
          <w:color w:val="000000" w:themeColor="text1"/>
        </w:rPr>
        <w:t xml:space="preserve">surveyed </w:t>
      </w:r>
      <w:r w:rsidRPr="00C34635" w:rsidR="007020F8">
        <w:rPr>
          <w:color w:val="000000" w:themeColor="text1"/>
        </w:rPr>
        <w:t xml:space="preserve">later </w:t>
      </w:r>
      <w:r w:rsidRPr="00C34635">
        <w:rPr>
          <w:color w:val="000000" w:themeColor="text1"/>
        </w:rPr>
        <w:t>(e.g., too much time has elapsed)</w:t>
      </w:r>
      <w:r w:rsidRPr="00C34635" w:rsidR="00640C21">
        <w:rPr>
          <w:color w:val="000000" w:themeColor="text1"/>
        </w:rPr>
        <w:t xml:space="preserve"> and satisfaction scores may be distorted.  Additionally, leadership would receive less timely customer feedback, which would lead to fewer actionable insights.</w:t>
      </w:r>
    </w:p>
    <w:p w:rsidR="00842E74" w:rsidRPr="00C34635" w:rsidP="00C34635" w14:paraId="3836B210" w14:textId="77777777">
      <w:pPr>
        <w:spacing w:line="276" w:lineRule="auto"/>
        <w:contextualSpacing/>
        <w:rPr>
          <w:color w:val="000000" w:themeColor="text1"/>
          <w:spacing w:val="-3"/>
        </w:rPr>
      </w:pPr>
    </w:p>
    <w:p w:rsidR="00842E74" w:rsidRPr="00C34635" w:rsidP="00C34635" w14:paraId="2559D952"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7.  Explain any special circumstances that would cause an information collection to be conducted in a manner:</w:t>
      </w:r>
    </w:p>
    <w:p w:rsidR="00842E74" w:rsidRPr="00C34635" w:rsidP="00C34635" w14:paraId="02F2D989" w14:textId="77777777">
      <w:pPr>
        <w:spacing w:line="276" w:lineRule="auto"/>
        <w:contextualSpacing/>
        <w:rPr>
          <w:b/>
          <w:bCs/>
          <w:color w:val="000000" w:themeColor="text1"/>
        </w:rPr>
      </w:pPr>
    </w:p>
    <w:p w:rsidR="008B7CC9" w:rsidRPr="00C34635" w:rsidP="00C34635" w14:paraId="39901FD5"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762A0D">
        <w:rPr>
          <w:rFonts w:ascii="Times New Roman" w:hAnsi="Times New Roman" w:cs="Times New Roman"/>
          <w:b/>
          <w:bCs/>
          <w:color w:val="000000" w:themeColor="text1"/>
          <w:sz w:val="24"/>
          <w:szCs w:val="24"/>
        </w:rPr>
        <w:fldChar w:fldCharType="begin"/>
      </w:r>
      <w:r w:rsidRPr="00762A0D">
        <w:rPr>
          <w:rFonts w:ascii="Times New Roman" w:hAnsi="Times New Roman" w:cs="Times New Roman"/>
          <w:b/>
          <w:bCs/>
          <w:color w:val="000000" w:themeColor="text1"/>
          <w:sz w:val="24"/>
          <w:szCs w:val="24"/>
        </w:rPr>
        <w:instrText>ADVANCE \R 0.95</w:instrText>
      </w:r>
      <w:r w:rsidRPr="00762A0D">
        <w:rPr>
          <w:rFonts w:ascii="Times New Roman" w:hAnsi="Times New Roman" w:cs="Times New Roman"/>
          <w:b/>
          <w:bCs/>
          <w:color w:val="000000" w:themeColor="text1"/>
          <w:sz w:val="24"/>
          <w:szCs w:val="24"/>
        </w:rPr>
        <w:fldChar w:fldCharType="end"/>
      </w:r>
      <w:r w:rsidRPr="00762A0D">
        <w:rPr>
          <w:rFonts w:ascii="Times New Roman" w:hAnsi="Times New Roman" w:cs="Times New Roman"/>
          <w:b/>
          <w:bCs/>
          <w:color w:val="000000" w:themeColor="text1"/>
          <w:sz w:val="24"/>
          <w:szCs w:val="24"/>
        </w:rPr>
        <w:t xml:space="preserve"> </w:t>
      </w:r>
      <w:r w:rsidRPr="00C34635">
        <w:rPr>
          <w:rFonts w:ascii="Times New Roman" w:hAnsi="Times New Roman" w:cs="Times New Roman"/>
          <w:b/>
          <w:bCs/>
          <w:color w:val="000000" w:themeColor="text1"/>
          <w:sz w:val="24"/>
          <w:szCs w:val="24"/>
        </w:rPr>
        <w:t>Requiring respondents to report information to the agency more often than quarterly.</w:t>
      </w:r>
    </w:p>
    <w:p w:rsidR="008B7CC9" w:rsidRPr="00C34635" w:rsidP="00C34635" w14:paraId="6921F7A9" w14:textId="77777777">
      <w:pPr>
        <w:spacing w:line="276" w:lineRule="auto"/>
        <w:ind w:left="720"/>
        <w:contextualSpacing/>
        <w:rPr>
          <w:b/>
          <w:bCs/>
          <w:color w:val="000000" w:themeColor="text1"/>
        </w:rPr>
      </w:pPr>
    </w:p>
    <w:p w:rsidR="008B7CC9" w:rsidRPr="00C34635" w:rsidP="00762A0D" w14:paraId="5726F199" w14:textId="77777777">
      <w:pPr>
        <w:spacing w:line="276" w:lineRule="auto"/>
        <w:contextualSpacing/>
        <w:rPr>
          <w:color w:val="000000" w:themeColor="text1"/>
        </w:rPr>
      </w:pPr>
      <w:r w:rsidRPr="00C34635">
        <w:rPr>
          <w:color w:val="000000" w:themeColor="text1"/>
        </w:rPr>
        <w:t>This information collection does not require respondents to report information more than quarterly.</w:t>
      </w:r>
    </w:p>
    <w:p w:rsidR="008B7CC9" w:rsidRPr="00C34635" w:rsidP="00C34635" w14:paraId="0C0F674E" w14:textId="77777777">
      <w:pPr>
        <w:spacing w:line="276" w:lineRule="auto"/>
        <w:ind w:left="1080"/>
        <w:contextualSpacing/>
        <w:rPr>
          <w:b/>
          <w:bCs/>
          <w:color w:val="000000" w:themeColor="text1"/>
        </w:rPr>
      </w:pPr>
    </w:p>
    <w:p w:rsidR="008B7CC9" w:rsidRPr="00C34635" w:rsidP="00C34635" w14:paraId="45FAE451" w14:textId="77777777">
      <w:pPr>
        <w:pStyle w:val="ListParagraph"/>
        <w:numPr>
          <w:ilvl w:val="0"/>
          <w:numId w:val="39"/>
        </w:numPr>
        <w:contextualSpacing/>
        <w:rPr>
          <w:rFonts w:ascii="Times New Roman" w:hAnsi="Times New Roman" w:cs="Times New Roman"/>
          <w:color w:val="000000" w:themeColor="text1"/>
          <w:sz w:val="24"/>
          <w:szCs w:val="24"/>
        </w:rPr>
      </w:pP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r w:rsidRPr="00C34635">
        <w:rPr>
          <w:rFonts w:ascii="Times New Roman" w:hAnsi="Times New Roman" w:cs="Times New Roman"/>
          <w:b/>
          <w:bCs/>
          <w:color w:val="000000" w:themeColor="text1"/>
          <w:sz w:val="24"/>
          <w:szCs w:val="24"/>
        </w:rPr>
        <w:t>Requiring respondents to prepare a written response to a collection of information in fewer than 30 days after receipt of it.</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C34635" w14:paraId="4515CE1E" w14:textId="77777777">
      <w:pPr>
        <w:pStyle w:val="ListParagraph"/>
        <w:contextualSpacing/>
        <w:rPr>
          <w:rFonts w:ascii="Times New Roman" w:hAnsi="Times New Roman" w:cs="Times New Roman"/>
          <w:color w:val="000000" w:themeColor="text1"/>
          <w:sz w:val="24"/>
          <w:szCs w:val="24"/>
        </w:rPr>
      </w:pPr>
    </w:p>
    <w:p w:rsidR="008B7CC9" w:rsidRPr="00C34635" w:rsidP="00C34635" w14:paraId="709134CE" w14:textId="33C17587">
      <w:pPr>
        <w:pStyle w:val="ListParagraph"/>
        <w:ind w:left="0"/>
        <w:contextualSpacing/>
        <w:rPr>
          <w:rFonts w:ascii="Times New Roman" w:hAnsi="Times New Roman" w:cs="Times New Roman"/>
          <w:color w:val="000000" w:themeColor="text1"/>
          <w:sz w:val="24"/>
          <w:szCs w:val="24"/>
        </w:rPr>
      </w:pPr>
      <w:r w:rsidRPr="00C34635">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0C4C1A" w:rsidRPr="00C34635" w:rsidP="00762A0D" w14:paraId="1FC695CF" w14:textId="77777777">
      <w:pPr>
        <w:pStyle w:val="ListParagraph"/>
        <w:ind w:left="0"/>
        <w:contextualSpacing/>
        <w:rPr>
          <w:rFonts w:ascii="Times New Roman" w:hAnsi="Times New Roman" w:cs="Times New Roman"/>
          <w:color w:val="000000" w:themeColor="text1"/>
          <w:sz w:val="24"/>
          <w:szCs w:val="24"/>
        </w:rPr>
      </w:pPr>
    </w:p>
    <w:p w:rsidR="008B7CC9" w:rsidRPr="00C34635" w:rsidP="00C34635" w14:paraId="0DA3AFDC"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Requiring respondents to submit more than an original and two copies of any document.</w:t>
      </w:r>
      <w:r w:rsidRPr="00C34635">
        <w:rPr>
          <w:rFonts w:ascii="Times New Roman" w:hAnsi="Times New Roman" w:cs="Times New Roman"/>
          <w:b/>
          <w:bCs/>
          <w:color w:val="000000" w:themeColor="text1"/>
          <w:sz w:val="24"/>
          <w:szCs w:val="24"/>
        </w:rPr>
        <w:fldChar w:fldCharType="begin"/>
      </w:r>
      <w:r w:rsidRPr="00C34635">
        <w:rPr>
          <w:rFonts w:ascii="Times New Roman" w:hAnsi="Times New Roman" w:cs="Times New Roman"/>
          <w:b/>
          <w:bCs/>
          <w:color w:val="000000" w:themeColor="text1"/>
          <w:sz w:val="24"/>
          <w:szCs w:val="24"/>
        </w:rPr>
        <w:instrText>ADVANCE \R 0.95</w:instrText>
      </w:r>
      <w:r w:rsidRPr="00C34635">
        <w:rPr>
          <w:rFonts w:ascii="Times New Roman" w:hAnsi="Times New Roman" w:cs="Times New Roman"/>
          <w:b/>
          <w:bCs/>
          <w:color w:val="000000" w:themeColor="text1"/>
          <w:sz w:val="24"/>
          <w:szCs w:val="24"/>
        </w:rPr>
        <w:fldChar w:fldCharType="end"/>
      </w:r>
    </w:p>
    <w:p w:rsidR="009445BF" w:rsidRPr="00C34635" w:rsidP="00C34635" w14:paraId="5B9E497C" w14:textId="77777777">
      <w:pPr>
        <w:spacing w:line="276" w:lineRule="auto"/>
        <w:ind w:left="1080"/>
        <w:contextualSpacing/>
        <w:rPr>
          <w:color w:val="000000" w:themeColor="text1"/>
        </w:rPr>
      </w:pPr>
    </w:p>
    <w:p w:rsidR="008B7CC9" w:rsidRPr="00C34635" w:rsidP="00762A0D" w14:paraId="62760D96" w14:textId="77777777">
      <w:pPr>
        <w:spacing w:line="276" w:lineRule="auto"/>
        <w:contextualSpacing/>
        <w:rPr>
          <w:color w:val="000000" w:themeColor="text1"/>
        </w:rPr>
      </w:pPr>
      <w:r w:rsidRPr="00C34635">
        <w:rPr>
          <w:color w:val="000000" w:themeColor="text1"/>
        </w:rPr>
        <w:t>This information collection does not require respondents to submit more than an original and two copies of any document.</w:t>
      </w:r>
    </w:p>
    <w:p w:rsidR="008B7CC9" w:rsidRPr="00C34635" w:rsidP="00C34635" w14:paraId="65F410C7" w14:textId="77777777">
      <w:pPr>
        <w:spacing w:line="276" w:lineRule="auto"/>
        <w:ind w:left="1080"/>
        <w:contextualSpacing/>
        <w:rPr>
          <w:color w:val="000000" w:themeColor="text1"/>
        </w:rPr>
      </w:pPr>
    </w:p>
    <w:p w:rsidR="008B7CC9" w:rsidRPr="00C34635" w:rsidP="00C34635" w14:paraId="5F34819A"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Requiring respondents to retain records, other than health, medical, government contract, grant-in-aid, or tax records for more than three years</w:t>
      </w:r>
      <w:r w:rsidRPr="00C34635">
        <w:rPr>
          <w:rFonts w:ascii="Times New Roman" w:hAnsi="Times New Roman" w:cs="Times New Roman"/>
          <w:color w:val="000000" w:themeColor="text1"/>
          <w:sz w:val="24"/>
          <w:szCs w:val="24"/>
        </w:rPr>
        <w:t>.</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C34635" w14:paraId="7C5CCC94" w14:textId="77777777">
      <w:pPr>
        <w:spacing w:line="276" w:lineRule="auto"/>
        <w:ind w:left="1080"/>
        <w:contextualSpacing/>
        <w:rPr>
          <w:b/>
          <w:bCs/>
          <w:color w:val="000000" w:themeColor="text1"/>
        </w:rPr>
      </w:pPr>
    </w:p>
    <w:p w:rsidR="008B7CC9" w:rsidRPr="00C34635" w:rsidP="00762A0D" w14:paraId="0F214F97" w14:textId="77777777">
      <w:pPr>
        <w:spacing w:line="276" w:lineRule="auto"/>
        <w:contextualSpacing/>
        <w:rPr>
          <w:color w:val="000000" w:themeColor="text1"/>
        </w:rPr>
      </w:pPr>
      <w:r w:rsidRPr="00C34635">
        <w:rPr>
          <w:color w:val="000000" w:themeColor="text1"/>
        </w:rPr>
        <w:t>This information collection does not require respondents to retain records (other than health, medical, government contract, grant-in-aid, or tax records) for more than three years.</w:t>
      </w:r>
    </w:p>
    <w:p w:rsidR="008B7CC9" w:rsidRPr="00C34635" w:rsidP="00C34635" w14:paraId="0BF71738" w14:textId="77777777">
      <w:pPr>
        <w:spacing w:line="276" w:lineRule="auto"/>
        <w:ind w:left="1080"/>
        <w:contextualSpacing/>
        <w:rPr>
          <w:color w:val="000000" w:themeColor="text1"/>
        </w:rPr>
      </w:pPr>
    </w:p>
    <w:p w:rsidR="008B7CC9" w:rsidRPr="00C34635" w:rsidP="00C34635" w14:paraId="21427E23"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In connection with a statistical survey, that is not designed to produce valid and reliable results that can be generalized to the universe of study</w:t>
      </w:r>
      <w:r w:rsidRPr="00C34635">
        <w:rPr>
          <w:rFonts w:ascii="Times New Roman" w:hAnsi="Times New Roman" w:cs="Times New Roman"/>
          <w:color w:val="000000" w:themeColor="text1"/>
          <w:sz w:val="24"/>
          <w:szCs w:val="24"/>
        </w:rPr>
        <w:t>.</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C34635" w14:paraId="0EEDC070" w14:textId="77777777">
      <w:pPr>
        <w:spacing w:line="276" w:lineRule="auto"/>
        <w:ind w:left="1080"/>
        <w:contextualSpacing/>
        <w:rPr>
          <w:b/>
          <w:bCs/>
          <w:color w:val="000000" w:themeColor="text1"/>
        </w:rPr>
      </w:pPr>
    </w:p>
    <w:p w:rsidR="008B7CC9" w:rsidRPr="00C34635" w:rsidP="00762A0D" w14:paraId="51FC333F" w14:textId="77777777">
      <w:pPr>
        <w:spacing w:line="276" w:lineRule="auto"/>
        <w:contextualSpacing/>
        <w:rPr>
          <w:color w:val="000000" w:themeColor="text1"/>
        </w:rPr>
      </w:pPr>
      <w:r w:rsidRPr="00C34635">
        <w:rPr>
          <w:color w:val="000000" w:themeColor="text1"/>
        </w:rPr>
        <w:t>This information collection contains a statistical survey that is designed to produce valid and reliable results that can be generalized to the universe of study.</w:t>
      </w:r>
    </w:p>
    <w:p w:rsidR="008B7CC9" w:rsidRPr="00C34635" w:rsidP="00C34635" w14:paraId="5346D852" w14:textId="77777777">
      <w:pPr>
        <w:spacing w:line="276" w:lineRule="auto"/>
        <w:ind w:left="1080"/>
        <w:contextualSpacing/>
        <w:rPr>
          <w:color w:val="000000" w:themeColor="text1"/>
        </w:rPr>
      </w:pPr>
    </w:p>
    <w:p w:rsidR="008B7CC9" w:rsidRPr="00C34635" w:rsidP="00C34635" w14:paraId="5FE592DC"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Requiring the use of a statistical data classification that has not  been reviewed and approved by OMB.</w:t>
      </w:r>
    </w:p>
    <w:p w:rsidR="008B7CC9" w:rsidRPr="00C34635" w:rsidP="00C34635" w14:paraId="053FF04C" w14:textId="77777777">
      <w:pPr>
        <w:spacing w:line="276" w:lineRule="auto"/>
        <w:ind w:left="1080"/>
        <w:contextualSpacing/>
        <w:rPr>
          <w:b/>
          <w:bCs/>
          <w:i/>
          <w:iCs/>
          <w:color w:val="000000" w:themeColor="text1"/>
        </w:rPr>
      </w:pPr>
    </w:p>
    <w:p w:rsidR="008B7CC9" w:rsidRPr="00C34635" w:rsidP="00762A0D" w14:paraId="00F23615" w14:textId="77777777">
      <w:pPr>
        <w:spacing w:line="276" w:lineRule="auto"/>
        <w:contextualSpacing/>
        <w:rPr>
          <w:color w:val="000000" w:themeColor="text1"/>
        </w:rPr>
      </w:pPr>
      <w:r w:rsidRPr="00C34635">
        <w:rPr>
          <w:color w:val="000000" w:themeColor="text1"/>
        </w:rPr>
        <w:t xml:space="preserve">This information collection does not use a statistical data classification that has not been reviewed and approved by OMB.                 </w:t>
      </w:r>
    </w:p>
    <w:p w:rsidR="008B7CC9" w:rsidRPr="00C34635" w:rsidP="00C34635" w14:paraId="67116605" w14:textId="77777777">
      <w:pPr>
        <w:spacing w:line="276" w:lineRule="auto"/>
        <w:contextualSpacing/>
        <w:rPr>
          <w:color w:val="000000" w:themeColor="text1"/>
        </w:rPr>
      </w:pPr>
      <w:r w:rsidRPr="00C34635">
        <w:rPr>
          <w:color w:val="000000" w:themeColor="text1"/>
        </w:rPr>
        <w:t xml:space="preserve"> </w:t>
      </w:r>
    </w:p>
    <w:p w:rsidR="008B7CC9" w:rsidRPr="00C34635" w:rsidP="00C34635" w14:paraId="2183B5F8" w14:textId="77777777">
      <w:pPr>
        <w:pStyle w:val="ListParagraph"/>
        <w:numPr>
          <w:ilvl w:val="0"/>
          <w:numId w:val="39"/>
        </w:numPr>
        <w:contextualSpacing/>
        <w:rPr>
          <w:rFonts w:ascii="Times New Roman" w:hAnsi="Times New Roman" w:cs="Times New Roman"/>
          <w:color w:val="000000" w:themeColor="text1"/>
          <w:sz w:val="24"/>
          <w:szCs w:val="24"/>
        </w:rPr>
      </w:pPr>
      <w:r w:rsidRPr="00C34635">
        <w:rPr>
          <w:rFonts w:ascii="Times New Roman" w:hAnsi="Times New Roman" w:cs="Times New Roman"/>
          <w:b/>
          <w:b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762A0D" w14:paraId="54E8BC77" w14:textId="77777777">
      <w:pPr>
        <w:spacing w:line="276" w:lineRule="auto"/>
        <w:contextualSpacing/>
        <w:rPr>
          <w:color w:val="000000" w:themeColor="text1"/>
        </w:rPr>
      </w:pPr>
      <w:r w:rsidRPr="00C34635">
        <w:rPr>
          <w:color w:val="000000" w:themeColor="text1"/>
        </w:rPr>
        <w:t>This information collection does not include a pledge of confidentiality that is not supported by established authorities or policies.</w:t>
      </w:r>
    </w:p>
    <w:p w:rsidR="008B7CC9" w:rsidRPr="00C34635" w:rsidP="00C34635" w14:paraId="7F93051B" w14:textId="77777777">
      <w:pPr>
        <w:spacing w:line="276" w:lineRule="auto"/>
        <w:ind w:left="900"/>
        <w:contextualSpacing/>
        <w:rPr>
          <w:color w:val="000000" w:themeColor="text1"/>
        </w:rPr>
      </w:pPr>
    </w:p>
    <w:p w:rsidR="008B7CC9" w:rsidRPr="00C34635" w:rsidP="00C34635" w14:paraId="4637E1E2" w14:textId="77777777">
      <w:pPr>
        <w:pStyle w:val="ListParagraph"/>
        <w:numPr>
          <w:ilvl w:val="0"/>
          <w:numId w:val="39"/>
        </w:numPr>
        <w:contextualSpacing/>
        <w:rPr>
          <w:rFonts w:ascii="Times New Roman" w:hAnsi="Times New Roman" w:cs="Times New Roman"/>
          <w:color w:val="000000" w:themeColor="text1"/>
          <w:sz w:val="24"/>
          <w:szCs w:val="24"/>
        </w:rPr>
      </w:pPr>
      <w:r w:rsidRPr="00C34635">
        <w:rPr>
          <w:rFonts w:ascii="Times New Roman" w:hAnsi="Times New Roman" w:cs="Times New Roman"/>
          <w:b/>
          <w:bCs/>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762A0D" w14:paraId="68E1655A" w14:textId="77777777">
      <w:pPr>
        <w:spacing w:line="276" w:lineRule="auto"/>
        <w:contextualSpacing/>
        <w:rPr>
          <w:color w:val="000000" w:themeColor="text1"/>
        </w:rPr>
      </w:pPr>
      <w:r w:rsidRPr="00C34635">
        <w:rPr>
          <w:color w:val="000000" w:themeColor="text1"/>
        </w:rPr>
        <w:t>This information collection does not require respondents to submit trade secrets or other confidential information.</w:t>
      </w:r>
    </w:p>
    <w:p w:rsidR="008B7CC9" w:rsidRPr="00C34635" w:rsidP="00C34635" w14:paraId="29FA2E20" w14:textId="77777777">
      <w:pPr>
        <w:spacing w:line="276" w:lineRule="auto"/>
        <w:ind w:left="720"/>
        <w:contextualSpacing/>
        <w:rPr>
          <w:color w:val="000000" w:themeColor="text1"/>
        </w:rPr>
      </w:pPr>
    </w:p>
    <w:p w:rsidR="00842E74" w:rsidRPr="00C34635" w:rsidP="00C34635" w14:paraId="7DC841D6" w14:textId="77777777">
      <w:pPr>
        <w:spacing w:line="276" w:lineRule="auto"/>
        <w:contextualSpacing/>
        <w:rPr>
          <w:b/>
          <w:bCs/>
          <w:color w:val="000000" w:themeColor="text1"/>
        </w:rPr>
      </w:pPr>
      <w:r w:rsidRPr="00C34635">
        <w:rPr>
          <w:b/>
          <w:bCs/>
          <w:color w:val="000000" w:themeColor="text1"/>
        </w:rPr>
        <w:t xml:space="preserve">8.  Federal Register Notice: </w:t>
      </w:r>
    </w:p>
    <w:p w:rsidR="00842E74" w:rsidRPr="00C34635" w:rsidP="00C34635" w14:paraId="0692A223"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p>
    <w:p w:rsidR="008B7CC9" w:rsidRPr="00C34635" w:rsidP="00C34635" w14:paraId="4262C1B3" w14:textId="494621EF">
      <w:pPr>
        <w:spacing w:line="276" w:lineRule="auto"/>
        <w:contextualSpacing/>
        <w:rPr>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sidR="000A697C">
        <w:rPr>
          <w:b/>
          <w:bCs/>
          <w:color w:val="000000" w:themeColor="text1"/>
        </w:rPr>
        <w:tab/>
      </w:r>
      <w:r w:rsidRPr="00C34635">
        <w:rPr>
          <w:b/>
          <w:bCs/>
          <w:color w:val="000000" w:themeColor="text1"/>
        </w:rPr>
        <w:t>a.  Provide a copy and identify the date and page number of publications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p>
    <w:p w:rsidR="008B7CC9" w:rsidRPr="00C62349" w:rsidP="00C34635" w14:paraId="61ADD794" w14:textId="77777777">
      <w:pPr>
        <w:spacing w:line="276" w:lineRule="auto"/>
        <w:contextualSpacing/>
        <w:rPr>
          <w:b/>
          <w:bCs/>
          <w:color w:val="000000" w:themeColor="text1"/>
        </w:rPr>
      </w:pPr>
    </w:p>
    <w:p w:rsidR="008B7CC9" w:rsidRPr="00751860" w:rsidP="00C34635" w14:paraId="653423A7" w14:textId="063A3E36">
      <w:pPr>
        <w:spacing w:line="276" w:lineRule="auto"/>
        <w:contextualSpacing/>
        <w:rPr>
          <w:color w:val="000000" w:themeColor="text1"/>
        </w:rPr>
      </w:pPr>
      <w:r w:rsidRPr="00751860">
        <w:rPr>
          <w:color w:val="000000" w:themeColor="text1"/>
        </w:rPr>
        <w:fldChar w:fldCharType="begin"/>
      </w:r>
      <w:r w:rsidRPr="00751860">
        <w:rPr>
          <w:color w:val="000000" w:themeColor="text1"/>
        </w:rPr>
        <w:instrText>ADVANCE \R 0.95</w:instrText>
      </w:r>
      <w:r w:rsidRPr="00751860">
        <w:rPr>
          <w:color w:val="000000" w:themeColor="text1"/>
        </w:rPr>
        <w:fldChar w:fldCharType="end"/>
      </w:r>
      <w:r w:rsidRPr="00751860">
        <w:rPr>
          <w:color w:val="000000" w:themeColor="text1"/>
        </w:rPr>
        <w:t>A 60-day Federal Register Notice inviting public comments was published on</w:t>
      </w:r>
      <w:r w:rsidRPr="00751860" w:rsidR="00DD2F2C">
        <w:rPr>
          <w:color w:val="000000" w:themeColor="text1"/>
        </w:rPr>
        <w:t xml:space="preserve"> December 9, 2022, </w:t>
      </w:r>
      <w:r w:rsidR="00E11BDD">
        <w:rPr>
          <w:color w:val="000000" w:themeColor="text1"/>
        </w:rPr>
        <w:t xml:space="preserve">at </w:t>
      </w:r>
      <w:r w:rsidRPr="00751860" w:rsidR="00DD2F2C">
        <w:rPr>
          <w:color w:val="000000" w:themeColor="text1"/>
        </w:rPr>
        <w:t xml:space="preserve">87 </w:t>
      </w:r>
      <w:r w:rsidR="00E11BDD">
        <w:rPr>
          <w:color w:val="000000" w:themeColor="text1"/>
        </w:rPr>
        <w:t xml:space="preserve">FR </w:t>
      </w:r>
      <w:r w:rsidRPr="00751860" w:rsidR="00DD2F2C">
        <w:rPr>
          <w:color w:val="000000" w:themeColor="text1"/>
        </w:rPr>
        <w:t xml:space="preserve">75643. </w:t>
      </w:r>
      <w:r w:rsidRPr="00751860" w:rsidR="000C4C1A">
        <w:rPr>
          <w:color w:val="000000" w:themeColor="text1"/>
        </w:rPr>
        <w:t xml:space="preserve"> One public comment was</w:t>
      </w:r>
      <w:r w:rsidRPr="00751860">
        <w:rPr>
          <w:color w:val="000000" w:themeColor="text1"/>
        </w:rPr>
        <w:t xml:space="preserve"> received</w:t>
      </w:r>
      <w:r w:rsidRPr="00751860" w:rsidR="000C4C1A">
        <w:rPr>
          <w:color w:val="000000" w:themeColor="text1"/>
        </w:rPr>
        <w:t xml:space="preserve"> with multiple questions within it</w:t>
      </w:r>
      <w:r w:rsidRPr="00751860" w:rsidR="00751E38">
        <w:rPr>
          <w:color w:val="000000" w:themeColor="text1"/>
        </w:rPr>
        <w:t>.</w:t>
      </w:r>
      <w:r w:rsidRPr="00751860" w:rsidR="00B651B6">
        <w:rPr>
          <w:color w:val="000000" w:themeColor="text1"/>
        </w:rPr>
        <w:t xml:space="preserve">  FEMA has provided detailed responses to these questions in our Supporting Statement A.</w:t>
      </w:r>
    </w:p>
    <w:p w:rsidR="00B651B6" w:rsidRPr="00762A0D" w:rsidP="00C34635" w14:paraId="00235111" w14:textId="77777777">
      <w:pPr>
        <w:spacing w:line="276" w:lineRule="auto"/>
        <w:contextualSpacing/>
        <w:rPr>
          <w:color w:val="000000" w:themeColor="text1"/>
        </w:rPr>
      </w:pPr>
    </w:p>
    <w:p w:rsidR="008B7CC9" w:rsidRPr="00C34635" w:rsidP="00C34635" w14:paraId="1C48A42C" w14:textId="3C32660F">
      <w:pPr>
        <w:spacing w:line="276" w:lineRule="auto"/>
        <w:contextualSpacing/>
      </w:pPr>
      <w:r w:rsidRPr="00C34635">
        <w:rPr>
          <w:b/>
          <w:bCs/>
          <w:i/>
          <w:iCs/>
          <w:color w:val="000000" w:themeColor="text1"/>
        </w:rPr>
        <w:t>Comment 1 (FEMA-2022-0053-0002):</w:t>
      </w:r>
      <w:r w:rsidRPr="00C34635">
        <w:rPr>
          <w:color w:val="000000" w:themeColor="text1"/>
        </w:rPr>
        <w:t xml:space="preserve">  State of Iowa’s comments and questions are in </w:t>
      </w:r>
      <w:r w:rsidRPr="00762A0D">
        <w:rPr>
          <w:color w:val="FF0000"/>
        </w:rPr>
        <w:t>red</w:t>
      </w:r>
      <w:r w:rsidRPr="00C34635">
        <w:rPr>
          <w:color w:val="000000" w:themeColor="text1"/>
        </w:rPr>
        <w:t xml:space="preserve">.  FEMA’s responses are in </w:t>
      </w:r>
      <w:r w:rsidRPr="00762A0D">
        <w:rPr>
          <w:color w:val="4472C4" w:themeColor="accent1"/>
        </w:rPr>
        <w:t>blue</w:t>
      </w:r>
      <w:r w:rsidRPr="00C34635">
        <w:rPr>
          <w:color w:val="000000" w:themeColor="text1"/>
        </w:rPr>
        <w:t>.</w:t>
      </w:r>
    </w:p>
    <w:p w:rsidR="000C4C1A" w:rsidRPr="00762A0D" w:rsidP="00762A0D" w14:paraId="1A45CBE2" w14:textId="77777777">
      <w:pPr>
        <w:autoSpaceDE w:val="0"/>
        <w:autoSpaceDN w:val="0"/>
        <w:adjustRightInd w:val="0"/>
        <w:spacing w:line="276" w:lineRule="auto"/>
        <w:contextualSpacing/>
        <w:rPr>
          <w:color w:val="000000" w:themeColor="text1"/>
        </w:rPr>
      </w:pPr>
    </w:p>
    <w:p w:rsidR="000C4C1A" w:rsidRPr="00762A0D" w:rsidP="00762A0D" w14:paraId="77107A3D" w14:textId="0DC8FEDF">
      <w:pPr>
        <w:autoSpaceDE w:val="0"/>
        <w:autoSpaceDN w:val="0"/>
        <w:adjustRightInd w:val="0"/>
        <w:spacing w:line="276" w:lineRule="auto"/>
        <w:contextualSpacing/>
        <w:rPr>
          <w:color w:val="000000" w:themeColor="text1"/>
        </w:rPr>
      </w:pPr>
      <w:r w:rsidRPr="00762A0D">
        <w:rPr>
          <w:color w:val="FF0000"/>
        </w:rPr>
        <w:t>The State of Iowa supports FEMA’s continued efforts to obtain customer use data and improve the</w:t>
      </w:r>
      <w:r w:rsidRPr="00C34635" w:rsidR="001E7237">
        <w:rPr>
          <w:color w:val="FF0000"/>
        </w:rPr>
        <w:t xml:space="preserve"> </w:t>
      </w:r>
      <w:r w:rsidRPr="00762A0D">
        <w:rPr>
          <w:color w:val="FF0000"/>
        </w:rPr>
        <w:t>Public Assistance program. Below are a few comments and questions related to the various documents</w:t>
      </w:r>
      <w:r w:rsidRPr="00C34635" w:rsidR="001E7237">
        <w:rPr>
          <w:color w:val="FF0000"/>
        </w:rPr>
        <w:t xml:space="preserve"> </w:t>
      </w:r>
      <w:r w:rsidRPr="00762A0D">
        <w:rPr>
          <w:color w:val="FF0000"/>
        </w:rPr>
        <w:t>and forms. The State of Iowa wishes to thank FEMA for the opportunity to provide feedback on the</w:t>
      </w:r>
      <w:r w:rsidRPr="00C34635" w:rsidR="001E7237">
        <w:rPr>
          <w:color w:val="FF0000"/>
        </w:rPr>
        <w:t xml:space="preserve"> </w:t>
      </w:r>
      <w:r w:rsidRPr="00762A0D">
        <w:rPr>
          <w:color w:val="FF0000"/>
        </w:rPr>
        <w:t>program/process.</w:t>
      </w:r>
    </w:p>
    <w:p w:rsidR="000C4C1A" w:rsidRPr="00762A0D" w:rsidP="00762A0D" w14:paraId="4DD56D8A" w14:textId="77777777">
      <w:pPr>
        <w:autoSpaceDE w:val="0"/>
        <w:autoSpaceDN w:val="0"/>
        <w:adjustRightInd w:val="0"/>
        <w:spacing w:line="276" w:lineRule="auto"/>
        <w:contextualSpacing/>
        <w:rPr>
          <w:color w:val="000000" w:themeColor="text1"/>
        </w:rPr>
      </w:pPr>
    </w:p>
    <w:p w:rsidR="000C4C1A" w:rsidRPr="00762A0D" w:rsidP="00762A0D" w14:paraId="0FD816C9" w14:textId="77777777">
      <w:pPr>
        <w:autoSpaceDE w:val="0"/>
        <w:autoSpaceDN w:val="0"/>
        <w:adjustRightInd w:val="0"/>
        <w:spacing w:line="276" w:lineRule="auto"/>
        <w:contextualSpacing/>
        <w:rPr>
          <w:b/>
          <w:bCs/>
          <w:color w:val="000000"/>
          <w:u w:val="single"/>
        </w:rPr>
      </w:pPr>
      <w:r w:rsidRPr="00762A0D">
        <w:rPr>
          <w:b/>
          <w:bCs/>
          <w:color w:val="000000"/>
          <w:u w:val="single"/>
        </w:rPr>
        <w:t>CSA QUALITATIVE RESEARCH PROTOCOL Public Assistance (PA) Surveys</w:t>
      </w:r>
    </w:p>
    <w:p w:rsidR="00581F3A" w:rsidRPr="00762A0D" w:rsidP="00C34635" w14:paraId="3D05644B" w14:textId="77777777">
      <w:pPr>
        <w:autoSpaceDE w:val="0"/>
        <w:autoSpaceDN w:val="0"/>
        <w:adjustRightInd w:val="0"/>
        <w:spacing w:line="276" w:lineRule="auto"/>
        <w:contextualSpacing/>
        <w:rPr>
          <w:color w:val="000000" w:themeColor="text1"/>
        </w:rPr>
      </w:pPr>
    </w:p>
    <w:p w:rsidR="000C4C1A" w:rsidRPr="00762A0D" w:rsidP="00762A0D" w14:paraId="6FEED3B7" w14:textId="5BB800D9">
      <w:pPr>
        <w:autoSpaceDE w:val="0"/>
        <w:autoSpaceDN w:val="0"/>
        <w:adjustRightInd w:val="0"/>
        <w:spacing w:line="276" w:lineRule="auto"/>
        <w:contextualSpacing/>
        <w:rPr>
          <w:color w:val="FF0000"/>
        </w:rPr>
      </w:pPr>
      <w:r w:rsidRPr="00762A0D">
        <w:rPr>
          <w:color w:val="FF0000"/>
        </w:rPr>
        <w:t>Are follow up surveys part of every disaster?  If not, How are disasters selected?</w:t>
      </w:r>
    </w:p>
    <w:p w:rsidR="00581F3A" w:rsidRPr="00762A0D" w:rsidP="00762A0D" w14:paraId="0F2F3685" w14:textId="77777777">
      <w:pPr>
        <w:autoSpaceDE w:val="0"/>
        <w:autoSpaceDN w:val="0"/>
        <w:adjustRightInd w:val="0"/>
        <w:spacing w:line="276" w:lineRule="auto"/>
        <w:contextualSpacing/>
        <w:rPr>
          <w:color w:val="000000" w:themeColor="text1"/>
        </w:rPr>
      </w:pPr>
    </w:p>
    <w:p w:rsidR="000C4C1A" w:rsidRPr="00C34635" w:rsidP="00762A0D" w14:paraId="383D0440" w14:textId="6ED22701">
      <w:pPr>
        <w:autoSpaceDE w:val="0"/>
        <w:autoSpaceDN w:val="0"/>
        <w:adjustRightInd w:val="0"/>
        <w:spacing w:line="276" w:lineRule="auto"/>
        <w:contextualSpacing/>
        <w:rPr>
          <w:color w:val="FF0000"/>
        </w:rPr>
      </w:pPr>
      <w:r w:rsidRPr="00762A0D">
        <w:rPr>
          <w:color w:val="0070C0"/>
        </w:rPr>
        <w:t>Customer Satisfaction Surveys are administered for all presidentially declared disasters for Public Assistance.</w:t>
      </w:r>
    </w:p>
    <w:p w:rsidR="00581F3A" w:rsidRPr="00C34635" w:rsidP="00C34635" w14:paraId="6D7F026D" w14:textId="77777777">
      <w:pPr>
        <w:autoSpaceDE w:val="0"/>
        <w:autoSpaceDN w:val="0"/>
        <w:adjustRightInd w:val="0"/>
        <w:spacing w:line="276" w:lineRule="auto"/>
        <w:contextualSpacing/>
        <w:rPr>
          <w:color w:val="000000"/>
        </w:rPr>
      </w:pPr>
    </w:p>
    <w:p w:rsidR="000C4C1A" w:rsidRPr="00762A0D" w:rsidP="00762A0D" w14:paraId="17D8CCF7" w14:textId="288ABCF0">
      <w:pPr>
        <w:autoSpaceDE w:val="0"/>
        <w:autoSpaceDN w:val="0"/>
        <w:adjustRightInd w:val="0"/>
        <w:spacing w:line="276" w:lineRule="auto"/>
        <w:contextualSpacing/>
        <w:rPr>
          <w:color w:val="FF0000"/>
        </w:rPr>
      </w:pPr>
      <w:r w:rsidRPr="00762A0D">
        <w:rPr>
          <w:color w:val="FF0000"/>
        </w:rPr>
        <w:t>Is the recipient notified when these surveys occur?</w:t>
      </w:r>
    </w:p>
    <w:p w:rsidR="00581F3A" w:rsidRPr="00762A0D" w:rsidP="00762A0D" w14:paraId="01D92032" w14:textId="77777777">
      <w:pPr>
        <w:autoSpaceDE w:val="0"/>
        <w:autoSpaceDN w:val="0"/>
        <w:adjustRightInd w:val="0"/>
        <w:spacing w:line="276" w:lineRule="auto"/>
        <w:contextualSpacing/>
        <w:rPr>
          <w:color w:val="000000" w:themeColor="text1"/>
        </w:rPr>
      </w:pPr>
    </w:p>
    <w:p w:rsidR="000C4C1A" w:rsidRPr="00C34635" w:rsidP="00762A0D" w14:paraId="733BDEAB" w14:textId="1021F5A3">
      <w:pPr>
        <w:autoSpaceDE w:val="0"/>
        <w:autoSpaceDN w:val="0"/>
        <w:adjustRightInd w:val="0"/>
        <w:spacing w:line="276" w:lineRule="auto"/>
        <w:contextualSpacing/>
        <w:rPr>
          <w:color w:val="FF0000"/>
        </w:rPr>
      </w:pPr>
      <w:r w:rsidRPr="00C34635">
        <w:rPr>
          <w:color w:val="0070C0"/>
        </w:rPr>
        <w:t>All applicants for Public Assistance receive email invitations to participate in the survey(s).  If there is no email address on file, or the applicant does not respond the email invitation, applicants are contacted via phone to participate.</w:t>
      </w:r>
    </w:p>
    <w:p w:rsidR="00581F3A" w:rsidRPr="00C34635" w:rsidP="00C34635" w14:paraId="1086AF56" w14:textId="77777777">
      <w:pPr>
        <w:autoSpaceDE w:val="0"/>
        <w:autoSpaceDN w:val="0"/>
        <w:adjustRightInd w:val="0"/>
        <w:spacing w:line="276" w:lineRule="auto"/>
        <w:contextualSpacing/>
        <w:rPr>
          <w:color w:val="000000"/>
        </w:rPr>
      </w:pPr>
    </w:p>
    <w:p w:rsidR="000C4C1A" w:rsidRPr="00762A0D" w:rsidP="00762A0D" w14:paraId="5ADA3623" w14:textId="3320E890">
      <w:pPr>
        <w:autoSpaceDE w:val="0"/>
        <w:autoSpaceDN w:val="0"/>
        <w:adjustRightInd w:val="0"/>
        <w:spacing w:line="276" w:lineRule="auto"/>
        <w:contextualSpacing/>
        <w:rPr>
          <w:color w:val="FF0000"/>
        </w:rPr>
      </w:pPr>
      <w:r w:rsidRPr="00762A0D">
        <w:rPr>
          <w:color w:val="FF0000"/>
        </w:rPr>
        <w:t>Is the recipient ever invited to participate?</w:t>
      </w:r>
    </w:p>
    <w:p w:rsidR="00581F3A" w:rsidRPr="00762A0D" w:rsidP="00762A0D" w14:paraId="7D1D14B7" w14:textId="77777777">
      <w:pPr>
        <w:autoSpaceDE w:val="0"/>
        <w:autoSpaceDN w:val="0"/>
        <w:adjustRightInd w:val="0"/>
        <w:spacing w:line="276" w:lineRule="auto"/>
        <w:contextualSpacing/>
        <w:rPr>
          <w:color w:val="000000" w:themeColor="text1"/>
        </w:rPr>
      </w:pPr>
    </w:p>
    <w:p w:rsidR="000C4C1A" w:rsidRPr="00C34635" w:rsidP="00762A0D" w14:paraId="005BCBD6" w14:textId="51491E52">
      <w:pPr>
        <w:autoSpaceDE w:val="0"/>
        <w:autoSpaceDN w:val="0"/>
        <w:adjustRightInd w:val="0"/>
        <w:spacing w:line="276" w:lineRule="auto"/>
        <w:contextualSpacing/>
        <w:rPr>
          <w:color w:val="FF0000"/>
        </w:rPr>
      </w:pPr>
      <w:r w:rsidRPr="00C34635">
        <w:rPr>
          <w:color w:val="0070C0"/>
        </w:rPr>
        <w:t>Anyone with an application ID on file is invited to participate in the surveys.  This includes both applicants and recipients.  FEMA uses “applicants” as a generic term to refer to anyone who has applied for Public Assistance.</w:t>
      </w:r>
    </w:p>
    <w:p w:rsidR="00581F3A" w:rsidRPr="00C34635" w:rsidP="00C34635" w14:paraId="50EEE03C" w14:textId="77777777">
      <w:pPr>
        <w:autoSpaceDE w:val="0"/>
        <w:autoSpaceDN w:val="0"/>
        <w:adjustRightInd w:val="0"/>
        <w:spacing w:line="276" w:lineRule="auto"/>
        <w:contextualSpacing/>
        <w:rPr>
          <w:color w:val="000000"/>
        </w:rPr>
      </w:pPr>
    </w:p>
    <w:p w:rsidR="000C4C1A" w:rsidRPr="00762A0D" w:rsidP="00762A0D" w14:paraId="5CA79287" w14:textId="7C11C63C">
      <w:pPr>
        <w:autoSpaceDE w:val="0"/>
        <w:autoSpaceDN w:val="0"/>
        <w:adjustRightInd w:val="0"/>
        <w:spacing w:line="276" w:lineRule="auto"/>
        <w:contextualSpacing/>
        <w:rPr>
          <w:color w:val="FF0000"/>
        </w:rPr>
      </w:pPr>
      <w:r w:rsidRPr="00762A0D">
        <w:rPr>
          <w:color w:val="FF0000"/>
        </w:rPr>
        <w:t>Is the recipient ever invited to observe focus groups or interviews?</w:t>
      </w:r>
    </w:p>
    <w:p w:rsidR="00581F3A" w:rsidRPr="00762A0D" w:rsidP="00762A0D" w14:paraId="48732A82" w14:textId="77777777">
      <w:pPr>
        <w:autoSpaceDE w:val="0"/>
        <w:autoSpaceDN w:val="0"/>
        <w:adjustRightInd w:val="0"/>
        <w:spacing w:line="276" w:lineRule="auto"/>
        <w:contextualSpacing/>
        <w:rPr>
          <w:color w:val="000000" w:themeColor="text1"/>
        </w:rPr>
      </w:pPr>
    </w:p>
    <w:p w:rsidR="000C4C1A" w:rsidRPr="00C34635" w:rsidP="00762A0D" w14:paraId="23AD3151" w14:textId="4BF31B82">
      <w:pPr>
        <w:autoSpaceDE w:val="0"/>
        <w:autoSpaceDN w:val="0"/>
        <w:adjustRightInd w:val="0"/>
        <w:spacing w:line="276" w:lineRule="auto"/>
        <w:contextualSpacing/>
        <w:rPr>
          <w:color w:val="0070C0"/>
        </w:rPr>
      </w:pPr>
      <w:r w:rsidRPr="00C34635">
        <w:rPr>
          <w:color w:val="0070C0"/>
        </w:rPr>
        <w:t>Yes.</w:t>
      </w:r>
    </w:p>
    <w:p w:rsidR="00581F3A" w:rsidRPr="00C34635" w:rsidP="00C34635" w14:paraId="4F99C473" w14:textId="77777777">
      <w:pPr>
        <w:autoSpaceDE w:val="0"/>
        <w:autoSpaceDN w:val="0"/>
        <w:adjustRightInd w:val="0"/>
        <w:spacing w:line="276" w:lineRule="auto"/>
        <w:contextualSpacing/>
        <w:rPr>
          <w:color w:val="000000"/>
        </w:rPr>
      </w:pPr>
    </w:p>
    <w:p w:rsidR="000C4C1A" w:rsidRPr="00762A0D" w:rsidP="00762A0D" w14:paraId="4649C458" w14:textId="1D909B12">
      <w:pPr>
        <w:autoSpaceDE w:val="0"/>
        <w:autoSpaceDN w:val="0"/>
        <w:adjustRightInd w:val="0"/>
        <w:spacing w:line="276" w:lineRule="auto"/>
        <w:contextualSpacing/>
        <w:rPr>
          <w:color w:val="FF0000"/>
        </w:rPr>
      </w:pPr>
      <w:r w:rsidRPr="00762A0D">
        <w:rPr>
          <w:color w:val="FF0000"/>
        </w:rPr>
        <w:t>Are the results of these surveys shared with recipients?</w:t>
      </w:r>
    </w:p>
    <w:p w:rsidR="00581F3A" w:rsidRPr="00762A0D" w:rsidP="00762A0D" w14:paraId="28162A54" w14:textId="77777777">
      <w:pPr>
        <w:autoSpaceDE w:val="0"/>
        <w:autoSpaceDN w:val="0"/>
        <w:adjustRightInd w:val="0"/>
        <w:spacing w:line="276" w:lineRule="auto"/>
        <w:contextualSpacing/>
        <w:rPr>
          <w:color w:val="000000" w:themeColor="text1"/>
        </w:rPr>
      </w:pPr>
    </w:p>
    <w:p w:rsidR="000C4C1A" w:rsidRPr="00C34635" w:rsidP="00762A0D" w14:paraId="16FE4E98" w14:textId="504FFFD3">
      <w:pPr>
        <w:autoSpaceDE w:val="0"/>
        <w:autoSpaceDN w:val="0"/>
        <w:adjustRightInd w:val="0"/>
        <w:spacing w:line="276" w:lineRule="auto"/>
        <w:contextualSpacing/>
        <w:rPr>
          <w:color w:val="0070C0"/>
        </w:rPr>
      </w:pPr>
      <w:r w:rsidRPr="00C34635">
        <w:rPr>
          <w:color w:val="0070C0"/>
        </w:rPr>
        <w:t xml:space="preserve">The results are currently not shared with recipients.  </w:t>
      </w:r>
    </w:p>
    <w:p w:rsidR="00581F3A" w:rsidRPr="00C34635" w:rsidP="00C34635" w14:paraId="0D4899A4" w14:textId="77777777">
      <w:pPr>
        <w:autoSpaceDE w:val="0"/>
        <w:autoSpaceDN w:val="0"/>
        <w:adjustRightInd w:val="0"/>
        <w:spacing w:line="276" w:lineRule="auto"/>
        <w:contextualSpacing/>
        <w:rPr>
          <w:color w:val="000000"/>
        </w:rPr>
      </w:pPr>
    </w:p>
    <w:p w:rsidR="000C4C1A" w:rsidRPr="00762A0D" w:rsidP="00762A0D" w14:paraId="3519E2E7" w14:textId="4815F443">
      <w:pPr>
        <w:autoSpaceDE w:val="0"/>
        <w:autoSpaceDN w:val="0"/>
        <w:adjustRightInd w:val="0"/>
        <w:spacing w:line="276" w:lineRule="auto"/>
        <w:contextualSpacing/>
        <w:rPr>
          <w:color w:val="FF0000"/>
        </w:rPr>
      </w:pPr>
      <w:r w:rsidRPr="00762A0D">
        <w:rPr>
          <w:color w:val="FF0000"/>
        </w:rPr>
        <w:t>When do focus groups or interviews occur?</w:t>
      </w:r>
    </w:p>
    <w:p w:rsidR="00581F3A" w:rsidRPr="00762A0D" w:rsidP="00762A0D" w14:paraId="47416A6B" w14:textId="77777777">
      <w:pPr>
        <w:autoSpaceDE w:val="0"/>
        <w:autoSpaceDN w:val="0"/>
        <w:adjustRightInd w:val="0"/>
        <w:spacing w:line="276" w:lineRule="auto"/>
        <w:contextualSpacing/>
        <w:rPr>
          <w:color w:val="000000" w:themeColor="text1"/>
        </w:rPr>
      </w:pPr>
    </w:p>
    <w:p w:rsidR="000C4C1A" w:rsidRPr="00762A0D" w:rsidP="00762A0D" w14:paraId="3D228EE9" w14:textId="1142B5B4">
      <w:pPr>
        <w:autoSpaceDE w:val="0"/>
        <w:autoSpaceDN w:val="0"/>
        <w:adjustRightInd w:val="0"/>
        <w:spacing w:line="276" w:lineRule="auto"/>
        <w:contextualSpacing/>
        <w:rPr>
          <w:color w:val="000000" w:themeColor="text1"/>
        </w:rPr>
      </w:pPr>
      <w:r w:rsidRPr="00C34635">
        <w:rPr>
          <w:color w:val="0070C0"/>
        </w:rPr>
        <w:t xml:space="preserve">Focus groups and interviews occur on an ad-hoc basis and are largely dependent on funding availability.  The Public Assistance Program typically requests focus groups to capture programmatic feedback on topics that the surveys may not capture.  </w:t>
      </w:r>
    </w:p>
    <w:p w:rsidR="00581F3A" w:rsidRPr="00C34635" w:rsidP="00C34635" w14:paraId="59FA65A0" w14:textId="77777777">
      <w:pPr>
        <w:autoSpaceDE w:val="0"/>
        <w:autoSpaceDN w:val="0"/>
        <w:adjustRightInd w:val="0"/>
        <w:spacing w:line="276" w:lineRule="auto"/>
        <w:contextualSpacing/>
        <w:rPr>
          <w:color w:val="000000"/>
        </w:rPr>
      </w:pPr>
    </w:p>
    <w:p w:rsidR="000C4C1A" w:rsidRPr="00762A0D" w:rsidP="00762A0D" w14:paraId="474BBCC2" w14:textId="7B21C257">
      <w:pPr>
        <w:autoSpaceDE w:val="0"/>
        <w:autoSpaceDN w:val="0"/>
        <w:adjustRightInd w:val="0"/>
        <w:spacing w:line="276" w:lineRule="auto"/>
        <w:contextualSpacing/>
        <w:rPr>
          <w:color w:val="FF0000"/>
        </w:rPr>
      </w:pPr>
      <w:r w:rsidRPr="00762A0D">
        <w:rPr>
          <w:color w:val="FF0000"/>
        </w:rPr>
        <w:t>For the capture of the entire project life cycle, it would make sense that the focus</w:t>
      </w:r>
      <w:r w:rsidRPr="00C34635" w:rsidR="00581F3A">
        <w:rPr>
          <w:color w:val="FF0000"/>
        </w:rPr>
        <w:t xml:space="preserve"> </w:t>
      </w:r>
      <w:r w:rsidRPr="00762A0D">
        <w:rPr>
          <w:color w:val="FF0000"/>
        </w:rPr>
        <w:t>groups and interviews would occur after the applicant has been closed for the specific</w:t>
      </w:r>
      <w:r w:rsidRPr="00C34635" w:rsidR="00581F3A">
        <w:rPr>
          <w:color w:val="FF0000"/>
        </w:rPr>
        <w:t xml:space="preserve"> </w:t>
      </w:r>
      <w:r w:rsidRPr="00762A0D">
        <w:rPr>
          <w:color w:val="FF0000"/>
        </w:rPr>
        <w:t>disaster.</w:t>
      </w:r>
    </w:p>
    <w:p w:rsidR="00581F3A" w:rsidRPr="00762A0D" w:rsidP="00762A0D" w14:paraId="15BF5F94" w14:textId="77777777">
      <w:pPr>
        <w:autoSpaceDE w:val="0"/>
        <w:autoSpaceDN w:val="0"/>
        <w:adjustRightInd w:val="0"/>
        <w:spacing w:line="276" w:lineRule="auto"/>
        <w:contextualSpacing/>
        <w:rPr>
          <w:color w:val="000000" w:themeColor="text1"/>
        </w:rPr>
      </w:pPr>
    </w:p>
    <w:p w:rsidR="000C4C1A" w:rsidRPr="00C34635" w:rsidP="00762A0D" w14:paraId="3F9543EE" w14:textId="530584AA">
      <w:pPr>
        <w:autoSpaceDE w:val="0"/>
        <w:autoSpaceDN w:val="0"/>
        <w:adjustRightInd w:val="0"/>
        <w:spacing w:line="276" w:lineRule="auto"/>
        <w:contextualSpacing/>
        <w:rPr>
          <w:color w:val="FF0000"/>
        </w:rPr>
      </w:pPr>
      <w:r w:rsidRPr="00C34635">
        <w:rPr>
          <w:color w:val="0070C0"/>
        </w:rPr>
        <w:t xml:space="preserve">The timing of focus group administration is related to the research topic.  If FEMA were interested in assessing something early in the PA process, it’s possible focus groups may be conducted earlier in the process to ensure more accurate recall.  That being said, most focus groups occur post-obligation.  </w:t>
      </w:r>
    </w:p>
    <w:p w:rsidR="00581F3A" w:rsidRPr="00C34635" w:rsidP="00C34635" w14:paraId="15950FFD" w14:textId="77777777">
      <w:pPr>
        <w:autoSpaceDE w:val="0"/>
        <w:autoSpaceDN w:val="0"/>
        <w:adjustRightInd w:val="0"/>
        <w:spacing w:line="276" w:lineRule="auto"/>
        <w:contextualSpacing/>
        <w:rPr>
          <w:color w:val="000000"/>
        </w:rPr>
      </w:pPr>
    </w:p>
    <w:p w:rsidR="000C4C1A" w:rsidRPr="00762A0D" w:rsidP="00762A0D" w14:paraId="4AA2AE86" w14:textId="343820AC">
      <w:pPr>
        <w:autoSpaceDE w:val="0"/>
        <w:autoSpaceDN w:val="0"/>
        <w:adjustRightInd w:val="0"/>
        <w:spacing w:line="276" w:lineRule="auto"/>
        <w:contextualSpacing/>
        <w:rPr>
          <w:color w:val="FF0000"/>
        </w:rPr>
      </w:pPr>
      <w:r w:rsidRPr="00762A0D">
        <w:rPr>
          <w:color w:val="FF0000"/>
        </w:rPr>
        <w:t>How and who determines whether an in-person interview, phone interview or focus group</w:t>
      </w:r>
      <w:r w:rsidRPr="00C34635" w:rsidR="00581F3A">
        <w:rPr>
          <w:color w:val="FF0000"/>
        </w:rPr>
        <w:t xml:space="preserve"> </w:t>
      </w:r>
      <w:r w:rsidRPr="00762A0D">
        <w:rPr>
          <w:color w:val="FF0000"/>
        </w:rPr>
        <w:t>occurs?</w:t>
      </w:r>
    </w:p>
    <w:p w:rsidR="00581F3A" w:rsidRPr="00762A0D" w:rsidP="00762A0D" w14:paraId="68C25953" w14:textId="77777777">
      <w:pPr>
        <w:autoSpaceDE w:val="0"/>
        <w:autoSpaceDN w:val="0"/>
        <w:adjustRightInd w:val="0"/>
        <w:spacing w:line="276" w:lineRule="auto"/>
        <w:contextualSpacing/>
        <w:rPr>
          <w:color w:val="000000" w:themeColor="text1"/>
        </w:rPr>
      </w:pPr>
    </w:p>
    <w:p w:rsidR="000C4C1A" w:rsidRPr="00C34635" w:rsidP="00762A0D" w14:paraId="5E0E2C9C" w14:textId="1C4A483F">
      <w:pPr>
        <w:autoSpaceDE w:val="0"/>
        <w:autoSpaceDN w:val="0"/>
        <w:adjustRightInd w:val="0"/>
        <w:spacing w:line="276" w:lineRule="auto"/>
        <w:contextualSpacing/>
        <w:rPr>
          <w:color w:val="0070C0"/>
        </w:rPr>
      </w:pPr>
      <w:r w:rsidRPr="00C34635">
        <w:rPr>
          <w:color w:val="0070C0"/>
        </w:rPr>
        <w:t>Leadership for the Public Assistance Program primarily makes requests for qualitative research projects.  Availability of funding would dictate whether qualitative research was conducted in-person or via phone.</w:t>
      </w:r>
    </w:p>
    <w:p w:rsidR="00581F3A" w:rsidRPr="00C34635" w:rsidP="00C34635" w14:paraId="5EB95AE5" w14:textId="77777777">
      <w:pPr>
        <w:autoSpaceDE w:val="0"/>
        <w:autoSpaceDN w:val="0"/>
        <w:adjustRightInd w:val="0"/>
        <w:spacing w:line="276" w:lineRule="auto"/>
        <w:contextualSpacing/>
        <w:rPr>
          <w:color w:val="000000"/>
        </w:rPr>
      </w:pPr>
    </w:p>
    <w:p w:rsidR="000C4C1A" w:rsidRPr="00762A0D" w:rsidP="00762A0D" w14:paraId="7DD5167D" w14:textId="0CD607E7">
      <w:pPr>
        <w:autoSpaceDE w:val="0"/>
        <w:autoSpaceDN w:val="0"/>
        <w:adjustRightInd w:val="0"/>
        <w:spacing w:line="276" w:lineRule="auto"/>
        <w:contextualSpacing/>
        <w:rPr>
          <w:color w:val="FF0000"/>
        </w:rPr>
      </w:pPr>
      <w:r w:rsidRPr="00762A0D">
        <w:rPr>
          <w:color w:val="FF0000"/>
        </w:rPr>
        <w:t>When are the various forms for collection used? They appear to be two different set of</w:t>
      </w:r>
      <w:r w:rsidRPr="00C34635" w:rsidR="00581F3A">
        <w:rPr>
          <w:color w:val="FF0000"/>
        </w:rPr>
        <w:t xml:space="preserve"> </w:t>
      </w:r>
      <w:r w:rsidRPr="00762A0D">
        <w:rPr>
          <w:color w:val="FF0000"/>
        </w:rPr>
        <w:t>questions, two set of questions per type.</w:t>
      </w:r>
    </w:p>
    <w:p w:rsidR="00581F3A" w:rsidRPr="00762A0D" w:rsidP="00C34635" w14:paraId="3B3E577A" w14:textId="77777777">
      <w:pPr>
        <w:pStyle w:val="NoSpacing"/>
        <w:spacing w:line="276" w:lineRule="auto"/>
        <w:contextualSpacing/>
        <w:rPr>
          <w:rFonts w:ascii="Times New Roman" w:hAnsi="Times New Roman"/>
          <w:color w:val="000000" w:themeColor="text1"/>
          <w:sz w:val="24"/>
          <w:szCs w:val="24"/>
        </w:rPr>
      </w:pPr>
    </w:p>
    <w:p w:rsidR="000C4C1A" w:rsidRPr="00762A0D" w:rsidP="00762A0D" w14:paraId="72CCB018" w14:textId="3C0231D4">
      <w:pPr>
        <w:pStyle w:val="NoSpacing"/>
        <w:spacing w:line="276" w:lineRule="auto"/>
        <w:contextualSpacing/>
        <w:rPr>
          <w:rFonts w:ascii="Times New Roman" w:hAnsi="Times New Roman"/>
          <w:color w:val="0070C0"/>
          <w:sz w:val="24"/>
          <w:szCs w:val="24"/>
        </w:rPr>
      </w:pPr>
      <w:r w:rsidRPr="00762A0D">
        <w:rPr>
          <w:rFonts w:ascii="Times New Roman" w:hAnsi="Times New Roman"/>
          <w:color w:val="0070C0"/>
          <w:sz w:val="24"/>
          <w:szCs w:val="24"/>
        </w:rPr>
        <w:t>The</w:t>
      </w:r>
      <w:r w:rsidRPr="00762A0D">
        <w:rPr>
          <w:rFonts w:ascii="Times New Roman" w:hAnsi="Times New Roman"/>
          <w:b/>
          <w:bCs/>
          <w:color w:val="0070C0"/>
          <w:sz w:val="24"/>
          <w:szCs w:val="24"/>
        </w:rPr>
        <w:t xml:space="preserve"> Public Assistance Initial (PAI) Survey</w:t>
      </w:r>
      <w:r w:rsidRPr="00762A0D">
        <w:rPr>
          <w:rFonts w:ascii="Times New Roman" w:hAnsi="Times New Roman"/>
          <w:color w:val="0070C0"/>
          <w:sz w:val="24"/>
          <w:szCs w:val="24"/>
        </w:rPr>
        <w:t xml:space="preserve"> assesses customer satisfaction with the service and materials they receive from Public Assistance at the onset of the process.  Applicants have a Recovery Scoping Meeting where their Program Delivery Manager sets expectations and provides timelines.  Applicants receive important instructions and materials that can set the tone for the rest of the grant process.  A disaster is qualified for surveying when ~60 days have elapsed since the declaration date and ~70% of Recovery Scoping Meetings have been completed.</w:t>
      </w:r>
    </w:p>
    <w:p w:rsidR="000C4C1A" w:rsidRPr="00762A0D" w:rsidP="00762A0D" w14:paraId="318C7E22" w14:textId="77777777">
      <w:pPr>
        <w:pStyle w:val="NoSpacing"/>
        <w:spacing w:line="276" w:lineRule="auto"/>
        <w:contextualSpacing/>
        <w:rPr>
          <w:rFonts w:ascii="Times New Roman" w:hAnsi="Times New Roman"/>
          <w:color w:val="000000" w:themeColor="text1"/>
          <w:sz w:val="24"/>
          <w:szCs w:val="24"/>
        </w:rPr>
      </w:pPr>
    </w:p>
    <w:p w:rsidR="000C4C1A" w:rsidRPr="00762A0D" w:rsidP="00762A0D" w14:paraId="75CFAA1A" w14:textId="77777777">
      <w:pPr>
        <w:pStyle w:val="NoSpacing"/>
        <w:spacing w:line="276" w:lineRule="auto"/>
        <w:contextualSpacing/>
        <w:rPr>
          <w:rFonts w:ascii="Times New Roman" w:hAnsi="Times New Roman"/>
          <w:color w:val="0070C0"/>
          <w:sz w:val="24"/>
          <w:szCs w:val="24"/>
        </w:rPr>
      </w:pPr>
      <w:r w:rsidRPr="00762A0D">
        <w:rPr>
          <w:rFonts w:ascii="Times New Roman" w:hAnsi="Times New Roman"/>
          <w:color w:val="0070C0"/>
          <w:sz w:val="24"/>
          <w:szCs w:val="24"/>
        </w:rPr>
        <w:t>The</w:t>
      </w:r>
      <w:r w:rsidRPr="00762A0D">
        <w:rPr>
          <w:rFonts w:ascii="Times New Roman" w:hAnsi="Times New Roman"/>
          <w:b/>
          <w:bCs/>
          <w:color w:val="0070C0"/>
          <w:sz w:val="24"/>
          <w:szCs w:val="24"/>
        </w:rPr>
        <w:t xml:space="preserve"> Public Assistance Assessment (PAA) Survey</w:t>
      </w:r>
      <w:r w:rsidRPr="00762A0D">
        <w:rPr>
          <w:rFonts w:ascii="Times New Roman" w:hAnsi="Times New Roman"/>
          <w:color w:val="0070C0"/>
          <w:sz w:val="24"/>
          <w:szCs w:val="24"/>
        </w:rPr>
        <w:t xml:space="preserve"> assesses customer satisfaction throughout the entire Public Assistance process.  Survey topics include knowledge and helpfulness of FEMA representatives, timeliness of awards, simplicity of the process, reasonableness of requirements, accuracy of materials, satisfaction with communication, and usability of the Grants Portal.  A disaster is qualified for surveying when ~210 days have elapsed since the declaration date and ~70% of funds have been obligated to projects.</w:t>
      </w:r>
    </w:p>
    <w:p w:rsidR="000C4C1A" w:rsidRPr="00762A0D" w:rsidP="00762A0D" w14:paraId="3ABD99C9" w14:textId="77777777">
      <w:pPr>
        <w:pStyle w:val="NoSpacing"/>
        <w:spacing w:line="276" w:lineRule="auto"/>
        <w:contextualSpacing/>
        <w:rPr>
          <w:rFonts w:ascii="Times New Roman" w:hAnsi="Times New Roman"/>
          <w:sz w:val="24"/>
          <w:szCs w:val="24"/>
        </w:rPr>
      </w:pPr>
    </w:p>
    <w:p w:rsidR="000C4C1A" w:rsidRPr="00762A0D" w:rsidP="00762A0D" w14:paraId="16C1950E" w14:textId="77777777">
      <w:pPr>
        <w:pStyle w:val="NoSpacing"/>
        <w:spacing w:line="276" w:lineRule="auto"/>
        <w:contextualSpacing/>
        <w:rPr>
          <w:rFonts w:ascii="Times New Roman" w:hAnsi="Times New Roman"/>
          <w:color w:val="0070C0"/>
          <w:sz w:val="24"/>
          <w:szCs w:val="24"/>
        </w:rPr>
      </w:pPr>
      <w:r w:rsidRPr="00762A0D">
        <w:rPr>
          <w:rFonts w:ascii="Times New Roman" w:hAnsi="Times New Roman"/>
          <w:color w:val="0070C0"/>
          <w:sz w:val="24"/>
          <w:szCs w:val="24"/>
        </w:rPr>
        <w:t>Both surveys have a phone version and an email version.  The questions are the same, but the instructions are a little different.</w:t>
      </w:r>
    </w:p>
    <w:p w:rsidR="000C4C1A" w:rsidRPr="00762A0D" w:rsidP="00762A0D" w14:paraId="1B7FF62E" w14:textId="77777777">
      <w:pPr>
        <w:autoSpaceDE w:val="0"/>
        <w:autoSpaceDN w:val="0"/>
        <w:adjustRightInd w:val="0"/>
        <w:spacing w:line="276" w:lineRule="auto"/>
        <w:contextualSpacing/>
        <w:rPr>
          <w:color w:val="000000" w:themeColor="text1"/>
        </w:rPr>
      </w:pPr>
    </w:p>
    <w:p w:rsidR="000C4C1A" w:rsidRPr="00762A0D" w:rsidP="00762A0D" w14:paraId="1714101D" w14:textId="6723A120">
      <w:pPr>
        <w:autoSpaceDE w:val="0"/>
        <w:autoSpaceDN w:val="0"/>
        <w:adjustRightInd w:val="0"/>
        <w:spacing w:line="276" w:lineRule="auto"/>
        <w:contextualSpacing/>
        <w:rPr>
          <w:color w:val="FF0000"/>
        </w:rPr>
      </w:pPr>
      <w:r w:rsidRPr="00762A0D">
        <w:rPr>
          <w:color w:val="FF0000"/>
        </w:rPr>
        <w:t>Define PA staff as FEMA PA staff.</w:t>
      </w:r>
    </w:p>
    <w:p w:rsidR="00581F3A" w:rsidRPr="00762A0D" w:rsidP="00762A0D" w14:paraId="6F63736E" w14:textId="77777777">
      <w:pPr>
        <w:autoSpaceDE w:val="0"/>
        <w:autoSpaceDN w:val="0"/>
        <w:adjustRightInd w:val="0"/>
        <w:spacing w:line="276" w:lineRule="auto"/>
        <w:contextualSpacing/>
        <w:rPr>
          <w:color w:val="000000" w:themeColor="text1"/>
        </w:rPr>
      </w:pPr>
    </w:p>
    <w:p w:rsidR="000C4C1A" w:rsidRPr="00C34635" w:rsidP="00762A0D" w14:paraId="77BAF45C" w14:textId="2566AF65">
      <w:pPr>
        <w:autoSpaceDE w:val="0"/>
        <w:autoSpaceDN w:val="0"/>
        <w:adjustRightInd w:val="0"/>
        <w:spacing w:line="276" w:lineRule="auto"/>
        <w:contextualSpacing/>
        <w:rPr>
          <w:color w:val="0070C0"/>
        </w:rPr>
      </w:pPr>
      <w:r w:rsidRPr="00C34635">
        <w:rPr>
          <w:color w:val="0070C0"/>
        </w:rPr>
        <w:t>The verbiage “PA staff” was chosen because “FEMA PA staff” was causing confusion in previous survey versions.  Some disasters are eligible for participation in the PA State Led Program, which is where recipients assume some of the traditional FEMA responsibilities.  In these situations, applicants may not have any interactions with FEMA staff.</w:t>
      </w:r>
    </w:p>
    <w:p w:rsidR="000C4C1A" w:rsidRPr="00762A0D" w:rsidP="00762A0D" w14:paraId="5A3D66BB" w14:textId="77777777">
      <w:pPr>
        <w:autoSpaceDE w:val="0"/>
        <w:autoSpaceDN w:val="0"/>
        <w:adjustRightInd w:val="0"/>
        <w:spacing w:line="276" w:lineRule="auto"/>
        <w:contextualSpacing/>
        <w:rPr>
          <w:color w:val="000000"/>
        </w:rPr>
      </w:pPr>
    </w:p>
    <w:p w:rsidR="000C4C1A" w:rsidRPr="00762A0D" w:rsidP="00762A0D" w14:paraId="009AF0C6" w14:textId="39755003">
      <w:pPr>
        <w:autoSpaceDE w:val="0"/>
        <w:autoSpaceDN w:val="0"/>
        <w:adjustRightInd w:val="0"/>
        <w:spacing w:line="276" w:lineRule="auto"/>
        <w:contextualSpacing/>
        <w:rPr>
          <w:color w:val="000000"/>
        </w:rPr>
      </w:pPr>
      <w:r w:rsidRPr="00C34635">
        <w:rPr>
          <w:color w:val="000000"/>
        </w:rPr>
        <w:t>“</w:t>
      </w:r>
      <w:r w:rsidRPr="00762A0D">
        <w:rPr>
          <w:color w:val="000000"/>
        </w:rPr>
        <w:t>The target population with always be Public Assistance applicants. Disasters will be chosen for sample selection based on the research question</w:t>
      </w:r>
      <w:r w:rsidRPr="00C34635">
        <w:rPr>
          <w:color w:val="000000"/>
        </w:rPr>
        <w:t>”</w:t>
      </w:r>
    </w:p>
    <w:p w:rsidR="001E7237" w:rsidRPr="00C34635" w:rsidP="00C34635" w14:paraId="530C8740" w14:textId="77777777">
      <w:pPr>
        <w:autoSpaceDE w:val="0"/>
        <w:autoSpaceDN w:val="0"/>
        <w:adjustRightInd w:val="0"/>
        <w:spacing w:line="276" w:lineRule="auto"/>
        <w:contextualSpacing/>
        <w:rPr>
          <w:color w:val="000000"/>
        </w:rPr>
      </w:pPr>
    </w:p>
    <w:p w:rsidR="000C4C1A" w:rsidRPr="00762A0D" w:rsidP="00762A0D" w14:paraId="5313916D" w14:textId="474C3EA8">
      <w:pPr>
        <w:autoSpaceDE w:val="0"/>
        <w:autoSpaceDN w:val="0"/>
        <w:adjustRightInd w:val="0"/>
        <w:spacing w:line="276" w:lineRule="auto"/>
        <w:contextualSpacing/>
        <w:rPr>
          <w:color w:val="FF0000"/>
        </w:rPr>
      </w:pPr>
      <w:r w:rsidRPr="00762A0D">
        <w:rPr>
          <w:color w:val="FF0000"/>
        </w:rPr>
        <w:t>What about recipients?</w:t>
      </w:r>
    </w:p>
    <w:p w:rsidR="00581F3A" w:rsidRPr="00762A0D" w:rsidP="00762A0D" w14:paraId="4EAA6FE3" w14:textId="77777777">
      <w:pPr>
        <w:autoSpaceDE w:val="0"/>
        <w:autoSpaceDN w:val="0"/>
        <w:adjustRightInd w:val="0"/>
        <w:spacing w:line="276" w:lineRule="auto"/>
        <w:contextualSpacing/>
        <w:rPr>
          <w:color w:val="000000" w:themeColor="text1"/>
        </w:rPr>
      </w:pPr>
    </w:p>
    <w:p w:rsidR="000C4C1A" w:rsidRPr="00C34635" w:rsidP="00762A0D" w14:paraId="30BEF6F7" w14:textId="4CAAC73E">
      <w:pPr>
        <w:autoSpaceDE w:val="0"/>
        <w:autoSpaceDN w:val="0"/>
        <w:adjustRightInd w:val="0"/>
        <w:spacing w:line="276" w:lineRule="auto"/>
        <w:contextualSpacing/>
        <w:rPr>
          <w:color w:val="0070C0"/>
        </w:rPr>
      </w:pPr>
      <w:r w:rsidRPr="00C34635">
        <w:rPr>
          <w:color w:val="0070C0"/>
        </w:rPr>
        <w:t>Anyone with an application ID (which includes recipients) is eligible to participate in the surveys.</w:t>
      </w:r>
    </w:p>
    <w:p w:rsidR="001E7237" w:rsidRPr="00C34635" w:rsidP="00C34635" w14:paraId="2A1B6FDE" w14:textId="77777777">
      <w:pPr>
        <w:autoSpaceDE w:val="0"/>
        <w:autoSpaceDN w:val="0"/>
        <w:adjustRightInd w:val="0"/>
        <w:spacing w:line="276" w:lineRule="auto"/>
        <w:contextualSpacing/>
        <w:rPr>
          <w:color w:val="000000"/>
        </w:rPr>
      </w:pPr>
    </w:p>
    <w:p w:rsidR="000C4C1A" w:rsidRPr="00762A0D" w:rsidP="00762A0D" w14:paraId="2915240B" w14:textId="068B058B">
      <w:pPr>
        <w:autoSpaceDE w:val="0"/>
        <w:autoSpaceDN w:val="0"/>
        <w:adjustRightInd w:val="0"/>
        <w:spacing w:line="276" w:lineRule="auto"/>
        <w:contextualSpacing/>
        <w:rPr>
          <w:color w:val="000000"/>
        </w:rPr>
      </w:pPr>
      <w:r w:rsidRPr="00C34635">
        <w:rPr>
          <w:color w:val="000000"/>
        </w:rPr>
        <w:t>“</w:t>
      </w:r>
      <w:r w:rsidRPr="00762A0D">
        <w:rPr>
          <w:color w:val="000000"/>
        </w:rPr>
        <w:t>Generate questions;</w:t>
      </w:r>
      <w:r w:rsidRPr="00C34635">
        <w:rPr>
          <w:color w:val="000000"/>
        </w:rPr>
        <w:t>”</w:t>
      </w:r>
    </w:p>
    <w:p w:rsidR="001E7237" w:rsidRPr="00C34635" w:rsidP="00C34635" w14:paraId="46615BCC" w14:textId="77777777">
      <w:pPr>
        <w:autoSpaceDE w:val="0"/>
        <w:autoSpaceDN w:val="0"/>
        <w:adjustRightInd w:val="0"/>
        <w:spacing w:line="276" w:lineRule="auto"/>
        <w:contextualSpacing/>
        <w:rPr>
          <w:color w:val="000000"/>
        </w:rPr>
      </w:pPr>
    </w:p>
    <w:p w:rsidR="000C4C1A" w:rsidRPr="00762A0D" w:rsidP="00762A0D" w14:paraId="2B148A52" w14:textId="298AA179">
      <w:pPr>
        <w:autoSpaceDE w:val="0"/>
        <w:autoSpaceDN w:val="0"/>
        <w:adjustRightInd w:val="0"/>
        <w:spacing w:line="276" w:lineRule="auto"/>
        <w:contextualSpacing/>
        <w:rPr>
          <w:color w:val="FF0000"/>
        </w:rPr>
      </w:pPr>
      <w:r w:rsidRPr="00762A0D">
        <w:rPr>
          <w:color w:val="FF0000"/>
        </w:rPr>
        <w:t>Who generates the purpose and goals?</w:t>
      </w:r>
    </w:p>
    <w:p w:rsidR="001E7237" w:rsidRPr="00762A0D" w:rsidP="00762A0D" w14:paraId="1BCAF918" w14:textId="77777777">
      <w:pPr>
        <w:autoSpaceDE w:val="0"/>
        <w:autoSpaceDN w:val="0"/>
        <w:adjustRightInd w:val="0"/>
        <w:spacing w:line="276" w:lineRule="auto"/>
        <w:contextualSpacing/>
        <w:rPr>
          <w:color w:val="000000" w:themeColor="text1"/>
        </w:rPr>
      </w:pPr>
    </w:p>
    <w:p w:rsidR="000C4C1A" w:rsidRPr="00C34635" w:rsidP="00762A0D" w14:paraId="4E0B3AD6" w14:textId="0B3217E2">
      <w:pPr>
        <w:autoSpaceDE w:val="0"/>
        <w:autoSpaceDN w:val="0"/>
        <w:adjustRightInd w:val="0"/>
        <w:spacing w:line="276" w:lineRule="auto"/>
        <w:contextualSpacing/>
        <w:rPr>
          <w:color w:val="0070C0"/>
        </w:rPr>
      </w:pPr>
      <w:r w:rsidRPr="00C34635">
        <w:rPr>
          <w:color w:val="0070C0"/>
        </w:rPr>
        <w:t>Customer Service and Analysis within FEMA’s Recovery Reporting and Analytics Division works with Public Assistance to define purpose and goals.</w:t>
      </w:r>
    </w:p>
    <w:p w:rsidR="001E7237" w:rsidRPr="00C34635" w:rsidP="00C34635" w14:paraId="338199FF" w14:textId="77777777">
      <w:pPr>
        <w:autoSpaceDE w:val="0"/>
        <w:autoSpaceDN w:val="0"/>
        <w:adjustRightInd w:val="0"/>
        <w:spacing w:line="276" w:lineRule="auto"/>
        <w:contextualSpacing/>
        <w:rPr>
          <w:color w:val="000000"/>
        </w:rPr>
      </w:pPr>
    </w:p>
    <w:p w:rsidR="000C4C1A" w:rsidRPr="00762A0D" w:rsidP="00762A0D" w14:paraId="1FDD15C9" w14:textId="51909A70">
      <w:pPr>
        <w:autoSpaceDE w:val="0"/>
        <w:autoSpaceDN w:val="0"/>
        <w:adjustRightInd w:val="0"/>
        <w:spacing w:line="276" w:lineRule="auto"/>
        <w:contextualSpacing/>
        <w:rPr>
          <w:color w:val="FF0000"/>
        </w:rPr>
      </w:pPr>
      <w:r w:rsidRPr="00762A0D">
        <w:rPr>
          <w:color w:val="FF0000"/>
        </w:rPr>
        <w:t>Who selects topics for questions?</w:t>
      </w:r>
    </w:p>
    <w:p w:rsidR="001E7237" w:rsidRPr="00762A0D" w:rsidP="00762A0D" w14:paraId="7AA13BEB" w14:textId="77777777">
      <w:pPr>
        <w:autoSpaceDE w:val="0"/>
        <w:autoSpaceDN w:val="0"/>
        <w:adjustRightInd w:val="0"/>
        <w:spacing w:line="276" w:lineRule="auto"/>
        <w:contextualSpacing/>
        <w:rPr>
          <w:color w:val="000000" w:themeColor="text1"/>
        </w:rPr>
      </w:pPr>
    </w:p>
    <w:p w:rsidR="000C4C1A" w:rsidRPr="00C34635" w:rsidP="00762A0D" w14:paraId="7F998506" w14:textId="33DE8501">
      <w:pPr>
        <w:autoSpaceDE w:val="0"/>
        <w:autoSpaceDN w:val="0"/>
        <w:adjustRightInd w:val="0"/>
        <w:spacing w:line="276" w:lineRule="auto"/>
        <w:contextualSpacing/>
        <w:rPr>
          <w:color w:val="0070C0"/>
        </w:rPr>
      </w:pPr>
      <w:r w:rsidRPr="00C34635">
        <w:rPr>
          <w:color w:val="0070C0"/>
        </w:rPr>
        <w:t>Customer Service and Analysis within FEMA’s Recovery Reporting and Analytics Division works with the Public Assistance Program to develop the questions.</w:t>
      </w:r>
    </w:p>
    <w:p w:rsidR="001E7237" w:rsidRPr="00C34635" w:rsidP="00C34635" w14:paraId="5EA921AA" w14:textId="77777777">
      <w:pPr>
        <w:autoSpaceDE w:val="0"/>
        <w:autoSpaceDN w:val="0"/>
        <w:adjustRightInd w:val="0"/>
        <w:spacing w:line="276" w:lineRule="auto"/>
        <w:contextualSpacing/>
        <w:rPr>
          <w:color w:val="000000"/>
        </w:rPr>
      </w:pPr>
    </w:p>
    <w:p w:rsidR="000C4C1A" w:rsidRPr="00762A0D" w:rsidP="00762A0D" w14:paraId="3F91428C" w14:textId="3181E133">
      <w:pPr>
        <w:autoSpaceDE w:val="0"/>
        <w:autoSpaceDN w:val="0"/>
        <w:adjustRightInd w:val="0"/>
        <w:spacing w:line="276" w:lineRule="auto"/>
        <w:contextualSpacing/>
        <w:rPr>
          <w:color w:val="FF0000"/>
        </w:rPr>
      </w:pPr>
      <w:r w:rsidRPr="00762A0D">
        <w:rPr>
          <w:color w:val="FF0000"/>
        </w:rPr>
        <w:t>Can other topics be included, such as:</w:t>
      </w:r>
    </w:p>
    <w:p w:rsidR="000C4C1A" w:rsidRPr="00762A0D" w:rsidP="00762A0D" w14:paraId="42B2C901" w14:textId="12BE42F9">
      <w:pPr>
        <w:autoSpaceDE w:val="0"/>
        <w:autoSpaceDN w:val="0"/>
        <w:adjustRightInd w:val="0"/>
        <w:spacing w:line="276" w:lineRule="auto"/>
        <w:ind w:left="720"/>
        <w:contextualSpacing/>
        <w:rPr>
          <w:color w:val="FF0000"/>
        </w:rPr>
      </w:pPr>
      <w:r w:rsidRPr="00762A0D">
        <w:rPr>
          <w:color w:val="FF0000"/>
        </w:rPr>
        <w:t>New thresholds;</w:t>
      </w:r>
    </w:p>
    <w:p w:rsidR="000C4C1A" w:rsidRPr="00762A0D" w:rsidP="00762A0D" w14:paraId="5FD60487" w14:textId="69BFF974">
      <w:pPr>
        <w:autoSpaceDE w:val="0"/>
        <w:autoSpaceDN w:val="0"/>
        <w:adjustRightInd w:val="0"/>
        <w:spacing w:line="276" w:lineRule="auto"/>
        <w:ind w:left="720"/>
        <w:contextualSpacing/>
        <w:rPr>
          <w:color w:val="FF0000"/>
        </w:rPr>
      </w:pPr>
      <w:r w:rsidRPr="00762A0D">
        <w:rPr>
          <w:color w:val="FF0000"/>
        </w:rPr>
        <w:t>Mitigation;</w:t>
      </w:r>
    </w:p>
    <w:p w:rsidR="000C4C1A" w:rsidRPr="00762A0D" w:rsidP="00762A0D" w14:paraId="30788EBA" w14:textId="6CE30566">
      <w:pPr>
        <w:autoSpaceDE w:val="0"/>
        <w:autoSpaceDN w:val="0"/>
        <w:adjustRightInd w:val="0"/>
        <w:spacing w:line="276" w:lineRule="auto"/>
        <w:ind w:left="720"/>
        <w:contextualSpacing/>
        <w:rPr>
          <w:color w:val="FF0000"/>
        </w:rPr>
      </w:pPr>
      <w:r w:rsidRPr="00762A0D">
        <w:rPr>
          <w:color w:val="FF0000"/>
        </w:rPr>
        <w:t>EHP;</w:t>
      </w:r>
    </w:p>
    <w:p w:rsidR="000C4C1A" w:rsidRPr="00762A0D" w:rsidP="00762A0D" w14:paraId="1C084DB0" w14:textId="0166D98C">
      <w:pPr>
        <w:autoSpaceDE w:val="0"/>
        <w:autoSpaceDN w:val="0"/>
        <w:adjustRightInd w:val="0"/>
        <w:spacing w:line="276" w:lineRule="auto"/>
        <w:ind w:left="720"/>
        <w:contextualSpacing/>
        <w:rPr>
          <w:color w:val="FF0000"/>
        </w:rPr>
      </w:pPr>
      <w:r w:rsidRPr="00762A0D">
        <w:rPr>
          <w:color w:val="FF0000"/>
        </w:rPr>
        <w:t>Duplication of benefits;</w:t>
      </w:r>
    </w:p>
    <w:p w:rsidR="000C4C1A" w:rsidRPr="00762A0D" w:rsidP="00762A0D" w14:paraId="059923CB" w14:textId="209BD745">
      <w:pPr>
        <w:autoSpaceDE w:val="0"/>
        <w:autoSpaceDN w:val="0"/>
        <w:adjustRightInd w:val="0"/>
        <w:spacing w:line="276" w:lineRule="auto"/>
        <w:ind w:left="720"/>
        <w:contextualSpacing/>
        <w:rPr>
          <w:color w:val="000000"/>
        </w:rPr>
      </w:pPr>
      <w:r w:rsidRPr="00762A0D">
        <w:rPr>
          <w:color w:val="FF0000"/>
        </w:rPr>
        <w:t>Eligibility;</w:t>
      </w:r>
    </w:p>
    <w:p w:rsidR="000C4C1A" w:rsidRPr="00762A0D" w:rsidP="00762A0D" w14:paraId="5EFEE7D4" w14:textId="371CE37B">
      <w:pPr>
        <w:autoSpaceDE w:val="0"/>
        <w:autoSpaceDN w:val="0"/>
        <w:adjustRightInd w:val="0"/>
        <w:spacing w:line="276" w:lineRule="auto"/>
        <w:ind w:left="720"/>
        <w:contextualSpacing/>
        <w:rPr>
          <w:color w:val="FF0000"/>
        </w:rPr>
      </w:pPr>
      <w:r w:rsidRPr="00762A0D">
        <w:rPr>
          <w:color w:val="FF0000"/>
        </w:rPr>
        <w:t>Closeout;</w:t>
      </w:r>
    </w:p>
    <w:p w:rsidR="000C4C1A" w:rsidRPr="00762A0D" w:rsidP="00762A0D" w14:paraId="74109BFC" w14:textId="35D48CAC">
      <w:pPr>
        <w:autoSpaceDE w:val="0"/>
        <w:autoSpaceDN w:val="0"/>
        <w:adjustRightInd w:val="0"/>
        <w:spacing w:line="276" w:lineRule="auto"/>
        <w:ind w:left="720"/>
        <w:contextualSpacing/>
        <w:rPr>
          <w:color w:val="FF0000"/>
        </w:rPr>
      </w:pPr>
      <w:r w:rsidRPr="00762A0D">
        <w:rPr>
          <w:color w:val="FF0000"/>
        </w:rPr>
        <w:t>Documentation such as maintenance records;</w:t>
      </w:r>
    </w:p>
    <w:p w:rsidR="000C4C1A" w:rsidRPr="00762A0D" w:rsidP="00762A0D" w14:paraId="3C3D08EF" w14:textId="7894BCC5">
      <w:pPr>
        <w:autoSpaceDE w:val="0"/>
        <w:autoSpaceDN w:val="0"/>
        <w:adjustRightInd w:val="0"/>
        <w:spacing w:line="276" w:lineRule="auto"/>
        <w:ind w:left="720"/>
        <w:contextualSpacing/>
        <w:rPr>
          <w:color w:val="FF0000"/>
        </w:rPr>
      </w:pPr>
      <w:r w:rsidRPr="00762A0D">
        <w:rPr>
          <w:color w:val="FF0000"/>
        </w:rPr>
        <w:t>Insurance:</w:t>
      </w:r>
    </w:p>
    <w:p w:rsidR="000C4C1A" w:rsidRPr="00762A0D" w:rsidP="00762A0D" w14:paraId="0C8C925E" w14:textId="1101B259">
      <w:pPr>
        <w:autoSpaceDE w:val="0"/>
        <w:autoSpaceDN w:val="0"/>
        <w:adjustRightInd w:val="0"/>
        <w:spacing w:line="276" w:lineRule="auto"/>
        <w:ind w:left="720"/>
        <w:contextualSpacing/>
        <w:rPr>
          <w:color w:val="FF0000"/>
        </w:rPr>
      </w:pPr>
      <w:r w:rsidRPr="00762A0D">
        <w:rPr>
          <w:color w:val="FF0000"/>
        </w:rPr>
        <w:t>Etc.</w:t>
      </w:r>
    </w:p>
    <w:p w:rsidR="00581F3A" w:rsidRPr="00762A0D" w:rsidP="00762A0D" w14:paraId="07A72283" w14:textId="77777777">
      <w:pPr>
        <w:autoSpaceDE w:val="0"/>
        <w:autoSpaceDN w:val="0"/>
        <w:adjustRightInd w:val="0"/>
        <w:spacing w:line="276" w:lineRule="auto"/>
        <w:contextualSpacing/>
        <w:rPr>
          <w:color w:val="000000" w:themeColor="text1"/>
        </w:rPr>
      </w:pPr>
    </w:p>
    <w:p w:rsidR="000C4C1A" w:rsidRPr="00C34635" w:rsidP="00762A0D" w14:paraId="07D7D5F3" w14:textId="5D3CFC47">
      <w:pPr>
        <w:autoSpaceDE w:val="0"/>
        <w:autoSpaceDN w:val="0"/>
        <w:adjustRightInd w:val="0"/>
        <w:spacing w:line="276" w:lineRule="auto"/>
        <w:contextualSpacing/>
        <w:rPr>
          <w:color w:val="0070C0"/>
        </w:rPr>
      </w:pPr>
      <w:r w:rsidRPr="00C34635">
        <w:rPr>
          <w:color w:val="0070C0"/>
        </w:rPr>
        <w:t xml:space="preserve">New questions can be added when the surveys are re-submitted to OMB.  Typically survey rewrites occur approximately every three years.  At that time, Customer Survey and Analysis </w:t>
      </w:r>
      <w:r w:rsidRPr="00C34635">
        <w:rPr>
          <w:color w:val="0070C0"/>
        </w:rPr>
        <w:t>reaches out to relevant stakeholders, mainly in the Public Assistance Program, to gain feedback on question content.  There are always more questions that can be added, however, it is important to also consider the length of the survey, how that will impact response rates, and overall public burden.</w:t>
      </w:r>
    </w:p>
    <w:p w:rsidR="001E7237" w:rsidRPr="00C34635" w:rsidP="00C34635" w14:paraId="12DDB4CE" w14:textId="77777777">
      <w:pPr>
        <w:autoSpaceDE w:val="0"/>
        <w:autoSpaceDN w:val="0"/>
        <w:adjustRightInd w:val="0"/>
        <w:spacing w:line="276" w:lineRule="auto"/>
        <w:contextualSpacing/>
        <w:rPr>
          <w:color w:val="000000"/>
        </w:rPr>
      </w:pPr>
    </w:p>
    <w:p w:rsidR="000C4C1A" w:rsidRPr="00762A0D" w:rsidP="00762A0D" w14:paraId="7E378EC9" w14:textId="554A59D2">
      <w:pPr>
        <w:autoSpaceDE w:val="0"/>
        <w:autoSpaceDN w:val="0"/>
        <w:adjustRightInd w:val="0"/>
        <w:spacing w:line="276" w:lineRule="auto"/>
        <w:contextualSpacing/>
        <w:rPr>
          <w:color w:val="FF0000"/>
        </w:rPr>
      </w:pPr>
      <w:r w:rsidRPr="00762A0D">
        <w:rPr>
          <w:color w:val="FF0000"/>
        </w:rPr>
        <w:t>What is FEMA CSA?</w:t>
      </w:r>
    </w:p>
    <w:p w:rsidR="001E7237" w:rsidRPr="00762A0D" w:rsidP="00762A0D" w14:paraId="02739209" w14:textId="77777777">
      <w:pPr>
        <w:autoSpaceDE w:val="0"/>
        <w:autoSpaceDN w:val="0"/>
        <w:adjustRightInd w:val="0"/>
        <w:spacing w:line="276" w:lineRule="auto"/>
        <w:contextualSpacing/>
        <w:rPr>
          <w:color w:val="000000" w:themeColor="text1"/>
        </w:rPr>
      </w:pPr>
    </w:p>
    <w:p w:rsidR="000C4C1A" w:rsidRPr="00C34635" w:rsidP="00762A0D" w14:paraId="346DA81C" w14:textId="43DCA35A">
      <w:pPr>
        <w:autoSpaceDE w:val="0"/>
        <w:autoSpaceDN w:val="0"/>
        <w:adjustRightInd w:val="0"/>
        <w:spacing w:line="276" w:lineRule="auto"/>
        <w:contextualSpacing/>
        <w:rPr>
          <w:color w:val="0070C0"/>
        </w:rPr>
      </w:pPr>
      <w:r w:rsidRPr="00C34635">
        <w:rPr>
          <w:color w:val="0070C0"/>
        </w:rPr>
        <w:t>Customer Survey and Analysis (CSA) is a section within the Recovery Reporting and Analytics Division that specializes in survey administration.  CSA does not generate the survey topics- they act as an intermediary that helps with requirements, survey design, OMB filings, survey administration, analysis, and reporting.</w:t>
      </w:r>
    </w:p>
    <w:p w:rsidR="000C4C1A" w:rsidRPr="00762A0D" w:rsidP="00762A0D" w14:paraId="6DD71402" w14:textId="77777777">
      <w:pPr>
        <w:autoSpaceDE w:val="0"/>
        <w:autoSpaceDN w:val="0"/>
        <w:adjustRightInd w:val="0"/>
        <w:spacing w:line="276" w:lineRule="auto"/>
        <w:contextualSpacing/>
        <w:rPr>
          <w:color w:val="000000"/>
        </w:rPr>
      </w:pPr>
    </w:p>
    <w:p w:rsidR="000C4C1A" w:rsidRPr="00762A0D" w:rsidP="00762A0D" w14:paraId="6F2788C2" w14:textId="77777777">
      <w:pPr>
        <w:autoSpaceDE w:val="0"/>
        <w:autoSpaceDN w:val="0"/>
        <w:adjustRightInd w:val="0"/>
        <w:spacing w:line="276" w:lineRule="auto"/>
        <w:contextualSpacing/>
        <w:rPr>
          <w:b/>
          <w:bCs/>
          <w:color w:val="000000"/>
          <w:u w:val="single"/>
        </w:rPr>
      </w:pPr>
      <w:r w:rsidRPr="00762A0D">
        <w:rPr>
          <w:b/>
          <w:bCs/>
          <w:color w:val="000000"/>
          <w:u w:val="single"/>
        </w:rPr>
        <w:t>FF-104-FY-21-155 (formerly 519-0-32) phone</w:t>
      </w:r>
    </w:p>
    <w:p w:rsidR="001E7237" w:rsidRPr="00762A0D" w:rsidP="00C34635" w14:paraId="7619D2CC" w14:textId="77777777">
      <w:pPr>
        <w:autoSpaceDE w:val="0"/>
        <w:autoSpaceDN w:val="0"/>
        <w:adjustRightInd w:val="0"/>
        <w:spacing w:line="276" w:lineRule="auto"/>
        <w:contextualSpacing/>
        <w:rPr>
          <w:color w:val="000000" w:themeColor="text1"/>
        </w:rPr>
      </w:pPr>
    </w:p>
    <w:p w:rsidR="000C4C1A" w:rsidRPr="00762A0D" w:rsidP="00762A0D" w14:paraId="5AB67A61" w14:textId="7D8518EA">
      <w:pPr>
        <w:autoSpaceDE w:val="0"/>
        <w:autoSpaceDN w:val="0"/>
        <w:adjustRightInd w:val="0"/>
        <w:spacing w:line="276" w:lineRule="auto"/>
        <w:contextualSpacing/>
        <w:rPr>
          <w:color w:val="FF0000"/>
        </w:rPr>
      </w:pPr>
      <w:r w:rsidRPr="00762A0D">
        <w:rPr>
          <w:color w:val="FF0000"/>
        </w:rPr>
        <w:t>The questionnaire might be better organized to reflect the PA Process.</w:t>
      </w:r>
    </w:p>
    <w:p w:rsidR="001E7237" w:rsidRPr="00762A0D" w:rsidP="00762A0D" w14:paraId="722DF096" w14:textId="77777777">
      <w:pPr>
        <w:autoSpaceDE w:val="0"/>
        <w:autoSpaceDN w:val="0"/>
        <w:adjustRightInd w:val="0"/>
        <w:spacing w:line="276" w:lineRule="auto"/>
        <w:contextualSpacing/>
        <w:rPr>
          <w:color w:val="000000" w:themeColor="text1"/>
        </w:rPr>
      </w:pPr>
    </w:p>
    <w:p w:rsidR="000C4C1A" w:rsidRPr="00C34635" w:rsidP="00762A0D" w14:paraId="2581B77A" w14:textId="30E23C3E">
      <w:pPr>
        <w:autoSpaceDE w:val="0"/>
        <w:autoSpaceDN w:val="0"/>
        <w:adjustRightInd w:val="0"/>
        <w:spacing w:line="276" w:lineRule="auto"/>
        <w:contextualSpacing/>
        <w:rPr>
          <w:color w:val="0070C0"/>
        </w:rPr>
      </w:pPr>
      <w:r w:rsidRPr="00C34635">
        <w:rPr>
          <w:color w:val="0070C0"/>
        </w:rPr>
        <w:t>The Public Assistance Initial Survey only deals with the beginning of the PA process.  Since some projects may take years, FEMA feels it is important to capture satisfaction with the first steps soon after they occur while memory recall is more accurate.</w:t>
      </w:r>
    </w:p>
    <w:p w:rsidR="001E7237" w:rsidRPr="00762A0D" w:rsidP="00C34635" w14:paraId="47F3CF3A" w14:textId="77777777">
      <w:pPr>
        <w:autoSpaceDE w:val="0"/>
        <w:autoSpaceDN w:val="0"/>
        <w:adjustRightInd w:val="0"/>
        <w:spacing w:line="276" w:lineRule="auto"/>
        <w:contextualSpacing/>
        <w:rPr>
          <w:color w:val="000000" w:themeColor="text1"/>
        </w:rPr>
      </w:pPr>
    </w:p>
    <w:p w:rsidR="000C4C1A" w:rsidRPr="00762A0D" w:rsidP="00762A0D" w14:paraId="5214BA14" w14:textId="3CB3FF9A">
      <w:pPr>
        <w:autoSpaceDE w:val="0"/>
        <w:autoSpaceDN w:val="0"/>
        <w:adjustRightInd w:val="0"/>
        <w:spacing w:line="276" w:lineRule="auto"/>
        <w:contextualSpacing/>
        <w:rPr>
          <w:color w:val="FF0000"/>
        </w:rPr>
      </w:pPr>
      <w:r w:rsidRPr="00762A0D">
        <w:rPr>
          <w:color w:val="FF0000"/>
        </w:rPr>
        <w:t>It appears the survey only deals with items prior to obligation. What about post obligation</w:t>
      </w:r>
      <w:r w:rsidRPr="00C34635" w:rsidR="00581F3A">
        <w:rPr>
          <w:color w:val="FF0000"/>
        </w:rPr>
        <w:t xml:space="preserve"> </w:t>
      </w:r>
      <w:r w:rsidRPr="00762A0D">
        <w:rPr>
          <w:color w:val="FF0000"/>
        </w:rPr>
        <w:t>activities and closeout?</w:t>
      </w:r>
    </w:p>
    <w:p w:rsidR="001E7237" w:rsidRPr="00762A0D" w:rsidP="00762A0D" w14:paraId="067F2FA5" w14:textId="77777777">
      <w:pPr>
        <w:autoSpaceDE w:val="0"/>
        <w:autoSpaceDN w:val="0"/>
        <w:adjustRightInd w:val="0"/>
        <w:spacing w:line="276" w:lineRule="auto"/>
        <w:contextualSpacing/>
        <w:rPr>
          <w:color w:val="000000" w:themeColor="text1"/>
        </w:rPr>
      </w:pPr>
    </w:p>
    <w:p w:rsidR="000C4C1A" w:rsidRPr="00C34635" w:rsidP="00762A0D" w14:paraId="00336B8F" w14:textId="6E45CABA">
      <w:pPr>
        <w:autoSpaceDE w:val="0"/>
        <w:autoSpaceDN w:val="0"/>
        <w:adjustRightInd w:val="0"/>
        <w:spacing w:line="276" w:lineRule="auto"/>
        <w:contextualSpacing/>
        <w:rPr>
          <w:color w:val="0070C0"/>
        </w:rPr>
      </w:pPr>
      <w:r w:rsidRPr="00C34635">
        <w:rPr>
          <w:color w:val="0070C0"/>
        </w:rPr>
        <w:t>These topics are captured in the Public Assistance Assessment Survey.</w:t>
      </w:r>
    </w:p>
    <w:p w:rsidR="001E7237" w:rsidRPr="00762A0D" w:rsidP="00C34635" w14:paraId="54CAA5CE" w14:textId="77777777">
      <w:pPr>
        <w:autoSpaceDE w:val="0"/>
        <w:autoSpaceDN w:val="0"/>
        <w:adjustRightInd w:val="0"/>
        <w:spacing w:line="276" w:lineRule="auto"/>
        <w:contextualSpacing/>
        <w:rPr>
          <w:color w:val="000000" w:themeColor="text1"/>
        </w:rPr>
      </w:pPr>
    </w:p>
    <w:p w:rsidR="000C4C1A" w:rsidRPr="00762A0D" w:rsidP="00762A0D" w14:paraId="4FB1FBB4" w14:textId="366ED413">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0866519C" w14:textId="77777777">
      <w:pPr>
        <w:autoSpaceDE w:val="0"/>
        <w:autoSpaceDN w:val="0"/>
        <w:adjustRightInd w:val="0"/>
        <w:spacing w:line="276" w:lineRule="auto"/>
        <w:contextualSpacing/>
        <w:rPr>
          <w:color w:val="000000" w:themeColor="text1"/>
        </w:rPr>
      </w:pPr>
    </w:p>
    <w:p w:rsidR="000C4C1A" w:rsidRPr="00C34635" w:rsidP="00762A0D" w14:paraId="7A120F6A" w14:textId="1EC1B5C0">
      <w:pPr>
        <w:autoSpaceDE w:val="0"/>
        <w:autoSpaceDN w:val="0"/>
        <w:adjustRightInd w:val="0"/>
        <w:spacing w:line="276" w:lineRule="auto"/>
        <w:contextualSpacing/>
        <w:rPr>
          <w:color w:val="0070C0"/>
        </w:rPr>
      </w:pPr>
      <w:r w:rsidRPr="00C34635">
        <w:rPr>
          <w:color w:val="0070C0"/>
        </w:rPr>
        <w:t>Additional topics, such as the ones outlined above, may be considered for the next survey rewrite depending on the needs and priorities outlined by the Public Assistance Program.</w:t>
      </w:r>
    </w:p>
    <w:p w:rsidR="000C4C1A" w:rsidRPr="00762A0D" w:rsidP="00762A0D" w14:paraId="21E65ABC" w14:textId="77777777">
      <w:pPr>
        <w:autoSpaceDE w:val="0"/>
        <w:autoSpaceDN w:val="0"/>
        <w:adjustRightInd w:val="0"/>
        <w:spacing w:line="276" w:lineRule="auto"/>
        <w:contextualSpacing/>
        <w:rPr>
          <w:color w:val="000000"/>
        </w:rPr>
      </w:pPr>
    </w:p>
    <w:p w:rsidR="000C4C1A" w:rsidRPr="00762A0D" w:rsidP="00762A0D" w14:paraId="1D339047" w14:textId="3954AE08">
      <w:pPr>
        <w:autoSpaceDE w:val="0"/>
        <w:autoSpaceDN w:val="0"/>
        <w:adjustRightInd w:val="0"/>
        <w:spacing w:line="276" w:lineRule="auto"/>
        <w:ind w:firstLine="720"/>
        <w:contextualSpacing/>
        <w:rPr>
          <w:color w:val="000000"/>
          <w:u w:val="single"/>
        </w:rPr>
      </w:pPr>
      <w:r w:rsidRPr="00762A0D">
        <w:rPr>
          <w:color w:val="000000"/>
          <w:u w:val="single"/>
        </w:rPr>
        <w:t xml:space="preserve">Iowa’s </w:t>
      </w:r>
      <w:r w:rsidRPr="00762A0D">
        <w:rPr>
          <w:color w:val="000000"/>
          <w:u w:val="single"/>
        </w:rPr>
        <w:t>Questions are noted below</w:t>
      </w:r>
    </w:p>
    <w:p w:rsidR="001E7237" w:rsidRPr="00762A0D" w:rsidP="00C34635" w14:paraId="732256C3" w14:textId="77777777">
      <w:pPr>
        <w:autoSpaceDE w:val="0"/>
        <w:autoSpaceDN w:val="0"/>
        <w:adjustRightInd w:val="0"/>
        <w:spacing w:line="276" w:lineRule="auto"/>
        <w:contextualSpacing/>
        <w:rPr>
          <w:color w:val="000000" w:themeColor="text1"/>
        </w:rPr>
      </w:pPr>
    </w:p>
    <w:p w:rsidR="000C4C1A" w:rsidRPr="00762A0D" w:rsidP="00762A0D" w14:paraId="5E32AD30" w14:textId="24E15263">
      <w:pPr>
        <w:autoSpaceDE w:val="0"/>
        <w:autoSpaceDN w:val="0"/>
        <w:adjustRightInd w:val="0"/>
        <w:spacing w:line="276" w:lineRule="auto"/>
        <w:contextualSpacing/>
        <w:rPr>
          <w:color w:val="FF0000"/>
        </w:rPr>
      </w:pPr>
      <w:r w:rsidRPr="00762A0D">
        <w:rPr>
          <w:color w:val="FF0000"/>
        </w:rPr>
        <w:t>What is the impact review?</w:t>
      </w:r>
    </w:p>
    <w:p w:rsidR="001E7237" w:rsidRPr="00762A0D" w:rsidP="00762A0D" w14:paraId="42E5E9CA" w14:textId="77777777">
      <w:pPr>
        <w:autoSpaceDE w:val="0"/>
        <w:autoSpaceDN w:val="0"/>
        <w:adjustRightInd w:val="0"/>
        <w:spacing w:line="276" w:lineRule="auto"/>
        <w:contextualSpacing/>
        <w:rPr>
          <w:color w:val="000000" w:themeColor="text1"/>
        </w:rPr>
      </w:pPr>
    </w:p>
    <w:p w:rsidR="000C4C1A" w:rsidRPr="00C34635" w:rsidP="00762A0D" w14:paraId="592AE985" w14:textId="70BAA201">
      <w:pPr>
        <w:autoSpaceDE w:val="0"/>
        <w:autoSpaceDN w:val="0"/>
        <w:adjustRightInd w:val="0"/>
        <w:spacing w:line="276" w:lineRule="auto"/>
        <w:contextualSpacing/>
        <w:rPr>
          <w:color w:val="0070C0"/>
        </w:rPr>
      </w:pPr>
      <w:r w:rsidRPr="00C34635">
        <w:rPr>
          <w:color w:val="0070C0"/>
        </w:rPr>
        <w:t>This is a fairly new PA term.  PA used to refer to this as the “exploratory phone call.”  The Exploratory Call is a 15 to 30-minute introductory phone discussion between the PDMG and Applicant. This is meant to establish a relationship with the Applicant, review or complete the survey, and schedule the Recovery Scope Meeting.</w:t>
      </w:r>
    </w:p>
    <w:p w:rsidR="001E7237" w:rsidRPr="00762A0D" w:rsidP="00C34635" w14:paraId="5A252826" w14:textId="77777777">
      <w:pPr>
        <w:autoSpaceDE w:val="0"/>
        <w:autoSpaceDN w:val="0"/>
        <w:adjustRightInd w:val="0"/>
        <w:spacing w:line="276" w:lineRule="auto"/>
        <w:contextualSpacing/>
        <w:rPr>
          <w:color w:val="000000" w:themeColor="text1"/>
        </w:rPr>
      </w:pPr>
    </w:p>
    <w:p w:rsidR="000C4C1A" w:rsidRPr="00762A0D" w:rsidP="00762A0D" w14:paraId="5E4D8069" w14:textId="566E2242">
      <w:pPr>
        <w:autoSpaceDE w:val="0"/>
        <w:autoSpaceDN w:val="0"/>
        <w:adjustRightInd w:val="0"/>
        <w:spacing w:line="276" w:lineRule="auto"/>
        <w:contextualSpacing/>
        <w:rPr>
          <w:color w:val="FF0000"/>
        </w:rPr>
      </w:pPr>
      <w:r w:rsidRPr="00762A0D">
        <w:rPr>
          <w:color w:val="FF0000"/>
        </w:rPr>
        <w:t>3. Should project be developed at the RSM?</w:t>
      </w:r>
    </w:p>
    <w:p w:rsidR="001E7237" w:rsidRPr="00762A0D" w:rsidP="00762A0D" w14:paraId="2F056125" w14:textId="77777777">
      <w:pPr>
        <w:autoSpaceDE w:val="0"/>
        <w:autoSpaceDN w:val="0"/>
        <w:adjustRightInd w:val="0"/>
        <w:spacing w:line="276" w:lineRule="auto"/>
        <w:contextualSpacing/>
        <w:rPr>
          <w:color w:val="000000" w:themeColor="text1"/>
        </w:rPr>
      </w:pPr>
    </w:p>
    <w:p w:rsidR="000C4C1A" w:rsidRPr="00C34635" w:rsidP="00762A0D" w14:paraId="5E4427F7" w14:textId="1BAF4C0D">
      <w:pPr>
        <w:autoSpaceDE w:val="0"/>
        <w:autoSpaceDN w:val="0"/>
        <w:adjustRightInd w:val="0"/>
        <w:spacing w:line="276" w:lineRule="auto"/>
        <w:contextualSpacing/>
        <w:rPr>
          <w:color w:val="0070C0"/>
        </w:rPr>
      </w:pPr>
      <w:r w:rsidRPr="00C34635">
        <w:rPr>
          <w:color w:val="0070C0"/>
        </w:rPr>
        <w:t xml:space="preserve">This is question is referring to Public Assistance Policy, which is not in scope with this submission.  </w:t>
      </w:r>
    </w:p>
    <w:p w:rsidR="001E7237" w:rsidRPr="00C34635" w:rsidP="00C34635" w14:paraId="0001DD46" w14:textId="77777777">
      <w:pPr>
        <w:autoSpaceDE w:val="0"/>
        <w:autoSpaceDN w:val="0"/>
        <w:adjustRightInd w:val="0"/>
        <w:spacing w:line="276" w:lineRule="auto"/>
        <w:contextualSpacing/>
        <w:rPr>
          <w:color w:val="000000"/>
        </w:rPr>
      </w:pPr>
    </w:p>
    <w:p w:rsidR="000C4C1A" w:rsidRPr="00762A0D" w:rsidP="00762A0D" w14:paraId="77BE172D" w14:textId="1EDC2EF3">
      <w:pPr>
        <w:autoSpaceDE w:val="0"/>
        <w:autoSpaceDN w:val="0"/>
        <w:adjustRightInd w:val="0"/>
        <w:spacing w:line="276" w:lineRule="auto"/>
        <w:contextualSpacing/>
        <w:rPr>
          <w:color w:val="FF0000"/>
        </w:rPr>
      </w:pPr>
      <w:r w:rsidRPr="00762A0D">
        <w:rPr>
          <w:color w:val="FF0000"/>
        </w:rPr>
        <w:t>4. Is all documentation provided at the RSM?</w:t>
      </w:r>
    </w:p>
    <w:p w:rsidR="001E7237" w:rsidRPr="00762A0D" w:rsidP="00762A0D" w14:paraId="36E243C8" w14:textId="77777777">
      <w:pPr>
        <w:autoSpaceDE w:val="0"/>
        <w:autoSpaceDN w:val="0"/>
        <w:adjustRightInd w:val="0"/>
        <w:spacing w:line="276" w:lineRule="auto"/>
        <w:contextualSpacing/>
        <w:rPr>
          <w:color w:val="000000" w:themeColor="text1"/>
        </w:rPr>
      </w:pPr>
    </w:p>
    <w:p w:rsidR="000C4C1A" w:rsidRPr="00C34635" w:rsidP="00762A0D" w14:paraId="528C217E" w14:textId="0215D0B9">
      <w:pPr>
        <w:autoSpaceDE w:val="0"/>
        <w:autoSpaceDN w:val="0"/>
        <w:adjustRightInd w:val="0"/>
        <w:spacing w:line="276" w:lineRule="auto"/>
        <w:contextualSpacing/>
        <w:rPr>
          <w:color w:val="0070C0"/>
        </w:rPr>
      </w:pPr>
      <w:r w:rsidRPr="00C34635">
        <w:rPr>
          <w:color w:val="0070C0"/>
        </w:rPr>
        <w:t xml:space="preserve">The Applicant, Recipient, and FEMA conduct an RSM to review and refine the list of impacts. The PDMG, if assigned, facilitates discussion of the PA delivery process, hazard mitigation opportunities and eligibility requirements, including insurance and environmental and historic preservation considerations. For Applicants pursuing direct application, the Recovery Public Assistance Program Delivery Guide (Draft) Scoping Video provides this information. The RSM or video starts a 60-day regulatory period when the Applicant must identify and report all eligible impacts and damage for FEMA to review.  Further information on Public Assistance Policy and terms can be found here: </w:t>
      </w:r>
      <w:hyperlink r:id="rId9" w:history="1">
        <w:r w:rsidR="00C62349">
          <w:rPr>
            <w:rStyle w:val="Hyperlink"/>
          </w:rPr>
          <w:t>https://www.fema.gov/sites/default/files/documents/public-assistance-program-delivery-guide-operational-draft.pdf</w:t>
        </w:r>
      </w:hyperlink>
      <w:r w:rsidRPr="00751860" w:rsidR="00C62349">
        <w:rPr>
          <w:color w:val="0070C0"/>
        </w:rPr>
        <w:t>.</w:t>
      </w:r>
    </w:p>
    <w:p w:rsidR="001E7237" w:rsidRPr="00762A0D" w:rsidP="00762A0D" w14:paraId="5424917D" w14:textId="77777777">
      <w:pPr>
        <w:autoSpaceDE w:val="0"/>
        <w:autoSpaceDN w:val="0"/>
        <w:adjustRightInd w:val="0"/>
        <w:spacing w:line="276" w:lineRule="auto"/>
        <w:contextualSpacing/>
        <w:rPr>
          <w:color w:val="000000" w:themeColor="text1"/>
        </w:rPr>
      </w:pPr>
    </w:p>
    <w:p w:rsidR="000C4C1A" w:rsidRPr="00C34635" w:rsidP="00762A0D" w14:paraId="64EDBA42" w14:textId="4CBEF0B1">
      <w:pPr>
        <w:autoSpaceDE w:val="0"/>
        <w:autoSpaceDN w:val="0"/>
        <w:adjustRightInd w:val="0"/>
        <w:spacing w:line="276" w:lineRule="auto"/>
        <w:contextualSpacing/>
        <w:rPr>
          <w:color w:val="FF0000"/>
        </w:rPr>
      </w:pPr>
      <w:r w:rsidRPr="00C34635">
        <w:rPr>
          <w:color w:val="FF0000"/>
        </w:rPr>
        <w:t>9. What is meant by interact with the Site Inspector?</w:t>
      </w:r>
    </w:p>
    <w:p w:rsidR="001E7237" w:rsidRPr="00762A0D" w:rsidP="00762A0D" w14:paraId="1BD3E811" w14:textId="77777777">
      <w:pPr>
        <w:autoSpaceDE w:val="0"/>
        <w:autoSpaceDN w:val="0"/>
        <w:adjustRightInd w:val="0"/>
        <w:spacing w:line="276" w:lineRule="auto"/>
        <w:contextualSpacing/>
        <w:rPr>
          <w:color w:val="000000" w:themeColor="text1"/>
        </w:rPr>
      </w:pPr>
    </w:p>
    <w:p w:rsidR="000C4C1A" w:rsidRPr="00C34635" w:rsidP="00762A0D" w14:paraId="0F0F6DDD" w14:textId="013CFD73">
      <w:pPr>
        <w:autoSpaceDE w:val="0"/>
        <w:autoSpaceDN w:val="0"/>
        <w:adjustRightInd w:val="0"/>
        <w:spacing w:line="276" w:lineRule="auto"/>
        <w:contextualSpacing/>
        <w:rPr>
          <w:color w:val="0070C0"/>
        </w:rPr>
      </w:pPr>
      <w:r w:rsidRPr="00C34635">
        <w:rPr>
          <w:color w:val="0070C0"/>
        </w:rPr>
        <w:t>If the applicant met with a site inspector to tour damages, FEMA wants to assess their satisfaction with the inspector (e.g., customer service and knowledge).</w:t>
      </w:r>
    </w:p>
    <w:p w:rsidR="001E7237" w:rsidRPr="00762A0D" w:rsidP="00C34635" w14:paraId="204F6179" w14:textId="77777777">
      <w:pPr>
        <w:autoSpaceDE w:val="0"/>
        <w:autoSpaceDN w:val="0"/>
        <w:adjustRightInd w:val="0"/>
        <w:spacing w:line="276" w:lineRule="auto"/>
        <w:contextualSpacing/>
        <w:rPr>
          <w:color w:val="000000" w:themeColor="text1"/>
        </w:rPr>
      </w:pPr>
    </w:p>
    <w:p w:rsidR="000C4C1A" w:rsidRPr="00762A0D" w:rsidP="00762A0D" w14:paraId="5DF682BD" w14:textId="5F1413FB">
      <w:pPr>
        <w:autoSpaceDE w:val="0"/>
        <w:autoSpaceDN w:val="0"/>
        <w:adjustRightInd w:val="0"/>
        <w:spacing w:line="276" w:lineRule="auto"/>
        <w:contextualSpacing/>
        <w:rPr>
          <w:color w:val="FF0000"/>
        </w:rPr>
      </w:pPr>
      <w:r w:rsidRPr="00762A0D">
        <w:rPr>
          <w:color w:val="FF0000"/>
        </w:rPr>
        <w:t>d. Is the Site Inspector supposed to validate damages or report damages?</w:t>
      </w:r>
    </w:p>
    <w:p w:rsidR="001E7237" w:rsidRPr="00762A0D" w:rsidP="00762A0D" w14:paraId="52D02942" w14:textId="77777777">
      <w:pPr>
        <w:autoSpaceDE w:val="0"/>
        <w:autoSpaceDN w:val="0"/>
        <w:adjustRightInd w:val="0"/>
        <w:spacing w:line="276" w:lineRule="auto"/>
        <w:contextualSpacing/>
        <w:rPr>
          <w:color w:val="000000" w:themeColor="text1"/>
        </w:rPr>
      </w:pPr>
    </w:p>
    <w:p w:rsidR="000C4C1A" w:rsidRPr="00C34635" w:rsidP="00762A0D" w14:paraId="55026320" w14:textId="4C0E7670">
      <w:pPr>
        <w:autoSpaceDE w:val="0"/>
        <w:autoSpaceDN w:val="0"/>
        <w:adjustRightInd w:val="0"/>
        <w:spacing w:line="276" w:lineRule="auto"/>
        <w:contextualSpacing/>
        <w:rPr>
          <w:color w:val="0070C0"/>
        </w:rPr>
      </w:pPr>
      <w:r w:rsidRPr="00C34635">
        <w:rPr>
          <w:color w:val="0070C0"/>
        </w:rPr>
        <w:t xml:space="preserve">The Site Inspector (SI) collects and validates information about Applicants’ damage claims. The SI prepares for and performs timely site inspections and develops detailed damage descriptions with dimensions with supporting photos, sketches, and calculations. The SI role is critical as it is one of the only PA roles that sees claimed impacts and damage in person.  Further information on Public Assistance Policy and terms can be found here: </w:t>
      </w:r>
      <w:hyperlink r:id="rId9" w:history="1">
        <w:r w:rsidR="00C62349">
          <w:rPr>
            <w:rStyle w:val="Hyperlink"/>
          </w:rPr>
          <w:t>https://www.fema.gov/sites/default/files/documents/public-assistance-program-delivery-guide-operational-draft.pdf</w:t>
        </w:r>
      </w:hyperlink>
      <w:r w:rsidRPr="00751860" w:rsidR="00C62349">
        <w:rPr>
          <w:color w:val="0070C0"/>
        </w:rPr>
        <w:t>.</w:t>
      </w:r>
    </w:p>
    <w:p w:rsidR="000C4C1A" w:rsidRPr="00762A0D" w:rsidP="00762A0D" w14:paraId="57A1B3FE" w14:textId="77777777">
      <w:pPr>
        <w:autoSpaceDE w:val="0"/>
        <w:autoSpaceDN w:val="0"/>
        <w:adjustRightInd w:val="0"/>
        <w:spacing w:line="276" w:lineRule="auto"/>
        <w:contextualSpacing/>
        <w:rPr>
          <w:color w:val="000000" w:themeColor="text1"/>
        </w:rPr>
      </w:pPr>
    </w:p>
    <w:p w:rsidR="000C4C1A" w:rsidRPr="00762A0D" w:rsidP="00762A0D" w14:paraId="7182EA4B" w14:textId="77777777">
      <w:pPr>
        <w:autoSpaceDE w:val="0"/>
        <w:autoSpaceDN w:val="0"/>
        <w:adjustRightInd w:val="0"/>
        <w:spacing w:line="276" w:lineRule="auto"/>
        <w:contextualSpacing/>
        <w:rPr>
          <w:color w:val="FF0000"/>
        </w:rPr>
      </w:pPr>
      <w:r w:rsidRPr="00C34635">
        <w:rPr>
          <w:color w:val="FF0000"/>
        </w:rPr>
        <w:t>19. What is meant by staff? PDMGs, Mitigation, EHP, Recipient.</w:t>
      </w:r>
    </w:p>
    <w:p w:rsidR="001E7237" w:rsidRPr="00762A0D" w:rsidP="00762A0D" w14:paraId="3B721330" w14:textId="77777777">
      <w:pPr>
        <w:spacing w:after="160" w:line="276" w:lineRule="auto"/>
        <w:contextualSpacing/>
        <w:rPr>
          <w:color w:val="000000" w:themeColor="text1"/>
        </w:rPr>
      </w:pPr>
    </w:p>
    <w:p w:rsidR="000C4C1A" w:rsidRPr="00C34635" w:rsidP="00762A0D" w14:paraId="466322FA" w14:textId="666B3F8E">
      <w:pPr>
        <w:spacing w:after="160" w:line="276" w:lineRule="auto"/>
        <w:contextualSpacing/>
        <w:rPr>
          <w:color w:val="0070C0"/>
        </w:rPr>
      </w:pPr>
      <w:r w:rsidRPr="00C34635">
        <w:rPr>
          <w:color w:val="0070C0"/>
        </w:rPr>
        <w:t xml:space="preserve">FEMA wants to understand </w:t>
      </w:r>
      <w:r w:rsidRPr="00C34635">
        <w:rPr>
          <w:i/>
          <w:iCs/>
          <w:color w:val="0070C0"/>
        </w:rPr>
        <w:t xml:space="preserve">overall </w:t>
      </w:r>
      <w:r w:rsidRPr="00C34635">
        <w:rPr>
          <w:color w:val="0070C0"/>
        </w:rPr>
        <w:t xml:space="preserve">customer satisfaction.  This may encompass many interactions with many different people.  The following is stated in the survey instructions: </w:t>
      </w:r>
    </w:p>
    <w:p w:rsidR="001E7237" w:rsidRPr="00762A0D" w:rsidP="00762A0D" w14:paraId="190316E2" w14:textId="77777777">
      <w:pPr>
        <w:spacing w:after="160" w:line="276" w:lineRule="auto"/>
        <w:contextualSpacing/>
        <w:rPr>
          <w:color w:val="000000" w:themeColor="text1"/>
        </w:rPr>
      </w:pPr>
    </w:p>
    <w:p w:rsidR="000C4C1A" w:rsidRPr="00C34635" w:rsidP="00762A0D" w14:paraId="6441A1AB" w14:textId="057C9F97">
      <w:pPr>
        <w:spacing w:after="160" w:line="276" w:lineRule="auto"/>
        <w:contextualSpacing/>
        <w:rPr>
          <w:color w:val="0070C0"/>
        </w:rPr>
      </w:pPr>
      <w:r w:rsidRPr="00C34635">
        <w:rPr>
          <w:color w:val="0070C0"/>
        </w:rPr>
        <w:t xml:space="preserve">“You were involved with an application that has recently received funding under the Public Assistance Program, also known as PA. You may have been assigned a Program Delivery Manager, or PA representative, to lead you through the process. You may have also interacted </w:t>
      </w:r>
      <w:r w:rsidRPr="00C34635">
        <w:rPr>
          <w:color w:val="0070C0"/>
        </w:rPr>
        <w:t>with other staff who provided PA guidance. Please consider all interactions when answering the following questions.”</w:t>
      </w:r>
    </w:p>
    <w:p w:rsidR="000C4C1A" w:rsidRPr="00762A0D" w:rsidP="00762A0D" w14:paraId="44E3F696" w14:textId="1714A86F">
      <w:pPr>
        <w:autoSpaceDE w:val="0"/>
        <w:autoSpaceDN w:val="0"/>
        <w:adjustRightInd w:val="0"/>
        <w:spacing w:line="276" w:lineRule="auto"/>
        <w:contextualSpacing/>
        <w:rPr>
          <w:color w:val="000000" w:themeColor="text1"/>
        </w:rPr>
      </w:pPr>
    </w:p>
    <w:p w:rsidR="000C4C1A" w:rsidRPr="00762A0D" w:rsidP="00762A0D" w14:paraId="7877ADAF" w14:textId="77777777">
      <w:pPr>
        <w:autoSpaceDE w:val="0"/>
        <w:autoSpaceDN w:val="0"/>
        <w:adjustRightInd w:val="0"/>
        <w:spacing w:line="276" w:lineRule="auto"/>
        <w:contextualSpacing/>
        <w:rPr>
          <w:b/>
          <w:bCs/>
          <w:color w:val="000000"/>
          <w:u w:val="single"/>
        </w:rPr>
      </w:pPr>
      <w:r w:rsidRPr="00762A0D">
        <w:rPr>
          <w:b/>
          <w:bCs/>
          <w:color w:val="000000"/>
          <w:u w:val="single"/>
        </w:rPr>
        <w:t>FF-104-FY-21-156 (formerly 519-0-33) internet</w:t>
      </w:r>
    </w:p>
    <w:p w:rsidR="001E7237" w:rsidRPr="00762A0D" w:rsidP="00762A0D" w14:paraId="49C5276E" w14:textId="77777777">
      <w:pPr>
        <w:autoSpaceDE w:val="0"/>
        <w:autoSpaceDN w:val="0"/>
        <w:adjustRightInd w:val="0"/>
        <w:spacing w:line="276" w:lineRule="auto"/>
        <w:contextualSpacing/>
        <w:rPr>
          <w:color w:val="000000" w:themeColor="text1"/>
        </w:rPr>
      </w:pPr>
    </w:p>
    <w:p w:rsidR="000C4C1A" w:rsidRPr="00762A0D" w:rsidP="00762A0D" w14:paraId="224F0092" w14:textId="2A563F3F">
      <w:pPr>
        <w:autoSpaceDE w:val="0"/>
        <w:autoSpaceDN w:val="0"/>
        <w:adjustRightInd w:val="0"/>
        <w:spacing w:line="276" w:lineRule="auto"/>
        <w:contextualSpacing/>
        <w:rPr>
          <w:color w:val="FF0000"/>
        </w:rPr>
      </w:pPr>
      <w:r w:rsidRPr="00762A0D">
        <w:rPr>
          <w:color w:val="FF0000"/>
        </w:rPr>
        <w:t>The questionnaire might be better organized to reflect the PA Process.</w:t>
      </w:r>
    </w:p>
    <w:p w:rsidR="001E7237" w:rsidRPr="00762A0D" w:rsidP="00762A0D" w14:paraId="57C0A6AE" w14:textId="77777777">
      <w:pPr>
        <w:autoSpaceDE w:val="0"/>
        <w:autoSpaceDN w:val="0"/>
        <w:adjustRightInd w:val="0"/>
        <w:spacing w:line="276" w:lineRule="auto"/>
        <w:contextualSpacing/>
        <w:rPr>
          <w:color w:val="000000" w:themeColor="text1"/>
        </w:rPr>
      </w:pPr>
    </w:p>
    <w:p w:rsidR="000C4C1A" w:rsidRPr="00762A0D" w:rsidP="00762A0D" w14:paraId="4BD5AD64" w14:textId="621EEEEB">
      <w:pPr>
        <w:autoSpaceDE w:val="0"/>
        <w:autoSpaceDN w:val="0"/>
        <w:adjustRightInd w:val="0"/>
        <w:spacing w:line="276" w:lineRule="auto"/>
        <w:contextualSpacing/>
        <w:rPr>
          <w:color w:val="0070C0"/>
        </w:rPr>
      </w:pPr>
      <w:r w:rsidRPr="00762A0D">
        <w:rPr>
          <w:color w:val="0070C0"/>
        </w:rPr>
        <w:t>The organization is based on guidance from the Public Assistance Program.</w:t>
      </w:r>
    </w:p>
    <w:p w:rsidR="001E7237" w:rsidRPr="00762A0D" w:rsidP="00762A0D" w14:paraId="1292A177" w14:textId="77777777">
      <w:pPr>
        <w:autoSpaceDE w:val="0"/>
        <w:autoSpaceDN w:val="0"/>
        <w:adjustRightInd w:val="0"/>
        <w:spacing w:line="276" w:lineRule="auto"/>
        <w:contextualSpacing/>
        <w:rPr>
          <w:color w:val="000000" w:themeColor="text1"/>
        </w:rPr>
      </w:pPr>
    </w:p>
    <w:p w:rsidR="000C4C1A" w:rsidRPr="00762A0D" w:rsidP="00762A0D" w14:paraId="74F8F036" w14:textId="10EA963F">
      <w:pPr>
        <w:autoSpaceDE w:val="0"/>
        <w:autoSpaceDN w:val="0"/>
        <w:adjustRightInd w:val="0"/>
        <w:spacing w:line="276" w:lineRule="auto"/>
        <w:contextualSpacing/>
        <w:rPr>
          <w:color w:val="4472C4" w:themeColor="accent1"/>
        </w:rPr>
      </w:pPr>
      <w:r w:rsidRPr="00762A0D">
        <w:rPr>
          <w:color w:val="FF0000"/>
        </w:rPr>
        <w:t>It appears the survey only deals with items prior to obligation. What about post obligation</w:t>
      </w:r>
      <w:r w:rsidRPr="00762A0D" w:rsidR="001E7237">
        <w:rPr>
          <w:color w:val="FF0000"/>
        </w:rPr>
        <w:t xml:space="preserve"> </w:t>
      </w:r>
      <w:r w:rsidRPr="00762A0D">
        <w:rPr>
          <w:color w:val="FF0000"/>
        </w:rPr>
        <w:t>activities and closeout?</w:t>
      </w:r>
    </w:p>
    <w:p w:rsidR="001E7237" w:rsidRPr="00762A0D" w:rsidP="00762A0D" w14:paraId="69901493" w14:textId="77777777">
      <w:pPr>
        <w:autoSpaceDE w:val="0"/>
        <w:autoSpaceDN w:val="0"/>
        <w:adjustRightInd w:val="0"/>
        <w:spacing w:line="276" w:lineRule="auto"/>
        <w:contextualSpacing/>
        <w:rPr>
          <w:color w:val="000000" w:themeColor="text1"/>
        </w:rPr>
      </w:pPr>
    </w:p>
    <w:p w:rsidR="000C4C1A" w:rsidRPr="00762A0D" w:rsidP="00762A0D" w14:paraId="0D244580" w14:textId="50124FE6">
      <w:pPr>
        <w:autoSpaceDE w:val="0"/>
        <w:autoSpaceDN w:val="0"/>
        <w:adjustRightInd w:val="0"/>
        <w:spacing w:line="276" w:lineRule="auto"/>
        <w:contextualSpacing/>
        <w:rPr>
          <w:color w:val="0070C0"/>
        </w:rPr>
      </w:pPr>
      <w:r w:rsidRPr="00762A0D">
        <w:rPr>
          <w:color w:val="4472C4" w:themeColor="accent1"/>
        </w:rPr>
        <w:t xml:space="preserve">The Public Assistance Assessment Survey does ask about timeliness of awards.  </w:t>
      </w:r>
      <w:r w:rsidRPr="00762A0D">
        <w:rPr>
          <w:color w:val="0070C0"/>
        </w:rPr>
        <w:t>Questions</w:t>
      </w:r>
      <w:r w:rsidRPr="00762A0D">
        <w:rPr>
          <w:color w:val="4472C4" w:themeColor="accent1"/>
        </w:rPr>
        <w:t xml:space="preserve"> pertaining to close-out may be considered for the next revision or as a topic for an entirely </w:t>
      </w:r>
      <w:r w:rsidRPr="00762A0D">
        <w:rPr>
          <w:color w:val="0070C0"/>
        </w:rPr>
        <w:t>different</w:t>
      </w:r>
      <w:r w:rsidRPr="00762A0D">
        <w:rPr>
          <w:color w:val="4472C4" w:themeColor="accent1"/>
        </w:rPr>
        <w:t xml:space="preserve"> survey.  Assessing close-out can be difficult in terms of survey administration because it can take years and information about the other topics in the survey would not be as fresh or as easily remembered</w:t>
      </w:r>
    </w:p>
    <w:p w:rsidR="001E7237" w:rsidRPr="00762A0D" w:rsidP="00762A0D" w14:paraId="24DE9BB6" w14:textId="77777777">
      <w:pPr>
        <w:autoSpaceDE w:val="0"/>
        <w:autoSpaceDN w:val="0"/>
        <w:adjustRightInd w:val="0"/>
        <w:spacing w:line="276" w:lineRule="auto"/>
        <w:contextualSpacing/>
        <w:rPr>
          <w:color w:val="000000" w:themeColor="text1"/>
        </w:rPr>
      </w:pPr>
    </w:p>
    <w:p w:rsidR="000C4C1A" w:rsidRPr="00762A0D" w:rsidP="00762A0D" w14:paraId="438AF8F8" w14:textId="5680C3A6">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1145EEB9" w14:textId="77777777">
      <w:pPr>
        <w:autoSpaceDE w:val="0"/>
        <w:autoSpaceDN w:val="0"/>
        <w:adjustRightInd w:val="0"/>
        <w:spacing w:line="276" w:lineRule="auto"/>
        <w:contextualSpacing/>
        <w:rPr>
          <w:color w:val="000000" w:themeColor="text1"/>
        </w:rPr>
      </w:pPr>
    </w:p>
    <w:p w:rsidR="000C4C1A" w:rsidRPr="00762A0D" w:rsidP="00762A0D" w14:paraId="457E2825" w14:textId="3CA7ED43">
      <w:pPr>
        <w:autoSpaceDE w:val="0"/>
        <w:autoSpaceDN w:val="0"/>
        <w:adjustRightInd w:val="0"/>
        <w:spacing w:line="276" w:lineRule="auto"/>
        <w:contextualSpacing/>
        <w:rPr>
          <w:color w:val="0070C0"/>
        </w:rPr>
      </w:pPr>
      <w:r w:rsidRPr="00762A0D">
        <w:rPr>
          <w:color w:val="0070C0"/>
        </w:rPr>
        <w:t>Additional survey topics will be revisited during the next rewrite.  This purpose of this submission was to only adjust burden calculations.</w:t>
      </w:r>
    </w:p>
    <w:p w:rsidR="001E7237" w:rsidRPr="00C34635" w:rsidP="00C34635" w14:paraId="314F3D32" w14:textId="77777777">
      <w:pPr>
        <w:autoSpaceDE w:val="0"/>
        <w:autoSpaceDN w:val="0"/>
        <w:adjustRightInd w:val="0"/>
        <w:spacing w:line="276" w:lineRule="auto"/>
        <w:contextualSpacing/>
        <w:rPr>
          <w:color w:val="000000"/>
        </w:rPr>
      </w:pPr>
    </w:p>
    <w:p w:rsidR="000C4C1A" w:rsidRPr="00762A0D" w:rsidP="00762A0D" w14:paraId="13D6FC6B" w14:textId="6975115B">
      <w:pPr>
        <w:autoSpaceDE w:val="0"/>
        <w:autoSpaceDN w:val="0"/>
        <w:adjustRightInd w:val="0"/>
        <w:spacing w:line="276" w:lineRule="auto"/>
        <w:ind w:firstLine="720"/>
        <w:contextualSpacing/>
        <w:rPr>
          <w:color w:val="000000"/>
          <w:u w:val="single"/>
        </w:rPr>
      </w:pPr>
      <w:r w:rsidRPr="00762A0D">
        <w:rPr>
          <w:color w:val="000000"/>
          <w:u w:val="single"/>
        </w:rPr>
        <w:t xml:space="preserve">Iowa’s </w:t>
      </w:r>
      <w:r w:rsidRPr="00762A0D">
        <w:rPr>
          <w:color w:val="000000"/>
          <w:u w:val="single"/>
        </w:rPr>
        <w:t>Questions are noted below</w:t>
      </w:r>
    </w:p>
    <w:p w:rsidR="001E7237" w:rsidRPr="00762A0D" w:rsidP="00762A0D" w14:paraId="4B27C89E" w14:textId="77777777">
      <w:pPr>
        <w:autoSpaceDE w:val="0"/>
        <w:autoSpaceDN w:val="0"/>
        <w:adjustRightInd w:val="0"/>
        <w:spacing w:line="276" w:lineRule="auto"/>
        <w:contextualSpacing/>
        <w:rPr>
          <w:color w:val="000000"/>
        </w:rPr>
      </w:pPr>
    </w:p>
    <w:p w:rsidR="000C4C1A" w:rsidRPr="00762A0D" w:rsidP="00762A0D" w14:paraId="399E5AB4" w14:textId="77777777">
      <w:pPr>
        <w:autoSpaceDE w:val="0"/>
        <w:autoSpaceDN w:val="0"/>
        <w:adjustRightInd w:val="0"/>
        <w:spacing w:line="276" w:lineRule="auto"/>
        <w:contextualSpacing/>
        <w:rPr>
          <w:color w:val="FF0000"/>
        </w:rPr>
      </w:pPr>
      <w:r w:rsidRPr="00762A0D">
        <w:rPr>
          <w:color w:val="FF0000"/>
        </w:rPr>
        <w:t>What is the Impact Review?</w:t>
      </w:r>
    </w:p>
    <w:p w:rsidR="001E7237" w:rsidRPr="00762A0D" w:rsidP="00762A0D" w14:paraId="25D37D16" w14:textId="77777777">
      <w:pPr>
        <w:autoSpaceDE w:val="0"/>
        <w:autoSpaceDN w:val="0"/>
        <w:adjustRightInd w:val="0"/>
        <w:spacing w:line="276" w:lineRule="auto"/>
        <w:contextualSpacing/>
        <w:rPr>
          <w:color w:val="000000" w:themeColor="text1"/>
        </w:rPr>
      </w:pPr>
    </w:p>
    <w:p w:rsidR="000C4C1A" w:rsidRPr="00762A0D" w:rsidP="00762A0D" w14:paraId="0B0A9053" w14:textId="17EACD52">
      <w:pPr>
        <w:autoSpaceDE w:val="0"/>
        <w:autoSpaceDN w:val="0"/>
        <w:adjustRightInd w:val="0"/>
        <w:spacing w:line="276" w:lineRule="auto"/>
        <w:contextualSpacing/>
        <w:rPr>
          <w:color w:val="0070C0"/>
        </w:rPr>
      </w:pPr>
      <w:r w:rsidRPr="00762A0D">
        <w:rPr>
          <w:color w:val="0070C0"/>
        </w:rPr>
        <w:t>Answered above.</w:t>
      </w:r>
    </w:p>
    <w:p w:rsidR="001E7237" w:rsidRPr="00762A0D" w:rsidP="00762A0D" w14:paraId="5743FB5F" w14:textId="77777777">
      <w:pPr>
        <w:autoSpaceDE w:val="0"/>
        <w:autoSpaceDN w:val="0"/>
        <w:adjustRightInd w:val="0"/>
        <w:spacing w:line="276" w:lineRule="auto"/>
        <w:contextualSpacing/>
        <w:rPr>
          <w:color w:val="000000" w:themeColor="text1"/>
        </w:rPr>
      </w:pPr>
    </w:p>
    <w:p w:rsidR="000C4C1A" w:rsidRPr="00762A0D" w:rsidP="00762A0D" w14:paraId="2F4F66F7" w14:textId="17CAB9BB">
      <w:pPr>
        <w:autoSpaceDE w:val="0"/>
        <w:autoSpaceDN w:val="0"/>
        <w:adjustRightInd w:val="0"/>
        <w:spacing w:line="276" w:lineRule="auto"/>
        <w:contextualSpacing/>
        <w:rPr>
          <w:color w:val="FF0000"/>
        </w:rPr>
      </w:pPr>
      <w:r w:rsidRPr="00762A0D">
        <w:rPr>
          <w:color w:val="FF0000"/>
        </w:rPr>
        <w:t>Should project be developed at the RSM?</w:t>
      </w:r>
    </w:p>
    <w:p w:rsidR="001E7237" w:rsidRPr="00762A0D" w:rsidP="00762A0D" w14:paraId="4A7A24A8" w14:textId="77777777">
      <w:pPr>
        <w:autoSpaceDE w:val="0"/>
        <w:autoSpaceDN w:val="0"/>
        <w:adjustRightInd w:val="0"/>
        <w:spacing w:line="276" w:lineRule="auto"/>
        <w:contextualSpacing/>
        <w:rPr>
          <w:color w:val="000000" w:themeColor="text1"/>
        </w:rPr>
      </w:pPr>
    </w:p>
    <w:p w:rsidR="000C4C1A" w:rsidRPr="00762A0D" w:rsidP="00762A0D" w14:paraId="142DEF05" w14:textId="79D3B957">
      <w:pPr>
        <w:autoSpaceDE w:val="0"/>
        <w:autoSpaceDN w:val="0"/>
        <w:adjustRightInd w:val="0"/>
        <w:spacing w:line="276" w:lineRule="auto"/>
        <w:contextualSpacing/>
        <w:rPr>
          <w:color w:val="0070C0"/>
        </w:rPr>
      </w:pPr>
      <w:r w:rsidRPr="00762A0D">
        <w:rPr>
          <w:color w:val="0070C0"/>
        </w:rPr>
        <w:t>Answered above</w:t>
      </w:r>
    </w:p>
    <w:p w:rsidR="001E7237" w:rsidRPr="00762A0D" w:rsidP="00762A0D" w14:paraId="552D52D9" w14:textId="77777777">
      <w:pPr>
        <w:autoSpaceDE w:val="0"/>
        <w:autoSpaceDN w:val="0"/>
        <w:adjustRightInd w:val="0"/>
        <w:spacing w:line="276" w:lineRule="auto"/>
        <w:contextualSpacing/>
        <w:rPr>
          <w:color w:val="000000" w:themeColor="text1"/>
        </w:rPr>
      </w:pPr>
    </w:p>
    <w:p w:rsidR="000C4C1A" w:rsidRPr="00762A0D" w:rsidP="00762A0D" w14:paraId="41374BC3" w14:textId="77500DC6">
      <w:pPr>
        <w:autoSpaceDE w:val="0"/>
        <w:autoSpaceDN w:val="0"/>
        <w:adjustRightInd w:val="0"/>
        <w:spacing w:line="276" w:lineRule="auto"/>
        <w:contextualSpacing/>
        <w:rPr>
          <w:color w:val="FF0000"/>
        </w:rPr>
      </w:pPr>
      <w:r w:rsidRPr="00762A0D">
        <w:rPr>
          <w:color w:val="FF0000"/>
        </w:rPr>
        <w:t>Is all documentation provided at the RSM?</w:t>
      </w:r>
    </w:p>
    <w:p w:rsidR="001E7237" w:rsidRPr="00762A0D" w:rsidP="00762A0D" w14:paraId="55DCDFA2" w14:textId="77777777">
      <w:pPr>
        <w:autoSpaceDE w:val="0"/>
        <w:autoSpaceDN w:val="0"/>
        <w:adjustRightInd w:val="0"/>
        <w:spacing w:line="276" w:lineRule="auto"/>
        <w:contextualSpacing/>
        <w:rPr>
          <w:color w:val="000000" w:themeColor="text1"/>
        </w:rPr>
      </w:pPr>
    </w:p>
    <w:p w:rsidR="000C4C1A" w:rsidRPr="00762A0D" w:rsidP="00762A0D" w14:paraId="0162537B" w14:textId="4E7411D4">
      <w:pPr>
        <w:autoSpaceDE w:val="0"/>
        <w:autoSpaceDN w:val="0"/>
        <w:adjustRightInd w:val="0"/>
        <w:spacing w:line="276" w:lineRule="auto"/>
        <w:contextualSpacing/>
        <w:rPr>
          <w:color w:val="4472C4" w:themeColor="accent1"/>
        </w:rPr>
      </w:pPr>
      <w:r w:rsidRPr="00762A0D">
        <w:rPr>
          <w:color w:val="4472C4" w:themeColor="accent1"/>
        </w:rPr>
        <w:t>Answered above.</w:t>
      </w:r>
    </w:p>
    <w:p w:rsidR="001E7237" w:rsidRPr="00762A0D" w:rsidP="00762A0D" w14:paraId="3A42F5E5" w14:textId="77777777">
      <w:pPr>
        <w:autoSpaceDE w:val="0"/>
        <w:autoSpaceDN w:val="0"/>
        <w:adjustRightInd w:val="0"/>
        <w:spacing w:line="276" w:lineRule="auto"/>
        <w:contextualSpacing/>
        <w:rPr>
          <w:color w:val="000000" w:themeColor="text1"/>
        </w:rPr>
      </w:pPr>
    </w:p>
    <w:p w:rsidR="000C4C1A" w:rsidRPr="00762A0D" w:rsidP="00762A0D" w14:paraId="2FC011DF" w14:textId="353B2D3B">
      <w:pPr>
        <w:autoSpaceDE w:val="0"/>
        <w:autoSpaceDN w:val="0"/>
        <w:adjustRightInd w:val="0"/>
        <w:spacing w:line="276" w:lineRule="auto"/>
        <w:contextualSpacing/>
        <w:rPr>
          <w:color w:val="FF0000"/>
        </w:rPr>
      </w:pPr>
      <w:r w:rsidRPr="00762A0D">
        <w:rPr>
          <w:color w:val="FF0000"/>
        </w:rPr>
        <w:t>What is meant by interact with the Site Inspector? Is the Site Inspector supposed to validate damages or report damages?</w:t>
      </w:r>
    </w:p>
    <w:p w:rsidR="001E7237" w:rsidRPr="00762A0D" w:rsidP="00762A0D" w14:paraId="3DEE6B97" w14:textId="77777777">
      <w:pPr>
        <w:autoSpaceDE w:val="0"/>
        <w:autoSpaceDN w:val="0"/>
        <w:adjustRightInd w:val="0"/>
        <w:spacing w:line="276" w:lineRule="auto"/>
        <w:contextualSpacing/>
        <w:rPr>
          <w:color w:val="000000" w:themeColor="text1"/>
        </w:rPr>
      </w:pPr>
    </w:p>
    <w:p w:rsidR="000C4C1A" w:rsidRPr="00762A0D" w:rsidP="00762A0D" w14:paraId="767A545D" w14:textId="2BF70102">
      <w:pPr>
        <w:autoSpaceDE w:val="0"/>
        <w:autoSpaceDN w:val="0"/>
        <w:adjustRightInd w:val="0"/>
        <w:spacing w:line="276" w:lineRule="auto"/>
        <w:contextualSpacing/>
        <w:rPr>
          <w:color w:val="4472C4" w:themeColor="accent1"/>
        </w:rPr>
      </w:pPr>
      <w:r w:rsidRPr="00762A0D">
        <w:rPr>
          <w:color w:val="4472C4" w:themeColor="accent1"/>
        </w:rPr>
        <w:t>Answered above.</w:t>
      </w:r>
    </w:p>
    <w:p w:rsidR="001E7237" w:rsidRPr="00762A0D" w:rsidP="00762A0D" w14:paraId="2C0E9B80" w14:textId="77777777">
      <w:pPr>
        <w:autoSpaceDE w:val="0"/>
        <w:autoSpaceDN w:val="0"/>
        <w:adjustRightInd w:val="0"/>
        <w:spacing w:line="276" w:lineRule="auto"/>
        <w:contextualSpacing/>
        <w:rPr>
          <w:color w:val="000000" w:themeColor="text1"/>
        </w:rPr>
      </w:pPr>
    </w:p>
    <w:p w:rsidR="000C4C1A" w:rsidRPr="00762A0D" w:rsidP="00762A0D" w14:paraId="4E036CC2" w14:textId="6FEB2C47">
      <w:pPr>
        <w:autoSpaceDE w:val="0"/>
        <w:autoSpaceDN w:val="0"/>
        <w:adjustRightInd w:val="0"/>
        <w:spacing w:line="276" w:lineRule="auto"/>
        <w:contextualSpacing/>
        <w:rPr>
          <w:color w:val="FF0000"/>
        </w:rPr>
      </w:pPr>
      <w:r w:rsidRPr="00762A0D">
        <w:rPr>
          <w:color w:val="FF0000"/>
        </w:rPr>
        <w:t>What is meant by staff? PDMGs, Mitigation, EHP, Recipient.</w:t>
      </w:r>
    </w:p>
    <w:p w:rsidR="001E7237" w:rsidRPr="00762A0D" w:rsidP="00762A0D" w14:paraId="51E4B779" w14:textId="77777777">
      <w:pPr>
        <w:autoSpaceDE w:val="0"/>
        <w:autoSpaceDN w:val="0"/>
        <w:adjustRightInd w:val="0"/>
        <w:spacing w:line="276" w:lineRule="auto"/>
        <w:contextualSpacing/>
        <w:rPr>
          <w:color w:val="000000" w:themeColor="text1"/>
        </w:rPr>
      </w:pPr>
    </w:p>
    <w:p w:rsidR="000C4C1A" w:rsidRPr="00762A0D" w:rsidP="00762A0D" w14:paraId="74701F2C" w14:textId="50B52F4F">
      <w:pPr>
        <w:autoSpaceDE w:val="0"/>
        <w:autoSpaceDN w:val="0"/>
        <w:adjustRightInd w:val="0"/>
        <w:spacing w:line="276" w:lineRule="auto"/>
        <w:contextualSpacing/>
        <w:rPr>
          <w:color w:val="4472C4" w:themeColor="accent1"/>
        </w:rPr>
      </w:pPr>
      <w:r w:rsidRPr="00762A0D">
        <w:rPr>
          <w:color w:val="4472C4" w:themeColor="accent1"/>
        </w:rPr>
        <w:t>Answered above.</w:t>
      </w:r>
    </w:p>
    <w:p w:rsidR="000C4C1A" w:rsidRPr="00762A0D" w:rsidP="00762A0D" w14:paraId="0C68CCE1" w14:textId="77777777">
      <w:pPr>
        <w:autoSpaceDE w:val="0"/>
        <w:autoSpaceDN w:val="0"/>
        <w:adjustRightInd w:val="0"/>
        <w:spacing w:line="276" w:lineRule="auto"/>
        <w:contextualSpacing/>
        <w:rPr>
          <w:color w:val="000000"/>
        </w:rPr>
      </w:pPr>
    </w:p>
    <w:p w:rsidR="000C4C1A" w:rsidRPr="00C34635" w:rsidP="00C34635" w14:paraId="2B888AD0" w14:textId="69D95605">
      <w:pPr>
        <w:autoSpaceDE w:val="0"/>
        <w:autoSpaceDN w:val="0"/>
        <w:adjustRightInd w:val="0"/>
        <w:spacing w:line="276" w:lineRule="auto"/>
        <w:contextualSpacing/>
        <w:rPr>
          <w:b/>
          <w:bCs/>
          <w:color w:val="000000"/>
          <w:u w:val="single"/>
        </w:rPr>
      </w:pPr>
      <w:r w:rsidRPr="00762A0D">
        <w:rPr>
          <w:b/>
          <w:bCs/>
          <w:color w:val="000000"/>
          <w:u w:val="single"/>
        </w:rPr>
        <w:t>FF-104-FY-21-157 (formerly 519-0-34) phone</w:t>
      </w:r>
    </w:p>
    <w:p w:rsidR="00581F3A" w:rsidRPr="00762A0D" w:rsidP="00762A0D" w14:paraId="51C5FCAB" w14:textId="77777777">
      <w:pPr>
        <w:autoSpaceDE w:val="0"/>
        <w:autoSpaceDN w:val="0"/>
        <w:adjustRightInd w:val="0"/>
        <w:spacing w:line="276" w:lineRule="auto"/>
        <w:contextualSpacing/>
        <w:rPr>
          <w:b/>
          <w:bCs/>
          <w:color w:val="000000"/>
          <w:u w:val="single"/>
        </w:rPr>
      </w:pPr>
    </w:p>
    <w:p w:rsidR="000C4C1A" w:rsidRPr="00762A0D" w:rsidP="00762A0D" w14:paraId="72172CCE" w14:textId="529051DC">
      <w:pPr>
        <w:autoSpaceDE w:val="0"/>
        <w:autoSpaceDN w:val="0"/>
        <w:adjustRightInd w:val="0"/>
        <w:spacing w:line="276" w:lineRule="auto"/>
        <w:contextualSpacing/>
        <w:rPr>
          <w:color w:val="FF0000"/>
        </w:rPr>
      </w:pPr>
      <w:r w:rsidRPr="00762A0D">
        <w:rPr>
          <w:color w:val="FF0000"/>
        </w:rPr>
        <w:t>It appears the survey only deals with items prior to obligation. What about post obligation activities and closeout?</w:t>
      </w:r>
    </w:p>
    <w:p w:rsidR="001E7237" w:rsidRPr="00762A0D" w:rsidP="00762A0D" w14:paraId="707C5F68" w14:textId="77777777">
      <w:pPr>
        <w:autoSpaceDE w:val="0"/>
        <w:autoSpaceDN w:val="0"/>
        <w:adjustRightInd w:val="0"/>
        <w:spacing w:line="276" w:lineRule="auto"/>
        <w:contextualSpacing/>
        <w:rPr>
          <w:color w:val="000000" w:themeColor="text1"/>
        </w:rPr>
      </w:pPr>
    </w:p>
    <w:p w:rsidR="000C4C1A" w:rsidRPr="00762A0D" w:rsidP="00762A0D" w14:paraId="7E1EE167" w14:textId="6302762C">
      <w:pPr>
        <w:autoSpaceDE w:val="0"/>
        <w:autoSpaceDN w:val="0"/>
        <w:adjustRightInd w:val="0"/>
        <w:spacing w:line="276" w:lineRule="auto"/>
        <w:contextualSpacing/>
        <w:rPr>
          <w:color w:val="4472C4" w:themeColor="accent1"/>
        </w:rPr>
      </w:pPr>
      <w:r w:rsidRPr="00762A0D">
        <w:rPr>
          <w:color w:val="4472C4" w:themeColor="accent1"/>
        </w:rPr>
        <w:t>Answered above.</w:t>
      </w:r>
    </w:p>
    <w:p w:rsidR="001E7237" w:rsidRPr="00762A0D" w:rsidP="00762A0D" w14:paraId="2ECD404E" w14:textId="77777777">
      <w:pPr>
        <w:autoSpaceDE w:val="0"/>
        <w:autoSpaceDN w:val="0"/>
        <w:adjustRightInd w:val="0"/>
        <w:spacing w:line="276" w:lineRule="auto"/>
        <w:contextualSpacing/>
        <w:rPr>
          <w:color w:val="000000" w:themeColor="text1"/>
        </w:rPr>
      </w:pPr>
    </w:p>
    <w:p w:rsidR="000C4C1A" w:rsidRPr="00762A0D" w:rsidP="00762A0D" w14:paraId="01BA3551" w14:textId="7344BB2A">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57032F4E" w14:textId="77777777">
      <w:pPr>
        <w:autoSpaceDE w:val="0"/>
        <w:autoSpaceDN w:val="0"/>
        <w:adjustRightInd w:val="0"/>
        <w:spacing w:line="276" w:lineRule="auto"/>
        <w:contextualSpacing/>
        <w:rPr>
          <w:color w:val="000000" w:themeColor="text1"/>
        </w:rPr>
      </w:pPr>
    </w:p>
    <w:p w:rsidR="000C4C1A" w:rsidRPr="00762A0D" w:rsidP="00762A0D" w14:paraId="5F9C1281" w14:textId="722D82E3">
      <w:pPr>
        <w:autoSpaceDE w:val="0"/>
        <w:autoSpaceDN w:val="0"/>
        <w:adjustRightInd w:val="0"/>
        <w:spacing w:line="276" w:lineRule="auto"/>
        <w:contextualSpacing/>
        <w:rPr>
          <w:color w:val="4472C4" w:themeColor="accent1"/>
        </w:rPr>
      </w:pPr>
      <w:r w:rsidRPr="00762A0D">
        <w:rPr>
          <w:color w:val="4472C4" w:themeColor="accent1"/>
        </w:rPr>
        <w:t>As previously mentioned, additional topics may be considered in the next survey revision.  The number of applicants who are able to answer questions about these topics is typically low in a given disaster, and there is a balancing act in trying to keep the surveys short to minimize burden and keep response rates high.</w:t>
      </w:r>
    </w:p>
    <w:p w:rsidR="001E7237" w:rsidRPr="00C34635" w:rsidP="00C34635" w14:paraId="61277881" w14:textId="77777777">
      <w:pPr>
        <w:autoSpaceDE w:val="0"/>
        <w:autoSpaceDN w:val="0"/>
        <w:adjustRightInd w:val="0"/>
        <w:spacing w:line="276" w:lineRule="auto"/>
        <w:contextualSpacing/>
        <w:rPr>
          <w:color w:val="000000"/>
        </w:rPr>
      </w:pPr>
    </w:p>
    <w:p w:rsidR="000C4C1A" w:rsidRPr="00762A0D" w:rsidP="00762A0D" w14:paraId="017ED3E8" w14:textId="3877A5FC">
      <w:pPr>
        <w:autoSpaceDE w:val="0"/>
        <w:autoSpaceDN w:val="0"/>
        <w:adjustRightInd w:val="0"/>
        <w:spacing w:line="276" w:lineRule="auto"/>
        <w:ind w:firstLine="720"/>
        <w:contextualSpacing/>
        <w:rPr>
          <w:color w:val="000000"/>
          <w:u w:val="single"/>
        </w:rPr>
      </w:pPr>
      <w:r w:rsidRPr="00762A0D">
        <w:rPr>
          <w:color w:val="000000"/>
          <w:u w:val="single"/>
        </w:rPr>
        <w:t>Iowa’s Questions are noted below</w:t>
      </w:r>
    </w:p>
    <w:p w:rsidR="000C4C1A" w:rsidRPr="00762A0D" w:rsidP="00762A0D" w14:paraId="0CF2EF26" w14:textId="77777777">
      <w:pPr>
        <w:autoSpaceDE w:val="0"/>
        <w:autoSpaceDN w:val="0"/>
        <w:adjustRightInd w:val="0"/>
        <w:spacing w:line="276" w:lineRule="auto"/>
        <w:contextualSpacing/>
        <w:rPr>
          <w:color w:val="000000"/>
        </w:rPr>
      </w:pPr>
    </w:p>
    <w:p w:rsidR="000C4C1A" w:rsidRPr="00762A0D" w:rsidP="00762A0D" w14:paraId="444714D0" w14:textId="55313355">
      <w:pPr>
        <w:autoSpaceDE w:val="0"/>
        <w:autoSpaceDN w:val="0"/>
        <w:adjustRightInd w:val="0"/>
        <w:spacing w:line="276" w:lineRule="auto"/>
        <w:contextualSpacing/>
        <w:rPr>
          <w:color w:val="FF0000"/>
        </w:rPr>
      </w:pPr>
      <w:r w:rsidRPr="00762A0D">
        <w:rPr>
          <w:color w:val="FF0000"/>
        </w:rPr>
        <w:t>1.</w:t>
      </w:r>
      <w:r w:rsidRPr="00762A0D">
        <w:rPr>
          <w:color w:val="000000"/>
        </w:rPr>
        <w:t xml:space="preserve"> </w:t>
      </w:r>
      <w:r w:rsidRPr="00762A0D">
        <w:rPr>
          <w:color w:val="FF0000"/>
        </w:rPr>
        <w:t>What is meant by customer service? Interpretation of customer service is widely varied. Please</w:t>
      </w:r>
      <w:r w:rsidRPr="00C34635">
        <w:rPr>
          <w:color w:val="FF0000"/>
        </w:rPr>
        <w:t xml:space="preserve"> </w:t>
      </w:r>
      <w:r w:rsidRPr="00762A0D">
        <w:rPr>
          <w:color w:val="FF0000"/>
        </w:rPr>
        <w:t>define or rephrase question.</w:t>
      </w:r>
    </w:p>
    <w:p w:rsidR="001E7237" w:rsidRPr="00762A0D" w:rsidP="00762A0D" w14:paraId="7B0FCD40" w14:textId="77777777">
      <w:pPr>
        <w:autoSpaceDE w:val="0"/>
        <w:autoSpaceDN w:val="0"/>
        <w:adjustRightInd w:val="0"/>
        <w:spacing w:line="276" w:lineRule="auto"/>
        <w:contextualSpacing/>
        <w:rPr>
          <w:color w:val="000000" w:themeColor="text1"/>
        </w:rPr>
      </w:pPr>
    </w:p>
    <w:p w:rsidR="000C4C1A" w:rsidRPr="00C34635" w:rsidP="00762A0D" w14:paraId="75F638C4" w14:textId="7F04ED48">
      <w:pPr>
        <w:autoSpaceDE w:val="0"/>
        <w:autoSpaceDN w:val="0"/>
        <w:adjustRightInd w:val="0"/>
        <w:spacing w:line="276" w:lineRule="auto"/>
        <w:contextualSpacing/>
        <w:rPr>
          <w:color w:val="4472C4" w:themeColor="accent1"/>
        </w:rPr>
      </w:pPr>
      <w:r w:rsidRPr="00C34635">
        <w:rPr>
          <w:color w:val="4472C4" w:themeColor="accent1"/>
        </w:rPr>
        <w:t>Customer Service can be nuanced and have slightly different meanings to different people.  Part of the difficulty in designing surveys is keeping them straightforward and simple, while also being specific enough for respondents to understand the question.  Similar versions of these surveys have been administered since 2018.  FEMA has not encountered any issues with having to define customer service to respondents.</w:t>
      </w:r>
    </w:p>
    <w:p w:rsidR="001E7237" w:rsidRPr="00762A0D" w:rsidP="00C34635" w14:paraId="73AE91C1" w14:textId="77777777">
      <w:pPr>
        <w:autoSpaceDE w:val="0"/>
        <w:autoSpaceDN w:val="0"/>
        <w:adjustRightInd w:val="0"/>
        <w:spacing w:line="276" w:lineRule="auto"/>
        <w:contextualSpacing/>
        <w:rPr>
          <w:color w:val="000000" w:themeColor="text1"/>
        </w:rPr>
      </w:pPr>
    </w:p>
    <w:p w:rsidR="000C4C1A" w:rsidRPr="00762A0D" w:rsidP="00762A0D" w14:paraId="01ECA2CE" w14:textId="66FC2F47">
      <w:pPr>
        <w:autoSpaceDE w:val="0"/>
        <w:autoSpaceDN w:val="0"/>
        <w:adjustRightInd w:val="0"/>
        <w:spacing w:line="276" w:lineRule="auto"/>
        <w:contextualSpacing/>
        <w:rPr>
          <w:color w:val="FF0000"/>
        </w:rPr>
      </w:pPr>
      <w:r w:rsidRPr="00762A0D">
        <w:rPr>
          <w:color w:val="FF0000"/>
        </w:rPr>
        <w:t>4. Is the update of your projects up to obligation?</w:t>
      </w:r>
    </w:p>
    <w:p w:rsidR="001E7237" w:rsidRPr="00762A0D" w:rsidP="00762A0D" w14:paraId="3D7FC152" w14:textId="77777777">
      <w:pPr>
        <w:autoSpaceDE w:val="0"/>
        <w:autoSpaceDN w:val="0"/>
        <w:adjustRightInd w:val="0"/>
        <w:spacing w:line="276" w:lineRule="auto"/>
        <w:contextualSpacing/>
        <w:rPr>
          <w:color w:val="000000" w:themeColor="text1"/>
        </w:rPr>
      </w:pPr>
    </w:p>
    <w:p w:rsidR="000C4C1A" w:rsidRPr="00C34635" w:rsidP="00762A0D" w14:paraId="6E2E6604" w14:textId="0621106C">
      <w:pPr>
        <w:autoSpaceDE w:val="0"/>
        <w:autoSpaceDN w:val="0"/>
        <w:adjustRightInd w:val="0"/>
        <w:spacing w:line="276" w:lineRule="auto"/>
        <w:contextualSpacing/>
        <w:rPr>
          <w:color w:val="4472C4" w:themeColor="accent1"/>
        </w:rPr>
      </w:pPr>
      <w:r w:rsidRPr="00C34635">
        <w:rPr>
          <w:color w:val="4472C4" w:themeColor="accent1"/>
        </w:rPr>
        <w:t xml:space="preserve">This question refers to any status updates the applicant may have received about their projects, up until the time the survey is administered. Typically, this survey is administered when </w:t>
      </w:r>
      <w:r w:rsidRPr="00C34635">
        <w:rPr>
          <w:color w:val="0070C0"/>
        </w:rPr>
        <w:t>~210 days have elapsed since the declaration date and ~70% of funds have been obligated to projects.</w:t>
      </w:r>
      <w:r w:rsidRPr="00C34635">
        <w:rPr>
          <w:color w:val="4472C4" w:themeColor="accent1"/>
        </w:rPr>
        <w:t xml:space="preserve"> </w:t>
      </w:r>
    </w:p>
    <w:p w:rsidR="001E7237" w:rsidRPr="00762A0D" w:rsidP="00C34635" w14:paraId="48ED9FDB" w14:textId="77777777">
      <w:pPr>
        <w:autoSpaceDE w:val="0"/>
        <w:autoSpaceDN w:val="0"/>
        <w:adjustRightInd w:val="0"/>
        <w:spacing w:line="276" w:lineRule="auto"/>
        <w:contextualSpacing/>
        <w:rPr>
          <w:color w:val="000000" w:themeColor="text1"/>
        </w:rPr>
      </w:pPr>
    </w:p>
    <w:p w:rsidR="000C4C1A" w:rsidRPr="00762A0D" w:rsidP="00762A0D" w14:paraId="4ED3FFF3" w14:textId="38D7C6AD">
      <w:pPr>
        <w:autoSpaceDE w:val="0"/>
        <w:autoSpaceDN w:val="0"/>
        <w:adjustRightInd w:val="0"/>
        <w:spacing w:line="276" w:lineRule="auto"/>
        <w:contextualSpacing/>
        <w:rPr>
          <w:color w:val="FF0000"/>
        </w:rPr>
      </w:pPr>
      <w:r w:rsidRPr="00762A0D">
        <w:rPr>
          <w:color w:val="FF0000"/>
        </w:rPr>
        <w:t>22. Is the question regarding funding pertinent since funding is part of the recipient’s (pass-through)</w:t>
      </w:r>
      <w:r w:rsidRPr="00C34635">
        <w:rPr>
          <w:color w:val="FF0000"/>
        </w:rPr>
        <w:t xml:space="preserve"> </w:t>
      </w:r>
      <w:r w:rsidRPr="00762A0D">
        <w:rPr>
          <w:color w:val="FF0000"/>
        </w:rPr>
        <w:t>responsibility and not FEMA? Does this question need to be adjusted?</w:t>
      </w:r>
    </w:p>
    <w:p w:rsidR="001E7237" w:rsidRPr="00762A0D" w:rsidP="00762A0D" w14:paraId="7AC57821" w14:textId="77777777">
      <w:pPr>
        <w:autoSpaceDE w:val="0"/>
        <w:autoSpaceDN w:val="0"/>
        <w:adjustRightInd w:val="0"/>
        <w:spacing w:line="276" w:lineRule="auto"/>
        <w:contextualSpacing/>
        <w:rPr>
          <w:color w:val="000000" w:themeColor="text1"/>
        </w:rPr>
      </w:pPr>
    </w:p>
    <w:p w:rsidR="000C4C1A" w:rsidRPr="00C34635" w:rsidP="00762A0D" w14:paraId="360EE04C" w14:textId="71523B9A">
      <w:pPr>
        <w:autoSpaceDE w:val="0"/>
        <w:autoSpaceDN w:val="0"/>
        <w:adjustRightInd w:val="0"/>
        <w:spacing w:line="276" w:lineRule="auto"/>
        <w:contextualSpacing/>
        <w:rPr>
          <w:color w:val="4472C4" w:themeColor="accent1"/>
        </w:rPr>
      </w:pPr>
      <w:r w:rsidRPr="00C34635">
        <w:rPr>
          <w:color w:val="4472C4" w:themeColor="accent1"/>
        </w:rPr>
        <w:t>Sometimes the Public Assistance Program or the Performance Management Team within the Recovery Reporting and Analytics Division may request questions be included on the survey to address specific business questions.  If during the next survey rewrite it is determined that the question is no longer needed, it will be removed.</w:t>
      </w:r>
    </w:p>
    <w:p w:rsidR="000C4C1A" w:rsidRPr="00762A0D" w:rsidP="00762A0D" w14:paraId="73BFA756" w14:textId="77777777">
      <w:pPr>
        <w:autoSpaceDE w:val="0"/>
        <w:autoSpaceDN w:val="0"/>
        <w:adjustRightInd w:val="0"/>
        <w:spacing w:line="276" w:lineRule="auto"/>
        <w:contextualSpacing/>
        <w:rPr>
          <w:color w:val="000000"/>
        </w:rPr>
      </w:pPr>
    </w:p>
    <w:p w:rsidR="000C4C1A" w:rsidRPr="00762A0D" w:rsidP="00762A0D" w14:paraId="1A838561" w14:textId="77777777">
      <w:pPr>
        <w:autoSpaceDE w:val="0"/>
        <w:autoSpaceDN w:val="0"/>
        <w:adjustRightInd w:val="0"/>
        <w:spacing w:line="276" w:lineRule="auto"/>
        <w:contextualSpacing/>
        <w:rPr>
          <w:b/>
          <w:bCs/>
          <w:color w:val="000000"/>
          <w:u w:val="single"/>
        </w:rPr>
      </w:pPr>
      <w:r w:rsidRPr="00762A0D">
        <w:rPr>
          <w:b/>
          <w:bCs/>
          <w:color w:val="000000"/>
          <w:u w:val="single"/>
        </w:rPr>
        <w:t>FF-104-FY-21-158 (formerly 519-0-35) internet</w:t>
      </w:r>
    </w:p>
    <w:p w:rsidR="001E7237" w:rsidRPr="00762A0D" w:rsidP="00762A0D" w14:paraId="40F7EAFD" w14:textId="77777777">
      <w:pPr>
        <w:autoSpaceDE w:val="0"/>
        <w:autoSpaceDN w:val="0"/>
        <w:adjustRightInd w:val="0"/>
        <w:spacing w:line="276" w:lineRule="auto"/>
        <w:contextualSpacing/>
        <w:rPr>
          <w:color w:val="000000" w:themeColor="text1"/>
        </w:rPr>
      </w:pPr>
    </w:p>
    <w:p w:rsidR="000C4C1A" w:rsidRPr="00762A0D" w:rsidP="00762A0D" w14:paraId="2915415B" w14:textId="3B442979">
      <w:pPr>
        <w:autoSpaceDE w:val="0"/>
        <w:autoSpaceDN w:val="0"/>
        <w:adjustRightInd w:val="0"/>
        <w:spacing w:line="276" w:lineRule="auto"/>
        <w:contextualSpacing/>
        <w:rPr>
          <w:color w:val="FF0000"/>
        </w:rPr>
      </w:pPr>
      <w:r w:rsidRPr="00762A0D">
        <w:rPr>
          <w:color w:val="FF0000"/>
        </w:rPr>
        <w:t>It appears the survey only deals with items prior to obligation. What about post obligation activities and closeout?</w:t>
      </w:r>
    </w:p>
    <w:p w:rsidR="001E7237" w:rsidRPr="00762A0D" w:rsidP="00762A0D" w14:paraId="791F02EC" w14:textId="77777777">
      <w:pPr>
        <w:autoSpaceDE w:val="0"/>
        <w:autoSpaceDN w:val="0"/>
        <w:adjustRightInd w:val="0"/>
        <w:spacing w:line="276" w:lineRule="auto"/>
        <w:contextualSpacing/>
        <w:rPr>
          <w:color w:val="000000" w:themeColor="text1"/>
        </w:rPr>
      </w:pPr>
    </w:p>
    <w:p w:rsidR="000C4C1A" w:rsidRPr="00762A0D" w:rsidP="00762A0D" w14:paraId="2F78FF13" w14:textId="47CC066B">
      <w:pPr>
        <w:autoSpaceDE w:val="0"/>
        <w:autoSpaceDN w:val="0"/>
        <w:adjustRightInd w:val="0"/>
        <w:spacing w:line="276" w:lineRule="auto"/>
        <w:contextualSpacing/>
        <w:rPr>
          <w:color w:val="4472C4" w:themeColor="accent1"/>
        </w:rPr>
      </w:pPr>
      <w:r w:rsidRPr="00762A0D">
        <w:rPr>
          <w:color w:val="4472C4" w:themeColor="accent1"/>
        </w:rPr>
        <w:t>See answers above</w:t>
      </w:r>
    </w:p>
    <w:p w:rsidR="001E7237" w:rsidRPr="00762A0D" w:rsidP="00762A0D" w14:paraId="65B9279A" w14:textId="77777777">
      <w:pPr>
        <w:autoSpaceDE w:val="0"/>
        <w:autoSpaceDN w:val="0"/>
        <w:adjustRightInd w:val="0"/>
        <w:spacing w:line="276" w:lineRule="auto"/>
        <w:contextualSpacing/>
        <w:rPr>
          <w:color w:val="000000" w:themeColor="text1"/>
        </w:rPr>
      </w:pPr>
    </w:p>
    <w:p w:rsidR="000C4C1A" w:rsidRPr="00762A0D" w:rsidP="00762A0D" w14:paraId="4FDE4C86" w14:textId="72E5674F">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535995E1" w14:textId="77777777">
      <w:pPr>
        <w:autoSpaceDE w:val="0"/>
        <w:autoSpaceDN w:val="0"/>
        <w:adjustRightInd w:val="0"/>
        <w:spacing w:line="276" w:lineRule="auto"/>
        <w:contextualSpacing/>
        <w:rPr>
          <w:color w:val="000000" w:themeColor="text1"/>
        </w:rPr>
      </w:pPr>
    </w:p>
    <w:p w:rsidR="000C4C1A" w:rsidRPr="00762A0D" w:rsidP="00762A0D" w14:paraId="1E2A9B9B" w14:textId="30A8B5F7">
      <w:pPr>
        <w:autoSpaceDE w:val="0"/>
        <w:autoSpaceDN w:val="0"/>
        <w:adjustRightInd w:val="0"/>
        <w:spacing w:line="276" w:lineRule="auto"/>
        <w:contextualSpacing/>
        <w:rPr>
          <w:color w:val="4472C4" w:themeColor="accent1"/>
        </w:rPr>
      </w:pPr>
      <w:r w:rsidRPr="00762A0D">
        <w:rPr>
          <w:color w:val="4472C4" w:themeColor="accent1"/>
        </w:rPr>
        <w:t>See answers above</w:t>
      </w:r>
    </w:p>
    <w:p w:rsidR="000C4C1A" w:rsidRPr="00762A0D" w:rsidP="00762A0D" w14:paraId="63A04480" w14:textId="77777777">
      <w:pPr>
        <w:autoSpaceDE w:val="0"/>
        <w:autoSpaceDN w:val="0"/>
        <w:adjustRightInd w:val="0"/>
        <w:spacing w:line="276" w:lineRule="auto"/>
        <w:contextualSpacing/>
        <w:rPr>
          <w:color w:val="000000" w:themeColor="text1"/>
        </w:rPr>
      </w:pPr>
    </w:p>
    <w:p w:rsidR="000C4C1A" w:rsidRPr="00762A0D" w:rsidP="00762A0D" w14:paraId="1670CF60" w14:textId="7865015A">
      <w:pPr>
        <w:autoSpaceDE w:val="0"/>
        <w:autoSpaceDN w:val="0"/>
        <w:adjustRightInd w:val="0"/>
        <w:spacing w:line="276" w:lineRule="auto"/>
        <w:ind w:left="360"/>
        <w:contextualSpacing/>
        <w:rPr>
          <w:color w:val="000000"/>
          <w:u w:val="single"/>
        </w:rPr>
      </w:pPr>
      <w:r w:rsidRPr="00762A0D">
        <w:rPr>
          <w:color w:val="000000"/>
          <w:u w:val="single"/>
        </w:rPr>
        <w:t>Iowa’s Questions are noted below</w:t>
      </w:r>
    </w:p>
    <w:p w:rsidR="000C4C1A" w:rsidRPr="00762A0D" w:rsidP="00762A0D" w14:paraId="55F1C631" w14:textId="77777777">
      <w:pPr>
        <w:autoSpaceDE w:val="0"/>
        <w:autoSpaceDN w:val="0"/>
        <w:adjustRightInd w:val="0"/>
        <w:spacing w:line="276" w:lineRule="auto"/>
        <w:contextualSpacing/>
        <w:rPr>
          <w:color w:val="000000"/>
        </w:rPr>
      </w:pPr>
    </w:p>
    <w:p w:rsidR="000C4C1A" w:rsidRPr="00762A0D" w:rsidP="00762A0D" w14:paraId="512AB869" w14:textId="39460BA5">
      <w:pPr>
        <w:autoSpaceDE w:val="0"/>
        <w:autoSpaceDN w:val="0"/>
        <w:adjustRightInd w:val="0"/>
        <w:spacing w:line="276" w:lineRule="auto"/>
        <w:contextualSpacing/>
        <w:rPr>
          <w:color w:val="FF0000"/>
        </w:rPr>
      </w:pPr>
      <w:r w:rsidRPr="00762A0D">
        <w:rPr>
          <w:color w:val="FF0000"/>
        </w:rPr>
        <w:t>What is meant by customer service? Interpretation of customer service is widely varied. Please define or rephrase question.</w:t>
      </w:r>
    </w:p>
    <w:p w:rsidR="001E7237" w:rsidRPr="00762A0D" w:rsidP="00762A0D" w14:paraId="0B223EA8" w14:textId="77777777">
      <w:pPr>
        <w:autoSpaceDE w:val="0"/>
        <w:autoSpaceDN w:val="0"/>
        <w:adjustRightInd w:val="0"/>
        <w:spacing w:line="276" w:lineRule="auto"/>
        <w:contextualSpacing/>
        <w:rPr>
          <w:color w:val="000000" w:themeColor="text1"/>
        </w:rPr>
      </w:pPr>
    </w:p>
    <w:p w:rsidR="000C4C1A" w:rsidRPr="00C34635" w:rsidP="00762A0D" w14:paraId="6EF174CD" w14:textId="45814433">
      <w:pPr>
        <w:autoSpaceDE w:val="0"/>
        <w:autoSpaceDN w:val="0"/>
        <w:adjustRightInd w:val="0"/>
        <w:spacing w:line="276" w:lineRule="auto"/>
        <w:contextualSpacing/>
        <w:rPr>
          <w:color w:val="4472C4" w:themeColor="accent1"/>
        </w:rPr>
      </w:pPr>
      <w:r w:rsidRPr="00C34635">
        <w:rPr>
          <w:color w:val="4472C4" w:themeColor="accent1"/>
        </w:rPr>
        <w:t>See answers above</w:t>
      </w:r>
    </w:p>
    <w:p w:rsidR="001E7237" w:rsidRPr="00762A0D" w:rsidP="00762A0D" w14:paraId="3D05E755" w14:textId="77777777">
      <w:pPr>
        <w:autoSpaceDE w:val="0"/>
        <w:autoSpaceDN w:val="0"/>
        <w:adjustRightInd w:val="0"/>
        <w:spacing w:line="276" w:lineRule="auto"/>
        <w:contextualSpacing/>
        <w:rPr>
          <w:color w:val="000000" w:themeColor="text1"/>
        </w:rPr>
      </w:pPr>
    </w:p>
    <w:p w:rsidR="000C4C1A" w:rsidRPr="00762A0D" w:rsidP="00762A0D" w14:paraId="401ACDEA" w14:textId="681D0997">
      <w:pPr>
        <w:autoSpaceDE w:val="0"/>
        <w:autoSpaceDN w:val="0"/>
        <w:adjustRightInd w:val="0"/>
        <w:spacing w:line="276" w:lineRule="auto"/>
        <w:contextualSpacing/>
        <w:rPr>
          <w:color w:val="FF0000"/>
        </w:rPr>
      </w:pPr>
      <w:r w:rsidRPr="00762A0D">
        <w:rPr>
          <w:color w:val="FF0000"/>
        </w:rPr>
        <w:t>5. Is the update of your projects up to obligation?</w:t>
      </w:r>
    </w:p>
    <w:p w:rsidR="001E7237" w:rsidRPr="00762A0D" w:rsidP="00762A0D" w14:paraId="616316E0" w14:textId="77777777">
      <w:pPr>
        <w:autoSpaceDE w:val="0"/>
        <w:autoSpaceDN w:val="0"/>
        <w:adjustRightInd w:val="0"/>
        <w:spacing w:line="276" w:lineRule="auto"/>
        <w:contextualSpacing/>
        <w:rPr>
          <w:color w:val="000000" w:themeColor="text1"/>
        </w:rPr>
      </w:pPr>
    </w:p>
    <w:p w:rsidR="000C4C1A" w:rsidRPr="00C34635" w:rsidP="00762A0D" w14:paraId="5F5A6425" w14:textId="3B164BB4">
      <w:pPr>
        <w:autoSpaceDE w:val="0"/>
        <w:autoSpaceDN w:val="0"/>
        <w:adjustRightInd w:val="0"/>
        <w:spacing w:line="276" w:lineRule="auto"/>
        <w:contextualSpacing/>
        <w:rPr>
          <w:color w:val="4472C4" w:themeColor="accent1"/>
        </w:rPr>
      </w:pPr>
      <w:r w:rsidRPr="00C34635">
        <w:rPr>
          <w:color w:val="4472C4" w:themeColor="accent1"/>
        </w:rPr>
        <w:t>See answers above</w:t>
      </w:r>
    </w:p>
    <w:p w:rsidR="001E7237" w:rsidRPr="00762A0D" w:rsidP="00762A0D" w14:paraId="5AAC1F5E" w14:textId="77777777">
      <w:pPr>
        <w:autoSpaceDE w:val="0"/>
        <w:autoSpaceDN w:val="0"/>
        <w:adjustRightInd w:val="0"/>
        <w:spacing w:line="276" w:lineRule="auto"/>
        <w:contextualSpacing/>
        <w:rPr>
          <w:color w:val="000000" w:themeColor="text1"/>
        </w:rPr>
      </w:pPr>
    </w:p>
    <w:p w:rsidR="000C4C1A" w:rsidRPr="00762A0D" w:rsidP="00762A0D" w14:paraId="6484CED0" w14:textId="22A6237C">
      <w:pPr>
        <w:autoSpaceDE w:val="0"/>
        <w:autoSpaceDN w:val="0"/>
        <w:adjustRightInd w:val="0"/>
        <w:spacing w:line="276" w:lineRule="auto"/>
        <w:contextualSpacing/>
        <w:rPr>
          <w:color w:val="FF0000"/>
        </w:rPr>
      </w:pPr>
      <w:r w:rsidRPr="00762A0D">
        <w:rPr>
          <w:color w:val="FF0000"/>
        </w:rPr>
        <w:t>23. Is the question regarding funding pertinent since funding is part of the recipient’s (pass-through) responsibility and not FEMA? Does this question need to be adjusted?</w:t>
      </w:r>
    </w:p>
    <w:p w:rsidR="001E7237" w:rsidRPr="00762A0D" w:rsidP="00762A0D" w14:paraId="1E93BCA4" w14:textId="77777777">
      <w:pPr>
        <w:autoSpaceDE w:val="0"/>
        <w:autoSpaceDN w:val="0"/>
        <w:adjustRightInd w:val="0"/>
        <w:spacing w:line="276" w:lineRule="auto"/>
        <w:contextualSpacing/>
        <w:rPr>
          <w:color w:val="000000" w:themeColor="text1"/>
        </w:rPr>
      </w:pPr>
    </w:p>
    <w:p w:rsidR="000C4C1A" w:rsidRPr="00C34635" w:rsidP="00762A0D" w14:paraId="55FEF7A6" w14:textId="5748CAAA">
      <w:pPr>
        <w:autoSpaceDE w:val="0"/>
        <w:autoSpaceDN w:val="0"/>
        <w:adjustRightInd w:val="0"/>
        <w:spacing w:line="276" w:lineRule="auto"/>
        <w:contextualSpacing/>
        <w:rPr>
          <w:color w:val="4472C4" w:themeColor="accent1"/>
        </w:rPr>
      </w:pPr>
      <w:r w:rsidRPr="00C34635">
        <w:rPr>
          <w:color w:val="4472C4" w:themeColor="accent1"/>
        </w:rPr>
        <w:t>See answers above</w:t>
      </w:r>
    </w:p>
    <w:p w:rsidR="000C4C1A" w:rsidRPr="00C34635" w:rsidP="00C34635" w14:paraId="0439E804" w14:textId="77777777">
      <w:pPr>
        <w:spacing w:line="276" w:lineRule="auto"/>
        <w:contextualSpacing/>
      </w:pPr>
    </w:p>
    <w:p w:rsidR="008B7CC9" w:rsidRPr="00827715" w:rsidP="00C34635" w14:paraId="29CEF20B" w14:textId="2C78608E">
      <w:pPr>
        <w:spacing w:line="276" w:lineRule="auto"/>
        <w:contextualSpacing/>
        <w:rPr>
          <w:color w:val="000000"/>
        </w:rPr>
      </w:pPr>
      <w:r w:rsidRPr="00C34635">
        <w:rPr>
          <w:color w:val="000000"/>
        </w:rPr>
        <w:t>A 30-day Federal Register Notice inviting public comments was published on</w:t>
      </w:r>
      <w:r w:rsidRPr="00827715">
        <w:rPr>
          <w:color w:val="000000"/>
        </w:rPr>
        <w:t xml:space="preserve"> </w:t>
      </w:r>
      <w:r w:rsidRPr="00827715" w:rsidR="00FA434E">
        <w:rPr>
          <w:color w:val="000000"/>
        </w:rPr>
        <w:t>March 1, 2023, at 88 FR 12973</w:t>
      </w:r>
      <w:r w:rsidRPr="00827715">
        <w:rPr>
          <w:color w:val="000000"/>
        </w:rPr>
        <w:t xml:space="preserve">.  </w:t>
      </w:r>
      <w:r w:rsidRPr="00827715" w:rsidR="00FA434E">
        <w:rPr>
          <w:color w:val="000000"/>
        </w:rPr>
        <w:t xml:space="preserve">The public comment period is open until March 31, </w:t>
      </w:r>
      <w:r w:rsidRPr="00827715" w:rsidR="00E11BDD">
        <w:rPr>
          <w:color w:val="000000"/>
        </w:rPr>
        <w:t>202</w:t>
      </w:r>
      <w:r w:rsidR="00E11BDD">
        <w:rPr>
          <w:color w:val="000000"/>
        </w:rPr>
        <w:t>3</w:t>
      </w:r>
      <w:r w:rsidRPr="00827715">
        <w:rPr>
          <w:color w:val="000000"/>
        </w:rPr>
        <w:t>.</w:t>
      </w:r>
    </w:p>
    <w:p w:rsidR="007B7E04" w:rsidRPr="00827715" w:rsidP="00C34635" w14:paraId="3F7CB368" w14:textId="7481B393">
      <w:pPr>
        <w:tabs>
          <w:tab w:val="center" w:pos="4320"/>
          <w:tab w:val="right" w:pos="8640"/>
        </w:tabs>
        <w:spacing w:line="276" w:lineRule="auto"/>
        <w:contextualSpacing/>
        <w:rPr>
          <w:color w:val="000000"/>
        </w:rPr>
      </w:pPr>
    </w:p>
    <w:p w:rsidR="00842E74" w:rsidRPr="00C34635" w:rsidP="00C34635" w14:paraId="2DFB7B32" w14:textId="77777777">
      <w:pPr>
        <w:tabs>
          <w:tab w:val="left" w:pos="360"/>
        </w:tabs>
        <w:spacing w:line="276" w:lineRule="auto"/>
        <w:contextualSpacing/>
        <w:rPr>
          <w:b/>
          <w:bCs/>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r w:rsidRPr="00C34635">
        <w:rPr>
          <w:color w:val="000000" w:themeColor="text1"/>
        </w:rPr>
        <w:tab/>
      </w:r>
      <w:r w:rsidRPr="00C34635">
        <w:rPr>
          <w:color w:val="000000" w:themeColor="text1"/>
        </w:rPr>
        <w:tab/>
      </w:r>
      <w:r w:rsidRPr="00C34635">
        <w:rPr>
          <w:b/>
          <w:bCs/>
          <w:color w:val="000000" w:themeColor="text1"/>
        </w:rPr>
        <w:t xml:space="preserve">b.  Describe efforts to consult with persons outside the agency to obtain their views on the availability of data, frequency of collection, the clarity of </w:t>
      </w:r>
      <w:r w:rsidRPr="00C34635" w:rsidR="00232C69">
        <w:rPr>
          <w:b/>
          <w:bCs/>
          <w:color w:val="000000" w:themeColor="text1"/>
        </w:rPr>
        <w:t>ins</w:t>
      </w:r>
      <w:r w:rsidRPr="00C34635">
        <w:rPr>
          <w:b/>
          <w:bCs/>
          <w:color w:val="000000" w:themeColor="text1"/>
        </w:rPr>
        <w:t>tructions and recordkeeping, disclosure, or reporting format (if any), and on the data elements to be recorded, disclosed, or reported.</w:t>
      </w:r>
    </w:p>
    <w:p w:rsidR="00372ED0" w:rsidRPr="00C34635" w:rsidP="00C34635" w14:paraId="23B1F28D" w14:textId="77777777">
      <w:pPr>
        <w:spacing w:line="276" w:lineRule="auto"/>
        <w:contextualSpacing/>
        <w:rPr>
          <w:color w:val="000000" w:themeColor="text1"/>
        </w:rPr>
      </w:pPr>
    </w:p>
    <w:p w:rsidR="00BA78EB" w:rsidRPr="00C34635" w:rsidP="00C34635" w14:paraId="7CB2C656" w14:textId="77777777">
      <w:pPr>
        <w:spacing w:after="160" w:line="276" w:lineRule="auto"/>
        <w:contextualSpacing/>
        <w:rPr>
          <w:color w:val="000000" w:themeColor="text1"/>
        </w:rPr>
      </w:pPr>
      <w:r w:rsidRPr="00C34635">
        <w:rPr>
          <w:color w:val="000000" w:themeColor="text1"/>
        </w:rPr>
        <w:t>Because the purpose of this submission is to reduce burden and not make changes to survey content, no efforts were made to consult with persons outside the agency.</w:t>
      </w:r>
    </w:p>
    <w:p w:rsidR="008B7CC9" w:rsidRPr="00C34635" w:rsidP="00C34635" w14:paraId="716FDD81" w14:textId="77777777">
      <w:pPr>
        <w:spacing w:after="160" w:line="276" w:lineRule="auto"/>
        <w:contextualSpacing/>
        <w:rPr>
          <w:color w:val="000000" w:themeColor="text1"/>
        </w:rPr>
      </w:pPr>
      <w:r w:rsidRPr="00C34635">
        <w:rPr>
          <w:color w:val="000000" w:themeColor="text1"/>
        </w:rPr>
        <w:t xml:space="preserve">Whenever survey content is changed, </w:t>
      </w:r>
      <w:r w:rsidRPr="00C34635" w:rsidR="009445BF">
        <w:rPr>
          <w:color w:val="000000" w:themeColor="text1"/>
        </w:rPr>
        <w:t xml:space="preserve">the </w:t>
      </w:r>
      <w:r w:rsidRPr="00C34635" w:rsidR="00FA3C3D">
        <w:rPr>
          <w:color w:val="000000" w:themeColor="text1"/>
        </w:rPr>
        <w:t xml:space="preserve">Recovery Directorate and Public Assistance Program Managers </w:t>
      </w:r>
      <w:r w:rsidRPr="00C34635">
        <w:rPr>
          <w:color w:val="000000" w:themeColor="text1"/>
        </w:rPr>
        <w:t>are</w:t>
      </w:r>
      <w:r w:rsidRPr="00C34635" w:rsidR="00FA3C3D">
        <w:rPr>
          <w:color w:val="000000" w:themeColor="text1"/>
        </w:rPr>
        <w:t xml:space="preserve"> consulted for input about the data collected in the survey questionnaires</w:t>
      </w:r>
      <w:r w:rsidRPr="00C34635" w:rsidR="007278B3">
        <w:rPr>
          <w:color w:val="000000" w:themeColor="text1"/>
        </w:rPr>
        <w:t>.</w:t>
      </w:r>
      <w:r w:rsidRPr="00C34635" w:rsidR="005E23CF">
        <w:rPr>
          <w:color w:val="000000" w:themeColor="text1"/>
        </w:rPr>
        <w:t xml:space="preserve">  FEMA External Affairs </w:t>
      </w:r>
      <w:r w:rsidRPr="00C34635" w:rsidR="007278B3">
        <w:rPr>
          <w:color w:val="000000" w:themeColor="text1"/>
        </w:rPr>
        <w:t>are</w:t>
      </w:r>
      <w:r w:rsidRPr="00C34635" w:rsidR="005E23CF">
        <w:rPr>
          <w:color w:val="000000" w:themeColor="text1"/>
        </w:rPr>
        <w:t xml:space="preserve"> consulted regarding the use of plain language and clarity</w:t>
      </w:r>
      <w:r w:rsidRPr="00C34635" w:rsidR="007278B3">
        <w:rPr>
          <w:color w:val="000000" w:themeColor="text1"/>
        </w:rPr>
        <w:t>.</w:t>
      </w:r>
      <w:r w:rsidRPr="00C34635" w:rsidR="00594557">
        <w:rPr>
          <w:color w:val="000000" w:themeColor="text1"/>
        </w:rPr>
        <w:t xml:space="preserve">  Since 2015, Customer Survey and Analysis (CSA) has retained survey statisticians on staff that review the methodology in detail.  </w:t>
      </w:r>
      <w:r w:rsidRPr="00C34635" w:rsidR="007278B3">
        <w:rPr>
          <w:color w:val="000000" w:themeColor="text1"/>
        </w:rPr>
        <w:t>CSA s</w:t>
      </w:r>
      <w:r w:rsidRPr="00C34635" w:rsidR="004C6E75">
        <w:rPr>
          <w:color w:val="000000" w:themeColor="text1"/>
        </w:rPr>
        <w:t>tatistician</w:t>
      </w:r>
      <w:r w:rsidRPr="00C34635" w:rsidR="007278B3">
        <w:rPr>
          <w:color w:val="000000" w:themeColor="text1"/>
        </w:rPr>
        <w:t>s</w:t>
      </w:r>
      <w:r w:rsidRPr="00C34635" w:rsidR="004C6E75">
        <w:rPr>
          <w:color w:val="000000" w:themeColor="text1"/>
        </w:rPr>
        <w:t xml:space="preserve"> </w:t>
      </w:r>
      <w:r w:rsidRPr="00C34635" w:rsidR="007278B3">
        <w:rPr>
          <w:color w:val="000000" w:themeColor="text1"/>
        </w:rPr>
        <w:t>review</w:t>
      </w:r>
      <w:r w:rsidRPr="00C34635" w:rsidR="004C6E75">
        <w:rPr>
          <w:color w:val="000000" w:themeColor="text1"/>
        </w:rPr>
        <w:t xml:space="preserve"> </w:t>
      </w:r>
      <w:r w:rsidRPr="00C34635" w:rsidR="007278B3">
        <w:rPr>
          <w:color w:val="000000" w:themeColor="text1"/>
        </w:rPr>
        <w:t>the</w:t>
      </w:r>
      <w:r w:rsidRPr="00C34635" w:rsidR="004C6E75">
        <w:rPr>
          <w:color w:val="000000" w:themeColor="text1"/>
        </w:rPr>
        <w:t xml:space="preserve"> survey collection to ensure respondent burden is minimized, while also maximizing survey reliability and validity.</w:t>
      </w:r>
      <w:r w:rsidRPr="00C34635" w:rsidR="005E23CF">
        <w:rPr>
          <w:color w:val="000000" w:themeColor="text1"/>
        </w:rPr>
        <w:t xml:space="preserve">  </w:t>
      </w:r>
    </w:p>
    <w:p w:rsidR="008B7CC9" w:rsidRPr="00C34635" w:rsidP="00C34635" w14:paraId="6B919F43" w14:textId="77777777">
      <w:pPr>
        <w:tabs>
          <w:tab w:val="left" w:pos="360"/>
        </w:tabs>
        <w:spacing w:line="276" w:lineRule="auto"/>
        <w:contextualSpacing/>
        <w:rPr>
          <w:color w:val="000000" w:themeColor="text1"/>
        </w:rPr>
      </w:pPr>
      <w:r w:rsidRPr="00C34635">
        <w:rPr>
          <w:color w:val="000000" w:themeColor="text1"/>
        </w:rPr>
        <w:t>FEMA</w:t>
      </w:r>
      <w:r w:rsidRPr="00C34635" w:rsidR="007310EF">
        <w:rPr>
          <w:color w:val="000000" w:themeColor="text1"/>
        </w:rPr>
        <w:t xml:space="preserve"> is often</w:t>
      </w:r>
      <w:r w:rsidRPr="00C34635">
        <w:rPr>
          <w:color w:val="000000" w:themeColor="text1"/>
        </w:rPr>
        <w:t xml:space="preserve"> limited by budget constraints when it c</w:t>
      </w:r>
      <w:r w:rsidRPr="00C34635" w:rsidR="007310EF">
        <w:rPr>
          <w:color w:val="000000" w:themeColor="text1"/>
        </w:rPr>
        <w:t>omes</w:t>
      </w:r>
      <w:r w:rsidRPr="00C34635">
        <w:rPr>
          <w:color w:val="000000" w:themeColor="text1"/>
        </w:rPr>
        <w:t xml:space="preserve"> to consulting with persons outside the agency.</w:t>
      </w:r>
    </w:p>
    <w:p w:rsidR="00181A7A" w:rsidRPr="00C34635" w:rsidP="00C34635" w14:paraId="4C97C1DA" w14:textId="77777777">
      <w:pPr>
        <w:tabs>
          <w:tab w:val="left" w:pos="360"/>
        </w:tabs>
        <w:spacing w:line="276" w:lineRule="auto"/>
        <w:contextualSpacing/>
        <w:rPr>
          <w:color w:val="000000" w:themeColor="text1"/>
        </w:rPr>
      </w:pPr>
    </w:p>
    <w:p w:rsidR="00842E74" w:rsidRPr="00C34635" w:rsidP="00C34635" w14:paraId="74F4B36A" w14:textId="3F820169">
      <w:pPr>
        <w:tabs>
          <w:tab w:val="left" w:pos="360"/>
        </w:tabs>
        <w:spacing w:line="276" w:lineRule="auto"/>
        <w:contextualSpacing/>
        <w:rPr>
          <w:b/>
          <w:bCs/>
          <w:color w:val="000000" w:themeColor="text1"/>
        </w:rPr>
      </w:pPr>
      <w:r w:rsidRPr="00C34635">
        <w:rPr>
          <w:b/>
          <w:bCs/>
          <w:color w:val="000000" w:themeColor="text1"/>
        </w:rPr>
        <w:tab/>
      </w:r>
      <w:r w:rsidRPr="00C34635" w:rsidR="00920A21">
        <w:rPr>
          <w:b/>
          <w:bCs/>
          <w:color w:val="000000" w:themeColor="text1"/>
        </w:rPr>
        <w:tab/>
      </w:r>
      <w:r w:rsidRPr="00C34635">
        <w:rPr>
          <w:b/>
          <w:bCs/>
          <w:color w:val="000000" w:themeColor="text1"/>
        </w:rPr>
        <w:t xml:space="preserve">c. Describe consultations with representatives of those from whom information is to be obtained or those who must compile records. </w:t>
      </w:r>
      <w:r w:rsidRPr="00C34635" w:rsidR="000A697C">
        <w:rPr>
          <w:b/>
          <w:bCs/>
          <w:color w:val="000000" w:themeColor="text1"/>
        </w:rPr>
        <w:t xml:space="preserve"> </w:t>
      </w:r>
      <w:r w:rsidRPr="00C34635">
        <w:rPr>
          <w:b/>
          <w:bCs/>
          <w:color w:val="000000" w:themeColor="text1"/>
        </w:rPr>
        <w:t>Consultation should occur at least once every three years, even if the collection of information activities is the same as in prior periods.  There may</w:t>
      </w:r>
      <w:r w:rsidRPr="00C34635" w:rsidR="00232C69">
        <w:rPr>
          <w:b/>
          <w:bCs/>
          <w:color w:val="000000" w:themeColor="text1"/>
        </w:rPr>
        <w:t xml:space="preserve"> </w:t>
      </w:r>
      <w:r w:rsidRPr="00C34635">
        <w:rPr>
          <w:b/>
          <w:bCs/>
          <w:color w:val="000000" w:themeColor="text1"/>
        </w:rPr>
        <w:t>be circumstances that may preclude consultation in a specific situation. These circumstances should be explained.</w:t>
      </w:r>
    </w:p>
    <w:p w:rsidR="00842E74" w:rsidRPr="00C34635" w:rsidP="00C34635" w14:paraId="6A93E6EF" w14:textId="77777777">
      <w:pPr>
        <w:spacing w:line="276" w:lineRule="auto"/>
        <w:contextualSpacing/>
        <w:rPr>
          <w:color w:val="000000" w:themeColor="text1"/>
        </w:rPr>
      </w:pPr>
      <w:r w:rsidRPr="00C34635">
        <w:rPr>
          <w:color w:val="000000" w:themeColor="text1"/>
        </w:rPr>
        <w:t xml:space="preserve">          </w:t>
      </w:r>
    </w:p>
    <w:p w:rsidR="007278B3" w:rsidRPr="00C34635" w:rsidP="00C34635" w14:paraId="470F61B9" w14:textId="77777777">
      <w:pPr>
        <w:tabs>
          <w:tab w:val="left" w:pos="360"/>
        </w:tabs>
        <w:spacing w:line="276" w:lineRule="auto"/>
        <w:contextualSpacing/>
        <w:rPr>
          <w:color w:val="000000" w:themeColor="text1"/>
        </w:rPr>
      </w:pPr>
      <w:r w:rsidRPr="00C34635">
        <w:rPr>
          <w:color w:val="000000" w:themeColor="text1"/>
        </w:rPr>
        <w:t>Because the purpose of this submission is to reduce burden and not make changes to survey content, no efforts were made to consult with respondents.</w:t>
      </w:r>
    </w:p>
    <w:p w:rsidR="007278B3" w:rsidRPr="00C34635" w:rsidP="00C34635" w14:paraId="3424DC8F" w14:textId="77777777">
      <w:pPr>
        <w:tabs>
          <w:tab w:val="left" w:pos="360"/>
        </w:tabs>
        <w:spacing w:line="276" w:lineRule="auto"/>
        <w:contextualSpacing/>
        <w:rPr>
          <w:color w:val="000000" w:themeColor="text1"/>
        </w:rPr>
      </w:pPr>
    </w:p>
    <w:p w:rsidR="00D86006" w:rsidRPr="00C34635" w:rsidP="00C34635" w14:paraId="052E3870" w14:textId="77777777">
      <w:pPr>
        <w:tabs>
          <w:tab w:val="left" w:pos="360"/>
        </w:tabs>
        <w:spacing w:line="276" w:lineRule="auto"/>
        <w:contextualSpacing/>
        <w:rPr>
          <w:color w:val="000000" w:themeColor="text1"/>
        </w:rPr>
      </w:pPr>
      <w:r w:rsidRPr="00C34635">
        <w:rPr>
          <w:color w:val="000000" w:themeColor="text1"/>
        </w:rPr>
        <w:t>For the previous submission of this collection, b</w:t>
      </w:r>
      <w:r w:rsidRPr="00C34635" w:rsidR="002325DB">
        <w:rPr>
          <w:color w:val="000000" w:themeColor="text1"/>
        </w:rPr>
        <w:t xml:space="preserve">udget constraints </w:t>
      </w:r>
      <w:r w:rsidRPr="00C34635">
        <w:rPr>
          <w:color w:val="000000" w:themeColor="text1"/>
        </w:rPr>
        <w:t>limited</w:t>
      </w:r>
      <w:r w:rsidRPr="00C34635" w:rsidR="002325DB">
        <w:rPr>
          <w:color w:val="000000" w:themeColor="text1"/>
        </w:rPr>
        <w:t xml:space="preserve"> FEMA from </w:t>
      </w:r>
      <w:r w:rsidRPr="00C34635" w:rsidR="0010661B">
        <w:rPr>
          <w:color w:val="000000" w:themeColor="text1"/>
        </w:rPr>
        <w:t xml:space="preserve">contracting to </w:t>
      </w:r>
      <w:r w:rsidRPr="00C34635" w:rsidR="002325DB">
        <w:rPr>
          <w:color w:val="000000" w:themeColor="text1"/>
        </w:rPr>
        <w:t xml:space="preserve">consult with </w:t>
      </w:r>
      <w:r w:rsidRPr="00C34635" w:rsidR="00FE5913">
        <w:rPr>
          <w:color w:val="000000" w:themeColor="text1"/>
        </w:rPr>
        <w:t>applicants</w:t>
      </w:r>
      <w:r w:rsidRPr="00C34635">
        <w:rPr>
          <w:color w:val="000000" w:themeColor="text1"/>
        </w:rPr>
        <w:t>.</w:t>
      </w:r>
      <w:r w:rsidRPr="00C34635" w:rsidR="002325DB">
        <w:rPr>
          <w:color w:val="000000" w:themeColor="text1"/>
        </w:rPr>
        <w:t xml:space="preserve"> </w:t>
      </w:r>
      <w:r w:rsidRPr="00C34635">
        <w:rPr>
          <w:color w:val="000000" w:themeColor="text1"/>
        </w:rPr>
        <w:t xml:space="preserve">In </w:t>
      </w:r>
      <w:r w:rsidRPr="00C34635" w:rsidR="002325DB">
        <w:rPr>
          <w:color w:val="000000" w:themeColor="text1"/>
        </w:rPr>
        <w:t>2004 FEMA’s Recovery Directorate contracted to perform four focus groups to ensure that the information collected was meaningful to customers and the survey questions were clearly understood.</w:t>
      </w:r>
      <w:r w:rsidRPr="00C34635" w:rsidR="004C6E75">
        <w:rPr>
          <w:color w:val="000000" w:themeColor="text1"/>
        </w:rPr>
        <w:t xml:space="preserve"> </w:t>
      </w:r>
      <w:r w:rsidRPr="00C34635">
        <w:rPr>
          <w:color w:val="000000" w:themeColor="text1"/>
        </w:rPr>
        <w:t>Although not a direct consultation with respondents, members of Customer Survey and Analysis were deployed to Iowa in 2015 to learn about the Public Assistance New Delivery Model and observed Recovery Scope Meetings.  This allowed for better understanding of procedures and aided with questionnaire development.</w:t>
      </w:r>
    </w:p>
    <w:p w:rsidR="00D86006" w:rsidRPr="00C34635" w:rsidP="00C34635" w14:paraId="5937D609" w14:textId="77777777">
      <w:pPr>
        <w:tabs>
          <w:tab w:val="left" w:pos="360"/>
        </w:tabs>
        <w:spacing w:line="276" w:lineRule="auto"/>
        <w:contextualSpacing/>
        <w:rPr>
          <w:color w:val="000000" w:themeColor="text1"/>
        </w:rPr>
      </w:pPr>
    </w:p>
    <w:p w:rsidR="0097134F" w:rsidRPr="00C34635" w:rsidP="00C34635" w14:paraId="4E1AFDB2" w14:textId="77777777">
      <w:pPr>
        <w:tabs>
          <w:tab w:val="left" w:pos="360"/>
        </w:tabs>
        <w:spacing w:line="276" w:lineRule="auto"/>
        <w:contextualSpacing/>
        <w:rPr>
          <w:color w:val="000000" w:themeColor="text1"/>
        </w:rPr>
      </w:pPr>
      <w:r w:rsidRPr="00C34635">
        <w:rPr>
          <w:color w:val="000000" w:themeColor="text1"/>
        </w:rPr>
        <w:t xml:space="preserve">Whenever survey content is revised, analysis is performed on open-text questions to identify new topic areas or questions that might need clarification. </w:t>
      </w:r>
      <w:r w:rsidRPr="00C34635" w:rsidR="004F7731">
        <w:rPr>
          <w:color w:val="000000" w:themeColor="text1"/>
        </w:rPr>
        <w:t xml:space="preserve">Performance </w:t>
      </w:r>
      <w:r w:rsidRPr="00C34635" w:rsidR="007D3179">
        <w:rPr>
          <w:color w:val="000000" w:themeColor="text1"/>
        </w:rPr>
        <w:t>m</w:t>
      </w:r>
      <w:r w:rsidRPr="00C34635" w:rsidR="004F7731">
        <w:rPr>
          <w:color w:val="000000" w:themeColor="text1"/>
        </w:rPr>
        <w:t xml:space="preserve">anagement </w:t>
      </w:r>
      <w:r w:rsidRPr="00C34635" w:rsidR="007D3179">
        <w:rPr>
          <w:color w:val="000000" w:themeColor="text1"/>
        </w:rPr>
        <w:t>a</w:t>
      </w:r>
      <w:r w:rsidRPr="00C34635" w:rsidR="005E23CF">
        <w:rPr>
          <w:color w:val="000000" w:themeColor="text1"/>
        </w:rPr>
        <w:t xml:space="preserve">nalysts </w:t>
      </w:r>
      <w:r w:rsidRPr="00C34635" w:rsidR="004C6E75">
        <w:rPr>
          <w:color w:val="000000" w:themeColor="text1"/>
        </w:rPr>
        <w:t>have</w:t>
      </w:r>
      <w:r w:rsidRPr="00C34635" w:rsidR="007D3179">
        <w:rPr>
          <w:color w:val="000000" w:themeColor="text1"/>
        </w:rPr>
        <w:t xml:space="preserve"> previously</w:t>
      </w:r>
      <w:r w:rsidRPr="00C34635" w:rsidR="004C6E75">
        <w:rPr>
          <w:color w:val="000000" w:themeColor="text1"/>
        </w:rPr>
        <w:t xml:space="preserve"> conducted comment analysis on the survey results to extract themes from text boxes and “other” response options to identify topics important to customers that aren’t assessed.</w:t>
      </w:r>
      <w:r w:rsidRPr="00C34635" w:rsidR="004F7731">
        <w:rPr>
          <w:color w:val="000000" w:themeColor="text1"/>
        </w:rPr>
        <w:t xml:space="preserve">  For example, </w:t>
      </w:r>
      <w:r w:rsidRPr="00C34635" w:rsidR="006107C2">
        <w:rPr>
          <w:color w:val="000000" w:themeColor="text1"/>
        </w:rPr>
        <w:t xml:space="preserve">a </w:t>
      </w:r>
      <w:r w:rsidRPr="00C34635" w:rsidR="00594557">
        <w:rPr>
          <w:color w:val="000000" w:themeColor="text1"/>
        </w:rPr>
        <w:t xml:space="preserve">previous </w:t>
      </w:r>
      <w:r w:rsidRPr="00C34635" w:rsidR="004F7731">
        <w:rPr>
          <w:color w:val="000000" w:themeColor="text1"/>
        </w:rPr>
        <w:t xml:space="preserve">common critique of the PA program </w:t>
      </w:r>
      <w:r w:rsidRPr="00C34635" w:rsidR="00594557">
        <w:rPr>
          <w:color w:val="000000" w:themeColor="text1"/>
        </w:rPr>
        <w:t>was</w:t>
      </w:r>
      <w:r w:rsidRPr="00C34635" w:rsidR="004F7731">
        <w:rPr>
          <w:color w:val="000000" w:themeColor="text1"/>
        </w:rPr>
        <w:t xml:space="preserve"> “Lack of training in the Grants Portal</w:t>
      </w:r>
      <w:r w:rsidRPr="00C34635" w:rsidR="006107C2">
        <w:rPr>
          <w:color w:val="000000" w:themeColor="text1"/>
        </w:rPr>
        <w:t>.”</w:t>
      </w:r>
      <w:r w:rsidRPr="00C34635" w:rsidR="004F7731">
        <w:rPr>
          <w:color w:val="000000" w:themeColor="text1"/>
        </w:rPr>
        <w:t xml:space="preserve"> To better</w:t>
      </w:r>
      <w:r w:rsidRPr="00C34635">
        <w:rPr>
          <w:color w:val="000000" w:themeColor="text1"/>
        </w:rPr>
        <w:t xml:space="preserve"> capture this information, </w:t>
      </w:r>
      <w:r w:rsidRPr="00C34635" w:rsidR="00594557">
        <w:rPr>
          <w:color w:val="000000" w:themeColor="text1"/>
        </w:rPr>
        <w:t>a question was</w:t>
      </w:r>
      <w:r w:rsidRPr="00C34635">
        <w:rPr>
          <w:color w:val="000000" w:themeColor="text1"/>
        </w:rPr>
        <w:t xml:space="preserve"> added</w:t>
      </w:r>
      <w:r w:rsidRPr="00C34635" w:rsidR="006107C2">
        <w:rPr>
          <w:color w:val="000000" w:themeColor="text1"/>
        </w:rPr>
        <w:t xml:space="preserve"> </w:t>
      </w:r>
      <w:r w:rsidRPr="00C34635" w:rsidR="00594557">
        <w:rPr>
          <w:color w:val="000000" w:themeColor="text1"/>
        </w:rPr>
        <w:t>in the previous submission</w:t>
      </w:r>
      <w:r w:rsidRPr="00C34635">
        <w:rPr>
          <w:color w:val="000000" w:themeColor="text1"/>
        </w:rPr>
        <w:t xml:space="preserve"> </w:t>
      </w:r>
      <w:r w:rsidRPr="00C34635" w:rsidR="00594557">
        <w:rPr>
          <w:color w:val="000000" w:themeColor="text1"/>
        </w:rPr>
        <w:t>to assess</w:t>
      </w:r>
      <w:r w:rsidRPr="00C34635">
        <w:rPr>
          <w:color w:val="000000" w:themeColor="text1"/>
        </w:rPr>
        <w:t xml:space="preserve"> whether respondents fe</w:t>
      </w:r>
      <w:r w:rsidRPr="00C34635" w:rsidR="00594557">
        <w:rPr>
          <w:color w:val="000000" w:themeColor="text1"/>
        </w:rPr>
        <w:t>lt</w:t>
      </w:r>
      <w:r w:rsidRPr="00C34635">
        <w:rPr>
          <w:color w:val="000000" w:themeColor="text1"/>
        </w:rPr>
        <w:t xml:space="preserve"> they received adequate training.</w:t>
      </w:r>
      <w:r w:rsidRPr="00C34635" w:rsidR="004F7731">
        <w:rPr>
          <w:color w:val="000000" w:themeColor="text1"/>
        </w:rPr>
        <w:t xml:space="preserve">   </w:t>
      </w:r>
      <w:r w:rsidRPr="00C34635" w:rsidR="004C6E75">
        <w:rPr>
          <w:color w:val="000000" w:themeColor="text1"/>
        </w:rPr>
        <w:t xml:space="preserve">  </w:t>
      </w:r>
    </w:p>
    <w:p w:rsidR="0097134F" w:rsidRPr="00C34635" w:rsidP="00C34635" w14:paraId="7C837B1D" w14:textId="77777777">
      <w:pPr>
        <w:tabs>
          <w:tab w:val="left" w:pos="360"/>
        </w:tabs>
        <w:spacing w:line="276" w:lineRule="auto"/>
        <w:contextualSpacing/>
        <w:rPr>
          <w:color w:val="000000" w:themeColor="text1"/>
        </w:rPr>
      </w:pPr>
    </w:p>
    <w:p w:rsidR="004C6E75" w:rsidRPr="00C34635" w:rsidP="00C34635" w14:paraId="5B17057D" w14:textId="77777777">
      <w:pPr>
        <w:tabs>
          <w:tab w:val="left" w:pos="360"/>
        </w:tabs>
        <w:spacing w:line="276" w:lineRule="auto"/>
        <w:contextualSpacing/>
        <w:rPr>
          <w:color w:val="000000" w:themeColor="text1"/>
        </w:rPr>
      </w:pPr>
      <w:r w:rsidRPr="00C34635">
        <w:rPr>
          <w:color w:val="000000" w:themeColor="text1"/>
        </w:rPr>
        <w:t xml:space="preserve">Customer Survey and Analysis also has a Quality Performance Team (QPT) that is responsible for monitoring phone interviewers.  QPT </w:t>
      </w:r>
      <w:r w:rsidRPr="00C34635" w:rsidR="00594557">
        <w:rPr>
          <w:color w:val="000000" w:themeColor="text1"/>
        </w:rPr>
        <w:t>reviewed the</w:t>
      </w:r>
      <w:r w:rsidRPr="00C34635" w:rsidR="00CB0BB8">
        <w:rPr>
          <w:color w:val="000000" w:themeColor="text1"/>
        </w:rPr>
        <w:t xml:space="preserve"> revised</w:t>
      </w:r>
      <w:r w:rsidRPr="00C34635" w:rsidR="00594557">
        <w:rPr>
          <w:color w:val="000000" w:themeColor="text1"/>
        </w:rPr>
        <w:t xml:space="preserve"> </w:t>
      </w:r>
      <w:r w:rsidRPr="00C34635">
        <w:rPr>
          <w:color w:val="000000" w:themeColor="text1"/>
        </w:rPr>
        <w:t>surveys</w:t>
      </w:r>
      <w:r w:rsidRPr="00C34635" w:rsidR="00594557">
        <w:rPr>
          <w:color w:val="000000" w:themeColor="text1"/>
        </w:rPr>
        <w:t xml:space="preserve"> for the previous submission of this collection.</w:t>
      </w:r>
      <w:r w:rsidRPr="00C34635">
        <w:rPr>
          <w:color w:val="000000" w:themeColor="text1"/>
        </w:rPr>
        <w:t xml:space="preserve"> </w:t>
      </w:r>
      <w:r w:rsidRPr="00C34635" w:rsidR="00594557">
        <w:rPr>
          <w:color w:val="000000" w:themeColor="text1"/>
        </w:rPr>
        <w:t>They provided</w:t>
      </w:r>
      <w:r w:rsidRPr="00C34635">
        <w:rPr>
          <w:color w:val="000000" w:themeColor="text1"/>
        </w:rPr>
        <w:t xml:space="preserve"> feedback on things that might be difficult for interviewers to read, or for respondents to understand.  </w:t>
      </w:r>
      <w:r w:rsidRPr="00C34635" w:rsidR="00CB0BB8">
        <w:rPr>
          <w:color w:val="000000" w:themeColor="text1"/>
        </w:rPr>
        <w:t>P</w:t>
      </w:r>
      <w:r w:rsidRPr="00C34635">
        <w:rPr>
          <w:color w:val="000000" w:themeColor="text1"/>
        </w:rPr>
        <w:t>hone interviewers</w:t>
      </w:r>
      <w:r w:rsidRPr="00C34635" w:rsidR="00CB0BB8">
        <w:rPr>
          <w:color w:val="000000" w:themeColor="text1"/>
        </w:rPr>
        <w:t xml:space="preserve"> also</w:t>
      </w:r>
      <w:r w:rsidRPr="00C34635">
        <w:rPr>
          <w:color w:val="000000" w:themeColor="text1"/>
        </w:rPr>
        <w:t xml:space="preserve"> provided survey </w:t>
      </w:r>
      <w:r w:rsidRPr="00C34635">
        <w:rPr>
          <w:color w:val="000000" w:themeColor="text1"/>
        </w:rPr>
        <w:t>writers with feedback regarding which survey items were consistently confusing to respondents</w:t>
      </w:r>
      <w:r w:rsidRPr="00C34635">
        <w:rPr>
          <w:color w:val="000000" w:themeColor="text1"/>
        </w:rPr>
        <w:t xml:space="preserve"> on the </w:t>
      </w:r>
      <w:r w:rsidRPr="00C34635" w:rsidR="00CB0BB8">
        <w:rPr>
          <w:color w:val="000000" w:themeColor="text1"/>
        </w:rPr>
        <w:t>prior</w:t>
      </w:r>
      <w:r w:rsidRPr="00C34635">
        <w:rPr>
          <w:color w:val="000000" w:themeColor="text1"/>
        </w:rPr>
        <w:t xml:space="preserve"> information collection</w:t>
      </w:r>
      <w:r w:rsidRPr="00C34635">
        <w:rPr>
          <w:color w:val="000000" w:themeColor="text1"/>
        </w:rPr>
        <w:t>.</w:t>
      </w:r>
      <w:r w:rsidRPr="00C34635">
        <w:rPr>
          <w:color w:val="000000" w:themeColor="text1"/>
        </w:rPr>
        <w:t xml:space="preserve">  For example, </w:t>
      </w:r>
      <w:r w:rsidRPr="00C34635" w:rsidR="005E23CF">
        <w:rPr>
          <w:color w:val="000000" w:themeColor="text1"/>
        </w:rPr>
        <w:t>scale descriptions</w:t>
      </w:r>
      <w:r w:rsidRPr="00C34635" w:rsidR="00594557">
        <w:rPr>
          <w:color w:val="000000" w:themeColor="text1"/>
        </w:rPr>
        <w:t xml:space="preserve"> were restructured</w:t>
      </w:r>
      <w:r w:rsidRPr="00C34635">
        <w:rPr>
          <w:color w:val="000000" w:themeColor="text1"/>
        </w:rPr>
        <w:t xml:space="preserve"> </w:t>
      </w:r>
      <w:r w:rsidRPr="00C34635" w:rsidR="00463D36">
        <w:rPr>
          <w:color w:val="000000" w:themeColor="text1"/>
        </w:rPr>
        <w:t>to improve sentence flow</w:t>
      </w:r>
      <w:r w:rsidRPr="00C34635" w:rsidR="005E23CF">
        <w:rPr>
          <w:color w:val="000000" w:themeColor="text1"/>
        </w:rPr>
        <w:t xml:space="preserve"> and reduce burden.</w:t>
      </w:r>
      <w:r w:rsidRPr="00C34635" w:rsidR="00463D36">
        <w:rPr>
          <w:color w:val="000000" w:themeColor="text1"/>
        </w:rPr>
        <w:t xml:space="preserve">  </w:t>
      </w:r>
    </w:p>
    <w:p w:rsidR="009D32EB" w:rsidRPr="00C34635" w:rsidP="00C34635" w14:paraId="1D3A734A" w14:textId="77777777">
      <w:pPr>
        <w:spacing w:line="276" w:lineRule="auto"/>
        <w:contextualSpacing/>
        <w:rPr>
          <w:color w:val="000000" w:themeColor="text1"/>
        </w:rPr>
      </w:pPr>
    </w:p>
    <w:p w:rsidR="00842E74" w:rsidRPr="00C34635" w:rsidP="00C34635" w14:paraId="6665A06B"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9.  Explain any decision to provide any payment or gift to respondents, other than remuneration of contractors or grantees.</w:t>
      </w:r>
    </w:p>
    <w:p w:rsidR="00842E74" w:rsidRPr="00C34635" w:rsidP="00C34635" w14:paraId="63C80E19" w14:textId="77777777">
      <w:pPr>
        <w:spacing w:line="276" w:lineRule="auto"/>
        <w:contextualSpacing/>
        <w:rPr>
          <w:color w:val="000000" w:themeColor="text1"/>
        </w:rPr>
      </w:pPr>
    </w:p>
    <w:p w:rsidR="00251C8C" w:rsidRPr="00C34635" w:rsidP="00C34635" w14:paraId="0CD1BE23" w14:textId="77777777">
      <w:pPr>
        <w:spacing w:line="276" w:lineRule="auto"/>
        <w:contextualSpacing/>
        <w:rPr>
          <w:color w:val="000000" w:themeColor="text1"/>
        </w:rPr>
      </w:pPr>
      <w:r w:rsidRPr="00C34635">
        <w:rPr>
          <w:color w:val="000000" w:themeColor="text1"/>
        </w:rPr>
        <w:t>There are no payments or gifts to respondents for this data collection.</w:t>
      </w:r>
    </w:p>
    <w:p w:rsidR="00251C8C" w:rsidRPr="00C34635" w:rsidP="00C34635" w14:paraId="6577EB27" w14:textId="77777777">
      <w:pPr>
        <w:spacing w:line="276" w:lineRule="auto"/>
        <w:contextualSpacing/>
        <w:rPr>
          <w:color w:val="000000" w:themeColor="text1"/>
        </w:rPr>
      </w:pPr>
    </w:p>
    <w:p w:rsidR="009736B8" w:rsidRPr="00C34635" w:rsidP="00C34635" w14:paraId="448517FA" w14:textId="77777777">
      <w:pPr>
        <w:tabs>
          <w:tab w:val="left" w:pos="360"/>
        </w:tabs>
        <w:spacing w:line="276" w:lineRule="auto"/>
        <w:contextualSpacing/>
        <w:rPr>
          <w:b/>
          <w:bCs/>
          <w:color w:val="000000" w:themeColor="text1"/>
        </w:rPr>
      </w:pPr>
      <w:bookmarkStart w:id="2" w:name="_Hlk29290620"/>
      <w:r w:rsidRPr="00C34635">
        <w:rPr>
          <w:b/>
          <w:bCs/>
          <w:color w:val="000000" w:themeColor="text1"/>
        </w:rPr>
        <w:t xml:space="preserve">10.  </w:t>
      </w:r>
      <w:r w:rsidRPr="00C34635" w:rsidR="00842E74">
        <w:rPr>
          <w:b/>
          <w:bCs/>
          <w:color w:val="000000" w:themeColor="text1"/>
        </w:rPr>
        <w:t>Describe any assurance of confidentiality provided to respondents</w:t>
      </w:r>
      <w:r w:rsidRPr="00C34635" w:rsidR="0094233D">
        <w:rPr>
          <w:b/>
          <w:bCs/>
          <w:color w:val="000000" w:themeColor="text1"/>
        </w:rPr>
        <w:t xml:space="preserve">. </w:t>
      </w:r>
      <w:r w:rsidRPr="00C34635" w:rsidR="00842E74">
        <w:rPr>
          <w:b/>
          <w:bCs/>
          <w:color w:val="000000" w:themeColor="text1"/>
        </w:rPr>
        <w:t xml:space="preserve"> </w:t>
      </w:r>
      <w:r w:rsidRPr="00C34635" w:rsidR="0094233D">
        <w:rPr>
          <w:b/>
          <w:bCs/>
          <w:color w:val="000000" w:themeColor="text1"/>
        </w:rPr>
        <w:t xml:space="preserve">Present </w:t>
      </w:r>
      <w:r w:rsidRPr="00C34635" w:rsidR="00842E74">
        <w:rPr>
          <w:b/>
          <w:bCs/>
          <w:color w:val="000000" w:themeColor="text1"/>
        </w:rPr>
        <w:t xml:space="preserve">the basis for the assurance in statute, regulation, or agency policy.  </w:t>
      </w:r>
    </w:p>
    <w:bookmarkEnd w:id="2"/>
    <w:p w:rsidR="00AE7330" w:rsidRPr="00C34635" w:rsidP="00C34635" w14:paraId="40F59F5F" w14:textId="77777777">
      <w:pPr>
        <w:tabs>
          <w:tab w:val="left" w:pos="360"/>
        </w:tabs>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p>
    <w:p w:rsidR="00D172A6" w:rsidRPr="00C34635" w:rsidP="00C34635" w14:paraId="29EFD947" w14:textId="54318A22">
      <w:pPr>
        <w:tabs>
          <w:tab w:val="left" w:pos="360"/>
        </w:tabs>
        <w:spacing w:line="276" w:lineRule="auto"/>
        <w:contextualSpacing/>
        <w:rPr>
          <w:color w:val="000000" w:themeColor="text1"/>
        </w:rPr>
      </w:pPr>
      <w:bookmarkStart w:id="3" w:name="_Hlk29295822"/>
      <w:bookmarkStart w:id="4" w:name="_Hlk29290603"/>
      <w:r w:rsidRPr="00C34635">
        <w:rPr>
          <w:color w:val="000000" w:themeColor="text1"/>
        </w:rPr>
        <w:t xml:space="preserve">A Privacy Threshold Analysis (PTA) was completed by FEMA and adjudicated by the DHS Privacy Office on </w:t>
      </w:r>
      <w:r w:rsidRPr="00C34635" w:rsidR="009C0DD0">
        <w:rPr>
          <w:color w:val="000000" w:themeColor="text1"/>
        </w:rPr>
        <w:t>August 6, 2021</w:t>
      </w:r>
      <w:r w:rsidRPr="00C34635" w:rsidR="00B4722F">
        <w:rPr>
          <w:color w:val="000000" w:themeColor="text1"/>
        </w:rPr>
        <w:t>.</w:t>
      </w:r>
      <w:r w:rsidRPr="00C34635">
        <w:rPr>
          <w:color w:val="000000" w:themeColor="text1"/>
        </w:rPr>
        <w:t xml:space="preserve"> </w:t>
      </w:r>
    </w:p>
    <w:p w:rsidR="00B4722F" w:rsidRPr="00762A0D" w:rsidP="00C34635" w14:paraId="716F437E" w14:textId="77777777">
      <w:pPr>
        <w:spacing w:line="276" w:lineRule="auto"/>
        <w:contextualSpacing/>
        <w:rPr>
          <w:iCs/>
          <w:color w:val="000000" w:themeColor="text1"/>
        </w:rPr>
      </w:pPr>
    </w:p>
    <w:p w:rsidR="00B4722F" w:rsidRPr="00C34635" w:rsidP="00C34635" w14:paraId="547D3CA5" w14:textId="439E07FD">
      <w:pPr>
        <w:spacing w:line="276" w:lineRule="auto"/>
        <w:contextualSpacing/>
        <w:rPr>
          <w:color w:val="000000" w:themeColor="text1"/>
        </w:rPr>
      </w:pPr>
      <w:r w:rsidRPr="00C34635">
        <w:rPr>
          <w:color w:val="000000" w:themeColor="text1"/>
        </w:rPr>
        <w:t>This collection</w:t>
      </w:r>
      <w:r w:rsidRPr="00C34635">
        <w:rPr>
          <w:color w:val="000000" w:themeColor="text1"/>
        </w:rPr>
        <w:t xml:space="preserve"> is covered </w:t>
      </w:r>
      <w:r w:rsidRPr="00C34635" w:rsidR="7B6304D8">
        <w:rPr>
          <w:color w:val="000000" w:themeColor="text1"/>
        </w:rPr>
        <w:t xml:space="preserve">by an existing Privacy Impact Assessment (PIA), </w:t>
      </w:r>
      <w:r w:rsidRPr="00C34635" w:rsidR="1284FD95">
        <w:rPr>
          <w:color w:val="000000" w:themeColor="text1"/>
        </w:rPr>
        <w:t>DHS/</w:t>
      </w:r>
      <w:r w:rsidRPr="00C34635">
        <w:rPr>
          <w:color w:val="000000" w:themeColor="text1"/>
        </w:rPr>
        <w:t xml:space="preserve">FEMA/PIA-035 Customer Satisfaction Analysis System (CSAS), approved by DHS on February 27, </w:t>
      </w:r>
      <w:r w:rsidRPr="00C34635" w:rsidR="00C039AD">
        <w:rPr>
          <w:color w:val="000000" w:themeColor="text1"/>
        </w:rPr>
        <w:t>2014,</w:t>
      </w:r>
      <w:r w:rsidRPr="00C34635">
        <w:rPr>
          <w:color w:val="000000" w:themeColor="text1"/>
        </w:rPr>
        <w:t xml:space="preserve"> and the existing System of Records Notice (SORN), DHS/FEMA-009 Hazard Mitigation, Disaster Public Assistance, and Disaster Loan Programs System of Records, 79 FR 16015</w:t>
      </w:r>
      <w:r w:rsidRPr="00C34635" w:rsidR="46DE63B3">
        <w:rPr>
          <w:color w:val="000000" w:themeColor="text1"/>
        </w:rPr>
        <w:t>, dated</w:t>
      </w:r>
      <w:r w:rsidRPr="00C34635">
        <w:rPr>
          <w:color w:val="000000" w:themeColor="text1"/>
        </w:rPr>
        <w:t xml:space="preserve"> March 24, 2014.</w:t>
      </w:r>
    </w:p>
    <w:p w:rsidR="00B4722F" w:rsidRPr="00762A0D" w:rsidP="00C34635" w14:paraId="638C7A27" w14:textId="77777777">
      <w:pPr>
        <w:spacing w:line="276" w:lineRule="auto"/>
        <w:contextualSpacing/>
        <w:rPr>
          <w:iCs/>
          <w:color w:val="000000" w:themeColor="text1"/>
        </w:rPr>
      </w:pPr>
    </w:p>
    <w:p w:rsidR="005413FE" w:rsidRPr="00C34635" w:rsidP="00C34635" w14:paraId="1F371FCF" w14:textId="77777777">
      <w:pPr>
        <w:spacing w:line="276" w:lineRule="auto"/>
        <w:contextualSpacing/>
        <w:rPr>
          <w:iCs/>
          <w:color w:val="000000" w:themeColor="text1"/>
        </w:rPr>
      </w:pPr>
      <w:r w:rsidRPr="00C34635">
        <w:rPr>
          <w:iCs/>
          <w:color w:val="000000" w:themeColor="text1"/>
        </w:rPr>
        <w:t xml:space="preserve">There are no assurances of confidentiality provided to the respondents for this information collection.  Survey information is stored in the Customer Satisfaction Analysis System (CSAS), warehoused on secure FEMA servers. </w:t>
      </w:r>
      <w:bookmarkEnd w:id="3"/>
      <w:r w:rsidRPr="00C34635" w:rsidR="008B152F">
        <w:rPr>
          <w:iCs/>
          <w:color w:val="000000" w:themeColor="text1"/>
        </w:rPr>
        <w:t>This information collection request proposes to collect information via a variety of voluntary information collection activities (see section 12).   Although the agency is not invoking statutory support for confidentiality, the quality of this type of information requires respondent candor and anonymity. Therefore, the agency pledges to keep the information collected private unless otherwise required by law. Respondents will be notified on the data collection forms that their information will only be reported in aggregated form and no personally identifiable responses will be publicly released.</w:t>
      </w:r>
    </w:p>
    <w:bookmarkEnd w:id="4"/>
    <w:p w:rsidR="00D172A6" w:rsidRPr="00C34635" w:rsidP="00C34635" w14:paraId="20CC026C" w14:textId="77777777">
      <w:pPr>
        <w:spacing w:line="276" w:lineRule="auto"/>
        <w:contextualSpacing/>
        <w:rPr>
          <w:color w:val="000000" w:themeColor="text1"/>
        </w:rPr>
      </w:pPr>
    </w:p>
    <w:p w:rsidR="00842E74" w:rsidRPr="00C34635" w:rsidP="00C34635" w14:paraId="4D85A1E1" w14:textId="77777777">
      <w:pPr>
        <w:tabs>
          <w:tab w:val="left" w:pos="360"/>
        </w:tabs>
        <w:spacing w:line="276" w:lineRule="auto"/>
        <w:contextualSpacing/>
        <w:rPr>
          <w:b/>
          <w:bCs/>
          <w:color w:val="000000" w:themeColor="text1"/>
        </w:rPr>
      </w:pPr>
      <w:r w:rsidRPr="00C34635">
        <w:rPr>
          <w:b/>
          <w:bCs/>
          <w:color w:val="000000" w:themeColor="text1"/>
        </w:rPr>
        <w:t xml:space="preserve">11.  Provide additional justification for any question </w:t>
      </w:r>
      <w:r w:rsidRPr="00C34635" w:rsidR="000E0572">
        <w:rPr>
          <w:b/>
          <w:bCs/>
          <w:color w:val="000000" w:themeColor="text1"/>
        </w:rPr>
        <w:t>of</w:t>
      </w:r>
      <w:r w:rsidRPr="00C34635">
        <w:rPr>
          <w:b/>
          <w:bCs/>
          <w:color w:val="000000" w:themeColor="text1"/>
        </w:rPr>
        <w:t xml:space="preserve"> </w:t>
      </w:r>
      <w:r w:rsidRPr="00C34635" w:rsidR="000E0572">
        <w:rPr>
          <w:b/>
          <w:bCs/>
          <w:color w:val="000000" w:themeColor="text1"/>
        </w:rPr>
        <w:t xml:space="preserve">a </w:t>
      </w:r>
      <w:r w:rsidRPr="00C34635">
        <w:rPr>
          <w:b/>
          <w:bCs/>
          <w:color w:val="000000" w:themeColor="text1"/>
        </w:rPr>
        <w:t xml:space="preserve">sensitive </w:t>
      </w:r>
      <w:r w:rsidRPr="00C34635" w:rsidR="000E0572">
        <w:rPr>
          <w:b/>
          <w:bCs/>
          <w:color w:val="000000" w:themeColor="text1"/>
        </w:rPr>
        <w:t>nature</w:t>
      </w:r>
      <w:r w:rsidRPr="00C34635">
        <w:rPr>
          <w:b/>
          <w:bCs/>
          <w:color w:val="000000" w:themeColor="text1"/>
        </w:rPr>
        <w:t xml:space="preserve"> </w:t>
      </w:r>
      <w:r w:rsidRPr="00C34635" w:rsidR="000E0572">
        <w:rPr>
          <w:b/>
          <w:bCs/>
          <w:color w:val="000000" w:themeColor="text1"/>
        </w:rPr>
        <w:t>(</w:t>
      </w:r>
      <w:r w:rsidRPr="00C34635">
        <w:rPr>
          <w:b/>
          <w:bCs/>
          <w:color w:val="000000" w:themeColor="text1"/>
        </w:rPr>
        <w:t>such as sexual behavior and attitudes, religious beliefs and other matters that are commonly considered private</w:t>
      </w:r>
      <w:r w:rsidRPr="00C34635" w:rsidR="000E0572">
        <w:rPr>
          <w:b/>
          <w:bCs/>
          <w:color w:val="000000" w:themeColor="text1"/>
        </w:rPr>
        <w:t>)</w:t>
      </w:r>
      <w:r w:rsidRPr="00C34635">
        <w:rPr>
          <w:b/>
          <w:bCs/>
          <w:color w:val="000000" w:themeColor="text1"/>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7087F" w:rsidRPr="00C34635" w:rsidP="00C34635" w14:paraId="1AA01ADE" w14:textId="77777777">
      <w:pPr>
        <w:spacing w:line="276" w:lineRule="auto"/>
        <w:contextualSpacing/>
        <w:rPr>
          <w:color w:val="000000" w:themeColor="text1"/>
        </w:rPr>
      </w:pPr>
    </w:p>
    <w:p w:rsidR="00CC4DE8" w:rsidRPr="00C34635" w:rsidP="00C34635" w14:paraId="0B33803B" w14:textId="77777777">
      <w:pPr>
        <w:spacing w:line="276" w:lineRule="auto"/>
        <w:contextualSpacing/>
        <w:rPr>
          <w:bCs/>
          <w:color w:val="000000" w:themeColor="text1"/>
        </w:rPr>
      </w:pPr>
      <w:r w:rsidRPr="00C34635">
        <w:rPr>
          <w:bCs/>
          <w:color w:val="000000" w:themeColor="text1"/>
        </w:rPr>
        <w:t>There are</w:t>
      </w:r>
      <w:r w:rsidRPr="00C34635">
        <w:rPr>
          <w:bCs/>
          <w:color w:val="000000" w:themeColor="text1"/>
        </w:rPr>
        <w:t xml:space="preserve"> no question</w:t>
      </w:r>
      <w:r w:rsidRPr="00C34635">
        <w:rPr>
          <w:bCs/>
          <w:color w:val="000000" w:themeColor="text1"/>
        </w:rPr>
        <w:t>s of a sensitive nature related to</w:t>
      </w:r>
      <w:r w:rsidRPr="00C34635">
        <w:rPr>
          <w:bCs/>
          <w:color w:val="000000" w:themeColor="text1"/>
        </w:rPr>
        <w:t xml:space="preserve"> sexual behavior and attitudes, religious beliefs</w:t>
      </w:r>
      <w:r w:rsidRPr="00C34635" w:rsidR="00DA662A">
        <w:rPr>
          <w:bCs/>
          <w:color w:val="000000" w:themeColor="text1"/>
        </w:rPr>
        <w:t>, or</w:t>
      </w:r>
      <w:r w:rsidRPr="00C34635">
        <w:rPr>
          <w:bCs/>
          <w:color w:val="000000" w:themeColor="text1"/>
        </w:rPr>
        <w:t xml:space="preserve"> other matters that are commonly considered private in the surveys.</w:t>
      </w:r>
    </w:p>
    <w:p w:rsidR="00DA662A" w:rsidRPr="00C34635" w:rsidP="00C34635" w14:paraId="51CB1925" w14:textId="77777777">
      <w:pPr>
        <w:spacing w:line="276" w:lineRule="auto"/>
        <w:contextualSpacing/>
        <w:rPr>
          <w:bCs/>
          <w:color w:val="000000" w:themeColor="text1"/>
        </w:rPr>
      </w:pPr>
    </w:p>
    <w:p w:rsidR="00B7087F" w:rsidRPr="00C34635" w:rsidP="00C34635" w14:paraId="779085BE" w14:textId="77777777">
      <w:pPr>
        <w:spacing w:line="276" w:lineRule="auto"/>
        <w:contextualSpacing/>
        <w:rPr>
          <w:bCs/>
          <w:color w:val="000000" w:themeColor="text1"/>
        </w:rPr>
      </w:pPr>
      <w:r w:rsidRPr="00C34635">
        <w:rPr>
          <w:bCs/>
          <w:color w:val="000000" w:themeColor="text1"/>
        </w:rPr>
        <w:t xml:space="preserve">Some questions of a demographic nature </w:t>
      </w:r>
      <w:r w:rsidRPr="00C34635" w:rsidR="00BC4D3E">
        <w:rPr>
          <w:bCs/>
          <w:color w:val="000000" w:themeColor="text1"/>
        </w:rPr>
        <w:t>are included</w:t>
      </w:r>
      <w:r w:rsidRPr="00C34635">
        <w:rPr>
          <w:bCs/>
          <w:color w:val="000000" w:themeColor="text1"/>
        </w:rPr>
        <w:t xml:space="preserve"> to help identify whether certain groups of people</w:t>
      </w:r>
      <w:r w:rsidRPr="00C34635" w:rsidR="00BC4D3E">
        <w:rPr>
          <w:bCs/>
          <w:color w:val="000000" w:themeColor="text1"/>
        </w:rPr>
        <w:t xml:space="preserve"> vary in their satisfaction with the Public Assistance Program</w:t>
      </w:r>
      <w:r w:rsidRPr="00C34635">
        <w:rPr>
          <w:bCs/>
          <w:color w:val="000000" w:themeColor="text1"/>
        </w:rPr>
        <w:t>, although the questions aren’t very personal or of a sensitive nature.  Examples include how long the respondent has worked in their current position, whether they’ve applied for PA disaster assistance previously,</w:t>
      </w:r>
      <w:r w:rsidRPr="00C34635" w:rsidR="00396347">
        <w:rPr>
          <w:bCs/>
          <w:color w:val="000000" w:themeColor="text1"/>
        </w:rPr>
        <w:t xml:space="preserve"> and the number of</w:t>
      </w:r>
      <w:r w:rsidRPr="00C34635">
        <w:rPr>
          <w:bCs/>
          <w:color w:val="000000" w:themeColor="text1"/>
        </w:rPr>
        <w:t xml:space="preserve"> </w:t>
      </w:r>
      <w:r w:rsidRPr="00C34635" w:rsidR="00BC4D3E">
        <w:rPr>
          <w:bCs/>
          <w:color w:val="000000" w:themeColor="text1"/>
        </w:rPr>
        <w:t>personnel</w:t>
      </w:r>
      <w:r w:rsidRPr="00C34635">
        <w:rPr>
          <w:bCs/>
          <w:color w:val="000000" w:themeColor="text1"/>
        </w:rPr>
        <w:t xml:space="preserve"> that worked on the</w:t>
      </w:r>
      <w:r w:rsidRPr="00C34635" w:rsidR="00396347">
        <w:rPr>
          <w:bCs/>
          <w:color w:val="000000" w:themeColor="text1"/>
        </w:rPr>
        <w:t>ir</w:t>
      </w:r>
      <w:r w:rsidRPr="00C34635">
        <w:rPr>
          <w:bCs/>
          <w:color w:val="000000" w:themeColor="text1"/>
        </w:rPr>
        <w:t xml:space="preserve"> </w:t>
      </w:r>
      <w:r w:rsidRPr="00C34635" w:rsidR="00BC4D3E">
        <w:rPr>
          <w:bCs/>
          <w:color w:val="000000" w:themeColor="text1"/>
        </w:rPr>
        <w:t>PA</w:t>
      </w:r>
      <w:r w:rsidRPr="00C34635">
        <w:rPr>
          <w:bCs/>
          <w:color w:val="000000" w:themeColor="text1"/>
        </w:rPr>
        <w:t xml:space="preserve"> project</w:t>
      </w:r>
      <w:r w:rsidRPr="00C34635" w:rsidR="00BC4D3E">
        <w:rPr>
          <w:bCs/>
          <w:color w:val="000000" w:themeColor="text1"/>
        </w:rPr>
        <w:t>(s)</w:t>
      </w:r>
      <w:r w:rsidRPr="00C34635">
        <w:rPr>
          <w:bCs/>
          <w:color w:val="000000" w:themeColor="text1"/>
        </w:rPr>
        <w:t xml:space="preserve">.  It is possible that respondents with </w:t>
      </w:r>
      <w:r w:rsidRPr="00C34635" w:rsidR="00BC4D3E">
        <w:rPr>
          <w:bCs/>
          <w:color w:val="000000" w:themeColor="text1"/>
        </w:rPr>
        <w:t>less</w:t>
      </w:r>
      <w:r w:rsidRPr="00C34635">
        <w:rPr>
          <w:bCs/>
          <w:color w:val="000000" w:themeColor="text1"/>
        </w:rPr>
        <w:t xml:space="preserve"> resources (staff) and </w:t>
      </w:r>
      <w:r w:rsidRPr="00C34635" w:rsidR="00BC4D3E">
        <w:rPr>
          <w:bCs/>
          <w:color w:val="000000" w:themeColor="text1"/>
        </w:rPr>
        <w:t xml:space="preserve">less </w:t>
      </w:r>
      <w:r w:rsidRPr="00C34635">
        <w:rPr>
          <w:bCs/>
          <w:color w:val="000000" w:themeColor="text1"/>
        </w:rPr>
        <w:t>relevant work experience interpret the difficult</w:t>
      </w:r>
      <w:r w:rsidRPr="00C34635" w:rsidR="00396347">
        <w:rPr>
          <w:bCs/>
          <w:color w:val="000000" w:themeColor="text1"/>
        </w:rPr>
        <w:t>y</w:t>
      </w:r>
      <w:r w:rsidRPr="00C34635">
        <w:rPr>
          <w:bCs/>
          <w:color w:val="000000" w:themeColor="text1"/>
        </w:rPr>
        <w:t xml:space="preserve"> associated with the Public Assistance Process differently</w:t>
      </w:r>
      <w:r w:rsidRPr="00C34635" w:rsidR="00BC4D3E">
        <w:rPr>
          <w:bCs/>
          <w:color w:val="000000" w:themeColor="text1"/>
        </w:rPr>
        <w:t xml:space="preserve"> from an applicant who is more experienced, or who has previously applied for Public Assistance</w:t>
      </w:r>
      <w:r w:rsidRPr="00C34635" w:rsidR="00396347">
        <w:rPr>
          <w:bCs/>
          <w:color w:val="000000" w:themeColor="text1"/>
        </w:rPr>
        <w:t>.  Asking these questions allow us to better identify whether we are servi</w:t>
      </w:r>
      <w:r w:rsidRPr="00C34635" w:rsidR="00F706A6">
        <w:rPr>
          <w:bCs/>
          <w:color w:val="000000" w:themeColor="text1"/>
        </w:rPr>
        <w:t>ng all our customers equally, and</w:t>
      </w:r>
      <w:r w:rsidRPr="00C34635" w:rsidR="00396347">
        <w:rPr>
          <w:bCs/>
          <w:color w:val="000000" w:themeColor="text1"/>
        </w:rPr>
        <w:t xml:space="preserve"> whether our products and services need to be tailored to meet the needs of certain groups of people.</w:t>
      </w:r>
    </w:p>
    <w:p w:rsidR="00147125" w:rsidRPr="00C34635" w:rsidP="00C34635" w14:paraId="7E67BA0A" w14:textId="77777777">
      <w:pPr>
        <w:spacing w:line="276" w:lineRule="auto"/>
        <w:contextualSpacing/>
        <w:rPr>
          <w:b/>
          <w:bCs/>
          <w:color w:val="000000" w:themeColor="text1"/>
        </w:rPr>
      </w:pPr>
    </w:p>
    <w:p w:rsidR="00842E74" w:rsidRPr="00C34635" w:rsidP="00C34635" w14:paraId="6C5900C0" w14:textId="77777777">
      <w:pPr>
        <w:spacing w:line="276" w:lineRule="auto"/>
        <w:contextualSpacing/>
        <w:rPr>
          <w:b/>
          <w:bCs/>
          <w:color w:val="000000" w:themeColor="text1"/>
        </w:rPr>
      </w:pPr>
      <w:r w:rsidRPr="00C34635">
        <w:rPr>
          <w:b/>
          <w:bCs/>
          <w:color w:val="000000" w:themeColor="text1"/>
        </w:rPr>
        <w:t xml:space="preserve">12. </w:t>
      </w:r>
      <w:r w:rsidRPr="00C34635" w:rsidR="00763992">
        <w:rPr>
          <w:b/>
          <w:bCs/>
          <w:color w:val="000000" w:themeColor="text1"/>
        </w:rPr>
        <w:t xml:space="preserve"> </w:t>
      </w:r>
      <w:r w:rsidRPr="00C34635">
        <w:rPr>
          <w:b/>
          <w:bCs/>
          <w:color w:val="000000" w:themeColor="text1"/>
        </w:rPr>
        <w:t>Provide estimates of the hour burden of the collection of information.  The statement should:</w:t>
      </w:r>
    </w:p>
    <w:p w:rsidR="00842E74" w:rsidRPr="00C34635" w:rsidP="00C34635" w14:paraId="2D7EADFA" w14:textId="2290B11B">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 xml:space="preserve"> </w:t>
      </w:r>
    </w:p>
    <w:p w:rsidR="00842E74" w:rsidRPr="00C34635" w:rsidP="00C34635" w14:paraId="6FE51CC5"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sidR="00920A21">
        <w:rPr>
          <w:b/>
          <w:bCs/>
          <w:color w:val="000000" w:themeColor="text1"/>
        </w:rPr>
        <w:tab/>
      </w:r>
      <w:r w:rsidRPr="00C34635" w:rsidR="00763992">
        <w:rPr>
          <w:b/>
          <w:bCs/>
          <w:color w:val="000000" w:themeColor="text1"/>
        </w:rPr>
        <w:t xml:space="preserve">a. </w:t>
      </w:r>
      <w:r w:rsidRPr="00C34635">
        <w:rPr>
          <w:b/>
          <w:bCs/>
          <w:color w:val="000000" w:themeColor="text1"/>
        </w:rPr>
        <w:t>Indicate the number of respondents, frequency of response, annual hour burden, and an explanation of how the burden was estimated</w:t>
      </w:r>
      <w:r w:rsidRPr="00C34635" w:rsidR="00FD6C8B">
        <w:rPr>
          <w:b/>
          <w:bCs/>
          <w:color w:val="000000" w:themeColor="text1"/>
        </w:rPr>
        <w:t xml:space="preserve"> for each collection instrument (separately list each instrument and describe information as requested)</w:t>
      </w:r>
      <w:r w:rsidRPr="00C34635">
        <w:rPr>
          <w:b/>
          <w:bCs/>
          <w:color w:val="000000" w:themeColor="text1"/>
        </w:rPr>
        <w:t>.  Unless</w:t>
      </w:r>
      <w:r w:rsidRPr="00C34635" w:rsidR="00F861A8">
        <w:rPr>
          <w:b/>
          <w:bCs/>
          <w:color w:val="000000" w:themeColor="text1"/>
        </w:rPr>
        <w:t xml:space="preserve"> </w:t>
      </w:r>
      <w:r w:rsidRPr="00C34635">
        <w:rPr>
          <w:b/>
          <w:bCs/>
          <w:color w:val="000000" w:themeColor="text1"/>
        </w:rPr>
        <w:t>directed to do so, agencies should not conduct special surveys to obtain</w:t>
      </w:r>
      <w:r w:rsidRPr="00C34635" w:rsidR="00232C69">
        <w:rPr>
          <w:b/>
          <w:bCs/>
          <w:color w:val="000000" w:themeColor="text1"/>
        </w:rPr>
        <w:t xml:space="preserve"> </w:t>
      </w:r>
      <w:r w:rsidRPr="00C34635">
        <w:rPr>
          <w:b/>
          <w:bCs/>
          <w:color w:val="000000" w:themeColor="text1"/>
        </w:rPr>
        <w:t xml:space="preserve">information on which to base hour burden </w:t>
      </w:r>
      <w:r w:rsidRPr="00C34635" w:rsidR="00763992">
        <w:rPr>
          <w:b/>
          <w:bCs/>
          <w:color w:val="000000" w:themeColor="text1"/>
        </w:rPr>
        <w:t>estimates.  Consultation with a</w:t>
      </w:r>
      <w:r w:rsidRPr="00C34635" w:rsidR="00FD6C8B">
        <w:rPr>
          <w:b/>
          <w:bCs/>
          <w:color w:val="000000" w:themeColor="text1"/>
        </w:rPr>
        <w:t xml:space="preserve"> </w:t>
      </w:r>
      <w:r w:rsidRPr="00C34635">
        <w:rPr>
          <w:b/>
          <w:bCs/>
          <w:color w:val="000000" w:themeColor="text1"/>
        </w:rPr>
        <w:t>sample (fewer than 10) of potential respondents is desired.  If the hour</w:t>
      </w:r>
      <w:r w:rsidRPr="00C34635" w:rsidR="00F861A8">
        <w:rPr>
          <w:b/>
          <w:bCs/>
          <w:color w:val="000000" w:themeColor="text1"/>
        </w:rPr>
        <w:t xml:space="preserve"> </w:t>
      </w:r>
      <w:r w:rsidRPr="00C34635">
        <w:rPr>
          <w:b/>
          <w:bCs/>
          <w:color w:val="000000" w:themeColor="text1"/>
        </w:rPr>
        <w:t>burden on respondents is expected to vary widely because of differences in</w:t>
      </w:r>
      <w:r w:rsidRPr="00C34635" w:rsidR="00232C69">
        <w:rPr>
          <w:b/>
          <w:bCs/>
          <w:color w:val="000000" w:themeColor="text1"/>
        </w:rPr>
        <w:t xml:space="preserve"> </w:t>
      </w:r>
      <w:r w:rsidRPr="00C34635">
        <w:rPr>
          <w:b/>
          <w:bCs/>
          <w:color w:val="000000" w:themeColor="text1"/>
        </w:rPr>
        <w:t>activity, size, or complexity, show the range of estimated hour burden, and explain the reasons for the variance.  Generally, estimates should not include</w:t>
      </w:r>
      <w:r w:rsidRPr="00C34635" w:rsidR="00232C69">
        <w:rPr>
          <w:b/>
          <w:bCs/>
          <w:color w:val="000000" w:themeColor="text1"/>
        </w:rPr>
        <w:t xml:space="preserve"> </w:t>
      </w:r>
      <w:r w:rsidRPr="00C34635">
        <w:rPr>
          <w:b/>
          <w:bCs/>
          <w:color w:val="000000" w:themeColor="text1"/>
        </w:rPr>
        <w:t>burden hours for customary and usual business practices.</w:t>
      </w:r>
    </w:p>
    <w:p w:rsidR="00233D68" w:rsidRPr="00C34635" w:rsidP="00C34635" w14:paraId="438DA04F" w14:textId="77777777">
      <w:pPr>
        <w:spacing w:line="276" w:lineRule="auto"/>
        <w:contextualSpacing/>
        <w:rPr>
          <w:b/>
          <w:bCs/>
          <w:color w:val="000000" w:themeColor="text1"/>
        </w:rPr>
      </w:pPr>
    </w:p>
    <w:p w:rsidR="009445BF" w:rsidRPr="00C34635" w:rsidP="00C34635" w14:paraId="2B4BE286" w14:textId="77777777">
      <w:pPr>
        <w:spacing w:line="276" w:lineRule="auto"/>
        <w:contextualSpacing/>
        <w:rPr>
          <w:color w:val="000000" w:themeColor="text1"/>
        </w:rPr>
      </w:pPr>
      <w:r w:rsidRPr="00C34635">
        <w:rPr>
          <w:color w:val="000000" w:themeColor="text1"/>
        </w:rPr>
        <w:t>Current administrative data with average survey completion time</w:t>
      </w:r>
      <w:r w:rsidRPr="00C34635" w:rsidR="00A302F5">
        <w:rPr>
          <w:color w:val="000000" w:themeColor="text1"/>
        </w:rPr>
        <w:t>s</w:t>
      </w:r>
      <w:r w:rsidRPr="00C34635">
        <w:rPr>
          <w:color w:val="000000" w:themeColor="text1"/>
        </w:rPr>
        <w:t xml:space="preserve"> indicates that the burden estimates for the phone surveys used in the previous submission are accurate.  There is no need for further testing for phone surveys because no changes are being made to the survey forms. </w:t>
      </w:r>
    </w:p>
    <w:p w:rsidR="009445BF" w:rsidRPr="00C34635" w:rsidP="00C34635" w14:paraId="193DF0C5" w14:textId="77777777">
      <w:pPr>
        <w:spacing w:line="276" w:lineRule="auto"/>
        <w:contextualSpacing/>
        <w:rPr>
          <w:color w:val="000000" w:themeColor="text1"/>
        </w:rPr>
      </w:pPr>
    </w:p>
    <w:p w:rsidR="009445BF" w:rsidRPr="00C34635" w:rsidP="00C34635" w14:paraId="784A70FB" w14:textId="6E8940D9">
      <w:pPr>
        <w:spacing w:line="276" w:lineRule="auto"/>
        <w:contextualSpacing/>
        <w:rPr>
          <w:color w:val="000000" w:themeColor="text1"/>
        </w:rPr>
      </w:pPr>
      <w:r w:rsidRPr="00C34635">
        <w:rPr>
          <w:color w:val="000000" w:themeColor="text1"/>
        </w:rPr>
        <w:t>In the last submission of this collection, Customer Survey and Analysis (CSA) estimate</w:t>
      </w:r>
      <w:r w:rsidRPr="00C34635" w:rsidR="38139BEA">
        <w:rPr>
          <w:color w:val="000000" w:themeColor="text1"/>
        </w:rPr>
        <w:t>d the</w:t>
      </w:r>
      <w:r w:rsidRPr="00C34635">
        <w:rPr>
          <w:color w:val="000000" w:themeColor="text1"/>
        </w:rPr>
        <w:t xml:space="preserve"> burden associated with the electronic surveys</w:t>
      </w:r>
      <w:r w:rsidRPr="00C34635" w:rsidR="6CC9A273">
        <w:rPr>
          <w:color w:val="000000" w:themeColor="text1"/>
        </w:rPr>
        <w:t xml:space="preserve"> with the information available</w:t>
      </w:r>
      <w:r w:rsidRPr="00C34635">
        <w:rPr>
          <w:color w:val="000000" w:themeColor="text1"/>
        </w:rPr>
        <w:t xml:space="preserve">.  At the time of submission CSA had not acquired electronic survey administration software to perform testing.  Electronic survey administration became active in July 2021, and data collected over the past year indicates that respondents can complete the surveys faster than previously estimated.  The average burden per response was updated to reflect this.  There is no need to do </w:t>
      </w:r>
      <w:r w:rsidRPr="00C34635" w:rsidR="17660E83">
        <w:rPr>
          <w:color w:val="000000" w:themeColor="text1"/>
        </w:rPr>
        <w:t xml:space="preserve">further </w:t>
      </w:r>
      <w:r w:rsidRPr="00C34635">
        <w:rPr>
          <w:color w:val="000000" w:themeColor="text1"/>
        </w:rPr>
        <w:t xml:space="preserve">testing because no changes are being made to the survey forms, and burden estimates are based on real data. </w:t>
      </w:r>
    </w:p>
    <w:p w:rsidR="009445BF" w:rsidRPr="00C34635" w:rsidP="00C34635" w14:paraId="5ADD4EF5" w14:textId="77777777">
      <w:pPr>
        <w:spacing w:line="276" w:lineRule="auto"/>
        <w:contextualSpacing/>
        <w:rPr>
          <w:color w:val="000000" w:themeColor="text1"/>
        </w:rPr>
      </w:pPr>
    </w:p>
    <w:p w:rsidR="009445BF" w:rsidRPr="00C34635" w:rsidP="00C34635" w14:paraId="772AFDEB" w14:textId="77777777">
      <w:pPr>
        <w:spacing w:line="276" w:lineRule="auto"/>
        <w:contextualSpacing/>
        <w:rPr>
          <w:color w:val="000000" w:themeColor="text1"/>
        </w:rPr>
      </w:pPr>
      <w:r w:rsidRPr="00C34635">
        <w:rPr>
          <w:color w:val="000000" w:themeColor="text1"/>
        </w:rPr>
        <w:t>Below is a list of all the forms in this collection with associated number of responses, frequency of response, and annual hour burden.</w:t>
      </w:r>
    </w:p>
    <w:p w:rsidR="009445BF" w:rsidRPr="00C34635" w:rsidP="00C34635" w14:paraId="475C164F" w14:textId="77777777">
      <w:pPr>
        <w:spacing w:line="276" w:lineRule="auto"/>
        <w:contextualSpacing/>
        <w:rPr>
          <w:rFonts w:eastAsia="Calibri"/>
        </w:rPr>
      </w:pPr>
    </w:p>
    <w:p w:rsidR="009445BF" w:rsidRPr="00762A0D" w:rsidP="00C34635" w14:paraId="32D0AAF1" w14:textId="4EAACB78">
      <w:pPr>
        <w:spacing w:line="276" w:lineRule="auto"/>
        <w:contextualSpacing/>
        <w:rPr>
          <w:rFonts w:eastAsia="Calibri"/>
          <w:color w:val="000000" w:themeColor="text1"/>
        </w:rPr>
      </w:pPr>
      <w:bookmarkStart w:id="5" w:name="_Hlk120698032"/>
      <w:r w:rsidRPr="00C34635">
        <w:rPr>
          <w:rFonts w:eastAsia="Calibri"/>
          <w:b/>
          <w:bCs/>
        </w:rPr>
        <w:t xml:space="preserve">FEMA Form </w:t>
      </w:r>
      <w:r w:rsidRPr="00C34635" w:rsidR="00026741">
        <w:rPr>
          <w:rFonts w:eastAsia="Calibri"/>
          <w:b/>
          <w:bCs/>
        </w:rPr>
        <w:t>FF-104-FY-21-155 (formerly 519-0-32)</w:t>
      </w:r>
      <w:r w:rsidRPr="00C34635">
        <w:rPr>
          <w:rFonts w:eastAsia="Calibri"/>
          <w:b/>
          <w:bCs/>
        </w:rPr>
        <w:t xml:space="preserve">-Phone, Name of Instrument: </w:t>
      </w:r>
      <w:r w:rsidRPr="00C34635" w:rsidR="00AE7EA8">
        <w:rPr>
          <w:b/>
          <w:bCs/>
        </w:rPr>
        <w:t>Public Assistance Initial Customer Satisfaction Survey (Telephone)</w:t>
      </w:r>
      <w:r w:rsidRPr="00C34635" w:rsidR="00AE7EA8">
        <w:rPr>
          <w:rFonts w:eastAsia="Calibri"/>
        </w:rPr>
        <w:t xml:space="preserve"> </w:t>
      </w:r>
      <w:r w:rsidRPr="00C34635">
        <w:rPr>
          <w:rFonts w:eastAsia="Calibri"/>
        </w:rPr>
        <w:t xml:space="preserve">is </w:t>
      </w:r>
      <w:r w:rsidRPr="00762A0D">
        <w:rPr>
          <w:rFonts w:eastAsia="Calibri"/>
          <w:color w:val="000000" w:themeColor="text1"/>
        </w:rPr>
        <w:t xml:space="preserve">estimated to have </w:t>
      </w:r>
      <w:r w:rsidRPr="00762A0D" w:rsidR="00803403">
        <w:rPr>
          <w:rFonts w:eastAsia="Calibri"/>
          <w:b/>
          <w:bCs/>
          <w:i/>
          <w:iCs/>
          <w:color w:val="000000" w:themeColor="text1"/>
        </w:rPr>
        <w:t>1,</w:t>
      </w:r>
      <w:r w:rsidRPr="00762A0D" w:rsidR="00C6516D">
        <w:rPr>
          <w:rFonts w:eastAsia="Calibri"/>
          <w:b/>
          <w:bCs/>
          <w:i/>
          <w:iCs/>
          <w:color w:val="000000" w:themeColor="text1"/>
        </w:rPr>
        <w:t>458</w:t>
      </w:r>
      <w:r w:rsidRPr="00762A0D">
        <w:rPr>
          <w:rFonts w:eastAsia="Calibri"/>
          <w:color w:val="000000" w:themeColor="text1"/>
        </w:rPr>
        <w:t xml:space="preserve"> respondents </w:t>
      </w:r>
      <w:r w:rsidRPr="00762A0D" w:rsidR="00D00E46">
        <w:rPr>
          <w:rFonts w:eastAsia="Calibri"/>
          <w:color w:val="000000" w:themeColor="text1"/>
        </w:rPr>
        <w:t>(277 non-profit institutions + 1,181</w:t>
      </w:r>
      <w:r w:rsidRPr="00762A0D" w:rsidR="00D00E46">
        <w:rPr>
          <w:color w:val="000000" w:themeColor="text1"/>
        </w:rPr>
        <w:t xml:space="preserve"> </w:t>
      </w:r>
      <w:r w:rsidRPr="00762A0D" w:rsidR="00D00E46">
        <w:rPr>
          <w:rFonts w:eastAsia="Calibri"/>
          <w:color w:val="000000" w:themeColor="text1"/>
        </w:rPr>
        <w:t xml:space="preserve">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1667</w:t>
      </w:r>
      <w:r w:rsidRPr="00762A0D">
        <w:rPr>
          <w:rFonts w:eastAsia="Calibri"/>
          <w:color w:val="000000" w:themeColor="text1"/>
        </w:rPr>
        <w:t xml:space="preserve"> hours</w:t>
      </w:r>
      <w:r w:rsidRPr="00762A0D" w:rsidR="00C5520A">
        <w:rPr>
          <w:rFonts w:eastAsia="Calibri"/>
          <w:color w:val="000000" w:themeColor="text1"/>
        </w:rPr>
        <w:t>, or 10 minutes,</w:t>
      </w:r>
      <w:r w:rsidRPr="00762A0D">
        <w:rPr>
          <w:rFonts w:eastAsia="Calibri"/>
          <w:color w:val="000000" w:themeColor="text1"/>
        </w:rPr>
        <w:t xml:space="preserve"> to complete, with the total annual burden of </w:t>
      </w:r>
      <w:r w:rsidRPr="00762A0D" w:rsidR="00803403">
        <w:rPr>
          <w:rFonts w:eastAsia="Calibri"/>
          <w:b/>
          <w:bCs/>
          <w:i/>
          <w:iCs/>
          <w:color w:val="000000" w:themeColor="text1"/>
        </w:rPr>
        <w:t>2</w:t>
      </w:r>
      <w:r w:rsidRPr="00762A0D" w:rsidR="00C6516D">
        <w:rPr>
          <w:rFonts w:eastAsia="Calibri"/>
          <w:b/>
          <w:bCs/>
          <w:i/>
          <w:iCs/>
          <w:color w:val="000000" w:themeColor="text1"/>
        </w:rPr>
        <w:t>4</w:t>
      </w:r>
      <w:r w:rsidRPr="00762A0D" w:rsidR="00803403">
        <w:rPr>
          <w:rFonts w:eastAsia="Calibri"/>
          <w:b/>
          <w:bCs/>
          <w:i/>
          <w:iCs/>
          <w:color w:val="000000" w:themeColor="text1"/>
        </w:rPr>
        <w:t>3</w:t>
      </w:r>
      <w:r w:rsidRPr="00762A0D">
        <w:rPr>
          <w:rFonts w:eastAsia="Calibri"/>
          <w:color w:val="000000" w:themeColor="text1"/>
        </w:rPr>
        <w:t xml:space="preserve"> hours (</w:t>
      </w:r>
      <w:r w:rsidRPr="00762A0D" w:rsidR="00803403">
        <w:rPr>
          <w:rFonts w:eastAsia="Calibri"/>
          <w:b/>
          <w:bCs/>
          <w:i/>
          <w:iCs/>
          <w:color w:val="000000" w:themeColor="text1"/>
        </w:rPr>
        <w:t>1,</w:t>
      </w:r>
      <w:r w:rsidRPr="00762A0D" w:rsidR="00C6516D">
        <w:rPr>
          <w:rFonts w:eastAsia="Calibri"/>
          <w:b/>
          <w:bCs/>
          <w:i/>
          <w:iCs/>
          <w:color w:val="000000" w:themeColor="text1"/>
        </w:rPr>
        <w:t>45</w:t>
      </w:r>
      <w:r w:rsidRPr="00762A0D" w:rsidR="00803403">
        <w:rPr>
          <w:rFonts w:eastAsia="Calibri"/>
          <w:b/>
          <w:bCs/>
          <w:i/>
          <w:iCs/>
          <w:color w:val="000000" w:themeColor="text1"/>
        </w:rPr>
        <w:t>8</w:t>
      </w:r>
      <w:r w:rsidRPr="00762A0D">
        <w:rPr>
          <w:rFonts w:eastAsia="Calibri"/>
          <w:color w:val="000000" w:themeColor="text1"/>
        </w:rPr>
        <w:t xml:space="preserve"> x </w:t>
      </w:r>
      <w:r w:rsidRPr="00762A0D">
        <w:rPr>
          <w:rFonts w:eastAsia="Calibri"/>
          <w:b/>
          <w:bCs/>
          <w:i/>
          <w:iCs/>
          <w:color w:val="000000" w:themeColor="text1"/>
        </w:rPr>
        <w:t>0.</w:t>
      </w:r>
      <w:r w:rsidRPr="00762A0D" w:rsidR="00803403">
        <w:rPr>
          <w:rFonts w:eastAsia="Calibri"/>
          <w:b/>
          <w:bCs/>
          <w:i/>
          <w:iCs/>
          <w:color w:val="000000" w:themeColor="text1"/>
        </w:rPr>
        <w:t>1667</w:t>
      </w:r>
      <w:r w:rsidRPr="00762A0D">
        <w:rPr>
          <w:rFonts w:eastAsia="Calibri"/>
          <w:color w:val="000000" w:themeColor="text1"/>
        </w:rPr>
        <w:t>).</w:t>
      </w:r>
    </w:p>
    <w:p w:rsidR="009445BF" w:rsidRPr="00762A0D" w:rsidP="00C34635" w14:paraId="0A3ABC04" w14:textId="77777777">
      <w:pPr>
        <w:spacing w:line="276" w:lineRule="auto"/>
        <w:contextualSpacing/>
        <w:rPr>
          <w:rFonts w:eastAsia="Calibri"/>
          <w:color w:val="000000" w:themeColor="text1"/>
        </w:rPr>
      </w:pPr>
    </w:p>
    <w:p w:rsidR="009445BF" w:rsidRPr="00762A0D" w:rsidP="00C34635" w14:paraId="0A4B9E7A" w14:textId="1842EF18">
      <w:pPr>
        <w:spacing w:line="276" w:lineRule="auto"/>
        <w:contextualSpacing/>
        <w:rPr>
          <w:rFonts w:eastAsia="Calibri"/>
          <w:color w:val="000000" w:themeColor="text1"/>
        </w:rPr>
      </w:pPr>
      <w:r w:rsidRPr="00762A0D">
        <w:rPr>
          <w:rFonts w:eastAsia="Calibri"/>
          <w:b/>
          <w:bCs/>
          <w:color w:val="000000" w:themeColor="text1"/>
        </w:rPr>
        <w:t xml:space="preserve">FEMA Form </w:t>
      </w:r>
      <w:r w:rsidRPr="00762A0D" w:rsidR="00026741">
        <w:rPr>
          <w:rFonts w:eastAsia="Calibri"/>
          <w:b/>
          <w:bCs/>
          <w:color w:val="000000" w:themeColor="text1"/>
        </w:rPr>
        <w:t>FF-104-FY-21-156 (formerly 519-0-33)</w:t>
      </w:r>
      <w:r w:rsidRPr="00762A0D">
        <w:rPr>
          <w:rFonts w:eastAsia="Calibri"/>
          <w:b/>
          <w:bCs/>
          <w:color w:val="000000" w:themeColor="text1"/>
        </w:rPr>
        <w:t xml:space="preserve">-Electronic Name of Instrument: </w:t>
      </w:r>
      <w:r w:rsidRPr="00762A0D" w:rsidR="00AE7EA8">
        <w:rPr>
          <w:b/>
          <w:bCs/>
          <w:color w:val="000000" w:themeColor="text1"/>
        </w:rPr>
        <w:t>Public Assistance Initial Customer Satisfaction Survey (Internet)</w:t>
      </w:r>
      <w:r w:rsidRPr="00762A0D">
        <w:rPr>
          <w:rFonts w:eastAsia="Calibri"/>
          <w:color w:val="000000" w:themeColor="text1"/>
        </w:rPr>
        <w:t xml:space="preserve"> is estimated to have </w:t>
      </w:r>
      <w:r w:rsidRPr="00762A0D" w:rsidR="00803403">
        <w:rPr>
          <w:rFonts w:eastAsia="Calibri"/>
          <w:b/>
          <w:bCs/>
          <w:i/>
          <w:iCs/>
          <w:color w:val="000000" w:themeColor="text1"/>
        </w:rPr>
        <w:t>451</w:t>
      </w:r>
      <w:r w:rsidRPr="00762A0D">
        <w:rPr>
          <w:rFonts w:eastAsia="Calibri"/>
          <w:b/>
          <w:bCs/>
          <w:i/>
          <w:iCs/>
          <w:color w:val="000000" w:themeColor="text1"/>
        </w:rPr>
        <w:t xml:space="preserve"> </w:t>
      </w:r>
      <w:r w:rsidRPr="00762A0D">
        <w:rPr>
          <w:rFonts w:eastAsia="Calibri"/>
          <w:color w:val="000000" w:themeColor="text1"/>
        </w:rPr>
        <w:t xml:space="preserve">respondents </w:t>
      </w:r>
      <w:r w:rsidRPr="00762A0D" w:rsidR="00D00E46">
        <w:rPr>
          <w:rFonts w:eastAsia="Calibri"/>
          <w:color w:val="000000" w:themeColor="text1"/>
        </w:rPr>
        <w:t>(86 non-profit institutions + 365</w:t>
      </w:r>
      <w:r w:rsidRPr="00762A0D" w:rsidR="00D00E46">
        <w:rPr>
          <w:color w:val="000000" w:themeColor="text1"/>
        </w:rPr>
        <w:t xml:space="preserve"> </w:t>
      </w:r>
      <w:r w:rsidRPr="00762A0D" w:rsidR="00D00E46">
        <w:rPr>
          <w:rFonts w:eastAsia="Calibri"/>
          <w:color w:val="000000" w:themeColor="text1"/>
        </w:rPr>
        <w:t xml:space="preserve">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sidR="00B07B72">
        <w:rPr>
          <w:rFonts w:eastAsia="Calibri"/>
          <w:color w:val="000000" w:themeColor="text1"/>
        </w:rPr>
        <w:t xml:space="preserve"> </w:t>
      </w:r>
      <w:r w:rsidRPr="00762A0D">
        <w:rPr>
          <w:rFonts w:eastAsia="Calibri"/>
          <w:color w:val="000000" w:themeColor="text1"/>
        </w:rPr>
        <w:t xml:space="preserve">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0833</w:t>
      </w:r>
      <w:r w:rsidRPr="00762A0D">
        <w:rPr>
          <w:rFonts w:eastAsia="Calibri"/>
          <w:color w:val="000000" w:themeColor="text1"/>
        </w:rPr>
        <w:t xml:space="preserve"> hours</w:t>
      </w:r>
      <w:r w:rsidRPr="00762A0D" w:rsidR="00C5520A">
        <w:rPr>
          <w:rFonts w:eastAsia="Calibri"/>
          <w:color w:val="000000" w:themeColor="text1"/>
        </w:rPr>
        <w:t>, or 5 minutes,</w:t>
      </w:r>
      <w:r w:rsidRPr="00762A0D">
        <w:rPr>
          <w:rFonts w:eastAsia="Calibri"/>
          <w:color w:val="000000" w:themeColor="text1"/>
        </w:rPr>
        <w:t xml:space="preserve"> to complete, with the total annual burden of </w:t>
      </w:r>
      <w:r w:rsidRPr="00762A0D" w:rsidR="00C5520A">
        <w:rPr>
          <w:rFonts w:eastAsia="Calibri"/>
          <w:b/>
          <w:bCs/>
          <w:i/>
          <w:iCs/>
          <w:color w:val="000000" w:themeColor="text1"/>
        </w:rPr>
        <w:t>38</w:t>
      </w:r>
      <w:r w:rsidRPr="00762A0D" w:rsidR="00C5520A">
        <w:rPr>
          <w:rFonts w:eastAsia="Calibri"/>
          <w:color w:val="000000" w:themeColor="text1"/>
        </w:rPr>
        <w:t xml:space="preserve"> </w:t>
      </w:r>
      <w:r w:rsidRPr="00762A0D">
        <w:rPr>
          <w:rFonts w:eastAsia="Calibri"/>
          <w:color w:val="000000" w:themeColor="text1"/>
        </w:rPr>
        <w:t>hours (</w:t>
      </w:r>
      <w:r w:rsidRPr="00762A0D" w:rsidR="00803403">
        <w:rPr>
          <w:rFonts w:eastAsia="Calibri"/>
          <w:b/>
          <w:bCs/>
          <w:i/>
          <w:iCs/>
          <w:color w:val="000000" w:themeColor="text1"/>
        </w:rPr>
        <w:t>451</w:t>
      </w:r>
      <w:r w:rsidRPr="00762A0D">
        <w:rPr>
          <w:rFonts w:eastAsia="Calibri"/>
          <w:color w:val="000000" w:themeColor="text1"/>
        </w:rPr>
        <w:t xml:space="preserve"> x </w:t>
      </w:r>
      <w:r w:rsidRPr="00762A0D">
        <w:rPr>
          <w:rFonts w:eastAsia="Calibri"/>
          <w:b/>
          <w:bCs/>
          <w:i/>
          <w:iCs/>
          <w:color w:val="000000" w:themeColor="text1"/>
        </w:rPr>
        <w:t>0.0</w:t>
      </w:r>
      <w:r w:rsidRPr="00762A0D" w:rsidR="00803403">
        <w:rPr>
          <w:rFonts w:eastAsia="Calibri"/>
          <w:b/>
          <w:bCs/>
          <w:i/>
          <w:iCs/>
          <w:color w:val="000000" w:themeColor="text1"/>
        </w:rPr>
        <w:t>833</w:t>
      </w:r>
      <w:r w:rsidRPr="00762A0D">
        <w:rPr>
          <w:rFonts w:eastAsia="Calibri"/>
          <w:color w:val="000000" w:themeColor="text1"/>
        </w:rPr>
        <w:t>).</w:t>
      </w:r>
    </w:p>
    <w:p w:rsidR="009445BF" w:rsidRPr="00762A0D" w:rsidP="00C34635" w14:paraId="120B6A91" w14:textId="77777777">
      <w:pPr>
        <w:spacing w:line="276" w:lineRule="auto"/>
        <w:contextualSpacing/>
        <w:rPr>
          <w:rFonts w:eastAsia="Calibri"/>
          <w:color w:val="000000" w:themeColor="text1"/>
        </w:rPr>
      </w:pPr>
    </w:p>
    <w:p w:rsidR="009445BF" w:rsidRPr="00762A0D" w:rsidP="00C34635" w14:paraId="5B03F1A6" w14:textId="77164C65">
      <w:pPr>
        <w:tabs>
          <w:tab w:val="left" w:pos="-720"/>
        </w:tabs>
        <w:suppressAutoHyphens/>
        <w:spacing w:line="276" w:lineRule="auto"/>
        <w:contextualSpacing/>
        <w:rPr>
          <w:color w:val="000000" w:themeColor="text1"/>
        </w:rPr>
      </w:pPr>
      <w:r w:rsidRPr="00762A0D">
        <w:rPr>
          <w:rFonts w:eastAsia="Calibri"/>
          <w:b/>
          <w:bCs/>
          <w:color w:val="000000" w:themeColor="text1"/>
        </w:rPr>
        <w:t xml:space="preserve">FEMA Form </w:t>
      </w:r>
      <w:r w:rsidRPr="00762A0D" w:rsidR="00026741">
        <w:rPr>
          <w:rFonts w:eastAsia="Calibri"/>
          <w:b/>
          <w:bCs/>
          <w:color w:val="000000" w:themeColor="text1"/>
        </w:rPr>
        <w:t>FF-104-FY-21-157 (formerly 519-0-34)</w:t>
      </w:r>
      <w:r w:rsidRPr="00762A0D">
        <w:rPr>
          <w:rFonts w:eastAsia="Calibri"/>
          <w:b/>
          <w:bCs/>
          <w:color w:val="000000" w:themeColor="text1"/>
        </w:rPr>
        <w:t xml:space="preserve">-Phone, Name of Instrument: </w:t>
      </w:r>
      <w:r w:rsidRPr="00762A0D" w:rsidR="00AE7EA8">
        <w:rPr>
          <w:b/>
          <w:bCs/>
          <w:color w:val="000000" w:themeColor="text1"/>
        </w:rPr>
        <w:t>Public Assistance Assessment Customer Satisfaction Survey (Telephone)</w:t>
      </w:r>
      <w:r w:rsidRPr="00762A0D" w:rsidR="00AE7EA8">
        <w:rPr>
          <w:color w:val="000000" w:themeColor="text1"/>
        </w:rPr>
        <w:t xml:space="preserve"> </w:t>
      </w:r>
      <w:r w:rsidRPr="00762A0D">
        <w:rPr>
          <w:rFonts w:eastAsia="Calibri"/>
          <w:color w:val="000000" w:themeColor="text1"/>
        </w:rPr>
        <w:t xml:space="preserve">is estimated to have </w:t>
      </w:r>
      <w:r w:rsidRPr="00762A0D" w:rsidR="00803403">
        <w:rPr>
          <w:rFonts w:eastAsia="Calibri"/>
          <w:b/>
          <w:bCs/>
          <w:i/>
          <w:iCs/>
          <w:color w:val="000000" w:themeColor="text1"/>
        </w:rPr>
        <w:t>1,074</w:t>
      </w:r>
      <w:r w:rsidRPr="00762A0D">
        <w:rPr>
          <w:rFonts w:eastAsia="Calibri"/>
          <w:b/>
          <w:bCs/>
          <w:i/>
          <w:iCs/>
          <w:color w:val="000000" w:themeColor="text1"/>
        </w:rPr>
        <w:t xml:space="preserve"> </w:t>
      </w:r>
      <w:r w:rsidRPr="00762A0D">
        <w:rPr>
          <w:rFonts w:eastAsia="Calibri"/>
          <w:color w:val="000000" w:themeColor="text1"/>
        </w:rPr>
        <w:t xml:space="preserve">respondents </w:t>
      </w:r>
      <w:r w:rsidRPr="00762A0D" w:rsidR="00D00E46">
        <w:rPr>
          <w:rFonts w:eastAsia="Calibri"/>
          <w:color w:val="000000" w:themeColor="text1"/>
        </w:rPr>
        <w:t>(204 non-profit institutions + 870</w:t>
      </w:r>
      <w:r w:rsidRPr="00762A0D" w:rsidR="00D00E46">
        <w:rPr>
          <w:color w:val="000000" w:themeColor="text1"/>
        </w:rPr>
        <w:t xml:space="preserve"> </w:t>
      </w:r>
      <w:r w:rsidRPr="00762A0D" w:rsidR="00D00E46">
        <w:rPr>
          <w:rFonts w:eastAsia="Calibri"/>
          <w:color w:val="000000" w:themeColor="text1"/>
        </w:rPr>
        <w:t xml:space="preserve">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2167</w:t>
      </w:r>
      <w:r w:rsidRPr="00762A0D">
        <w:rPr>
          <w:rFonts w:eastAsia="Calibri"/>
          <w:color w:val="000000" w:themeColor="text1"/>
        </w:rPr>
        <w:t xml:space="preserve"> hours</w:t>
      </w:r>
      <w:r w:rsidRPr="00762A0D" w:rsidR="00C5520A">
        <w:rPr>
          <w:rFonts w:eastAsia="Calibri"/>
          <w:color w:val="000000" w:themeColor="text1"/>
        </w:rPr>
        <w:t>, or 13 minutes,</w:t>
      </w:r>
      <w:r w:rsidRPr="00762A0D">
        <w:rPr>
          <w:rFonts w:eastAsia="Calibri"/>
          <w:color w:val="000000" w:themeColor="text1"/>
        </w:rPr>
        <w:t xml:space="preserve"> to complete, with the total annual burden of </w:t>
      </w:r>
      <w:r w:rsidRPr="00762A0D" w:rsidR="00803403">
        <w:rPr>
          <w:rFonts w:eastAsia="Calibri"/>
          <w:b/>
          <w:bCs/>
          <w:i/>
          <w:iCs/>
          <w:color w:val="000000" w:themeColor="text1"/>
        </w:rPr>
        <w:t>233</w:t>
      </w:r>
      <w:r w:rsidRPr="00762A0D">
        <w:rPr>
          <w:rFonts w:eastAsia="Calibri"/>
          <w:color w:val="000000" w:themeColor="text1"/>
        </w:rPr>
        <w:t xml:space="preserve"> hours (</w:t>
      </w:r>
      <w:r w:rsidRPr="00762A0D" w:rsidR="00803403">
        <w:rPr>
          <w:rFonts w:eastAsia="Calibri"/>
          <w:b/>
          <w:bCs/>
          <w:i/>
          <w:iCs/>
          <w:color w:val="000000" w:themeColor="text1"/>
        </w:rPr>
        <w:t>1,074</w:t>
      </w:r>
      <w:r w:rsidRPr="00762A0D">
        <w:rPr>
          <w:rFonts w:eastAsia="Calibri"/>
          <w:color w:val="000000" w:themeColor="text1"/>
        </w:rPr>
        <w:t xml:space="preserve"> x </w:t>
      </w:r>
      <w:r w:rsidRPr="00762A0D">
        <w:rPr>
          <w:rFonts w:eastAsia="Calibri"/>
          <w:b/>
          <w:bCs/>
          <w:i/>
          <w:iCs/>
          <w:color w:val="000000" w:themeColor="text1"/>
        </w:rPr>
        <w:t>0.</w:t>
      </w:r>
      <w:r w:rsidRPr="00762A0D" w:rsidR="00803403">
        <w:rPr>
          <w:rFonts w:eastAsia="Calibri"/>
          <w:b/>
          <w:bCs/>
          <w:i/>
          <w:iCs/>
          <w:color w:val="000000" w:themeColor="text1"/>
        </w:rPr>
        <w:t>2167</w:t>
      </w:r>
      <w:r w:rsidRPr="00762A0D">
        <w:rPr>
          <w:rFonts w:eastAsia="Calibri"/>
          <w:color w:val="000000" w:themeColor="text1"/>
        </w:rPr>
        <w:t>).</w:t>
      </w:r>
    </w:p>
    <w:p w:rsidR="009445BF" w:rsidRPr="00762A0D" w:rsidP="00C34635" w14:paraId="415A5741" w14:textId="77777777">
      <w:pPr>
        <w:spacing w:line="276" w:lineRule="auto"/>
        <w:contextualSpacing/>
        <w:rPr>
          <w:rFonts w:eastAsia="Calibri"/>
          <w:b/>
          <w:bCs/>
          <w:color w:val="000000" w:themeColor="text1"/>
        </w:rPr>
      </w:pPr>
    </w:p>
    <w:p w:rsidR="009445BF" w:rsidRPr="00762A0D" w:rsidP="00C34635" w14:paraId="41D22C4F" w14:textId="5D1BF6D3">
      <w:pPr>
        <w:spacing w:line="276" w:lineRule="auto"/>
        <w:contextualSpacing/>
        <w:rPr>
          <w:rFonts w:eastAsia="Calibri"/>
          <w:color w:val="000000" w:themeColor="text1"/>
        </w:rPr>
      </w:pPr>
      <w:r w:rsidRPr="00762A0D">
        <w:rPr>
          <w:rFonts w:eastAsia="Calibri"/>
          <w:b/>
          <w:bCs/>
          <w:color w:val="000000" w:themeColor="text1"/>
        </w:rPr>
        <w:t xml:space="preserve">FEMA Form </w:t>
      </w:r>
      <w:r w:rsidRPr="00762A0D" w:rsidR="00026741">
        <w:rPr>
          <w:rFonts w:eastAsia="Calibri"/>
          <w:b/>
          <w:bCs/>
          <w:color w:val="000000" w:themeColor="text1"/>
        </w:rPr>
        <w:t>FF-104-FY-21-158 (formerly 519-0-35)</w:t>
      </w:r>
      <w:r w:rsidRPr="00762A0D">
        <w:rPr>
          <w:rFonts w:eastAsia="Calibri"/>
          <w:b/>
          <w:bCs/>
          <w:color w:val="000000" w:themeColor="text1"/>
        </w:rPr>
        <w:t xml:space="preserve">-Electronic, Name of Instrument: </w:t>
      </w:r>
      <w:r w:rsidRPr="00762A0D" w:rsidR="00AE7EA8">
        <w:rPr>
          <w:b/>
          <w:bCs/>
          <w:color w:val="000000" w:themeColor="text1"/>
        </w:rPr>
        <w:t>Public Assistance Assessment Customer Satisfaction Survey (Internet)</w:t>
      </w:r>
      <w:r w:rsidRPr="00762A0D">
        <w:rPr>
          <w:rFonts w:eastAsia="Calibri"/>
          <w:color w:val="000000" w:themeColor="text1"/>
        </w:rPr>
        <w:t xml:space="preserve"> is estimated to have </w:t>
      </w:r>
      <w:r w:rsidRPr="00762A0D" w:rsidR="00803403">
        <w:rPr>
          <w:rFonts w:eastAsia="Calibri"/>
          <w:b/>
          <w:bCs/>
          <w:i/>
          <w:iCs/>
          <w:color w:val="000000" w:themeColor="text1"/>
        </w:rPr>
        <w:t>342</w:t>
      </w:r>
      <w:r w:rsidRPr="00762A0D">
        <w:rPr>
          <w:rFonts w:eastAsia="Calibri"/>
          <w:color w:val="000000" w:themeColor="text1"/>
        </w:rPr>
        <w:t xml:space="preserve"> respondents </w:t>
      </w:r>
      <w:r w:rsidRPr="00762A0D" w:rsidR="00D00E46">
        <w:rPr>
          <w:rFonts w:eastAsia="Calibri"/>
          <w:color w:val="000000" w:themeColor="text1"/>
        </w:rPr>
        <w:t xml:space="preserve">(65 non-profit institutions + 277 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sidR="00B07B72">
        <w:rPr>
          <w:rFonts w:eastAsia="Calibri"/>
          <w:color w:val="000000" w:themeColor="text1"/>
        </w:rPr>
        <w:t xml:space="preserve"> </w:t>
      </w:r>
      <w:r w:rsidRPr="00762A0D">
        <w:rPr>
          <w:rFonts w:eastAsia="Calibri"/>
          <w:color w:val="000000" w:themeColor="text1"/>
        </w:rPr>
        <w:t xml:space="preserve">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1333</w:t>
      </w:r>
      <w:r w:rsidRPr="00762A0D">
        <w:rPr>
          <w:rFonts w:eastAsia="Calibri"/>
          <w:color w:val="000000" w:themeColor="text1"/>
        </w:rPr>
        <w:t xml:space="preserve"> hours</w:t>
      </w:r>
      <w:r w:rsidRPr="00762A0D" w:rsidR="00C5520A">
        <w:rPr>
          <w:rFonts w:eastAsia="Calibri"/>
          <w:color w:val="000000" w:themeColor="text1"/>
        </w:rPr>
        <w:t>, or 8 minutes,</w:t>
      </w:r>
      <w:r w:rsidRPr="00762A0D">
        <w:rPr>
          <w:rFonts w:eastAsia="Calibri"/>
          <w:color w:val="000000" w:themeColor="text1"/>
        </w:rPr>
        <w:t xml:space="preserve"> to complete, with the total annual burden of </w:t>
      </w:r>
      <w:r w:rsidRPr="00762A0D" w:rsidR="00803403">
        <w:rPr>
          <w:rFonts w:eastAsia="Calibri"/>
          <w:b/>
          <w:bCs/>
          <w:i/>
          <w:iCs/>
          <w:color w:val="000000" w:themeColor="text1"/>
        </w:rPr>
        <w:t>46</w:t>
      </w:r>
      <w:r w:rsidRPr="00762A0D">
        <w:rPr>
          <w:rFonts w:eastAsia="Calibri"/>
          <w:color w:val="000000" w:themeColor="text1"/>
        </w:rPr>
        <w:t xml:space="preserve"> hours (</w:t>
      </w:r>
      <w:r w:rsidRPr="00762A0D" w:rsidR="00803403">
        <w:rPr>
          <w:rFonts w:eastAsia="Calibri"/>
          <w:b/>
          <w:bCs/>
          <w:i/>
          <w:iCs/>
          <w:color w:val="000000" w:themeColor="text1"/>
        </w:rPr>
        <w:t>342</w:t>
      </w:r>
      <w:r w:rsidRPr="00762A0D">
        <w:rPr>
          <w:rFonts w:eastAsia="Calibri"/>
          <w:color w:val="000000" w:themeColor="text1"/>
        </w:rPr>
        <w:t xml:space="preserve"> x </w:t>
      </w:r>
      <w:r w:rsidRPr="00762A0D">
        <w:rPr>
          <w:rFonts w:eastAsia="Calibri"/>
          <w:b/>
          <w:bCs/>
          <w:i/>
          <w:iCs/>
          <w:color w:val="000000" w:themeColor="text1"/>
        </w:rPr>
        <w:t>0.</w:t>
      </w:r>
      <w:r w:rsidRPr="00762A0D" w:rsidR="00803403">
        <w:rPr>
          <w:rFonts w:eastAsia="Calibri"/>
          <w:b/>
          <w:bCs/>
          <w:i/>
          <w:iCs/>
          <w:color w:val="000000" w:themeColor="text1"/>
        </w:rPr>
        <w:t>1333</w:t>
      </w:r>
      <w:r w:rsidRPr="00762A0D">
        <w:rPr>
          <w:rFonts w:eastAsia="Calibri"/>
          <w:color w:val="000000" w:themeColor="text1"/>
        </w:rPr>
        <w:t>).</w:t>
      </w:r>
    </w:p>
    <w:bookmarkEnd w:id="5"/>
    <w:p w:rsidR="009445BF" w:rsidRPr="00762A0D" w:rsidP="00C34635" w14:paraId="36FAA86B" w14:textId="77777777">
      <w:pPr>
        <w:spacing w:line="276" w:lineRule="auto"/>
        <w:contextualSpacing/>
        <w:rPr>
          <w:color w:val="000000" w:themeColor="text1"/>
        </w:rPr>
      </w:pPr>
    </w:p>
    <w:p w:rsidR="00B07B72" w:rsidRPr="00762A0D" w:rsidP="00C34635" w14:paraId="491BE2EB" w14:textId="24EE766D">
      <w:pPr>
        <w:spacing w:line="276" w:lineRule="auto"/>
        <w:contextualSpacing/>
        <w:rPr>
          <w:rFonts w:eastAsia="Calibri"/>
          <w:color w:val="000000" w:themeColor="text1"/>
        </w:rPr>
      </w:pPr>
      <w:r w:rsidRPr="00762A0D">
        <w:rPr>
          <w:rFonts w:eastAsia="Calibri"/>
          <w:b/>
          <w:bCs/>
          <w:color w:val="000000" w:themeColor="text1"/>
        </w:rPr>
        <w:t xml:space="preserve">FEMA </w:t>
      </w:r>
      <w:r w:rsidRPr="00762A0D" w:rsidR="000A697C">
        <w:rPr>
          <w:rFonts w:eastAsia="Calibri"/>
          <w:b/>
          <w:bCs/>
          <w:color w:val="000000" w:themeColor="text1"/>
        </w:rPr>
        <w:t>Manual</w:t>
      </w:r>
      <w:r w:rsidRPr="00762A0D">
        <w:rPr>
          <w:rFonts w:eastAsia="Calibri"/>
          <w:b/>
          <w:bCs/>
          <w:color w:val="000000" w:themeColor="text1"/>
        </w:rPr>
        <w:t xml:space="preserve"> FM-104-FY-22-102 Focus Group for 2 Hrs Plus Travel 1 Hr </w:t>
      </w:r>
      <w:r w:rsidRPr="00762A0D">
        <w:rPr>
          <w:rFonts w:eastAsia="Calibri"/>
          <w:color w:val="000000" w:themeColor="text1"/>
        </w:rPr>
        <w:t xml:space="preserve">is estimated to have </w:t>
      </w:r>
      <w:r w:rsidRPr="00762A0D">
        <w:rPr>
          <w:rFonts w:eastAsia="Calibri"/>
          <w:b/>
          <w:bCs/>
          <w:i/>
          <w:iCs/>
          <w:color w:val="000000" w:themeColor="text1"/>
        </w:rPr>
        <w:t xml:space="preserve">360 </w:t>
      </w:r>
      <w:r w:rsidRPr="00762A0D">
        <w:rPr>
          <w:rFonts w:eastAsia="Calibri"/>
          <w:color w:val="000000" w:themeColor="text1"/>
        </w:rPr>
        <w:t xml:space="preserve">respondents </w:t>
      </w:r>
      <w:r w:rsidRPr="00762A0D" w:rsidR="00D00E46">
        <w:rPr>
          <w:rFonts w:eastAsia="Calibri"/>
          <w:color w:val="000000" w:themeColor="text1"/>
        </w:rPr>
        <w:t xml:space="preserve">(68 non-profit institutions + 292 State, Local or Tribal Government) </w:t>
      </w:r>
      <w:r w:rsidRPr="00762A0D">
        <w:rPr>
          <w:rFonts w:eastAsia="Calibri"/>
          <w:color w:val="000000" w:themeColor="text1"/>
        </w:rPr>
        <w:t xml:space="preserve">submitting </w:t>
      </w:r>
      <w:r w:rsidRPr="00762A0D">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3</w:t>
      </w:r>
      <w:r w:rsidRPr="00762A0D">
        <w:rPr>
          <w:rFonts w:eastAsia="Calibri"/>
          <w:color w:val="000000" w:themeColor="text1"/>
        </w:rPr>
        <w:t xml:space="preserve"> hours to complete, with the total annual burden of </w:t>
      </w:r>
      <w:r w:rsidRPr="00762A0D">
        <w:rPr>
          <w:rFonts w:eastAsia="Calibri"/>
          <w:b/>
          <w:bCs/>
          <w:i/>
          <w:iCs/>
          <w:color w:val="000000" w:themeColor="text1"/>
        </w:rPr>
        <w:t>1,080</w:t>
      </w:r>
      <w:r w:rsidRPr="00762A0D">
        <w:rPr>
          <w:rFonts w:eastAsia="Calibri"/>
          <w:color w:val="000000" w:themeColor="text1"/>
        </w:rPr>
        <w:t xml:space="preserve"> hours (</w:t>
      </w:r>
      <w:r w:rsidRPr="00762A0D">
        <w:rPr>
          <w:rFonts w:eastAsia="Calibri"/>
          <w:b/>
          <w:bCs/>
          <w:i/>
          <w:iCs/>
          <w:color w:val="000000" w:themeColor="text1"/>
        </w:rPr>
        <w:t>360</w:t>
      </w:r>
      <w:r w:rsidRPr="00762A0D">
        <w:rPr>
          <w:rFonts w:eastAsia="Calibri"/>
          <w:color w:val="000000" w:themeColor="text1"/>
        </w:rPr>
        <w:t xml:space="preserve"> x </w:t>
      </w:r>
      <w:r w:rsidRPr="00762A0D">
        <w:rPr>
          <w:rFonts w:eastAsia="Calibri"/>
          <w:b/>
          <w:bCs/>
          <w:i/>
          <w:iCs/>
          <w:color w:val="000000" w:themeColor="text1"/>
        </w:rPr>
        <w:t>3</w:t>
      </w:r>
      <w:r w:rsidRPr="00762A0D">
        <w:rPr>
          <w:rFonts w:eastAsia="Calibri"/>
          <w:color w:val="000000" w:themeColor="text1"/>
        </w:rPr>
        <w:t>).</w:t>
      </w:r>
    </w:p>
    <w:p w:rsidR="00B07B72" w:rsidRPr="00762A0D" w:rsidP="00C34635" w14:paraId="4DDD273D" w14:textId="77777777">
      <w:pPr>
        <w:spacing w:line="276" w:lineRule="auto"/>
        <w:contextualSpacing/>
        <w:rPr>
          <w:color w:val="000000" w:themeColor="text1"/>
        </w:rPr>
      </w:pPr>
    </w:p>
    <w:p w:rsidR="00B07B72" w:rsidRPr="00762A0D" w:rsidP="00C34635" w14:paraId="38372F25" w14:textId="4F99BDED">
      <w:pPr>
        <w:spacing w:line="276" w:lineRule="auto"/>
        <w:contextualSpacing/>
        <w:rPr>
          <w:rFonts w:eastAsia="Calibri"/>
          <w:color w:val="000000" w:themeColor="text1"/>
        </w:rPr>
      </w:pPr>
      <w:r w:rsidRPr="00762A0D">
        <w:rPr>
          <w:rFonts w:eastAsia="Calibri"/>
          <w:b/>
          <w:bCs/>
          <w:color w:val="000000" w:themeColor="text1"/>
        </w:rPr>
        <w:t xml:space="preserve">FEMA </w:t>
      </w:r>
      <w:r w:rsidRPr="00762A0D" w:rsidR="000A697C">
        <w:rPr>
          <w:rFonts w:eastAsia="Calibri"/>
          <w:b/>
          <w:bCs/>
          <w:color w:val="000000" w:themeColor="text1"/>
        </w:rPr>
        <w:t>Manual</w:t>
      </w:r>
      <w:r w:rsidRPr="00762A0D">
        <w:rPr>
          <w:rFonts w:eastAsia="Calibri"/>
          <w:b/>
          <w:bCs/>
          <w:color w:val="000000" w:themeColor="text1"/>
        </w:rPr>
        <w:t xml:space="preserve"> FM-104-FY-22-102 One-on-One Interviews </w:t>
      </w:r>
      <w:r w:rsidRPr="00762A0D">
        <w:rPr>
          <w:rFonts w:eastAsia="Calibri"/>
          <w:color w:val="000000" w:themeColor="text1"/>
        </w:rPr>
        <w:t xml:space="preserve">is estimated to have </w:t>
      </w:r>
      <w:r w:rsidRPr="00762A0D">
        <w:rPr>
          <w:rFonts w:eastAsia="Calibri"/>
          <w:b/>
          <w:bCs/>
          <w:i/>
          <w:iCs/>
          <w:color w:val="000000" w:themeColor="text1"/>
        </w:rPr>
        <w:t xml:space="preserve">200 </w:t>
      </w:r>
      <w:r w:rsidRPr="00762A0D">
        <w:rPr>
          <w:rFonts w:eastAsia="Calibri"/>
          <w:color w:val="000000" w:themeColor="text1"/>
        </w:rPr>
        <w:t xml:space="preserve">respondents </w:t>
      </w:r>
      <w:r w:rsidRPr="00762A0D" w:rsidR="00D00E46">
        <w:rPr>
          <w:rFonts w:eastAsia="Calibri"/>
          <w:color w:val="000000" w:themeColor="text1"/>
        </w:rPr>
        <w:t xml:space="preserve">(38 non-profit institutions + 162 State, Local or Tribal Government) </w:t>
      </w:r>
      <w:r w:rsidRPr="00762A0D">
        <w:rPr>
          <w:rFonts w:eastAsia="Calibri"/>
          <w:color w:val="000000" w:themeColor="text1"/>
        </w:rPr>
        <w:t xml:space="preserve">submitting </w:t>
      </w:r>
      <w:r w:rsidRPr="00762A0D">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1</w:t>
      </w:r>
      <w:r w:rsidRPr="00762A0D">
        <w:rPr>
          <w:rFonts w:eastAsia="Calibri"/>
          <w:color w:val="000000" w:themeColor="text1"/>
        </w:rPr>
        <w:t xml:space="preserve"> hour to complete, with the total annual burden of </w:t>
      </w:r>
      <w:r w:rsidRPr="00762A0D">
        <w:rPr>
          <w:rFonts w:eastAsia="Calibri"/>
          <w:b/>
          <w:bCs/>
          <w:i/>
          <w:iCs/>
          <w:color w:val="000000" w:themeColor="text1"/>
        </w:rPr>
        <w:t>200</w:t>
      </w:r>
      <w:r w:rsidRPr="00762A0D">
        <w:rPr>
          <w:rFonts w:eastAsia="Calibri"/>
          <w:color w:val="000000" w:themeColor="text1"/>
        </w:rPr>
        <w:t xml:space="preserve"> hours (</w:t>
      </w:r>
      <w:r w:rsidRPr="00762A0D">
        <w:rPr>
          <w:rFonts w:eastAsia="Calibri"/>
          <w:b/>
          <w:bCs/>
          <w:i/>
          <w:iCs/>
          <w:color w:val="000000" w:themeColor="text1"/>
        </w:rPr>
        <w:t>200</w:t>
      </w:r>
      <w:r w:rsidRPr="00762A0D">
        <w:rPr>
          <w:rFonts w:eastAsia="Calibri"/>
          <w:color w:val="000000" w:themeColor="text1"/>
        </w:rPr>
        <w:t xml:space="preserve"> x </w:t>
      </w:r>
      <w:r w:rsidRPr="00762A0D">
        <w:rPr>
          <w:rFonts w:eastAsia="Calibri"/>
          <w:b/>
          <w:bCs/>
          <w:i/>
          <w:iCs/>
          <w:color w:val="000000" w:themeColor="text1"/>
        </w:rPr>
        <w:t>1</w:t>
      </w:r>
      <w:r w:rsidRPr="00762A0D">
        <w:rPr>
          <w:rFonts w:eastAsia="Calibri"/>
          <w:color w:val="000000" w:themeColor="text1"/>
        </w:rPr>
        <w:t>).</w:t>
      </w:r>
    </w:p>
    <w:p w:rsidR="00B07B72" w:rsidRPr="00762A0D" w:rsidP="00C34635" w14:paraId="38186C11" w14:textId="77777777">
      <w:pPr>
        <w:spacing w:line="276" w:lineRule="auto"/>
        <w:contextualSpacing/>
        <w:rPr>
          <w:bCs/>
          <w:color w:val="000000" w:themeColor="text1"/>
        </w:rPr>
      </w:pPr>
    </w:p>
    <w:p w:rsidR="006216C7" w:rsidRPr="00C34635" w:rsidP="00C34635" w14:paraId="1BF6A8E9" w14:textId="77777777">
      <w:pPr>
        <w:spacing w:line="276" w:lineRule="auto"/>
        <w:contextualSpacing/>
        <w:rPr>
          <w:bCs/>
        </w:rPr>
      </w:pPr>
      <w:r w:rsidRPr="00C34635">
        <w:rPr>
          <w:bCs/>
        </w:rPr>
        <w:t xml:space="preserve">Qualitative </w:t>
      </w:r>
      <w:r w:rsidRPr="00C34635" w:rsidR="002C3E44">
        <w:rPr>
          <w:bCs/>
        </w:rPr>
        <w:t>research</w:t>
      </w:r>
      <w:r w:rsidRPr="00C34635">
        <w:rPr>
          <w:bCs/>
        </w:rPr>
        <w:t xml:space="preserve"> </w:t>
      </w:r>
      <w:r w:rsidRPr="00C34635" w:rsidR="002C3E44">
        <w:rPr>
          <w:bCs/>
        </w:rPr>
        <w:t>is</w:t>
      </w:r>
      <w:r w:rsidRPr="00C34635">
        <w:rPr>
          <w:bCs/>
        </w:rPr>
        <w:t xml:space="preserve"> conducted on a request basis</w:t>
      </w:r>
      <w:r w:rsidRPr="00C34635" w:rsidR="003A1616">
        <w:rPr>
          <w:bCs/>
        </w:rPr>
        <w:t>; there is</w:t>
      </w:r>
      <w:r w:rsidRPr="00C34635">
        <w:rPr>
          <w:bCs/>
        </w:rPr>
        <w:t xml:space="preserve"> no special schedule for implementation.</w:t>
      </w:r>
      <w:r w:rsidRPr="00C34635" w:rsidR="00AB7832">
        <w:rPr>
          <w:bCs/>
        </w:rPr>
        <w:t xml:space="preserve">  </w:t>
      </w:r>
      <w:r w:rsidRPr="00C34635" w:rsidR="0011498A">
        <w:rPr>
          <w:bCs/>
        </w:rPr>
        <w:t>Completions for qualitative interviews were estimated from previous experience</w:t>
      </w:r>
      <w:r w:rsidRPr="00C34635" w:rsidR="00AE7EA8">
        <w:rPr>
          <w:bCs/>
        </w:rPr>
        <w:t xml:space="preserve">, and </w:t>
      </w:r>
      <w:r w:rsidRPr="00C34635" w:rsidR="00FF4C66">
        <w:rPr>
          <w:bCs/>
        </w:rPr>
        <w:t>administration can occur</w:t>
      </w:r>
      <w:r w:rsidRPr="00C34635" w:rsidR="00AE7EA8">
        <w:rPr>
          <w:bCs/>
        </w:rPr>
        <w:t xml:space="preserve"> </w:t>
      </w:r>
      <w:r w:rsidRPr="00C34635" w:rsidR="00FF4C66">
        <w:rPr>
          <w:bCs/>
        </w:rPr>
        <w:t>in-</w:t>
      </w:r>
      <w:r w:rsidRPr="00C34635" w:rsidR="00AE7EA8">
        <w:rPr>
          <w:bCs/>
        </w:rPr>
        <w:t xml:space="preserve">person, </w:t>
      </w:r>
      <w:r w:rsidRPr="00C34635" w:rsidR="00FF4C66">
        <w:rPr>
          <w:bCs/>
        </w:rPr>
        <w:t xml:space="preserve">by </w:t>
      </w:r>
      <w:r w:rsidRPr="00C34635" w:rsidR="00AE7EA8">
        <w:rPr>
          <w:bCs/>
        </w:rPr>
        <w:t xml:space="preserve">phone, or online.  </w:t>
      </w:r>
      <w:r w:rsidRPr="00C34635" w:rsidR="00AE7EA8">
        <w:t xml:space="preserve">The decision to conduct interviews vs. focus groups usually depends on the density of the target population (e.g., sometimes applicants are spread all over the state and it is not feasible to meet in a central </w:t>
      </w:r>
      <w:r w:rsidRPr="00C34635" w:rsidR="00AE7EA8">
        <w:t xml:space="preserve">location) and available funding.  </w:t>
      </w:r>
      <w:r w:rsidRPr="00C34635" w:rsidR="0011498A">
        <w:rPr>
          <w:bCs/>
        </w:rPr>
        <w:t xml:space="preserve">It is likely that </w:t>
      </w:r>
      <w:r w:rsidRPr="00C34635" w:rsidR="00AE7EA8">
        <w:rPr>
          <w:bCs/>
        </w:rPr>
        <w:t>applicants who participate in qualitative research sessions</w:t>
      </w:r>
      <w:r w:rsidRPr="00C34635" w:rsidR="0011498A">
        <w:rPr>
          <w:bCs/>
        </w:rPr>
        <w:t xml:space="preserve"> </w:t>
      </w:r>
      <w:r w:rsidRPr="00C34635" w:rsidR="00BF671B">
        <w:rPr>
          <w:bCs/>
        </w:rPr>
        <w:t>will</w:t>
      </w:r>
      <w:r w:rsidRPr="00C34635" w:rsidR="0011498A">
        <w:rPr>
          <w:bCs/>
        </w:rPr>
        <w:t xml:space="preserve"> have previously taken the PA Initial or PA Assessment Survey</w:t>
      </w:r>
      <w:r w:rsidRPr="00C34635" w:rsidR="003A1616">
        <w:rPr>
          <w:bCs/>
        </w:rPr>
        <w:t xml:space="preserve">. This will </w:t>
      </w:r>
      <w:r w:rsidRPr="00C34635" w:rsidR="0011498A">
        <w:rPr>
          <w:bCs/>
        </w:rPr>
        <w:t>depend at what point in the PA process qualitative interviews take place</w:t>
      </w:r>
      <w:r w:rsidRPr="00C34635" w:rsidR="00BF671B">
        <w:rPr>
          <w:bCs/>
        </w:rPr>
        <w:t xml:space="preserve"> and what topics are being researched.</w:t>
      </w:r>
      <w:r w:rsidRPr="00C34635" w:rsidR="0011498A">
        <w:rPr>
          <w:bCs/>
        </w:rPr>
        <w:t xml:space="preserve">  Qualitative interviews are used to gather more detailed information that cannot adequately be captured </w:t>
      </w:r>
      <w:r w:rsidRPr="00C34635" w:rsidR="003A1616">
        <w:rPr>
          <w:bCs/>
        </w:rPr>
        <w:t xml:space="preserve">in </w:t>
      </w:r>
      <w:r w:rsidRPr="00C34635" w:rsidR="0011498A">
        <w:rPr>
          <w:bCs/>
        </w:rPr>
        <w:t>a short, quantitative survey measure.</w:t>
      </w:r>
      <w:r w:rsidRPr="00C34635" w:rsidR="00D84042">
        <w:rPr>
          <w:bCs/>
        </w:rPr>
        <w:t xml:space="preserve">  This most often occurs when Public Assistance implements a new program or policy that isn’t addressed in </w:t>
      </w:r>
      <w:r w:rsidRPr="00C34635" w:rsidR="002C3E44">
        <w:rPr>
          <w:bCs/>
        </w:rPr>
        <w:t>the</w:t>
      </w:r>
      <w:r w:rsidRPr="00C34635" w:rsidR="00D84042">
        <w:rPr>
          <w:bCs/>
        </w:rPr>
        <w:t xml:space="preserve"> surveys.</w:t>
      </w:r>
      <w:r w:rsidRPr="00C34635" w:rsidR="00D72FDC">
        <w:rPr>
          <w:bCs/>
        </w:rPr>
        <w:t xml:space="preserve">  Examples of potential qualitative topics include changes to 428 procedures (estimates based on fixed costs), comparing PA New Delivery Model to old delivery model,</w:t>
      </w:r>
      <w:r w:rsidRPr="00C34635" w:rsidR="00405307">
        <w:rPr>
          <w:bCs/>
        </w:rPr>
        <w:t xml:space="preserve"> assessing changes in the Grants Portal,</w:t>
      </w:r>
      <w:r w:rsidRPr="00C34635" w:rsidR="00D72FDC">
        <w:rPr>
          <w:bCs/>
        </w:rPr>
        <w:t xml:space="preserve"> and state-led disasters.</w:t>
      </w:r>
      <w:r w:rsidRPr="00C34635" w:rsidR="0011498A">
        <w:rPr>
          <w:bCs/>
        </w:rPr>
        <w:t xml:space="preserve"> </w:t>
      </w:r>
    </w:p>
    <w:p w:rsidR="00A8084F" w:rsidRPr="00C34635" w:rsidP="00C34635" w14:paraId="60BAB93A" w14:textId="77777777">
      <w:pPr>
        <w:spacing w:line="276" w:lineRule="auto"/>
        <w:contextualSpacing/>
      </w:pPr>
    </w:p>
    <w:p w:rsidR="00842E74" w:rsidRPr="00C34635" w:rsidP="00C34635" w14:paraId="7660C3F4" w14:textId="77777777">
      <w:pPr>
        <w:spacing w:line="276" w:lineRule="auto"/>
        <w:contextualSpacing/>
        <w:rPr>
          <w:b/>
          <w:bCs/>
        </w:rPr>
      </w:pPr>
      <w:r w:rsidRPr="00C34635">
        <w:tab/>
      </w:r>
      <w:r w:rsidRPr="00C34635">
        <w:rPr>
          <w:b/>
          <w:bCs/>
        </w:rPr>
        <w:t>b.  If this request for approval covers more than one form, provide separate hour burden estimates for each form and aggregate the hour burdens in Item 13 of OMB Form 83-I.</w:t>
      </w:r>
    </w:p>
    <w:p w:rsidR="00F43BA9" w:rsidRPr="00C34635" w:rsidP="00C34635" w14:paraId="794A5854" w14:textId="77777777">
      <w:pPr>
        <w:spacing w:line="276" w:lineRule="auto"/>
        <w:contextualSpacing/>
        <w:rPr>
          <w:bCs/>
        </w:rPr>
      </w:pPr>
    </w:p>
    <w:p w:rsidR="005D4020" w:rsidRPr="00C34635" w:rsidP="00C34635" w14:paraId="342B95E9" w14:textId="77777777">
      <w:pPr>
        <w:tabs>
          <w:tab w:val="left" w:pos="-720"/>
        </w:tabs>
        <w:suppressAutoHyphens/>
        <w:spacing w:line="276" w:lineRule="auto"/>
        <w:contextualSpacing/>
      </w:pPr>
      <w:r w:rsidRPr="00C34635">
        <w:t>Please see our response for 12a above and 12c below.</w:t>
      </w:r>
    </w:p>
    <w:p w:rsidR="00623811" w:rsidRPr="00C34635" w:rsidP="00C34635" w14:paraId="0722EE2E" w14:textId="77777777">
      <w:pPr>
        <w:spacing w:line="276" w:lineRule="auto"/>
        <w:contextualSpacing/>
        <w:rPr>
          <w:b/>
          <w:bCs/>
        </w:rPr>
      </w:pPr>
      <w:r w:rsidRPr="00C34635">
        <w:rPr>
          <w:b/>
          <w:bCs/>
        </w:rPr>
        <w:tab/>
      </w:r>
    </w:p>
    <w:p w:rsidR="00A613E5" w:rsidRPr="00C34635" w:rsidP="00C34635" w14:paraId="621808B7" w14:textId="77777777">
      <w:pPr>
        <w:spacing w:line="276" w:lineRule="auto"/>
        <w:contextualSpacing/>
        <w:rPr>
          <w:b/>
          <w:bCs/>
        </w:rPr>
      </w:pPr>
      <w:r w:rsidRPr="00C34635">
        <w:rPr>
          <w:b/>
          <w:bCs/>
        </w:rPr>
        <w:t xml:space="preserve">c. Provide </w:t>
      </w:r>
      <w:r w:rsidRPr="00C34635" w:rsidR="00763992">
        <w:rPr>
          <w:b/>
          <w:bCs/>
        </w:rPr>
        <w:t xml:space="preserve">an </w:t>
      </w:r>
      <w:r w:rsidRPr="00C34635">
        <w:rPr>
          <w:b/>
          <w:bCs/>
        </w:rPr>
        <w:t>estimate of annualized cost to respondents for the hour burdens for collections of information, identifying and using appropriate</w:t>
      </w:r>
      <w:r w:rsidRPr="00C34635" w:rsidR="00232C69">
        <w:rPr>
          <w:b/>
          <w:bCs/>
        </w:rPr>
        <w:t xml:space="preserve"> </w:t>
      </w:r>
      <w:r w:rsidRPr="00C34635">
        <w:rPr>
          <w:b/>
          <w:bCs/>
        </w:rPr>
        <w:t>wage rate</w:t>
      </w:r>
      <w:r w:rsidRPr="00C34635" w:rsidR="00763992">
        <w:rPr>
          <w:b/>
          <w:bCs/>
        </w:rPr>
        <w:t xml:space="preserve"> </w:t>
      </w:r>
      <w:r w:rsidRPr="00C34635">
        <w:rPr>
          <w:b/>
          <w:bCs/>
        </w:rPr>
        <w:t>categories.</w:t>
      </w:r>
      <w:r w:rsidRPr="00C34635" w:rsidR="009B69D3">
        <w:rPr>
          <w:b/>
          <w:bCs/>
        </w:rPr>
        <w:t xml:space="preserve">  NOTE: The wage-rate category for each respondent must be multiplied by 1.4</w:t>
      </w:r>
      <w:r w:rsidRPr="00C34635" w:rsidR="00E47E8C">
        <w:rPr>
          <w:b/>
          <w:bCs/>
        </w:rPr>
        <w:t>6</w:t>
      </w:r>
      <w:r w:rsidRPr="00C34635" w:rsidR="009B69D3">
        <w:rPr>
          <w:b/>
          <w:bCs/>
        </w:rPr>
        <w:t xml:space="preserve"> and this total should be entered in the cell for “Avg. Hourly Wage Rate”.</w:t>
      </w:r>
      <w:r w:rsidRPr="00C34635">
        <w:rPr>
          <w:b/>
          <w:bCs/>
        </w:rPr>
        <w:t xml:space="preserve">  The cost </w:t>
      </w:r>
      <w:r w:rsidRPr="00C34635" w:rsidR="006C04FF">
        <w:rPr>
          <w:b/>
          <w:bCs/>
        </w:rPr>
        <w:t xml:space="preserve">to the respondents </w:t>
      </w:r>
      <w:r w:rsidRPr="00C34635">
        <w:rPr>
          <w:b/>
          <w:bCs/>
        </w:rPr>
        <w:t>of contracting out or</w:t>
      </w:r>
      <w:r w:rsidRPr="00C34635" w:rsidR="00232C69">
        <w:rPr>
          <w:b/>
          <w:bCs/>
        </w:rPr>
        <w:t xml:space="preserve"> </w:t>
      </w:r>
      <w:r w:rsidRPr="00C34635">
        <w:rPr>
          <w:b/>
          <w:bCs/>
        </w:rPr>
        <w:t>paying outside parties for information collection activities should not be</w:t>
      </w:r>
      <w:r w:rsidRPr="00C34635" w:rsidR="00232C69">
        <w:rPr>
          <w:b/>
          <w:bCs/>
        </w:rPr>
        <w:t xml:space="preserve"> </w:t>
      </w:r>
      <w:r w:rsidRPr="00C34635">
        <w:rPr>
          <w:b/>
          <w:bCs/>
        </w:rPr>
        <w:t>included here.  Instead this cost should be included in Item 1</w:t>
      </w:r>
      <w:r w:rsidRPr="00C34635" w:rsidR="006540F6">
        <w:rPr>
          <w:b/>
          <w:bCs/>
        </w:rPr>
        <w:t>3</w:t>
      </w:r>
      <w:r w:rsidRPr="00C34635">
        <w:rPr>
          <w:b/>
          <w:bCs/>
        </w:rPr>
        <w:t>.</w:t>
      </w:r>
      <w:r w:rsidRPr="00C34635" w:rsidR="00017485">
        <w:rPr>
          <w:b/>
          <w:bCs/>
        </w:rPr>
        <w:t xml:space="preserve"> </w:t>
      </w:r>
    </w:p>
    <w:p w:rsidR="00FF4C66" w:rsidRPr="00C34635" w:rsidP="00C34635" w14:paraId="4F13428D" w14:textId="77777777">
      <w:pPr>
        <w:tabs>
          <w:tab w:val="left" w:pos="-720"/>
          <w:tab w:val="num" w:pos="1080"/>
          <w:tab w:val="left" w:pos="4590"/>
        </w:tabs>
        <w:suppressAutoHyphens/>
        <w:spacing w:line="276" w:lineRule="auto"/>
        <w:contextualSpacing/>
        <w:rPr>
          <w:bCs/>
        </w:rPr>
      </w:pPr>
    </w:p>
    <w:p w:rsidR="00FF4C66" w:rsidRPr="00C34635" w:rsidP="00C34635" w14:paraId="30ECEE8B" w14:textId="77777777">
      <w:pPr>
        <w:tabs>
          <w:tab w:val="left" w:pos="-720"/>
          <w:tab w:val="num" w:pos="1080"/>
          <w:tab w:val="left" w:pos="4590"/>
        </w:tabs>
        <w:suppressAutoHyphens/>
        <w:spacing w:line="276" w:lineRule="auto"/>
        <w:contextualSpacing/>
        <w:rPr>
          <w:bCs/>
        </w:rPr>
      </w:pPr>
      <w:r w:rsidRPr="00C34635">
        <w:rPr>
          <w:bCs/>
        </w:rPr>
        <w:t xml:space="preserve">The universe of respondents will consist of all applicants that applied for Public Assistance following a major disaster declaration under the Stafford Act (42 U.S.C. §§ 5121 </w:t>
      </w:r>
      <w:r w:rsidRPr="00C34635">
        <w:rPr>
          <w:bCs/>
          <w:i/>
          <w:iCs/>
        </w:rPr>
        <w:t>et seq</w:t>
      </w:r>
      <w:r w:rsidRPr="00C34635">
        <w:rPr>
          <w:bCs/>
        </w:rPr>
        <w:t xml:space="preserve">).  </w:t>
      </w:r>
    </w:p>
    <w:p w:rsidR="00A302F5" w:rsidRPr="00C34635" w:rsidP="00C34635" w14:paraId="0C8823BD" w14:textId="77777777">
      <w:pPr>
        <w:spacing w:line="276" w:lineRule="auto"/>
        <w:contextualSpacing/>
        <w:rPr>
          <w:bCs/>
        </w:rPr>
      </w:pPr>
    </w:p>
    <w:p w:rsidR="0028241E" w:rsidRPr="00C34635" w:rsidP="00C34635" w14:paraId="5DCFC9F2" w14:textId="77777777">
      <w:pPr>
        <w:spacing w:line="276" w:lineRule="auto"/>
        <w:contextualSpacing/>
        <w:rPr>
          <w:bCs/>
        </w:rPr>
      </w:pPr>
      <w:r w:rsidRPr="00C34635">
        <w:rPr>
          <w:bCs/>
        </w:rPr>
        <w:t>Estimates, based on a 2-year average (FY 2018-2019) of annual applicant population,</w:t>
      </w:r>
      <w:r w:rsidRPr="00C34635" w:rsidR="000F3C92">
        <w:rPr>
          <w:bCs/>
        </w:rPr>
        <w:t xml:space="preserve"> shows 1</w:t>
      </w:r>
      <w:r w:rsidRPr="00C34635" w:rsidR="003473CB">
        <w:rPr>
          <w:bCs/>
        </w:rPr>
        <w:t>9</w:t>
      </w:r>
      <w:r w:rsidRPr="00C34635" w:rsidR="000F3C92">
        <w:rPr>
          <w:bCs/>
        </w:rPr>
        <w:t>% of</w:t>
      </w:r>
      <w:r w:rsidRPr="00C34635" w:rsidR="00077F57">
        <w:rPr>
          <w:bCs/>
        </w:rPr>
        <w:t xml:space="preserve"> Public Assistance</w:t>
      </w:r>
      <w:r w:rsidRPr="00C34635" w:rsidR="000F3C92">
        <w:rPr>
          <w:bCs/>
        </w:rPr>
        <w:t xml:space="preserve"> applicants are non-profit institutions, and </w:t>
      </w:r>
      <w:r w:rsidRPr="00C34635" w:rsidR="003473CB">
        <w:rPr>
          <w:bCs/>
        </w:rPr>
        <w:t>81</w:t>
      </w:r>
      <w:r w:rsidRPr="00C34635" w:rsidR="000F3C92">
        <w:rPr>
          <w:bCs/>
        </w:rPr>
        <w:t xml:space="preserve">% are state, local, or tribal government.  </w:t>
      </w:r>
      <w:r w:rsidRPr="00C34635" w:rsidR="00353DBD">
        <w:rPr>
          <w:bCs/>
        </w:rPr>
        <w:t>Projected number of respondents, b</w:t>
      </w:r>
      <w:r w:rsidRPr="00C34635" w:rsidR="000F3C92">
        <w:rPr>
          <w:bCs/>
        </w:rPr>
        <w:t>urden hours</w:t>
      </w:r>
      <w:r w:rsidRPr="00C34635" w:rsidR="00353DBD">
        <w:rPr>
          <w:bCs/>
        </w:rPr>
        <w:t>,</w:t>
      </w:r>
      <w:r w:rsidRPr="00C34635" w:rsidR="000F3C92">
        <w:rPr>
          <w:bCs/>
        </w:rPr>
        <w:t xml:space="preserve"> and</w:t>
      </w:r>
      <w:r w:rsidRPr="00C34635" w:rsidR="00353DBD">
        <w:rPr>
          <w:bCs/>
        </w:rPr>
        <w:t xml:space="preserve"> respondent</w:t>
      </w:r>
      <w:r w:rsidRPr="00C34635" w:rsidR="000F3C92">
        <w:rPr>
          <w:bCs/>
        </w:rPr>
        <w:t xml:space="preserve"> c</w:t>
      </w:r>
      <w:r w:rsidRPr="00C34635" w:rsidR="00353DBD">
        <w:rPr>
          <w:bCs/>
        </w:rPr>
        <w:t>osts are calculated accordingly.</w:t>
      </w:r>
      <w:r w:rsidRPr="00C34635">
        <w:rPr>
          <w:bCs/>
        </w:rPr>
        <w:t xml:space="preserve">  Population estimates for 2020-2021 were not used because they were highly atypical due to COVID declarations.  </w:t>
      </w:r>
    </w:p>
    <w:p w:rsidR="00C34635" w:rsidRPr="00C34635" w:rsidP="00762A0D" w14:paraId="0B5FB023" w14:textId="42DAE882">
      <w:pPr>
        <w:spacing w:line="276" w:lineRule="auto"/>
        <w:contextualSpacing/>
      </w:pPr>
      <w:bookmarkStart w:id="6" w:name="_Hlk120702955"/>
      <w:r w:rsidRPr="00C34635">
        <w:br w:type="page"/>
      </w:r>
    </w:p>
    <w:p w:rsidR="00C5520A" w:rsidRPr="000A697C" w:rsidP="000A697C" w14:paraId="6316895C" w14:textId="77777777">
      <w:pPr>
        <w:spacing w:line="276" w:lineRule="auto"/>
        <w:contextualSpacing/>
      </w:pPr>
    </w:p>
    <w:tbl>
      <w:tblPr>
        <w:tblW w:w="11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6"/>
        <w:gridCol w:w="2465"/>
        <w:gridCol w:w="1234"/>
        <w:gridCol w:w="1156"/>
        <w:gridCol w:w="1056"/>
        <w:gridCol w:w="1323"/>
        <w:gridCol w:w="802"/>
        <w:gridCol w:w="868"/>
        <w:gridCol w:w="1156"/>
      </w:tblGrid>
      <w:tr w14:paraId="3756A95F" w14:textId="77777777" w:rsidTr="000A697C">
        <w:tblPrEx>
          <w:tblW w:w="11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186" w:type="dxa"/>
            <w:gridSpan w:val="9"/>
            <w:shd w:val="clear" w:color="auto" w:fill="8EAADB" w:themeFill="accent1" w:themeFillTint="99"/>
          </w:tcPr>
          <w:p w:rsidR="000A697C" w:rsidRPr="000A697C" w:rsidP="000A697C" w14:paraId="32D1D7F5" w14:textId="77777777">
            <w:pPr>
              <w:contextualSpacing/>
              <w:jc w:val="center"/>
              <w:rPr>
                <w:rFonts w:eastAsia="Calibri"/>
                <w:b/>
                <w:sz w:val="20"/>
                <w:szCs w:val="20"/>
              </w:rPr>
            </w:pPr>
            <w:r w:rsidRPr="000A697C">
              <w:rPr>
                <w:rFonts w:eastAsia="Calibri"/>
                <w:b/>
                <w:sz w:val="20"/>
                <w:szCs w:val="20"/>
              </w:rPr>
              <w:t>Estimated Annualized Burden Hours and Costs</w:t>
            </w:r>
          </w:p>
        </w:tc>
      </w:tr>
      <w:tr w14:paraId="5D9AE34F" w14:textId="77777777" w:rsidTr="000A697C">
        <w:tblPrEx>
          <w:tblW w:w="11186" w:type="dxa"/>
          <w:jc w:val="center"/>
          <w:tblLook w:val="04A0"/>
        </w:tblPrEx>
        <w:trPr>
          <w:jc w:val="center"/>
        </w:trPr>
        <w:tc>
          <w:tcPr>
            <w:tcW w:w="1126" w:type="dxa"/>
            <w:shd w:val="clear" w:color="auto" w:fill="8EAADB" w:themeFill="accent1" w:themeFillTint="99"/>
          </w:tcPr>
          <w:p w:rsidR="00C5520A" w:rsidRPr="000A697C" w:rsidP="000A697C" w14:paraId="12AC7369" w14:textId="77777777">
            <w:pPr>
              <w:contextualSpacing/>
              <w:rPr>
                <w:rFonts w:eastAsia="Calibri"/>
                <w:sz w:val="18"/>
                <w:szCs w:val="18"/>
              </w:rPr>
            </w:pPr>
            <w:r w:rsidRPr="000A697C">
              <w:rPr>
                <w:sz w:val="18"/>
                <w:szCs w:val="18"/>
              </w:rPr>
              <w:t>Type of Respondent</w:t>
            </w:r>
          </w:p>
        </w:tc>
        <w:tc>
          <w:tcPr>
            <w:tcW w:w="2465" w:type="dxa"/>
            <w:shd w:val="clear" w:color="auto" w:fill="8EAADB" w:themeFill="accent1" w:themeFillTint="99"/>
          </w:tcPr>
          <w:p w:rsidR="00C5520A" w:rsidRPr="000A697C" w:rsidP="000A697C" w14:paraId="7CD44B13" w14:textId="77777777">
            <w:pPr>
              <w:contextualSpacing/>
              <w:rPr>
                <w:rFonts w:eastAsia="Calibri"/>
                <w:sz w:val="18"/>
                <w:szCs w:val="18"/>
              </w:rPr>
            </w:pPr>
            <w:r w:rsidRPr="000A697C">
              <w:rPr>
                <w:rFonts w:eastAsia="Calibri"/>
                <w:sz w:val="18"/>
                <w:szCs w:val="18"/>
              </w:rPr>
              <w:t>Form Name / Form No.</w:t>
            </w:r>
          </w:p>
        </w:tc>
        <w:tc>
          <w:tcPr>
            <w:tcW w:w="1234" w:type="dxa"/>
            <w:shd w:val="clear" w:color="auto" w:fill="8EAADB" w:themeFill="accent1" w:themeFillTint="99"/>
          </w:tcPr>
          <w:p w:rsidR="00C5520A" w:rsidRPr="000A697C" w:rsidP="000A697C" w14:paraId="77510020" w14:textId="77777777">
            <w:pPr>
              <w:contextualSpacing/>
              <w:rPr>
                <w:rFonts w:eastAsia="Calibri"/>
                <w:sz w:val="18"/>
                <w:szCs w:val="18"/>
              </w:rPr>
            </w:pPr>
            <w:r w:rsidRPr="000A697C">
              <w:rPr>
                <w:rFonts w:eastAsia="Calibri"/>
                <w:sz w:val="18"/>
                <w:szCs w:val="18"/>
              </w:rPr>
              <w:t>No. of Respondents</w:t>
            </w:r>
          </w:p>
        </w:tc>
        <w:tc>
          <w:tcPr>
            <w:tcW w:w="1156" w:type="dxa"/>
            <w:shd w:val="clear" w:color="auto" w:fill="8EAADB" w:themeFill="accent1" w:themeFillTint="99"/>
          </w:tcPr>
          <w:p w:rsidR="00C5520A" w:rsidRPr="000A697C" w:rsidP="000A697C" w14:paraId="797EBEF0" w14:textId="77777777">
            <w:pPr>
              <w:contextualSpacing/>
              <w:rPr>
                <w:rFonts w:eastAsia="Calibri"/>
                <w:sz w:val="18"/>
                <w:szCs w:val="18"/>
              </w:rPr>
            </w:pPr>
            <w:r w:rsidRPr="000A697C">
              <w:rPr>
                <w:rFonts w:eastAsia="Calibri"/>
                <w:sz w:val="18"/>
                <w:szCs w:val="18"/>
              </w:rPr>
              <w:t>No. of Responses per Respondent</w:t>
            </w:r>
          </w:p>
        </w:tc>
        <w:tc>
          <w:tcPr>
            <w:tcW w:w="1056" w:type="dxa"/>
            <w:shd w:val="clear" w:color="auto" w:fill="8EAADB" w:themeFill="accent1" w:themeFillTint="99"/>
          </w:tcPr>
          <w:p w:rsidR="00C5520A" w:rsidRPr="000A697C" w:rsidP="000A697C" w14:paraId="0E6FEC03" w14:textId="77777777">
            <w:pPr>
              <w:contextualSpacing/>
              <w:rPr>
                <w:rFonts w:eastAsia="Calibri"/>
                <w:sz w:val="18"/>
                <w:szCs w:val="18"/>
              </w:rPr>
            </w:pPr>
            <w:r w:rsidRPr="000A697C">
              <w:rPr>
                <w:rFonts w:eastAsia="Calibri"/>
                <w:sz w:val="18"/>
                <w:szCs w:val="18"/>
              </w:rPr>
              <w:t>Total No. of Responses</w:t>
            </w:r>
          </w:p>
        </w:tc>
        <w:tc>
          <w:tcPr>
            <w:tcW w:w="1323" w:type="dxa"/>
            <w:shd w:val="clear" w:color="auto" w:fill="8EAADB" w:themeFill="accent1" w:themeFillTint="99"/>
          </w:tcPr>
          <w:p w:rsidR="00C5520A" w:rsidRPr="000A697C" w:rsidP="000A697C" w14:paraId="76BDD513" w14:textId="77777777">
            <w:pPr>
              <w:contextualSpacing/>
              <w:rPr>
                <w:rFonts w:eastAsia="Calibri"/>
                <w:sz w:val="18"/>
                <w:szCs w:val="18"/>
              </w:rPr>
            </w:pPr>
            <w:r w:rsidRPr="000A697C">
              <w:rPr>
                <w:rFonts w:eastAsia="Calibri"/>
                <w:sz w:val="18"/>
                <w:szCs w:val="18"/>
              </w:rPr>
              <w:t>Avg. Burden per Response (in hours)</w:t>
            </w:r>
          </w:p>
        </w:tc>
        <w:tc>
          <w:tcPr>
            <w:tcW w:w="802" w:type="dxa"/>
            <w:shd w:val="clear" w:color="auto" w:fill="8EAADB" w:themeFill="accent1" w:themeFillTint="99"/>
          </w:tcPr>
          <w:p w:rsidR="00C5520A" w:rsidRPr="000A697C" w:rsidP="000A697C" w14:paraId="6BA43DA0" w14:textId="77777777">
            <w:pPr>
              <w:contextualSpacing/>
              <w:rPr>
                <w:rFonts w:eastAsia="Calibri"/>
                <w:sz w:val="18"/>
                <w:szCs w:val="18"/>
              </w:rPr>
            </w:pPr>
            <w:r w:rsidRPr="000A697C">
              <w:rPr>
                <w:rFonts w:eastAsia="Calibri"/>
                <w:sz w:val="18"/>
                <w:szCs w:val="18"/>
              </w:rPr>
              <w:t>Total Annual Burden (in hours)</w:t>
            </w:r>
          </w:p>
        </w:tc>
        <w:tc>
          <w:tcPr>
            <w:tcW w:w="868" w:type="dxa"/>
            <w:shd w:val="clear" w:color="auto" w:fill="8EAADB" w:themeFill="accent1" w:themeFillTint="99"/>
          </w:tcPr>
          <w:p w:rsidR="00C5520A" w:rsidRPr="000A697C" w:rsidP="000A697C" w14:paraId="16DD098E" w14:textId="77777777">
            <w:pPr>
              <w:contextualSpacing/>
              <w:rPr>
                <w:rFonts w:eastAsia="Calibri"/>
                <w:sz w:val="18"/>
                <w:szCs w:val="18"/>
              </w:rPr>
            </w:pPr>
            <w:r w:rsidRPr="000A697C">
              <w:rPr>
                <w:rFonts w:eastAsia="Calibri"/>
                <w:sz w:val="18"/>
                <w:szCs w:val="18"/>
              </w:rPr>
              <w:t>Avg. Hourly Wage Rate</w:t>
            </w:r>
          </w:p>
        </w:tc>
        <w:tc>
          <w:tcPr>
            <w:tcW w:w="1156" w:type="dxa"/>
            <w:shd w:val="clear" w:color="auto" w:fill="8EAADB" w:themeFill="accent1" w:themeFillTint="99"/>
          </w:tcPr>
          <w:p w:rsidR="00C5520A" w:rsidRPr="000A697C" w:rsidP="000A697C" w14:paraId="38C44BC0" w14:textId="77777777">
            <w:pPr>
              <w:contextualSpacing/>
              <w:rPr>
                <w:rFonts w:eastAsia="Calibri"/>
                <w:sz w:val="18"/>
                <w:szCs w:val="18"/>
              </w:rPr>
            </w:pPr>
            <w:r w:rsidRPr="000A697C">
              <w:rPr>
                <w:rFonts w:eastAsia="Calibri"/>
                <w:sz w:val="18"/>
                <w:szCs w:val="18"/>
              </w:rPr>
              <w:t>Total Annual Respondent Cost</w:t>
            </w:r>
          </w:p>
        </w:tc>
      </w:tr>
      <w:tr w14:paraId="759F1970" w14:textId="77777777" w:rsidTr="000A697C">
        <w:tblPrEx>
          <w:tblW w:w="11186" w:type="dxa"/>
          <w:jc w:val="center"/>
          <w:tblLook w:val="04A0"/>
        </w:tblPrEx>
        <w:trPr>
          <w:jc w:val="center"/>
        </w:trPr>
        <w:tc>
          <w:tcPr>
            <w:tcW w:w="1126" w:type="dxa"/>
            <w:shd w:val="clear" w:color="auto" w:fill="auto"/>
          </w:tcPr>
          <w:p w:rsidR="00CE550D" w:rsidRPr="000A697C" w:rsidP="000A697C" w14:paraId="1A0F3062"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53BFDB8B" w14:textId="1EC9DCEF">
            <w:pPr>
              <w:contextualSpacing/>
              <w:rPr>
                <w:rFonts w:eastAsia="Calibri"/>
                <w:sz w:val="18"/>
                <w:szCs w:val="18"/>
              </w:rPr>
            </w:pPr>
            <w:r w:rsidRPr="000A697C">
              <w:rPr>
                <w:sz w:val="18"/>
                <w:szCs w:val="18"/>
              </w:rPr>
              <w:t>Public Assistance Initial Customer Satisfaction Survey FEMA Form FF-104-FY-21-155 (formerly 519-0-32) (Telephone</w:t>
            </w:r>
            <w:r w:rsidRPr="000A697C" w:rsidR="000A697C">
              <w:rPr>
                <w:sz w:val="18"/>
                <w:szCs w:val="18"/>
              </w:rPr>
              <w:t>)</w:t>
            </w:r>
          </w:p>
        </w:tc>
        <w:tc>
          <w:tcPr>
            <w:tcW w:w="1234" w:type="dxa"/>
            <w:shd w:val="clear" w:color="auto" w:fill="auto"/>
          </w:tcPr>
          <w:p w:rsidR="00CE550D" w:rsidRPr="000A697C" w:rsidP="000A697C" w14:paraId="02564954" w14:textId="77777777">
            <w:pPr>
              <w:contextualSpacing/>
              <w:jc w:val="center"/>
              <w:rPr>
                <w:rFonts w:eastAsia="Calibri"/>
                <w:sz w:val="18"/>
                <w:szCs w:val="18"/>
              </w:rPr>
            </w:pPr>
            <w:r w:rsidRPr="000A697C">
              <w:rPr>
                <w:sz w:val="18"/>
                <w:szCs w:val="18"/>
              </w:rPr>
              <w:t>277</w:t>
            </w:r>
          </w:p>
        </w:tc>
        <w:tc>
          <w:tcPr>
            <w:tcW w:w="1156" w:type="dxa"/>
            <w:shd w:val="clear" w:color="auto" w:fill="auto"/>
          </w:tcPr>
          <w:p w:rsidR="00CE550D" w:rsidRPr="000A697C" w:rsidP="000A697C" w14:paraId="4347C939" w14:textId="77777777">
            <w:pPr>
              <w:contextualSpacing/>
              <w:jc w:val="center"/>
              <w:rPr>
                <w:rFonts w:eastAsia="Calibri"/>
                <w:sz w:val="18"/>
                <w:szCs w:val="18"/>
              </w:rPr>
            </w:pPr>
            <w:r w:rsidRPr="000A697C">
              <w:rPr>
                <w:sz w:val="18"/>
                <w:szCs w:val="18"/>
              </w:rPr>
              <w:t>1</w:t>
            </w:r>
          </w:p>
        </w:tc>
        <w:tc>
          <w:tcPr>
            <w:tcW w:w="1056" w:type="dxa"/>
            <w:shd w:val="clear" w:color="auto" w:fill="auto"/>
          </w:tcPr>
          <w:p w:rsidR="00CE550D" w:rsidRPr="000A697C" w:rsidP="000A697C" w14:paraId="33FF61E8" w14:textId="77777777">
            <w:pPr>
              <w:contextualSpacing/>
              <w:jc w:val="center"/>
              <w:rPr>
                <w:rFonts w:eastAsia="Calibri"/>
                <w:sz w:val="18"/>
                <w:szCs w:val="18"/>
              </w:rPr>
            </w:pPr>
            <w:r w:rsidRPr="000A697C">
              <w:rPr>
                <w:rFonts w:eastAsia="Calibri"/>
                <w:sz w:val="18"/>
                <w:szCs w:val="18"/>
              </w:rPr>
              <w:t>277</w:t>
            </w:r>
          </w:p>
        </w:tc>
        <w:tc>
          <w:tcPr>
            <w:tcW w:w="1323" w:type="dxa"/>
            <w:shd w:val="clear" w:color="auto" w:fill="auto"/>
          </w:tcPr>
          <w:p w:rsidR="00CE550D" w:rsidRPr="000A697C" w:rsidP="000A697C" w14:paraId="675BD5B9" w14:textId="77777777">
            <w:pPr>
              <w:contextualSpacing/>
              <w:jc w:val="center"/>
              <w:rPr>
                <w:rFonts w:eastAsia="Calibri"/>
                <w:sz w:val="18"/>
                <w:szCs w:val="18"/>
              </w:rPr>
            </w:pPr>
            <w:r w:rsidRPr="000A697C">
              <w:rPr>
                <w:sz w:val="18"/>
                <w:szCs w:val="18"/>
              </w:rPr>
              <w:t>0.1667</w:t>
            </w:r>
          </w:p>
        </w:tc>
        <w:tc>
          <w:tcPr>
            <w:tcW w:w="802" w:type="dxa"/>
            <w:shd w:val="clear" w:color="auto" w:fill="auto"/>
          </w:tcPr>
          <w:p w:rsidR="00CE550D" w:rsidRPr="000A697C" w:rsidP="000A697C" w14:paraId="49230F3F" w14:textId="77777777">
            <w:pPr>
              <w:contextualSpacing/>
              <w:jc w:val="center"/>
              <w:rPr>
                <w:rFonts w:eastAsia="Calibri"/>
                <w:sz w:val="18"/>
                <w:szCs w:val="18"/>
              </w:rPr>
            </w:pPr>
            <w:r w:rsidRPr="000A697C">
              <w:rPr>
                <w:sz w:val="18"/>
                <w:szCs w:val="18"/>
              </w:rPr>
              <w:t>46</w:t>
            </w:r>
          </w:p>
        </w:tc>
        <w:tc>
          <w:tcPr>
            <w:tcW w:w="868" w:type="dxa"/>
            <w:shd w:val="clear" w:color="auto" w:fill="auto"/>
          </w:tcPr>
          <w:p w:rsidR="00CE550D" w:rsidRPr="000A697C" w:rsidP="000A697C" w14:paraId="610CB316" w14:textId="77777777">
            <w:pPr>
              <w:contextualSpacing/>
              <w:jc w:val="center"/>
              <w:rPr>
                <w:rFonts w:eastAsia="Calibri"/>
                <w:sz w:val="18"/>
                <w:szCs w:val="18"/>
              </w:rPr>
            </w:pPr>
            <w:r w:rsidRPr="000A697C">
              <w:rPr>
                <w:sz w:val="18"/>
                <w:szCs w:val="18"/>
              </w:rPr>
              <w:t xml:space="preserve">$40.61 </w:t>
            </w:r>
          </w:p>
        </w:tc>
        <w:tc>
          <w:tcPr>
            <w:tcW w:w="1156" w:type="dxa"/>
            <w:shd w:val="clear" w:color="auto" w:fill="auto"/>
          </w:tcPr>
          <w:p w:rsidR="00CE550D" w:rsidRPr="000A697C" w:rsidP="000A697C" w14:paraId="3F3F2C9B" w14:textId="77777777">
            <w:pPr>
              <w:contextualSpacing/>
              <w:jc w:val="right"/>
              <w:rPr>
                <w:rFonts w:eastAsia="Calibri"/>
                <w:sz w:val="18"/>
                <w:szCs w:val="18"/>
              </w:rPr>
            </w:pPr>
            <w:r w:rsidRPr="000A697C">
              <w:rPr>
                <w:sz w:val="18"/>
                <w:szCs w:val="18"/>
              </w:rPr>
              <w:t xml:space="preserve">$1,868 </w:t>
            </w:r>
          </w:p>
        </w:tc>
      </w:tr>
      <w:tr w14:paraId="506D91B4" w14:textId="77777777" w:rsidTr="000A697C">
        <w:tblPrEx>
          <w:tblW w:w="11186" w:type="dxa"/>
          <w:jc w:val="center"/>
          <w:tblLook w:val="04A0"/>
        </w:tblPrEx>
        <w:trPr>
          <w:jc w:val="center"/>
        </w:trPr>
        <w:tc>
          <w:tcPr>
            <w:tcW w:w="1126" w:type="dxa"/>
            <w:shd w:val="clear" w:color="auto" w:fill="auto"/>
          </w:tcPr>
          <w:p w:rsidR="00CE550D" w:rsidRPr="000A697C" w:rsidP="000A697C" w14:paraId="739FC370"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5319934D" w14:textId="77777777">
            <w:pPr>
              <w:contextualSpacing/>
              <w:rPr>
                <w:rFonts w:eastAsia="Calibri"/>
                <w:sz w:val="18"/>
                <w:szCs w:val="18"/>
              </w:rPr>
            </w:pPr>
            <w:r w:rsidRPr="000A697C">
              <w:rPr>
                <w:sz w:val="18"/>
                <w:szCs w:val="18"/>
              </w:rPr>
              <w:t>Public Assistance Initial Customer Satisfaction Survey FEMA Form FF-104-FY-21-155 (formerly 519-0-32) (Telephone)</w:t>
            </w:r>
          </w:p>
        </w:tc>
        <w:tc>
          <w:tcPr>
            <w:tcW w:w="1234" w:type="dxa"/>
            <w:shd w:val="clear" w:color="auto" w:fill="auto"/>
          </w:tcPr>
          <w:p w:rsidR="00CE550D" w:rsidRPr="000A697C" w:rsidP="000A697C" w14:paraId="1734D54E" w14:textId="77777777">
            <w:pPr>
              <w:contextualSpacing/>
              <w:jc w:val="center"/>
              <w:rPr>
                <w:rFonts w:eastAsia="Calibri"/>
                <w:sz w:val="18"/>
                <w:szCs w:val="18"/>
              </w:rPr>
            </w:pPr>
            <w:r w:rsidRPr="000A697C">
              <w:rPr>
                <w:sz w:val="18"/>
                <w:szCs w:val="18"/>
              </w:rPr>
              <w:t>1,181</w:t>
            </w:r>
          </w:p>
        </w:tc>
        <w:tc>
          <w:tcPr>
            <w:tcW w:w="1156" w:type="dxa"/>
            <w:shd w:val="clear" w:color="auto" w:fill="auto"/>
          </w:tcPr>
          <w:p w:rsidR="00CE550D" w:rsidRPr="000A697C" w:rsidP="000A697C" w14:paraId="60E7CD21" w14:textId="77777777">
            <w:pPr>
              <w:contextualSpacing/>
              <w:jc w:val="center"/>
              <w:rPr>
                <w:rFonts w:eastAsia="Calibri"/>
                <w:sz w:val="18"/>
                <w:szCs w:val="18"/>
              </w:rPr>
            </w:pPr>
            <w:r w:rsidRPr="000A697C">
              <w:rPr>
                <w:sz w:val="18"/>
                <w:szCs w:val="18"/>
              </w:rPr>
              <w:t>1</w:t>
            </w:r>
          </w:p>
        </w:tc>
        <w:tc>
          <w:tcPr>
            <w:tcW w:w="1056" w:type="dxa"/>
            <w:shd w:val="clear" w:color="auto" w:fill="auto"/>
          </w:tcPr>
          <w:p w:rsidR="00CE550D" w:rsidRPr="000A697C" w:rsidP="000A697C" w14:paraId="37B542E1" w14:textId="77777777">
            <w:pPr>
              <w:contextualSpacing/>
              <w:jc w:val="center"/>
              <w:rPr>
                <w:rFonts w:eastAsia="Calibri"/>
                <w:sz w:val="18"/>
                <w:szCs w:val="18"/>
              </w:rPr>
            </w:pPr>
            <w:r w:rsidRPr="000A697C">
              <w:rPr>
                <w:rFonts w:eastAsia="Calibri"/>
                <w:sz w:val="18"/>
                <w:szCs w:val="18"/>
              </w:rPr>
              <w:t>1,181</w:t>
            </w:r>
          </w:p>
        </w:tc>
        <w:tc>
          <w:tcPr>
            <w:tcW w:w="1323" w:type="dxa"/>
            <w:shd w:val="clear" w:color="auto" w:fill="auto"/>
          </w:tcPr>
          <w:p w:rsidR="00CE550D" w:rsidRPr="000A697C" w:rsidP="000A697C" w14:paraId="3FD38E0D" w14:textId="77777777">
            <w:pPr>
              <w:contextualSpacing/>
              <w:jc w:val="center"/>
              <w:rPr>
                <w:rFonts w:eastAsia="Calibri"/>
                <w:sz w:val="18"/>
                <w:szCs w:val="18"/>
              </w:rPr>
            </w:pPr>
            <w:r w:rsidRPr="000A697C">
              <w:rPr>
                <w:sz w:val="18"/>
                <w:szCs w:val="18"/>
              </w:rPr>
              <w:t>0.1667</w:t>
            </w:r>
          </w:p>
        </w:tc>
        <w:tc>
          <w:tcPr>
            <w:tcW w:w="802" w:type="dxa"/>
            <w:shd w:val="clear" w:color="auto" w:fill="auto"/>
          </w:tcPr>
          <w:p w:rsidR="00CE550D" w:rsidRPr="000A697C" w:rsidP="000A697C" w14:paraId="31FD5A2C" w14:textId="77777777">
            <w:pPr>
              <w:contextualSpacing/>
              <w:jc w:val="center"/>
              <w:rPr>
                <w:rFonts w:eastAsia="Calibri"/>
                <w:sz w:val="18"/>
                <w:szCs w:val="18"/>
              </w:rPr>
            </w:pPr>
            <w:r w:rsidRPr="000A697C">
              <w:rPr>
                <w:sz w:val="18"/>
                <w:szCs w:val="18"/>
              </w:rPr>
              <w:t>197</w:t>
            </w:r>
          </w:p>
        </w:tc>
        <w:tc>
          <w:tcPr>
            <w:tcW w:w="868" w:type="dxa"/>
            <w:shd w:val="clear" w:color="auto" w:fill="auto"/>
          </w:tcPr>
          <w:p w:rsidR="00CE550D" w:rsidRPr="000A697C" w:rsidP="000A697C" w14:paraId="5F790E78" w14:textId="77777777">
            <w:pPr>
              <w:contextualSpacing/>
              <w:jc w:val="center"/>
              <w:rPr>
                <w:rFonts w:eastAsia="Calibri"/>
                <w:sz w:val="18"/>
                <w:szCs w:val="18"/>
              </w:rPr>
            </w:pPr>
            <w:r w:rsidRPr="000A697C">
              <w:rPr>
                <w:sz w:val="18"/>
                <w:szCs w:val="18"/>
              </w:rPr>
              <w:t>$</w:t>
            </w:r>
            <w:r w:rsidRPr="000A697C" w:rsidR="00942765">
              <w:rPr>
                <w:sz w:val="18"/>
                <w:szCs w:val="18"/>
              </w:rPr>
              <w:t>48.51</w:t>
            </w:r>
            <w:r w:rsidRPr="000A697C">
              <w:rPr>
                <w:sz w:val="18"/>
                <w:szCs w:val="18"/>
              </w:rPr>
              <w:t xml:space="preserve"> </w:t>
            </w:r>
          </w:p>
        </w:tc>
        <w:tc>
          <w:tcPr>
            <w:tcW w:w="1156" w:type="dxa"/>
            <w:shd w:val="clear" w:color="auto" w:fill="auto"/>
          </w:tcPr>
          <w:p w:rsidR="00CE550D" w:rsidRPr="000A697C" w:rsidP="000A697C" w14:paraId="422CEC2F" w14:textId="77777777">
            <w:pPr>
              <w:contextualSpacing/>
              <w:jc w:val="right"/>
              <w:rPr>
                <w:rFonts w:eastAsia="Calibri"/>
                <w:sz w:val="18"/>
                <w:szCs w:val="18"/>
              </w:rPr>
            </w:pPr>
            <w:r w:rsidRPr="000A697C">
              <w:rPr>
                <w:sz w:val="18"/>
                <w:szCs w:val="18"/>
              </w:rPr>
              <w:t xml:space="preserve">$9,556 </w:t>
            </w:r>
          </w:p>
        </w:tc>
      </w:tr>
      <w:tr w14:paraId="2490D4A5" w14:textId="77777777" w:rsidTr="000A697C">
        <w:tblPrEx>
          <w:tblW w:w="11186" w:type="dxa"/>
          <w:jc w:val="center"/>
          <w:tblLook w:val="04A0"/>
        </w:tblPrEx>
        <w:trPr>
          <w:jc w:val="center"/>
        </w:trPr>
        <w:tc>
          <w:tcPr>
            <w:tcW w:w="1126" w:type="dxa"/>
            <w:shd w:val="clear" w:color="auto" w:fill="auto"/>
          </w:tcPr>
          <w:p w:rsidR="00CE550D" w:rsidRPr="000A697C" w:rsidP="000A697C" w14:paraId="167B7CF0"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1A74AECC" w14:textId="77777777">
            <w:pPr>
              <w:contextualSpacing/>
              <w:rPr>
                <w:rFonts w:eastAsia="Calibri"/>
                <w:sz w:val="18"/>
                <w:szCs w:val="18"/>
              </w:rPr>
            </w:pPr>
            <w:r w:rsidRPr="000A697C">
              <w:rPr>
                <w:sz w:val="18"/>
                <w:szCs w:val="18"/>
              </w:rPr>
              <w:t>Public Assistance Initial Customer Satisfaction Survey FEMA Form FF-104-FY-21-156 (formerly 519-0-33) (Internet)</w:t>
            </w:r>
          </w:p>
        </w:tc>
        <w:tc>
          <w:tcPr>
            <w:tcW w:w="1234" w:type="dxa"/>
            <w:shd w:val="clear" w:color="auto" w:fill="auto"/>
          </w:tcPr>
          <w:p w:rsidR="00CE550D" w:rsidRPr="000A697C" w:rsidP="000A697C" w14:paraId="09629703" w14:textId="77777777">
            <w:pPr>
              <w:contextualSpacing/>
              <w:jc w:val="center"/>
              <w:rPr>
                <w:sz w:val="18"/>
                <w:szCs w:val="18"/>
              </w:rPr>
            </w:pPr>
            <w:r w:rsidRPr="000A697C">
              <w:rPr>
                <w:sz w:val="18"/>
                <w:szCs w:val="18"/>
              </w:rPr>
              <w:t>86</w:t>
            </w:r>
          </w:p>
        </w:tc>
        <w:tc>
          <w:tcPr>
            <w:tcW w:w="1156" w:type="dxa"/>
            <w:shd w:val="clear" w:color="auto" w:fill="auto"/>
          </w:tcPr>
          <w:p w:rsidR="00CE550D" w:rsidRPr="000A697C" w:rsidP="000A697C" w14:paraId="26480BD5"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34FAB7A2" w14:textId="77777777">
            <w:pPr>
              <w:contextualSpacing/>
              <w:jc w:val="center"/>
              <w:rPr>
                <w:sz w:val="18"/>
                <w:szCs w:val="18"/>
              </w:rPr>
            </w:pPr>
            <w:r w:rsidRPr="000A697C">
              <w:rPr>
                <w:sz w:val="18"/>
                <w:szCs w:val="18"/>
              </w:rPr>
              <w:t>86</w:t>
            </w:r>
          </w:p>
        </w:tc>
        <w:tc>
          <w:tcPr>
            <w:tcW w:w="1323" w:type="dxa"/>
            <w:shd w:val="clear" w:color="auto" w:fill="auto"/>
          </w:tcPr>
          <w:p w:rsidR="00CE550D" w:rsidRPr="000A697C" w:rsidP="000A697C" w14:paraId="11637FBF" w14:textId="77777777">
            <w:pPr>
              <w:contextualSpacing/>
              <w:jc w:val="center"/>
              <w:rPr>
                <w:sz w:val="18"/>
                <w:szCs w:val="18"/>
              </w:rPr>
            </w:pPr>
            <w:r w:rsidRPr="000A697C">
              <w:rPr>
                <w:sz w:val="18"/>
                <w:szCs w:val="18"/>
              </w:rPr>
              <w:t>0.0833</w:t>
            </w:r>
          </w:p>
        </w:tc>
        <w:tc>
          <w:tcPr>
            <w:tcW w:w="802" w:type="dxa"/>
            <w:shd w:val="clear" w:color="auto" w:fill="auto"/>
          </w:tcPr>
          <w:p w:rsidR="00CE550D" w:rsidRPr="000A697C" w:rsidP="000A697C" w14:paraId="31287736" w14:textId="77777777">
            <w:pPr>
              <w:contextualSpacing/>
              <w:jc w:val="center"/>
              <w:rPr>
                <w:sz w:val="18"/>
                <w:szCs w:val="18"/>
              </w:rPr>
            </w:pPr>
            <w:r w:rsidRPr="000A697C">
              <w:rPr>
                <w:sz w:val="18"/>
                <w:szCs w:val="18"/>
              </w:rPr>
              <w:t>7</w:t>
            </w:r>
          </w:p>
        </w:tc>
        <w:tc>
          <w:tcPr>
            <w:tcW w:w="868" w:type="dxa"/>
            <w:shd w:val="clear" w:color="auto" w:fill="auto"/>
          </w:tcPr>
          <w:p w:rsidR="00CE550D" w:rsidRPr="000A697C" w:rsidP="000A697C" w14:paraId="78722EA0"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4F73B26D" w14:textId="77777777">
            <w:pPr>
              <w:contextualSpacing/>
              <w:jc w:val="right"/>
              <w:rPr>
                <w:sz w:val="18"/>
                <w:szCs w:val="18"/>
              </w:rPr>
            </w:pPr>
            <w:r w:rsidRPr="000A697C">
              <w:rPr>
                <w:sz w:val="18"/>
                <w:szCs w:val="18"/>
              </w:rPr>
              <w:t xml:space="preserve">$284 </w:t>
            </w:r>
          </w:p>
        </w:tc>
      </w:tr>
      <w:tr w14:paraId="456017FD" w14:textId="77777777" w:rsidTr="000A697C">
        <w:tblPrEx>
          <w:tblW w:w="11186" w:type="dxa"/>
          <w:jc w:val="center"/>
          <w:tblLook w:val="04A0"/>
        </w:tblPrEx>
        <w:trPr>
          <w:jc w:val="center"/>
        </w:trPr>
        <w:tc>
          <w:tcPr>
            <w:tcW w:w="1126" w:type="dxa"/>
            <w:shd w:val="clear" w:color="auto" w:fill="auto"/>
          </w:tcPr>
          <w:p w:rsidR="00CE550D" w:rsidRPr="000A697C" w:rsidP="000A697C" w14:paraId="633A77A2"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550C7CCF" w14:textId="77777777">
            <w:pPr>
              <w:contextualSpacing/>
              <w:rPr>
                <w:sz w:val="18"/>
                <w:szCs w:val="18"/>
              </w:rPr>
            </w:pPr>
            <w:r w:rsidRPr="000A697C">
              <w:rPr>
                <w:sz w:val="18"/>
                <w:szCs w:val="18"/>
              </w:rPr>
              <w:t>Public Assistance Initial Customer Satisfaction Survey FEMA Form FF-104-FY-21-156 (formerly 519-0-33) (Internet)</w:t>
            </w:r>
          </w:p>
        </w:tc>
        <w:tc>
          <w:tcPr>
            <w:tcW w:w="1234" w:type="dxa"/>
            <w:shd w:val="clear" w:color="auto" w:fill="auto"/>
          </w:tcPr>
          <w:p w:rsidR="00CE550D" w:rsidRPr="000A697C" w:rsidP="000A697C" w14:paraId="5B1CEDCF" w14:textId="77777777">
            <w:pPr>
              <w:contextualSpacing/>
              <w:jc w:val="center"/>
              <w:rPr>
                <w:sz w:val="18"/>
                <w:szCs w:val="18"/>
              </w:rPr>
            </w:pPr>
            <w:r w:rsidRPr="000A697C">
              <w:rPr>
                <w:sz w:val="18"/>
                <w:szCs w:val="18"/>
              </w:rPr>
              <w:t>365</w:t>
            </w:r>
          </w:p>
        </w:tc>
        <w:tc>
          <w:tcPr>
            <w:tcW w:w="1156" w:type="dxa"/>
            <w:shd w:val="clear" w:color="auto" w:fill="auto"/>
          </w:tcPr>
          <w:p w:rsidR="00CE550D" w:rsidRPr="000A697C" w:rsidP="000A697C" w14:paraId="7FDC0B84"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37B2C7AE" w14:textId="77777777">
            <w:pPr>
              <w:contextualSpacing/>
              <w:jc w:val="center"/>
              <w:rPr>
                <w:sz w:val="18"/>
                <w:szCs w:val="18"/>
              </w:rPr>
            </w:pPr>
            <w:r w:rsidRPr="000A697C">
              <w:rPr>
                <w:sz w:val="18"/>
                <w:szCs w:val="18"/>
              </w:rPr>
              <w:t>365</w:t>
            </w:r>
          </w:p>
        </w:tc>
        <w:tc>
          <w:tcPr>
            <w:tcW w:w="1323" w:type="dxa"/>
            <w:shd w:val="clear" w:color="auto" w:fill="auto"/>
          </w:tcPr>
          <w:p w:rsidR="00CE550D" w:rsidRPr="000A697C" w:rsidP="000A697C" w14:paraId="60A33A72" w14:textId="77777777">
            <w:pPr>
              <w:contextualSpacing/>
              <w:jc w:val="center"/>
              <w:rPr>
                <w:sz w:val="18"/>
                <w:szCs w:val="18"/>
              </w:rPr>
            </w:pPr>
            <w:r w:rsidRPr="000A697C">
              <w:rPr>
                <w:sz w:val="18"/>
                <w:szCs w:val="18"/>
              </w:rPr>
              <w:t>0.0833</w:t>
            </w:r>
          </w:p>
        </w:tc>
        <w:tc>
          <w:tcPr>
            <w:tcW w:w="802" w:type="dxa"/>
            <w:shd w:val="clear" w:color="auto" w:fill="auto"/>
          </w:tcPr>
          <w:p w:rsidR="00CE550D" w:rsidRPr="000A697C" w:rsidP="000A697C" w14:paraId="71061841" w14:textId="77777777">
            <w:pPr>
              <w:contextualSpacing/>
              <w:jc w:val="center"/>
              <w:rPr>
                <w:sz w:val="18"/>
                <w:szCs w:val="18"/>
              </w:rPr>
            </w:pPr>
            <w:r w:rsidRPr="000A697C">
              <w:rPr>
                <w:sz w:val="18"/>
                <w:szCs w:val="18"/>
              </w:rPr>
              <w:t>30</w:t>
            </w:r>
          </w:p>
        </w:tc>
        <w:tc>
          <w:tcPr>
            <w:tcW w:w="868" w:type="dxa"/>
            <w:shd w:val="clear" w:color="auto" w:fill="auto"/>
          </w:tcPr>
          <w:p w:rsidR="00CE550D" w:rsidRPr="000A697C" w:rsidP="000A697C" w14:paraId="11DD6496"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7568826A" w14:textId="77777777">
            <w:pPr>
              <w:contextualSpacing/>
              <w:jc w:val="right"/>
              <w:rPr>
                <w:sz w:val="18"/>
                <w:szCs w:val="18"/>
              </w:rPr>
            </w:pPr>
            <w:r w:rsidRPr="000A697C">
              <w:rPr>
                <w:sz w:val="18"/>
                <w:szCs w:val="18"/>
              </w:rPr>
              <w:t xml:space="preserve">$1,455 </w:t>
            </w:r>
          </w:p>
        </w:tc>
      </w:tr>
      <w:tr w14:paraId="0CBCEC1A" w14:textId="77777777" w:rsidTr="000A697C">
        <w:tblPrEx>
          <w:tblW w:w="11186" w:type="dxa"/>
          <w:jc w:val="center"/>
          <w:tblLook w:val="04A0"/>
        </w:tblPrEx>
        <w:trPr>
          <w:jc w:val="center"/>
        </w:trPr>
        <w:tc>
          <w:tcPr>
            <w:tcW w:w="1126" w:type="dxa"/>
            <w:shd w:val="clear" w:color="auto" w:fill="auto"/>
          </w:tcPr>
          <w:p w:rsidR="00CE550D" w:rsidRPr="000A697C" w:rsidP="000A697C" w14:paraId="12852BF1"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19F366AA" w14:textId="77777777">
            <w:pPr>
              <w:contextualSpacing/>
              <w:rPr>
                <w:sz w:val="18"/>
                <w:szCs w:val="18"/>
              </w:rPr>
            </w:pPr>
            <w:r w:rsidRPr="000A697C">
              <w:rPr>
                <w:sz w:val="18"/>
                <w:szCs w:val="18"/>
              </w:rPr>
              <w:t>Public Assistance Assessment Customer Satisfaction Survey FEMA Form FF-104-FY-21-157 (formerly 519-0-34) (Telephone)</w:t>
            </w:r>
          </w:p>
        </w:tc>
        <w:tc>
          <w:tcPr>
            <w:tcW w:w="1234" w:type="dxa"/>
            <w:shd w:val="clear" w:color="auto" w:fill="auto"/>
          </w:tcPr>
          <w:p w:rsidR="00CE550D" w:rsidRPr="000A697C" w:rsidP="000A697C" w14:paraId="29B63E62" w14:textId="77777777">
            <w:pPr>
              <w:contextualSpacing/>
              <w:jc w:val="center"/>
              <w:rPr>
                <w:sz w:val="18"/>
                <w:szCs w:val="18"/>
              </w:rPr>
            </w:pPr>
            <w:r w:rsidRPr="000A697C">
              <w:rPr>
                <w:sz w:val="18"/>
                <w:szCs w:val="18"/>
              </w:rPr>
              <w:t>204</w:t>
            </w:r>
          </w:p>
        </w:tc>
        <w:tc>
          <w:tcPr>
            <w:tcW w:w="1156" w:type="dxa"/>
            <w:shd w:val="clear" w:color="auto" w:fill="auto"/>
          </w:tcPr>
          <w:p w:rsidR="00CE550D" w:rsidRPr="000A697C" w:rsidP="000A697C" w14:paraId="4F83F909"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14F5BA65" w14:textId="77777777">
            <w:pPr>
              <w:contextualSpacing/>
              <w:jc w:val="center"/>
              <w:rPr>
                <w:sz w:val="18"/>
                <w:szCs w:val="18"/>
              </w:rPr>
            </w:pPr>
            <w:r w:rsidRPr="000A697C">
              <w:rPr>
                <w:sz w:val="18"/>
                <w:szCs w:val="18"/>
              </w:rPr>
              <w:t>204</w:t>
            </w:r>
          </w:p>
        </w:tc>
        <w:tc>
          <w:tcPr>
            <w:tcW w:w="1323" w:type="dxa"/>
            <w:shd w:val="clear" w:color="auto" w:fill="auto"/>
          </w:tcPr>
          <w:p w:rsidR="00CE550D" w:rsidRPr="000A697C" w:rsidP="000A697C" w14:paraId="31FC6C4A" w14:textId="77777777">
            <w:pPr>
              <w:contextualSpacing/>
              <w:jc w:val="center"/>
              <w:rPr>
                <w:sz w:val="18"/>
                <w:szCs w:val="18"/>
              </w:rPr>
            </w:pPr>
            <w:r w:rsidRPr="000A697C">
              <w:rPr>
                <w:sz w:val="18"/>
                <w:szCs w:val="18"/>
              </w:rPr>
              <w:t>0.2167</w:t>
            </w:r>
          </w:p>
        </w:tc>
        <w:tc>
          <w:tcPr>
            <w:tcW w:w="802" w:type="dxa"/>
            <w:shd w:val="clear" w:color="auto" w:fill="auto"/>
          </w:tcPr>
          <w:p w:rsidR="00CE550D" w:rsidRPr="000A697C" w:rsidP="000A697C" w14:paraId="3BD3242E" w14:textId="77777777">
            <w:pPr>
              <w:contextualSpacing/>
              <w:jc w:val="center"/>
              <w:rPr>
                <w:sz w:val="18"/>
                <w:szCs w:val="18"/>
              </w:rPr>
            </w:pPr>
            <w:r w:rsidRPr="000A697C">
              <w:rPr>
                <w:sz w:val="18"/>
                <w:szCs w:val="18"/>
              </w:rPr>
              <w:t>44</w:t>
            </w:r>
          </w:p>
        </w:tc>
        <w:tc>
          <w:tcPr>
            <w:tcW w:w="868" w:type="dxa"/>
            <w:shd w:val="clear" w:color="auto" w:fill="auto"/>
          </w:tcPr>
          <w:p w:rsidR="00CE550D" w:rsidRPr="000A697C" w:rsidP="000A697C" w14:paraId="2E1FD5A0"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16531798" w14:textId="77777777">
            <w:pPr>
              <w:contextualSpacing/>
              <w:jc w:val="right"/>
              <w:rPr>
                <w:sz w:val="18"/>
                <w:szCs w:val="18"/>
              </w:rPr>
            </w:pPr>
            <w:r w:rsidRPr="000A697C">
              <w:rPr>
                <w:sz w:val="18"/>
                <w:szCs w:val="18"/>
              </w:rPr>
              <w:t xml:space="preserve">$1,787 </w:t>
            </w:r>
          </w:p>
        </w:tc>
      </w:tr>
      <w:tr w14:paraId="07B3B61D" w14:textId="77777777" w:rsidTr="000A697C">
        <w:tblPrEx>
          <w:tblW w:w="11186" w:type="dxa"/>
          <w:jc w:val="center"/>
          <w:tblLook w:val="04A0"/>
        </w:tblPrEx>
        <w:trPr>
          <w:jc w:val="center"/>
        </w:trPr>
        <w:tc>
          <w:tcPr>
            <w:tcW w:w="1126" w:type="dxa"/>
            <w:shd w:val="clear" w:color="auto" w:fill="auto"/>
          </w:tcPr>
          <w:p w:rsidR="00CE550D" w:rsidRPr="000A697C" w:rsidP="000A697C" w14:paraId="46BA58AB"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75E86CF0" w14:textId="77777777">
            <w:pPr>
              <w:contextualSpacing/>
              <w:rPr>
                <w:sz w:val="18"/>
                <w:szCs w:val="18"/>
              </w:rPr>
            </w:pPr>
            <w:r w:rsidRPr="000A697C">
              <w:rPr>
                <w:sz w:val="18"/>
                <w:szCs w:val="18"/>
              </w:rPr>
              <w:t>Public Assistance Assessment Customer Satisfaction Survey FEMA Form FF-104-FY-21-157 (formerly 519-0-34) (Telephone)</w:t>
            </w:r>
          </w:p>
        </w:tc>
        <w:tc>
          <w:tcPr>
            <w:tcW w:w="1234" w:type="dxa"/>
            <w:shd w:val="clear" w:color="auto" w:fill="auto"/>
          </w:tcPr>
          <w:p w:rsidR="00CE550D" w:rsidRPr="000A697C" w:rsidP="000A697C" w14:paraId="70A824B4" w14:textId="77777777">
            <w:pPr>
              <w:contextualSpacing/>
              <w:jc w:val="center"/>
              <w:rPr>
                <w:sz w:val="18"/>
                <w:szCs w:val="18"/>
              </w:rPr>
            </w:pPr>
            <w:r w:rsidRPr="000A697C">
              <w:rPr>
                <w:sz w:val="18"/>
                <w:szCs w:val="18"/>
              </w:rPr>
              <w:t>870</w:t>
            </w:r>
          </w:p>
        </w:tc>
        <w:tc>
          <w:tcPr>
            <w:tcW w:w="1156" w:type="dxa"/>
            <w:shd w:val="clear" w:color="auto" w:fill="auto"/>
          </w:tcPr>
          <w:p w:rsidR="00CE550D" w:rsidRPr="000A697C" w:rsidP="000A697C" w14:paraId="7D94EE6B"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558B87C4" w14:textId="77777777">
            <w:pPr>
              <w:contextualSpacing/>
              <w:jc w:val="center"/>
              <w:rPr>
                <w:sz w:val="18"/>
                <w:szCs w:val="18"/>
              </w:rPr>
            </w:pPr>
            <w:r w:rsidRPr="000A697C">
              <w:rPr>
                <w:sz w:val="18"/>
                <w:szCs w:val="18"/>
              </w:rPr>
              <w:t>870</w:t>
            </w:r>
          </w:p>
        </w:tc>
        <w:tc>
          <w:tcPr>
            <w:tcW w:w="1323" w:type="dxa"/>
            <w:shd w:val="clear" w:color="auto" w:fill="auto"/>
          </w:tcPr>
          <w:p w:rsidR="00CE550D" w:rsidRPr="000A697C" w:rsidP="000A697C" w14:paraId="64E43EA5" w14:textId="77777777">
            <w:pPr>
              <w:contextualSpacing/>
              <w:jc w:val="center"/>
              <w:rPr>
                <w:sz w:val="18"/>
                <w:szCs w:val="18"/>
              </w:rPr>
            </w:pPr>
            <w:r w:rsidRPr="000A697C">
              <w:rPr>
                <w:sz w:val="18"/>
                <w:szCs w:val="18"/>
              </w:rPr>
              <w:t>0.2167</w:t>
            </w:r>
          </w:p>
        </w:tc>
        <w:tc>
          <w:tcPr>
            <w:tcW w:w="802" w:type="dxa"/>
            <w:shd w:val="clear" w:color="auto" w:fill="auto"/>
          </w:tcPr>
          <w:p w:rsidR="00CE550D" w:rsidRPr="000A697C" w:rsidP="000A697C" w14:paraId="234434FB" w14:textId="77777777">
            <w:pPr>
              <w:contextualSpacing/>
              <w:jc w:val="center"/>
              <w:rPr>
                <w:sz w:val="18"/>
                <w:szCs w:val="18"/>
              </w:rPr>
            </w:pPr>
            <w:r w:rsidRPr="000A697C">
              <w:rPr>
                <w:sz w:val="18"/>
                <w:szCs w:val="18"/>
              </w:rPr>
              <w:t>189</w:t>
            </w:r>
          </w:p>
        </w:tc>
        <w:tc>
          <w:tcPr>
            <w:tcW w:w="868" w:type="dxa"/>
            <w:shd w:val="clear" w:color="auto" w:fill="auto"/>
          </w:tcPr>
          <w:p w:rsidR="00CE550D" w:rsidRPr="000A697C" w:rsidP="000A697C" w14:paraId="0AB15063"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4F659937" w14:textId="77777777">
            <w:pPr>
              <w:contextualSpacing/>
              <w:jc w:val="right"/>
              <w:rPr>
                <w:sz w:val="18"/>
                <w:szCs w:val="18"/>
              </w:rPr>
            </w:pPr>
            <w:r w:rsidRPr="000A697C">
              <w:rPr>
                <w:sz w:val="18"/>
                <w:szCs w:val="18"/>
              </w:rPr>
              <w:t xml:space="preserve">$9,168 </w:t>
            </w:r>
          </w:p>
        </w:tc>
      </w:tr>
      <w:tr w14:paraId="49EF9FBB" w14:textId="77777777" w:rsidTr="000A697C">
        <w:tblPrEx>
          <w:tblW w:w="11186" w:type="dxa"/>
          <w:jc w:val="center"/>
          <w:tblLook w:val="04A0"/>
        </w:tblPrEx>
        <w:trPr>
          <w:jc w:val="center"/>
        </w:trPr>
        <w:tc>
          <w:tcPr>
            <w:tcW w:w="1126" w:type="dxa"/>
            <w:shd w:val="clear" w:color="auto" w:fill="auto"/>
          </w:tcPr>
          <w:p w:rsidR="00CE550D" w:rsidRPr="000A697C" w:rsidP="000A697C" w14:paraId="145E35ED"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7D479232" w14:textId="77777777">
            <w:pPr>
              <w:contextualSpacing/>
              <w:rPr>
                <w:sz w:val="18"/>
                <w:szCs w:val="18"/>
              </w:rPr>
            </w:pPr>
            <w:r w:rsidRPr="000A697C">
              <w:rPr>
                <w:sz w:val="18"/>
                <w:szCs w:val="18"/>
              </w:rPr>
              <w:t>Public Assistance Assessment Customer Satisfaction Survey FEMA Form FF-104-FY-21-158 (formerly 519-0-35) (Internet)</w:t>
            </w:r>
          </w:p>
        </w:tc>
        <w:tc>
          <w:tcPr>
            <w:tcW w:w="1234" w:type="dxa"/>
            <w:shd w:val="clear" w:color="auto" w:fill="auto"/>
          </w:tcPr>
          <w:p w:rsidR="00CE550D" w:rsidRPr="000A697C" w:rsidP="000A697C" w14:paraId="3DC084D8" w14:textId="77777777">
            <w:pPr>
              <w:contextualSpacing/>
              <w:jc w:val="center"/>
              <w:rPr>
                <w:sz w:val="18"/>
                <w:szCs w:val="18"/>
              </w:rPr>
            </w:pPr>
            <w:r w:rsidRPr="000A697C">
              <w:rPr>
                <w:sz w:val="18"/>
                <w:szCs w:val="18"/>
              </w:rPr>
              <w:t>65</w:t>
            </w:r>
          </w:p>
        </w:tc>
        <w:tc>
          <w:tcPr>
            <w:tcW w:w="1156" w:type="dxa"/>
            <w:shd w:val="clear" w:color="auto" w:fill="auto"/>
          </w:tcPr>
          <w:p w:rsidR="00CE550D" w:rsidRPr="000A697C" w:rsidP="000A697C" w14:paraId="1DB535E7"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4BE193D1" w14:textId="77777777">
            <w:pPr>
              <w:contextualSpacing/>
              <w:jc w:val="center"/>
              <w:rPr>
                <w:sz w:val="18"/>
                <w:szCs w:val="18"/>
              </w:rPr>
            </w:pPr>
            <w:r w:rsidRPr="000A697C">
              <w:rPr>
                <w:sz w:val="18"/>
                <w:szCs w:val="18"/>
              </w:rPr>
              <w:t>65</w:t>
            </w:r>
          </w:p>
        </w:tc>
        <w:tc>
          <w:tcPr>
            <w:tcW w:w="1323" w:type="dxa"/>
            <w:shd w:val="clear" w:color="auto" w:fill="auto"/>
          </w:tcPr>
          <w:p w:rsidR="00CE550D" w:rsidRPr="000A697C" w:rsidP="000A697C" w14:paraId="27F09BE8" w14:textId="77777777">
            <w:pPr>
              <w:contextualSpacing/>
              <w:jc w:val="center"/>
              <w:rPr>
                <w:sz w:val="18"/>
                <w:szCs w:val="18"/>
              </w:rPr>
            </w:pPr>
            <w:r w:rsidRPr="000A697C">
              <w:rPr>
                <w:sz w:val="18"/>
                <w:szCs w:val="18"/>
              </w:rPr>
              <w:t>0.1333</w:t>
            </w:r>
          </w:p>
        </w:tc>
        <w:tc>
          <w:tcPr>
            <w:tcW w:w="802" w:type="dxa"/>
            <w:shd w:val="clear" w:color="auto" w:fill="auto"/>
          </w:tcPr>
          <w:p w:rsidR="00CE550D" w:rsidRPr="000A697C" w:rsidP="000A697C" w14:paraId="5499EB19" w14:textId="77777777">
            <w:pPr>
              <w:contextualSpacing/>
              <w:jc w:val="center"/>
              <w:rPr>
                <w:sz w:val="18"/>
                <w:szCs w:val="18"/>
              </w:rPr>
            </w:pPr>
            <w:r w:rsidRPr="000A697C">
              <w:rPr>
                <w:sz w:val="18"/>
                <w:szCs w:val="18"/>
              </w:rPr>
              <w:t>9</w:t>
            </w:r>
          </w:p>
        </w:tc>
        <w:tc>
          <w:tcPr>
            <w:tcW w:w="868" w:type="dxa"/>
            <w:shd w:val="clear" w:color="auto" w:fill="auto"/>
          </w:tcPr>
          <w:p w:rsidR="00CE550D" w:rsidRPr="000A697C" w:rsidP="000A697C" w14:paraId="2FDCF36D"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4A73722A" w14:textId="77777777">
            <w:pPr>
              <w:contextualSpacing/>
              <w:jc w:val="right"/>
              <w:rPr>
                <w:sz w:val="18"/>
                <w:szCs w:val="18"/>
              </w:rPr>
            </w:pPr>
            <w:r w:rsidRPr="000A697C">
              <w:rPr>
                <w:sz w:val="18"/>
                <w:szCs w:val="18"/>
              </w:rPr>
              <w:t xml:space="preserve">$365 </w:t>
            </w:r>
          </w:p>
        </w:tc>
      </w:tr>
      <w:tr w14:paraId="691BC666" w14:textId="77777777" w:rsidTr="000A697C">
        <w:tblPrEx>
          <w:tblW w:w="11186" w:type="dxa"/>
          <w:jc w:val="center"/>
          <w:tblLook w:val="04A0"/>
        </w:tblPrEx>
        <w:trPr>
          <w:jc w:val="center"/>
        </w:trPr>
        <w:tc>
          <w:tcPr>
            <w:tcW w:w="1126" w:type="dxa"/>
            <w:shd w:val="clear" w:color="auto" w:fill="auto"/>
          </w:tcPr>
          <w:p w:rsidR="00CE550D" w:rsidRPr="000A697C" w:rsidP="000A697C" w14:paraId="08CFA70C"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2148303B" w14:textId="77777777">
            <w:pPr>
              <w:contextualSpacing/>
              <w:rPr>
                <w:sz w:val="18"/>
                <w:szCs w:val="18"/>
              </w:rPr>
            </w:pPr>
            <w:r w:rsidRPr="000A697C">
              <w:rPr>
                <w:sz w:val="18"/>
                <w:szCs w:val="18"/>
              </w:rPr>
              <w:t>Public Assistance Assessment Customer Satisfaction Survey FEMA Form FF-104-FY-21-158 (formerly 519-0-35) (Internet)</w:t>
            </w:r>
          </w:p>
        </w:tc>
        <w:tc>
          <w:tcPr>
            <w:tcW w:w="1234" w:type="dxa"/>
            <w:shd w:val="clear" w:color="auto" w:fill="auto"/>
          </w:tcPr>
          <w:p w:rsidR="00CE550D" w:rsidRPr="000A697C" w:rsidP="000A697C" w14:paraId="696F1C1A" w14:textId="77777777">
            <w:pPr>
              <w:contextualSpacing/>
              <w:jc w:val="center"/>
              <w:rPr>
                <w:sz w:val="18"/>
                <w:szCs w:val="18"/>
              </w:rPr>
            </w:pPr>
            <w:r w:rsidRPr="000A697C">
              <w:rPr>
                <w:sz w:val="18"/>
                <w:szCs w:val="18"/>
              </w:rPr>
              <w:t>277</w:t>
            </w:r>
          </w:p>
        </w:tc>
        <w:tc>
          <w:tcPr>
            <w:tcW w:w="1156" w:type="dxa"/>
            <w:shd w:val="clear" w:color="auto" w:fill="auto"/>
          </w:tcPr>
          <w:p w:rsidR="00CE550D" w:rsidRPr="000A697C" w:rsidP="000A697C" w14:paraId="6695F506"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21E5D062" w14:textId="77777777">
            <w:pPr>
              <w:contextualSpacing/>
              <w:jc w:val="center"/>
              <w:rPr>
                <w:sz w:val="18"/>
                <w:szCs w:val="18"/>
              </w:rPr>
            </w:pPr>
            <w:r w:rsidRPr="000A697C">
              <w:rPr>
                <w:sz w:val="18"/>
                <w:szCs w:val="18"/>
              </w:rPr>
              <w:t>277</w:t>
            </w:r>
          </w:p>
        </w:tc>
        <w:tc>
          <w:tcPr>
            <w:tcW w:w="1323" w:type="dxa"/>
            <w:shd w:val="clear" w:color="auto" w:fill="auto"/>
          </w:tcPr>
          <w:p w:rsidR="00CE550D" w:rsidRPr="000A697C" w:rsidP="000A697C" w14:paraId="0877F3FB" w14:textId="77777777">
            <w:pPr>
              <w:contextualSpacing/>
              <w:jc w:val="center"/>
              <w:rPr>
                <w:sz w:val="18"/>
                <w:szCs w:val="18"/>
              </w:rPr>
            </w:pPr>
            <w:r w:rsidRPr="000A697C">
              <w:rPr>
                <w:sz w:val="18"/>
                <w:szCs w:val="18"/>
              </w:rPr>
              <w:t>0.1333</w:t>
            </w:r>
          </w:p>
        </w:tc>
        <w:tc>
          <w:tcPr>
            <w:tcW w:w="802" w:type="dxa"/>
            <w:shd w:val="clear" w:color="auto" w:fill="auto"/>
          </w:tcPr>
          <w:p w:rsidR="00CE550D" w:rsidRPr="000A697C" w:rsidP="000A697C" w14:paraId="7CD79662" w14:textId="77777777">
            <w:pPr>
              <w:contextualSpacing/>
              <w:jc w:val="center"/>
              <w:rPr>
                <w:sz w:val="18"/>
                <w:szCs w:val="18"/>
              </w:rPr>
            </w:pPr>
            <w:r w:rsidRPr="000A697C">
              <w:rPr>
                <w:sz w:val="18"/>
                <w:szCs w:val="18"/>
              </w:rPr>
              <w:t>37</w:t>
            </w:r>
          </w:p>
        </w:tc>
        <w:tc>
          <w:tcPr>
            <w:tcW w:w="868" w:type="dxa"/>
            <w:shd w:val="clear" w:color="auto" w:fill="auto"/>
          </w:tcPr>
          <w:p w:rsidR="00CE550D" w:rsidRPr="000A697C" w:rsidP="000A697C" w14:paraId="75B12243"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277C5D80" w14:textId="77777777">
            <w:pPr>
              <w:contextualSpacing/>
              <w:jc w:val="right"/>
              <w:rPr>
                <w:sz w:val="18"/>
                <w:szCs w:val="18"/>
              </w:rPr>
            </w:pPr>
            <w:r w:rsidRPr="000A697C">
              <w:rPr>
                <w:sz w:val="18"/>
                <w:szCs w:val="18"/>
              </w:rPr>
              <w:t xml:space="preserve">$1,795 </w:t>
            </w:r>
          </w:p>
        </w:tc>
      </w:tr>
      <w:tr w14:paraId="4CB399D3" w14:textId="77777777" w:rsidTr="000A697C">
        <w:tblPrEx>
          <w:tblW w:w="11186" w:type="dxa"/>
          <w:jc w:val="center"/>
          <w:tblLook w:val="04A0"/>
        </w:tblPrEx>
        <w:trPr>
          <w:jc w:val="center"/>
        </w:trPr>
        <w:tc>
          <w:tcPr>
            <w:tcW w:w="1126" w:type="dxa"/>
            <w:shd w:val="clear" w:color="auto" w:fill="auto"/>
          </w:tcPr>
          <w:p w:rsidR="00CE550D" w:rsidRPr="000A697C" w:rsidP="000A697C" w14:paraId="69971B28"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64F9C125" w14:textId="77777777">
            <w:pPr>
              <w:contextualSpacing/>
              <w:rPr>
                <w:sz w:val="18"/>
                <w:szCs w:val="18"/>
              </w:rPr>
            </w:pPr>
            <w:r w:rsidRPr="000A697C">
              <w:rPr>
                <w:sz w:val="18"/>
                <w:szCs w:val="18"/>
              </w:rPr>
              <w:t>Focus Group for 2 Hrs Plus Travel 1 Hr</w:t>
            </w:r>
          </w:p>
          <w:p w:rsidR="00CE550D" w:rsidRPr="000A697C" w:rsidP="000A697C" w14:paraId="5C738CB2"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57E963DA" w14:textId="77777777">
            <w:pPr>
              <w:contextualSpacing/>
              <w:jc w:val="center"/>
              <w:rPr>
                <w:sz w:val="18"/>
                <w:szCs w:val="18"/>
              </w:rPr>
            </w:pPr>
            <w:r w:rsidRPr="000A697C">
              <w:rPr>
                <w:sz w:val="18"/>
                <w:szCs w:val="18"/>
              </w:rPr>
              <w:t>68</w:t>
            </w:r>
          </w:p>
        </w:tc>
        <w:tc>
          <w:tcPr>
            <w:tcW w:w="1156" w:type="dxa"/>
            <w:shd w:val="clear" w:color="auto" w:fill="auto"/>
          </w:tcPr>
          <w:p w:rsidR="00CE550D" w:rsidRPr="000A697C" w:rsidP="000A697C" w14:paraId="2FA87E35"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6DFE9330" w14:textId="77777777">
            <w:pPr>
              <w:contextualSpacing/>
              <w:jc w:val="center"/>
              <w:rPr>
                <w:sz w:val="18"/>
                <w:szCs w:val="18"/>
              </w:rPr>
            </w:pPr>
            <w:r w:rsidRPr="000A697C">
              <w:rPr>
                <w:sz w:val="18"/>
                <w:szCs w:val="18"/>
              </w:rPr>
              <w:t>68</w:t>
            </w:r>
          </w:p>
        </w:tc>
        <w:tc>
          <w:tcPr>
            <w:tcW w:w="1323" w:type="dxa"/>
            <w:shd w:val="clear" w:color="auto" w:fill="auto"/>
          </w:tcPr>
          <w:p w:rsidR="00CE550D" w:rsidRPr="000A697C" w:rsidP="000A697C" w14:paraId="5A6193C5" w14:textId="77777777">
            <w:pPr>
              <w:contextualSpacing/>
              <w:jc w:val="center"/>
              <w:rPr>
                <w:sz w:val="18"/>
                <w:szCs w:val="18"/>
              </w:rPr>
            </w:pPr>
            <w:r w:rsidRPr="000A697C">
              <w:rPr>
                <w:sz w:val="18"/>
                <w:szCs w:val="18"/>
              </w:rPr>
              <w:t>3</w:t>
            </w:r>
          </w:p>
        </w:tc>
        <w:tc>
          <w:tcPr>
            <w:tcW w:w="802" w:type="dxa"/>
            <w:shd w:val="clear" w:color="auto" w:fill="auto"/>
          </w:tcPr>
          <w:p w:rsidR="00CE550D" w:rsidRPr="000A697C" w:rsidP="000A697C" w14:paraId="6C6EC5CE" w14:textId="77777777">
            <w:pPr>
              <w:contextualSpacing/>
              <w:jc w:val="center"/>
              <w:rPr>
                <w:sz w:val="18"/>
                <w:szCs w:val="18"/>
              </w:rPr>
            </w:pPr>
            <w:r w:rsidRPr="000A697C">
              <w:rPr>
                <w:sz w:val="18"/>
                <w:szCs w:val="18"/>
              </w:rPr>
              <w:t>204</w:t>
            </w:r>
          </w:p>
        </w:tc>
        <w:tc>
          <w:tcPr>
            <w:tcW w:w="868" w:type="dxa"/>
            <w:shd w:val="clear" w:color="auto" w:fill="auto"/>
          </w:tcPr>
          <w:p w:rsidR="00CE550D" w:rsidRPr="000A697C" w:rsidP="000A697C" w14:paraId="70A7567C"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5EADCD8E" w14:textId="77777777">
            <w:pPr>
              <w:contextualSpacing/>
              <w:jc w:val="right"/>
              <w:rPr>
                <w:sz w:val="18"/>
                <w:szCs w:val="18"/>
              </w:rPr>
            </w:pPr>
            <w:r w:rsidRPr="000A697C">
              <w:rPr>
                <w:sz w:val="18"/>
                <w:szCs w:val="18"/>
              </w:rPr>
              <w:t xml:space="preserve">$8,284 </w:t>
            </w:r>
          </w:p>
        </w:tc>
      </w:tr>
      <w:tr w14:paraId="1231A1B9" w14:textId="77777777" w:rsidTr="000A697C">
        <w:tblPrEx>
          <w:tblW w:w="11186" w:type="dxa"/>
          <w:jc w:val="center"/>
          <w:tblLook w:val="04A0"/>
        </w:tblPrEx>
        <w:trPr>
          <w:jc w:val="center"/>
        </w:trPr>
        <w:tc>
          <w:tcPr>
            <w:tcW w:w="1126" w:type="dxa"/>
            <w:shd w:val="clear" w:color="auto" w:fill="auto"/>
          </w:tcPr>
          <w:p w:rsidR="00CE550D" w:rsidRPr="000A697C" w:rsidP="000A697C" w14:paraId="21211A4E"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0DFAF655" w14:textId="77777777">
            <w:pPr>
              <w:contextualSpacing/>
              <w:rPr>
                <w:sz w:val="18"/>
                <w:szCs w:val="18"/>
              </w:rPr>
            </w:pPr>
            <w:bookmarkStart w:id="7" w:name="_Hlk120698444"/>
            <w:r w:rsidRPr="000A697C">
              <w:rPr>
                <w:sz w:val="18"/>
                <w:szCs w:val="18"/>
              </w:rPr>
              <w:t>Focus Group for 2 Hrs Plus Travel 1 Hr</w:t>
            </w:r>
          </w:p>
          <w:bookmarkEnd w:id="7"/>
          <w:p w:rsidR="00CE550D" w:rsidRPr="000A697C" w:rsidP="000A697C" w14:paraId="6FC8E61B"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093081BD" w14:textId="77777777">
            <w:pPr>
              <w:contextualSpacing/>
              <w:jc w:val="center"/>
              <w:rPr>
                <w:sz w:val="18"/>
                <w:szCs w:val="18"/>
              </w:rPr>
            </w:pPr>
            <w:r w:rsidRPr="000A697C">
              <w:rPr>
                <w:sz w:val="18"/>
                <w:szCs w:val="18"/>
              </w:rPr>
              <w:t>292</w:t>
            </w:r>
          </w:p>
        </w:tc>
        <w:tc>
          <w:tcPr>
            <w:tcW w:w="1156" w:type="dxa"/>
            <w:shd w:val="clear" w:color="auto" w:fill="auto"/>
          </w:tcPr>
          <w:p w:rsidR="00CE550D" w:rsidRPr="000A697C" w:rsidP="000A697C" w14:paraId="24EDE0BD"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54D38B86" w14:textId="77777777">
            <w:pPr>
              <w:contextualSpacing/>
              <w:jc w:val="center"/>
              <w:rPr>
                <w:sz w:val="18"/>
                <w:szCs w:val="18"/>
              </w:rPr>
            </w:pPr>
            <w:r w:rsidRPr="000A697C">
              <w:rPr>
                <w:sz w:val="18"/>
                <w:szCs w:val="18"/>
              </w:rPr>
              <w:t>292</w:t>
            </w:r>
          </w:p>
        </w:tc>
        <w:tc>
          <w:tcPr>
            <w:tcW w:w="1323" w:type="dxa"/>
            <w:shd w:val="clear" w:color="auto" w:fill="auto"/>
          </w:tcPr>
          <w:p w:rsidR="00CE550D" w:rsidRPr="000A697C" w:rsidP="000A697C" w14:paraId="529C7DDA" w14:textId="77777777">
            <w:pPr>
              <w:contextualSpacing/>
              <w:jc w:val="center"/>
              <w:rPr>
                <w:sz w:val="18"/>
                <w:szCs w:val="18"/>
              </w:rPr>
            </w:pPr>
            <w:r w:rsidRPr="000A697C">
              <w:rPr>
                <w:sz w:val="18"/>
                <w:szCs w:val="18"/>
              </w:rPr>
              <w:t>3</w:t>
            </w:r>
          </w:p>
        </w:tc>
        <w:tc>
          <w:tcPr>
            <w:tcW w:w="802" w:type="dxa"/>
            <w:shd w:val="clear" w:color="auto" w:fill="auto"/>
          </w:tcPr>
          <w:p w:rsidR="00CE550D" w:rsidRPr="000A697C" w:rsidP="000A697C" w14:paraId="5894FCCB" w14:textId="77777777">
            <w:pPr>
              <w:contextualSpacing/>
              <w:jc w:val="center"/>
              <w:rPr>
                <w:sz w:val="18"/>
                <w:szCs w:val="18"/>
              </w:rPr>
            </w:pPr>
            <w:r w:rsidRPr="000A697C">
              <w:rPr>
                <w:sz w:val="18"/>
                <w:szCs w:val="18"/>
              </w:rPr>
              <w:t>876</w:t>
            </w:r>
          </w:p>
        </w:tc>
        <w:tc>
          <w:tcPr>
            <w:tcW w:w="868" w:type="dxa"/>
            <w:shd w:val="clear" w:color="auto" w:fill="auto"/>
          </w:tcPr>
          <w:p w:rsidR="00CE550D" w:rsidRPr="000A697C" w:rsidP="000A697C" w14:paraId="66B2E776"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78669366" w14:textId="77777777">
            <w:pPr>
              <w:contextualSpacing/>
              <w:jc w:val="right"/>
              <w:rPr>
                <w:sz w:val="18"/>
                <w:szCs w:val="18"/>
              </w:rPr>
            </w:pPr>
            <w:r w:rsidRPr="000A697C">
              <w:rPr>
                <w:sz w:val="18"/>
                <w:szCs w:val="18"/>
              </w:rPr>
              <w:t xml:space="preserve">$42,495 </w:t>
            </w:r>
          </w:p>
        </w:tc>
      </w:tr>
      <w:tr w14:paraId="487C0697" w14:textId="77777777" w:rsidTr="000A697C">
        <w:tblPrEx>
          <w:tblW w:w="11186" w:type="dxa"/>
          <w:jc w:val="center"/>
          <w:tblLook w:val="04A0"/>
        </w:tblPrEx>
        <w:trPr>
          <w:jc w:val="center"/>
        </w:trPr>
        <w:tc>
          <w:tcPr>
            <w:tcW w:w="1126" w:type="dxa"/>
            <w:shd w:val="clear" w:color="auto" w:fill="auto"/>
          </w:tcPr>
          <w:p w:rsidR="00CE550D" w:rsidRPr="000A697C" w:rsidP="000A697C" w14:paraId="1515FED1"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07DD4BC8" w14:textId="77777777">
            <w:pPr>
              <w:contextualSpacing/>
              <w:rPr>
                <w:sz w:val="18"/>
                <w:szCs w:val="18"/>
              </w:rPr>
            </w:pPr>
            <w:bookmarkStart w:id="8" w:name="_Hlk120698591"/>
            <w:r w:rsidRPr="000A697C">
              <w:rPr>
                <w:sz w:val="18"/>
                <w:szCs w:val="18"/>
              </w:rPr>
              <w:t>One-on-One Interviews</w:t>
            </w:r>
          </w:p>
          <w:bookmarkEnd w:id="8"/>
          <w:p w:rsidR="00CE550D" w:rsidRPr="000A697C" w:rsidP="000A697C" w14:paraId="4FB0DF71"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4F78DD33" w14:textId="77777777">
            <w:pPr>
              <w:contextualSpacing/>
              <w:jc w:val="center"/>
              <w:rPr>
                <w:sz w:val="18"/>
                <w:szCs w:val="18"/>
              </w:rPr>
            </w:pPr>
            <w:r w:rsidRPr="000A697C">
              <w:rPr>
                <w:sz w:val="18"/>
                <w:szCs w:val="18"/>
              </w:rPr>
              <w:t>38</w:t>
            </w:r>
          </w:p>
        </w:tc>
        <w:tc>
          <w:tcPr>
            <w:tcW w:w="1156" w:type="dxa"/>
            <w:shd w:val="clear" w:color="auto" w:fill="auto"/>
          </w:tcPr>
          <w:p w:rsidR="00CE550D" w:rsidRPr="000A697C" w:rsidP="000A697C" w14:paraId="6ACABDA0"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7ED983A1" w14:textId="77777777">
            <w:pPr>
              <w:contextualSpacing/>
              <w:jc w:val="center"/>
              <w:rPr>
                <w:sz w:val="18"/>
                <w:szCs w:val="18"/>
              </w:rPr>
            </w:pPr>
            <w:r w:rsidRPr="000A697C">
              <w:rPr>
                <w:sz w:val="18"/>
                <w:szCs w:val="18"/>
              </w:rPr>
              <w:t>38</w:t>
            </w:r>
          </w:p>
        </w:tc>
        <w:tc>
          <w:tcPr>
            <w:tcW w:w="1323" w:type="dxa"/>
            <w:shd w:val="clear" w:color="auto" w:fill="auto"/>
          </w:tcPr>
          <w:p w:rsidR="00CE550D" w:rsidRPr="000A697C" w:rsidP="000A697C" w14:paraId="799BB5E4" w14:textId="77777777">
            <w:pPr>
              <w:contextualSpacing/>
              <w:jc w:val="center"/>
              <w:rPr>
                <w:sz w:val="18"/>
                <w:szCs w:val="18"/>
              </w:rPr>
            </w:pPr>
            <w:r w:rsidRPr="000A697C">
              <w:rPr>
                <w:sz w:val="18"/>
                <w:szCs w:val="18"/>
              </w:rPr>
              <w:t>1</w:t>
            </w:r>
          </w:p>
        </w:tc>
        <w:tc>
          <w:tcPr>
            <w:tcW w:w="802" w:type="dxa"/>
            <w:shd w:val="clear" w:color="auto" w:fill="auto"/>
          </w:tcPr>
          <w:p w:rsidR="00CE550D" w:rsidRPr="000A697C" w:rsidP="000A697C" w14:paraId="659DD626" w14:textId="77777777">
            <w:pPr>
              <w:contextualSpacing/>
              <w:jc w:val="center"/>
              <w:rPr>
                <w:sz w:val="18"/>
                <w:szCs w:val="18"/>
              </w:rPr>
            </w:pPr>
            <w:r w:rsidRPr="000A697C">
              <w:rPr>
                <w:sz w:val="18"/>
                <w:szCs w:val="18"/>
              </w:rPr>
              <w:t>38</w:t>
            </w:r>
          </w:p>
        </w:tc>
        <w:tc>
          <w:tcPr>
            <w:tcW w:w="868" w:type="dxa"/>
            <w:shd w:val="clear" w:color="auto" w:fill="auto"/>
          </w:tcPr>
          <w:p w:rsidR="00CE550D" w:rsidRPr="000A697C" w:rsidP="000A697C" w14:paraId="732D666A"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2FBEDEF4" w14:textId="77777777">
            <w:pPr>
              <w:contextualSpacing/>
              <w:jc w:val="right"/>
              <w:rPr>
                <w:sz w:val="18"/>
                <w:szCs w:val="18"/>
              </w:rPr>
            </w:pPr>
            <w:r w:rsidRPr="000A697C">
              <w:rPr>
                <w:sz w:val="18"/>
                <w:szCs w:val="18"/>
              </w:rPr>
              <w:t xml:space="preserve">$1,543 </w:t>
            </w:r>
          </w:p>
        </w:tc>
      </w:tr>
      <w:tr w14:paraId="02E1B841" w14:textId="77777777" w:rsidTr="000A697C">
        <w:tblPrEx>
          <w:tblW w:w="11186" w:type="dxa"/>
          <w:jc w:val="center"/>
          <w:tblLook w:val="04A0"/>
        </w:tblPrEx>
        <w:trPr>
          <w:jc w:val="center"/>
        </w:trPr>
        <w:tc>
          <w:tcPr>
            <w:tcW w:w="1126" w:type="dxa"/>
            <w:shd w:val="clear" w:color="auto" w:fill="auto"/>
          </w:tcPr>
          <w:p w:rsidR="00CE550D" w:rsidRPr="000A697C" w:rsidP="000A697C" w14:paraId="5915A16D"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2DDEB2E2" w14:textId="77777777">
            <w:pPr>
              <w:contextualSpacing/>
              <w:rPr>
                <w:sz w:val="18"/>
                <w:szCs w:val="18"/>
              </w:rPr>
            </w:pPr>
            <w:r w:rsidRPr="000A697C">
              <w:rPr>
                <w:sz w:val="18"/>
                <w:szCs w:val="18"/>
              </w:rPr>
              <w:t>One-on-One Interviews</w:t>
            </w:r>
          </w:p>
          <w:p w:rsidR="00CE550D" w:rsidRPr="000A697C" w:rsidP="000A697C" w14:paraId="53814B3D"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22303369" w14:textId="77777777">
            <w:pPr>
              <w:contextualSpacing/>
              <w:jc w:val="center"/>
              <w:rPr>
                <w:sz w:val="18"/>
                <w:szCs w:val="18"/>
              </w:rPr>
            </w:pPr>
            <w:r w:rsidRPr="000A697C">
              <w:rPr>
                <w:sz w:val="18"/>
                <w:szCs w:val="18"/>
              </w:rPr>
              <w:t>162</w:t>
            </w:r>
          </w:p>
        </w:tc>
        <w:tc>
          <w:tcPr>
            <w:tcW w:w="1156" w:type="dxa"/>
            <w:shd w:val="clear" w:color="auto" w:fill="auto"/>
          </w:tcPr>
          <w:p w:rsidR="00CE550D" w:rsidRPr="000A697C" w:rsidP="000A697C" w14:paraId="2E310B3A"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2A887FDF" w14:textId="77777777">
            <w:pPr>
              <w:contextualSpacing/>
              <w:jc w:val="center"/>
              <w:rPr>
                <w:sz w:val="18"/>
                <w:szCs w:val="18"/>
              </w:rPr>
            </w:pPr>
            <w:r w:rsidRPr="000A697C">
              <w:rPr>
                <w:sz w:val="18"/>
                <w:szCs w:val="18"/>
              </w:rPr>
              <w:t>162</w:t>
            </w:r>
          </w:p>
        </w:tc>
        <w:tc>
          <w:tcPr>
            <w:tcW w:w="1323" w:type="dxa"/>
            <w:shd w:val="clear" w:color="auto" w:fill="auto"/>
          </w:tcPr>
          <w:p w:rsidR="00CE550D" w:rsidRPr="000A697C" w:rsidP="000A697C" w14:paraId="519E52A5" w14:textId="77777777">
            <w:pPr>
              <w:contextualSpacing/>
              <w:jc w:val="center"/>
              <w:rPr>
                <w:sz w:val="18"/>
                <w:szCs w:val="18"/>
              </w:rPr>
            </w:pPr>
            <w:r w:rsidRPr="000A697C">
              <w:rPr>
                <w:sz w:val="18"/>
                <w:szCs w:val="18"/>
              </w:rPr>
              <w:t>1</w:t>
            </w:r>
          </w:p>
        </w:tc>
        <w:tc>
          <w:tcPr>
            <w:tcW w:w="802" w:type="dxa"/>
            <w:shd w:val="clear" w:color="auto" w:fill="auto"/>
          </w:tcPr>
          <w:p w:rsidR="00CE550D" w:rsidRPr="000A697C" w:rsidP="000A697C" w14:paraId="41D56C77" w14:textId="77777777">
            <w:pPr>
              <w:contextualSpacing/>
              <w:jc w:val="center"/>
              <w:rPr>
                <w:sz w:val="18"/>
                <w:szCs w:val="18"/>
              </w:rPr>
            </w:pPr>
            <w:r w:rsidRPr="000A697C">
              <w:rPr>
                <w:sz w:val="18"/>
                <w:szCs w:val="18"/>
              </w:rPr>
              <w:t>162</w:t>
            </w:r>
          </w:p>
        </w:tc>
        <w:tc>
          <w:tcPr>
            <w:tcW w:w="868" w:type="dxa"/>
            <w:shd w:val="clear" w:color="auto" w:fill="auto"/>
          </w:tcPr>
          <w:p w:rsidR="00CE550D" w:rsidRPr="000A697C" w:rsidP="000A697C" w14:paraId="33AEF9FB"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5AB8E979" w14:textId="77777777">
            <w:pPr>
              <w:contextualSpacing/>
              <w:jc w:val="right"/>
              <w:rPr>
                <w:sz w:val="18"/>
                <w:szCs w:val="18"/>
              </w:rPr>
            </w:pPr>
            <w:r w:rsidRPr="000A697C">
              <w:rPr>
                <w:sz w:val="18"/>
                <w:szCs w:val="18"/>
              </w:rPr>
              <w:t xml:space="preserve">$7,859 </w:t>
            </w:r>
          </w:p>
        </w:tc>
      </w:tr>
      <w:tr w14:paraId="02C5DA92" w14:textId="77777777" w:rsidTr="000A697C">
        <w:tblPrEx>
          <w:tblW w:w="11186" w:type="dxa"/>
          <w:jc w:val="center"/>
          <w:tblLook w:val="04A0"/>
        </w:tblPrEx>
        <w:trPr>
          <w:jc w:val="center"/>
        </w:trPr>
        <w:tc>
          <w:tcPr>
            <w:tcW w:w="1126" w:type="dxa"/>
            <w:shd w:val="clear" w:color="auto" w:fill="FFFFFF"/>
          </w:tcPr>
          <w:p w:rsidR="007D28A9" w:rsidRPr="00762A0D" w:rsidP="000A697C" w14:paraId="28663B4E" w14:textId="77777777">
            <w:pPr>
              <w:contextualSpacing/>
              <w:rPr>
                <w:rFonts w:eastAsia="Calibri"/>
                <w:b/>
                <w:bCs/>
                <w:color w:val="000000"/>
                <w:sz w:val="18"/>
                <w:szCs w:val="18"/>
              </w:rPr>
            </w:pPr>
            <w:r w:rsidRPr="00C34635">
              <w:rPr>
                <w:rFonts w:eastAsia="Calibri"/>
                <w:b/>
                <w:bCs/>
                <w:color w:val="000000"/>
                <w:sz w:val="18"/>
                <w:szCs w:val="18"/>
              </w:rPr>
              <w:t>Total</w:t>
            </w:r>
          </w:p>
        </w:tc>
        <w:tc>
          <w:tcPr>
            <w:tcW w:w="2465" w:type="dxa"/>
            <w:shd w:val="clear" w:color="auto" w:fill="000000" w:themeFill="text1"/>
          </w:tcPr>
          <w:p w:rsidR="007D28A9" w:rsidRPr="00762A0D" w:rsidP="000A697C" w14:paraId="74FDE0D3" w14:textId="77777777">
            <w:pPr>
              <w:contextualSpacing/>
              <w:rPr>
                <w:rFonts w:eastAsia="Calibri"/>
                <w:b/>
                <w:bCs/>
                <w:color w:val="000000"/>
                <w:sz w:val="18"/>
                <w:szCs w:val="18"/>
              </w:rPr>
            </w:pPr>
          </w:p>
        </w:tc>
        <w:tc>
          <w:tcPr>
            <w:tcW w:w="1234" w:type="dxa"/>
            <w:shd w:val="clear" w:color="auto" w:fill="auto"/>
            <w:vAlign w:val="center"/>
          </w:tcPr>
          <w:p w:rsidR="007D28A9" w:rsidRPr="00762A0D" w:rsidP="000A697C" w14:paraId="4AA6E60E" w14:textId="77777777">
            <w:pPr>
              <w:contextualSpacing/>
              <w:jc w:val="right"/>
              <w:rPr>
                <w:rFonts w:eastAsia="Calibri"/>
                <w:b/>
                <w:bCs/>
                <w:sz w:val="18"/>
                <w:szCs w:val="18"/>
              </w:rPr>
            </w:pPr>
            <w:r w:rsidRPr="00762A0D">
              <w:rPr>
                <w:rFonts w:eastAsia="Calibri"/>
                <w:b/>
                <w:bCs/>
                <w:sz w:val="18"/>
                <w:szCs w:val="18"/>
              </w:rPr>
              <w:t>3,885</w:t>
            </w:r>
          </w:p>
        </w:tc>
        <w:tc>
          <w:tcPr>
            <w:tcW w:w="1156" w:type="dxa"/>
            <w:shd w:val="clear" w:color="auto" w:fill="000000"/>
            <w:vAlign w:val="center"/>
          </w:tcPr>
          <w:p w:rsidR="007D28A9" w:rsidRPr="00762A0D" w:rsidP="000A697C" w14:paraId="7FD47409" w14:textId="77777777">
            <w:pPr>
              <w:contextualSpacing/>
              <w:jc w:val="right"/>
              <w:rPr>
                <w:rFonts w:eastAsia="Calibri"/>
                <w:b/>
                <w:bCs/>
                <w:sz w:val="18"/>
                <w:szCs w:val="18"/>
              </w:rPr>
            </w:pPr>
          </w:p>
        </w:tc>
        <w:tc>
          <w:tcPr>
            <w:tcW w:w="1056" w:type="dxa"/>
            <w:shd w:val="clear" w:color="auto" w:fill="auto"/>
            <w:vAlign w:val="center"/>
          </w:tcPr>
          <w:p w:rsidR="007D28A9" w:rsidRPr="00762A0D" w:rsidP="000A697C" w14:paraId="14746C04" w14:textId="77777777">
            <w:pPr>
              <w:contextualSpacing/>
              <w:jc w:val="center"/>
              <w:rPr>
                <w:rFonts w:eastAsia="Calibri"/>
                <w:b/>
                <w:bCs/>
                <w:sz w:val="18"/>
                <w:szCs w:val="18"/>
              </w:rPr>
            </w:pPr>
            <w:r w:rsidRPr="00762A0D">
              <w:rPr>
                <w:rFonts w:eastAsia="Calibri"/>
                <w:b/>
                <w:bCs/>
                <w:sz w:val="18"/>
                <w:szCs w:val="18"/>
              </w:rPr>
              <w:t>3,885</w:t>
            </w:r>
          </w:p>
        </w:tc>
        <w:tc>
          <w:tcPr>
            <w:tcW w:w="1323" w:type="dxa"/>
            <w:shd w:val="clear" w:color="auto" w:fill="000000"/>
            <w:vAlign w:val="center"/>
          </w:tcPr>
          <w:p w:rsidR="007D28A9" w:rsidRPr="00762A0D" w:rsidP="000A697C" w14:paraId="51609AE9" w14:textId="77777777">
            <w:pPr>
              <w:contextualSpacing/>
              <w:jc w:val="center"/>
              <w:rPr>
                <w:rFonts w:eastAsia="Calibri"/>
                <w:b/>
                <w:bCs/>
                <w:sz w:val="18"/>
                <w:szCs w:val="18"/>
              </w:rPr>
            </w:pPr>
          </w:p>
        </w:tc>
        <w:tc>
          <w:tcPr>
            <w:tcW w:w="802" w:type="dxa"/>
            <w:shd w:val="clear" w:color="auto" w:fill="auto"/>
            <w:vAlign w:val="center"/>
          </w:tcPr>
          <w:p w:rsidR="007D28A9" w:rsidRPr="00762A0D" w:rsidP="000A697C" w14:paraId="0223C519" w14:textId="77777777">
            <w:pPr>
              <w:contextualSpacing/>
              <w:jc w:val="center"/>
              <w:rPr>
                <w:rFonts w:eastAsia="Calibri"/>
                <w:b/>
                <w:bCs/>
                <w:sz w:val="18"/>
                <w:szCs w:val="18"/>
              </w:rPr>
            </w:pPr>
            <w:r w:rsidRPr="00762A0D">
              <w:rPr>
                <w:b/>
                <w:bCs/>
                <w:sz w:val="18"/>
                <w:szCs w:val="18"/>
              </w:rPr>
              <w:t>1,839</w:t>
            </w:r>
          </w:p>
        </w:tc>
        <w:tc>
          <w:tcPr>
            <w:tcW w:w="868" w:type="dxa"/>
            <w:shd w:val="clear" w:color="auto" w:fill="000000"/>
            <w:vAlign w:val="center"/>
          </w:tcPr>
          <w:p w:rsidR="007D28A9" w:rsidRPr="00762A0D" w:rsidP="000A697C" w14:paraId="314D0B80" w14:textId="77777777">
            <w:pPr>
              <w:contextualSpacing/>
              <w:jc w:val="right"/>
              <w:rPr>
                <w:rFonts w:eastAsia="Calibri"/>
                <w:b/>
                <w:bCs/>
                <w:sz w:val="18"/>
                <w:szCs w:val="18"/>
              </w:rPr>
            </w:pPr>
          </w:p>
        </w:tc>
        <w:tc>
          <w:tcPr>
            <w:tcW w:w="1156" w:type="dxa"/>
            <w:shd w:val="clear" w:color="auto" w:fill="auto"/>
            <w:vAlign w:val="center"/>
          </w:tcPr>
          <w:p w:rsidR="007D28A9" w:rsidRPr="00762A0D" w:rsidP="000A697C" w14:paraId="73BF08E9" w14:textId="77777777">
            <w:pPr>
              <w:contextualSpacing/>
              <w:jc w:val="right"/>
              <w:rPr>
                <w:rFonts w:eastAsia="Calibri"/>
                <w:b/>
                <w:bCs/>
                <w:sz w:val="18"/>
                <w:szCs w:val="18"/>
              </w:rPr>
            </w:pPr>
            <w:r w:rsidRPr="00762A0D">
              <w:rPr>
                <w:b/>
                <w:bCs/>
                <w:sz w:val="18"/>
                <w:szCs w:val="18"/>
              </w:rPr>
              <w:t xml:space="preserve"> $</w:t>
            </w:r>
            <w:r w:rsidRPr="00762A0D" w:rsidR="00CE550D">
              <w:rPr>
                <w:b/>
                <w:bCs/>
                <w:sz w:val="18"/>
                <w:szCs w:val="18"/>
              </w:rPr>
              <w:t>86,459</w:t>
            </w:r>
            <w:r w:rsidRPr="00762A0D">
              <w:rPr>
                <w:b/>
                <w:bCs/>
                <w:sz w:val="18"/>
                <w:szCs w:val="18"/>
              </w:rPr>
              <w:t xml:space="preserve"> </w:t>
            </w:r>
          </w:p>
        </w:tc>
      </w:tr>
    </w:tbl>
    <w:p w:rsidR="00C5520A" w:rsidRPr="00762A0D" w:rsidP="000A697C" w14:paraId="7B5EB354" w14:textId="77777777">
      <w:pPr>
        <w:spacing w:line="276" w:lineRule="auto"/>
        <w:contextualSpacing/>
        <w:rPr>
          <w:b/>
          <w:bCs/>
          <w:sz w:val="18"/>
          <w:szCs w:val="18"/>
        </w:rPr>
      </w:pPr>
    </w:p>
    <w:p w:rsidR="0003414A" w:rsidRPr="000A697C" w:rsidP="00C34635" w14:paraId="5EE48BEF" w14:textId="77777777">
      <w:pPr>
        <w:spacing w:line="276" w:lineRule="auto"/>
        <w:contextualSpacing/>
        <w:rPr>
          <w:b/>
          <w:bCs/>
        </w:rPr>
      </w:pPr>
      <w:bookmarkStart w:id="9" w:name="_Hlk29198509"/>
      <w:bookmarkEnd w:id="6"/>
      <w:r w:rsidRPr="000A697C">
        <w:rPr>
          <w:b/>
          <w:bCs/>
        </w:rPr>
        <w:t>Instruction for Wage-rate category multiplier:  Take each non-loaded “Avg. Hourly Wage Rate” from the BLS website table and multiply that number by 1.45.</w:t>
      </w:r>
      <w:r>
        <w:rPr>
          <w:rStyle w:val="FootnoteReference"/>
          <w:b/>
          <w:bCs/>
        </w:rPr>
        <w:footnoteReference w:id="2"/>
      </w:r>
      <w:r w:rsidRPr="000A697C">
        <w:rPr>
          <w:b/>
          <w:bCs/>
        </w:rPr>
        <w:t xml:space="preserve">  For example, a non-loaded BLS table wage rate of $42.51 would be multiplied by 1.45, and the entry for the “Avg. Hourly Wage Rate” would be $61.64.</w:t>
      </w:r>
    </w:p>
    <w:p w:rsidR="0003414A" w:rsidRPr="000A697C" w:rsidP="00C34635" w14:paraId="00D92A0B" w14:textId="77777777">
      <w:pPr>
        <w:tabs>
          <w:tab w:val="left" w:pos="-720"/>
        </w:tabs>
        <w:suppressAutoHyphens/>
        <w:spacing w:line="276" w:lineRule="auto"/>
        <w:contextualSpacing/>
        <w:rPr>
          <w:b/>
        </w:rPr>
      </w:pPr>
    </w:p>
    <w:p w:rsidR="0003414A" w:rsidRPr="000A697C" w:rsidP="00C34635" w14:paraId="262E8FC9" w14:textId="7F3CB5FC">
      <w:pPr>
        <w:spacing w:line="276" w:lineRule="auto"/>
        <w:contextualSpacing/>
      </w:pPr>
      <w:r w:rsidRPr="000A697C">
        <w:rPr>
          <w:b/>
        </w:rPr>
        <w:t>For Non-Profit Respondents</w:t>
      </w:r>
      <w:r w:rsidRPr="000A697C">
        <w:t>: According to the U.S. Department of Labor, Bureau of Labor Statistics</w:t>
      </w:r>
      <w:r w:rsidRPr="000A697C" w:rsidR="00CE550D">
        <w:t>,</w:t>
      </w:r>
      <w:r w:rsidRPr="000A697C">
        <w:t xml:space="preserve"> </w:t>
      </w:r>
      <w:r w:rsidRPr="000A697C" w:rsidR="00CE550D">
        <w:t>the May 2021 Occupational Employment and Wage Estimates wage rate</w:t>
      </w:r>
      <w:r w:rsidRPr="000A697C">
        <w:t xml:space="preserve"> </w:t>
      </w:r>
      <w:r w:rsidRPr="000A697C" w:rsidR="00CE550D">
        <w:t xml:space="preserve">for </w:t>
      </w:r>
      <w:r w:rsidRPr="000A697C">
        <w:t>All Occupations (</w:t>
      </w:r>
      <w:r w:rsidRPr="000A697C" w:rsidR="00CE550D">
        <w:t>SOC:</w:t>
      </w:r>
      <w:r w:rsidRPr="000A697C">
        <w:t xml:space="preserve"> 00-0000) </w:t>
      </w:r>
      <w:r w:rsidRPr="000A697C" w:rsidR="00CE550D">
        <w:t>is</w:t>
      </w:r>
      <w:r w:rsidRPr="000A697C">
        <w:t xml:space="preserve"> $28.01.</w:t>
      </w:r>
      <w:r>
        <w:rPr>
          <w:rStyle w:val="FootnoteReference"/>
        </w:rPr>
        <w:footnoteReference w:id="3"/>
      </w:r>
      <w:r w:rsidRPr="000A697C">
        <w:t xml:space="preserve"> </w:t>
      </w:r>
      <w:r w:rsidRPr="000A697C" w:rsidR="00CE550D">
        <w:t xml:space="preserve"> </w:t>
      </w:r>
      <w:r w:rsidRPr="000A697C">
        <w:t xml:space="preserve">Including the wage rate multiplier of 1.45, the fully loaded wage rate is $40.61.  Therefore, the burden hour cost </w:t>
      </w:r>
      <w:r w:rsidRPr="000A697C" w:rsidR="00CE550D">
        <w:t xml:space="preserve">is estimated to be </w:t>
      </w:r>
      <w:r w:rsidRPr="000A697C">
        <w:t>$</w:t>
      </w:r>
      <w:r w:rsidRPr="000A697C" w:rsidR="0081120C">
        <w:t>14,132</w:t>
      </w:r>
      <w:r w:rsidRPr="000A697C">
        <w:t xml:space="preserve"> annually</w:t>
      </w:r>
      <w:r w:rsidRPr="000A697C" w:rsidR="00CE550D">
        <w:t xml:space="preserve"> ($40.61 x 348 hours = $14,13</w:t>
      </w:r>
      <w:r w:rsidRPr="000A697C" w:rsidR="00D97F00">
        <w:t>2</w:t>
      </w:r>
      <w:r w:rsidRPr="000A697C" w:rsidR="00CE550D">
        <w:t>)</w:t>
      </w:r>
      <w:r w:rsidRPr="000A697C">
        <w:t>.</w:t>
      </w:r>
    </w:p>
    <w:p w:rsidR="00051F6F" w:rsidRPr="000A697C" w:rsidP="00C34635" w14:paraId="634ED6CE" w14:textId="77777777">
      <w:pPr>
        <w:spacing w:line="276" w:lineRule="auto"/>
        <w:contextualSpacing/>
      </w:pPr>
    </w:p>
    <w:p w:rsidR="0003414A" w:rsidRPr="000A697C" w:rsidP="00C34635" w14:paraId="6293786F" w14:textId="11AA5DE4">
      <w:pPr>
        <w:spacing w:line="276" w:lineRule="auto"/>
        <w:contextualSpacing/>
      </w:pPr>
      <w:r w:rsidRPr="000A697C">
        <w:rPr>
          <w:b/>
        </w:rPr>
        <w:t>For State, Local Government, or Tribal Respondents</w:t>
      </w:r>
      <w:r w:rsidRPr="000A697C">
        <w:t>: According to the U.S. Department of Labor, Bureau of Labor Statistics</w:t>
      </w:r>
      <w:r w:rsidRPr="000A697C" w:rsidR="00CE550D">
        <w:t>,</w:t>
      </w:r>
      <w:r w:rsidRPr="000A697C">
        <w:t xml:space="preserve"> </w:t>
      </w:r>
      <w:r w:rsidRPr="000A697C" w:rsidR="00CE550D">
        <w:t>the May 2021 Occupational Employment and Wage Estimates wage rate for</w:t>
      </w:r>
      <w:r w:rsidRPr="000A697C" w:rsidR="00CE550D">
        <w:t xml:space="preserve"> </w:t>
      </w:r>
      <w:r w:rsidRPr="000A697C">
        <w:t xml:space="preserve">All </w:t>
      </w:r>
      <w:r w:rsidRPr="000A697C" w:rsidR="005872F9">
        <w:t>Occupations</w:t>
      </w:r>
      <w:r w:rsidRPr="000A697C">
        <w:t xml:space="preserve"> (</w:t>
      </w:r>
      <w:r w:rsidRPr="000A697C" w:rsidR="00CE550D">
        <w:t>SOC</w:t>
      </w:r>
      <w:r w:rsidRPr="000A697C">
        <w:t xml:space="preserve"> </w:t>
      </w:r>
      <w:r w:rsidRPr="000A697C" w:rsidR="005872F9">
        <w:t>00-0000</w:t>
      </w:r>
      <w:r w:rsidRPr="000A697C">
        <w:t>) is $</w:t>
      </w:r>
      <w:r w:rsidRPr="000A697C" w:rsidR="00B07B72">
        <w:t>30.13</w:t>
      </w:r>
      <w:r w:rsidRPr="000A697C">
        <w:t>.</w:t>
      </w:r>
      <w:r w:rsidRPr="000A697C" w:rsidR="005872F9">
        <w:rPr>
          <w:rStyle w:val="normaltextrun"/>
        </w:rPr>
        <w:t xml:space="preserve">  </w:t>
      </w:r>
      <w:r w:rsidRPr="000A697C">
        <w:t>Including the wage rate multiplier of 1.61,</w:t>
      </w:r>
      <w:r>
        <w:rPr>
          <w:rStyle w:val="FootnoteReference"/>
        </w:rPr>
        <w:footnoteReference w:id="4"/>
      </w:r>
      <w:r w:rsidRPr="000A697C">
        <w:t xml:space="preserve"> the fully loaded wage rate is $</w:t>
      </w:r>
      <w:r w:rsidRPr="000A697C" w:rsidR="00CE550D">
        <w:t>48.51</w:t>
      </w:r>
      <w:r w:rsidRPr="000A697C">
        <w:t xml:space="preserve">.  Therefore, the burden hour cost </w:t>
      </w:r>
      <w:r w:rsidRPr="000A697C" w:rsidR="00CE550D">
        <w:t xml:space="preserve">is estimated to be </w:t>
      </w:r>
      <w:r w:rsidRPr="000A697C">
        <w:t>$</w:t>
      </w:r>
      <w:r w:rsidRPr="000A697C" w:rsidR="00D97F00">
        <w:t>72,328</w:t>
      </w:r>
      <w:r w:rsidRPr="000A697C">
        <w:t xml:space="preserve"> annually</w:t>
      </w:r>
      <w:r w:rsidRPr="000A697C" w:rsidR="00CE550D">
        <w:t xml:space="preserve"> ($48.51 x 1,491 hours = $72,328)</w:t>
      </w:r>
      <w:r w:rsidRPr="000A697C">
        <w:t>.</w:t>
      </w:r>
    </w:p>
    <w:bookmarkEnd w:id="9"/>
    <w:p w:rsidR="00654BAB" w:rsidRPr="000A697C" w:rsidP="00C34635" w14:paraId="4E802984" w14:textId="77777777">
      <w:pPr>
        <w:tabs>
          <w:tab w:val="left" w:pos="-720"/>
        </w:tabs>
        <w:suppressAutoHyphens/>
        <w:spacing w:line="276" w:lineRule="auto"/>
        <w:contextualSpacing/>
      </w:pPr>
    </w:p>
    <w:p w:rsidR="00D97F00" w:rsidRPr="000A697C" w:rsidP="00C34635" w14:paraId="25C59C13" w14:textId="7A7ED5FC">
      <w:pPr>
        <w:tabs>
          <w:tab w:val="left" w:pos="-720"/>
        </w:tabs>
        <w:suppressAutoHyphens/>
        <w:spacing w:line="276" w:lineRule="auto"/>
        <w:contextualSpacing/>
      </w:pPr>
      <w:r w:rsidRPr="000A697C">
        <w:t>$14,132 + $72,328 = $86,4</w:t>
      </w:r>
      <w:r w:rsidRPr="000A697C" w:rsidR="00613D10">
        <w:t>59</w:t>
      </w:r>
      <w:r w:rsidRPr="000A697C">
        <w:t xml:space="preserve"> (</w:t>
      </w:r>
      <w:r w:rsidRPr="000A697C" w:rsidR="00613D10">
        <w:t>-</w:t>
      </w:r>
      <w:r w:rsidRPr="000A697C">
        <w:t>1 due to rounding)</w:t>
      </w:r>
    </w:p>
    <w:p w:rsidR="00613D10" w:rsidRPr="000A697C" w:rsidP="00C34635" w14:paraId="290146B1" w14:textId="77777777">
      <w:pPr>
        <w:tabs>
          <w:tab w:val="left" w:pos="-720"/>
        </w:tabs>
        <w:suppressAutoHyphens/>
        <w:spacing w:line="276" w:lineRule="auto"/>
        <w:contextualSpacing/>
      </w:pPr>
    </w:p>
    <w:p w:rsidR="00842E74" w:rsidRPr="000A697C" w:rsidP="00C34635" w14:paraId="3101BA36" w14:textId="77777777">
      <w:pPr>
        <w:spacing w:line="276" w:lineRule="auto"/>
        <w:contextualSpacing/>
        <w:rPr>
          <w:b/>
          <w:bCs/>
          <w:color w:val="000000" w:themeColor="text1"/>
        </w:rPr>
      </w:pPr>
      <w:r w:rsidRPr="000A697C">
        <w:rPr>
          <w:b/>
          <w:color w:val="000000" w:themeColor="text1"/>
        </w:rPr>
        <w:t>13.</w:t>
      </w:r>
      <w:r w:rsidRPr="000A697C">
        <w:rPr>
          <w:color w:val="000000" w:themeColor="text1"/>
        </w:rPr>
        <w:t xml:space="preserve">  </w:t>
      </w:r>
      <w:r w:rsidRPr="000A697C">
        <w:rPr>
          <w:b/>
          <w:bCs/>
          <w:color w:val="000000" w:themeColor="text1"/>
        </w:rPr>
        <w:t>Provide an estimate of the total annual cost burden to respondents or record</w:t>
      </w:r>
      <w:r w:rsidRPr="000A697C" w:rsidR="00467B69">
        <w:rPr>
          <w:b/>
          <w:bCs/>
          <w:color w:val="000000" w:themeColor="text1"/>
        </w:rPr>
        <w:t xml:space="preserve"> </w:t>
      </w:r>
      <w:r w:rsidRPr="000A697C">
        <w:rPr>
          <w:b/>
          <w:bCs/>
          <w:color w:val="000000" w:themeColor="text1"/>
        </w:rPr>
        <w:t xml:space="preserve">keepers resulting from the collection of information.  The cost of purchasing or contracting out information collection services should be a part of this cost burden estimate.  </w:t>
      </w:r>
      <w:r w:rsidRPr="000A697C" w:rsidR="00E202DC">
        <w:rPr>
          <w:b/>
          <w:bCs/>
          <w:color w:val="000000" w:themeColor="text1"/>
        </w:rPr>
        <w:t>(</w:t>
      </w:r>
      <w:r w:rsidRPr="000A697C">
        <w:rPr>
          <w:b/>
          <w:bCs/>
          <w:color w:val="000000" w:themeColor="text1"/>
        </w:rPr>
        <w:t>Do not include the cost of any hour burden shown in Items 12 and 14.</w:t>
      </w:r>
      <w:r w:rsidRPr="000A697C" w:rsidR="00E202DC">
        <w:rPr>
          <w:b/>
          <w:bCs/>
          <w:color w:val="000000" w:themeColor="text1"/>
        </w:rPr>
        <w:t>)</w:t>
      </w:r>
    </w:p>
    <w:p w:rsidR="00361118" w:rsidRPr="000A697C" w:rsidP="00C34635" w14:paraId="2A516F27" w14:textId="77777777">
      <w:pPr>
        <w:spacing w:line="276" w:lineRule="auto"/>
        <w:contextualSpacing/>
        <w:rPr>
          <w:b/>
          <w:bCs/>
          <w:color w:val="000000" w:themeColor="text1"/>
        </w:rPr>
      </w:pPr>
    </w:p>
    <w:p w:rsidR="00DD0BCE" w:rsidRPr="000A697C" w:rsidP="00C34635" w14:paraId="1121F43A" w14:textId="77777777">
      <w:pPr>
        <w:spacing w:line="276" w:lineRule="auto"/>
        <w:contextualSpacing/>
        <w:rPr>
          <w:b/>
          <w:bCs/>
          <w:color w:val="000000" w:themeColor="text1"/>
        </w:rPr>
      </w:pPr>
      <w:r w:rsidRPr="000A697C">
        <w:rPr>
          <w:b/>
          <w:bCs/>
          <w:color w:val="000000" w:themeColor="text1"/>
        </w:rPr>
        <w:t>The cost estimates should be split into two components:</w:t>
      </w:r>
    </w:p>
    <w:p w:rsidR="009D59D6" w:rsidRPr="000A697C" w:rsidP="00C34635" w14:paraId="5EA30C5E" w14:textId="77777777">
      <w:pPr>
        <w:spacing w:line="276" w:lineRule="auto"/>
        <w:contextualSpacing/>
        <w:rPr>
          <w:b/>
          <w:bCs/>
          <w:color w:val="000000" w:themeColor="text1"/>
        </w:rPr>
      </w:pPr>
    </w:p>
    <w:p w:rsidR="00DD0BCE" w:rsidRPr="000A697C" w:rsidP="00C34635" w14:paraId="301E4DF0" w14:textId="77777777">
      <w:pPr>
        <w:spacing w:line="276" w:lineRule="auto"/>
        <w:contextualSpacing/>
        <w:rPr>
          <w:b/>
          <w:bCs/>
          <w:color w:val="000000" w:themeColor="text1"/>
        </w:rPr>
      </w:pPr>
      <w:r w:rsidRPr="000A697C">
        <w:rPr>
          <w:b/>
          <w:bCs/>
          <w:color w:val="000000" w:themeColor="text1"/>
        </w:rPr>
        <w:tab/>
      </w:r>
      <w:r w:rsidRPr="000A697C" w:rsidR="00587828">
        <w:rPr>
          <w:b/>
          <w:bCs/>
          <w:color w:val="000000" w:themeColor="text1"/>
        </w:rPr>
        <w:t xml:space="preserve">a. </w:t>
      </w:r>
      <w:r w:rsidRPr="000A697C" w:rsidR="00842E74">
        <w:rPr>
          <w:b/>
          <w:bCs/>
          <w:color w:val="000000" w:themeColor="text1"/>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DD0BCE" w:rsidRPr="000A697C" w:rsidP="00C34635" w14:paraId="15A0B739" w14:textId="77777777">
      <w:pPr>
        <w:spacing w:line="276" w:lineRule="auto"/>
        <w:contextualSpacing/>
        <w:rPr>
          <w:b/>
          <w:bCs/>
          <w:color w:val="000000" w:themeColor="text1"/>
        </w:rPr>
      </w:pPr>
    </w:p>
    <w:p w:rsidR="00F167D9" w:rsidRPr="000A697C" w:rsidP="00C34635" w14:paraId="51A1C0AD" w14:textId="77777777">
      <w:pPr>
        <w:spacing w:line="276" w:lineRule="auto"/>
        <w:contextualSpacing/>
        <w:rPr>
          <w:b/>
          <w:bCs/>
          <w:color w:val="000000" w:themeColor="text1"/>
        </w:rPr>
      </w:pPr>
      <w:r w:rsidRPr="000A697C">
        <w:rPr>
          <w:b/>
          <w:bCs/>
          <w:color w:val="000000" w:themeColor="text1"/>
        </w:rPr>
        <w:tab/>
      </w:r>
      <w:r w:rsidRPr="000A697C" w:rsidR="00587828">
        <w:rPr>
          <w:b/>
          <w:bCs/>
          <w:color w:val="000000" w:themeColor="text1"/>
        </w:rPr>
        <w:t xml:space="preserve">b. </w:t>
      </w:r>
      <w:r w:rsidRPr="000A697C" w:rsidR="00842E74">
        <w:rPr>
          <w:b/>
          <w:bCs/>
          <w:color w:val="000000" w:themeColor="text1"/>
        </w:rPr>
        <w:t xml:space="preserve">Capital and Start-up-Cost should include, among other items, preparations for collecting information such as purchasing computers and software, monitoring sampling, drilling and testing equipment, and record storage facilities.  </w:t>
      </w:r>
    </w:p>
    <w:p w:rsidR="00467B69" w:rsidRPr="000A697C" w:rsidP="00C34635" w14:paraId="456984D0" w14:textId="77777777">
      <w:pPr>
        <w:spacing w:line="276" w:lineRule="auto"/>
        <w:contextualSpacing/>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6"/>
        <w:gridCol w:w="1835"/>
        <w:gridCol w:w="1971"/>
        <w:gridCol w:w="1835"/>
        <w:gridCol w:w="1831"/>
        <w:gridCol w:w="12"/>
      </w:tblGrid>
      <w:tr w14:paraId="0A3307F6" w14:textId="77777777" w:rsidTr="000A69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6"/>
            <w:shd w:val="clear" w:color="auto" w:fill="8EAADB" w:themeFill="accent1" w:themeFillTint="99"/>
          </w:tcPr>
          <w:p w:rsidR="00CE550D" w:rsidRPr="000A697C" w:rsidP="000A697C" w14:paraId="4FABBB08" w14:textId="77777777">
            <w:pPr>
              <w:keepNext/>
              <w:contextualSpacing/>
              <w:jc w:val="center"/>
              <w:rPr>
                <w:rFonts w:eastAsia="Calibri"/>
                <w:b/>
                <w:sz w:val="20"/>
                <w:szCs w:val="20"/>
              </w:rPr>
            </w:pPr>
            <w:bookmarkStart w:id="10" w:name="_Hlk30754312"/>
            <w:r w:rsidRPr="000A697C">
              <w:rPr>
                <w:rFonts w:eastAsia="Calibri"/>
                <w:b/>
                <w:sz w:val="20"/>
                <w:szCs w:val="20"/>
              </w:rPr>
              <w:t>Annual Cost Burden to Respondents or Recordkeepers</w:t>
            </w:r>
          </w:p>
        </w:tc>
      </w:tr>
      <w:tr w14:paraId="73CA2726" w14:textId="77777777" w:rsidTr="000A697C">
        <w:tblPrEx>
          <w:tblW w:w="0" w:type="auto"/>
          <w:tblLook w:val="04A0"/>
        </w:tblPrEx>
        <w:trPr>
          <w:gridAfter w:val="1"/>
          <w:wAfter w:w="12" w:type="dxa"/>
        </w:trPr>
        <w:tc>
          <w:tcPr>
            <w:tcW w:w="1870" w:type="dxa"/>
            <w:shd w:val="clear" w:color="auto" w:fill="8EAADB" w:themeFill="accent1" w:themeFillTint="99"/>
            <w:vAlign w:val="center"/>
          </w:tcPr>
          <w:p w:rsidR="00CE550D" w:rsidRPr="000A697C" w:rsidP="000A697C" w14:paraId="62C52AFA" w14:textId="77777777">
            <w:pPr>
              <w:keepNext/>
              <w:contextualSpacing/>
              <w:rPr>
                <w:rFonts w:eastAsia="Calibri"/>
                <w:sz w:val="20"/>
                <w:szCs w:val="20"/>
              </w:rPr>
            </w:pPr>
            <w:r w:rsidRPr="000A697C">
              <w:rPr>
                <w:rFonts w:eastAsia="Calibri"/>
                <w:sz w:val="20"/>
                <w:szCs w:val="20"/>
              </w:rPr>
              <w:t>Data Collection Activity/Instrument</w:t>
            </w:r>
          </w:p>
        </w:tc>
        <w:tc>
          <w:tcPr>
            <w:tcW w:w="1870" w:type="dxa"/>
            <w:shd w:val="clear" w:color="auto" w:fill="8EAADB" w:themeFill="accent1" w:themeFillTint="99"/>
            <w:vAlign w:val="center"/>
          </w:tcPr>
          <w:p w:rsidR="00CE550D" w:rsidRPr="000A697C" w:rsidP="000A697C" w14:paraId="410EA504" w14:textId="77777777">
            <w:pPr>
              <w:keepNext/>
              <w:contextualSpacing/>
              <w:rPr>
                <w:rFonts w:eastAsia="Calibri"/>
                <w:sz w:val="20"/>
                <w:szCs w:val="20"/>
              </w:rPr>
            </w:pPr>
            <w:r w:rsidRPr="000A697C">
              <w:rPr>
                <w:rFonts w:eastAsia="Calibri"/>
                <w:sz w:val="20"/>
                <w:szCs w:val="20"/>
              </w:rPr>
              <w:t>*Annual Capital Start-Up Cost (investments in overhead, equipment, and other one-time expenditures)</w:t>
            </w:r>
          </w:p>
        </w:tc>
        <w:tc>
          <w:tcPr>
            <w:tcW w:w="1870" w:type="dxa"/>
            <w:shd w:val="clear" w:color="auto" w:fill="8EAADB" w:themeFill="accent1" w:themeFillTint="99"/>
            <w:vAlign w:val="center"/>
          </w:tcPr>
          <w:p w:rsidR="00CE550D" w:rsidRPr="000A697C" w:rsidP="000A697C" w14:paraId="69DD6F61" w14:textId="77777777">
            <w:pPr>
              <w:keepNext/>
              <w:contextualSpacing/>
              <w:rPr>
                <w:rFonts w:eastAsia="Calibri"/>
                <w:sz w:val="20"/>
                <w:szCs w:val="20"/>
              </w:rPr>
            </w:pPr>
            <w:r w:rsidRPr="000A697C">
              <w:rPr>
                <w:rFonts w:eastAsia="Calibri"/>
                <w:sz w:val="20"/>
                <w:szCs w:val="20"/>
              </w:rPr>
              <w:t>*Annual Operations and Maintenance Costs (such as recordkeeping, technical/professional services, etc.)</w:t>
            </w:r>
          </w:p>
        </w:tc>
        <w:tc>
          <w:tcPr>
            <w:tcW w:w="1870" w:type="dxa"/>
            <w:shd w:val="clear" w:color="auto" w:fill="8EAADB" w:themeFill="accent1" w:themeFillTint="99"/>
            <w:vAlign w:val="center"/>
          </w:tcPr>
          <w:p w:rsidR="00CE550D" w:rsidRPr="000A697C" w:rsidP="000A697C" w14:paraId="6F06CFC6" w14:textId="77777777">
            <w:pPr>
              <w:keepNext/>
              <w:contextualSpacing/>
              <w:rPr>
                <w:rFonts w:eastAsia="Calibri"/>
                <w:sz w:val="20"/>
                <w:szCs w:val="20"/>
              </w:rPr>
            </w:pPr>
            <w:r w:rsidRPr="000A697C">
              <w:rPr>
                <w:rFonts w:eastAsia="Calibri"/>
                <w:sz w:val="20"/>
                <w:szCs w:val="20"/>
              </w:rPr>
              <w:t>Annual Non-Labor Cost (expenditures on training, travel, and other resources)</w:t>
            </w:r>
          </w:p>
        </w:tc>
        <w:tc>
          <w:tcPr>
            <w:tcW w:w="1870" w:type="dxa"/>
            <w:shd w:val="clear" w:color="auto" w:fill="8EAADB" w:themeFill="accent1" w:themeFillTint="99"/>
            <w:vAlign w:val="center"/>
          </w:tcPr>
          <w:p w:rsidR="00CE550D" w:rsidRPr="000A697C" w:rsidP="000A697C" w14:paraId="735DE293" w14:textId="77777777">
            <w:pPr>
              <w:keepNext/>
              <w:contextualSpacing/>
              <w:rPr>
                <w:rFonts w:eastAsia="Calibri"/>
                <w:sz w:val="20"/>
                <w:szCs w:val="20"/>
              </w:rPr>
            </w:pPr>
            <w:r w:rsidRPr="000A697C">
              <w:rPr>
                <w:rFonts w:eastAsia="Calibri"/>
                <w:sz w:val="20"/>
                <w:szCs w:val="20"/>
              </w:rPr>
              <w:t>Total Annual Cost to Respondents</w:t>
            </w:r>
          </w:p>
        </w:tc>
      </w:tr>
      <w:tr w14:paraId="5066C37E" w14:textId="77777777" w:rsidTr="00C20D75">
        <w:tblPrEx>
          <w:tblW w:w="0" w:type="auto"/>
          <w:tblLook w:val="04A0"/>
        </w:tblPrEx>
        <w:trPr>
          <w:gridAfter w:val="1"/>
          <w:wAfter w:w="12" w:type="dxa"/>
        </w:trPr>
        <w:tc>
          <w:tcPr>
            <w:tcW w:w="1870" w:type="dxa"/>
            <w:shd w:val="clear" w:color="auto" w:fill="auto"/>
          </w:tcPr>
          <w:p w:rsidR="00CE550D" w:rsidRPr="000A697C" w:rsidP="000A697C" w14:paraId="2D4CBF7D" w14:textId="77777777">
            <w:pPr>
              <w:keepNext/>
              <w:contextualSpacing/>
              <w:rPr>
                <w:rFonts w:eastAsia="Calibri"/>
                <w:sz w:val="20"/>
                <w:szCs w:val="20"/>
              </w:rPr>
            </w:pPr>
            <w:r w:rsidRPr="000A697C">
              <w:rPr>
                <w:rFonts w:eastAsia="Calibri"/>
                <w:sz w:val="20"/>
                <w:szCs w:val="20"/>
              </w:rPr>
              <w:t>Focus Group Travel</w:t>
            </w:r>
          </w:p>
          <w:p w:rsidR="00CE550D" w:rsidRPr="000A697C" w:rsidP="000A697C" w14:paraId="745ADA6D" w14:textId="77777777">
            <w:pPr>
              <w:keepNext/>
              <w:contextualSpacing/>
              <w:rPr>
                <w:rFonts w:eastAsia="Calibri"/>
                <w:sz w:val="20"/>
                <w:szCs w:val="20"/>
              </w:rPr>
            </w:pPr>
            <w:r w:rsidRPr="000A697C">
              <w:rPr>
                <w:rFonts w:eastAsia="Calibri"/>
                <w:sz w:val="20"/>
                <w:szCs w:val="20"/>
              </w:rPr>
              <w:t>FM-104-FY-22-102</w:t>
            </w:r>
          </w:p>
        </w:tc>
        <w:tc>
          <w:tcPr>
            <w:tcW w:w="1870" w:type="dxa"/>
            <w:shd w:val="clear" w:color="auto" w:fill="auto"/>
            <w:vAlign w:val="center"/>
          </w:tcPr>
          <w:p w:rsidR="00CE550D" w:rsidRPr="000A697C" w:rsidP="000A697C" w14:paraId="5C7A7464"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60D016A3"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2A016427" w14:textId="77777777">
            <w:pPr>
              <w:keepNext/>
              <w:contextualSpacing/>
              <w:jc w:val="right"/>
              <w:rPr>
                <w:rFonts w:eastAsia="Calibri"/>
                <w:sz w:val="20"/>
                <w:szCs w:val="20"/>
              </w:rPr>
            </w:pPr>
            <w:r w:rsidRPr="000A697C">
              <w:rPr>
                <w:rFonts w:eastAsia="Calibri"/>
                <w:sz w:val="20"/>
                <w:szCs w:val="20"/>
              </w:rPr>
              <w:t>$13,500</w:t>
            </w:r>
          </w:p>
        </w:tc>
        <w:tc>
          <w:tcPr>
            <w:tcW w:w="1870" w:type="dxa"/>
            <w:shd w:val="clear" w:color="auto" w:fill="auto"/>
            <w:vAlign w:val="center"/>
          </w:tcPr>
          <w:p w:rsidR="00CE550D" w:rsidRPr="000A697C" w:rsidP="000A697C" w14:paraId="126BE617" w14:textId="77777777">
            <w:pPr>
              <w:keepNext/>
              <w:contextualSpacing/>
              <w:jc w:val="right"/>
              <w:rPr>
                <w:rFonts w:eastAsia="Calibri"/>
                <w:sz w:val="20"/>
                <w:szCs w:val="20"/>
              </w:rPr>
            </w:pPr>
            <w:r w:rsidRPr="000A697C">
              <w:rPr>
                <w:rFonts w:eastAsia="Calibri"/>
                <w:sz w:val="20"/>
                <w:szCs w:val="20"/>
              </w:rPr>
              <w:t>$13,500</w:t>
            </w:r>
          </w:p>
        </w:tc>
      </w:tr>
      <w:tr w14:paraId="1D918855" w14:textId="77777777" w:rsidTr="00C20D75">
        <w:tblPrEx>
          <w:tblW w:w="0" w:type="auto"/>
          <w:tblLook w:val="04A0"/>
        </w:tblPrEx>
        <w:trPr>
          <w:gridAfter w:val="1"/>
          <w:wAfter w:w="12" w:type="dxa"/>
        </w:trPr>
        <w:tc>
          <w:tcPr>
            <w:tcW w:w="1870" w:type="dxa"/>
            <w:shd w:val="clear" w:color="auto" w:fill="auto"/>
          </w:tcPr>
          <w:p w:rsidR="00CE550D" w:rsidRPr="000A697C" w:rsidP="000A697C" w14:paraId="11668906" w14:textId="77777777">
            <w:pPr>
              <w:keepNext/>
              <w:contextualSpacing/>
              <w:rPr>
                <w:rFonts w:eastAsia="Calibri"/>
                <w:b/>
                <w:sz w:val="20"/>
                <w:szCs w:val="20"/>
              </w:rPr>
            </w:pPr>
            <w:r w:rsidRPr="000A697C">
              <w:rPr>
                <w:rFonts w:eastAsia="Calibri"/>
                <w:b/>
                <w:sz w:val="20"/>
                <w:szCs w:val="20"/>
              </w:rPr>
              <w:t>Total</w:t>
            </w:r>
          </w:p>
        </w:tc>
        <w:tc>
          <w:tcPr>
            <w:tcW w:w="1870" w:type="dxa"/>
            <w:shd w:val="clear" w:color="auto" w:fill="auto"/>
            <w:vAlign w:val="center"/>
          </w:tcPr>
          <w:p w:rsidR="00CE550D" w:rsidRPr="000A697C" w:rsidP="000A697C" w14:paraId="25A37343"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0A89A124"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5CF7A6B6" w14:textId="77777777">
            <w:pPr>
              <w:keepNext/>
              <w:contextualSpacing/>
              <w:jc w:val="right"/>
              <w:rPr>
                <w:rFonts w:eastAsia="Calibri"/>
                <w:sz w:val="20"/>
                <w:szCs w:val="20"/>
              </w:rPr>
            </w:pPr>
            <w:r w:rsidRPr="000A697C">
              <w:rPr>
                <w:rFonts w:eastAsia="Calibri"/>
                <w:sz w:val="20"/>
                <w:szCs w:val="20"/>
              </w:rPr>
              <w:t>$13,500</w:t>
            </w:r>
          </w:p>
        </w:tc>
        <w:tc>
          <w:tcPr>
            <w:tcW w:w="1870" w:type="dxa"/>
            <w:shd w:val="clear" w:color="auto" w:fill="auto"/>
            <w:vAlign w:val="center"/>
          </w:tcPr>
          <w:p w:rsidR="00CE550D" w:rsidRPr="000A697C" w:rsidP="000A697C" w14:paraId="23C37CA5" w14:textId="77777777">
            <w:pPr>
              <w:keepNext/>
              <w:contextualSpacing/>
              <w:jc w:val="right"/>
              <w:rPr>
                <w:rFonts w:eastAsia="Calibri"/>
                <w:sz w:val="20"/>
                <w:szCs w:val="20"/>
              </w:rPr>
            </w:pPr>
            <w:r w:rsidRPr="000A697C">
              <w:rPr>
                <w:rFonts w:eastAsia="Calibri"/>
                <w:sz w:val="20"/>
                <w:szCs w:val="20"/>
              </w:rPr>
              <w:t>$13,500</w:t>
            </w:r>
          </w:p>
        </w:tc>
      </w:tr>
      <w:bookmarkEnd w:id="10"/>
    </w:tbl>
    <w:p w:rsidR="00CE550D" w:rsidRPr="00EC190D" w:rsidP="00C34635" w14:paraId="7327D5CE" w14:textId="77777777">
      <w:pPr>
        <w:contextualSpacing/>
        <w:rPr>
          <w:color w:val="000000" w:themeColor="text1"/>
        </w:rPr>
      </w:pPr>
    </w:p>
    <w:p w:rsidR="0081120C" w:rsidRPr="00EC190D" w:rsidP="00C34635" w14:paraId="5A423120" w14:textId="323910A7">
      <w:pPr>
        <w:spacing w:line="276" w:lineRule="auto"/>
        <w:contextualSpacing/>
        <w:rPr>
          <w:rStyle w:val="Hyperlink"/>
          <w:color w:val="000000" w:themeColor="text1"/>
        </w:rPr>
      </w:pPr>
      <w:r w:rsidRPr="00EC190D">
        <w:rPr>
          <w:color w:val="000000" w:themeColor="text1"/>
        </w:rPr>
        <w:t>Annual Non-Labor Cost for travel to Focus Groups is based on US General Services Administration (GSA) mileage rate for Privately Owned Vehicles (POV)</w:t>
      </w:r>
      <w:r>
        <w:rPr>
          <w:rStyle w:val="FootnoteReference"/>
          <w:color w:val="000000" w:themeColor="text1"/>
        </w:rPr>
        <w:footnoteReference w:id="5"/>
      </w:r>
      <w:r w:rsidRPr="00EC190D">
        <w:rPr>
          <w:color w:val="000000" w:themeColor="text1"/>
        </w:rPr>
        <w:t xml:space="preserve"> effective July 1, </w:t>
      </w:r>
      <w:r w:rsidRPr="00EC190D" w:rsidR="00C039AD">
        <w:rPr>
          <w:color w:val="000000" w:themeColor="text1"/>
        </w:rPr>
        <w:t>2022,</w:t>
      </w:r>
      <w:r w:rsidRPr="00EC190D">
        <w:rPr>
          <w:color w:val="000000" w:themeColor="text1"/>
        </w:rPr>
        <w:t xml:space="preserve"> at 0.625 per mile. Maximum travel to the Focus Group ≤ 30 miles one way or 60 miles round trip.  Using this information, 60 miles roundtrip</w:t>
      </w:r>
      <w:r w:rsidRPr="00EC190D" w:rsidR="00CE550D">
        <w:rPr>
          <w:color w:val="000000" w:themeColor="text1"/>
        </w:rPr>
        <w:t xml:space="preserve"> </w:t>
      </w:r>
      <w:r w:rsidRPr="00EC190D">
        <w:rPr>
          <w:color w:val="000000" w:themeColor="text1"/>
        </w:rPr>
        <w:t>×</w:t>
      </w:r>
      <w:r w:rsidRPr="00EC190D" w:rsidR="00CE550D">
        <w:rPr>
          <w:color w:val="000000" w:themeColor="text1"/>
        </w:rPr>
        <w:t xml:space="preserve"> </w:t>
      </w:r>
      <w:r w:rsidRPr="00EC190D">
        <w:rPr>
          <w:color w:val="000000" w:themeColor="text1"/>
        </w:rPr>
        <w:t xml:space="preserve">360 respondents = 21,600 miles </w:t>
      </w:r>
      <w:r w:rsidRPr="00EC190D" w:rsidR="00CE550D">
        <w:rPr>
          <w:color w:val="000000" w:themeColor="text1"/>
        </w:rPr>
        <w:t xml:space="preserve">at </w:t>
      </w:r>
      <w:r w:rsidRPr="00EC190D">
        <w:rPr>
          <w:color w:val="000000" w:themeColor="text1"/>
        </w:rPr>
        <w:t xml:space="preserve">$0.625 per mile = $13,500 annual cost for mileage. </w:t>
      </w:r>
    </w:p>
    <w:p w:rsidR="00265025" w:rsidRPr="00EC190D" w:rsidP="00C34635" w14:paraId="38638B0B" w14:textId="77777777">
      <w:pPr>
        <w:spacing w:line="276" w:lineRule="auto"/>
        <w:contextualSpacing/>
        <w:rPr>
          <w:b/>
          <w:bCs/>
          <w:color w:val="000000" w:themeColor="text1"/>
        </w:rPr>
      </w:pPr>
    </w:p>
    <w:p w:rsidR="00C25976" w:rsidRPr="000A697C" w:rsidP="00C34635" w14:paraId="5DD9E67B" w14:textId="5AE31AB1">
      <w:pPr>
        <w:spacing w:line="276" w:lineRule="auto"/>
        <w:contextualSpacing/>
        <w:rPr>
          <w:b/>
          <w:bCs/>
        </w:rPr>
      </w:pPr>
      <w:r w:rsidRPr="000A697C">
        <w:rPr>
          <w:b/>
          <w:bCs/>
        </w:rPr>
        <w:t xml:space="preserve">14. Provide estimates of annualized cost to the </w:t>
      </w:r>
      <w:r w:rsidR="00EC190D">
        <w:rPr>
          <w:b/>
          <w:bCs/>
        </w:rPr>
        <w:t>F</w:t>
      </w:r>
      <w:r w:rsidRPr="000A697C">
        <w:rPr>
          <w:b/>
          <w:bCs/>
        </w:rPr>
        <w:t xml:space="preserve">ederal </w:t>
      </w:r>
      <w:r w:rsidR="00EC190D">
        <w:rPr>
          <w:b/>
          <w:bCs/>
        </w:rPr>
        <w:t>G</w:t>
      </w:r>
      <w:r w:rsidRPr="000A697C">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A697C" w:rsidRPr="000A697C" w:rsidP="00C34635" w14:paraId="0B6BF373" w14:textId="25558413">
      <w:pPr>
        <w:spacing w:line="276" w:lineRule="auto"/>
        <w:contextualSpacing/>
      </w:pPr>
      <w:r w:rsidRPr="000A697C">
        <w:br w:type="page"/>
      </w:r>
    </w:p>
    <w:p w:rsidR="004A5893" w:rsidRPr="000A697C" w:rsidP="000A697C" w14:paraId="5CB89A74" w14:textId="77777777">
      <w:pPr>
        <w:spacing w:line="276"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1975"/>
      </w:tblGrid>
      <w:tr w14:paraId="5D0693E1" w14:textId="77777777" w:rsidTr="000A69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2"/>
            <w:shd w:val="clear" w:color="auto" w:fill="8EAADB" w:themeFill="accent1" w:themeFillTint="99"/>
          </w:tcPr>
          <w:p w:rsidR="00CE550D" w:rsidRPr="000A697C" w:rsidP="000A697C" w14:paraId="4767326E" w14:textId="77777777">
            <w:pPr>
              <w:contextualSpacing/>
              <w:jc w:val="center"/>
              <w:rPr>
                <w:rFonts w:eastAsia="Calibri"/>
                <w:b/>
                <w:sz w:val="20"/>
                <w:szCs w:val="20"/>
              </w:rPr>
            </w:pPr>
            <w:bookmarkStart w:id="11" w:name="_Hlk51849777"/>
            <w:r w:rsidRPr="000A697C">
              <w:rPr>
                <w:rFonts w:eastAsia="Calibri"/>
                <w:b/>
                <w:sz w:val="20"/>
                <w:szCs w:val="20"/>
              </w:rPr>
              <w:t>Annual Cost to the Federal Government</w:t>
            </w:r>
          </w:p>
        </w:tc>
      </w:tr>
      <w:tr w14:paraId="2100D8F3" w14:textId="77777777" w:rsidTr="000A697C">
        <w:tblPrEx>
          <w:tblW w:w="0" w:type="auto"/>
          <w:tblLook w:val="04A0"/>
        </w:tblPrEx>
        <w:tc>
          <w:tcPr>
            <w:tcW w:w="7375" w:type="dxa"/>
            <w:shd w:val="clear" w:color="auto" w:fill="8EAADB" w:themeFill="accent1" w:themeFillTint="99"/>
          </w:tcPr>
          <w:p w:rsidR="00CE550D" w:rsidRPr="000A697C" w:rsidP="000A697C" w14:paraId="60640A7C" w14:textId="77777777">
            <w:pPr>
              <w:contextualSpacing/>
              <w:jc w:val="center"/>
              <w:rPr>
                <w:rFonts w:eastAsia="Calibri"/>
                <w:sz w:val="18"/>
                <w:szCs w:val="18"/>
              </w:rPr>
            </w:pPr>
            <w:r w:rsidRPr="000A697C">
              <w:rPr>
                <w:rFonts w:eastAsia="Calibri"/>
                <w:sz w:val="18"/>
                <w:szCs w:val="18"/>
              </w:rPr>
              <w:t>Item</w:t>
            </w:r>
          </w:p>
        </w:tc>
        <w:tc>
          <w:tcPr>
            <w:tcW w:w="1975" w:type="dxa"/>
            <w:shd w:val="clear" w:color="auto" w:fill="8EAADB" w:themeFill="accent1" w:themeFillTint="99"/>
          </w:tcPr>
          <w:p w:rsidR="00CE550D" w:rsidRPr="000A697C" w:rsidP="000A697C" w14:paraId="78F31887" w14:textId="77777777">
            <w:pPr>
              <w:contextualSpacing/>
              <w:jc w:val="center"/>
              <w:rPr>
                <w:rFonts w:eastAsia="Calibri"/>
                <w:sz w:val="18"/>
                <w:szCs w:val="18"/>
              </w:rPr>
            </w:pPr>
            <w:r w:rsidRPr="000A697C">
              <w:rPr>
                <w:rFonts w:eastAsia="Calibri"/>
                <w:sz w:val="18"/>
                <w:szCs w:val="18"/>
              </w:rPr>
              <w:t>Cost ($)</w:t>
            </w:r>
          </w:p>
        </w:tc>
      </w:tr>
      <w:tr w14:paraId="2D7E8E0A" w14:textId="77777777" w:rsidTr="00C20D75">
        <w:tblPrEx>
          <w:tblW w:w="0" w:type="auto"/>
          <w:tblLook w:val="04A0"/>
        </w:tblPrEx>
        <w:tc>
          <w:tcPr>
            <w:tcW w:w="7375" w:type="dxa"/>
            <w:shd w:val="clear" w:color="auto" w:fill="auto"/>
          </w:tcPr>
          <w:p w:rsidR="00CE550D" w:rsidRPr="000A697C" w:rsidP="000A697C" w14:paraId="388F96F4" w14:textId="77777777">
            <w:pPr>
              <w:contextualSpacing/>
              <w:rPr>
                <w:rFonts w:eastAsia="Calibri"/>
                <w:sz w:val="18"/>
                <w:szCs w:val="18"/>
              </w:rPr>
            </w:pPr>
            <w:r w:rsidRPr="000A697C">
              <w:rPr>
                <w:rFonts w:eastAsia="Calibri"/>
                <w:sz w:val="18"/>
                <w:szCs w:val="18"/>
              </w:rPr>
              <w:t>Contract Costs:</w:t>
            </w:r>
          </w:p>
          <w:p w:rsidR="00CE550D" w:rsidRPr="000A697C" w:rsidP="000A697C" w14:paraId="779EDCB6" w14:textId="4128FDDD">
            <w:pPr>
              <w:contextualSpacing/>
              <w:rPr>
                <w:rFonts w:eastAsia="Calibri"/>
                <w:sz w:val="18"/>
                <w:szCs w:val="18"/>
              </w:rPr>
            </w:pPr>
            <w:r w:rsidRPr="000A697C">
              <w:rPr>
                <w:rFonts w:eastAsia="Calibri"/>
                <w:sz w:val="18"/>
                <w:szCs w:val="18"/>
              </w:rPr>
              <w:t>Contractor to provide a hotel conference room and incentive for 3 locations at $27,517.95 per location and focus group rental facilities for 3 locations at $22,240 per location</w:t>
            </w:r>
            <w:r w:rsidRPr="000A697C" w:rsidR="00813A49">
              <w:rPr>
                <w:rFonts w:eastAsia="Calibri"/>
                <w:sz w:val="18"/>
                <w:szCs w:val="18"/>
              </w:rPr>
              <w:t xml:space="preserve"> at 20%</w:t>
            </w:r>
          </w:p>
          <w:p w:rsidR="00CE550D" w:rsidRPr="000A697C" w:rsidP="000A697C" w14:paraId="24863CA9" w14:textId="4E90CEDC">
            <w:pPr>
              <w:contextualSpacing/>
              <w:rPr>
                <w:rFonts w:eastAsia="Calibri"/>
                <w:sz w:val="18"/>
                <w:szCs w:val="18"/>
              </w:rPr>
            </w:pPr>
            <w:r w:rsidRPr="000A697C">
              <w:rPr>
                <w:rFonts w:eastAsia="Calibri"/>
                <w:sz w:val="18"/>
                <w:szCs w:val="18"/>
              </w:rPr>
              <w:t>[</w:t>
            </w:r>
            <w:r w:rsidRPr="000A697C" w:rsidR="00102DD3">
              <w:rPr>
                <w:rFonts w:eastAsia="Calibri"/>
                <w:sz w:val="18"/>
                <w:szCs w:val="18"/>
              </w:rPr>
              <w:t>(3 x $27,517.95) + (3 x $22,240)</w:t>
            </w:r>
            <w:r w:rsidRPr="000A697C">
              <w:rPr>
                <w:rFonts w:eastAsia="Calibri"/>
                <w:sz w:val="18"/>
                <w:szCs w:val="18"/>
              </w:rPr>
              <w:t>] x</w:t>
            </w:r>
            <w:r w:rsidRPr="000A697C" w:rsidR="00102DD3">
              <w:rPr>
                <w:rFonts w:eastAsia="Calibri"/>
                <w:sz w:val="18"/>
                <w:szCs w:val="18"/>
              </w:rPr>
              <w:t xml:space="preserve"> </w:t>
            </w:r>
            <w:r w:rsidRPr="000A697C">
              <w:rPr>
                <w:rFonts w:eastAsia="Calibri"/>
                <w:sz w:val="18"/>
                <w:szCs w:val="18"/>
              </w:rPr>
              <w:t>.20</w:t>
            </w:r>
            <w:r w:rsidRPr="000A697C" w:rsidR="00102DD3">
              <w:rPr>
                <w:rFonts w:eastAsia="Calibri"/>
                <w:sz w:val="18"/>
                <w:szCs w:val="18"/>
              </w:rPr>
              <w:t>= $</w:t>
            </w:r>
            <w:r w:rsidRPr="000A697C" w:rsidR="00C44EA0">
              <w:rPr>
                <w:rFonts w:eastAsia="Calibri"/>
                <w:sz w:val="18"/>
                <w:szCs w:val="18"/>
              </w:rPr>
              <w:t>29,855</w:t>
            </w:r>
          </w:p>
        </w:tc>
        <w:tc>
          <w:tcPr>
            <w:tcW w:w="1975" w:type="dxa"/>
            <w:shd w:val="clear" w:color="auto" w:fill="auto"/>
            <w:vAlign w:val="center"/>
          </w:tcPr>
          <w:p w:rsidR="00CE550D" w:rsidRPr="000A697C" w:rsidP="000A697C" w14:paraId="4CD1F3B0" w14:textId="1C549FEA">
            <w:pPr>
              <w:contextualSpacing/>
              <w:jc w:val="right"/>
              <w:rPr>
                <w:rFonts w:eastAsia="Calibri"/>
                <w:sz w:val="18"/>
                <w:szCs w:val="18"/>
              </w:rPr>
            </w:pPr>
            <w:r w:rsidRPr="000A697C">
              <w:rPr>
                <w:rFonts w:eastAsia="Calibri"/>
                <w:sz w:val="18"/>
                <w:szCs w:val="18"/>
              </w:rPr>
              <w:t>$</w:t>
            </w:r>
            <w:r w:rsidRPr="000A697C" w:rsidR="00C44EA0">
              <w:rPr>
                <w:rFonts w:eastAsia="Calibri"/>
                <w:sz w:val="18"/>
                <w:szCs w:val="18"/>
              </w:rPr>
              <w:t>29,855</w:t>
            </w:r>
          </w:p>
        </w:tc>
      </w:tr>
      <w:tr w14:paraId="2F4849C4" w14:textId="77777777" w:rsidTr="007317C6">
        <w:tblPrEx>
          <w:tblW w:w="0" w:type="auto"/>
          <w:tblLook w:val="04A0"/>
        </w:tblPrEx>
        <w:tc>
          <w:tcPr>
            <w:tcW w:w="7375" w:type="dxa"/>
            <w:shd w:val="clear" w:color="auto" w:fill="auto"/>
          </w:tcPr>
          <w:p w:rsidR="00CE550D" w:rsidRPr="0031187A" w:rsidP="000A697C" w14:paraId="6B1BED12" w14:textId="77777777">
            <w:pPr>
              <w:contextualSpacing/>
              <w:rPr>
                <w:rFonts w:eastAsia="Calibri"/>
                <w:sz w:val="18"/>
                <w:szCs w:val="18"/>
              </w:rPr>
            </w:pPr>
            <w:r w:rsidRPr="0031187A">
              <w:rPr>
                <w:rFonts w:eastAsia="Calibri"/>
                <w:sz w:val="18"/>
                <w:szCs w:val="18"/>
              </w:rPr>
              <w:t xml:space="preserve">Staff Salaries: </w:t>
            </w:r>
          </w:p>
          <w:p w:rsidR="00102DD3" w:rsidRPr="0031187A" w:rsidP="000A697C" w14:paraId="2962CAC5" w14:textId="6420BF61">
            <w:pPr>
              <w:contextualSpacing/>
              <w:rPr>
                <w:rFonts w:eastAsia="Calibri"/>
                <w:sz w:val="18"/>
                <w:szCs w:val="18"/>
              </w:rPr>
            </w:pPr>
            <w:r w:rsidRPr="0031187A">
              <w:rPr>
                <w:rFonts w:eastAsia="Calibri"/>
                <w:sz w:val="18"/>
                <w:szCs w:val="18"/>
              </w:rPr>
              <w:t>15</w:t>
            </w:r>
            <w:r w:rsidRPr="0031187A">
              <w:rPr>
                <w:rFonts w:eastAsia="Calibri"/>
                <w:sz w:val="18"/>
                <w:szCs w:val="18"/>
              </w:rPr>
              <w:t xml:space="preserve"> GS 9 Step 5 </w:t>
            </w:r>
            <w:r w:rsidRPr="0031187A" w:rsidR="00D11BD0">
              <w:rPr>
                <w:rFonts w:eastAsia="Calibri"/>
                <w:sz w:val="18"/>
                <w:szCs w:val="18"/>
              </w:rPr>
              <w:t>($73,617</w:t>
            </w:r>
            <w:r w:rsidRPr="0031187A">
              <w:rPr>
                <w:rFonts w:eastAsia="Calibri"/>
                <w:sz w:val="18"/>
                <w:szCs w:val="18"/>
              </w:rPr>
              <w:t>) at 15% time x 1.</w:t>
            </w:r>
            <w:r w:rsidRPr="0031187A" w:rsidR="007317C6">
              <w:rPr>
                <w:rFonts w:eastAsia="Calibri"/>
                <w:sz w:val="18"/>
                <w:szCs w:val="18"/>
              </w:rPr>
              <w:t>45</w:t>
            </w:r>
            <w:r w:rsidRPr="0031187A">
              <w:rPr>
                <w:rFonts w:eastAsia="Calibri"/>
                <w:sz w:val="18"/>
                <w:szCs w:val="18"/>
              </w:rPr>
              <w:t xml:space="preserve"> loaded wage rate =</w:t>
            </w:r>
            <w:r w:rsidRPr="0031187A" w:rsidR="00751E38">
              <w:rPr>
                <w:rFonts w:eastAsia="Calibri"/>
                <w:sz w:val="18"/>
                <w:szCs w:val="18"/>
              </w:rPr>
              <w:t xml:space="preserve"> $240,175</w:t>
            </w:r>
          </w:p>
          <w:p w:rsidR="00CE550D" w:rsidRPr="0031187A" w:rsidP="000A697C" w14:paraId="4E09AB87" w14:textId="575AE3BF">
            <w:pPr>
              <w:contextualSpacing/>
              <w:rPr>
                <w:rFonts w:eastAsia="Calibri"/>
                <w:sz w:val="18"/>
                <w:szCs w:val="18"/>
              </w:rPr>
            </w:pPr>
            <w:r w:rsidRPr="0031187A">
              <w:rPr>
                <w:rFonts w:eastAsia="Calibri"/>
                <w:sz w:val="18"/>
                <w:szCs w:val="18"/>
              </w:rPr>
              <w:t>10</w:t>
            </w:r>
            <w:r w:rsidRPr="0031187A" w:rsidR="00102DD3">
              <w:rPr>
                <w:rFonts w:eastAsia="Calibri"/>
                <w:sz w:val="18"/>
                <w:szCs w:val="18"/>
              </w:rPr>
              <w:t xml:space="preserve"> GS 11 Step 5 </w:t>
            </w:r>
            <w:r w:rsidRPr="0031187A" w:rsidR="008E6F16">
              <w:rPr>
                <w:rFonts w:eastAsia="Calibri"/>
                <w:sz w:val="18"/>
                <w:szCs w:val="18"/>
              </w:rPr>
              <w:t>($89,069</w:t>
            </w:r>
            <w:r w:rsidRPr="0031187A" w:rsidR="00102DD3">
              <w:rPr>
                <w:rFonts w:eastAsia="Calibri"/>
                <w:sz w:val="18"/>
                <w:szCs w:val="18"/>
              </w:rPr>
              <w:t>) at 15% time x 1.</w:t>
            </w:r>
            <w:r w:rsidRPr="0031187A" w:rsidR="007317C6">
              <w:rPr>
                <w:rFonts w:eastAsia="Calibri"/>
                <w:sz w:val="18"/>
                <w:szCs w:val="18"/>
              </w:rPr>
              <w:t>45</w:t>
            </w:r>
            <w:r w:rsidRPr="0031187A" w:rsidR="00102DD3">
              <w:rPr>
                <w:rFonts w:eastAsia="Calibri"/>
                <w:sz w:val="18"/>
                <w:szCs w:val="18"/>
              </w:rPr>
              <w:t xml:space="preserve"> loaded wage rate =</w:t>
            </w:r>
            <w:r w:rsidRPr="004749CC" w:rsidR="00751E38">
              <w:rPr>
                <w:rFonts w:eastAsia="Calibri"/>
                <w:sz w:val="18"/>
                <w:szCs w:val="18"/>
              </w:rPr>
              <w:t xml:space="preserve"> $193,725</w:t>
            </w:r>
          </w:p>
          <w:p w:rsidR="008E632C" w:rsidRPr="0031187A" w:rsidP="000A697C" w14:paraId="3B1CDE13" w14:textId="423ACA49">
            <w:pPr>
              <w:contextualSpacing/>
              <w:rPr>
                <w:rFonts w:eastAsia="Calibri"/>
                <w:sz w:val="18"/>
                <w:szCs w:val="18"/>
              </w:rPr>
            </w:pPr>
            <w:r w:rsidRPr="0031187A">
              <w:rPr>
                <w:rFonts w:eastAsia="Calibri"/>
                <w:sz w:val="18"/>
                <w:szCs w:val="18"/>
              </w:rPr>
              <w:t xml:space="preserve">9 </w:t>
            </w:r>
            <w:r w:rsidRPr="0031187A" w:rsidR="00102DD3">
              <w:rPr>
                <w:rFonts w:eastAsia="Calibri"/>
                <w:sz w:val="18"/>
                <w:szCs w:val="18"/>
              </w:rPr>
              <w:t>GS 12 Step 5</w:t>
            </w:r>
            <w:r w:rsidRPr="0031187A" w:rsidR="008E6F16">
              <w:rPr>
                <w:rFonts w:eastAsia="Calibri"/>
                <w:sz w:val="18"/>
                <w:szCs w:val="18"/>
              </w:rPr>
              <w:t xml:space="preserve"> ($106,759</w:t>
            </w:r>
            <w:r w:rsidRPr="0031187A" w:rsidR="00102DD3">
              <w:rPr>
                <w:rFonts w:eastAsia="Calibri"/>
                <w:sz w:val="18"/>
                <w:szCs w:val="18"/>
              </w:rPr>
              <w:t>) at 15% time x 1.</w:t>
            </w:r>
            <w:r w:rsidRPr="0031187A" w:rsidR="007317C6">
              <w:rPr>
                <w:rFonts w:eastAsia="Calibri"/>
                <w:sz w:val="18"/>
                <w:szCs w:val="18"/>
              </w:rPr>
              <w:t>45</w:t>
            </w:r>
            <w:r w:rsidRPr="0031187A" w:rsidR="00102DD3">
              <w:rPr>
                <w:rFonts w:eastAsia="Calibri"/>
                <w:sz w:val="18"/>
                <w:szCs w:val="18"/>
              </w:rPr>
              <w:t xml:space="preserve"> loaded wage rate =</w:t>
            </w:r>
            <w:r w:rsidRPr="004749CC" w:rsidR="00751E38">
              <w:rPr>
                <w:rFonts w:eastAsia="Calibri"/>
                <w:sz w:val="18"/>
                <w:szCs w:val="18"/>
              </w:rPr>
              <w:t xml:space="preserve"> $208,981</w:t>
            </w:r>
          </w:p>
          <w:p w:rsidR="00102DD3" w:rsidRPr="0031187A" w:rsidP="000A697C" w14:paraId="5B8E6775" w14:textId="311DDD5D">
            <w:pPr>
              <w:contextualSpacing/>
              <w:rPr>
                <w:rFonts w:eastAsia="Calibri"/>
                <w:sz w:val="18"/>
                <w:szCs w:val="18"/>
              </w:rPr>
            </w:pPr>
            <w:r w:rsidRPr="0031187A">
              <w:rPr>
                <w:rFonts w:eastAsia="Calibri"/>
                <w:sz w:val="18"/>
                <w:szCs w:val="18"/>
              </w:rPr>
              <w:t>3</w:t>
            </w:r>
            <w:r w:rsidRPr="0031187A" w:rsidR="008E632C">
              <w:rPr>
                <w:rFonts w:eastAsia="Calibri"/>
                <w:sz w:val="18"/>
                <w:szCs w:val="18"/>
              </w:rPr>
              <w:t xml:space="preserve"> </w:t>
            </w:r>
            <w:r w:rsidRPr="0031187A">
              <w:rPr>
                <w:rFonts w:eastAsia="Calibri"/>
                <w:sz w:val="18"/>
                <w:szCs w:val="18"/>
              </w:rPr>
              <w:t>GS 13 Step 5</w:t>
            </w:r>
            <w:r w:rsidRPr="0031187A" w:rsidR="008E6F16">
              <w:rPr>
                <w:rFonts w:eastAsia="Calibri"/>
                <w:sz w:val="18"/>
                <w:szCs w:val="18"/>
              </w:rPr>
              <w:t xml:space="preserve"> ($126,949</w:t>
            </w:r>
            <w:r w:rsidRPr="0031187A">
              <w:rPr>
                <w:rFonts w:eastAsia="Calibri"/>
                <w:sz w:val="18"/>
                <w:szCs w:val="18"/>
              </w:rPr>
              <w:t>) at 15% time x 1.</w:t>
            </w:r>
            <w:r w:rsidRPr="0031187A" w:rsidR="007317C6">
              <w:rPr>
                <w:rFonts w:eastAsia="Calibri"/>
                <w:sz w:val="18"/>
                <w:szCs w:val="18"/>
              </w:rPr>
              <w:t>45</w:t>
            </w:r>
            <w:r w:rsidRPr="0031187A">
              <w:rPr>
                <w:rFonts w:eastAsia="Calibri"/>
                <w:sz w:val="18"/>
                <w:szCs w:val="18"/>
              </w:rPr>
              <w:t xml:space="preserve"> loaded wage rate =</w:t>
            </w:r>
            <w:r w:rsidRPr="004749CC" w:rsidR="00751E38">
              <w:rPr>
                <w:rFonts w:eastAsia="Calibri"/>
                <w:sz w:val="18"/>
                <w:szCs w:val="18"/>
              </w:rPr>
              <w:t xml:space="preserve"> $82,834</w:t>
            </w:r>
          </w:p>
          <w:p w:rsidR="0031187A" w:rsidP="000A697C" w14:paraId="2DF92F91" w14:textId="6631339F">
            <w:pPr>
              <w:contextualSpacing/>
              <w:rPr>
                <w:rFonts w:eastAsia="Calibri"/>
                <w:sz w:val="18"/>
                <w:szCs w:val="18"/>
              </w:rPr>
            </w:pPr>
            <w:r w:rsidRPr="0031187A">
              <w:rPr>
                <w:rFonts w:eastAsia="Calibri"/>
                <w:sz w:val="18"/>
                <w:szCs w:val="18"/>
              </w:rPr>
              <w:t>1 GS 14 Step 5</w:t>
            </w:r>
            <w:r w:rsidRPr="0031187A" w:rsidR="008E6F16">
              <w:rPr>
                <w:rFonts w:eastAsia="Calibri"/>
                <w:sz w:val="18"/>
                <w:szCs w:val="18"/>
              </w:rPr>
              <w:t xml:space="preserve"> ($150,016</w:t>
            </w:r>
            <w:r w:rsidRPr="0031187A">
              <w:rPr>
                <w:rFonts w:eastAsia="Calibri"/>
                <w:sz w:val="18"/>
                <w:szCs w:val="18"/>
              </w:rPr>
              <w:t>) at 15% time x 1.</w:t>
            </w:r>
            <w:r w:rsidRPr="0031187A" w:rsidR="00751E38">
              <w:rPr>
                <w:rFonts w:eastAsia="Calibri"/>
                <w:sz w:val="18"/>
                <w:szCs w:val="18"/>
              </w:rPr>
              <w:t>45</w:t>
            </w:r>
            <w:r w:rsidRPr="0031187A">
              <w:rPr>
                <w:rFonts w:eastAsia="Calibri"/>
                <w:sz w:val="18"/>
                <w:szCs w:val="18"/>
              </w:rPr>
              <w:t xml:space="preserve"> loaded wage rate </w:t>
            </w:r>
            <w:r w:rsidRPr="0031187A">
              <w:rPr>
                <w:rFonts w:eastAsia="Calibri"/>
                <w:sz w:val="18"/>
                <w:szCs w:val="18"/>
              </w:rPr>
              <w:t>= $</w:t>
            </w:r>
            <w:r w:rsidRPr="004749CC" w:rsidR="00751E38">
              <w:rPr>
                <w:rFonts w:eastAsia="Calibri"/>
                <w:sz w:val="18"/>
                <w:szCs w:val="18"/>
              </w:rPr>
              <w:t>32,629</w:t>
            </w:r>
          </w:p>
          <w:p w:rsidR="00102DD3" w:rsidRPr="0031187A" w:rsidP="000A697C" w14:paraId="54A664DB" w14:textId="0A0D576A">
            <w:pPr>
              <w:contextualSpacing/>
              <w:rPr>
                <w:rFonts w:eastAsia="Calibri"/>
                <w:sz w:val="18"/>
                <w:szCs w:val="18"/>
              </w:rPr>
            </w:pPr>
            <w:r>
              <w:rPr>
                <w:rFonts w:eastAsia="Calibri"/>
                <w:sz w:val="18"/>
                <w:szCs w:val="18"/>
              </w:rPr>
              <w:t>$240,175 +$193,725 + $208,981+ $82,834+ $32,629 = $758,344</w:t>
            </w:r>
          </w:p>
        </w:tc>
        <w:tc>
          <w:tcPr>
            <w:tcW w:w="1975" w:type="dxa"/>
            <w:shd w:val="clear" w:color="auto" w:fill="auto"/>
            <w:vAlign w:val="center"/>
          </w:tcPr>
          <w:p w:rsidR="00102DD3" w:rsidRPr="007317C6" w14:paraId="0E78119C" w14:textId="6D904B2E">
            <w:pPr>
              <w:contextualSpacing/>
              <w:jc w:val="right"/>
              <w:rPr>
                <w:rFonts w:eastAsia="Calibri"/>
                <w:sz w:val="18"/>
                <w:szCs w:val="18"/>
                <w:highlight w:val="yellow"/>
              </w:rPr>
            </w:pPr>
            <w:r w:rsidRPr="004749CC">
              <w:rPr>
                <w:rFonts w:eastAsia="Calibri"/>
                <w:sz w:val="18"/>
                <w:szCs w:val="18"/>
              </w:rPr>
              <w:t>$</w:t>
            </w:r>
            <w:r w:rsidRPr="004749CC" w:rsidR="00E84F5E">
              <w:rPr>
                <w:rFonts w:eastAsia="Calibri"/>
                <w:sz w:val="18"/>
                <w:szCs w:val="18"/>
              </w:rPr>
              <w:t>758,350</w:t>
            </w:r>
          </w:p>
        </w:tc>
      </w:tr>
      <w:tr w14:paraId="0E889F29" w14:textId="77777777" w:rsidTr="00C20D75">
        <w:tblPrEx>
          <w:tblW w:w="0" w:type="auto"/>
          <w:tblLook w:val="04A0"/>
        </w:tblPrEx>
        <w:tc>
          <w:tcPr>
            <w:tcW w:w="7375" w:type="dxa"/>
            <w:shd w:val="clear" w:color="auto" w:fill="auto"/>
          </w:tcPr>
          <w:p w:rsidR="00CE550D" w:rsidRPr="000A697C" w:rsidP="000A697C" w14:paraId="0342B19C" w14:textId="77777777">
            <w:pPr>
              <w:contextualSpacing/>
              <w:rPr>
                <w:rFonts w:eastAsia="Calibri"/>
                <w:sz w:val="18"/>
                <w:szCs w:val="18"/>
              </w:rPr>
            </w:pPr>
            <w:r w:rsidRPr="000A697C">
              <w:rPr>
                <w:rFonts w:eastAsia="Calibri"/>
                <w:sz w:val="18"/>
                <w:szCs w:val="18"/>
              </w:rPr>
              <w:t>Facilities [cost for renting, overhead, etc. for data collection activity]</w:t>
            </w:r>
          </w:p>
          <w:p w:rsidR="00CE550D" w:rsidRPr="000A697C" w:rsidP="000A697C" w14:paraId="10DC8D47" w14:textId="77777777">
            <w:pPr>
              <w:contextualSpacing/>
              <w:rPr>
                <w:rFonts w:eastAsia="Calibri"/>
                <w:sz w:val="18"/>
                <w:szCs w:val="18"/>
              </w:rPr>
            </w:pPr>
            <w:r w:rsidRPr="000A697C">
              <w:rPr>
                <w:rFonts w:eastAsia="Calibri"/>
                <w:sz w:val="18"/>
                <w:szCs w:val="18"/>
              </w:rPr>
              <w:t>CSA department's % of rent, utilities, security, recycling</w:t>
            </w:r>
            <w:r w:rsidRPr="000A697C" w:rsidR="00102DD3">
              <w:rPr>
                <w:rFonts w:eastAsia="Calibri"/>
                <w:sz w:val="18"/>
                <w:szCs w:val="18"/>
              </w:rPr>
              <w:t>:</w:t>
            </w:r>
            <w:r w:rsidRPr="000A697C" w:rsidR="00687D2F">
              <w:rPr>
                <w:rFonts w:eastAsia="Calibri"/>
                <w:sz w:val="18"/>
                <w:szCs w:val="18"/>
              </w:rPr>
              <w:t xml:space="preserve"> </w:t>
            </w:r>
            <w:r w:rsidRPr="000A697C">
              <w:rPr>
                <w:rFonts w:eastAsia="Calibri"/>
                <w:sz w:val="18"/>
                <w:szCs w:val="18"/>
              </w:rPr>
              <w:t>$75,591</w:t>
            </w:r>
            <w:r w:rsidRPr="000A697C" w:rsidR="00D56521">
              <w:rPr>
                <w:rFonts w:eastAsia="Calibri"/>
                <w:sz w:val="18"/>
                <w:szCs w:val="18"/>
              </w:rPr>
              <w:t xml:space="preserve"> at 15% co</w:t>
            </w:r>
            <w:r w:rsidRPr="000A697C" w:rsidR="008350C4">
              <w:rPr>
                <w:rFonts w:eastAsia="Calibri"/>
                <w:sz w:val="18"/>
                <w:szCs w:val="18"/>
              </w:rPr>
              <w:t>st</w:t>
            </w:r>
          </w:p>
          <w:p w:rsidR="008350C4" w:rsidRPr="000A697C" w:rsidP="000A697C" w14:paraId="30A45323" w14:textId="56BF8CF7">
            <w:pPr>
              <w:contextualSpacing/>
              <w:rPr>
                <w:rFonts w:eastAsia="Calibri"/>
                <w:sz w:val="18"/>
                <w:szCs w:val="18"/>
              </w:rPr>
            </w:pPr>
            <w:r w:rsidRPr="000A697C">
              <w:rPr>
                <w:rFonts w:eastAsia="Calibri"/>
                <w:sz w:val="18"/>
                <w:szCs w:val="18"/>
              </w:rPr>
              <w:t xml:space="preserve">$75,591 x .15 = </w:t>
            </w:r>
            <w:r w:rsidRPr="000A697C" w:rsidR="007A74E2">
              <w:rPr>
                <w:rFonts w:eastAsia="Calibri"/>
                <w:sz w:val="18"/>
                <w:szCs w:val="18"/>
              </w:rPr>
              <w:t>$11,339</w:t>
            </w:r>
          </w:p>
        </w:tc>
        <w:tc>
          <w:tcPr>
            <w:tcW w:w="1975" w:type="dxa"/>
            <w:shd w:val="clear" w:color="auto" w:fill="auto"/>
            <w:vAlign w:val="center"/>
          </w:tcPr>
          <w:p w:rsidR="00CE550D" w:rsidRPr="000A697C" w:rsidP="000A697C" w14:paraId="2B1638AA" w14:textId="0E3A34A3">
            <w:pPr>
              <w:contextualSpacing/>
              <w:jc w:val="right"/>
              <w:rPr>
                <w:rFonts w:eastAsia="Calibri"/>
                <w:sz w:val="18"/>
                <w:szCs w:val="18"/>
              </w:rPr>
            </w:pPr>
            <w:r w:rsidRPr="000A697C">
              <w:rPr>
                <w:rFonts w:eastAsia="Calibri"/>
                <w:sz w:val="18"/>
                <w:szCs w:val="18"/>
              </w:rPr>
              <w:t>$</w:t>
            </w:r>
            <w:r w:rsidRPr="000A697C" w:rsidR="007A74E2">
              <w:rPr>
                <w:rFonts w:eastAsia="Calibri"/>
                <w:sz w:val="18"/>
                <w:szCs w:val="18"/>
              </w:rPr>
              <w:t>11,339</w:t>
            </w:r>
          </w:p>
        </w:tc>
      </w:tr>
      <w:tr w14:paraId="3895CB2E" w14:textId="77777777" w:rsidTr="00C20D75">
        <w:tblPrEx>
          <w:tblW w:w="0" w:type="auto"/>
          <w:tblLook w:val="04A0"/>
        </w:tblPrEx>
        <w:tc>
          <w:tcPr>
            <w:tcW w:w="7375" w:type="dxa"/>
            <w:shd w:val="clear" w:color="auto" w:fill="auto"/>
          </w:tcPr>
          <w:p w:rsidR="00CE550D" w:rsidRPr="000A697C" w:rsidP="000A697C" w14:paraId="2A4EB3B9" w14:textId="77777777">
            <w:pPr>
              <w:contextualSpacing/>
              <w:rPr>
                <w:rFonts w:eastAsia="Calibri"/>
                <w:sz w:val="18"/>
                <w:szCs w:val="18"/>
              </w:rPr>
            </w:pPr>
            <w:r w:rsidRPr="000A697C">
              <w:rPr>
                <w:rFonts w:eastAsia="Calibri"/>
                <w:sz w:val="18"/>
                <w:szCs w:val="18"/>
              </w:rPr>
              <w:t>Computer Hardware and Software [cost of equipment annual lifecycle]</w:t>
            </w:r>
          </w:p>
          <w:p w:rsidR="00CE550D" w:rsidRPr="000A697C" w:rsidP="000A697C" w14:paraId="28519328" w14:textId="611E6062">
            <w:pPr>
              <w:contextualSpacing/>
              <w:rPr>
                <w:rFonts w:eastAsia="Calibri"/>
                <w:sz w:val="18"/>
                <w:szCs w:val="18"/>
              </w:rPr>
            </w:pPr>
            <w:r w:rsidRPr="000A697C">
              <w:rPr>
                <w:rFonts w:eastAsia="Calibri"/>
                <w:sz w:val="18"/>
                <w:szCs w:val="18"/>
              </w:rPr>
              <w:t>Adobe Presenter $300, IT SLA-4</w:t>
            </w:r>
            <w:r w:rsidRPr="000A697C" w:rsidR="00102DD3">
              <w:rPr>
                <w:rFonts w:eastAsia="Calibri"/>
                <w:sz w:val="18"/>
                <w:szCs w:val="18"/>
              </w:rPr>
              <w:t xml:space="preserve"> </w:t>
            </w:r>
            <w:r w:rsidRPr="000A697C">
              <w:rPr>
                <w:rFonts w:eastAsia="Calibri"/>
                <w:sz w:val="18"/>
                <w:szCs w:val="18"/>
              </w:rPr>
              <w:t>Components $196,185,</w:t>
            </w:r>
            <w:r w:rsidRPr="000A697C" w:rsidR="00102DD3">
              <w:rPr>
                <w:rFonts w:eastAsia="Calibri"/>
                <w:sz w:val="18"/>
                <w:szCs w:val="18"/>
              </w:rPr>
              <w:t xml:space="preserve"> </w:t>
            </w:r>
            <w:r w:rsidRPr="000A697C">
              <w:rPr>
                <w:rFonts w:eastAsia="Calibri"/>
                <w:sz w:val="18"/>
                <w:szCs w:val="18"/>
              </w:rPr>
              <w:t>WinCati Maintenance-Training $21,896</w:t>
            </w:r>
            <w:r w:rsidRPr="000A697C" w:rsidR="00102DD3">
              <w:rPr>
                <w:rFonts w:eastAsia="Calibri"/>
                <w:sz w:val="18"/>
                <w:szCs w:val="18"/>
              </w:rPr>
              <w:t xml:space="preserve">,  </w:t>
            </w:r>
            <w:r w:rsidRPr="000A697C">
              <w:rPr>
                <w:rFonts w:eastAsia="Calibri"/>
                <w:sz w:val="18"/>
                <w:szCs w:val="18"/>
              </w:rPr>
              <w:t>Medallia Contract $293,836</w:t>
            </w:r>
            <w:r w:rsidRPr="000A697C" w:rsidR="00A83A89">
              <w:rPr>
                <w:rFonts w:eastAsia="Calibri"/>
                <w:sz w:val="18"/>
                <w:szCs w:val="18"/>
              </w:rPr>
              <w:t xml:space="preserve"> at 15% cost</w:t>
            </w:r>
          </w:p>
          <w:p w:rsidR="00CE550D" w:rsidRPr="000A697C" w:rsidP="000A697C" w14:paraId="5C871BEE" w14:textId="1DEFD06E">
            <w:pPr>
              <w:contextualSpacing/>
              <w:rPr>
                <w:rFonts w:eastAsia="Calibri"/>
                <w:sz w:val="18"/>
                <w:szCs w:val="18"/>
              </w:rPr>
            </w:pPr>
            <w:r w:rsidRPr="000A697C">
              <w:rPr>
                <w:rFonts w:eastAsia="Calibri"/>
                <w:sz w:val="18"/>
                <w:szCs w:val="18"/>
              </w:rPr>
              <w:t>$300 + $196,185 + $21,896 + $293,836 = $512,217</w:t>
            </w:r>
            <w:r w:rsidRPr="000A697C" w:rsidR="00A83A89">
              <w:rPr>
                <w:rFonts w:eastAsia="Calibri"/>
                <w:sz w:val="18"/>
                <w:szCs w:val="18"/>
              </w:rPr>
              <w:t xml:space="preserve"> x .15 =</w:t>
            </w:r>
            <w:r w:rsidRPr="000A697C" w:rsidR="007C14C4">
              <w:rPr>
                <w:rFonts w:eastAsia="Calibri"/>
                <w:sz w:val="18"/>
                <w:szCs w:val="18"/>
              </w:rPr>
              <w:t xml:space="preserve"> $76,</w:t>
            </w:r>
            <w:r w:rsidRPr="000A697C" w:rsidR="00AF2F8C">
              <w:rPr>
                <w:rFonts w:eastAsia="Calibri"/>
                <w:sz w:val="18"/>
                <w:szCs w:val="18"/>
              </w:rPr>
              <w:t>833</w:t>
            </w:r>
          </w:p>
        </w:tc>
        <w:tc>
          <w:tcPr>
            <w:tcW w:w="1975" w:type="dxa"/>
            <w:shd w:val="clear" w:color="auto" w:fill="auto"/>
            <w:vAlign w:val="center"/>
          </w:tcPr>
          <w:p w:rsidR="00CE550D" w:rsidRPr="000A697C" w:rsidP="000A697C" w14:paraId="46474E5B" w14:textId="6CBF2BD7">
            <w:pPr>
              <w:contextualSpacing/>
              <w:jc w:val="right"/>
              <w:rPr>
                <w:rFonts w:eastAsia="Calibri"/>
                <w:sz w:val="18"/>
                <w:szCs w:val="18"/>
              </w:rPr>
            </w:pPr>
            <w:r w:rsidRPr="000A697C">
              <w:rPr>
                <w:rFonts w:eastAsia="Calibri"/>
                <w:sz w:val="18"/>
                <w:szCs w:val="18"/>
              </w:rPr>
              <w:t>$</w:t>
            </w:r>
            <w:r w:rsidRPr="000A697C" w:rsidR="00D56521">
              <w:rPr>
                <w:rFonts w:eastAsia="Calibri"/>
                <w:sz w:val="18"/>
                <w:szCs w:val="18"/>
              </w:rPr>
              <w:t>76,833</w:t>
            </w:r>
          </w:p>
        </w:tc>
      </w:tr>
      <w:tr w14:paraId="41F430CC" w14:textId="77777777" w:rsidTr="00C20D75">
        <w:tblPrEx>
          <w:tblW w:w="0" w:type="auto"/>
          <w:tblLook w:val="04A0"/>
        </w:tblPrEx>
        <w:tc>
          <w:tcPr>
            <w:tcW w:w="7375" w:type="dxa"/>
            <w:shd w:val="clear" w:color="auto" w:fill="auto"/>
          </w:tcPr>
          <w:p w:rsidR="00CE550D" w:rsidRPr="000A697C" w:rsidP="000A697C" w14:paraId="65A0808C" w14:textId="77777777">
            <w:pPr>
              <w:contextualSpacing/>
              <w:rPr>
                <w:rFonts w:eastAsia="Calibri"/>
                <w:sz w:val="18"/>
                <w:szCs w:val="18"/>
              </w:rPr>
            </w:pPr>
            <w:r w:rsidRPr="000A697C">
              <w:rPr>
                <w:rFonts w:eastAsia="Calibri"/>
                <w:sz w:val="18"/>
                <w:szCs w:val="18"/>
              </w:rPr>
              <w:t>Equipment Maintenance [cost of annual maintenance/service agreements for equipment]</w:t>
            </w:r>
          </w:p>
          <w:p w:rsidR="00CE550D" w:rsidRPr="000A697C" w:rsidP="000A697C" w14:paraId="597056B8" w14:textId="3FD6D4D3">
            <w:pPr>
              <w:contextualSpacing/>
              <w:rPr>
                <w:rFonts w:eastAsia="Calibri"/>
                <w:sz w:val="18"/>
                <w:szCs w:val="18"/>
              </w:rPr>
            </w:pPr>
            <w:r w:rsidRPr="000A697C">
              <w:rPr>
                <w:rFonts w:eastAsia="Calibri"/>
                <w:sz w:val="18"/>
                <w:szCs w:val="18"/>
              </w:rPr>
              <w:t>Annual Maintenance, Laptop and accessories for all 38 staff $30,963.41</w:t>
            </w:r>
            <w:r w:rsidRPr="000A697C" w:rsidR="00A83A89">
              <w:rPr>
                <w:rFonts w:eastAsia="Calibri"/>
                <w:sz w:val="18"/>
                <w:szCs w:val="18"/>
              </w:rPr>
              <w:t xml:space="preserve"> at 15% cost</w:t>
            </w:r>
          </w:p>
          <w:p w:rsidR="0085271F" w:rsidRPr="000A697C" w:rsidP="000A697C" w14:paraId="30CAEC9E" w14:textId="47898869">
            <w:pPr>
              <w:contextualSpacing/>
              <w:rPr>
                <w:rFonts w:eastAsia="Calibri"/>
                <w:sz w:val="18"/>
                <w:szCs w:val="18"/>
              </w:rPr>
            </w:pPr>
            <w:r w:rsidRPr="000A697C">
              <w:rPr>
                <w:rFonts w:eastAsia="Calibri"/>
                <w:sz w:val="18"/>
                <w:szCs w:val="18"/>
              </w:rPr>
              <w:t>Printers: 1 Desktop &amp; shared network $483.33</w:t>
            </w:r>
            <w:r w:rsidRPr="000A697C" w:rsidR="00A83A89">
              <w:rPr>
                <w:rFonts w:eastAsia="Calibri"/>
                <w:sz w:val="18"/>
                <w:szCs w:val="18"/>
              </w:rPr>
              <w:t xml:space="preserve"> at 15% cost</w:t>
            </w:r>
          </w:p>
          <w:p w:rsidR="00CE550D" w:rsidRPr="000A697C" w:rsidP="000A697C" w14:paraId="4F895F77" w14:textId="3BA8DFCE">
            <w:pPr>
              <w:contextualSpacing/>
              <w:rPr>
                <w:rFonts w:eastAsia="Calibri"/>
                <w:sz w:val="18"/>
                <w:szCs w:val="18"/>
              </w:rPr>
            </w:pPr>
            <w:r w:rsidRPr="000A697C">
              <w:rPr>
                <w:rFonts w:eastAsia="Calibri"/>
                <w:sz w:val="18"/>
                <w:szCs w:val="18"/>
              </w:rPr>
              <w:t>$30,963.41 + $483.33 = $31,447</w:t>
            </w:r>
            <w:r w:rsidRPr="000A697C" w:rsidR="009B457B">
              <w:rPr>
                <w:rFonts w:eastAsia="Calibri"/>
                <w:sz w:val="18"/>
                <w:szCs w:val="18"/>
              </w:rPr>
              <w:t xml:space="preserve"> </w:t>
            </w:r>
            <w:r w:rsidRPr="000A697C" w:rsidR="00A83A89">
              <w:rPr>
                <w:rFonts w:eastAsia="Calibri"/>
                <w:sz w:val="18"/>
                <w:szCs w:val="18"/>
              </w:rPr>
              <w:t xml:space="preserve">x .15 </w:t>
            </w:r>
            <w:r w:rsidRPr="000A697C" w:rsidR="009B457B">
              <w:rPr>
                <w:rFonts w:eastAsia="Calibri"/>
                <w:sz w:val="18"/>
                <w:szCs w:val="18"/>
              </w:rPr>
              <w:t xml:space="preserve">= </w:t>
            </w:r>
            <w:r w:rsidRPr="000A697C" w:rsidR="00DA1A6F">
              <w:rPr>
                <w:rFonts w:eastAsia="Calibri"/>
                <w:sz w:val="18"/>
                <w:szCs w:val="18"/>
              </w:rPr>
              <w:t>$4,717</w:t>
            </w:r>
          </w:p>
        </w:tc>
        <w:tc>
          <w:tcPr>
            <w:tcW w:w="1975" w:type="dxa"/>
            <w:shd w:val="clear" w:color="auto" w:fill="auto"/>
            <w:vAlign w:val="center"/>
          </w:tcPr>
          <w:p w:rsidR="00CE550D" w:rsidRPr="000A697C" w:rsidP="000A697C" w14:paraId="64203092" w14:textId="6D17A391">
            <w:pPr>
              <w:contextualSpacing/>
              <w:jc w:val="right"/>
              <w:rPr>
                <w:rFonts w:eastAsia="Calibri"/>
                <w:sz w:val="18"/>
                <w:szCs w:val="18"/>
              </w:rPr>
            </w:pPr>
            <w:r w:rsidRPr="000A697C">
              <w:rPr>
                <w:rFonts w:eastAsia="Calibri"/>
                <w:sz w:val="18"/>
                <w:szCs w:val="18"/>
              </w:rPr>
              <w:t>$</w:t>
            </w:r>
            <w:r w:rsidRPr="000A697C" w:rsidR="00DA1A6F">
              <w:rPr>
                <w:rFonts w:eastAsia="Calibri"/>
                <w:sz w:val="18"/>
                <w:szCs w:val="18"/>
              </w:rPr>
              <w:t>4,717</w:t>
            </w:r>
          </w:p>
        </w:tc>
      </w:tr>
      <w:tr w14:paraId="596188EA" w14:textId="77777777" w:rsidTr="00C20D75">
        <w:tblPrEx>
          <w:tblW w:w="0" w:type="auto"/>
          <w:tblLook w:val="04A0"/>
        </w:tblPrEx>
        <w:tc>
          <w:tcPr>
            <w:tcW w:w="7375" w:type="dxa"/>
            <w:shd w:val="clear" w:color="auto" w:fill="auto"/>
          </w:tcPr>
          <w:p w:rsidR="00CE550D" w:rsidRPr="000A697C" w:rsidP="000A697C" w14:paraId="5000E131" w14:textId="77777777">
            <w:pPr>
              <w:contextualSpacing/>
              <w:rPr>
                <w:rFonts w:eastAsia="Calibri"/>
                <w:sz w:val="18"/>
                <w:szCs w:val="18"/>
              </w:rPr>
            </w:pPr>
            <w:r w:rsidRPr="000A697C">
              <w:rPr>
                <w:rFonts w:eastAsia="Calibri"/>
                <w:sz w:val="18"/>
                <w:szCs w:val="18"/>
              </w:rPr>
              <w:t>Travel (not to exceed)</w:t>
            </w:r>
          </w:p>
          <w:p w:rsidR="00CE550D" w:rsidRPr="000A697C" w:rsidP="000A697C" w14:paraId="4CCC01E5" w14:textId="64D351BB">
            <w:pPr>
              <w:contextualSpacing/>
              <w:rPr>
                <w:rFonts w:eastAsia="Calibri"/>
                <w:sz w:val="18"/>
                <w:szCs w:val="18"/>
              </w:rPr>
            </w:pPr>
            <w:r w:rsidRPr="000A697C">
              <w:rPr>
                <w:rFonts w:eastAsia="Calibri"/>
                <w:sz w:val="18"/>
                <w:szCs w:val="18"/>
              </w:rPr>
              <w:t>Total cost of 6 trips that  average airfare, meals, lodging for 2 travelers at $7,252.49 per trip</w:t>
            </w:r>
            <w:r w:rsidRPr="000A697C" w:rsidR="007F2DB8">
              <w:rPr>
                <w:rFonts w:eastAsia="Calibri"/>
                <w:sz w:val="18"/>
                <w:szCs w:val="18"/>
              </w:rPr>
              <w:t xml:space="preserve"> at 20%.</w:t>
            </w:r>
          </w:p>
          <w:p w:rsidR="00CE550D" w:rsidRPr="000A697C" w:rsidP="000A697C" w14:paraId="49719A03" w14:textId="2D9B511F">
            <w:pPr>
              <w:contextualSpacing/>
              <w:rPr>
                <w:rFonts w:eastAsia="Calibri"/>
                <w:sz w:val="18"/>
                <w:szCs w:val="18"/>
              </w:rPr>
            </w:pPr>
            <w:r w:rsidRPr="000A697C">
              <w:rPr>
                <w:rFonts w:eastAsia="Calibri"/>
                <w:sz w:val="18"/>
                <w:szCs w:val="18"/>
              </w:rPr>
              <w:t>6 x $7,252.49</w:t>
            </w:r>
            <w:r w:rsidRPr="000A697C" w:rsidR="0084200F">
              <w:rPr>
                <w:rFonts w:eastAsia="Calibri"/>
                <w:sz w:val="18"/>
                <w:szCs w:val="18"/>
              </w:rPr>
              <w:t xml:space="preserve"> x .20</w:t>
            </w:r>
            <w:r w:rsidRPr="000A697C">
              <w:rPr>
                <w:rFonts w:eastAsia="Calibri"/>
                <w:sz w:val="18"/>
                <w:szCs w:val="18"/>
              </w:rPr>
              <w:t xml:space="preserve"> = $</w:t>
            </w:r>
            <w:r w:rsidRPr="000A697C" w:rsidR="0069679C">
              <w:rPr>
                <w:rFonts w:eastAsia="Calibri"/>
                <w:sz w:val="18"/>
                <w:szCs w:val="18"/>
              </w:rPr>
              <w:t>8,703</w:t>
            </w:r>
          </w:p>
        </w:tc>
        <w:tc>
          <w:tcPr>
            <w:tcW w:w="1975" w:type="dxa"/>
            <w:shd w:val="clear" w:color="auto" w:fill="auto"/>
            <w:vAlign w:val="center"/>
          </w:tcPr>
          <w:p w:rsidR="00CE550D" w:rsidRPr="000A697C" w:rsidP="000A697C" w14:paraId="262E4D8B" w14:textId="3B810E23">
            <w:pPr>
              <w:contextualSpacing/>
              <w:jc w:val="right"/>
              <w:rPr>
                <w:rFonts w:eastAsia="Calibri"/>
                <w:sz w:val="18"/>
                <w:szCs w:val="18"/>
              </w:rPr>
            </w:pPr>
            <w:r w:rsidRPr="000A697C">
              <w:rPr>
                <w:rFonts w:eastAsia="Calibri"/>
                <w:sz w:val="18"/>
                <w:szCs w:val="18"/>
              </w:rPr>
              <w:t>$</w:t>
            </w:r>
            <w:r w:rsidRPr="000A697C" w:rsidR="00C9018E">
              <w:rPr>
                <w:rFonts w:eastAsia="Calibri"/>
                <w:sz w:val="18"/>
                <w:szCs w:val="18"/>
              </w:rPr>
              <w:t>8,703</w:t>
            </w:r>
          </w:p>
        </w:tc>
      </w:tr>
      <w:tr w14:paraId="17E7B01A" w14:textId="77777777" w:rsidTr="00C20D75">
        <w:tblPrEx>
          <w:tblW w:w="0" w:type="auto"/>
          <w:tblLook w:val="04A0"/>
        </w:tblPrEx>
        <w:tc>
          <w:tcPr>
            <w:tcW w:w="7375" w:type="dxa"/>
            <w:shd w:val="clear" w:color="auto" w:fill="auto"/>
          </w:tcPr>
          <w:p w:rsidR="00687D2F" w:rsidRPr="000A697C" w:rsidP="000A697C" w14:paraId="0DCE546C" w14:textId="77777777">
            <w:pPr>
              <w:contextualSpacing/>
              <w:rPr>
                <w:rFonts w:eastAsia="Calibri"/>
                <w:bCs/>
                <w:sz w:val="18"/>
                <w:szCs w:val="18"/>
              </w:rPr>
            </w:pPr>
            <w:r w:rsidRPr="000A697C">
              <w:rPr>
                <w:rFonts w:eastAsia="Calibri"/>
                <w:bCs/>
                <w:sz w:val="18"/>
                <w:szCs w:val="18"/>
              </w:rPr>
              <w:t xml:space="preserve">Other: </w:t>
            </w:r>
          </w:p>
          <w:p w:rsidR="00CE550D" w:rsidRPr="000A697C" w:rsidP="000A697C" w14:paraId="3F897DCA" w14:textId="77777777">
            <w:pPr>
              <w:contextualSpacing/>
              <w:rPr>
                <w:rFonts w:eastAsia="Calibri"/>
                <w:bCs/>
                <w:sz w:val="18"/>
                <w:szCs w:val="18"/>
              </w:rPr>
            </w:pPr>
            <w:r w:rsidRPr="000A697C">
              <w:rPr>
                <w:rFonts w:eastAsia="Calibri"/>
                <w:bCs/>
                <w:sz w:val="18"/>
                <w:szCs w:val="18"/>
              </w:rPr>
              <w:t>Long Distance Phone Charges</w:t>
            </w:r>
          </w:p>
          <w:p w:rsidR="00CE550D" w:rsidRPr="000A697C" w:rsidP="000A697C" w14:paraId="18AB7DF6" w14:textId="77777777">
            <w:pPr>
              <w:contextualSpacing/>
              <w:rPr>
                <w:rFonts w:eastAsia="Calibri"/>
                <w:bCs/>
                <w:sz w:val="18"/>
                <w:szCs w:val="18"/>
              </w:rPr>
            </w:pPr>
            <w:r w:rsidRPr="000A697C">
              <w:rPr>
                <w:rFonts w:eastAsia="Calibri"/>
                <w:bCs/>
                <w:sz w:val="18"/>
                <w:szCs w:val="18"/>
              </w:rPr>
              <w:t>AT&amp;T phone charges at $0.0321</w:t>
            </w:r>
            <w:r w:rsidRPr="000A697C" w:rsidR="00102DD3">
              <w:rPr>
                <w:rFonts w:eastAsia="Calibri"/>
                <w:bCs/>
                <w:sz w:val="18"/>
                <w:szCs w:val="18"/>
              </w:rPr>
              <w:t xml:space="preserve"> </w:t>
            </w:r>
            <w:r w:rsidRPr="000A697C">
              <w:rPr>
                <w:rFonts w:eastAsia="Calibri"/>
                <w:bCs/>
                <w:sz w:val="18"/>
                <w:szCs w:val="18"/>
              </w:rPr>
              <w:t xml:space="preserve">per call </w:t>
            </w:r>
            <w:r w:rsidRPr="000A697C" w:rsidR="00102DD3">
              <w:rPr>
                <w:rFonts w:eastAsia="Calibri"/>
                <w:bCs/>
                <w:sz w:val="18"/>
                <w:szCs w:val="18"/>
              </w:rPr>
              <w:t xml:space="preserve">at </w:t>
            </w:r>
            <w:r w:rsidRPr="000A697C">
              <w:rPr>
                <w:rFonts w:eastAsia="Calibri"/>
                <w:bCs/>
                <w:sz w:val="18"/>
                <w:szCs w:val="18"/>
              </w:rPr>
              <w:t>366,251 calls</w:t>
            </w:r>
          </w:p>
          <w:p w:rsidR="00CE550D" w:rsidRPr="000A697C" w:rsidP="000A697C" w14:paraId="060BF61A" w14:textId="77777777">
            <w:pPr>
              <w:contextualSpacing/>
              <w:rPr>
                <w:rFonts w:eastAsia="Calibri"/>
                <w:bCs/>
                <w:sz w:val="18"/>
                <w:szCs w:val="18"/>
              </w:rPr>
            </w:pPr>
            <w:r w:rsidRPr="000A697C">
              <w:rPr>
                <w:rFonts w:eastAsia="Calibri"/>
                <w:bCs/>
                <w:sz w:val="18"/>
                <w:szCs w:val="18"/>
              </w:rPr>
              <w:t>Long distance completed calls at $0.01015 per minute x 9.781 minutes x average calls of 37,044</w:t>
            </w:r>
          </w:p>
          <w:p w:rsidR="00CE550D" w:rsidRPr="000A697C" w:rsidP="000A697C" w14:paraId="13ECEB9C" w14:textId="77777777">
            <w:pPr>
              <w:contextualSpacing/>
              <w:rPr>
                <w:rFonts w:eastAsia="Calibri"/>
                <w:bCs/>
                <w:sz w:val="18"/>
                <w:szCs w:val="18"/>
              </w:rPr>
            </w:pPr>
            <w:r w:rsidRPr="000A697C">
              <w:rPr>
                <w:rFonts w:eastAsia="Calibri"/>
                <w:bCs/>
                <w:sz w:val="18"/>
                <w:szCs w:val="18"/>
              </w:rPr>
              <w:t>Long distance attempted calls at $.01015 per minute x 1.25 Minutes x 329,207 calls</w:t>
            </w:r>
          </w:p>
          <w:p w:rsidR="006A7A62" w:rsidRPr="000A697C" w:rsidP="000A697C" w14:paraId="4AEF2E48" w14:textId="77777777">
            <w:pPr>
              <w:contextualSpacing/>
              <w:rPr>
                <w:rFonts w:eastAsia="Calibri"/>
                <w:bCs/>
                <w:sz w:val="18"/>
                <w:szCs w:val="18"/>
              </w:rPr>
            </w:pPr>
            <w:r w:rsidRPr="000A697C">
              <w:rPr>
                <w:rFonts w:eastAsia="Calibri"/>
                <w:bCs/>
                <w:sz w:val="18"/>
                <w:szCs w:val="18"/>
              </w:rPr>
              <w:t xml:space="preserve">($0.0321 x 366,251 calls) + ($0.01015 x 9.781 minutes x 37,044 calls) + ($0.01015 x 1.25 minutes x 329,207 calls) = </w:t>
            </w:r>
            <w:r w:rsidRPr="000A697C" w:rsidR="00CE550D">
              <w:rPr>
                <w:rFonts w:eastAsia="Calibri"/>
                <w:bCs/>
                <w:sz w:val="18"/>
                <w:szCs w:val="18"/>
              </w:rPr>
              <w:t>$19,611</w:t>
            </w:r>
            <w:r w:rsidRPr="000A697C" w:rsidR="004A24EA">
              <w:rPr>
                <w:rFonts w:eastAsia="Calibri"/>
                <w:bCs/>
                <w:sz w:val="18"/>
                <w:szCs w:val="18"/>
              </w:rPr>
              <w:t xml:space="preserve"> at %15 cost </w:t>
            </w:r>
          </w:p>
          <w:p w:rsidR="00CE550D" w:rsidRPr="000A697C" w:rsidP="000A697C" w14:paraId="031780F0" w14:textId="501D891B">
            <w:pPr>
              <w:contextualSpacing/>
              <w:rPr>
                <w:rFonts w:eastAsia="Calibri"/>
                <w:bCs/>
                <w:sz w:val="18"/>
                <w:szCs w:val="18"/>
              </w:rPr>
            </w:pPr>
            <w:r w:rsidRPr="000A697C">
              <w:rPr>
                <w:rFonts w:eastAsia="Calibri"/>
                <w:bCs/>
                <w:sz w:val="18"/>
                <w:szCs w:val="18"/>
              </w:rPr>
              <w:t xml:space="preserve">$19,611 x .15 </w:t>
            </w:r>
            <w:r w:rsidRPr="000A697C" w:rsidR="004A24EA">
              <w:rPr>
                <w:rFonts w:eastAsia="Calibri"/>
                <w:bCs/>
                <w:sz w:val="18"/>
                <w:szCs w:val="18"/>
              </w:rPr>
              <w:t xml:space="preserve">= </w:t>
            </w:r>
            <w:r w:rsidRPr="000A697C" w:rsidR="00A703CF">
              <w:rPr>
                <w:rFonts w:eastAsia="Calibri"/>
                <w:bCs/>
                <w:sz w:val="18"/>
                <w:szCs w:val="18"/>
              </w:rPr>
              <w:t>$2,942</w:t>
            </w:r>
          </w:p>
          <w:p w:rsidR="00CE550D" w:rsidRPr="000A697C" w:rsidP="000A697C" w14:paraId="37BA32AE" w14:textId="77777777">
            <w:pPr>
              <w:contextualSpacing/>
              <w:rPr>
                <w:rFonts w:eastAsia="Calibri"/>
                <w:bCs/>
                <w:sz w:val="18"/>
                <w:szCs w:val="18"/>
              </w:rPr>
            </w:pPr>
          </w:p>
          <w:p w:rsidR="00CE550D" w:rsidRPr="000A697C" w:rsidP="000A697C" w14:paraId="7D371F97" w14:textId="2A1D02F7">
            <w:pPr>
              <w:contextualSpacing/>
              <w:rPr>
                <w:rFonts w:eastAsia="Calibri"/>
                <w:bCs/>
                <w:sz w:val="18"/>
                <w:szCs w:val="18"/>
              </w:rPr>
            </w:pPr>
            <w:r w:rsidRPr="000A697C">
              <w:rPr>
                <w:rFonts w:eastAsia="Calibri"/>
                <w:bCs/>
                <w:sz w:val="18"/>
                <w:szCs w:val="18"/>
              </w:rPr>
              <w:t xml:space="preserve">Cost for call management system to CSA per person at </w:t>
            </w:r>
            <w:r w:rsidRPr="000A697C" w:rsidR="00102DD3">
              <w:rPr>
                <w:rFonts w:eastAsia="Calibri"/>
                <w:bCs/>
                <w:sz w:val="18"/>
                <w:szCs w:val="18"/>
              </w:rPr>
              <w:t>$</w:t>
            </w:r>
            <w:r w:rsidRPr="000A697C">
              <w:rPr>
                <w:rFonts w:eastAsia="Calibri"/>
                <w:bCs/>
                <w:sz w:val="18"/>
                <w:szCs w:val="18"/>
              </w:rPr>
              <w:t>744.64 for 38 staff members</w:t>
            </w:r>
            <w:r w:rsidRPr="000A697C" w:rsidR="00A77A21">
              <w:rPr>
                <w:rFonts w:eastAsia="Calibri"/>
                <w:bCs/>
                <w:sz w:val="18"/>
                <w:szCs w:val="18"/>
              </w:rPr>
              <w:t xml:space="preserve"> at %15 cost</w:t>
            </w:r>
            <w:r w:rsidRPr="000A697C">
              <w:rPr>
                <w:rFonts w:eastAsia="Calibri"/>
                <w:bCs/>
                <w:sz w:val="18"/>
                <w:szCs w:val="18"/>
              </w:rPr>
              <w:t>.</w:t>
            </w:r>
          </w:p>
          <w:p w:rsidR="00CE550D" w:rsidRPr="000A697C" w:rsidP="000A697C" w14:paraId="46C3E7A7" w14:textId="64D14BB4">
            <w:pPr>
              <w:contextualSpacing/>
              <w:rPr>
                <w:rFonts w:eastAsia="Calibri"/>
                <w:bCs/>
                <w:color w:val="000000"/>
                <w:sz w:val="18"/>
                <w:szCs w:val="18"/>
              </w:rPr>
            </w:pPr>
            <w:r w:rsidRPr="000A697C">
              <w:rPr>
                <w:rFonts w:eastAsia="Calibri"/>
                <w:bCs/>
                <w:sz w:val="18"/>
                <w:szCs w:val="18"/>
              </w:rPr>
              <w:t xml:space="preserve">$744.64 x 38 </w:t>
            </w:r>
            <w:r w:rsidRPr="000A697C" w:rsidR="000E0FE9">
              <w:rPr>
                <w:rFonts w:eastAsia="Calibri"/>
                <w:bCs/>
                <w:sz w:val="18"/>
                <w:szCs w:val="18"/>
              </w:rPr>
              <w:t xml:space="preserve">x .15 </w:t>
            </w:r>
            <w:r w:rsidRPr="000A697C">
              <w:rPr>
                <w:rFonts w:eastAsia="Calibri"/>
                <w:bCs/>
                <w:sz w:val="18"/>
                <w:szCs w:val="18"/>
              </w:rPr>
              <w:t>=</w:t>
            </w:r>
            <w:r w:rsidRPr="000A697C">
              <w:rPr>
                <w:rFonts w:eastAsia="Calibri"/>
                <w:bCs/>
                <w:sz w:val="18"/>
                <w:szCs w:val="18"/>
              </w:rPr>
              <w:t xml:space="preserve"> $</w:t>
            </w:r>
            <w:r w:rsidRPr="000A697C" w:rsidR="000E0FE9">
              <w:rPr>
                <w:rFonts w:eastAsia="Calibri"/>
                <w:bCs/>
                <w:color w:val="000000"/>
                <w:sz w:val="18"/>
                <w:szCs w:val="18"/>
              </w:rPr>
              <w:t>4,244</w:t>
            </w:r>
          </w:p>
          <w:p w:rsidR="00CE550D" w:rsidRPr="000A697C" w:rsidP="000A697C" w14:paraId="649ADEFD" w14:textId="77777777">
            <w:pPr>
              <w:contextualSpacing/>
              <w:rPr>
                <w:rFonts w:eastAsia="Calibri"/>
                <w:color w:val="000000"/>
                <w:sz w:val="18"/>
                <w:szCs w:val="18"/>
              </w:rPr>
            </w:pPr>
          </w:p>
          <w:p w:rsidR="00CE550D" w:rsidRPr="000A697C" w:rsidP="000A697C" w14:paraId="24696A47" w14:textId="77777777">
            <w:pPr>
              <w:contextualSpacing/>
              <w:rPr>
                <w:rFonts w:eastAsia="Calibri"/>
                <w:color w:val="000000"/>
                <w:sz w:val="18"/>
                <w:szCs w:val="18"/>
              </w:rPr>
            </w:pPr>
            <w:r w:rsidRPr="000A697C">
              <w:rPr>
                <w:rFonts w:eastAsia="Calibri"/>
                <w:color w:val="000000"/>
                <w:sz w:val="18"/>
                <w:szCs w:val="18"/>
              </w:rPr>
              <w:t>Average yearly expenses for pens and notepads for 38 staff members.</w:t>
            </w:r>
          </w:p>
          <w:p w:rsidR="000C5F1E" w:rsidRPr="000A697C" w:rsidP="000A697C" w14:paraId="33C1F6D3" w14:textId="77777777">
            <w:pPr>
              <w:contextualSpacing/>
              <w:rPr>
                <w:rFonts w:eastAsia="Calibri"/>
                <w:color w:val="000000"/>
                <w:sz w:val="18"/>
                <w:szCs w:val="18"/>
              </w:rPr>
            </w:pPr>
            <w:r w:rsidRPr="000A697C">
              <w:rPr>
                <w:rFonts w:eastAsia="Calibri"/>
                <w:color w:val="000000"/>
                <w:sz w:val="18"/>
                <w:szCs w:val="18"/>
              </w:rPr>
              <w:t>$3,229</w:t>
            </w:r>
            <w:r w:rsidRPr="000A697C" w:rsidR="00EC76F9">
              <w:rPr>
                <w:rFonts w:eastAsia="Calibri"/>
                <w:color w:val="000000"/>
                <w:sz w:val="18"/>
                <w:szCs w:val="18"/>
              </w:rPr>
              <w:t xml:space="preserve"> at </w:t>
            </w:r>
            <w:r w:rsidRPr="000A697C" w:rsidR="00511F25">
              <w:rPr>
                <w:rFonts w:eastAsia="Calibri"/>
                <w:color w:val="000000"/>
                <w:sz w:val="18"/>
                <w:szCs w:val="18"/>
              </w:rPr>
              <w:t>15</w:t>
            </w:r>
            <w:r w:rsidRPr="000A697C" w:rsidR="004E6FCF">
              <w:rPr>
                <w:rFonts w:eastAsia="Calibri"/>
                <w:color w:val="000000"/>
                <w:sz w:val="18"/>
                <w:szCs w:val="18"/>
              </w:rPr>
              <w:t>%</w:t>
            </w:r>
            <w:r w:rsidRPr="000A697C" w:rsidR="00511F25">
              <w:rPr>
                <w:rFonts w:eastAsia="Calibri"/>
                <w:color w:val="000000"/>
                <w:sz w:val="18"/>
                <w:szCs w:val="18"/>
              </w:rPr>
              <w:t xml:space="preserve"> cost</w:t>
            </w:r>
          </w:p>
          <w:p w:rsidR="00CE550D" w:rsidRPr="000A697C" w:rsidP="000A697C" w14:paraId="7B1EDB83" w14:textId="0F6BAD36">
            <w:pPr>
              <w:contextualSpacing/>
              <w:rPr>
                <w:rFonts w:eastAsia="Calibri"/>
                <w:color w:val="000000"/>
                <w:sz w:val="18"/>
                <w:szCs w:val="18"/>
              </w:rPr>
            </w:pPr>
            <w:r w:rsidRPr="000A697C">
              <w:rPr>
                <w:rFonts w:eastAsia="Calibri"/>
                <w:color w:val="000000"/>
                <w:sz w:val="18"/>
                <w:szCs w:val="18"/>
              </w:rPr>
              <w:t>$3,229 x .15</w:t>
            </w:r>
            <w:r w:rsidRPr="000A697C" w:rsidR="00511F25">
              <w:rPr>
                <w:rFonts w:eastAsia="Calibri"/>
                <w:color w:val="000000"/>
                <w:sz w:val="18"/>
                <w:szCs w:val="18"/>
              </w:rPr>
              <w:t xml:space="preserve"> =</w:t>
            </w:r>
            <w:r w:rsidRPr="000A697C" w:rsidR="00753032">
              <w:rPr>
                <w:rFonts w:eastAsia="Calibri"/>
                <w:color w:val="000000"/>
                <w:sz w:val="18"/>
                <w:szCs w:val="18"/>
              </w:rPr>
              <w:t xml:space="preserve"> $</w:t>
            </w:r>
            <w:r w:rsidRPr="000A697C" w:rsidR="00963580">
              <w:rPr>
                <w:rFonts w:eastAsia="Calibri"/>
                <w:color w:val="000000"/>
                <w:sz w:val="18"/>
                <w:szCs w:val="18"/>
              </w:rPr>
              <w:t>484</w:t>
            </w:r>
          </w:p>
          <w:p w:rsidR="00102DD3" w:rsidRPr="000A697C" w:rsidP="000A697C" w14:paraId="69D839DB" w14:textId="77777777">
            <w:pPr>
              <w:contextualSpacing/>
              <w:rPr>
                <w:rFonts w:eastAsia="Calibri"/>
                <w:b/>
                <w:color w:val="000000"/>
                <w:sz w:val="18"/>
                <w:szCs w:val="18"/>
              </w:rPr>
            </w:pPr>
          </w:p>
          <w:p w:rsidR="00102DD3" w:rsidRPr="000A697C" w:rsidP="000A697C" w14:paraId="27307DC5" w14:textId="5C09EA09">
            <w:pPr>
              <w:contextualSpacing/>
              <w:rPr>
                <w:rFonts w:eastAsia="Calibri"/>
                <w:bCs/>
                <w:sz w:val="18"/>
                <w:szCs w:val="18"/>
              </w:rPr>
            </w:pPr>
            <w:r w:rsidRPr="000A697C">
              <w:rPr>
                <w:rFonts w:eastAsia="Calibri"/>
                <w:bCs/>
                <w:color w:val="000000"/>
                <w:sz w:val="18"/>
                <w:szCs w:val="18"/>
              </w:rPr>
              <w:t>$</w:t>
            </w:r>
            <w:r w:rsidRPr="000A697C" w:rsidR="00A703CF">
              <w:rPr>
                <w:rFonts w:eastAsia="Calibri"/>
                <w:bCs/>
                <w:color w:val="000000"/>
                <w:sz w:val="18"/>
                <w:szCs w:val="18"/>
              </w:rPr>
              <w:t>2,942</w:t>
            </w:r>
            <w:r w:rsidRPr="000A697C">
              <w:rPr>
                <w:rFonts w:eastAsia="Calibri"/>
                <w:bCs/>
                <w:color w:val="000000"/>
                <w:sz w:val="18"/>
                <w:szCs w:val="18"/>
              </w:rPr>
              <w:t xml:space="preserve"> + $</w:t>
            </w:r>
            <w:r w:rsidRPr="000A697C" w:rsidR="00CA00DA">
              <w:rPr>
                <w:rFonts w:eastAsia="Calibri"/>
                <w:bCs/>
                <w:color w:val="000000"/>
                <w:sz w:val="18"/>
                <w:szCs w:val="18"/>
              </w:rPr>
              <w:t>4,244</w:t>
            </w:r>
            <w:r w:rsidRPr="000A697C">
              <w:rPr>
                <w:rFonts w:eastAsia="Calibri"/>
                <w:bCs/>
                <w:color w:val="000000"/>
                <w:sz w:val="18"/>
                <w:szCs w:val="18"/>
              </w:rPr>
              <w:t xml:space="preserve"> + </w:t>
            </w:r>
            <w:r w:rsidRPr="000A697C" w:rsidR="00CA00DA">
              <w:rPr>
                <w:rFonts w:eastAsia="Calibri"/>
                <w:bCs/>
                <w:color w:val="000000"/>
                <w:sz w:val="18"/>
                <w:szCs w:val="18"/>
              </w:rPr>
              <w:t>$484</w:t>
            </w:r>
            <w:r w:rsidRPr="000A697C">
              <w:rPr>
                <w:rFonts w:eastAsia="Calibri"/>
                <w:bCs/>
                <w:color w:val="000000"/>
                <w:sz w:val="18"/>
                <w:szCs w:val="18"/>
              </w:rPr>
              <w:t>= $</w:t>
            </w:r>
            <w:r w:rsidRPr="000A697C" w:rsidR="00600B56">
              <w:rPr>
                <w:rFonts w:eastAsia="Calibri"/>
                <w:bCs/>
                <w:color w:val="000000"/>
                <w:sz w:val="18"/>
                <w:szCs w:val="18"/>
              </w:rPr>
              <w:t>7,670</w:t>
            </w:r>
          </w:p>
        </w:tc>
        <w:tc>
          <w:tcPr>
            <w:tcW w:w="1975" w:type="dxa"/>
            <w:shd w:val="clear" w:color="auto" w:fill="auto"/>
            <w:vAlign w:val="center"/>
          </w:tcPr>
          <w:p w:rsidR="00CE550D" w:rsidRPr="00E84F5E" w:rsidP="000A697C" w14:paraId="0A55C809" w14:textId="4DFE18BE">
            <w:pPr>
              <w:contextualSpacing/>
              <w:jc w:val="right"/>
              <w:rPr>
                <w:rFonts w:eastAsia="Calibri"/>
                <w:sz w:val="18"/>
                <w:szCs w:val="18"/>
              </w:rPr>
            </w:pPr>
            <w:r w:rsidRPr="00E84F5E">
              <w:rPr>
                <w:rFonts w:eastAsia="Calibri"/>
                <w:sz w:val="18"/>
                <w:szCs w:val="18"/>
              </w:rPr>
              <w:t>$</w:t>
            </w:r>
            <w:r w:rsidRPr="00E84F5E" w:rsidR="00600B56">
              <w:rPr>
                <w:rFonts w:eastAsia="Calibri"/>
                <w:sz w:val="18"/>
                <w:szCs w:val="18"/>
              </w:rPr>
              <w:t>7,670</w:t>
            </w:r>
          </w:p>
        </w:tc>
      </w:tr>
      <w:tr w14:paraId="73DA8EC2" w14:textId="77777777" w:rsidTr="00C20D75">
        <w:tblPrEx>
          <w:tblW w:w="0" w:type="auto"/>
          <w:tblLook w:val="04A0"/>
        </w:tblPrEx>
        <w:tc>
          <w:tcPr>
            <w:tcW w:w="7375" w:type="dxa"/>
            <w:shd w:val="clear" w:color="auto" w:fill="auto"/>
          </w:tcPr>
          <w:p w:rsidR="00CE550D" w:rsidRPr="00E84F5E" w:rsidP="000A697C" w14:paraId="2E5B9D14" w14:textId="77777777">
            <w:pPr>
              <w:contextualSpacing/>
              <w:rPr>
                <w:rFonts w:eastAsia="Calibri"/>
                <w:b/>
                <w:sz w:val="18"/>
                <w:szCs w:val="18"/>
              </w:rPr>
            </w:pPr>
            <w:r w:rsidRPr="000A697C">
              <w:rPr>
                <w:rFonts w:eastAsia="Calibri"/>
                <w:b/>
                <w:sz w:val="18"/>
                <w:szCs w:val="18"/>
              </w:rPr>
              <w:t>Total</w:t>
            </w:r>
          </w:p>
        </w:tc>
        <w:tc>
          <w:tcPr>
            <w:tcW w:w="1975" w:type="dxa"/>
            <w:shd w:val="clear" w:color="auto" w:fill="auto"/>
            <w:vAlign w:val="center"/>
          </w:tcPr>
          <w:p w:rsidR="00CE550D" w:rsidRPr="00762A0D" w14:paraId="0BA5D49F" w14:textId="53A1039E">
            <w:pPr>
              <w:contextualSpacing/>
              <w:jc w:val="right"/>
              <w:rPr>
                <w:rFonts w:eastAsia="Calibri"/>
                <w:b/>
                <w:bCs/>
                <w:sz w:val="18"/>
                <w:szCs w:val="18"/>
              </w:rPr>
            </w:pPr>
            <w:r w:rsidRPr="00762A0D">
              <w:rPr>
                <w:rFonts w:eastAsia="Calibri"/>
                <w:b/>
                <w:bCs/>
                <w:sz w:val="18"/>
                <w:szCs w:val="18"/>
              </w:rPr>
              <w:t>$897,467</w:t>
            </w:r>
          </w:p>
        </w:tc>
      </w:tr>
      <w:tr w14:paraId="10863532" w14:textId="77777777" w:rsidTr="00C20D75">
        <w:tblPrEx>
          <w:tblW w:w="0" w:type="auto"/>
          <w:tblLook w:val="04A0"/>
        </w:tblPrEx>
        <w:tc>
          <w:tcPr>
            <w:tcW w:w="9350" w:type="dxa"/>
            <w:gridSpan w:val="2"/>
            <w:shd w:val="clear" w:color="auto" w:fill="auto"/>
          </w:tcPr>
          <w:p w:rsidR="00CE550D" w:rsidRPr="000A697C" w:rsidP="000A697C" w14:paraId="22A38EC1" w14:textId="51ACBAA1">
            <w:pPr>
              <w:contextualSpacing/>
              <w:rPr>
                <w:rFonts w:eastAsia="Calibri"/>
                <w:sz w:val="18"/>
                <w:szCs w:val="18"/>
              </w:rPr>
            </w:pPr>
            <w:bookmarkStart w:id="12" w:name="OLE_LINK1"/>
            <w:r w:rsidRPr="000A697C">
              <w:rPr>
                <w:rFonts w:eastAsia="Calibri"/>
                <w:sz w:val="18"/>
                <w:szCs w:val="18"/>
                <w:vertAlign w:val="superscript"/>
              </w:rPr>
              <w:t>1</w:t>
            </w:r>
            <w:r w:rsidRPr="000A697C">
              <w:rPr>
                <w:rFonts w:eastAsia="Calibri"/>
                <w:sz w:val="18"/>
                <w:szCs w:val="18"/>
              </w:rPr>
              <w:t xml:space="preserve"> Office of Personnel Management 202</w:t>
            </w:r>
            <w:r w:rsidR="00D11BD0">
              <w:rPr>
                <w:rFonts w:eastAsia="Calibri"/>
                <w:sz w:val="18"/>
                <w:szCs w:val="18"/>
              </w:rPr>
              <w:t>3</w:t>
            </w:r>
            <w:r w:rsidRPr="000A697C">
              <w:rPr>
                <w:rFonts w:eastAsia="Calibri"/>
                <w:sz w:val="18"/>
                <w:szCs w:val="18"/>
              </w:rPr>
              <w:t xml:space="preserve"> Pay and Leave Tables for the Washington-Baltimore-Arlington, DC-MD-VA-WV-PA locality. Available online at</w:t>
            </w:r>
            <w:r w:rsidR="00D11BD0">
              <w:rPr>
                <w:rFonts w:eastAsia="Calibri"/>
                <w:sz w:val="18"/>
                <w:szCs w:val="18"/>
              </w:rPr>
              <w:t xml:space="preserve"> </w:t>
            </w:r>
            <w:hyperlink r:id="rId10" w:history="1">
              <w:r w:rsidRPr="00D11BD0" w:rsidR="00D11BD0">
                <w:rPr>
                  <w:rStyle w:val="Hyperlink"/>
                  <w:rFonts w:eastAsia="Calibri"/>
                  <w:sz w:val="18"/>
                  <w:szCs w:val="18"/>
                </w:rPr>
                <w:t>https://www.opm.gov/policy-data-oversight/pay-leave/salaries-wages/salary-tables/pdf/2023/DCB.pdf</w:t>
              </w:r>
            </w:hyperlink>
            <w:r w:rsidRPr="00D11BD0" w:rsidR="00D11BD0">
              <w:rPr>
                <w:rFonts w:eastAsia="Calibri"/>
                <w:sz w:val="18"/>
                <w:szCs w:val="18"/>
              </w:rPr>
              <w:t xml:space="preserve"> </w:t>
            </w:r>
            <w:r w:rsidRPr="000A697C">
              <w:rPr>
                <w:rFonts w:eastAsia="Calibri"/>
                <w:sz w:val="18"/>
                <w:szCs w:val="18"/>
              </w:rPr>
              <w:t xml:space="preserve">. Accessed </w:t>
            </w:r>
            <w:r w:rsidR="00D11BD0">
              <w:rPr>
                <w:rFonts w:eastAsia="Calibri"/>
                <w:sz w:val="18"/>
                <w:szCs w:val="18"/>
              </w:rPr>
              <w:t>January</w:t>
            </w:r>
            <w:r w:rsidRPr="000A697C" w:rsidR="004A5893">
              <w:rPr>
                <w:rFonts w:eastAsia="Calibri"/>
                <w:sz w:val="18"/>
                <w:szCs w:val="18"/>
              </w:rPr>
              <w:t xml:space="preserve"> </w:t>
            </w:r>
            <w:r w:rsidR="00D11BD0">
              <w:rPr>
                <w:rFonts w:eastAsia="Calibri"/>
                <w:sz w:val="18"/>
                <w:szCs w:val="18"/>
              </w:rPr>
              <w:t>17</w:t>
            </w:r>
            <w:r w:rsidRPr="000A697C">
              <w:rPr>
                <w:rFonts w:eastAsia="Calibri"/>
                <w:sz w:val="18"/>
                <w:szCs w:val="18"/>
              </w:rPr>
              <w:t>, 202</w:t>
            </w:r>
            <w:r w:rsidR="00D11BD0">
              <w:rPr>
                <w:rFonts w:eastAsia="Calibri"/>
                <w:sz w:val="18"/>
                <w:szCs w:val="18"/>
              </w:rPr>
              <w:t>3</w:t>
            </w:r>
          </w:p>
          <w:p w:rsidR="00CE550D" w:rsidRPr="000A697C" w:rsidP="000A697C" w14:paraId="77A859B4" w14:textId="784F180C">
            <w:pPr>
              <w:contextualSpacing/>
              <w:rPr>
                <w:rFonts w:eastAsia="Calibri"/>
                <w:sz w:val="18"/>
                <w:szCs w:val="18"/>
              </w:rPr>
            </w:pPr>
            <w:r w:rsidRPr="000A697C">
              <w:rPr>
                <w:rFonts w:eastAsia="Calibri"/>
                <w:sz w:val="18"/>
                <w:szCs w:val="18"/>
                <w:vertAlign w:val="superscript"/>
              </w:rPr>
              <w:t>2</w:t>
            </w:r>
            <w:r w:rsidRPr="000A697C">
              <w:rPr>
                <w:rFonts w:eastAsia="Calibri"/>
                <w:sz w:val="18"/>
                <w:szCs w:val="18"/>
              </w:rPr>
              <w:t xml:space="preserve"> Wage rate includes a 1.</w:t>
            </w:r>
            <w:r w:rsidR="007317C6">
              <w:rPr>
                <w:rFonts w:eastAsia="Calibri"/>
                <w:sz w:val="18"/>
                <w:szCs w:val="18"/>
              </w:rPr>
              <w:t>45</w:t>
            </w:r>
            <w:r w:rsidRPr="000A697C">
              <w:rPr>
                <w:rFonts w:eastAsia="Calibri"/>
                <w:sz w:val="18"/>
                <w:szCs w:val="18"/>
              </w:rPr>
              <w:t xml:space="preserve"> multiplier to reflect the fully-loaded wage rate.</w:t>
            </w:r>
            <w:bookmarkEnd w:id="12"/>
          </w:p>
        </w:tc>
      </w:tr>
      <w:bookmarkEnd w:id="11"/>
    </w:tbl>
    <w:p w:rsidR="00CE550D" w:rsidRPr="000A697C" w:rsidP="00C34635" w14:paraId="07B37ABC" w14:textId="77777777">
      <w:pPr>
        <w:spacing w:line="276" w:lineRule="auto"/>
        <w:contextualSpacing/>
        <w:rPr>
          <w:b/>
          <w:bCs/>
        </w:rPr>
      </w:pPr>
    </w:p>
    <w:p w:rsidR="009E06D6" w:rsidRPr="000A697C" w:rsidP="00C34635" w14:paraId="5FF847A6" w14:textId="77777777">
      <w:pPr>
        <w:spacing w:line="276" w:lineRule="auto"/>
        <w:contextualSpacing/>
        <w:rPr>
          <w:sz w:val="20"/>
          <w:szCs w:val="20"/>
        </w:rPr>
      </w:pPr>
      <w:r w:rsidRPr="000A697C">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E21C2" w:rsidRPr="000A697C" w:rsidP="00C34635" w14:paraId="52E1848B" w14:textId="408966DA">
      <w:pPr>
        <w:pStyle w:val="NormalWeb"/>
        <w:spacing w:line="276" w:lineRule="auto"/>
        <w:contextualSpacing/>
        <w:rPr>
          <w:i/>
          <w:sz w:val="20"/>
          <w:szCs w:val="20"/>
        </w:rPr>
      </w:pPr>
      <w:r w:rsidRPr="000A697C">
        <w:rPr>
          <w:i/>
          <w:sz w:val="20"/>
          <w:szCs w:val="20"/>
        </w:rPr>
        <w:t xml:space="preserve">A </w:t>
      </w:r>
      <w:r w:rsidRPr="000A697C" w:rsidR="000A697C">
        <w:rPr>
          <w:b/>
          <w:bCs/>
          <w:i/>
          <w:sz w:val="20"/>
          <w:szCs w:val="20"/>
        </w:rPr>
        <w:t>“</w:t>
      </w:r>
      <w:r w:rsidRPr="000A697C">
        <w:rPr>
          <w:b/>
          <w:bCs/>
          <w:i/>
          <w:sz w:val="20"/>
          <w:szCs w:val="20"/>
        </w:rPr>
        <w:t>Program increase</w:t>
      </w:r>
      <w:r w:rsidRPr="000A697C" w:rsidR="000A697C">
        <w:rPr>
          <w:b/>
          <w:bCs/>
          <w:i/>
          <w:sz w:val="20"/>
          <w:szCs w:val="20"/>
        </w:rPr>
        <w:t>”</w:t>
      </w:r>
      <w:r w:rsidRPr="000A697C">
        <w:rPr>
          <w:i/>
          <w:sz w:val="20"/>
          <w:szCs w:val="20"/>
        </w:rPr>
        <w:t xml:space="preserve"> is an additional burden resulting from </w:t>
      </w:r>
      <w:r w:rsidRPr="000A697C" w:rsidR="009A2A50">
        <w:rPr>
          <w:i/>
          <w:sz w:val="20"/>
          <w:szCs w:val="20"/>
        </w:rPr>
        <w:t>a</w:t>
      </w:r>
      <w:r w:rsidRPr="000A697C" w:rsidR="005926EA">
        <w:rPr>
          <w:i/>
          <w:sz w:val="20"/>
          <w:szCs w:val="20"/>
        </w:rPr>
        <w:t xml:space="preserve"> </w:t>
      </w:r>
      <w:r w:rsidRPr="000A697C" w:rsidR="000A697C">
        <w:rPr>
          <w:i/>
          <w:sz w:val="20"/>
          <w:szCs w:val="20"/>
        </w:rPr>
        <w:t>F</w:t>
      </w:r>
      <w:r w:rsidRPr="000A697C" w:rsidR="005926EA">
        <w:rPr>
          <w:i/>
          <w:sz w:val="20"/>
          <w:szCs w:val="20"/>
        </w:rPr>
        <w:t xml:space="preserve">ederal </w:t>
      </w:r>
      <w:r w:rsidRPr="000A697C" w:rsidR="000A697C">
        <w:rPr>
          <w:i/>
          <w:sz w:val="20"/>
          <w:szCs w:val="20"/>
        </w:rPr>
        <w:t>G</w:t>
      </w:r>
      <w:r w:rsidRPr="000A697C" w:rsidR="005926EA">
        <w:rPr>
          <w:i/>
          <w:sz w:val="20"/>
          <w:szCs w:val="20"/>
        </w:rPr>
        <w:t>overnment regulatory</w:t>
      </w:r>
      <w:r w:rsidRPr="000A697C">
        <w:rPr>
          <w:i/>
          <w:sz w:val="20"/>
          <w:szCs w:val="20"/>
        </w:rPr>
        <w:t xml:space="preserve"> action or directive</w:t>
      </w:r>
      <w:r w:rsidRPr="000A697C" w:rsidR="005926EA">
        <w:rPr>
          <w:i/>
          <w:sz w:val="20"/>
          <w:szCs w:val="20"/>
        </w:rPr>
        <w:t>.</w:t>
      </w:r>
      <w:r w:rsidRPr="000A697C">
        <w:rPr>
          <w:i/>
          <w:sz w:val="20"/>
          <w:szCs w:val="20"/>
        </w:rPr>
        <w:t xml:space="preserve"> (e.g., an increase in sample size or coverage, amount of information, reporting frequency, or expanded use of an</w:t>
      </w:r>
      <w:r w:rsidRPr="000A697C" w:rsidR="00A643EA">
        <w:rPr>
          <w:i/>
          <w:sz w:val="20"/>
          <w:szCs w:val="20"/>
        </w:rPr>
        <w:t xml:space="preserve"> </w:t>
      </w:r>
      <w:r w:rsidRPr="000A697C">
        <w:rPr>
          <w:i/>
          <w:sz w:val="20"/>
          <w:szCs w:val="20"/>
        </w:rPr>
        <w:t>existing form). This also includes previously in-use</w:t>
      </w:r>
      <w:r w:rsidRPr="000A697C" w:rsidR="00A643EA">
        <w:rPr>
          <w:i/>
          <w:sz w:val="20"/>
          <w:szCs w:val="20"/>
        </w:rPr>
        <w:t xml:space="preserve"> </w:t>
      </w:r>
      <w:r w:rsidRPr="000A697C">
        <w:rPr>
          <w:i/>
          <w:sz w:val="20"/>
          <w:szCs w:val="20"/>
        </w:rPr>
        <w:t>and unapproved information collections discovered during the ICB process, or during the fiscal</w:t>
      </w:r>
      <w:r w:rsidRPr="000A697C" w:rsidR="005926EA">
        <w:rPr>
          <w:i/>
          <w:sz w:val="20"/>
          <w:szCs w:val="20"/>
        </w:rPr>
        <w:t xml:space="preserve"> y</w:t>
      </w:r>
      <w:r w:rsidRPr="000A697C">
        <w:rPr>
          <w:i/>
          <w:sz w:val="20"/>
          <w:szCs w:val="20"/>
        </w:rPr>
        <w:t xml:space="preserve">ear, which will be in use during the next fiscal year. </w:t>
      </w:r>
    </w:p>
    <w:p w:rsidR="005E21C2" w:rsidRPr="000A697C" w:rsidP="00C34635" w14:paraId="30A6AF26" w14:textId="495C28FA">
      <w:pPr>
        <w:pStyle w:val="NormalWeb"/>
        <w:spacing w:line="276" w:lineRule="auto"/>
        <w:contextualSpacing/>
        <w:rPr>
          <w:i/>
          <w:sz w:val="20"/>
          <w:szCs w:val="20"/>
        </w:rPr>
      </w:pPr>
      <w:r w:rsidRPr="000A697C">
        <w:rPr>
          <w:i/>
          <w:sz w:val="20"/>
          <w:szCs w:val="20"/>
        </w:rPr>
        <w:t xml:space="preserve">A </w:t>
      </w:r>
      <w:r w:rsidRPr="000A697C" w:rsidR="000A697C">
        <w:rPr>
          <w:i/>
          <w:sz w:val="20"/>
          <w:szCs w:val="20"/>
        </w:rPr>
        <w:t>“</w:t>
      </w:r>
      <w:r w:rsidRPr="000A697C">
        <w:rPr>
          <w:b/>
          <w:bCs/>
          <w:i/>
          <w:sz w:val="20"/>
          <w:szCs w:val="20"/>
        </w:rPr>
        <w:t>Program decrease</w:t>
      </w:r>
      <w:r w:rsidRPr="000A697C" w:rsidR="000A697C">
        <w:rPr>
          <w:b/>
          <w:bCs/>
          <w:i/>
          <w:sz w:val="20"/>
          <w:szCs w:val="20"/>
        </w:rPr>
        <w:t>”</w:t>
      </w:r>
      <w:r w:rsidRPr="000A697C">
        <w:rPr>
          <w:b/>
          <w:bCs/>
          <w:i/>
          <w:sz w:val="20"/>
          <w:szCs w:val="20"/>
        </w:rPr>
        <w:t xml:space="preserve">, </w:t>
      </w:r>
      <w:r w:rsidRPr="000A697C">
        <w:rPr>
          <w:i/>
          <w:sz w:val="20"/>
          <w:szCs w:val="20"/>
        </w:rPr>
        <w:t xml:space="preserve">is a reduction in burden because of: (1) the </w:t>
      </w:r>
      <w:r w:rsidRPr="000A697C" w:rsidR="00A643EA">
        <w:rPr>
          <w:i/>
          <w:sz w:val="20"/>
          <w:szCs w:val="20"/>
        </w:rPr>
        <w:t xml:space="preserve">discontinuation of an </w:t>
      </w:r>
      <w:r w:rsidRPr="000A697C">
        <w:rPr>
          <w:i/>
          <w:sz w:val="20"/>
          <w:szCs w:val="20"/>
        </w:rPr>
        <w:t>information collection; or (2) a change in an existing</w:t>
      </w:r>
      <w:r w:rsidRPr="000A697C" w:rsidR="00A643EA">
        <w:rPr>
          <w:i/>
          <w:sz w:val="20"/>
          <w:szCs w:val="20"/>
        </w:rPr>
        <w:t xml:space="preserve"> </w:t>
      </w:r>
      <w:r w:rsidRPr="000A697C">
        <w:rPr>
          <w:i/>
          <w:sz w:val="20"/>
          <w:szCs w:val="20"/>
        </w:rPr>
        <w:t xml:space="preserve">information collection by a Federal </w:t>
      </w:r>
      <w:r w:rsidRPr="000A697C" w:rsidR="000A697C">
        <w:rPr>
          <w:i/>
          <w:sz w:val="20"/>
          <w:szCs w:val="20"/>
        </w:rPr>
        <w:t>A</w:t>
      </w:r>
      <w:r w:rsidRPr="000A697C">
        <w:rPr>
          <w:i/>
          <w:sz w:val="20"/>
          <w:szCs w:val="20"/>
        </w:rPr>
        <w:t>gency</w:t>
      </w:r>
      <w:r w:rsidRPr="000A697C" w:rsidR="00A643EA">
        <w:rPr>
          <w:i/>
          <w:sz w:val="20"/>
          <w:szCs w:val="20"/>
        </w:rPr>
        <w:t xml:space="preserve"> </w:t>
      </w:r>
      <w:r w:rsidRPr="000A697C">
        <w:rPr>
          <w:i/>
          <w:sz w:val="20"/>
          <w:szCs w:val="20"/>
        </w:rPr>
        <w:t xml:space="preserve">(e.g., the use of sampling (or smaller samples), a decrease in the amount of information requested (fewer questions), or a decrease in reporting frequency). </w:t>
      </w:r>
    </w:p>
    <w:p w:rsidR="00D953D7" w:rsidRPr="000A697C" w:rsidP="00C34635" w14:paraId="059A18CE" w14:textId="7B7A542C">
      <w:pPr>
        <w:pStyle w:val="NormalWeb"/>
        <w:tabs>
          <w:tab w:val="left" w:pos="3960"/>
        </w:tabs>
        <w:spacing w:line="276" w:lineRule="auto"/>
        <w:contextualSpacing/>
        <w:rPr>
          <w:i/>
          <w:sz w:val="20"/>
          <w:szCs w:val="20"/>
        </w:rPr>
      </w:pPr>
      <w:r w:rsidRPr="000A697C">
        <w:rPr>
          <w:i/>
          <w:iCs/>
          <w:sz w:val="20"/>
          <w:szCs w:val="20"/>
        </w:rPr>
        <w:t>An</w:t>
      </w:r>
      <w:r w:rsidRPr="000A697C" w:rsidR="005E21C2">
        <w:rPr>
          <w:i/>
          <w:iCs/>
          <w:sz w:val="20"/>
          <w:szCs w:val="20"/>
        </w:rPr>
        <w:t xml:space="preserve"> </w:t>
      </w:r>
      <w:r w:rsidRPr="000A697C">
        <w:rPr>
          <w:b/>
          <w:bCs/>
          <w:i/>
          <w:iCs/>
          <w:sz w:val="20"/>
          <w:szCs w:val="20"/>
        </w:rPr>
        <w:t>“</w:t>
      </w:r>
      <w:r w:rsidRPr="000A697C" w:rsidR="005E21C2">
        <w:rPr>
          <w:b/>
          <w:bCs/>
          <w:i/>
          <w:iCs/>
          <w:sz w:val="20"/>
          <w:szCs w:val="20"/>
        </w:rPr>
        <w:t>Adjustment</w:t>
      </w:r>
      <w:r w:rsidRPr="000A697C">
        <w:rPr>
          <w:b/>
          <w:bCs/>
          <w:i/>
          <w:iCs/>
          <w:sz w:val="20"/>
          <w:szCs w:val="20"/>
        </w:rPr>
        <w:t>”</w:t>
      </w:r>
      <w:r w:rsidRPr="000A697C" w:rsidR="005E21C2">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C24A4" w:rsidRPr="000A697C" w:rsidP="00C34635" w14:paraId="46C5F57A" w14:textId="77777777">
      <w:pPr>
        <w:pStyle w:val="NormalWeb"/>
        <w:spacing w:before="0" w:beforeAutospacing="0" w:after="0" w:afterAutospacing="0" w:line="276" w:lineRule="auto"/>
        <w:contextualSpacing/>
        <w:rPr>
          <w:b/>
          <w:bCs/>
          <w:sz w:val="22"/>
          <w:szCs w:val="22"/>
        </w:rPr>
      </w:pPr>
    </w:p>
    <w:tbl>
      <w:tblPr>
        <w:tblW w:w="1023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8"/>
        <w:gridCol w:w="1532"/>
        <w:gridCol w:w="1255"/>
        <w:gridCol w:w="986"/>
        <w:gridCol w:w="1629"/>
        <w:gridCol w:w="1266"/>
        <w:gridCol w:w="1226"/>
      </w:tblGrid>
      <w:tr w14:paraId="22E8BB0C" w14:textId="77777777" w:rsidTr="000A697C">
        <w:tblPrEx>
          <w:tblW w:w="1023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32" w:type="dxa"/>
            <w:gridSpan w:val="7"/>
            <w:shd w:val="clear" w:color="auto" w:fill="8EAADB" w:themeFill="accent1" w:themeFillTint="99"/>
          </w:tcPr>
          <w:p w:rsidR="00102DD3" w:rsidRPr="000A697C" w:rsidP="000A697C" w14:paraId="285368D0" w14:textId="77777777">
            <w:pPr>
              <w:contextualSpacing/>
              <w:jc w:val="center"/>
              <w:rPr>
                <w:b/>
                <w:sz w:val="20"/>
                <w:szCs w:val="20"/>
              </w:rPr>
            </w:pPr>
            <w:bookmarkStart w:id="13" w:name="_Hlk23326361"/>
            <w:r w:rsidRPr="000A697C">
              <w:rPr>
                <w:b/>
                <w:sz w:val="20"/>
                <w:szCs w:val="20"/>
              </w:rPr>
              <w:t>Itemized Changes in Annual Burden Hours</w:t>
            </w:r>
          </w:p>
        </w:tc>
      </w:tr>
      <w:tr w14:paraId="4EF057A0" w14:textId="77777777" w:rsidTr="000A697C">
        <w:tblPrEx>
          <w:tblW w:w="10232" w:type="dxa"/>
          <w:tblInd w:w="-545" w:type="dxa"/>
          <w:tblLook w:val="04A0"/>
        </w:tblPrEx>
        <w:tc>
          <w:tcPr>
            <w:tcW w:w="2338" w:type="dxa"/>
            <w:shd w:val="clear" w:color="auto" w:fill="8EAADB" w:themeFill="accent1" w:themeFillTint="99"/>
          </w:tcPr>
          <w:p w:rsidR="00102DD3" w:rsidRPr="000A697C" w:rsidP="000A697C" w14:paraId="555C79C6" w14:textId="77777777">
            <w:pPr>
              <w:contextualSpacing/>
              <w:rPr>
                <w:sz w:val="18"/>
                <w:szCs w:val="18"/>
              </w:rPr>
            </w:pPr>
            <w:r w:rsidRPr="000A697C">
              <w:rPr>
                <w:sz w:val="18"/>
                <w:szCs w:val="18"/>
              </w:rPr>
              <w:t>Data Collection Activity/Instrument</w:t>
            </w:r>
          </w:p>
        </w:tc>
        <w:tc>
          <w:tcPr>
            <w:tcW w:w="1532" w:type="dxa"/>
            <w:shd w:val="clear" w:color="auto" w:fill="8EAADB" w:themeFill="accent1" w:themeFillTint="99"/>
          </w:tcPr>
          <w:p w:rsidR="00102DD3" w:rsidRPr="000A697C" w:rsidP="000A697C" w14:paraId="57B88688" w14:textId="77777777">
            <w:pPr>
              <w:contextualSpacing/>
              <w:rPr>
                <w:sz w:val="18"/>
                <w:szCs w:val="18"/>
              </w:rPr>
            </w:pPr>
            <w:r w:rsidRPr="000A697C">
              <w:rPr>
                <w:sz w:val="18"/>
                <w:szCs w:val="18"/>
              </w:rPr>
              <w:t>Program Change (hours currently on OMB inventory)</w:t>
            </w:r>
          </w:p>
        </w:tc>
        <w:tc>
          <w:tcPr>
            <w:tcW w:w="1255" w:type="dxa"/>
            <w:shd w:val="clear" w:color="auto" w:fill="8EAADB" w:themeFill="accent1" w:themeFillTint="99"/>
          </w:tcPr>
          <w:p w:rsidR="00102DD3" w:rsidRPr="000A697C" w:rsidP="000A697C" w14:paraId="5D0DF4EF" w14:textId="77777777">
            <w:pPr>
              <w:contextualSpacing/>
              <w:rPr>
                <w:sz w:val="18"/>
                <w:szCs w:val="18"/>
              </w:rPr>
            </w:pPr>
            <w:r w:rsidRPr="000A697C">
              <w:rPr>
                <w:sz w:val="18"/>
                <w:szCs w:val="18"/>
              </w:rPr>
              <w:t>Program Change (new)</w:t>
            </w:r>
          </w:p>
        </w:tc>
        <w:tc>
          <w:tcPr>
            <w:tcW w:w="986" w:type="dxa"/>
            <w:shd w:val="clear" w:color="auto" w:fill="8EAADB" w:themeFill="accent1" w:themeFillTint="99"/>
          </w:tcPr>
          <w:p w:rsidR="00102DD3" w:rsidRPr="000A697C" w:rsidP="000A697C" w14:paraId="7B7A5361" w14:textId="77777777">
            <w:pPr>
              <w:contextualSpacing/>
              <w:rPr>
                <w:sz w:val="18"/>
                <w:szCs w:val="18"/>
              </w:rPr>
            </w:pPr>
            <w:r w:rsidRPr="000A697C">
              <w:rPr>
                <w:sz w:val="18"/>
                <w:szCs w:val="18"/>
              </w:rPr>
              <w:t>Difference</w:t>
            </w:r>
          </w:p>
        </w:tc>
        <w:tc>
          <w:tcPr>
            <w:tcW w:w="1629" w:type="dxa"/>
            <w:shd w:val="clear" w:color="auto" w:fill="8EAADB" w:themeFill="accent1" w:themeFillTint="99"/>
          </w:tcPr>
          <w:p w:rsidR="00102DD3" w:rsidRPr="000A697C" w:rsidP="000A697C" w14:paraId="1EDDB949" w14:textId="77777777">
            <w:pPr>
              <w:contextualSpacing/>
              <w:rPr>
                <w:sz w:val="18"/>
                <w:szCs w:val="18"/>
              </w:rPr>
            </w:pPr>
            <w:r w:rsidRPr="000A697C">
              <w:rPr>
                <w:sz w:val="18"/>
                <w:szCs w:val="18"/>
              </w:rPr>
              <w:t>Adjustment (hours currently on OMB inventory)</w:t>
            </w:r>
          </w:p>
        </w:tc>
        <w:tc>
          <w:tcPr>
            <w:tcW w:w="1266" w:type="dxa"/>
            <w:shd w:val="clear" w:color="auto" w:fill="8EAADB" w:themeFill="accent1" w:themeFillTint="99"/>
          </w:tcPr>
          <w:p w:rsidR="00102DD3" w:rsidRPr="000A697C" w:rsidP="000A697C" w14:paraId="3B19E18A" w14:textId="77777777">
            <w:pPr>
              <w:contextualSpacing/>
              <w:rPr>
                <w:sz w:val="18"/>
                <w:szCs w:val="18"/>
              </w:rPr>
            </w:pPr>
            <w:r w:rsidRPr="000A697C">
              <w:rPr>
                <w:sz w:val="18"/>
                <w:szCs w:val="18"/>
              </w:rPr>
              <w:t>Adjustment (new)</w:t>
            </w:r>
          </w:p>
        </w:tc>
        <w:tc>
          <w:tcPr>
            <w:tcW w:w="1226" w:type="dxa"/>
            <w:shd w:val="clear" w:color="auto" w:fill="8EAADB" w:themeFill="accent1" w:themeFillTint="99"/>
          </w:tcPr>
          <w:p w:rsidR="00102DD3" w:rsidRPr="000A697C" w:rsidP="000A697C" w14:paraId="6AEE3190" w14:textId="77777777">
            <w:pPr>
              <w:contextualSpacing/>
              <w:rPr>
                <w:sz w:val="18"/>
                <w:szCs w:val="18"/>
              </w:rPr>
            </w:pPr>
            <w:r w:rsidRPr="000A697C">
              <w:rPr>
                <w:sz w:val="18"/>
                <w:szCs w:val="18"/>
              </w:rPr>
              <w:t>Difference</w:t>
            </w:r>
          </w:p>
        </w:tc>
      </w:tr>
      <w:tr w14:paraId="1AF1CE45" w14:textId="77777777" w:rsidTr="000A697C">
        <w:tblPrEx>
          <w:tblW w:w="10232" w:type="dxa"/>
          <w:tblInd w:w="-545" w:type="dxa"/>
          <w:tblLook w:val="04A0"/>
        </w:tblPrEx>
        <w:tc>
          <w:tcPr>
            <w:tcW w:w="2338" w:type="dxa"/>
            <w:shd w:val="clear" w:color="auto" w:fill="auto"/>
            <w:vAlign w:val="center"/>
          </w:tcPr>
          <w:p w:rsidR="00102DD3" w:rsidRPr="000A697C" w:rsidP="000A697C" w14:paraId="755E67C5" w14:textId="77777777">
            <w:pPr>
              <w:contextualSpacing/>
              <w:rPr>
                <w:sz w:val="18"/>
                <w:szCs w:val="18"/>
              </w:rPr>
            </w:pPr>
            <w:r w:rsidRPr="000A697C">
              <w:rPr>
                <w:sz w:val="18"/>
                <w:szCs w:val="18"/>
              </w:rPr>
              <w:t>Public Assistance Initial Customer Satisfaction Survey FEMA Form FF-104-FY-21-155 (formerly 519-0-32) (Telephone) Non-Profit institutions</w:t>
            </w:r>
          </w:p>
        </w:tc>
        <w:tc>
          <w:tcPr>
            <w:tcW w:w="1532" w:type="dxa"/>
            <w:shd w:val="clear" w:color="auto" w:fill="auto"/>
            <w:vAlign w:val="center"/>
          </w:tcPr>
          <w:p w:rsidR="00102DD3" w:rsidRPr="000A697C" w:rsidP="000A697C" w14:paraId="41BFD7D1" w14:textId="77777777">
            <w:pPr>
              <w:contextualSpacing/>
              <w:jc w:val="right"/>
              <w:rPr>
                <w:sz w:val="18"/>
                <w:szCs w:val="18"/>
              </w:rPr>
            </w:pPr>
          </w:p>
        </w:tc>
        <w:tc>
          <w:tcPr>
            <w:tcW w:w="1255" w:type="dxa"/>
            <w:shd w:val="clear" w:color="auto" w:fill="auto"/>
            <w:vAlign w:val="center"/>
          </w:tcPr>
          <w:p w:rsidR="00102DD3" w:rsidRPr="000A697C" w:rsidP="000A697C" w14:paraId="77C75273" w14:textId="77777777">
            <w:pPr>
              <w:contextualSpacing/>
              <w:jc w:val="right"/>
              <w:rPr>
                <w:sz w:val="18"/>
                <w:szCs w:val="18"/>
              </w:rPr>
            </w:pPr>
          </w:p>
        </w:tc>
        <w:tc>
          <w:tcPr>
            <w:tcW w:w="986" w:type="dxa"/>
            <w:shd w:val="clear" w:color="auto" w:fill="auto"/>
            <w:vAlign w:val="center"/>
          </w:tcPr>
          <w:p w:rsidR="00102DD3" w:rsidRPr="000A697C" w:rsidP="000A697C" w14:paraId="34B30AB3" w14:textId="77777777">
            <w:pPr>
              <w:contextualSpacing/>
              <w:jc w:val="right"/>
              <w:rPr>
                <w:sz w:val="18"/>
                <w:szCs w:val="18"/>
              </w:rPr>
            </w:pPr>
          </w:p>
        </w:tc>
        <w:tc>
          <w:tcPr>
            <w:tcW w:w="1629" w:type="dxa"/>
            <w:shd w:val="clear" w:color="auto" w:fill="auto"/>
            <w:vAlign w:val="center"/>
          </w:tcPr>
          <w:p w:rsidR="00102DD3" w:rsidRPr="000A697C" w:rsidP="000A697C" w14:paraId="53AE57DB" w14:textId="77777777">
            <w:pPr>
              <w:contextualSpacing/>
              <w:jc w:val="right"/>
              <w:rPr>
                <w:sz w:val="18"/>
                <w:szCs w:val="18"/>
              </w:rPr>
            </w:pPr>
            <w:r w:rsidRPr="000A697C">
              <w:rPr>
                <w:sz w:val="18"/>
                <w:szCs w:val="18"/>
              </w:rPr>
              <w:t>55</w:t>
            </w:r>
          </w:p>
        </w:tc>
        <w:tc>
          <w:tcPr>
            <w:tcW w:w="1266" w:type="dxa"/>
            <w:shd w:val="clear" w:color="auto" w:fill="auto"/>
            <w:vAlign w:val="center"/>
          </w:tcPr>
          <w:p w:rsidR="00102DD3" w:rsidRPr="000A697C" w:rsidP="000A697C" w14:paraId="626D5CCD" w14:textId="77777777">
            <w:pPr>
              <w:contextualSpacing/>
              <w:jc w:val="right"/>
              <w:rPr>
                <w:sz w:val="18"/>
                <w:szCs w:val="18"/>
              </w:rPr>
            </w:pPr>
            <w:r w:rsidRPr="000A697C">
              <w:rPr>
                <w:sz w:val="18"/>
                <w:szCs w:val="18"/>
              </w:rPr>
              <w:t>46</w:t>
            </w:r>
          </w:p>
        </w:tc>
        <w:tc>
          <w:tcPr>
            <w:tcW w:w="1226" w:type="dxa"/>
            <w:shd w:val="clear" w:color="auto" w:fill="auto"/>
            <w:vAlign w:val="center"/>
          </w:tcPr>
          <w:p w:rsidR="00102DD3" w:rsidRPr="000A697C" w:rsidP="000A697C" w14:paraId="188E0210" w14:textId="77777777">
            <w:pPr>
              <w:contextualSpacing/>
              <w:jc w:val="right"/>
              <w:rPr>
                <w:sz w:val="18"/>
                <w:szCs w:val="18"/>
              </w:rPr>
            </w:pPr>
            <w:r w:rsidRPr="000A697C">
              <w:rPr>
                <w:sz w:val="18"/>
                <w:szCs w:val="18"/>
              </w:rPr>
              <w:t>-9</w:t>
            </w:r>
          </w:p>
        </w:tc>
      </w:tr>
      <w:tr w14:paraId="74D0F182" w14:textId="77777777" w:rsidTr="000A697C">
        <w:tblPrEx>
          <w:tblW w:w="10232" w:type="dxa"/>
          <w:tblInd w:w="-545" w:type="dxa"/>
          <w:tblLook w:val="04A0"/>
        </w:tblPrEx>
        <w:tc>
          <w:tcPr>
            <w:tcW w:w="2338" w:type="dxa"/>
            <w:shd w:val="clear" w:color="auto" w:fill="auto"/>
            <w:vAlign w:val="center"/>
          </w:tcPr>
          <w:p w:rsidR="00102DD3" w:rsidRPr="000A697C" w:rsidP="000A697C" w14:paraId="4982F838" w14:textId="77777777">
            <w:pPr>
              <w:contextualSpacing/>
              <w:rPr>
                <w:sz w:val="18"/>
                <w:szCs w:val="18"/>
              </w:rPr>
            </w:pPr>
            <w:r w:rsidRPr="000A697C">
              <w:rPr>
                <w:sz w:val="18"/>
                <w:szCs w:val="18"/>
              </w:rPr>
              <w:t>Public Assistance Initial Customer Satisfaction Survey FEMA Form FF-104-FY-21-155 (formerly 519-0-32) (Telephone) State, Local or Tribal Government</w:t>
            </w:r>
          </w:p>
        </w:tc>
        <w:tc>
          <w:tcPr>
            <w:tcW w:w="1532" w:type="dxa"/>
            <w:shd w:val="clear" w:color="auto" w:fill="auto"/>
            <w:vAlign w:val="center"/>
          </w:tcPr>
          <w:p w:rsidR="00102DD3" w:rsidRPr="000A697C" w:rsidP="000A697C" w14:paraId="40795D4D" w14:textId="77777777">
            <w:pPr>
              <w:contextualSpacing/>
              <w:jc w:val="right"/>
              <w:rPr>
                <w:sz w:val="18"/>
                <w:szCs w:val="18"/>
              </w:rPr>
            </w:pPr>
          </w:p>
        </w:tc>
        <w:tc>
          <w:tcPr>
            <w:tcW w:w="1255" w:type="dxa"/>
            <w:shd w:val="clear" w:color="auto" w:fill="auto"/>
            <w:vAlign w:val="center"/>
          </w:tcPr>
          <w:p w:rsidR="00102DD3" w:rsidRPr="000A697C" w:rsidP="000A697C" w14:paraId="0AFD2E77" w14:textId="77777777">
            <w:pPr>
              <w:contextualSpacing/>
              <w:jc w:val="right"/>
              <w:rPr>
                <w:sz w:val="18"/>
                <w:szCs w:val="18"/>
              </w:rPr>
            </w:pPr>
          </w:p>
        </w:tc>
        <w:tc>
          <w:tcPr>
            <w:tcW w:w="986" w:type="dxa"/>
            <w:shd w:val="clear" w:color="auto" w:fill="auto"/>
            <w:vAlign w:val="center"/>
          </w:tcPr>
          <w:p w:rsidR="00102DD3" w:rsidRPr="000A697C" w:rsidP="000A697C" w14:paraId="2DEC3664" w14:textId="77777777">
            <w:pPr>
              <w:contextualSpacing/>
              <w:jc w:val="right"/>
              <w:rPr>
                <w:sz w:val="18"/>
                <w:szCs w:val="18"/>
              </w:rPr>
            </w:pPr>
          </w:p>
        </w:tc>
        <w:tc>
          <w:tcPr>
            <w:tcW w:w="1629" w:type="dxa"/>
            <w:shd w:val="clear" w:color="auto" w:fill="auto"/>
            <w:vAlign w:val="center"/>
          </w:tcPr>
          <w:p w:rsidR="00102DD3" w:rsidRPr="000A697C" w:rsidP="000A697C" w14:paraId="59EF65C8" w14:textId="77777777">
            <w:pPr>
              <w:contextualSpacing/>
              <w:jc w:val="right"/>
              <w:rPr>
                <w:sz w:val="18"/>
                <w:szCs w:val="18"/>
              </w:rPr>
            </w:pPr>
            <w:r w:rsidRPr="000A697C">
              <w:rPr>
                <w:sz w:val="18"/>
                <w:szCs w:val="18"/>
              </w:rPr>
              <w:t>232</w:t>
            </w:r>
          </w:p>
        </w:tc>
        <w:tc>
          <w:tcPr>
            <w:tcW w:w="1266" w:type="dxa"/>
            <w:shd w:val="clear" w:color="auto" w:fill="auto"/>
            <w:vAlign w:val="center"/>
          </w:tcPr>
          <w:p w:rsidR="00102DD3" w:rsidRPr="000A697C" w:rsidP="000A697C" w14:paraId="5020801F" w14:textId="77777777">
            <w:pPr>
              <w:contextualSpacing/>
              <w:jc w:val="right"/>
              <w:rPr>
                <w:sz w:val="18"/>
                <w:szCs w:val="18"/>
              </w:rPr>
            </w:pPr>
            <w:r w:rsidRPr="000A697C">
              <w:rPr>
                <w:sz w:val="18"/>
                <w:szCs w:val="18"/>
              </w:rPr>
              <w:t>197</w:t>
            </w:r>
          </w:p>
        </w:tc>
        <w:tc>
          <w:tcPr>
            <w:tcW w:w="1226" w:type="dxa"/>
            <w:shd w:val="clear" w:color="auto" w:fill="auto"/>
            <w:vAlign w:val="center"/>
          </w:tcPr>
          <w:p w:rsidR="00102DD3" w:rsidRPr="000A697C" w:rsidP="000A697C" w14:paraId="09E016A2" w14:textId="77777777">
            <w:pPr>
              <w:contextualSpacing/>
              <w:jc w:val="right"/>
              <w:rPr>
                <w:sz w:val="18"/>
                <w:szCs w:val="18"/>
              </w:rPr>
            </w:pPr>
            <w:r w:rsidRPr="000A697C">
              <w:rPr>
                <w:sz w:val="18"/>
                <w:szCs w:val="18"/>
              </w:rPr>
              <w:t>-35</w:t>
            </w:r>
          </w:p>
        </w:tc>
      </w:tr>
      <w:tr w14:paraId="0A40E1CF" w14:textId="77777777" w:rsidTr="000A697C">
        <w:tblPrEx>
          <w:tblW w:w="10232" w:type="dxa"/>
          <w:tblInd w:w="-545" w:type="dxa"/>
          <w:tblLook w:val="04A0"/>
        </w:tblPrEx>
        <w:tc>
          <w:tcPr>
            <w:tcW w:w="2338" w:type="dxa"/>
            <w:shd w:val="clear" w:color="auto" w:fill="auto"/>
            <w:vAlign w:val="center"/>
          </w:tcPr>
          <w:p w:rsidR="00102DD3" w:rsidRPr="000A697C" w:rsidP="000A697C" w14:paraId="0ECDEBF6" w14:textId="77777777">
            <w:pPr>
              <w:contextualSpacing/>
              <w:rPr>
                <w:sz w:val="18"/>
                <w:szCs w:val="18"/>
              </w:rPr>
            </w:pPr>
            <w:r w:rsidRPr="000A697C">
              <w:rPr>
                <w:sz w:val="18"/>
                <w:szCs w:val="18"/>
              </w:rPr>
              <w:t>Public Assistance Initial Customer Satisfaction Survey FEMA Form FF-104-FY-21-156 (formerly 519-0-33) (Internet) Non-Profit institutions</w:t>
            </w:r>
          </w:p>
        </w:tc>
        <w:tc>
          <w:tcPr>
            <w:tcW w:w="1532" w:type="dxa"/>
            <w:shd w:val="clear" w:color="auto" w:fill="auto"/>
            <w:vAlign w:val="center"/>
          </w:tcPr>
          <w:p w:rsidR="00102DD3" w:rsidRPr="000A697C" w:rsidP="000A697C" w14:paraId="0CE1E6DB" w14:textId="77777777">
            <w:pPr>
              <w:contextualSpacing/>
              <w:jc w:val="right"/>
              <w:rPr>
                <w:sz w:val="18"/>
                <w:szCs w:val="18"/>
              </w:rPr>
            </w:pPr>
          </w:p>
        </w:tc>
        <w:tc>
          <w:tcPr>
            <w:tcW w:w="1255" w:type="dxa"/>
            <w:shd w:val="clear" w:color="auto" w:fill="auto"/>
            <w:vAlign w:val="center"/>
          </w:tcPr>
          <w:p w:rsidR="00102DD3" w:rsidRPr="000A697C" w:rsidP="000A697C" w14:paraId="516212A9" w14:textId="77777777">
            <w:pPr>
              <w:contextualSpacing/>
              <w:jc w:val="right"/>
              <w:rPr>
                <w:sz w:val="18"/>
                <w:szCs w:val="18"/>
              </w:rPr>
            </w:pPr>
          </w:p>
        </w:tc>
        <w:tc>
          <w:tcPr>
            <w:tcW w:w="986" w:type="dxa"/>
            <w:shd w:val="clear" w:color="auto" w:fill="auto"/>
            <w:vAlign w:val="center"/>
          </w:tcPr>
          <w:p w:rsidR="00102DD3" w:rsidRPr="000A697C" w:rsidP="000A697C" w14:paraId="3A72B297" w14:textId="77777777">
            <w:pPr>
              <w:contextualSpacing/>
              <w:jc w:val="right"/>
              <w:rPr>
                <w:sz w:val="18"/>
                <w:szCs w:val="18"/>
              </w:rPr>
            </w:pPr>
          </w:p>
        </w:tc>
        <w:tc>
          <w:tcPr>
            <w:tcW w:w="1629" w:type="dxa"/>
            <w:shd w:val="clear" w:color="auto" w:fill="auto"/>
            <w:vAlign w:val="center"/>
          </w:tcPr>
          <w:p w:rsidR="00102DD3" w:rsidRPr="000A697C" w:rsidP="000A697C" w14:paraId="5D3A127C" w14:textId="77777777">
            <w:pPr>
              <w:contextualSpacing/>
              <w:jc w:val="right"/>
              <w:rPr>
                <w:sz w:val="18"/>
                <w:szCs w:val="18"/>
              </w:rPr>
            </w:pPr>
            <w:r w:rsidRPr="000A697C">
              <w:rPr>
                <w:sz w:val="18"/>
                <w:szCs w:val="18"/>
              </w:rPr>
              <w:t>11</w:t>
            </w:r>
          </w:p>
        </w:tc>
        <w:tc>
          <w:tcPr>
            <w:tcW w:w="1266" w:type="dxa"/>
            <w:shd w:val="clear" w:color="auto" w:fill="auto"/>
            <w:vAlign w:val="center"/>
          </w:tcPr>
          <w:p w:rsidR="00102DD3" w:rsidRPr="000A697C" w:rsidP="000A697C" w14:paraId="17E411C4" w14:textId="77777777">
            <w:pPr>
              <w:contextualSpacing/>
              <w:jc w:val="right"/>
              <w:rPr>
                <w:sz w:val="18"/>
                <w:szCs w:val="18"/>
              </w:rPr>
            </w:pPr>
            <w:r w:rsidRPr="000A697C">
              <w:rPr>
                <w:sz w:val="18"/>
                <w:szCs w:val="18"/>
              </w:rPr>
              <w:t>7</w:t>
            </w:r>
          </w:p>
        </w:tc>
        <w:tc>
          <w:tcPr>
            <w:tcW w:w="1226" w:type="dxa"/>
            <w:shd w:val="clear" w:color="auto" w:fill="auto"/>
            <w:vAlign w:val="center"/>
          </w:tcPr>
          <w:p w:rsidR="00102DD3" w:rsidRPr="000A697C" w:rsidP="000A697C" w14:paraId="238A4334" w14:textId="77777777">
            <w:pPr>
              <w:contextualSpacing/>
              <w:jc w:val="right"/>
              <w:rPr>
                <w:sz w:val="18"/>
                <w:szCs w:val="18"/>
              </w:rPr>
            </w:pPr>
            <w:r w:rsidRPr="000A697C">
              <w:rPr>
                <w:sz w:val="18"/>
                <w:szCs w:val="18"/>
              </w:rPr>
              <w:t>-4</w:t>
            </w:r>
          </w:p>
        </w:tc>
      </w:tr>
      <w:tr w14:paraId="392989F7" w14:textId="77777777" w:rsidTr="000A697C">
        <w:tblPrEx>
          <w:tblW w:w="10232" w:type="dxa"/>
          <w:tblInd w:w="-545" w:type="dxa"/>
          <w:tblLook w:val="04A0"/>
        </w:tblPrEx>
        <w:tc>
          <w:tcPr>
            <w:tcW w:w="2338" w:type="dxa"/>
            <w:shd w:val="clear" w:color="auto" w:fill="auto"/>
            <w:vAlign w:val="center"/>
          </w:tcPr>
          <w:p w:rsidR="00102DD3" w:rsidRPr="000A697C" w:rsidP="000A697C" w14:paraId="76237359" w14:textId="77777777">
            <w:pPr>
              <w:contextualSpacing/>
              <w:rPr>
                <w:sz w:val="18"/>
                <w:szCs w:val="18"/>
              </w:rPr>
            </w:pPr>
            <w:r w:rsidRPr="000A697C">
              <w:rPr>
                <w:sz w:val="18"/>
                <w:szCs w:val="18"/>
              </w:rPr>
              <w:t>Public Assistance Initial Customer Satisfaction Survey FEMA Form FF-104-FY-21-156 (formerly 519-0-33) (Internet) State, Local or Tribal Government</w:t>
            </w:r>
          </w:p>
        </w:tc>
        <w:tc>
          <w:tcPr>
            <w:tcW w:w="1532" w:type="dxa"/>
            <w:shd w:val="clear" w:color="auto" w:fill="auto"/>
            <w:vAlign w:val="center"/>
          </w:tcPr>
          <w:p w:rsidR="00102DD3" w:rsidRPr="000A697C" w:rsidP="000A697C" w14:paraId="490D2387" w14:textId="77777777">
            <w:pPr>
              <w:contextualSpacing/>
              <w:jc w:val="right"/>
              <w:rPr>
                <w:sz w:val="18"/>
                <w:szCs w:val="18"/>
              </w:rPr>
            </w:pPr>
          </w:p>
        </w:tc>
        <w:tc>
          <w:tcPr>
            <w:tcW w:w="1255" w:type="dxa"/>
            <w:shd w:val="clear" w:color="auto" w:fill="auto"/>
            <w:vAlign w:val="center"/>
          </w:tcPr>
          <w:p w:rsidR="00102DD3" w:rsidRPr="000A697C" w:rsidP="000A697C" w14:paraId="1818D82C" w14:textId="77777777">
            <w:pPr>
              <w:contextualSpacing/>
              <w:jc w:val="right"/>
              <w:rPr>
                <w:sz w:val="18"/>
                <w:szCs w:val="18"/>
              </w:rPr>
            </w:pPr>
          </w:p>
        </w:tc>
        <w:tc>
          <w:tcPr>
            <w:tcW w:w="986" w:type="dxa"/>
            <w:shd w:val="clear" w:color="auto" w:fill="auto"/>
            <w:vAlign w:val="center"/>
          </w:tcPr>
          <w:p w:rsidR="00102DD3" w:rsidRPr="000A697C" w:rsidP="000A697C" w14:paraId="0C29D991" w14:textId="77777777">
            <w:pPr>
              <w:contextualSpacing/>
              <w:jc w:val="right"/>
              <w:rPr>
                <w:sz w:val="18"/>
                <w:szCs w:val="18"/>
              </w:rPr>
            </w:pPr>
          </w:p>
        </w:tc>
        <w:tc>
          <w:tcPr>
            <w:tcW w:w="1629" w:type="dxa"/>
            <w:shd w:val="clear" w:color="auto" w:fill="auto"/>
            <w:vAlign w:val="center"/>
          </w:tcPr>
          <w:p w:rsidR="00102DD3" w:rsidRPr="000A697C" w:rsidP="000A697C" w14:paraId="3C8C5163" w14:textId="77777777">
            <w:pPr>
              <w:contextualSpacing/>
              <w:jc w:val="right"/>
              <w:rPr>
                <w:sz w:val="18"/>
                <w:szCs w:val="18"/>
              </w:rPr>
            </w:pPr>
            <w:r w:rsidRPr="000A697C">
              <w:rPr>
                <w:sz w:val="18"/>
                <w:szCs w:val="18"/>
              </w:rPr>
              <w:t>46</w:t>
            </w:r>
          </w:p>
        </w:tc>
        <w:tc>
          <w:tcPr>
            <w:tcW w:w="1266" w:type="dxa"/>
            <w:shd w:val="clear" w:color="auto" w:fill="auto"/>
            <w:vAlign w:val="center"/>
          </w:tcPr>
          <w:p w:rsidR="00102DD3" w:rsidRPr="000A697C" w:rsidP="000A697C" w14:paraId="6E1B2844" w14:textId="77777777">
            <w:pPr>
              <w:contextualSpacing/>
              <w:jc w:val="right"/>
              <w:rPr>
                <w:sz w:val="18"/>
                <w:szCs w:val="18"/>
              </w:rPr>
            </w:pPr>
            <w:r w:rsidRPr="000A697C">
              <w:rPr>
                <w:sz w:val="18"/>
                <w:szCs w:val="18"/>
              </w:rPr>
              <w:t>30</w:t>
            </w:r>
          </w:p>
        </w:tc>
        <w:tc>
          <w:tcPr>
            <w:tcW w:w="1226" w:type="dxa"/>
            <w:shd w:val="clear" w:color="auto" w:fill="auto"/>
            <w:vAlign w:val="center"/>
          </w:tcPr>
          <w:p w:rsidR="00102DD3" w:rsidRPr="000A697C" w:rsidP="000A697C" w14:paraId="22E4A8B9" w14:textId="77777777">
            <w:pPr>
              <w:contextualSpacing/>
              <w:jc w:val="right"/>
              <w:rPr>
                <w:sz w:val="18"/>
                <w:szCs w:val="18"/>
              </w:rPr>
            </w:pPr>
            <w:r w:rsidRPr="000A697C">
              <w:rPr>
                <w:sz w:val="18"/>
                <w:szCs w:val="18"/>
              </w:rPr>
              <w:t>-16</w:t>
            </w:r>
          </w:p>
        </w:tc>
      </w:tr>
      <w:tr w14:paraId="2476BD11" w14:textId="77777777" w:rsidTr="000A697C">
        <w:tblPrEx>
          <w:tblW w:w="10232" w:type="dxa"/>
          <w:tblInd w:w="-545" w:type="dxa"/>
          <w:tblLook w:val="04A0"/>
        </w:tblPrEx>
        <w:tc>
          <w:tcPr>
            <w:tcW w:w="2338" w:type="dxa"/>
            <w:shd w:val="clear" w:color="auto" w:fill="auto"/>
            <w:vAlign w:val="center"/>
          </w:tcPr>
          <w:p w:rsidR="00102DD3" w:rsidRPr="000A697C" w:rsidP="000A697C" w14:paraId="099E8A85" w14:textId="77777777">
            <w:pPr>
              <w:contextualSpacing/>
              <w:rPr>
                <w:sz w:val="18"/>
                <w:szCs w:val="18"/>
              </w:rPr>
            </w:pPr>
            <w:r w:rsidRPr="000A697C">
              <w:rPr>
                <w:sz w:val="18"/>
                <w:szCs w:val="18"/>
              </w:rPr>
              <w:t>Public Assistance Assessment Customer Satisfaction Survey FEMA Form FF-104-FY-21-157 (formerly 519-0-34) (Telephone) State, Local or Tribal Government</w:t>
            </w:r>
          </w:p>
        </w:tc>
        <w:tc>
          <w:tcPr>
            <w:tcW w:w="1532" w:type="dxa"/>
            <w:shd w:val="clear" w:color="auto" w:fill="auto"/>
            <w:vAlign w:val="center"/>
          </w:tcPr>
          <w:p w:rsidR="00102DD3" w:rsidRPr="000A697C" w:rsidP="000A697C" w14:paraId="2234D63A" w14:textId="77777777">
            <w:pPr>
              <w:contextualSpacing/>
              <w:jc w:val="right"/>
              <w:rPr>
                <w:sz w:val="18"/>
                <w:szCs w:val="18"/>
              </w:rPr>
            </w:pPr>
          </w:p>
        </w:tc>
        <w:tc>
          <w:tcPr>
            <w:tcW w:w="1255" w:type="dxa"/>
            <w:shd w:val="clear" w:color="auto" w:fill="auto"/>
            <w:vAlign w:val="center"/>
          </w:tcPr>
          <w:p w:rsidR="00102DD3" w:rsidRPr="000A697C" w:rsidP="000A697C" w14:paraId="600B349A" w14:textId="77777777">
            <w:pPr>
              <w:contextualSpacing/>
              <w:jc w:val="right"/>
              <w:rPr>
                <w:sz w:val="18"/>
                <w:szCs w:val="18"/>
              </w:rPr>
            </w:pPr>
          </w:p>
        </w:tc>
        <w:tc>
          <w:tcPr>
            <w:tcW w:w="986" w:type="dxa"/>
            <w:shd w:val="clear" w:color="auto" w:fill="auto"/>
            <w:vAlign w:val="center"/>
          </w:tcPr>
          <w:p w:rsidR="00102DD3" w:rsidRPr="000A697C" w:rsidP="000A697C" w14:paraId="28EDE75E" w14:textId="77777777">
            <w:pPr>
              <w:contextualSpacing/>
              <w:jc w:val="right"/>
              <w:rPr>
                <w:sz w:val="18"/>
                <w:szCs w:val="18"/>
              </w:rPr>
            </w:pPr>
          </w:p>
        </w:tc>
        <w:tc>
          <w:tcPr>
            <w:tcW w:w="1629" w:type="dxa"/>
            <w:shd w:val="clear" w:color="auto" w:fill="auto"/>
            <w:vAlign w:val="center"/>
          </w:tcPr>
          <w:p w:rsidR="00102DD3" w:rsidRPr="000A697C" w:rsidP="000A697C" w14:paraId="49D1B872" w14:textId="77777777">
            <w:pPr>
              <w:contextualSpacing/>
              <w:jc w:val="right"/>
              <w:rPr>
                <w:sz w:val="18"/>
                <w:szCs w:val="18"/>
              </w:rPr>
            </w:pPr>
            <w:r w:rsidRPr="000A697C">
              <w:rPr>
                <w:sz w:val="18"/>
                <w:szCs w:val="18"/>
              </w:rPr>
              <w:t>186</w:t>
            </w:r>
          </w:p>
        </w:tc>
        <w:tc>
          <w:tcPr>
            <w:tcW w:w="1266" w:type="dxa"/>
            <w:shd w:val="clear" w:color="auto" w:fill="auto"/>
            <w:vAlign w:val="center"/>
          </w:tcPr>
          <w:p w:rsidR="00102DD3" w:rsidRPr="000A697C" w:rsidP="000A697C" w14:paraId="0D9DC934" w14:textId="77777777">
            <w:pPr>
              <w:contextualSpacing/>
              <w:jc w:val="right"/>
              <w:rPr>
                <w:sz w:val="18"/>
                <w:szCs w:val="18"/>
              </w:rPr>
            </w:pPr>
            <w:r w:rsidRPr="000A697C">
              <w:rPr>
                <w:sz w:val="18"/>
                <w:szCs w:val="18"/>
              </w:rPr>
              <w:t>189</w:t>
            </w:r>
          </w:p>
        </w:tc>
        <w:tc>
          <w:tcPr>
            <w:tcW w:w="1226" w:type="dxa"/>
            <w:shd w:val="clear" w:color="auto" w:fill="auto"/>
            <w:vAlign w:val="center"/>
          </w:tcPr>
          <w:p w:rsidR="00102DD3" w:rsidRPr="000A697C" w:rsidP="000A697C" w14:paraId="793C96EB" w14:textId="77777777">
            <w:pPr>
              <w:contextualSpacing/>
              <w:jc w:val="right"/>
              <w:rPr>
                <w:sz w:val="18"/>
                <w:szCs w:val="18"/>
              </w:rPr>
            </w:pPr>
            <w:r w:rsidRPr="000A697C">
              <w:rPr>
                <w:sz w:val="18"/>
                <w:szCs w:val="18"/>
              </w:rPr>
              <w:t>3</w:t>
            </w:r>
          </w:p>
        </w:tc>
      </w:tr>
      <w:tr w14:paraId="5327F464" w14:textId="77777777" w:rsidTr="000A697C">
        <w:tblPrEx>
          <w:tblW w:w="10232" w:type="dxa"/>
          <w:tblInd w:w="-545" w:type="dxa"/>
          <w:tblLook w:val="04A0"/>
        </w:tblPrEx>
        <w:tc>
          <w:tcPr>
            <w:tcW w:w="2338" w:type="dxa"/>
            <w:shd w:val="clear" w:color="auto" w:fill="auto"/>
            <w:vAlign w:val="center"/>
          </w:tcPr>
          <w:p w:rsidR="00102DD3" w:rsidRPr="000A697C" w:rsidP="000A697C" w14:paraId="7A400D37" w14:textId="77777777">
            <w:pPr>
              <w:contextualSpacing/>
              <w:rPr>
                <w:sz w:val="18"/>
                <w:szCs w:val="18"/>
              </w:rPr>
            </w:pPr>
            <w:r w:rsidRPr="000A697C">
              <w:rPr>
                <w:sz w:val="18"/>
                <w:szCs w:val="18"/>
              </w:rPr>
              <w:t>Public Assistance Assessment Customer Satisfaction Survey FEMA Form FF-104-FY-21-158 (formerly 519-0-35) (Internet) State, Local or Tribal Government</w:t>
            </w:r>
          </w:p>
        </w:tc>
        <w:tc>
          <w:tcPr>
            <w:tcW w:w="1532" w:type="dxa"/>
            <w:shd w:val="clear" w:color="auto" w:fill="auto"/>
            <w:vAlign w:val="center"/>
          </w:tcPr>
          <w:p w:rsidR="00102DD3" w:rsidRPr="000A697C" w:rsidP="000A697C" w14:paraId="0647E13C" w14:textId="77777777">
            <w:pPr>
              <w:contextualSpacing/>
              <w:jc w:val="right"/>
              <w:rPr>
                <w:sz w:val="18"/>
                <w:szCs w:val="18"/>
              </w:rPr>
            </w:pPr>
          </w:p>
        </w:tc>
        <w:tc>
          <w:tcPr>
            <w:tcW w:w="1255" w:type="dxa"/>
            <w:shd w:val="clear" w:color="auto" w:fill="auto"/>
            <w:vAlign w:val="center"/>
          </w:tcPr>
          <w:p w:rsidR="00102DD3" w:rsidRPr="000A697C" w:rsidP="000A697C" w14:paraId="0E985DCB" w14:textId="77777777">
            <w:pPr>
              <w:contextualSpacing/>
              <w:jc w:val="right"/>
              <w:rPr>
                <w:sz w:val="18"/>
                <w:szCs w:val="18"/>
              </w:rPr>
            </w:pPr>
          </w:p>
        </w:tc>
        <w:tc>
          <w:tcPr>
            <w:tcW w:w="986" w:type="dxa"/>
            <w:shd w:val="clear" w:color="auto" w:fill="auto"/>
            <w:vAlign w:val="center"/>
          </w:tcPr>
          <w:p w:rsidR="00102DD3" w:rsidRPr="000A697C" w:rsidP="000A697C" w14:paraId="0652E18F" w14:textId="77777777">
            <w:pPr>
              <w:contextualSpacing/>
              <w:jc w:val="right"/>
              <w:rPr>
                <w:sz w:val="18"/>
                <w:szCs w:val="18"/>
              </w:rPr>
            </w:pPr>
          </w:p>
        </w:tc>
        <w:tc>
          <w:tcPr>
            <w:tcW w:w="1629" w:type="dxa"/>
            <w:shd w:val="clear" w:color="auto" w:fill="auto"/>
            <w:vAlign w:val="center"/>
          </w:tcPr>
          <w:p w:rsidR="00102DD3" w:rsidRPr="000A697C" w:rsidP="000A697C" w14:paraId="34A3CFE4" w14:textId="77777777">
            <w:pPr>
              <w:contextualSpacing/>
              <w:jc w:val="right"/>
              <w:rPr>
                <w:sz w:val="18"/>
                <w:szCs w:val="18"/>
              </w:rPr>
            </w:pPr>
            <w:r w:rsidRPr="000A697C">
              <w:rPr>
                <w:sz w:val="18"/>
                <w:szCs w:val="18"/>
              </w:rPr>
              <w:t>39</w:t>
            </w:r>
          </w:p>
        </w:tc>
        <w:tc>
          <w:tcPr>
            <w:tcW w:w="1266" w:type="dxa"/>
            <w:shd w:val="clear" w:color="auto" w:fill="auto"/>
            <w:vAlign w:val="center"/>
          </w:tcPr>
          <w:p w:rsidR="00102DD3" w:rsidRPr="000A697C" w:rsidP="000A697C" w14:paraId="0B6B265D" w14:textId="77777777">
            <w:pPr>
              <w:contextualSpacing/>
              <w:jc w:val="right"/>
              <w:rPr>
                <w:sz w:val="18"/>
                <w:szCs w:val="18"/>
              </w:rPr>
            </w:pPr>
            <w:r w:rsidRPr="000A697C">
              <w:rPr>
                <w:sz w:val="18"/>
                <w:szCs w:val="18"/>
              </w:rPr>
              <w:t>37</w:t>
            </w:r>
          </w:p>
        </w:tc>
        <w:tc>
          <w:tcPr>
            <w:tcW w:w="1226" w:type="dxa"/>
            <w:shd w:val="clear" w:color="auto" w:fill="auto"/>
            <w:vAlign w:val="center"/>
          </w:tcPr>
          <w:p w:rsidR="00102DD3" w:rsidRPr="000A697C" w:rsidP="000A697C" w14:paraId="28AB6AAB" w14:textId="77777777">
            <w:pPr>
              <w:contextualSpacing/>
              <w:jc w:val="right"/>
              <w:rPr>
                <w:sz w:val="18"/>
                <w:szCs w:val="18"/>
              </w:rPr>
            </w:pPr>
            <w:r w:rsidRPr="000A697C">
              <w:rPr>
                <w:sz w:val="18"/>
                <w:szCs w:val="18"/>
              </w:rPr>
              <w:t>-2</w:t>
            </w:r>
          </w:p>
        </w:tc>
      </w:tr>
      <w:tr w14:paraId="4347F7EC" w14:textId="77777777" w:rsidTr="000A697C">
        <w:tblPrEx>
          <w:tblW w:w="10232" w:type="dxa"/>
          <w:tblInd w:w="-545" w:type="dxa"/>
          <w:tblLook w:val="04A0"/>
        </w:tblPrEx>
        <w:tc>
          <w:tcPr>
            <w:tcW w:w="2338" w:type="dxa"/>
            <w:shd w:val="clear" w:color="auto" w:fill="auto"/>
            <w:vAlign w:val="center"/>
          </w:tcPr>
          <w:p w:rsidR="00102DD3" w:rsidRPr="00762A0D" w:rsidP="000A697C" w14:paraId="3ED78B1A" w14:textId="77777777">
            <w:pPr>
              <w:contextualSpacing/>
              <w:rPr>
                <w:b/>
                <w:sz w:val="18"/>
                <w:szCs w:val="18"/>
              </w:rPr>
            </w:pPr>
            <w:r w:rsidRPr="00762A0D">
              <w:rPr>
                <w:b/>
                <w:sz w:val="18"/>
                <w:szCs w:val="18"/>
              </w:rPr>
              <w:t>Total</w:t>
            </w:r>
          </w:p>
        </w:tc>
        <w:tc>
          <w:tcPr>
            <w:tcW w:w="1532" w:type="dxa"/>
            <w:shd w:val="clear" w:color="auto" w:fill="auto"/>
            <w:vAlign w:val="center"/>
          </w:tcPr>
          <w:p w:rsidR="00102DD3" w:rsidRPr="00762A0D" w:rsidP="000A697C" w14:paraId="6E003810" w14:textId="77777777">
            <w:pPr>
              <w:contextualSpacing/>
              <w:jc w:val="right"/>
              <w:rPr>
                <w:b/>
                <w:sz w:val="18"/>
                <w:szCs w:val="18"/>
              </w:rPr>
            </w:pPr>
            <w:r w:rsidRPr="00762A0D">
              <w:rPr>
                <w:b/>
                <w:sz w:val="18"/>
                <w:szCs w:val="18"/>
              </w:rPr>
              <w:t>0</w:t>
            </w:r>
          </w:p>
        </w:tc>
        <w:tc>
          <w:tcPr>
            <w:tcW w:w="1255" w:type="dxa"/>
            <w:shd w:val="clear" w:color="auto" w:fill="auto"/>
            <w:vAlign w:val="center"/>
          </w:tcPr>
          <w:p w:rsidR="00102DD3" w:rsidRPr="00762A0D" w:rsidP="000A697C" w14:paraId="1973B2EE" w14:textId="77777777">
            <w:pPr>
              <w:contextualSpacing/>
              <w:jc w:val="right"/>
              <w:rPr>
                <w:b/>
                <w:sz w:val="18"/>
                <w:szCs w:val="18"/>
              </w:rPr>
            </w:pPr>
            <w:r w:rsidRPr="00762A0D">
              <w:rPr>
                <w:b/>
                <w:sz w:val="18"/>
                <w:szCs w:val="18"/>
              </w:rPr>
              <w:t>0</w:t>
            </w:r>
          </w:p>
        </w:tc>
        <w:tc>
          <w:tcPr>
            <w:tcW w:w="986" w:type="dxa"/>
            <w:shd w:val="clear" w:color="auto" w:fill="auto"/>
            <w:vAlign w:val="center"/>
          </w:tcPr>
          <w:p w:rsidR="00102DD3" w:rsidRPr="00762A0D" w:rsidP="000A697C" w14:paraId="06A40458" w14:textId="77777777">
            <w:pPr>
              <w:contextualSpacing/>
              <w:jc w:val="right"/>
              <w:rPr>
                <w:b/>
                <w:sz w:val="18"/>
                <w:szCs w:val="18"/>
              </w:rPr>
            </w:pPr>
            <w:r w:rsidRPr="00762A0D">
              <w:rPr>
                <w:b/>
                <w:sz w:val="18"/>
                <w:szCs w:val="18"/>
              </w:rPr>
              <w:t>0</w:t>
            </w:r>
          </w:p>
        </w:tc>
        <w:tc>
          <w:tcPr>
            <w:tcW w:w="1629" w:type="dxa"/>
            <w:shd w:val="clear" w:color="auto" w:fill="auto"/>
            <w:vAlign w:val="center"/>
          </w:tcPr>
          <w:p w:rsidR="00102DD3" w:rsidRPr="00762A0D" w:rsidP="000A697C" w14:paraId="5D475A11" w14:textId="77777777">
            <w:pPr>
              <w:contextualSpacing/>
              <w:jc w:val="right"/>
              <w:rPr>
                <w:b/>
                <w:sz w:val="18"/>
                <w:szCs w:val="18"/>
              </w:rPr>
            </w:pPr>
            <w:r w:rsidRPr="00762A0D">
              <w:rPr>
                <w:b/>
                <w:sz w:val="18"/>
                <w:szCs w:val="18"/>
              </w:rPr>
              <w:t>569</w:t>
            </w:r>
          </w:p>
        </w:tc>
        <w:tc>
          <w:tcPr>
            <w:tcW w:w="1266" w:type="dxa"/>
            <w:shd w:val="clear" w:color="auto" w:fill="auto"/>
            <w:vAlign w:val="center"/>
          </w:tcPr>
          <w:p w:rsidR="00102DD3" w:rsidRPr="00762A0D" w:rsidP="000A697C" w14:paraId="15571D90" w14:textId="77777777">
            <w:pPr>
              <w:contextualSpacing/>
              <w:jc w:val="right"/>
              <w:rPr>
                <w:b/>
                <w:sz w:val="18"/>
                <w:szCs w:val="18"/>
              </w:rPr>
            </w:pPr>
            <w:r w:rsidRPr="00762A0D">
              <w:rPr>
                <w:b/>
                <w:sz w:val="18"/>
                <w:szCs w:val="18"/>
              </w:rPr>
              <w:t>506</w:t>
            </w:r>
          </w:p>
        </w:tc>
        <w:tc>
          <w:tcPr>
            <w:tcW w:w="1226" w:type="dxa"/>
            <w:shd w:val="clear" w:color="auto" w:fill="auto"/>
            <w:vAlign w:val="center"/>
          </w:tcPr>
          <w:p w:rsidR="00102DD3" w:rsidRPr="00762A0D" w:rsidP="000A697C" w14:paraId="4A15D98E" w14:textId="77777777">
            <w:pPr>
              <w:contextualSpacing/>
              <w:jc w:val="right"/>
              <w:rPr>
                <w:b/>
                <w:sz w:val="18"/>
                <w:szCs w:val="18"/>
              </w:rPr>
            </w:pPr>
            <w:r w:rsidRPr="00762A0D">
              <w:rPr>
                <w:b/>
                <w:sz w:val="18"/>
                <w:szCs w:val="18"/>
              </w:rPr>
              <w:t>-63</w:t>
            </w:r>
          </w:p>
        </w:tc>
      </w:tr>
      <w:bookmarkEnd w:id="13"/>
    </w:tbl>
    <w:p w:rsidR="00102DD3" w:rsidP="000A697C" w14:paraId="3AFF02AF" w14:textId="5625A53D">
      <w:pPr>
        <w:spacing w:before="120" w:after="120" w:line="276" w:lineRule="auto"/>
        <w:contextualSpacing/>
        <w:rPr>
          <w:b/>
          <w:bCs/>
        </w:rPr>
      </w:pPr>
    </w:p>
    <w:p w:rsidR="00EE39CC" w:rsidRPr="00C34635" w:rsidP="00C34635" w14:paraId="431736E4" w14:textId="78E2AEEE">
      <w:pPr>
        <w:spacing w:line="276" w:lineRule="auto"/>
        <w:contextualSpacing/>
      </w:pPr>
      <w:r w:rsidRPr="00C34635">
        <w:rPr>
          <w:b/>
          <w:bCs/>
        </w:rPr>
        <w:t>Explain</w:t>
      </w:r>
      <w:r w:rsidRPr="00C34635">
        <w:t>: The overall burden has decreased for the customer satisfaction surveys in this collection.  In order to comply with the DHS Burden Reduction Initiative, Customer Survey and Analysis (CSA) re-evaluated their information collections for ways to reduce burden.  All of the below changes reflect adjustments to previous inaccuracies and updates to response rates.</w:t>
      </w:r>
    </w:p>
    <w:p w:rsidR="00EE39CC" w:rsidRPr="00C34635" w:rsidP="00C34635" w14:paraId="6CA1A12B" w14:textId="77777777">
      <w:pPr>
        <w:spacing w:line="276" w:lineRule="auto"/>
        <w:contextualSpacing/>
      </w:pPr>
    </w:p>
    <w:p w:rsidR="00EE39CC" w:rsidRPr="00C34635" w:rsidP="00C34635" w14:paraId="0FB0CE62" w14:textId="77777777">
      <w:pPr>
        <w:spacing w:line="276" w:lineRule="auto"/>
        <w:contextualSpacing/>
      </w:pPr>
      <w:r w:rsidRPr="00C34635">
        <w:t xml:space="preserve">CSA identified that the burden estimates for the electronic surveys were inaccurate; actual completion times are shorter than previously estimated.  The inaccurate estimates were due to CSA not being able to test the electronic surveys prior to last submission (did not acquire survey software in time).  This resulted in an </w:t>
      </w:r>
      <w:r w:rsidRPr="00C34635">
        <w:rPr>
          <w:b/>
          <w:bCs/>
        </w:rPr>
        <w:t xml:space="preserve">adjustment </w:t>
      </w:r>
      <w:r w:rsidRPr="00C34635">
        <w:t xml:space="preserve">to burden hours for electronic surveys.  </w:t>
      </w:r>
    </w:p>
    <w:p w:rsidR="00EE39CC" w:rsidRPr="00C34635" w:rsidP="00C34635" w14:paraId="0CEA3E7A" w14:textId="77777777">
      <w:pPr>
        <w:spacing w:line="276" w:lineRule="auto"/>
        <w:contextualSpacing/>
      </w:pPr>
    </w:p>
    <w:p w:rsidR="00EE39CC" w:rsidRPr="00C34635" w:rsidP="00C34635" w14:paraId="116B7CA1" w14:textId="77777777">
      <w:pPr>
        <w:spacing w:after="120" w:line="276" w:lineRule="auto"/>
        <w:contextualSpacing/>
      </w:pPr>
      <w:r w:rsidRPr="00C34635">
        <w:t xml:space="preserve">In addition to shorter completion times for electronic surveys, response rates were updated.  Previously we estimated response rates for phone and electronic surveys as the same because we had no data.  Electronic response rates are much lower than phone response rates, and these numbers have been adjusted to reflect current data.  Telephone response rates have also slightly declined.  </w:t>
      </w:r>
      <w:r w:rsidRPr="00C34635">
        <w:rPr>
          <w:lang w:val="en"/>
        </w:rPr>
        <w:t>Possible explanations for the response rate decline include a growing refusal among respondents to participate and difficulties in contacting individuals due to the increased use of answering machines, call screening devices, and cellular telephones (</w:t>
      </w:r>
      <w:hyperlink w:anchor="_References" w:history="1">
        <w:r w:rsidRPr="00C34635">
          <w:rPr>
            <w:rStyle w:val="Hyperlink"/>
            <w:lang w:val="en"/>
          </w:rPr>
          <w:t>Tourangeau, 2004; Ehlen &amp; Ehlen, 2007</w:t>
        </w:r>
      </w:hyperlink>
      <w:r w:rsidRPr="00C34635">
        <w:rPr>
          <w:lang w:val="en"/>
        </w:rPr>
        <w:t>).</w:t>
      </w:r>
      <w:r w:rsidRPr="00C34635">
        <w:rPr>
          <w:color w:val="000000"/>
        </w:rPr>
        <w:t xml:space="preserve">  In addition, new technologies sometimes mistakenly flag survey calls- even those conducted by the government- as “spam” </w:t>
      </w:r>
      <w:r w:rsidRPr="00C34635">
        <w:rPr>
          <w:lang w:val="en"/>
        </w:rPr>
        <w:t>(</w:t>
      </w:r>
      <w:hyperlink w:anchor="_References" w:history="1">
        <w:r w:rsidRPr="00C34635">
          <w:rPr>
            <w:rStyle w:val="Hyperlink"/>
            <w:lang w:val="en"/>
          </w:rPr>
          <w:t>Kennedy &amp; Hartig, 2019</w:t>
        </w:r>
      </w:hyperlink>
      <w:r w:rsidRPr="00C34635">
        <w:rPr>
          <w:color w:val="000000"/>
        </w:rPr>
        <w:t xml:space="preserve">).  </w:t>
      </w:r>
    </w:p>
    <w:p w:rsidR="00EE39CC" w:rsidRPr="00C34635" w:rsidP="00C34635" w14:paraId="6398E9B4" w14:textId="77777777">
      <w:pPr>
        <w:spacing w:line="276" w:lineRule="auto"/>
        <w:contextualSpacing/>
      </w:pPr>
    </w:p>
    <w:p w:rsidR="00EE39CC" w:rsidRPr="00C34635" w:rsidP="00C34635" w14:paraId="724FC630" w14:textId="2D36F8D7">
      <w:pPr>
        <w:spacing w:line="276" w:lineRule="auto"/>
        <w:contextualSpacing/>
      </w:pPr>
      <w:r w:rsidRPr="00C34635">
        <w:t>Lastly, the population totals were adjusted to better reflect mixed mode methodology.  Previously we estimated 80% of the target population would complete phone surveys and 20% would complete electronic surveys.  In reality, 100% of the population receives electronic surveys and 11 to 13% respond.  The population that does not respond to an electronic survey (roughly 87% to 89% of original population) becomes the target population for the phone surveys.  This was a significant upwards adjustment to population totals for electronic surveys, but because electronic surveys are shorter, the overall impact on burden was still a net decrease.</w:t>
      </w:r>
    </w:p>
    <w:p w:rsidR="00EE39CC" w:rsidRPr="00C34635" w:rsidP="00C34635" w14:paraId="30F50994" w14:textId="77777777">
      <w:pPr>
        <w:spacing w:line="276" w:lineRule="auto"/>
        <w:contextualSpacing/>
      </w:pPr>
    </w:p>
    <w:p w:rsidR="00EE39CC" w:rsidRPr="00C34635" w:rsidP="00C34635" w14:paraId="79731466" w14:textId="77777777">
      <w:pPr>
        <w:spacing w:line="276" w:lineRule="auto"/>
        <w:contextualSpacing/>
        <w:rPr>
          <w:color w:val="000000" w:themeColor="text1"/>
        </w:rPr>
      </w:pPr>
      <w:r w:rsidRPr="00C34635">
        <w:rPr>
          <w:color w:val="000000" w:themeColor="text1"/>
        </w:rPr>
        <w:t xml:space="preserve">The total of annual burden hours was </w:t>
      </w:r>
      <w:r w:rsidRPr="00C34635">
        <w:rPr>
          <w:b/>
          <w:color w:val="000000" w:themeColor="text1"/>
        </w:rPr>
        <w:t>1,902</w:t>
      </w:r>
      <w:r w:rsidRPr="00C34635">
        <w:rPr>
          <w:color w:val="000000" w:themeColor="text1"/>
        </w:rPr>
        <w:t xml:space="preserve"> in the previous collection.  The current collection has an annual total of </w:t>
      </w:r>
      <w:r w:rsidRPr="00C34635">
        <w:rPr>
          <w:b/>
          <w:bCs/>
          <w:color w:val="000000" w:themeColor="text1"/>
        </w:rPr>
        <w:t>1,839</w:t>
      </w:r>
      <w:r w:rsidRPr="00C34635">
        <w:rPr>
          <w:color w:val="000000" w:themeColor="text1"/>
        </w:rPr>
        <w:t xml:space="preserve"> burden hours.</w:t>
      </w:r>
    </w:p>
    <w:p w:rsidR="00EE39CC" w:rsidRPr="00C34635" w:rsidP="00C34635" w14:paraId="4EE27BB9" w14:textId="77777777">
      <w:pPr>
        <w:spacing w:line="276" w:lineRule="auto"/>
        <w:contextualSpacing/>
        <w:rPr>
          <w:color w:val="000000" w:themeColor="text1"/>
        </w:rPr>
      </w:pPr>
    </w:p>
    <w:p w:rsidR="00EE39CC" w:rsidRPr="00762A0D" w:rsidP="00C34635" w14:paraId="61B14CFC" w14:textId="77777777">
      <w:pPr>
        <w:pStyle w:val="NormalWeb"/>
        <w:spacing w:before="0" w:beforeAutospacing="0" w:after="0" w:afterAutospacing="0" w:line="276" w:lineRule="auto"/>
        <w:contextualSpacing/>
        <w:rPr>
          <w:b/>
          <w:bCs/>
          <w:color w:val="000000" w:themeColor="text1"/>
        </w:rPr>
      </w:pPr>
      <w:r w:rsidRPr="00762A0D">
        <w:rPr>
          <w:b/>
          <w:bCs/>
          <w:color w:val="000000" w:themeColor="text1"/>
        </w:rPr>
        <w:t xml:space="preserve">Total Program Decrease to Burden Hours = 1,902 (previous) – 1,839 (current) = -63 hours </w:t>
      </w:r>
    </w:p>
    <w:p w:rsidR="00EE39CC" w:rsidRPr="00762A0D" w:rsidP="00C34635" w14:paraId="69E34526" w14:textId="35265990">
      <w:pPr>
        <w:pStyle w:val="NormalWeb"/>
        <w:spacing w:before="0" w:beforeAutospacing="0" w:after="0" w:afterAutospacing="0" w:line="276" w:lineRule="auto"/>
        <w:contextualSpacing/>
        <w:rPr>
          <w:b/>
          <w:bCs/>
          <w:color w:val="000000" w:themeColor="text1"/>
        </w:rPr>
      </w:pPr>
    </w:p>
    <w:p w:rsidR="00EE39CC" w:rsidRPr="00C34635" w:rsidP="00762A0D" w14:paraId="3505751E" w14:textId="3E244EBC">
      <w:pPr>
        <w:spacing w:line="276" w:lineRule="auto"/>
        <w:contextualSpacing/>
        <w:rPr>
          <w:b/>
          <w:bCs/>
        </w:rPr>
      </w:pPr>
      <w:r w:rsidRPr="00C34635">
        <w:rPr>
          <w:b/>
          <w:bCs/>
        </w:rPr>
        <w:br w:type="page"/>
      </w: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1435"/>
        <w:gridCol w:w="1260"/>
        <w:gridCol w:w="1080"/>
        <w:gridCol w:w="1353"/>
        <w:gridCol w:w="1235"/>
        <w:gridCol w:w="1220"/>
      </w:tblGrid>
      <w:tr w14:paraId="77A5AE50" w14:textId="77777777" w:rsidTr="00762A0D">
        <w:tblPrEx>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563" w:type="dxa"/>
            <w:gridSpan w:val="7"/>
            <w:shd w:val="clear" w:color="auto" w:fill="8EAADB" w:themeFill="accent1" w:themeFillTint="99"/>
          </w:tcPr>
          <w:p w:rsidR="00102DD3" w:rsidRPr="000A697C" w:rsidP="000A697C" w14:paraId="56AAF5D4" w14:textId="77777777">
            <w:pPr>
              <w:contextualSpacing/>
              <w:jc w:val="center"/>
              <w:rPr>
                <w:b/>
                <w:sz w:val="18"/>
                <w:szCs w:val="18"/>
              </w:rPr>
            </w:pPr>
            <w:bookmarkStart w:id="14" w:name="_Hlk51851522"/>
            <w:r w:rsidRPr="000A697C">
              <w:rPr>
                <w:b/>
                <w:sz w:val="18"/>
                <w:szCs w:val="18"/>
              </w:rPr>
              <w:t>Itemized Changes in Annual Cost Burden</w:t>
            </w:r>
          </w:p>
        </w:tc>
      </w:tr>
      <w:tr w14:paraId="5D56144A" w14:textId="77777777" w:rsidTr="00762A0D">
        <w:tblPrEx>
          <w:tblW w:w="10563" w:type="dxa"/>
          <w:jc w:val="center"/>
          <w:tblLook w:val="04A0"/>
        </w:tblPrEx>
        <w:trPr>
          <w:jc w:val="center"/>
        </w:trPr>
        <w:tc>
          <w:tcPr>
            <w:tcW w:w="2980" w:type="dxa"/>
            <w:shd w:val="clear" w:color="auto" w:fill="8EAADB" w:themeFill="accent1" w:themeFillTint="99"/>
          </w:tcPr>
          <w:p w:rsidR="00102DD3" w:rsidRPr="000A697C" w:rsidP="000A697C" w14:paraId="2A1D2D46" w14:textId="77777777">
            <w:pPr>
              <w:contextualSpacing/>
              <w:rPr>
                <w:sz w:val="18"/>
                <w:szCs w:val="18"/>
              </w:rPr>
            </w:pPr>
            <w:r w:rsidRPr="000A697C">
              <w:rPr>
                <w:sz w:val="18"/>
                <w:szCs w:val="18"/>
              </w:rPr>
              <w:t>Data Collection Activity/Instrument</w:t>
            </w:r>
          </w:p>
        </w:tc>
        <w:tc>
          <w:tcPr>
            <w:tcW w:w="1435" w:type="dxa"/>
            <w:shd w:val="clear" w:color="auto" w:fill="8EAADB" w:themeFill="accent1" w:themeFillTint="99"/>
          </w:tcPr>
          <w:p w:rsidR="00102DD3" w:rsidRPr="000A697C" w:rsidP="000A697C" w14:paraId="3C5E93CC" w14:textId="77777777">
            <w:pPr>
              <w:contextualSpacing/>
              <w:rPr>
                <w:sz w:val="18"/>
                <w:szCs w:val="18"/>
              </w:rPr>
            </w:pPr>
            <w:r w:rsidRPr="000A697C">
              <w:rPr>
                <w:sz w:val="18"/>
                <w:szCs w:val="18"/>
              </w:rPr>
              <w:t>Program Change (cost currently on OMB inventory)</w:t>
            </w:r>
          </w:p>
        </w:tc>
        <w:tc>
          <w:tcPr>
            <w:tcW w:w="1260" w:type="dxa"/>
            <w:shd w:val="clear" w:color="auto" w:fill="8EAADB" w:themeFill="accent1" w:themeFillTint="99"/>
          </w:tcPr>
          <w:p w:rsidR="00102DD3" w:rsidRPr="000A697C" w:rsidP="000A697C" w14:paraId="1358C9E3" w14:textId="77777777">
            <w:pPr>
              <w:contextualSpacing/>
              <w:rPr>
                <w:sz w:val="18"/>
                <w:szCs w:val="18"/>
              </w:rPr>
            </w:pPr>
            <w:r w:rsidRPr="000A697C">
              <w:rPr>
                <w:sz w:val="18"/>
                <w:szCs w:val="18"/>
              </w:rPr>
              <w:t>Program Change (new)</w:t>
            </w:r>
          </w:p>
        </w:tc>
        <w:tc>
          <w:tcPr>
            <w:tcW w:w="1080" w:type="dxa"/>
            <w:shd w:val="clear" w:color="auto" w:fill="8EAADB" w:themeFill="accent1" w:themeFillTint="99"/>
          </w:tcPr>
          <w:p w:rsidR="00102DD3" w:rsidRPr="000A697C" w:rsidP="000A697C" w14:paraId="5045B599" w14:textId="77777777">
            <w:pPr>
              <w:contextualSpacing/>
              <w:rPr>
                <w:sz w:val="18"/>
                <w:szCs w:val="18"/>
              </w:rPr>
            </w:pPr>
            <w:r w:rsidRPr="000A697C">
              <w:rPr>
                <w:sz w:val="18"/>
                <w:szCs w:val="18"/>
              </w:rPr>
              <w:t>Difference</w:t>
            </w:r>
          </w:p>
        </w:tc>
        <w:tc>
          <w:tcPr>
            <w:tcW w:w="1353" w:type="dxa"/>
            <w:shd w:val="clear" w:color="auto" w:fill="8EAADB" w:themeFill="accent1" w:themeFillTint="99"/>
          </w:tcPr>
          <w:p w:rsidR="00102DD3" w:rsidRPr="000A697C" w:rsidP="000A697C" w14:paraId="1D5487E6" w14:textId="77777777">
            <w:pPr>
              <w:contextualSpacing/>
              <w:rPr>
                <w:sz w:val="18"/>
                <w:szCs w:val="18"/>
              </w:rPr>
            </w:pPr>
            <w:r w:rsidRPr="000A697C">
              <w:rPr>
                <w:sz w:val="18"/>
                <w:szCs w:val="18"/>
              </w:rPr>
              <w:t>Adjustment (cost currently on OMB inventory)</w:t>
            </w:r>
          </w:p>
        </w:tc>
        <w:tc>
          <w:tcPr>
            <w:tcW w:w="1235" w:type="dxa"/>
            <w:shd w:val="clear" w:color="auto" w:fill="8EAADB" w:themeFill="accent1" w:themeFillTint="99"/>
          </w:tcPr>
          <w:p w:rsidR="00102DD3" w:rsidRPr="000A697C" w:rsidP="000A697C" w14:paraId="4EEE49D0" w14:textId="77777777">
            <w:pPr>
              <w:contextualSpacing/>
              <w:rPr>
                <w:sz w:val="18"/>
                <w:szCs w:val="18"/>
              </w:rPr>
            </w:pPr>
            <w:r w:rsidRPr="000A697C">
              <w:rPr>
                <w:sz w:val="18"/>
                <w:szCs w:val="18"/>
              </w:rPr>
              <w:t>Adjustment (new)</w:t>
            </w:r>
          </w:p>
        </w:tc>
        <w:tc>
          <w:tcPr>
            <w:tcW w:w="1220" w:type="dxa"/>
            <w:shd w:val="clear" w:color="auto" w:fill="8EAADB" w:themeFill="accent1" w:themeFillTint="99"/>
          </w:tcPr>
          <w:p w:rsidR="00102DD3" w:rsidRPr="000A697C" w:rsidP="000A697C" w14:paraId="26928070" w14:textId="77777777">
            <w:pPr>
              <w:contextualSpacing/>
              <w:rPr>
                <w:sz w:val="18"/>
                <w:szCs w:val="18"/>
              </w:rPr>
            </w:pPr>
            <w:r w:rsidRPr="000A697C">
              <w:rPr>
                <w:sz w:val="18"/>
                <w:szCs w:val="18"/>
              </w:rPr>
              <w:t>Difference</w:t>
            </w:r>
          </w:p>
        </w:tc>
      </w:tr>
      <w:tr w14:paraId="1354D5E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4A553F49" w14:textId="77777777">
            <w:pPr>
              <w:contextualSpacing/>
              <w:rPr>
                <w:sz w:val="18"/>
                <w:szCs w:val="18"/>
              </w:rPr>
            </w:pPr>
            <w:r w:rsidRPr="000A697C">
              <w:rPr>
                <w:sz w:val="18"/>
                <w:szCs w:val="18"/>
              </w:rPr>
              <w:t>Public Assistance Initial Customer Satisfaction Survey FEMA Form FF-104-FY-21-155 (formerly 519-0-32) (Telephone)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4369BCA5"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4A76D9B6"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4C8AF7CE"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0A5167C4" w14:textId="77777777">
            <w:pPr>
              <w:contextualSpacing/>
              <w:jc w:val="right"/>
              <w:rPr>
                <w:sz w:val="18"/>
                <w:szCs w:val="18"/>
              </w:rPr>
            </w:pPr>
            <w:r w:rsidRPr="000A697C">
              <w:rPr>
                <w:sz w:val="18"/>
                <w:szCs w:val="18"/>
              </w:rPr>
              <w:t>$1,949</w:t>
            </w:r>
          </w:p>
        </w:tc>
        <w:tc>
          <w:tcPr>
            <w:tcW w:w="1235" w:type="dxa"/>
            <w:tcBorders>
              <w:top w:val="single" w:sz="4" w:space="0" w:color="auto"/>
              <w:bottom w:val="single" w:sz="4" w:space="0" w:color="auto"/>
            </w:tcBorders>
            <w:shd w:val="clear" w:color="auto" w:fill="auto"/>
            <w:vAlign w:val="center"/>
          </w:tcPr>
          <w:p w:rsidR="00102DD3" w:rsidRPr="000A697C" w:rsidP="000A697C" w14:paraId="70067A14" w14:textId="77777777">
            <w:pPr>
              <w:contextualSpacing/>
              <w:jc w:val="right"/>
              <w:rPr>
                <w:sz w:val="18"/>
                <w:szCs w:val="18"/>
              </w:rPr>
            </w:pPr>
            <w:r w:rsidRPr="000A697C">
              <w:rPr>
                <w:sz w:val="18"/>
                <w:szCs w:val="18"/>
              </w:rPr>
              <w:t xml:space="preserve">$1,868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43865417" w14:textId="77777777">
            <w:pPr>
              <w:contextualSpacing/>
              <w:jc w:val="right"/>
              <w:rPr>
                <w:sz w:val="18"/>
                <w:szCs w:val="18"/>
              </w:rPr>
            </w:pPr>
            <w:r w:rsidRPr="000A697C">
              <w:rPr>
                <w:color w:val="000000"/>
                <w:sz w:val="18"/>
                <w:szCs w:val="18"/>
              </w:rPr>
              <w:t>-$81</w:t>
            </w:r>
          </w:p>
        </w:tc>
      </w:tr>
      <w:tr w14:paraId="51021C81"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389E5602" w14:textId="77777777">
            <w:pPr>
              <w:contextualSpacing/>
              <w:rPr>
                <w:sz w:val="18"/>
                <w:szCs w:val="18"/>
              </w:rPr>
            </w:pPr>
            <w:r w:rsidRPr="000A697C">
              <w:rPr>
                <w:sz w:val="18"/>
                <w:szCs w:val="18"/>
              </w:rPr>
              <w:t>Public Assistance Initial Customer Satisfaction Survey FEMA Form FF-104-FY-21-155 (formerly 519-0-32) (Telephone)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2D565DD3"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655A2BFC"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4F565590"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3E1D482F" w14:textId="77777777">
            <w:pPr>
              <w:contextualSpacing/>
              <w:jc w:val="right"/>
              <w:rPr>
                <w:sz w:val="18"/>
                <w:szCs w:val="18"/>
              </w:rPr>
            </w:pPr>
            <w:r w:rsidRPr="000A697C">
              <w:rPr>
                <w:sz w:val="18"/>
                <w:szCs w:val="18"/>
              </w:rPr>
              <w:t>$14,730</w:t>
            </w:r>
          </w:p>
        </w:tc>
        <w:tc>
          <w:tcPr>
            <w:tcW w:w="1235" w:type="dxa"/>
            <w:tcBorders>
              <w:top w:val="single" w:sz="4" w:space="0" w:color="auto"/>
              <w:bottom w:val="single" w:sz="4" w:space="0" w:color="auto"/>
            </w:tcBorders>
            <w:shd w:val="clear" w:color="auto" w:fill="auto"/>
            <w:vAlign w:val="center"/>
          </w:tcPr>
          <w:p w:rsidR="00102DD3" w:rsidRPr="000A697C" w:rsidP="000A697C" w14:paraId="046708DF" w14:textId="77777777">
            <w:pPr>
              <w:contextualSpacing/>
              <w:jc w:val="right"/>
              <w:rPr>
                <w:sz w:val="18"/>
                <w:szCs w:val="18"/>
              </w:rPr>
            </w:pPr>
            <w:r w:rsidRPr="000A697C">
              <w:rPr>
                <w:sz w:val="18"/>
                <w:szCs w:val="18"/>
              </w:rPr>
              <w:t xml:space="preserve">$9,556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7FCC05A9" w14:textId="77777777">
            <w:pPr>
              <w:contextualSpacing/>
              <w:jc w:val="right"/>
              <w:rPr>
                <w:sz w:val="18"/>
                <w:szCs w:val="18"/>
              </w:rPr>
            </w:pPr>
            <w:r w:rsidRPr="000A697C">
              <w:rPr>
                <w:color w:val="000000"/>
                <w:sz w:val="18"/>
                <w:szCs w:val="18"/>
              </w:rPr>
              <w:t>-$5,174</w:t>
            </w:r>
          </w:p>
        </w:tc>
      </w:tr>
      <w:tr w14:paraId="73549B67"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590C614B" w14:textId="77777777">
            <w:pPr>
              <w:contextualSpacing/>
              <w:rPr>
                <w:sz w:val="18"/>
                <w:szCs w:val="18"/>
              </w:rPr>
            </w:pPr>
            <w:r w:rsidRPr="000A697C">
              <w:rPr>
                <w:sz w:val="18"/>
                <w:szCs w:val="18"/>
              </w:rPr>
              <w:t>Public Assistance Initial Customer Satisfaction Survey FEMA Form FF-104-FY-21-156 (formerly 519-0-33) (Internet)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4AFD71AE"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77FF0E94"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0EDF32F6"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23B2D020" w14:textId="77777777">
            <w:pPr>
              <w:contextualSpacing/>
              <w:jc w:val="right"/>
              <w:rPr>
                <w:sz w:val="18"/>
                <w:szCs w:val="18"/>
              </w:rPr>
            </w:pPr>
            <w:r w:rsidRPr="000A697C">
              <w:rPr>
                <w:sz w:val="18"/>
                <w:szCs w:val="18"/>
              </w:rPr>
              <w:t>$390</w:t>
            </w:r>
          </w:p>
        </w:tc>
        <w:tc>
          <w:tcPr>
            <w:tcW w:w="1235" w:type="dxa"/>
            <w:tcBorders>
              <w:top w:val="single" w:sz="4" w:space="0" w:color="auto"/>
              <w:bottom w:val="single" w:sz="4" w:space="0" w:color="auto"/>
            </w:tcBorders>
            <w:shd w:val="clear" w:color="auto" w:fill="auto"/>
            <w:vAlign w:val="center"/>
          </w:tcPr>
          <w:p w:rsidR="00102DD3" w:rsidRPr="000A697C" w:rsidP="000A697C" w14:paraId="1DE71D6A" w14:textId="77777777">
            <w:pPr>
              <w:contextualSpacing/>
              <w:jc w:val="right"/>
              <w:rPr>
                <w:sz w:val="18"/>
                <w:szCs w:val="18"/>
              </w:rPr>
            </w:pPr>
            <w:r w:rsidRPr="000A697C">
              <w:rPr>
                <w:sz w:val="18"/>
                <w:szCs w:val="18"/>
              </w:rPr>
              <w:t xml:space="preserve">$284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4660316A" w14:textId="77777777">
            <w:pPr>
              <w:contextualSpacing/>
              <w:jc w:val="right"/>
              <w:rPr>
                <w:sz w:val="18"/>
                <w:szCs w:val="18"/>
              </w:rPr>
            </w:pPr>
            <w:r w:rsidRPr="000A697C">
              <w:rPr>
                <w:color w:val="000000"/>
                <w:sz w:val="18"/>
                <w:szCs w:val="18"/>
              </w:rPr>
              <w:t>-$106</w:t>
            </w:r>
          </w:p>
        </w:tc>
      </w:tr>
      <w:tr w14:paraId="3B9252D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0FDAADD7" w14:textId="77777777">
            <w:pPr>
              <w:contextualSpacing/>
              <w:rPr>
                <w:sz w:val="18"/>
                <w:szCs w:val="18"/>
              </w:rPr>
            </w:pPr>
            <w:r w:rsidRPr="000A697C">
              <w:rPr>
                <w:sz w:val="18"/>
                <w:szCs w:val="18"/>
              </w:rPr>
              <w:t>Public Assistance Initial Customer Satisfaction Survey FEMA Form FF-104-FY-21-156 (formerly 519-0-33) (Internet)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534BC87A"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1D56D314"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26EC692E"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568BC50E" w14:textId="77777777">
            <w:pPr>
              <w:contextualSpacing/>
              <w:jc w:val="right"/>
              <w:rPr>
                <w:sz w:val="18"/>
                <w:szCs w:val="18"/>
              </w:rPr>
            </w:pPr>
            <w:r w:rsidRPr="000A697C">
              <w:rPr>
                <w:sz w:val="18"/>
                <w:szCs w:val="18"/>
              </w:rPr>
              <w:t>$2,921</w:t>
            </w:r>
          </w:p>
        </w:tc>
        <w:tc>
          <w:tcPr>
            <w:tcW w:w="1235" w:type="dxa"/>
            <w:tcBorders>
              <w:top w:val="single" w:sz="4" w:space="0" w:color="auto"/>
              <w:bottom w:val="single" w:sz="4" w:space="0" w:color="auto"/>
            </w:tcBorders>
            <w:shd w:val="clear" w:color="auto" w:fill="auto"/>
            <w:vAlign w:val="center"/>
          </w:tcPr>
          <w:p w:rsidR="00102DD3" w:rsidRPr="000A697C" w:rsidP="000A697C" w14:paraId="4B137E88" w14:textId="77777777">
            <w:pPr>
              <w:contextualSpacing/>
              <w:jc w:val="right"/>
              <w:rPr>
                <w:sz w:val="18"/>
                <w:szCs w:val="18"/>
              </w:rPr>
            </w:pPr>
            <w:r w:rsidRPr="000A697C">
              <w:rPr>
                <w:sz w:val="18"/>
                <w:szCs w:val="18"/>
              </w:rPr>
              <w:t xml:space="preserve">$1,455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45E9F615" w14:textId="77777777">
            <w:pPr>
              <w:contextualSpacing/>
              <w:jc w:val="right"/>
              <w:rPr>
                <w:sz w:val="18"/>
                <w:szCs w:val="18"/>
              </w:rPr>
            </w:pPr>
            <w:r w:rsidRPr="000A697C">
              <w:rPr>
                <w:color w:val="000000"/>
                <w:sz w:val="18"/>
                <w:szCs w:val="18"/>
              </w:rPr>
              <w:t>-$1,466</w:t>
            </w:r>
          </w:p>
        </w:tc>
      </w:tr>
      <w:tr w14:paraId="2F8B9882"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778068A0" w14:textId="77777777">
            <w:pPr>
              <w:contextualSpacing/>
              <w:rPr>
                <w:sz w:val="18"/>
                <w:szCs w:val="18"/>
              </w:rPr>
            </w:pPr>
            <w:r w:rsidRPr="000A697C">
              <w:rPr>
                <w:sz w:val="18"/>
                <w:szCs w:val="18"/>
              </w:rPr>
              <w:t>Public Assistance Assessment Customer Satisfaction Survey FEMA Form FF-104-FY-21-157 (formerly 519-0-34) (Telephone)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143ACB9F"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2EA2523A"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24394F24"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459DEA46" w14:textId="77777777">
            <w:pPr>
              <w:contextualSpacing/>
              <w:jc w:val="right"/>
              <w:rPr>
                <w:sz w:val="18"/>
                <w:szCs w:val="18"/>
              </w:rPr>
            </w:pPr>
            <w:r w:rsidRPr="000A697C">
              <w:rPr>
                <w:sz w:val="18"/>
                <w:szCs w:val="18"/>
              </w:rPr>
              <w:t>$1,559</w:t>
            </w:r>
          </w:p>
        </w:tc>
        <w:tc>
          <w:tcPr>
            <w:tcW w:w="1235" w:type="dxa"/>
            <w:tcBorders>
              <w:top w:val="single" w:sz="4" w:space="0" w:color="auto"/>
              <w:bottom w:val="single" w:sz="4" w:space="0" w:color="auto"/>
            </w:tcBorders>
            <w:shd w:val="clear" w:color="auto" w:fill="auto"/>
            <w:vAlign w:val="center"/>
          </w:tcPr>
          <w:p w:rsidR="00102DD3" w:rsidRPr="000A697C" w:rsidP="000A697C" w14:paraId="5631633C" w14:textId="77777777">
            <w:pPr>
              <w:contextualSpacing/>
              <w:jc w:val="right"/>
              <w:rPr>
                <w:sz w:val="18"/>
                <w:szCs w:val="18"/>
              </w:rPr>
            </w:pPr>
            <w:r w:rsidRPr="000A697C">
              <w:rPr>
                <w:sz w:val="18"/>
                <w:szCs w:val="18"/>
              </w:rPr>
              <w:t xml:space="preserve">$1,787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3FB8CC8A" w14:textId="77777777">
            <w:pPr>
              <w:contextualSpacing/>
              <w:jc w:val="right"/>
              <w:rPr>
                <w:sz w:val="18"/>
                <w:szCs w:val="18"/>
              </w:rPr>
            </w:pPr>
            <w:r w:rsidRPr="000A697C">
              <w:rPr>
                <w:color w:val="000000"/>
                <w:sz w:val="18"/>
                <w:szCs w:val="18"/>
              </w:rPr>
              <w:t>$228</w:t>
            </w:r>
          </w:p>
        </w:tc>
      </w:tr>
      <w:tr w14:paraId="2E890ED9"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19668CEB" w14:textId="77777777">
            <w:pPr>
              <w:contextualSpacing/>
              <w:rPr>
                <w:sz w:val="18"/>
                <w:szCs w:val="18"/>
              </w:rPr>
            </w:pPr>
            <w:r w:rsidRPr="000A697C">
              <w:rPr>
                <w:sz w:val="18"/>
                <w:szCs w:val="18"/>
              </w:rPr>
              <w:t>Public Assistance Assessment Customer Satisfaction Survey FEMA Form FF-104-FY-21-157 (formerly 519-0-34) (Telephone)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0E38D71C"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35A10871"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7DCDA486"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552DA1D6" w14:textId="77777777">
            <w:pPr>
              <w:contextualSpacing/>
              <w:jc w:val="right"/>
              <w:rPr>
                <w:sz w:val="18"/>
                <w:szCs w:val="18"/>
              </w:rPr>
            </w:pPr>
            <w:r w:rsidRPr="000A697C">
              <w:rPr>
                <w:sz w:val="18"/>
                <w:szCs w:val="18"/>
              </w:rPr>
              <w:t>$11,809</w:t>
            </w:r>
          </w:p>
        </w:tc>
        <w:tc>
          <w:tcPr>
            <w:tcW w:w="1235" w:type="dxa"/>
            <w:tcBorders>
              <w:top w:val="single" w:sz="4" w:space="0" w:color="auto"/>
              <w:bottom w:val="single" w:sz="4" w:space="0" w:color="auto"/>
            </w:tcBorders>
            <w:shd w:val="clear" w:color="auto" w:fill="auto"/>
            <w:vAlign w:val="center"/>
          </w:tcPr>
          <w:p w:rsidR="00102DD3" w:rsidRPr="000A697C" w:rsidP="000A697C" w14:paraId="52A68401" w14:textId="77777777">
            <w:pPr>
              <w:contextualSpacing/>
              <w:jc w:val="right"/>
              <w:rPr>
                <w:sz w:val="18"/>
                <w:szCs w:val="18"/>
              </w:rPr>
            </w:pPr>
            <w:r w:rsidRPr="000A697C">
              <w:rPr>
                <w:sz w:val="18"/>
                <w:szCs w:val="18"/>
              </w:rPr>
              <w:t xml:space="preserve">$9,168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5922FE77" w14:textId="77777777">
            <w:pPr>
              <w:contextualSpacing/>
              <w:jc w:val="right"/>
              <w:rPr>
                <w:sz w:val="18"/>
                <w:szCs w:val="18"/>
              </w:rPr>
            </w:pPr>
            <w:r w:rsidRPr="000A697C">
              <w:rPr>
                <w:color w:val="000000"/>
                <w:sz w:val="18"/>
                <w:szCs w:val="18"/>
              </w:rPr>
              <w:t>-$2,641</w:t>
            </w:r>
          </w:p>
        </w:tc>
      </w:tr>
      <w:tr w14:paraId="0BC52565"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5B0B58B9" w14:textId="77777777">
            <w:pPr>
              <w:contextualSpacing/>
              <w:rPr>
                <w:sz w:val="18"/>
                <w:szCs w:val="18"/>
              </w:rPr>
            </w:pPr>
            <w:r w:rsidRPr="000A697C">
              <w:rPr>
                <w:sz w:val="18"/>
                <w:szCs w:val="18"/>
              </w:rPr>
              <w:t>Public Assistance Assessment Customer Satisfaction Survey FEMA Form FF-104-FY-21-158 (formerly 519-0-35) (Internet)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5D578C65"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02B1DAB5"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7C200753"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73C5F67C" w14:textId="77777777">
            <w:pPr>
              <w:contextualSpacing/>
              <w:jc w:val="right"/>
              <w:rPr>
                <w:sz w:val="18"/>
                <w:szCs w:val="18"/>
              </w:rPr>
            </w:pPr>
            <w:r w:rsidRPr="000A697C">
              <w:rPr>
                <w:sz w:val="18"/>
                <w:szCs w:val="18"/>
              </w:rPr>
              <w:t>$319</w:t>
            </w:r>
          </w:p>
        </w:tc>
        <w:tc>
          <w:tcPr>
            <w:tcW w:w="1235" w:type="dxa"/>
            <w:tcBorders>
              <w:top w:val="single" w:sz="4" w:space="0" w:color="auto"/>
              <w:bottom w:val="single" w:sz="4" w:space="0" w:color="auto"/>
            </w:tcBorders>
            <w:shd w:val="clear" w:color="auto" w:fill="auto"/>
            <w:vAlign w:val="center"/>
          </w:tcPr>
          <w:p w:rsidR="00102DD3" w:rsidRPr="000A697C" w:rsidP="000A697C" w14:paraId="0C8DE338" w14:textId="77777777">
            <w:pPr>
              <w:contextualSpacing/>
              <w:jc w:val="right"/>
              <w:rPr>
                <w:sz w:val="18"/>
                <w:szCs w:val="18"/>
              </w:rPr>
            </w:pPr>
            <w:r w:rsidRPr="000A697C">
              <w:rPr>
                <w:sz w:val="18"/>
                <w:szCs w:val="18"/>
              </w:rPr>
              <w:t xml:space="preserve">$365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3A528BAC" w14:textId="77777777">
            <w:pPr>
              <w:contextualSpacing/>
              <w:jc w:val="right"/>
              <w:rPr>
                <w:sz w:val="18"/>
                <w:szCs w:val="18"/>
              </w:rPr>
            </w:pPr>
            <w:r w:rsidRPr="000A697C">
              <w:rPr>
                <w:color w:val="000000"/>
                <w:sz w:val="18"/>
                <w:szCs w:val="18"/>
              </w:rPr>
              <w:t>$46</w:t>
            </w:r>
          </w:p>
        </w:tc>
      </w:tr>
      <w:tr w14:paraId="5609D8D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25385A5A" w14:textId="77777777">
            <w:pPr>
              <w:contextualSpacing/>
              <w:rPr>
                <w:sz w:val="18"/>
                <w:szCs w:val="18"/>
              </w:rPr>
            </w:pPr>
            <w:r w:rsidRPr="000A697C">
              <w:rPr>
                <w:sz w:val="18"/>
                <w:szCs w:val="18"/>
              </w:rPr>
              <w:t>Public Assistance Assessment Customer Satisfaction Survey FEMA Form FF-104-FY-21-158 (formerly 519-0-35) (Internet)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7DEEED2F"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520E10A5"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00A16B6D"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4BA2F423" w14:textId="77777777">
            <w:pPr>
              <w:contextualSpacing/>
              <w:jc w:val="right"/>
              <w:rPr>
                <w:sz w:val="18"/>
                <w:szCs w:val="18"/>
              </w:rPr>
            </w:pPr>
            <w:r w:rsidRPr="000A697C">
              <w:rPr>
                <w:sz w:val="18"/>
                <w:szCs w:val="18"/>
              </w:rPr>
              <w:t>$2,476</w:t>
            </w:r>
          </w:p>
        </w:tc>
        <w:tc>
          <w:tcPr>
            <w:tcW w:w="1235" w:type="dxa"/>
            <w:tcBorders>
              <w:top w:val="single" w:sz="4" w:space="0" w:color="auto"/>
              <w:bottom w:val="single" w:sz="4" w:space="0" w:color="auto"/>
            </w:tcBorders>
            <w:shd w:val="clear" w:color="auto" w:fill="auto"/>
            <w:vAlign w:val="center"/>
          </w:tcPr>
          <w:p w:rsidR="00102DD3" w:rsidRPr="000A697C" w:rsidP="000A697C" w14:paraId="457CBDC1" w14:textId="77777777">
            <w:pPr>
              <w:contextualSpacing/>
              <w:jc w:val="right"/>
              <w:rPr>
                <w:sz w:val="18"/>
                <w:szCs w:val="18"/>
              </w:rPr>
            </w:pPr>
            <w:r w:rsidRPr="000A697C">
              <w:rPr>
                <w:sz w:val="18"/>
                <w:szCs w:val="18"/>
              </w:rPr>
              <w:t xml:space="preserve">$1,795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5D886EA7" w14:textId="77777777">
            <w:pPr>
              <w:contextualSpacing/>
              <w:jc w:val="right"/>
              <w:rPr>
                <w:sz w:val="18"/>
                <w:szCs w:val="18"/>
              </w:rPr>
            </w:pPr>
            <w:r w:rsidRPr="000A697C">
              <w:rPr>
                <w:color w:val="000000"/>
                <w:sz w:val="18"/>
                <w:szCs w:val="18"/>
              </w:rPr>
              <w:t>-$681</w:t>
            </w:r>
          </w:p>
        </w:tc>
      </w:tr>
      <w:tr w14:paraId="783ECAB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52D026E3" w14:textId="77777777">
            <w:pPr>
              <w:contextualSpacing/>
              <w:rPr>
                <w:sz w:val="18"/>
                <w:szCs w:val="18"/>
              </w:rPr>
            </w:pPr>
            <w:r w:rsidRPr="000A697C">
              <w:rPr>
                <w:sz w:val="18"/>
                <w:szCs w:val="18"/>
              </w:rPr>
              <w:t>Focus Group for 2 Hrs Plus Travel 1 Hr</w:t>
            </w:r>
          </w:p>
          <w:p w:rsidR="00102DD3" w:rsidRPr="000A697C" w:rsidP="000A697C" w14:paraId="1670C58F" w14:textId="77777777">
            <w:pPr>
              <w:contextualSpacing/>
              <w:rPr>
                <w:sz w:val="18"/>
                <w:szCs w:val="18"/>
              </w:rPr>
            </w:pPr>
            <w:r w:rsidRPr="000A697C">
              <w:rPr>
                <w:sz w:val="18"/>
                <w:szCs w:val="18"/>
              </w:rPr>
              <w:t>FM-104-FY-22-102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7F57B26C"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6264D145"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50BD1D9B"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02259F79" w14:textId="77777777">
            <w:pPr>
              <w:contextualSpacing/>
              <w:jc w:val="right"/>
              <w:rPr>
                <w:sz w:val="18"/>
                <w:szCs w:val="18"/>
              </w:rPr>
            </w:pPr>
            <w:r w:rsidRPr="000A697C">
              <w:rPr>
                <w:sz w:val="18"/>
                <w:szCs w:val="18"/>
              </w:rPr>
              <w:t>$7,228</w:t>
            </w:r>
          </w:p>
        </w:tc>
        <w:tc>
          <w:tcPr>
            <w:tcW w:w="1235" w:type="dxa"/>
            <w:tcBorders>
              <w:top w:val="single" w:sz="4" w:space="0" w:color="auto"/>
              <w:bottom w:val="single" w:sz="4" w:space="0" w:color="auto"/>
            </w:tcBorders>
            <w:shd w:val="clear" w:color="auto" w:fill="auto"/>
            <w:vAlign w:val="center"/>
          </w:tcPr>
          <w:p w:rsidR="00102DD3" w:rsidRPr="000A697C" w:rsidP="000A697C" w14:paraId="7863A877" w14:textId="77777777">
            <w:pPr>
              <w:contextualSpacing/>
              <w:jc w:val="right"/>
              <w:rPr>
                <w:sz w:val="18"/>
                <w:szCs w:val="18"/>
              </w:rPr>
            </w:pPr>
            <w:r w:rsidRPr="000A697C">
              <w:rPr>
                <w:sz w:val="18"/>
                <w:szCs w:val="18"/>
              </w:rPr>
              <w:t xml:space="preserve">$8,284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2242D053" w14:textId="77777777">
            <w:pPr>
              <w:contextualSpacing/>
              <w:jc w:val="right"/>
              <w:rPr>
                <w:sz w:val="18"/>
                <w:szCs w:val="18"/>
              </w:rPr>
            </w:pPr>
            <w:r w:rsidRPr="000A697C">
              <w:rPr>
                <w:color w:val="000000"/>
                <w:sz w:val="18"/>
                <w:szCs w:val="18"/>
              </w:rPr>
              <w:t>$1,056</w:t>
            </w:r>
          </w:p>
        </w:tc>
      </w:tr>
      <w:tr w14:paraId="239FFE90"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1BF35155" w14:textId="77777777">
            <w:pPr>
              <w:contextualSpacing/>
              <w:rPr>
                <w:sz w:val="18"/>
                <w:szCs w:val="18"/>
              </w:rPr>
            </w:pPr>
            <w:r w:rsidRPr="000A697C">
              <w:rPr>
                <w:sz w:val="18"/>
                <w:szCs w:val="18"/>
              </w:rPr>
              <w:t>Focus Group for 2 Hrs Plus Travel 1 Hr</w:t>
            </w:r>
          </w:p>
          <w:p w:rsidR="00102DD3" w:rsidRPr="000A697C" w:rsidP="000A697C" w14:paraId="6083D9C2" w14:textId="77777777">
            <w:pPr>
              <w:contextualSpacing/>
              <w:rPr>
                <w:sz w:val="18"/>
                <w:szCs w:val="18"/>
              </w:rPr>
            </w:pPr>
            <w:r w:rsidRPr="000A697C">
              <w:rPr>
                <w:sz w:val="18"/>
                <w:szCs w:val="18"/>
              </w:rPr>
              <w:t>FM-104-FY-22-102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3D45C3F0"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387AAD92"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55619CA5"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1CC34148" w14:textId="77777777">
            <w:pPr>
              <w:contextualSpacing/>
              <w:jc w:val="right"/>
              <w:rPr>
                <w:sz w:val="18"/>
                <w:szCs w:val="18"/>
              </w:rPr>
            </w:pPr>
            <w:r w:rsidRPr="000A697C">
              <w:rPr>
                <w:sz w:val="18"/>
                <w:szCs w:val="18"/>
              </w:rPr>
              <w:t>$55,617</w:t>
            </w:r>
          </w:p>
        </w:tc>
        <w:tc>
          <w:tcPr>
            <w:tcW w:w="1235" w:type="dxa"/>
            <w:tcBorders>
              <w:top w:val="single" w:sz="4" w:space="0" w:color="auto"/>
              <w:bottom w:val="single" w:sz="4" w:space="0" w:color="auto"/>
            </w:tcBorders>
            <w:shd w:val="clear" w:color="auto" w:fill="auto"/>
            <w:vAlign w:val="center"/>
          </w:tcPr>
          <w:p w:rsidR="00102DD3" w:rsidRPr="000A697C" w:rsidP="000A697C" w14:paraId="09AC2ABF" w14:textId="77777777">
            <w:pPr>
              <w:contextualSpacing/>
              <w:jc w:val="right"/>
              <w:rPr>
                <w:sz w:val="18"/>
                <w:szCs w:val="18"/>
              </w:rPr>
            </w:pPr>
            <w:r w:rsidRPr="000A697C">
              <w:rPr>
                <w:sz w:val="18"/>
                <w:szCs w:val="18"/>
              </w:rPr>
              <w:t xml:space="preserve">$42,495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2CF08EB8" w14:textId="77777777">
            <w:pPr>
              <w:contextualSpacing/>
              <w:jc w:val="right"/>
              <w:rPr>
                <w:sz w:val="18"/>
                <w:szCs w:val="18"/>
              </w:rPr>
            </w:pPr>
            <w:r w:rsidRPr="000A697C">
              <w:rPr>
                <w:color w:val="000000"/>
                <w:sz w:val="18"/>
                <w:szCs w:val="18"/>
              </w:rPr>
              <w:t>-$13,122</w:t>
            </w:r>
          </w:p>
        </w:tc>
      </w:tr>
      <w:tr w14:paraId="78639DF9"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4BF5AC5C" w14:textId="77777777">
            <w:pPr>
              <w:contextualSpacing/>
              <w:rPr>
                <w:sz w:val="18"/>
                <w:szCs w:val="18"/>
              </w:rPr>
            </w:pPr>
            <w:r w:rsidRPr="000A697C">
              <w:rPr>
                <w:sz w:val="18"/>
                <w:szCs w:val="18"/>
              </w:rPr>
              <w:t>One-on-One Interviews</w:t>
            </w:r>
          </w:p>
          <w:p w:rsidR="00102DD3" w:rsidRPr="000A697C" w:rsidP="000A697C" w14:paraId="2AE21B4B" w14:textId="77777777">
            <w:pPr>
              <w:contextualSpacing/>
              <w:rPr>
                <w:sz w:val="18"/>
                <w:szCs w:val="18"/>
              </w:rPr>
            </w:pPr>
            <w:r w:rsidRPr="000A697C">
              <w:rPr>
                <w:sz w:val="18"/>
                <w:szCs w:val="18"/>
              </w:rPr>
              <w:t>FM-104-FY-22-102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3F3DC5DE"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3FDCA346"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0E70952A"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101732D8" w14:textId="77777777">
            <w:pPr>
              <w:contextualSpacing/>
              <w:jc w:val="right"/>
              <w:rPr>
                <w:sz w:val="18"/>
                <w:szCs w:val="18"/>
              </w:rPr>
            </w:pPr>
            <w:r w:rsidRPr="000A697C">
              <w:rPr>
                <w:sz w:val="18"/>
                <w:szCs w:val="18"/>
              </w:rPr>
              <w:t>$1,346</w:t>
            </w:r>
          </w:p>
        </w:tc>
        <w:tc>
          <w:tcPr>
            <w:tcW w:w="1235" w:type="dxa"/>
            <w:tcBorders>
              <w:top w:val="single" w:sz="4" w:space="0" w:color="auto"/>
              <w:bottom w:val="single" w:sz="4" w:space="0" w:color="auto"/>
            </w:tcBorders>
            <w:shd w:val="clear" w:color="auto" w:fill="auto"/>
            <w:vAlign w:val="center"/>
          </w:tcPr>
          <w:p w:rsidR="00102DD3" w:rsidRPr="000A697C" w:rsidP="000A697C" w14:paraId="65063FFD" w14:textId="77777777">
            <w:pPr>
              <w:contextualSpacing/>
              <w:jc w:val="right"/>
              <w:rPr>
                <w:sz w:val="18"/>
                <w:szCs w:val="18"/>
              </w:rPr>
            </w:pPr>
            <w:r w:rsidRPr="000A697C">
              <w:rPr>
                <w:sz w:val="18"/>
                <w:szCs w:val="18"/>
              </w:rPr>
              <w:t xml:space="preserve">$1,543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3BD1BD9A" w14:textId="77777777">
            <w:pPr>
              <w:contextualSpacing/>
              <w:jc w:val="right"/>
              <w:rPr>
                <w:sz w:val="18"/>
                <w:szCs w:val="18"/>
              </w:rPr>
            </w:pPr>
            <w:r w:rsidRPr="000A697C">
              <w:rPr>
                <w:color w:val="000000"/>
                <w:sz w:val="18"/>
                <w:szCs w:val="18"/>
              </w:rPr>
              <w:t>$197</w:t>
            </w:r>
          </w:p>
        </w:tc>
      </w:tr>
      <w:tr w14:paraId="79D62BAC"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20B06247" w14:textId="77777777">
            <w:pPr>
              <w:contextualSpacing/>
              <w:rPr>
                <w:sz w:val="18"/>
                <w:szCs w:val="18"/>
              </w:rPr>
            </w:pPr>
            <w:r w:rsidRPr="000A697C">
              <w:rPr>
                <w:sz w:val="18"/>
                <w:szCs w:val="18"/>
              </w:rPr>
              <w:t>One-on-One Interviews</w:t>
            </w:r>
          </w:p>
          <w:p w:rsidR="00102DD3" w:rsidRPr="000A697C" w:rsidP="000A697C" w14:paraId="29B70B58" w14:textId="77777777">
            <w:pPr>
              <w:contextualSpacing/>
              <w:rPr>
                <w:sz w:val="18"/>
                <w:szCs w:val="18"/>
              </w:rPr>
            </w:pPr>
            <w:r w:rsidRPr="000A697C">
              <w:rPr>
                <w:sz w:val="18"/>
                <w:szCs w:val="18"/>
              </w:rPr>
              <w:t>FM-104-FY-22-102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6E3B08BB"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69CADF00"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26D9E096"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0F89AF50" w14:textId="77777777">
            <w:pPr>
              <w:contextualSpacing/>
              <w:jc w:val="right"/>
              <w:rPr>
                <w:sz w:val="18"/>
                <w:szCs w:val="18"/>
              </w:rPr>
            </w:pPr>
            <w:r w:rsidRPr="000A697C">
              <w:rPr>
                <w:sz w:val="18"/>
                <w:szCs w:val="18"/>
              </w:rPr>
              <w:t>$10,285</w:t>
            </w:r>
          </w:p>
        </w:tc>
        <w:tc>
          <w:tcPr>
            <w:tcW w:w="1235" w:type="dxa"/>
            <w:tcBorders>
              <w:top w:val="single" w:sz="4" w:space="0" w:color="auto"/>
              <w:bottom w:val="single" w:sz="4" w:space="0" w:color="auto"/>
            </w:tcBorders>
            <w:shd w:val="clear" w:color="auto" w:fill="auto"/>
            <w:vAlign w:val="center"/>
          </w:tcPr>
          <w:p w:rsidR="00102DD3" w:rsidRPr="000A697C" w:rsidP="000A697C" w14:paraId="30175B38" w14:textId="77777777">
            <w:pPr>
              <w:contextualSpacing/>
              <w:jc w:val="right"/>
              <w:rPr>
                <w:sz w:val="18"/>
                <w:szCs w:val="18"/>
              </w:rPr>
            </w:pPr>
            <w:r w:rsidRPr="000A697C">
              <w:rPr>
                <w:sz w:val="18"/>
                <w:szCs w:val="18"/>
              </w:rPr>
              <w:t xml:space="preserve">$7,859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0B132DF1" w14:textId="77777777">
            <w:pPr>
              <w:contextualSpacing/>
              <w:jc w:val="right"/>
              <w:rPr>
                <w:sz w:val="18"/>
                <w:szCs w:val="18"/>
              </w:rPr>
            </w:pPr>
            <w:r w:rsidRPr="000A697C">
              <w:rPr>
                <w:color w:val="000000"/>
                <w:sz w:val="18"/>
                <w:szCs w:val="18"/>
              </w:rPr>
              <w:t>-$2,426</w:t>
            </w:r>
          </w:p>
        </w:tc>
      </w:tr>
      <w:tr w14:paraId="4E9BE809" w14:textId="77777777" w:rsidTr="00762A0D">
        <w:tblPrEx>
          <w:tblW w:w="10563" w:type="dxa"/>
          <w:jc w:val="center"/>
          <w:tblLook w:val="04A0"/>
        </w:tblPrEx>
        <w:trPr>
          <w:jc w:val="center"/>
        </w:trPr>
        <w:tc>
          <w:tcPr>
            <w:tcW w:w="2980" w:type="dxa"/>
            <w:shd w:val="clear" w:color="auto" w:fill="auto"/>
          </w:tcPr>
          <w:p w:rsidR="00102DD3" w:rsidRPr="000A697C" w:rsidP="000A697C" w14:paraId="28565D5F" w14:textId="77777777">
            <w:pPr>
              <w:contextualSpacing/>
              <w:rPr>
                <w:b/>
                <w:sz w:val="18"/>
                <w:szCs w:val="18"/>
              </w:rPr>
            </w:pPr>
            <w:r w:rsidRPr="000A697C">
              <w:rPr>
                <w:b/>
                <w:sz w:val="18"/>
                <w:szCs w:val="18"/>
              </w:rPr>
              <w:t>Total</w:t>
            </w:r>
          </w:p>
        </w:tc>
        <w:tc>
          <w:tcPr>
            <w:tcW w:w="1435" w:type="dxa"/>
            <w:tcBorders>
              <w:top w:val="single" w:sz="4" w:space="0" w:color="auto"/>
              <w:bottom w:val="single" w:sz="4" w:space="0" w:color="auto"/>
              <w:right w:val="single" w:sz="4" w:space="0" w:color="auto"/>
            </w:tcBorders>
            <w:shd w:val="clear" w:color="auto" w:fill="auto"/>
            <w:vAlign w:val="center"/>
          </w:tcPr>
          <w:p w:rsidR="00102DD3" w:rsidRPr="000A697C" w:rsidP="000A697C" w14:paraId="1448D0F8" w14:textId="77777777">
            <w:pPr>
              <w:contextualSpacing/>
              <w:jc w:val="right"/>
              <w:rPr>
                <w:b/>
                <w:sz w:val="18"/>
                <w:szCs w:val="18"/>
              </w:rPr>
            </w:pPr>
            <w:r w:rsidRPr="000A697C">
              <w:rPr>
                <w:b/>
                <w:sz w:val="18"/>
                <w:szCs w:val="18"/>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2DD3" w:rsidRPr="000A697C" w:rsidP="000A697C" w14:paraId="48856A33" w14:textId="77777777">
            <w:pPr>
              <w:contextualSpacing/>
              <w:jc w:val="right"/>
              <w:rPr>
                <w:b/>
                <w:sz w:val="18"/>
                <w:szCs w:val="18"/>
              </w:rPr>
            </w:pPr>
            <w:r w:rsidRPr="000A697C">
              <w:rPr>
                <w:b/>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02DD3" w:rsidRPr="000A697C" w:rsidP="000A697C" w14:paraId="4147F188" w14:textId="77777777">
            <w:pPr>
              <w:contextualSpacing/>
              <w:jc w:val="right"/>
              <w:rPr>
                <w:b/>
                <w:sz w:val="18"/>
                <w:szCs w:val="18"/>
              </w:rPr>
            </w:pPr>
            <w:r w:rsidRPr="000A697C">
              <w:rPr>
                <w:b/>
                <w:sz w:val="18"/>
                <w:szCs w:val="18"/>
              </w:rPr>
              <w:t>$0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bottom"/>
          </w:tcPr>
          <w:p w:rsidR="00102DD3" w:rsidRPr="000A697C" w:rsidP="000A697C" w14:paraId="0009C16E" w14:textId="77777777">
            <w:pPr>
              <w:contextualSpacing/>
              <w:jc w:val="right"/>
              <w:rPr>
                <w:b/>
                <w:sz w:val="18"/>
                <w:szCs w:val="18"/>
              </w:rPr>
            </w:pPr>
            <w:r w:rsidRPr="000A697C">
              <w:rPr>
                <w:b/>
                <w:color w:val="000000"/>
                <w:sz w:val="18"/>
                <w:szCs w:val="18"/>
              </w:rPr>
              <w:t xml:space="preserve">$110,629 </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rsidR="00102DD3" w:rsidRPr="000A697C" w:rsidP="000A697C" w14:paraId="114E5655" w14:textId="77777777">
            <w:pPr>
              <w:contextualSpacing/>
              <w:jc w:val="right"/>
              <w:rPr>
                <w:b/>
                <w:sz w:val="18"/>
                <w:szCs w:val="18"/>
              </w:rPr>
            </w:pPr>
            <w:r w:rsidRPr="000A697C">
              <w:rPr>
                <w:b/>
                <w:color w:val="000000"/>
                <w:sz w:val="18"/>
                <w:szCs w:val="18"/>
              </w:rPr>
              <w:t xml:space="preserve">$86,459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rsidR="00102DD3" w:rsidRPr="000A697C" w:rsidP="000A697C" w14:paraId="0552A54B" w14:textId="77777777">
            <w:pPr>
              <w:contextualSpacing/>
              <w:jc w:val="right"/>
              <w:rPr>
                <w:b/>
                <w:sz w:val="18"/>
                <w:szCs w:val="18"/>
              </w:rPr>
            </w:pPr>
            <w:r w:rsidRPr="000A697C">
              <w:rPr>
                <w:b/>
                <w:color w:val="000000"/>
                <w:sz w:val="18"/>
                <w:szCs w:val="18"/>
              </w:rPr>
              <w:t>-$24,170</w:t>
            </w:r>
          </w:p>
        </w:tc>
      </w:tr>
    </w:tbl>
    <w:bookmarkEnd w:id="14"/>
    <w:p w:rsidR="00EE39CC" w:rsidRPr="00C34635" w:rsidP="00C34635" w14:paraId="513D0306" w14:textId="5B258096">
      <w:pPr>
        <w:spacing w:line="276" w:lineRule="auto"/>
        <w:contextualSpacing/>
      </w:pPr>
      <w:r w:rsidRPr="00C34635">
        <w:rPr>
          <w:b/>
          <w:bCs/>
        </w:rPr>
        <w:t>Explain</w:t>
      </w:r>
      <w:r w:rsidRPr="00C34635">
        <w:t xml:space="preserve">: Wage rates were also updated with new occupation classifications and current rates.  Standard occupational classification was used for both non-profit and government workers </w:t>
      </w:r>
      <w:r w:rsidRPr="00C34635">
        <w:t>because the survey respondents can hold a wide range of positions (previous classifications too specific).</w:t>
      </w:r>
    </w:p>
    <w:p w:rsidR="00EE39CC" w:rsidRPr="00C34635" w:rsidP="00C34635" w14:paraId="2CA9D020" w14:textId="77777777">
      <w:pPr>
        <w:spacing w:line="276" w:lineRule="auto"/>
        <w:contextualSpacing/>
      </w:pPr>
    </w:p>
    <w:p w:rsidR="00EE39CC" w:rsidRPr="00762A0D" w:rsidP="00C34635" w14:paraId="65D276D5" w14:textId="77777777">
      <w:pPr>
        <w:pStyle w:val="NormalWeb"/>
        <w:spacing w:before="0" w:beforeAutospacing="0" w:after="0" w:afterAutospacing="0" w:line="276" w:lineRule="auto"/>
        <w:contextualSpacing/>
        <w:rPr>
          <w:b/>
          <w:bCs/>
          <w:color w:val="000000" w:themeColor="text1"/>
        </w:rPr>
      </w:pPr>
      <w:r w:rsidRPr="00762A0D">
        <w:rPr>
          <w:b/>
          <w:bCs/>
          <w:color w:val="000000" w:themeColor="text1"/>
        </w:rPr>
        <w:t>Total Program Decrease to Cost = $110,629 (previous) – $86,459 (current) = -$24,170</w:t>
      </w:r>
    </w:p>
    <w:p w:rsidR="00102DD3" w:rsidRPr="00C34635" w:rsidP="00C34635" w14:paraId="4E2174FC" w14:textId="77777777">
      <w:pPr>
        <w:spacing w:before="120" w:line="276" w:lineRule="auto"/>
        <w:contextualSpacing/>
        <w:rPr>
          <w:bCs/>
        </w:rPr>
      </w:pPr>
    </w:p>
    <w:p w:rsidR="00842E74" w:rsidRPr="00C34635" w:rsidP="00C34635" w14:paraId="7491B565" w14:textId="77777777">
      <w:pPr>
        <w:spacing w:before="120" w:line="276" w:lineRule="auto"/>
        <w:contextualSpacing/>
        <w:rPr>
          <w:bCs/>
          <w:color w:val="000000" w:themeColor="text1"/>
        </w:rPr>
      </w:pPr>
      <w:r w:rsidRPr="00C34635">
        <w:rPr>
          <w:b/>
          <w:bCs/>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w:t>
      </w:r>
      <w:r w:rsidRPr="00C34635">
        <w:rPr>
          <w:b/>
          <w:bCs/>
          <w:color w:val="000000" w:themeColor="text1"/>
        </w:rPr>
        <w:t>the collection of information, completion of report, publication dates, and other actions.</w:t>
      </w:r>
    </w:p>
    <w:p w:rsidR="00DB5B61" w:rsidRPr="00C34635" w:rsidP="00C34635" w14:paraId="14E8D955" w14:textId="77777777">
      <w:pPr>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p>
    <w:p w:rsidR="009A7692" w:rsidRPr="00C34635" w:rsidP="00C34635" w14:paraId="43E64C40" w14:textId="77777777">
      <w:pPr>
        <w:spacing w:line="276" w:lineRule="auto"/>
        <w:contextualSpacing/>
        <w:rPr>
          <w:color w:val="000000" w:themeColor="text1"/>
        </w:rPr>
      </w:pPr>
      <w:r w:rsidRPr="00C34635">
        <w:rPr>
          <w:color w:val="000000" w:themeColor="text1"/>
        </w:rPr>
        <w:t xml:space="preserve">Reports are provided to internal stakeholders within FEMA such as the Public Assistance management offices and various Recovery Directorate offices on a quarterly basis. These reports have a breakdown of each question (basic descriptive statistics; averages and percentages) as well as an overall analysis of patterns seen in the data each quarter and trends overtime. Data can also be aggregated by region, disaster, state, etc. depending on the needs of </w:t>
      </w:r>
      <w:r w:rsidRPr="00C34635" w:rsidR="000436FA">
        <w:rPr>
          <w:color w:val="000000" w:themeColor="text1"/>
        </w:rPr>
        <w:t>Public</w:t>
      </w:r>
      <w:r w:rsidRPr="00C34635">
        <w:rPr>
          <w:color w:val="000000" w:themeColor="text1"/>
        </w:rPr>
        <w:t xml:space="preserve"> Assistance.  Therefore, it is possible that stakeholders may request reports on a monthly and/or yearly basis.  </w:t>
      </w:r>
    </w:p>
    <w:p w:rsidR="009A7692" w:rsidRPr="00C34635" w:rsidP="00C34635" w14:paraId="7507F9D4" w14:textId="77777777">
      <w:pPr>
        <w:spacing w:line="276" w:lineRule="auto"/>
        <w:contextualSpacing/>
        <w:rPr>
          <w:color w:val="000000" w:themeColor="text1"/>
        </w:rPr>
      </w:pPr>
    </w:p>
    <w:p w:rsidR="009A7692" w:rsidRPr="00C34635" w:rsidP="00C34635" w14:paraId="4E083E43" w14:textId="77777777">
      <w:pPr>
        <w:spacing w:line="276" w:lineRule="auto"/>
        <w:contextualSpacing/>
        <w:rPr>
          <w:color w:val="000000" w:themeColor="text1"/>
        </w:rPr>
      </w:pPr>
      <w:r w:rsidRPr="00C34635">
        <w:rPr>
          <w:color w:val="000000" w:themeColor="text1"/>
        </w:rPr>
        <w:t xml:space="preserve">Aggregated survey results reports can also be accessed by FEMA employees on the internal Customer Survey and Analysis (CSA) SharePoint site.  FEMA employees can also access survey dashboards and view aggregated results for select questions.  The dashboards are refreshed more frequently than reports are published.  </w:t>
      </w:r>
    </w:p>
    <w:p w:rsidR="000436FA" w:rsidRPr="00C34635" w:rsidP="00C34635" w14:paraId="2D49811C" w14:textId="77777777">
      <w:pPr>
        <w:spacing w:line="276" w:lineRule="auto"/>
        <w:contextualSpacing/>
        <w:rPr>
          <w:color w:val="000000" w:themeColor="text1"/>
        </w:rPr>
      </w:pPr>
    </w:p>
    <w:p w:rsidR="009A7692" w:rsidRPr="00C34635" w:rsidP="00C34635" w14:paraId="77EAD0CE" w14:textId="77777777">
      <w:pPr>
        <w:spacing w:line="276" w:lineRule="auto"/>
        <w:contextualSpacing/>
        <w:rPr>
          <w:color w:val="000000" w:themeColor="text1"/>
        </w:rPr>
      </w:pPr>
      <w:r w:rsidRPr="00C34635">
        <w:rPr>
          <w:color w:val="000000" w:themeColor="text1"/>
        </w:rPr>
        <w:t xml:space="preserve">Statisticians may be asked to do more in-depth analysis if there is a significant drop in customer satisfaction scores, and stakeholders want to understand why there was a decrease in satisfaction.  This may involve correlation, T-tests, crosstabulations with Pearson’s Chi-Square, and Analysis of Variance (ANOVA).  Nonparametric analysis may be used if appropriate. Demographic data will typically be used to describe the sample of respondents, but statisticians may also look for differences in satisfaction across demographic groups if a more in-depth analysis is requested.  Statisticians are careful to include disclaimers about generalizability if sample is low. </w:t>
      </w: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p>
    <w:p w:rsidR="008A7244" w:rsidRPr="00C34635" w:rsidP="00C34635" w14:paraId="0659738A" w14:textId="77777777">
      <w:pPr>
        <w:tabs>
          <w:tab w:val="left" w:pos="-720"/>
        </w:tabs>
        <w:suppressAutoHyphens/>
        <w:spacing w:line="276" w:lineRule="auto"/>
        <w:contextualSpacing/>
        <w:rPr>
          <w:color w:val="000000" w:themeColor="text1"/>
        </w:rPr>
      </w:pPr>
    </w:p>
    <w:p w:rsidR="008A7244" w:rsidRPr="00C34635" w:rsidP="00C34635" w14:paraId="30B21C9F" w14:textId="77777777">
      <w:pPr>
        <w:tabs>
          <w:tab w:val="left" w:pos="-720"/>
        </w:tabs>
        <w:suppressAutoHyphens/>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color w:val="000000" w:themeColor="text1"/>
        </w:rPr>
        <w:fldChar w:fldCharType="end"/>
      </w:r>
      <w:r w:rsidRPr="00C34635">
        <w:rPr>
          <w:b/>
          <w:bCs/>
          <w:color w:val="000000" w:themeColor="text1"/>
        </w:rPr>
        <w:t>17.  If seeking approval not to display the expiration date for OMB approval of the information collection, explain reasons that display would be inappropriate.</w:t>
      </w:r>
    </w:p>
    <w:p w:rsidR="008A7244" w:rsidRPr="00C34635" w:rsidP="00C34635" w14:paraId="3C00CF09" w14:textId="77777777">
      <w:pPr>
        <w:tabs>
          <w:tab w:val="left" w:pos="-720"/>
        </w:tabs>
        <w:suppressAutoHyphens/>
        <w:spacing w:line="276" w:lineRule="auto"/>
        <w:contextualSpacing/>
        <w:rPr>
          <w:b/>
          <w:bCs/>
          <w:color w:val="000000" w:themeColor="text1"/>
        </w:rPr>
      </w:pPr>
    </w:p>
    <w:p w:rsidR="008A7244" w:rsidRPr="00C34635" w:rsidP="00C34635" w14:paraId="06136CDB" w14:textId="77777777">
      <w:pPr>
        <w:tabs>
          <w:tab w:val="left" w:pos="-720"/>
        </w:tabs>
        <w:suppressAutoHyphens/>
        <w:spacing w:line="276" w:lineRule="auto"/>
        <w:contextualSpacing/>
        <w:rPr>
          <w:color w:val="000000" w:themeColor="text1"/>
        </w:rPr>
      </w:pPr>
      <w:r w:rsidRPr="00C34635">
        <w:rPr>
          <w:color w:val="000000" w:themeColor="text1"/>
        </w:rPr>
        <w:t>FEMA will display the expiration date for OMB approval of this information collection.</w:t>
      </w:r>
    </w:p>
    <w:p w:rsidR="008A7244" w:rsidRPr="00C34635" w:rsidP="00C34635" w14:paraId="3243C635" w14:textId="77777777">
      <w:pPr>
        <w:tabs>
          <w:tab w:val="left" w:pos="-720"/>
        </w:tabs>
        <w:suppressAutoHyphens/>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color w:val="000000" w:themeColor="text1"/>
        </w:rPr>
        <w:fldChar w:fldCharType="end"/>
      </w:r>
    </w:p>
    <w:p w:rsidR="008A7244" w:rsidRPr="00C34635" w:rsidP="00C34635" w14:paraId="6D179F04" w14:textId="77777777">
      <w:pPr>
        <w:tabs>
          <w:tab w:val="left" w:pos="-720"/>
        </w:tabs>
        <w:suppressAutoHyphens/>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color w:val="000000" w:themeColor="text1"/>
        </w:rPr>
        <w:fldChar w:fldCharType="end"/>
      </w:r>
      <w:r w:rsidRPr="00C34635">
        <w:rPr>
          <w:b/>
          <w:bCs/>
          <w:color w:val="000000" w:themeColor="text1"/>
        </w:rPr>
        <w:t>18.  Explain each exception to the certification statement identified in Item 19 “Certification for Paperwork Reduction Act Submissions,” of OMB Form 83-I.</w:t>
      </w:r>
    </w:p>
    <w:p w:rsidR="008A7244" w:rsidRPr="00C34635" w:rsidP="00C34635" w14:paraId="3E3C4C65" w14:textId="77777777">
      <w:pPr>
        <w:tabs>
          <w:tab w:val="left" w:pos="-720"/>
        </w:tabs>
        <w:suppressAutoHyphens/>
        <w:spacing w:line="276" w:lineRule="auto"/>
        <w:contextualSpacing/>
        <w:rPr>
          <w:b/>
          <w:bCs/>
          <w:color w:val="000000" w:themeColor="text1"/>
        </w:rPr>
      </w:pPr>
    </w:p>
    <w:p w:rsidR="008A7244" w:rsidRPr="00C34635" w:rsidP="00C34635" w14:paraId="2A4BA6EB" w14:textId="77777777">
      <w:pPr>
        <w:tabs>
          <w:tab w:val="left" w:pos="-720"/>
        </w:tabs>
        <w:suppressAutoHyphens/>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r w:rsidRPr="00C34635">
        <w:rPr>
          <w:color w:val="000000" w:themeColor="text1"/>
        </w:rPr>
        <w:t>FEMA does not request an exception to the certification of this information collection.</w:t>
      </w:r>
    </w:p>
    <w:p w:rsidR="00634498" w:rsidRPr="00C34635" w:rsidP="00C34635" w14:paraId="796B6C9C" w14:textId="77777777">
      <w:pPr>
        <w:pStyle w:val="BodyTextIndent"/>
        <w:shd w:val="clear" w:color="auto" w:fill="auto"/>
        <w:spacing w:line="276" w:lineRule="auto"/>
        <w:ind w:left="0"/>
        <w:contextualSpacing/>
        <w:rPr>
          <w:color w:val="000000" w:themeColor="text1"/>
          <w:sz w:val="24"/>
          <w:szCs w:val="24"/>
        </w:rPr>
      </w:pPr>
    </w:p>
    <w:p w:rsidR="00DA60CB" w:rsidRPr="00C34635" w:rsidP="00C34635" w14:paraId="2932A7E4" w14:textId="77777777">
      <w:pPr>
        <w:pStyle w:val="Heading1"/>
        <w:spacing w:line="276" w:lineRule="auto"/>
        <w:contextualSpacing/>
        <w:jc w:val="center"/>
        <w:rPr>
          <w:sz w:val="24"/>
          <w:szCs w:val="24"/>
        </w:rPr>
      </w:pPr>
      <w:bookmarkStart w:id="15" w:name="_References"/>
      <w:bookmarkEnd w:id="15"/>
      <w:r w:rsidRPr="00C34635">
        <w:rPr>
          <w:color w:val="000000" w:themeColor="text1"/>
          <w:sz w:val="24"/>
          <w:szCs w:val="24"/>
        </w:rPr>
        <w:br w:type="page"/>
      </w:r>
      <w:r w:rsidRPr="00C34635">
        <w:rPr>
          <w:sz w:val="24"/>
          <w:szCs w:val="24"/>
        </w:rPr>
        <w:t>References</w:t>
      </w:r>
    </w:p>
    <w:p w:rsidR="00DA60CB" w:rsidRPr="00C34635" w:rsidP="00C34635" w14:paraId="175F9C30" w14:textId="77777777">
      <w:pPr>
        <w:pStyle w:val="BodyTextIndent"/>
        <w:shd w:val="clear" w:color="auto" w:fill="auto"/>
        <w:spacing w:line="276" w:lineRule="auto"/>
        <w:ind w:left="720" w:hanging="720"/>
        <w:contextualSpacing/>
        <w:rPr>
          <w:sz w:val="24"/>
          <w:szCs w:val="24"/>
        </w:rPr>
      </w:pPr>
    </w:p>
    <w:p w:rsidR="00BF671B" w:rsidRPr="00C34635" w:rsidP="00C34635" w14:paraId="49F7A66B" w14:textId="77777777">
      <w:pPr>
        <w:pStyle w:val="BodyTextIndent"/>
        <w:shd w:val="clear" w:color="auto" w:fill="auto"/>
        <w:spacing w:line="276" w:lineRule="auto"/>
        <w:ind w:left="720" w:hanging="720"/>
        <w:contextualSpacing/>
        <w:rPr>
          <w:sz w:val="24"/>
          <w:szCs w:val="24"/>
        </w:rPr>
      </w:pPr>
    </w:p>
    <w:p w:rsidR="00770575" w:rsidRPr="00C34635" w:rsidP="00C34635" w14:paraId="3CB82D90" w14:textId="77777777">
      <w:pPr>
        <w:pStyle w:val="BodyTextIndent"/>
        <w:shd w:val="clear" w:color="auto" w:fill="auto"/>
        <w:spacing w:line="276" w:lineRule="auto"/>
        <w:ind w:left="720" w:hanging="720"/>
        <w:contextualSpacing/>
        <w:rPr>
          <w:rStyle w:val="element-citation"/>
          <w:sz w:val="24"/>
          <w:szCs w:val="24"/>
          <w:lang w:val="en"/>
        </w:rPr>
      </w:pPr>
      <w:r w:rsidRPr="00C34635">
        <w:rPr>
          <w:rStyle w:val="element-citation"/>
          <w:sz w:val="24"/>
          <w:szCs w:val="24"/>
          <w:lang w:val="en"/>
        </w:rPr>
        <w:t>Curtin</w:t>
      </w:r>
      <w:r w:rsidRPr="00C34635" w:rsidR="00C0162E">
        <w:rPr>
          <w:rStyle w:val="element-citation"/>
          <w:sz w:val="24"/>
          <w:szCs w:val="24"/>
          <w:lang w:val="en"/>
        </w:rPr>
        <w:t>,</w:t>
      </w:r>
      <w:r w:rsidRPr="00C34635">
        <w:rPr>
          <w:rStyle w:val="element-citation"/>
          <w:sz w:val="24"/>
          <w:szCs w:val="24"/>
          <w:lang w:val="en"/>
        </w:rPr>
        <w:t xml:space="preserve"> R</w:t>
      </w:r>
      <w:r w:rsidRPr="00C34635" w:rsidR="00C0162E">
        <w:rPr>
          <w:rStyle w:val="element-citation"/>
          <w:sz w:val="24"/>
          <w:szCs w:val="24"/>
          <w:lang w:val="en"/>
        </w:rPr>
        <w:t>.,</w:t>
      </w:r>
      <w:r w:rsidRPr="00C34635">
        <w:rPr>
          <w:rStyle w:val="element-citation"/>
          <w:sz w:val="24"/>
          <w:szCs w:val="24"/>
          <w:lang w:val="en"/>
        </w:rPr>
        <w:t xml:space="preserve"> Presser</w:t>
      </w:r>
      <w:r w:rsidRPr="00C34635" w:rsidR="00C0162E">
        <w:rPr>
          <w:rStyle w:val="element-citation"/>
          <w:sz w:val="24"/>
          <w:szCs w:val="24"/>
          <w:lang w:val="en"/>
        </w:rPr>
        <w:t>,</w:t>
      </w:r>
      <w:r w:rsidRPr="00C34635">
        <w:rPr>
          <w:rStyle w:val="element-citation"/>
          <w:sz w:val="24"/>
          <w:szCs w:val="24"/>
          <w:lang w:val="en"/>
        </w:rPr>
        <w:t xml:space="preserve"> S</w:t>
      </w:r>
      <w:r w:rsidRPr="00C34635" w:rsidR="00C0162E">
        <w:rPr>
          <w:rStyle w:val="element-citation"/>
          <w:sz w:val="24"/>
          <w:szCs w:val="24"/>
          <w:lang w:val="en"/>
        </w:rPr>
        <w:t>., &amp;</w:t>
      </w:r>
      <w:r w:rsidRPr="00C34635">
        <w:rPr>
          <w:rStyle w:val="element-citation"/>
          <w:sz w:val="24"/>
          <w:szCs w:val="24"/>
          <w:lang w:val="en"/>
        </w:rPr>
        <w:t xml:space="preserve"> Singer E.</w:t>
      </w:r>
      <w:r w:rsidRPr="00C34635" w:rsidR="00C0346C">
        <w:rPr>
          <w:rStyle w:val="element-citation"/>
          <w:sz w:val="24"/>
          <w:szCs w:val="24"/>
          <w:lang w:val="en"/>
        </w:rPr>
        <w:t xml:space="preserve"> (2005)</w:t>
      </w:r>
      <w:r w:rsidRPr="00C34635" w:rsidR="00C0162E">
        <w:rPr>
          <w:rStyle w:val="element-citation"/>
          <w:sz w:val="24"/>
          <w:szCs w:val="24"/>
          <w:lang w:val="en"/>
        </w:rPr>
        <w:t>.</w:t>
      </w:r>
      <w:r w:rsidRPr="00C34635">
        <w:rPr>
          <w:rStyle w:val="element-citation"/>
          <w:sz w:val="24"/>
          <w:szCs w:val="24"/>
          <w:lang w:val="en"/>
        </w:rPr>
        <w:t xml:space="preserve"> Changes in telephone survey nonresponse over the past quarter century. </w:t>
      </w:r>
      <w:r w:rsidRPr="00C34635">
        <w:rPr>
          <w:rStyle w:val="ref-journal"/>
          <w:i/>
          <w:sz w:val="24"/>
          <w:szCs w:val="24"/>
          <w:lang w:val="en"/>
        </w:rPr>
        <w:t>Public Opin</w:t>
      </w:r>
      <w:r w:rsidRPr="00C34635" w:rsidR="00C0346C">
        <w:rPr>
          <w:rStyle w:val="ref-journal"/>
          <w:i/>
          <w:sz w:val="24"/>
          <w:szCs w:val="24"/>
          <w:lang w:val="en"/>
        </w:rPr>
        <w:t>ion</w:t>
      </w:r>
      <w:r w:rsidRPr="00C34635">
        <w:rPr>
          <w:rStyle w:val="ref-journal"/>
          <w:i/>
          <w:sz w:val="24"/>
          <w:szCs w:val="24"/>
          <w:lang w:val="en"/>
        </w:rPr>
        <w:t xml:space="preserve"> Q</w:t>
      </w:r>
      <w:r w:rsidRPr="00C34635" w:rsidR="00C0346C">
        <w:rPr>
          <w:rStyle w:val="ref-journal"/>
          <w:i/>
          <w:sz w:val="24"/>
          <w:szCs w:val="24"/>
          <w:lang w:val="en"/>
        </w:rPr>
        <w:t>uarterly</w:t>
      </w:r>
      <w:r w:rsidRPr="00C34635" w:rsidR="00C0346C">
        <w:rPr>
          <w:rStyle w:val="ref-journal"/>
          <w:sz w:val="24"/>
          <w:szCs w:val="24"/>
          <w:lang w:val="en"/>
        </w:rPr>
        <w:t xml:space="preserve">, </w:t>
      </w:r>
      <w:r w:rsidRPr="00C34635">
        <w:rPr>
          <w:rStyle w:val="ref-vol"/>
          <w:i/>
          <w:sz w:val="24"/>
          <w:szCs w:val="24"/>
          <w:lang w:val="en"/>
        </w:rPr>
        <w:t>69</w:t>
      </w:r>
      <w:r w:rsidRPr="00C34635" w:rsidR="00C0346C">
        <w:rPr>
          <w:rStyle w:val="element-citation"/>
          <w:sz w:val="24"/>
          <w:szCs w:val="24"/>
          <w:lang w:val="en"/>
        </w:rPr>
        <w:t xml:space="preserve">, </w:t>
      </w:r>
      <w:r w:rsidRPr="00C34635">
        <w:rPr>
          <w:rStyle w:val="element-citation"/>
          <w:sz w:val="24"/>
          <w:szCs w:val="24"/>
          <w:lang w:val="en"/>
        </w:rPr>
        <w:t>87–98.</w:t>
      </w:r>
    </w:p>
    <w:p w:rsidR="006B3D3C" w:rsidRPr="00C34635" w:rsidP="00C34635" w14:paraId="00B8CD3A" w14:textId="77777777">
      <w:pPr>
        <w:pStyle w:val="BodyTextIndent"/>
        <w:shd w:val="clear" w:color="auto" w:fill="auto"/>
        <w:spacing w:line="276" w:lineRule="auto"/>
        <w:ind w:left="720" w:hanging="720"/>
        <w:contextualSpacing/>
        <w:rPr>
          <w:sz w:val="24"/>
          <w:szCs w:val="24"/>
        </w:rPr>
      </w:pPr>
      <w:bookmarkStart w:id="16" w:name="_Hlk29197681"/>
      <w:r w:rsidRPr="00C34635">
        <w:rPr>
          <w:rStyle w:val="element-citation"/>
          <w:sz w:val="24"/>
          <w:szCs w:val="24"/>
          <w:lang w:val="en"/>
        </w:rPr>
        <w:t xml:space="preserve">Czajka, J. L. &amp; Beyler, A. (2016). Declining Response Rates in Federal Surveys: Trends and Implications. </w:t>
      </w:r>
      <w:r w:rsidRPr="00C34635">
        <w:rPr>
          <w:rStyle w:val="element-citation"/>
          <w:i/>
          <w:sz w:val="24"/>
          <w:szCs w:val="24"/>
          <w:lang w:val="en"/>
        </w:rPr>
        <w:t xml:space="preserve">Mathematica Policy Research, 1, </w:t>
      </w:r>
      <w:r w:rsidRPr="00C34635">
        <w:rPr>
          <w:rStyle w:val="element-citation"/>
          <w:sz w:val="24"/>
          <w:szCs w:val="24"/>
          <w:lang w:val="en"/>
        </w:rPr>
        <w:t>1-86. Retrieved from: https://aspe.hhs.gov/system/files/pdf/255531/Decliningresponserates.pdf</w:t>
      </w:r>
    </w:p>
    <w:bookmarkEnd w:id="16"/>
    <w:p w:rsidR="00D2596B" w:rsidRPr="00C34635" w:rsidP="00C34635" w14:paraId="4CA5CA5D" w14:textId="77777777">
      <w:pPr>
        <w:pStyle w:val="BodyTextIndent"/>
        <w:shd w:val="clear" w:color="auto" w:fill="auto"/>
        <w:spacing w:line="276" w:lineRule="auto"/>
        <w:ind w:left="720" w:hanging="720"/>
        <w:contextualSpacing/>
        <w:rPr>
          <w:sz w:val="24"/>
          <w:szCs w:val="24"/>
        </w:rPr>
      </w:pPr>
      <w:r w:rsidRPr="00C34635">
        <w:rPr>
          <w:sz w:val="24"/>
          <w:szCs w:val="24"/>
        </w:rPr>
        <w:t xml:space="preserve">Duffy, B., Smith, K., Terhanian, G. &amp; Bremer, J. (2005). Comparing Data from Online and Face-to-Face Surveys. </w:t>
      </w:r>
      <w:r w:rsidRPr="00C34635">
        <w:rPr>
          <w:i/>
          <w:sz w:val="24"/>
          <w:szCs w:val="24"/>
        </w:rPr>
        <w:t>International Journal of Market Research</w:t>
      </w:r>
      <w:r w:rsidRPr="00C34635">
        <w:rPr>
          <w:sz w:val="24"/>
          <w:szCs w:val="24"/>
        </w:rPr>
        <w:t xml:space="preserve">, </w:t>
      </w:r>
      <w:r w:rsidRPr="00C34635">
        <w:rPr>
          <w:i/>
          <w:sz w:val="24"/>
          <w:szCs w:val="24"/>
        </w:rPr>
        <w:t>47</w:t>
      </w:r>
      <w:r w:rsidRPr="00C34635">
        <w:rPr>
          <w:sz w:val="24"/>
          <w:szCs w:val="24"/>
        </w:rPr>
        <w:t>(6). doi: 10.1177/147078530504700602.</w:t>
      </w:r>
    </w:p>
    <w:p w:rsidR="00C0346C" w:rsidRPr="00C34635" w:rsidP="00C34635" w14:paraId="0F5136A5" w14:textId="77777777">
      <w:pPr>
        <w:pStyle w:val="BodyTextIndent"/>
        <w:shd w:val="clear" w:color="auto" w:fill="auto"/>
        <w:spacing w:line="276" w:lineRule="auto"/>
        <w:ind w:left="720" w:hanging="720"/>
        <w:contextualSpacing/>
        <w:rPr>
          <w:rStyle w:val="element-citation"/>
          <w:sz w:val="24"/>
          <w:szCs w:val="24"/>
          <w:lang w:val="en"/>
        </w:rPr>
      </w:pPr>
      <w:r w:rsidRPr="00C34635">
        <w:rPr>
          <w:rStyle w:val="element-citation"/>
          <w:sz w:val="24"/>
          <w:szCs w:val="24"/>
          <w:lang w:val="en"/>
        </w:rPr>
        <w:t xml:space="preserve">Ehlen J, Ehlen P. (2007). Cellular-only substitution in the United States as lifestyle adoption. </w:t>
      </w:r>
      <w:r w:rsidRPr="00C34635">
        <w:rPr>
          <w:rStyle w:val="ref-journal"/>
          <w:i/>
          <w:sz w:val="24"/>
          <w:szCs w:val="24"/>
          <w:lang w:val="en"/>
        </w:rPr>
        <w:t>Public Opinion Quarterly</w:t>
      </w:r>
      <w:r w:rsidRPr="00C34635">
        <w:rPr>
          <w:rStyle w:val="ref-journal"/>
          <w:sz w:val="24"/>
          <w:szCs w:val="24"/>
          <w:lang w:val="en"/>
        </w:rPr>
        <w:t xml:space="preserve">, </w:t>
      </w:r>
      <w:r w:rsidRPr="00C34635">
        <w:rPr>
          <w:rStyle w:val="ref-vol"/>
          <w:i/>
          <w:sz w:val="24"/>
          <w:szCs w:val="24"/>
          <w:lang w:val="en"/>
        </w:rPr>
        <w:t>71</w:t>
      </w:r>
      <w:r w:rsidRPr="00C34635">
        <w:rPr>
          <w:rStyle w:val="element-citation"/>
          <w:sz w:val="24"/>
          <w:szCs w:val="24"/>
          <w:lang w:val="en"/>
        </w:rPr>
        <w:t xml:space="preserve">, 717–733. </w:t>
      </w:r>
    </w:p>
    <w:p w:rsidR="00EC3EC2" w:rsidRPr="00C34635" w:rsidP="00C34635" w14:paraId="39AA0340" w14:textId="77777777">
      <w:pPr>
        <w:pStyle w:val="BodyTextIndent"/>
        <w:shd w:val="clear" w:color="auto" w:fill="auto"/>
        <w:spacing w:line="276" w:lineRule="auto"/>
        <w:ind w:left="720" w:hanging="720"/>
        <w:contextualSpacing/>
        <w:rPr>
          <w:sz w:val="24"/>
          <w:szCs w:val="24"/>
        </w:rPr>
      </w:pPr>
      <w:r w:rsidRPr="00C34635">
        <w:rPr>
          <w:rStyle w:val="element-citation"/>
          <w:sz w:val="24"/>
          <w:szCs w:val="24"/>
          <w:lang w:val="en"/>
        </w:rPr>
        <w:t xml:space="preserve">Kennedy, C. &amp; Hartig, H. (2019). Response rates in telephone surveys have resumed their decline. </w:t>
      </w:r>
      <w:r w:rsidRPr="00C34635">
        <w:rPr>
          <w:rStyle w:val="element-citation"/>
          <w:i/>
          <w:sz w:val="24"/>
          <w:szCs w:val="24"/>
          <w:lang w:val="en"/>
        </w:rPr>
        <w:t>Pew Research Center</w:t>
      </w:r>
      <w:r w:rsidRPr="00C34635">
        <w:rPr>
          <w:rStyle w:val="element-citation"/>
          <w:sz w:val="24"/>
          <w:szCs w:val="24"/>
          <w:lang w:val="en"/>
        </w:rPr>
        <w:t>. Retrieved from: https://www.pewresearch.org/fact-tank/2019/02/27/response-rates-in-telephone-surveys-have-resumed-their-decline/</w:t>
      </w:r>
    </w:p>
    <w:p w:rsidR="00DA60CB" w:rsidRPr="00C34635" w:rsidP="00C34635" w14:paraId="4A4B87A4" w14:textId="77777777">
      <w:pPr>
        <w:pStyle w:val="BodyTextIndent"/>
        <w:shd w:val="clear" w:color="auto" w:fill="auto"/>
        <w:spacing w:line="276" w:lineRule="auto"/>
        <w:ind w:left="720" w:hanging="720"/>
        <w:contextualSpacing/>
        <w:rPr>
          <w:sz w:val="24"/>
          <w:szCs w:val="24"/>
        </w:rPr>
      </w:pPr>
      <w:r w:rsidRPr="00C34635">
        <w:rPr>
          <w:sz w:val="24"/>
          <w:szCs w:val="24"/>
        </w:rPr>
        <w:t xml:space="preserve">Sinclair, M., O’Toole, J.O., Malawaraarachchi, M. &amp; Leder, K. (2012). Comparison of response rates and cost-effectiveness for a community-based survey: postal, internet and telephone modes with generic or personalized recruitment approaches. </w:t>
      </w:r>
      <w:r w:rsidRPr="00C34635">
        <w:rPr>
          <w:i/>
          <w:sz w:val="24"/>
          <w:szCs w:val="24"/>
        </w:rPr>
        <w:t>BMC Medical Research Methodology</w:t>
      </w:r>
      <w:r w:rsidRPr="00C34635">
        <w:rPr>
          <w:sz w:val="24"/>
          <w:szCs w:val="24"/>
        </w:rPr>
        <w:t>, doi:10.1186/1471-2288-12-132</w:t>
      </w:r>
    </w:p>
    <w:p w:rsidR="002F2F34" w:rsidRPr="00C34635" w:rsidP="00C34635" w14:paraId="4E9F6CCD" w14:textId="77777777">
      <w:pPr>
        <w:pStyle w:val="BodyTextIndent"/>
        <w:shd w:val="clear" w:color="auto" w:fill="auto"/>
        <w:spacing w:line="276" w:lineRule="auto"/>
        <w:ind w:left="720" w:hanging="720"/>
        <w:contextualSpacing/>
        <w:rPr>
          <w:sz w:val="24"/>
          <w:szCs w:val="24"/>
        </w:rPr>
      </w:pPr>
      <w:r w:rsidRPr="00C34635">
        <w:rPr>
          <w:sz w:val="24"/>
          <w:szCs w:val="24"/>
        </w:rPr>
        <w:t xml:space="preserve">Szolnoki, G. &amp; Hoffman, D. (2013). Online, face-to-face and telephone surveys-Comparing different sampling methods in wine consumer research. </w:t>
      </w:r>
      <w:r w:rsidRPr="00C34635">
        <w:rPr>
          <w:i/>
          <w:sz w:val="24"/>
          <w:szCs w:val="24"/>
        </w:rPr>
        <w:t>Wine and Economics Policy</w:t>
      </w:r>
      <w:r w:rsidRPr="00C34635">
        <w:rPr>
          <w:sz w:val="24"/>
          <w:szCs w:val="24"/>
        </w:rPr>
        <w:t>, doi</w:t>
      </w:r>
      <w:r w:rsidRPr="00C34635" w:rsidR="00B751AE">
        <w:rPr>
          <w:sz w:val="24"/>
          <w:szCs w:val="24"/>
        </w:rPr>
        <w:t xml:space="preserve">: </w:t>
      </w:r>
      <w:r w:rsidRPr="00C34635" w:rsidR="00B751AE">
        <w:rPr>
          <w:sz w:val="24"/>
          <w:szCs w:val="24"/>
          <w:lang w:val="en"/>
        </w:rPr>
        <w:t>http://dx.doi.org/10.1016/j.wep.2013.10.001</w:t>
      </w:r>
    </w:p>
    <w:p w:rsidR="002F2F34" w:rsidRPr="00C34635" w:rsidP="00C34635" w14:paraId="551DE696" w14:textId="77777777">
      <w:pPr>
        <w:pStyle w:val="BodyTextIndent"/>
        <w:shd w:val="clear" w:color="auto" w:fill="auto"/>
        <w:spacing w:line="276" w:lineRule="auto"/>
        <w:ind w:left="720" w:hanging="720"/>
        <w:contextualSpacing/>
        <w:rPr>
          <w:sz w:val="24"/>
          <w:szCs w:val="24"/>
        </w:rPr>
      </w:pPr>
      <w:r w:rsidRPr="00C34635">
        <w:rPr>
          <w:sz w:val="24"/>
          <w:szCs w:val="24"/>
          <w:lang w:val="en"/>
        </w:rPr>
        <w:t xml:space="preserve">Tourangeau R. (2004). Survey research and societal change. </w:t>
      </w:r>
      <w:r w:rsidRPr="00C34635">
        <w:rPr>
          <w:i/>
          <w:sz w:val="24"/>
          <w:szCs w:val="24"/>
          <w:lang w:val="en"/>
        </w:rPr>
        <w:t>Annual Review of Psychology</w:t>
      </w:r>
      <w:r w:rsidRPr="00C34635">
        <w:rPr>
          <w:sz w:val="24"/>
          <w:szCs w:val="24"/>
          <w:lang w:val="en"/>
        </w:rPr>
        <w:t xml:space="preserve">, </w:t>
      </w:r>
      <w:r w:rsidRPr="00C34635">
        <w:rPr>
          <w:i/>
          <w:sz w:val="24"/>
          <w:szCs w:val="24"/>
          <w:lang w:val="en"/>
        </w:rPr>
        <w:t>55</w:t>
      </w:r>
      <w:r w:rsidRPr="00C34635">
        <w:rPr>
          <w:sz w:val="24"/>
          <w:szCs w:val="24"/>
          <w:lang w:val="en"/>
        </w:rPr>
        <w:t xml:space="preserve">,775–801. </w:t>
      </w:r>
    </w:p>
    <w:p w:rsidR="00A56033" w:rsidRPr="000A697C" w:rsidP="000A697C" w14:paraId="7723FAD4" w14:textId="77777777">
      <w:pPr>
        <w:pStyle w:val="BodyTextIndent"/>
        <w:shd w:val="clear" w:color="auto" w:fill="auto"/>
        <w:spacing w:line="276" w:lineRule="auto"/>
        <w:ind w:left="0"/>
        <w:contextualSpacing/>
        <w:jc w:val="center"/>
        <w:rPr>
          <w:lang w:val="en"/>
        </w:rPr>
      </w:pPr>
    </w:p>
    <w:sectPr w:rsidSect="003A5B7C">
      <w:footerReference w:type="even" r:id="rId11"/>
      <w:footerReference w:type="default" r:id="rId1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7AA" w:rsidP="005C41F4" w14:paraId="2BA262C1" w14:textId="504325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635">
      <w:rPr>
        <w:rStyle w:val="PageNumber"/>
        <w:noProof/>
      </w:rPr>
      <w:t>26</w:t>
    </w:r>
    <w:r>
      <w:rPr>
        <w:rStyle w:val="PageNumber"/>
      </w:rPr>
      <w:fldChar w:fldCharType="end"/>
    </w:r>
  </w:p>
  <w:p w:rsidR="00AA47AA" w14:paraId="0FB33E0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7513973"/>
      <w:docPartObj>
        <w:docPartGallery w:val="Page Numbers (Bottom of Page)"/>
        <w:docPartUnique/>
      </w:docPartObj>
    </w:sdtPr>
    <w:sdtEndPr>
      <w:rPr>
        <w:noProof/>
      </w:rPr>
    </w:sdtEndPr>
    <w:sdtContent>
      <w:p w:rsidR="00AA47AA" w:rsidP="00762A0D" w14:paraId="77B6CF82" w14:textId="4E563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0616" w14:paraId="2B04F3BA" w14:textId="77777777">
      <w:r>
        <w:separator/>
      </w:r>
    </w:p>
  </w:footnote>
  <w:footnote w:type="continuationSeparator" w:id="1">
    <w:p w:rsidR="00AB0616" w14:paraId="3AA5877F" w14:textId="77777777">
      <w:r>
        <w:continuationSeparator/>
      </w:r>
    </w:p>
  </w:footnote>
  <w:footnote w:id="2">
    <w:p w:rsidR="0003414A" w:rsidRPr="000A697C" w:rsidP="0003414A" w14:paraId="705F60D8" w14:textId="77777777">
      <w:pPr>
        <w:pStyle w:val="FootnoteText"/>
        <w:rPr>
          <w:sz w:val="18"/>
          <w:szCs w:val="18"/>
        </w:rPr>
      </w:pPr>
      <w:r w:rsidRPr="000A697C">
        <w:rPr>
          <w:rStyle w:val="FootnoteReference"/>
          <w:sz w:val="18"/>
          <w:szCs w:val="18"/>
        </w:rPr>
        <w:footnoteRef/>
      </w:r>
      <w:r w:rsidRPr="000A697C">
        <w:rPr>
          <w:sz w:val="18"/>
          <w:szCs w:val="18"/>
        </w:rPr>
        <w:t xml:space="preserve"> Bureau of Labor Statistics, Employer Costs for Employee Compensation, Table 1.  Available at </w:t>
      </w:r>
      <w:hyperlink r:id="rId1" w:history="1">
        <w:r w:rsidRPr="000A697C">
          <w:rPr>
            <w:rStyle w:val="Hyperlink"/>
            <w:sz w:val="18"/>
            <w:szCs w:val="18"/>
          </w:rPr>
          <w:t>https://www.bls.gov/news.release/archives/ecec_03182022.pdf</w:t>
        </w:r>
      </w:hyperlink>
      <w:r w:rsidRPr="000A697C">
        <w:rPr>
          <w:sz w:val="18"/>
          <w:szCs w:val="18"/>
        </w:rPr>
        <w:t xml:space="preserve">.  </w:t>
      </w:r>
      <w:r w:rsidRPr="000A697C">
        <w:rPr>
          <w:rStyle w:val="normaltextrun"/>
          <w:color w:val="000000"/>
          <w:sz w:val="18"/>
          <w:szCs w:val="18"/>
          <w:shd w:val="clear" w:color="auto" w:fill="FFFFFF"/>
        </w:rPr>
        <w:t xml:space="preserve">Accessed </w:t>
      </w:r>
      <w:r w:rsidRPr="000A697C" w:rsidR="00051F6F">
        <w:rPr>
          <w:rStyle w:val="normaltextrun"/>
          <w:color w:val="000000"/>
          <w:sz w:val="18"/>
          <w:szCs w:val="18"/>
          <w:shd w:val="clear" w:color="auto" w:fill="FFFFFF"/>
        </w:rPr>
        <w:t>October 12</w:t>
      </w:r>
      <w:r w:rsidRPr="000A697C">
        <w:rPr>
          <w:rStyle w:val="normaltextrun"/>
          <w:color w:val="000000"/>
          <w:sz w:val="18"/>
          <w:szCs w:val="18"/>
          <w:shd w:val="clear" w:color="auto" w:fill="FFFFFF"/>
        </w:rPr>
        <w:t>, 2022</w:t>
      </w:r>
      <w:r w:rsidRPr="000A697C">
        <w:rPr>
          <w:sz w:val="18"/>
          <w:szCs w:val="18"/>
        </w:rPr>
        <w:t>.  The wage multiplier is calculated by dividing total compensation for all workers of $40.35 by wages and salaries for all workers of $27.83 per hour yielding a benefits multiplier of approximately 1.45.</w:t>
      </w:r>
    </w:p>
  </w:footnote>
  <w:footnote w:id="3">
    <w:p w:rsidR="0003414A" w:rsidRPr="000A697C" w:rsidP="0003414A" w14:paraId="16132E0A" w14:textId="77777777">
      <w:pPr>
        <w:pStyle w:val="FootnoteText"/>
        <w:rPr>
          <w:sz w:val="18"/>
          <w:szCs w:val="18"/>
        </w:rPr>
      </w:pPr>
      <w:r w:rsidRPr="000A697C">
        <w:rPr>
          <w:rStyle w:val="FootnoteReference"/>
          <w:sz w:val="18"/>
          <w:szCs w:val="18"/>
        </w:rPr>
        <w:footnoteRef/>
      </w:r>
      <w:r w:rsidRPr="000A697C">
        <w:rPr>
          <w:sz w:val="18"/>
          <w:szCs w:val="18"/>
        </w:rPr>
        <w:t xml:space="preserve"> Information on the mean wage rate from the U.S. Department of Labor, Bureau of Labor Statistics is available online at: </w:t>
      </w:r>
      <w:hyperlink r:id="rId2" w:history="1">
        <w:r w:rsidRPr="000A697C">
          <w:rPr>
            <w:rStyle w:val="Hyperlink"/>
            <w:sz w:val="18"/>
            <w:szCs w:val="18"/>
          </w:rPr>
          <w:t>https://www.bls.gov/oes/2021/may/oes_nat.htm</w:t>
        </w:r>
      </w:hyperlink>
    </w:p>
  </w:footnote>
  <w:footnote w:id="4">
    <w:p w:rsidR="00CE550D" w:rsidRPr="00CE550D" w:rsidP="00CE550D" w14:paraId="1760B1D7" w14:textId="77777777">
      <w:pPr>
        <w:rPr>
          <w:color w:val="002060"/>
          <w:sz w:val="22"/>
          <w:szCs w:val="22"/>
        </w:rPr>
      </w:pPr>
      <w:r w:rsidRPr="000A697C">
        <w:rPr>
          <w:rStyle w:val="FootnoteReference"/>
          <w:sz w:val="18"/>
          <w:szCs w:val="18"/>
        </w:rPr>
        <w:footnoteRef/>
      </w:r>
      <w:r w:rsidRPr="000A697C">
        <w:rPr>
          <w:sz w:val="18"/>
          <w:szCs w:val="18"/>
        </w:rPr>
        <w:t xml:space="preserve"> Bureau of Labor Statistics, Employer Costs for Employee Compensation, Table 1.  Available at </w:t>
      </w:r>
      <w:hyperlink r:id="rId1" w:history="1">
        <w:r w:rsidRPr="000A697C">
          <w:rPr>
            <w:rStyle w:val="Hyperlink"/>
            <w:sz w:val="18"/>
            <w:szCs w:val="18"/>
          </w:rPr>
          <w:t>https://www.bls.gov/news.release/archives/ecec_03182022.pdf</w:t>
        </w:r>
      </w:hyperlink>
      <w:r w:rsidRPr="000A697C">
        <w:rPr>
          <w:sz w:val="18"/>
          <w:szCs w:val="18"/>
        </w:rPr>
        <w:t>.  Accessed October 12, 2022.  The wage multiplier is calculated by dividing total compensation for State and local government workers of $54.96 by Wages and salaries for State and local government workers of $34.09 per hour yielding a benefits multiplier of approximately 1.61.</w:t>
      </w:r>
    </w:p>
  </w:footnote>
  <w:footnote w:id="5">
    <w:p w:rsidR="00D97F00" w:rsidRPr="000A697C" w14:paraId="73933967" w14:textId="77777777">
      <w:pPr>
        <w:pStyle w:val="FootnoteText"/>
        <w:rPr>
          <w:sz w:val="18"/>
          <w:szCs w:val="18"/>
        </w:rPr>
      </w:pPr>
      <w:r w:rsidRPr="000A697C">
        <w:rPr>
          <w:rStyle w:val="FootnoteReference"/>
          <w:sz w:val="18"/>
          <w:szCs w:val="18"/>
        </w:rPr>
        <w:footnoteRef/>
      </w:r>
      <w:r w:rsidRPr="000A697C">
        <w:rPr>
          <w:sz w:val="18"/>
          <w:szCs w:val="18"/>
        </w:rPr>
        <w:t xml:space="preserve"> Privately Owned Vehicle (POV) Mileage Reimbursement Rates.  U.S. General Service Administration. Last accessed: November 30, 2022.  Available at: </w:t>
      </w:r>
      <w:hyperlink r:id="rId3" w:history="1">
        <w:r w:rsidRPr="000A697C">
          <w:rPr>
            <w:rStyle w:val="Hyperlink"/>
            <w:sz w:val="18"/>
            <w:szCs w:val="18"/>
          </w:rPr>
          <w:t>https://www.gsa.gov/travel/plan-book/transportation-airfare-pov-etc/privately-owned-vehicle-pov-mileage-reimbursement-rates</w:t>
        </w:r>
      </w:hyperlink>
      <w:r w:rsidRPr="000A697C">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69C0"/>
    <w:multiLevelType w:val="hybridMultilevel"/>
    <w:tmpl w:val="425063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B26A94"/>
    <w:multiLevelType w:val="hybridMultilevel"/>
    <w:tmpl w:val="870E952A"/>
    <w:lvl w:ilvl="0">
      <w:start w:val="1"/>
      <w:numFmt w:val="lowerLetter"/>
      <w:lvlText w:val="(%1)"/>
      <w:lvlJc w:val="left"/>
      <w:pPr>
        <w:tabs>
          <w:tab w:val="num" w:pos="720"/>
        </w:tabs>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41C1E"/>
    <w:multiLevelType w:val="hybridMultilevel"/>
    <w:tmpl w:val="63262CF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4C41F8"/>
    <w:multiLevelType w:val="hybridMultilevel"/>
    <w:tmpl w:val="4BDC91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C60563"/>
    <w:multiLevelType w:val="hybridMultilevel"/>
    <w:tmpl w:val="3A38E3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C870C9"/>
    <w:multiLevelType w:val="hybridMultilevel"/>
    <w:tmpl w:val="EFE47C0E"/>
    <w:lvl w:ilvl="0">
      <w:start w:val="23"/>
      <w:numFmt w:val="bullet"/>
      <w:lvlText w:val=""/>
      <w:lvlJc w:val="left"/>
      <w:pPr>
        <w:ind w:left="1080" w:hanging="720"/>
      </w:pPr>
      <w:rPr>
        <w:rFonts w:ascii="Symbol" w:hAnsi="Symbol" w:eastAsiaTheme="minorHAnsi" w:cs="CourierNew"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3A5C6C"/>
    <w:multiLevelType w:val="hybridMultilevel"/>
    <w:tmpl w:val="E926EF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E8E7EEB"/>
    <w:multiLevelType w:val="hybridMultilevel"/>
    <w:tmpl w:val="0BDC6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9">
    <w:nsid w:val="16E75922"/>
    <w:multiLevelType w:val="hybridMultilevel"/>
    <w:tmpl w:val="2850F16C"/>
    <w:lvl w:ilvl="0">
      <w:start w:val="23"/>
      <w:numFmt w:val="bullet"/>
      <w:lvlText w:val=""/>
      <w:lvlJc w:val="left"/>
      <w:pPr>
        <w:ind w:left="720" w:hanging="360"/>
      </w:pPr>
      <w:rPr>
        <w:rFonts w:ascii="Symbol" w:hAnsi="Symbol" w:eastAsiaTheme="minorHAnsi" w:cs="CourierNew" w:hint="default"/>
        <w:color w:val="000000"/>
      </w:rPr>
    </w:lvl>
    <w:lvl w:ilvl="1">
      <w:start w:val="23"/>
      <w:numFmt w:val="bullet"/>
      <w:lvlText w:val=""/>
      <w:lvlJc w:val="left"/>
      <w:pPr>
        <w:ind w:left="1440" w:hanging="360"/>
      </w:pPr>
      <w:rPr>
        <w:rFonts w:ascii="Symbol" w:hAnsi="Symbol" w:eastAsiaTheme="minorHAnsi" w:cs="CourierNew" w:hint="default"/>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FD5366"/>
    <w:multiLevelType w:val="hybridMultilevel"/>
    <w:tmpl w:val="66903D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1EB12828"/>
    <w:multiLevelType w:val="hybridMultilevel"/>
    <w:tmpl w:val="BC56A1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776C7E"/>
    <w:multiLevelType w:val="hybridMultilevel"/>
    <w:tmpl w:val="DADCB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E16FDC"/>
    <w:multiLevelType w:val="hybridMultilevel"/>
    <w:tmpl w:val="59AA5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A8C676A"/>
    <w:multiLevelType w:val="hybridMultilevel"/>
    <w:tmpl w:val="6BDC2EEA"/>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20">
    <w:nsid w:val="3139138C"/>
    <w:multiLevelType w:val="hybridMultilevel"/>
    <w:tmpl w:val="FB8A96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41D7A3C"/>
    <w:multiLevelType w:val="hybridMultilevel"/>
    <w:tmpl w:val="3B80E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096B29"/>
    <w:multiLevelType w:val="hybridMultilevel"/>
    <w:tmpl w:val="232EE36C"/>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CC4EEF"/>
    <w:multiLevelType w:val="singleLevel"/>
    <w:tmpl w:val="0696E2FC"/>
    <w:lvl w:ilvl="0">
      <w:start w:val="1"/>
      <w:numFmt w:val="bullet"/>
      <w:pStyle w:val="bullet1"/>
      <w:lvlText w:val=""/>
      <w:lvlJc w:val="left"/>
      <w:pPr>
        <w:tabs>
          <w:tab w:val="num" w:pos="1080"/>
        </w:tabs>
        <w:ind w:left="864" w:hanging="144"/>
      </w:pPr>
      <w:rPr>
        <w:rFonts w:ascii="Symbol" w:hAnsi="Symbol" w:hint="default"/>
      </w:rPr>
    </w:lvl>
  </w:abstractNum>
  <w:abstractNum w:abstractNumId="24">
    <w:nsid w:val="39663126"/>
    <w:multiLevelType w:val="hybridMultilevel"/>
    <w:tmpl w:val="2012C3E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AC84730"/>
    <w:multiLevelType w:val="hybridMultilevel"/>
    <w:tmpl w:val="5E80B138"/>
    <w:lvl w:ilvl="0">
      <w:start w:val="1"/>
      <w:numFmt w:val="bullet"/>
      <w:lvlText w:val=""/>
      <w:lvlJc w:val="left"/>
      <w:pPr>
        <w:ind w:left="6480" w:hanging="360"/>
      </w:pPr>
      <w:rPr>
        <w:rFonts w:ascii="Symbol" w:hAnsi="Symbol" w:hint="default"/>
      </w:rPr>
    </w:lvl>
    <w:lvl w:ilvl="1" w:tentative="1">
      <w:start w:val="1"/>
      <w:numFmt w:val="bullet"/>
      <w:lvlText w:val="o"/>
      <w:lvlJc w:val="left"/>
      <w:pPr>
        <w:ind w:left="7200" w:hanging="360"/>
      </w:pPr>
      <w:rPr>
        <w:rFonts w:ascii="Courier New" w:hAnsi="Courier New" w:cs="Courier New" w:hint="default"/>
      </w:rPr>
    </w:lvl>
    <w:lvl w:ilvl="2" w:tentative="1">
      <w:start w:val="1"/>
      <w:numFmt w:val="bullet"/>
      <w:lvlText w:val=""/>
      <w:lvlJc w:val="left"/>
      <w:pPr>
        <w:ind w:left="7920" w:hanging="360"/>
      </w:pPr>
      <w:rPr>
        <w:rFonts w:ascii="Wingdings" w:hAnsi="Wingdings" w:hint="default"/>
      </w:rPr>
    </w:lvl>
    <w:lvl w:ilvl="3" w:tentative="1">
      <w:start w:val="1"/>
      <w:numFmt w:val="bullet"/>
      <w:lvlText w:val=""/>
      <w:lvlJc w:val="left"/>
      <w:pPr>
        <w:ind w:left="8640" w:hanging="360"/>
      </w:pPr>
      <w:rPr>
        <w:rFonts w:ascii="Symbol" w:hAnsi="Symbol" w:hint="default"/>
      </w:rPr>
    </w:lvl>
    <w:lvl w:ilvl="4" w:tentative="1">
      <w:start w:val="1"/>
      <w:numFmt w:val="bullet"/>
      <w:lvlText w:val="o"/>
      <w:lvlJc w:val="left"/>
      <w:pPr>
        <w:ind w:left="9360" w:hanging="360"/>
      </w:pPr>
      <w:rPr>
        <w:rFonts w:ascii="Courier New" w:hAnsi="Courier New" w:cs="Courier New" w:hint="default"/>
      </w:rPr>
    </w:lvl>
    <w:lvl w:ilvl="5" w:tentative="1">
      <w:start w:val="1"/>
      <w:numFmt w:val="bullet"/>
      <w:lvlText w:val=""/>
      <w:lvlJc w:val="left"/>
      <w:pPr>
        <w:ind w:left="10080" w:hanging="360"/>
      </w:pPr>
      <w:rPr>
        <w:rFonts w:ascii="Wingdings" w:hAnsi="Wingdings" w:hint="default"/>
      </w:rPr>
    </w:lvl>
    <w:lvl w:ilvl="6" w:tentative="1">
      <w:start w:val="1"/>
      <w:numFmt w:val="bullet"/>
      <w:lvlText w:val=""/>
      <w:lvlJc w:val="left"/>
      <w:pPr>
        <w:ind w:left="10800" w:hanging="360"/>
      </w:pPr>
      <w:rPr>
        <w:rFonts w:ascii="Symbol" w:hAnsi="Symbol" w:hint="default"/>
      </w:rPr>
    </w:lvl>
    <w:lvl w:ilvl="7" w:tentative="1">
      <w:start w:val="1"/>
      <w:numFmt w:val="bullet"/>
      <w:lvlText w:val="o"/>
      <w:lvlJc w:val="left"/>
      <w:pPr>
        <w:ind w:left="11520" w:hanging="360"/>
      </w:pPr>
      <w:rPr>
        <w:rFonts w:ascii="Courier New" w:hAnsi="Courier New" w:cs="Courier New" w:hint="default"/>
      </w:rPr>
    </w:lvl>
    <w:lvl w:ilvl="8" w:tentative="1">
      <w:start w:val="1"/>
      <w:numFmt w:val="bullet"/>
      <w:lvlText w:val=""/>
      <w:lvlJc w:val="left"/>
      <w:pPr>
        <w:ind w:left="12240" w:hanging="360"/>
      </w:pPr>
      <w:rPr>
        <w:rFonts w:ascii="Wingdings" w:hAnsi="Wingdings" w:hint="default"/>
      </w:rPr>
    </w:lvl>
  </w:abstractNum>
  <w:abstractNum w:abstractNumId="26">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40181808"/>
    <w:multiLevelType w:val="hybridMultilevel"/>
    <w:tmpl w:val="2F52C2B0"/>
    <w:lvl w:ilvl="0">
      <w:start w:val="421"/>
      <w:numFmt w:val="decimal"/>
      <w:lvlText w:val="(%1"/>
      <w:lvlJc w:val="left"/>
      <w:pPr>
        <w:ind w:left="1164" w:hanging="444"/>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2D22D0C"/>
    <w:multiLevelType w:val="hybridMultilevel"/>
    <w:tmpl w:val="0BBEC6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5E64AF2"/>
    <w:multiLevelType w:val="hybridMultilevel"/>
    <w:tmpl w:val="C28ABB0A"/>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1C0DCF"/>
    <w:multiLevelType w:val="hybridMultilevel"/>
    <w:tmpl w:val="FFBE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32">
    <w:nsid w:val="4C90667C"/>
    <w:multiLevelType w:val="hybridMultilevel"/>
    <w:tmpl w:val="1180BD4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4">
    <w:nsid w:val="573F4947"/>
    <w:multiLevelType w:val="hybridMultilevel"/>
    <w:tmpl w:val="A9E2A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F233A3"/>
    <w:multiLevelType w:val="hybridMultilevel"/>
    <w:tmpl w:val="44DC3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0A6BD1"/>
    <w:multiLevelType w:val="hybridMultilevel"/>
    <w:tmpl w:val="56C8ABBC"/>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BA63A71"/>
    <w:multiLevelType w:val="hybridMultilevel"/>
    <w:tmpl w:val="A0707D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E3F5EC7"/>
    <w:multiLevelType w:val="hybridMultilevel"/>
    <w:tmpl w:val="7D4E86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F33779B"/>
    <w:multiLevelType w:val="hybridMultilevel"/>
    <w:tmpl w:val="79EE331E"/>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A32C12"/>
    <w:multiLevelType w:val="hybridMultilevel"/>
    <w:tmpl w:val="BF7A3E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1E25CCE"/>
    <w:multiLevelType w:val="hybridMultilevel"/>
    <w:tmpl w:val="1F960710"/>
    <w:lvl w:ilvl="0">
      <w:start w:val="0"/>
      <w:numFmt w:val="bullet"/>
      <w:lvlText w:val=""/>
      <w:lvlJc w:val="left"/>
      <w:pPr>
        <w:ind w:left="827" w:hanging="360"/>
      </w:pPr>
      <w:rPr>
        <w:rFonts w:ascii="Symbol" w:eastAsia="Symbol" w:hAnsi="Symbol" w:cs="Symbol" w:hint="default"/>
        <w:w w:val="100"/>
        <w:sz w:val="18"/>
        <w:szCs w:val="18"/>
      </w:rPr>
    </w:lvl>
    <w:lvl w:ilvl="1">
      <w:start w:val="0"/>
      <w:numFmt w:val="bullet"/>
      <w:lvlText w:val="•"/>
      <w:lvlJc w:val="left"/>
      <w:pPr>
        <w:ind w:left="1466" w:hanging="360"/>
      </w:pPr>
      <w:rPr>
        <w:rFonts w:hint="default"/>
      </w:rPr>
    </w:lvl>
    <w:lvl w:ilvl="2">
      <w:start w:val="0"/>
      <w:numFmt w:val="bullet"/>
      <w:lvlText w:val="•"/>
      <w:lvlJc w:val="left"/>
      <w:pPr>
        <w:ind w:left="2112" w:hanging="360"/>
      </w:pPr>
      <w:rPr>
        <w:rFonts w:hint="default"/>
      </w:rPr>
    </w:lvl>
    <w:lvl w:ilvl="3">
      <w:start w:val="0"/>
      <w:numFmt w:val="bullet"/>
      <w:lvlText w:val="•"/>
      <w:lvlJc w:val="left"/>
      <w:pPr>
        <w:ind w:left="2758" w:hanging="360"/>
      </w:pPr>
      <w:rPr>
        <w:rFonts w:hint="default"/>
      </w:rPr>
    </w:lvl>
    <w:lvl w:ilvl="4">
      <w:start w:val="0"/>
      <w:numFmt w:val="bullet"/>
      <w:lvlText w:val="•"/>
      <w:lvlJc w:val="left"/>
      <w:pPr>
        <w:ind w:left="3404" w:hanging="360"/>
      </w:pPr>
      <w:rPr>
        <w:rFonts w:hint="default"/>
      </w:rPr>
    </w:lvl>
    <w:lvl w:ilvl="5">
      <w:start w:val="0"/>
      <w:numFmt w:val="bullet"/>
      <w:lvlText w:val="•"/>
      <w:lvlJc w:val="left"/>
      <w:pPr>
        <w:ind w:left="4050" w:hanging="360"/>
      </w:pPr>
      <w:rPr>
        <w:rFonts w:hint="default"/>
      </w:rPr>
    </w:lvl>
    <w:lvl w:ilvl="6">
      <w:start w:val="0"/>
      <w:numFmt w:val="bullet"/>
      <w:lvlText w:val="•"/>
      <w:lvlJc w:val="left"/>
      <w:pPr>
        <w:ind w:left="4696" w:hanging="360"/>
      </w:pPr>
      <w:rPr>
        <w:rFonts w:hint="default"/>
      </w:rPr>
    </w:lvl>
    <w:lvl w:ilvl="7">
      <w:start w:val="0"/>
      <w:numFmt w:val="bullet"/>
      <w:lvlText w:val="•"/>
      <w:lvlJc w:val="left"/>
      <w:pPr>
        <w:ind w:left="5342" w:hanging="360"/>
      </w:pPr>
      <w:rPr>
        <w:rFonts w:hint="default"/>
      </w:rPr>
    </w:lvl>
    <w:lvl w:ilvl="8">
      <w:start w:val="0"/>
      <w:numFmt w:val="bullet"/>
      <w:lvlText w:val="•"/>
      <w:lvlJc w:val="left"/>
      <w:pPr>
        <w:ind w:left="5988" w:hanging="360"/>
      </w:pPr>
      <w:rPr>
        <w:rFonts w:hint="default"/>
      </w:rPr>
    </w:lvl>
  </w:abstractNum>
  <w:abstractNum w:abstractNumId="42">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12C7BB9"/>
    <w:multiLevelType w:val="hybridMultilevel"/>
    <w:tmpl w:val="658E73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7">
    <w:nsid w:val="7C2D1536"/>
    <w:multiLevelType w:val="hybridMultilevel"/>
    <w:tmpl w:val="43D0E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FB31D2"/>
    <w:multiLevelType w:val="hybridMultilevel"/>
    <w:tmpl w:val="EF9E0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1D4035"/>
    <w:multiLevelType w:val="hybridMultilevel"/>
    <w:tmpl w:val="C0481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5034304">
    <w:abstractNumId w:val="33"/>
  </w:num>
  <w:num w:numId="2" w16cid:durableId="2083988592">
    <w:abstractNumId w:val="23"/>
  </w:num>
  <w:num w:numId="3" w16cid:durableId="1021470605">
    <w:abstractNumId w:val="15"/>
  </w:num>
  <w:num w:numId="4" w16cid:durableId="600187344">
    <w:abstractNumId w:val="46"/>
  </w:num>
  <w:num w:numId="5" w16cid:durableId="1100223292">
    <w:abstractNumId w:val="11"/>
  </w:num>
  <w:num w:numId="6" w16cid:durableId="131951862">
    <w:abstractNumId w:val="31"/>
  </w:num>
  <w:num w:numId="7" w16cid:durableId="2145654316">
    <w:abstractNumId w:val="18"/>
  </w:num>
  <w:num w:numId="8" w16cid:durableId="36203723">
    <w:abstractNumId w:val="42"/>
  </w:num>
  <w:num w:numId="9" w16cid:durableId="1483621963">
    <w:abstractNumId w:val="8"/>
  </w:num>
  <w:num w:numId="10" w16cid:durableId="24715993">
    <w:abstractNumId w:val="45"/>
  </w:num>
  <w:num w:numId="11" w16cid:durableId="688024186">
    <w:abstractNumId w:val="43"/>
  </w:num>
  <w:num w:numId="12" w16cid:durableId="379600120">
    <w:abstractNumId w:val="16"/>
  </w:num>
  <w:num w:numId="13" w16cid:durableId="1207063653">
    <w:abstractNumId w:val="12"/>
  </w:num>
  <w:num w:numId="14" w16cid:durableId="424498473">
    <w:abstractNumId w:val="19"/>
  </w:num>
  <w:num w:numId="15" w16cid:durableId="1282028148">
    <w:abstractNumId w:val="40"/>
  </w:num>
  <w:num w:numId="16" w16cid:durableId="18824787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2532654">
    <w:abstractNumId w:val="26"/>
  </w:num>
  <w:num w:numId="18" w16cid:durableId="621377864">
    <w:abstractNumId w:val="44"/>
  </w:num>
  <w:num w:numId="19" w16cid:durableId="1548419297">
    <w:abstractNumId w:val="38"/>
  </w:num>
  <w:num w:numId="20" w16cid:durableId="1635214640">
    <w:abstractNumId w:val="37"/>
  </w:num>
  <w:num w:numId="21" w16cid:durableId="50856961">
    <w:abstractNumId w:val="14"/>
  </w:num>
  <w:num w:numId="22" w16cid:durableId="758257358">
    <w:abstractNumId w:val="21"/>
  </w:num>
  <w:num w:numId="23" w16cid:durableId="1006981003">
    <w:abstractNumId w:val="34"/>
  </w:num>
  <w:num w:numId="24" w16cid:durableId="18108527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396565">
    <w:abstractNumId w:val="47"/>
  </w:num>
  <w:num w:numId="26" w16cid:durableId="271521658">
    <w:abstractNumId w:val="27"/>
  </w:num>
  <w:num w:numId="27" w16cid:durableId="2052142426">
    <w:abstractNumId w:val="4"/>
  </w:num>
  <w:num w:numId="28" w16cid:durableId="408039325">
    <w:abstractNumId w:val="0"/>
  </w:num>
  <w:num w:numId="29" w16cid:durableId="845286276">
    <w:abstractNumId w:val="28"/>
  </w:num>
  <w:num w:numId="30" w16cid:durableId="1901549476">
    <w:abstractNumId w:val="2"/>
  </w:num>
  <w:num w:numId="31" w16cid:durableId="1054887957">
    <w:abstractNumId w:val="3"/>
  </w:num>
  <w:num w:numId="32" w16cid:durableId="1293366066">
    <w:abstractNumId w:val="24"/>
  </w:num>
  <w:num w:numId="33" w16cid:durableId="34503399">
    <w:abstractNumId w:val="41"/>
  </w:num>
  <w:num w:numId="34" w16cid:durableId="1174077966">
    <w:abstractNumId w:val="35"/>
  </w:num>
  <w:num w:numId="35" w16cid:durableId="1135567169">
    <w:abstractNumId w:val="7"/>
  </w:num>
  <w:num w:numId="36" w16cid:durableId="1278293753">
    <w:abstractNumId w:val="48"/>
  </w:num>
  <w:num w:numId="37" w16cid:durableId="2030520228">
    <w:abstractNumId w:val="13"/>
  </w:num>
  <w:num w:numId="38" w16cid:durableId="1847288239">
    <w:abstractNumId w:val="25"/>
  </w:num>
  <w:num w:numId="39" w16cid:durableId="1234969076">
    <w:abstractNumId w:val="1"/>
  </w:num>
  <w:num w:numId="40" w16cid:durableId="1275286973">
    <w:abstractNumId w:val="20"/>
  </w:num>
  <w:num w:numId="41" w16cid:durableId="1554460699">
    <w:abstractNumId w:val="10"/>
  </w:num>
  <w:num w:numId="42" w16cid:durableId="849487708">
    <w:abstractNumId w:val="6"/>
  </w:num>
  <w:num w:numId="43" w16cid:durableId="1959600768">
    <w:abstractNumId w:val="32"/>
  </w:num>
  <w:num w:numId="44" w16cid:durableId="616259101">
    <w:abstractNumId w:val="5"/>
  </w:num>
  <w:num w:numId="45" w16cid:durableId="1162507142">
    <w:abstractNumId w:val="22"/>
  </w:num>
  <w:num w:numId="46" w16cid:durableId="964895887">
    <w:abstractNumId w:val="17"/>
  </w:num>
  <w:num w:numId="47" w16cid:durableId="1262837366">
    <w:abstractNumId w:val="9"/>
  </w:num>
  <w:num w:numId="48" w16cid:durableId="234244771">
    <w:abstractNumId w:val="29"/>
  </w:num>
  <w:num w:numId="49" w16cid:durableId="422535313">
    <w:abstractNumId w:val="39"/>
  </w:num>
  <w:num w:numId="50" w16cid:durableId="135719324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0BD2"/>
    <w:rsid w:val="0000284C"/>
    <w:rsid w:val="000046E5"/>
    <w:rsid w:val="000078FE"/>
    <w:rsid w:val="00010531"/>
    <w:rsid w:val="000119D8"/>
    <w:rsid w:val="000129CB"/>
    <w:rsid w:val="00016089"/>
    <w:rsid w:val="00017485"/>
    <w:rsid w:val="00017DBA"/>
    <w:rsid w:val="00020464"/>
    <w:rsid w:val="00020610"/>
    <w:rsid w:val="0002071B"/>
    <w:rsid w:val="000209DF"/>
    <w:rsid w:val="00020DFF"/>
    <w:rsid w:val="00021887"/>
    <w:rsid w:val="000224D4"/>
    <w:rsid w:val="00024A1B"/>
    <w:rsid w:val="00025DBA"/>
    <w:rsid w:val="00026741"/>
    <w:rsid w:val="00026AB8"/>
    <w:rsid w:val="00026EB7"/>
    <w:rsid w:val="0002760C"/>
    <w:rsid w:val="00027E0E"/>
    <w:rsid w:val="000301A1"/>
    <w:rsid w:val="0003044B"/>
    <w:rsid w:val="000308B3"/>
    <w:rsid w:val="00030A88"/>
    <w:rsid w:val="00030F34"/>
    <w:rsid w:val="00031378"/>
    <w:rsid w:val="000320D1"/>
    <w:rsid w:val="00032F67"/>
    <w:rsid w:val="0003316C"/>
    <w:rsid w:val="00033934"/>
    <w:rsid w:val="0003414A"/>
    <w:rsid w:val="000371FA"/>
    <w:rsid w:val="000375D9"/>
    <w:rsid w:val="00037B94"/>
    <w:rsid w:val="00040A45"/>
    <w:rsid w:val="000412C5"/>
    <w:rsid w:val="00041AF9"/>
    <w:rsid w:val="00042E58"/>
    <w:rsid w:val="000436FA"/>
    <w:rsid w:val="00043CA0"/>
    <w:rsid w:val="00044629"/>
    <w:rsid w:val="00046C26"/>
    <w:rsid w:val="000503A1"/>
    <w:rsid w:val="00050F3F"/>
    <w:rsid w:val="00051B85"/>
    <w:rsid w:val="00051F6F"/>
    <w:rsid w:val="000538EE"/>
    <w:rsid w:val="000573F4"/>
    <w:rsid w:val="00060AB6"/>
    <w:rsid w:val="00060FC7"/>
    <w:rsid w:val="000610A5"/>
    <w:rsid w:val="00065245"/>
    <w:rsid w:val="00070D43"/>
    <w:rsid w:val="0007120A"/>
    <w:rsid w:val="0007285C"/>
    <w:rsid w:val="0007307D"/>
    <w:rsid w:val="00073D0F"/>
    <w:rsid w:val="00075F88"/>
    <w:rsid w:val="00076AB9"/>
    <w:rsid w:val="00077494"/>
    <w:rsid w:val="00077F57"/>
    <w:rsid w:val="00083DBA"/>
    <w:rsid w:val="00084336"/>
    <w:rsid w:val="00084BB9"/>
    <w:rsid w:val="00084EDC"/>
    <w:rsid w:val="00085D99"/>
    <w:rsid w:val="0009032C"/>
    <w:rsid w:val="00090D74"/>
    <w:rsid w:val="00092ECE"/>
    <w:rsid w:val="00092F30"/>
    <w:rsid w:val="00093730"/>
    <w:rsid w:val="00093BA5"/>
    <w:rsid w:val="00095D0C"/>
    <w:rsid w:val="00096246"/>
    <w:rsid w:val="000963CF"/>
    <w:rsid w:val="000965EC"/>
    <w:rsid w:val="00097D82"/>
    <w:rsid w:val="000A17F2"/>
    <w:rsid w:val="000A4FDD"/>
    <w:rsid w:val="000A5028"/>
    <w:rsid w:val="000A6018"/>
    <w:rsid w:val="000A6431"/>
    <w:rsid w:val="000A697C"/>
    <w:rsid w:val="000B002C"/>
    <w:rsid w:val="000B0C3D"/>
    <w:rsid w:val="000B2EB7"/>
    <w:rsid w:val="000B7DF6"/>
    <w:rsid w:val="000C0264"/>
    <w:rsid w:val="000C0710"/>
    <w:rsid w:val="000C473C"/>
    <w:rsid w:val="000C4C1A"/>
    <w:rsid w:val="000C5DD0"/>
    <w:rsid w:val="000C5F1E"/>
    <w:rsid w:val="000C68BF"/>
    <w:rsid w:val="000D1B71"/>
    <w:rsid w:val="000D2ACE"/>
    <w:rsid w:val="000D3879"/>
    <w:rsid w:val="000D3A9C"/>
    <w:rsid w:val="000D5284"/>
    <w:rsid w:val="000D5BD5"/>
    <w:rsid w:val="000D707D"/>
    <w:rsid w:val="000E0356"/>
    <w:rsid w:val="000E0572"/>
    <w:rsid w:val="000E0FE9"/>
    <w:rsid w:val="000E1CB7"/>
    <w:rsid w:val="000E346F"/>
    <w:rsid w:val="000E3859"/>
    <w:rsid w:val="000E42A1"/>
    <w:rsid w:val="000E4EF9"/>
    <w:rsid w:val="000E5054"/>
    <w:rsid w:val="000E5276"/>
    <w:rsid w:val="000F0E33"/>
    <w:rsid w:val="000F1EBE"/>
    <w:rsid w:val="000F25A2"/>
    <w:rsid w:val="000F2A9A"/>
    <w:rsid w:val="000F3C92"/>
    <w:rsid w:val="000F3EDC"/>
    <w:rsid w:val="000F4423"/>
    <w:rsid w:val="000F55B2"/>
    <w:rsid w:val="000F7910"/>
    <w:rsid w:val="000F7E65"/>
    <w:rsid w:val="00101568"/>
    <w:rsid w:val="0010193B"/>
    <w:rsid w:val="00102DD3"/>
    <w:rsid w:val="00102FF4"/>
    <w:rsid w:val="00103274"/>
    <w:rsid w:val="00103CA3"/>
    <w:rsid w:val="001048DB"/>
    <w:rsid w:val="00105598"/>
    <w:rsid w:val="0010661B"/>
    <w:rsid w:val="00106952"/>
    <w:rsid w:val="00106A00"/>
    <w:rsid w:val="00106F37"/>
    <w:rsid w:val="001073B1"/>
    <w:rsid w:val="0011379E"/>
    <w:rsid w:val="00113C60"/>
    <w:rsid w:val="0011498A"/>
    <w:rsid w:val="00114DFC"/>
    <w:rsid w:val="00115D83"/>
    <w:rsid w:val="00116BB8"/>
    <w:rsid w:val="00117016"/>
    <w:rsid w:val="001220E2"/>
    <w:rsid w:val="0012366D"/>
    <w:rsid w:val="00124057"/>
    <w:rsid w:val="00125477"/>
    <w:rsid w:val="00133AB9"/>
    <w:rsid w:val="00133CBF"/>
    <w:rsid w:val="00134D64"/>
    <w:rsid w:val="00140EE3"/>
    <w:rsid w:val="00141050"/>
    <w:rsid w:val="00141585"/>
    <w:rsid w:val="001441DA"/>
    <w:rsid w:val="00144502"/>
    <w:rsid w:val="0014498B"/>
    <w:rsid w:val="00145507"/>
    <w:rsid w:val="001460C2"/>
    <w:rsid w:val="00147125"/>
    <w:rsid w:val="0015054F"/>
    <w:rsid w:val="00151D26"/>
    <w:rsid w:val="0015230C"/>
    <w:rsid w:val="00152328"/>
    <w:rsid w:val="00152605"/>
    <w:rsid w:val="00155AE9"/>
    <w:rsid w:val="00155DBC"/>
    <w:rsid w:val="00156577"/>
    <w:rsid w:val="00156752"/>
    <w:rsid w:val="0015681E"/>
    <w:rsid w:val="0015716C"/>
    <w:rsid w:val="00157A89"/>
    <w:rsid w:val="00160956"/>
    <w:rsid w:val="00163E59"/>
    <w:rsid w:val="00164960"/>
    <w:rsid w:val="00164DB6"/>
    <w:rsid w:val="0016607C"/>
    <w:rsid w:val="0016676C"/>
    <w:rsid w:val="001668A6"/>
    <w:rsid w:val="00166A9E"/>
    <w:rsid w:val="00170DD4"/>
    <w:rsid w:val="00172476"/>
    <w:rsid w:val="0017387E"/>
    <w:rsid w:val="0017452E"/>
    <w:rsid w:val="00174553"/>
    <w:rsid w:val="00174814"/>
    <w:rsid w:val="001753C1"/>
    <w:rsid w:val="00176C6C"/>
    <w:rsid w:val="001774F1"/>
    <w:rsid w:val="00180092"/>
    <w:rsid w:val="00180B9D"/>
    <w:rsid w:val="0018126E"/>
    <w:rsid w:val="0018177D"/>
    <w:rsid w:val="00181A7A"/>
    <w:rsid w:val="00181AD5"/>
    <w:rsid w:val="001820ED"/>
    <w:rsid w:val="00182F41"/>
    <w:rsid w:val="00183A37"/>
    <w:rsid w:val="00183CE8"/>
    <w:rsid w:val="00183D39"/>
    <w:rsid w:val="00183E28"/>
    <w:rsid w:val="001841FD"/>
    <w:rsid w:val="00185FB6"/>
    <w:rsid w:val="00186BF9"/>
    <w:rsid w:val="0018754E"/>
    <w:rsid w:val="00187886"/>
    <w:rsid w:val="00187F66"/>
    <w:rsid w:val="001910EB"/>
    <w:rsid w:val="00191556"/>
    <w:rsid w:val="0019214A"/>
    <w:rsid w:val="00192913"/>
    <w:rsid w:val="00192DE7"/>
    <w:rsid w:val="00196526"/>
    <w:rsid w:val="00197198"/>
    <w:rsid w:val="0019730C"/>
    <w:rsid w:val="00197468"/>
    <w:rsid w:val="001A187B"/>
    <w:rsid w:val="001A1DC1"/>
    <w:rsid w:val="001A2DBE"/>
    <w:rsid w:val="001A30BA"/>
    <w:rsid w:val="001A394C"/>
    <w:rsid w:val="001A40DC"/>
    <w:rsid w:val="001A5883"/>
    <w:rsid w:val="001A69A7"/>
    <w:rsid w:val="001A6B23"/>
    <w:rsid w:val="001A6D97"/>
    <w:rsid w:val="001A793A"/>
    <w:rsid w:val="001B08A2"/>
    <w:rsid w:val="001B09BD"/>
    <w:rsid w:val="001B1957"/>
    <w:rsid w:val="001B1F05"/>
    <w:rsid w:val="001B2A7D"/>
    <w:rsid w:val="001B2ABA"/>
    <w:rsid w:val="001B3FB1"/>
    <w:rsid w:val="001B40F8"/>
    <w:rsid w:val="001B4864"/>
    <w:rsid w:val="001B4AAE"/>
    <w:rsid w:val="001B58E8"/>
    <w:rsid w:val="001B61E3"/>
    <w:rsid w:val="001B6755"/>
    <w:rsid w:val="001C1149"/>
    <w:rsid w:val="001C2815"/>
    <w:rsid w:val="001C38FA"/>
    <w:rsid w:val="001C40A2"/>
    <w:rsid w:val="001C40E0"/>
    <w:rsid w:val="001C69E2"/>
    <w:rsid w:val="001C75A4"/>
    <w:rsid w:val="001C7D6D"/>
    <w:rsid w:val="001D412A"/>
    <w:rsid w:val="001D64A5"/>
    <w:rsid w:val="001E0F7E"/>
    <w:rsid w:val="001E149E"/>
    <w:rsid w:val="001E1802"/>
    <w:rsid w:val="001E210F"/>
    <w:rsid w:val="001E26B2"/>
    <w:rsid w:val="001E2A04"/>
    <w:rsid w:val="001E34AE"/>
    <w:rsid w:val="001E3F00"/>
    <w:rsid w:val="001E5DA3"/>
    <w:rsid w:val="001E6EF5"/>
    <w:rsid w:val="001E714D"/>
    <w:rsid w:val="001E7237"/>
    <w:rsid w:val="001F39AC"/>
    <w:rsid w:val="001F431B"/>
    <w:rsid w:val="001F4951"/>
    <w:rsid w:val="001F505E"/>
    <w:rsid w:val="001F50CC"/>
    <w:rsid w:val="001F7715"/>
    <w:rsid w:val="00200425"/>
    <w:rsid w:val="00200651"/>
    <w:rsid w:val="00200C2F"/>
    <w:rsid w:val="0020167B"/>
    <w:rsid w:val="00201748"/>
    <w:rsid w:val="00203276"/>
    <w:rsid w:val="00203AA5"/>
    <w:rsid w:val="00203D38"/>
    <w:rsid w:val="00204665"/>
    <w:rsid w:val="00205072"/>
    <w:rsid w:val="00206B05"/>
    <w:rsid w:val="00206D22"/>
    <w:rsid w:val="0021079A"/>
    <w:rsid w:val="002149DC"/>
    <w:rsid w:val="00215D2E"/>
    <w:rsid w:val="0022270D"/>
    <w:rsid w:val="00223D0C"/>
    <w:rsid w:val="00225A91"/>
    <w:rsid w:val="00225C39"/>
    <w:rsid w:val="002325DB"/>
    <w:rsid w:val="00232C69"/>
    <w:rsid w:val="00233D68"/>
    <w:rsid w:val="00240D99"/>
    <w:rsid w:val="0024573E"/>
    <w:rsid w:val="00245FB5"/>
    <w:rsid w:val="0024631D"/>
    <w:rsid w:val="0024788A"/>
    <w:rsid w:val="00247B59"/>
    <w:rsid w:val="0025078D"/>
    <w:rsid w:val="00251A81"/>
    <w:rsid w:val="00251C8C"/>
    <w:rsid w:val="00251C9E"/>
    <w:rsid w:val="00253BC5"/>
    <w:rsid w:val="00256605"/>
    <w:rsid w:val="00257EA0"/>
    <w:rsid w:val="00263184"/>
    <w:rsid w:val="002637E5"/>
    <w:rsid w:val="00263D8B"/>
    <w:rsid w:val="00265025"/>
    <w:rsid w:val="0026549A"/>
    <w:rsid w:val="00265F8D"/>
    <w:rsid w:val="00266854"/>
    <w:rsid w:val="00267B1B"/>
    <w:rsid w:val="00271A03"/>
    <w:rsid w:val="00273523"/>
    <w:rsid w:val="00273593"/>
    <w:rsid w:val="002737E1"/>
    <w:rsid w:val="0027464B"/>
    <w:rsid w:val="0027662B"/>
    <w:rsid w:val="00276B97"/>
    <w:rsid w:val="002775FB"/>
    <w:rsid w:val="002818C8"/>
    <w:rsid w:val="0028241E"/>
    <w:rsid w:val="00284366"/>
    <w:rsid w:val="00284795"/>
    <w:rsid w:val="00285D8A"/>
    <w:rsid w:val="002872D0"/>
    <w:rsid w:val="0028796F"/>
    <w:rsid w:val="00290000"/>
    <w:rsid w:val="002904DB"/>
    <w:rsid w:val="002917BE"/>
    <w:rsid w:val="002918C3"/>
    <w:rsid w:val="002930DE"/>
    <w:rsid w:val="00293277"/>
    <w:rsid w:val="00295EC6"/>
    <w:rsid w:val="00296DDB"/>
    <w:rsid w:val="002A39CB"/>
    <w:rsid w:val="002A40B5"/>
    <w:rsid w:val="002A4B95"/>
    <w:rsid w:val="002A7A6A"/>
    <w:rsid w:val="002A7EB2"/>
    <w:rsid w:val="002B02F9"/>
    <w:rsid w:val="002B186C"/>
    <w:rsid w:val="002B1E84"/>
    <w:rsid w:val="002B389B"/>
    <w:rsid w:val="002B3FAE"/>
    <w:rsid w:val="002B43BA"/>
    <w:rsid w:val="002B5778"/>
    <w:rsid w:val="002B5AF8"/>
    <w:rsid w:val="002B6AC7"/>
    <w:rsid w:val="002B7B69"/>
    <w:rsid w:val="002B7BC9"/>
    <w:rsid w:val="002C05DD"/>
    <w:rsid w:val="002C1778"/>
    <w:rsid w:val="002C24A4"/>
    <w:rsid w:val="002C3B0E"/>
    <w:rsid w:val="002C3E44"/>
    <w:rsid w:val="002C5F7F"/>
    <w:rsid w:val="002C7464"/>
    <w:rsid w:val="002D02B7"/>
    <w:rsid w:val="002D0E49"/>
    <w:rsid w:val="002D27E8"/>
    <w:rsid w:val="002D46D4"/>
    <w:rsid w:val="002D6BD1"/>
    <w:rsid w:val="002D7BFA"/>
    <w:rsid w:val="002E1B16"/>
    <w:rsid w:val="002E2566"/>
    <w:rsid w:val="002E3660"/>
    <w:rsid w:val="002E37BD"/>
    <w:rsid w:val="002E48AC"/>
    <w:rsid w:val="002E5579"/>
    <w:rsid w:val="002E5C88"/>
    <w:rsid w:val="002E5D97"/>
    <w:rsid w:val="002F0032"/>
    <w:rsid w:val="002F0A90"/>
    <w:rsid w:val="002F0F8C"/>
    <w:rsid w:val="002F1718"/>
    <w:rsid w:val="002F207F"/>
    <w:rsid w:val="002F2F34"/>
    <w:rsid w:val="002F3A91"/>
    <w:rsid w:val="002F47E8"/>
    <w:rsid w:val="002F4DC9"/>
    <w:rsid w:val="002F5AB6"/>
    <w:rsid w:val="002F5C16"/>
    <w:rsid w:val="002F60A7"/>
    <w:rsid w:val="002F6A8C"/>
    <w:rsid w:val="00301728"/>
    <w:rsid w:val="0030251B"/>
    <w:rsid w:val="0030374B"/>
    <w:rsid w:val="00303BC1"/>
    <w:rsid w:val="00303C61"/>
    <w:rsid w:val="00303E9D"/>
    <w:rsid w:val="00305418"/>
    <w:rsid w:val="003055EF"/>
    <w:rsid w:val="00305630"/>
    <w:rsid w:val="00306454"/>
    <w:rsid w:val="00306FE4"/>
    <w:rsid w:val="003076D8"/>
    <w:rsid w:val="00310C91"/>
    <w:rsid w:val="00311555"/>
    <w:rsid w:val="0031187A"/>
    <w:rsid w:val="00312940"/>
    <w:rsid w:val="003132AC"/>
    <w:rsid w:val="00314E6C"/>
    <w:rsid w:val="00316010"/>
    <w:rsid w:val="00317B32"/>
    <w:rsid w:val="003201DE"/>
    <w:rsid w:val="00321E70"/>
    <w:rsid w:val="003221CB"/>
    <w:rsid w:val="00323BE4"/>
    <w:rsid w:val="00323F65"/>
    <w:rsid w:val="00324785"/>
    <w:rsid w:val="003263A1"/>
    <w:rsid w:val="00326497"/>
    <w:rsid w:val="00327145"/>
    <w:rsid w:val="0033284F"/>
    <w:rsid w:val="00335344"/>
    <w:rsid w:val="0033600B"/>
    <w:rsid w:val="00336686"/>
    <w:rsid w:val="00337435"/>
    <w:rsid w:val="0034006B"/>
    <w:rsid w:val="00341A87"/>
    <w:rsid w:val="00344642"/>
    <w:rsid w:val="00346376"/>
    <w:rsid w:val="003473CB"/>
    <w:rsid w:val="00347D7F"/>
    <w:rsid w:val="003509CE"/>
    <w:rsid w:val="00351FEB"/>
    <w:rsid w:val="00353879"/>
    <w:rsid w:val="00353DBD"/>
    <w:rsid w:val="003563A3"/>
    <w:rsid w:val="00357FE9"/>
    <w:rsid w:val="00360543"/>
    <w:rsid w:val="00361118"/>
    <w:rsid w:val="00361644"/>
    <w:rsid w:val="00361EE7"/>
    <w:rsid w:val="003624F0"/>
    <w:rsid w:val="00362EB7"/>
    <w:rsid w:val="003662F6"/>
    <w:rsid w:val="00366B0C"/>
    <w:rsid w:val="003674C9"/>
    <w:rsid w:val="00370C4C"/>
    <w:rsid w:val="0037192F"/>
    <w:rsid w:val="0037204D"/>
    <w:rsid w:val="0037238C"/>
    <w:rsid w:val="00372ED0"/>
    <w:rsid w:val="003744EF"/>
    <w:rsid w:val="0037474C"/>
    <w:rsid w:val="003756DB"/>
    <w:rsid w:val="00375758"/>
    <w:rsid w:val="00376E22"/>
    <w:rsid w:val="003770D8"/>
    <w:rsid w:val="003808E7"/>
    <w:rsid w:val="00381AD2"/>
    <w:rsid w:val="003827FA"/>
    <w:rsid w:val="003850B4"/>
    <w:rsid w:val="00386F5C"/>
    <w:rsid w:val="00387883"/>
    <w:rsid w:val="003911C3"/>
    <w:rsid w:val="00392B29"/>
    <w:rsid w:val="00393C77"/>
    <w:rsid w:val="003946BD"/>
    <w:rsid w:val="0039481C"/>
    <w:rsid w:val="00396347"/>
    <w:rsid w:val="003A0514"/>
    <w:rsid w:val="003A091C"/>
    <w:rsid w:val="003A1616"/>
    <w:rsid w:val="003A1A45"/>
    <w:rsid w:val="003A3A80"/>
    <w:rsid w:val="003A46FD"/>
    <w:rsid w:val="003A5B7C"/>
    <w:rsid w:val="003A6739"/>
    <w:rsid w:val="003A7518"/>
    <w:rsid w:val="003B26F7"/>
    <w:rsid w:val="003B3D0E"/>
    <w:rsid w:val="003B495D"/>
    <w:rsid w:val="003B4FBC"/>
    <w:rsid w:val="003B562E"/>
    <w:rsid w:val="003B721D"/>
    <w:rsid w:val="003B7B4E"/>
    <w:rsid w:val="003C1B24"/>
    <w:rsid w:val="003C2713"/>
    <w:rsid w:val="003C5AF6"/>
    <w:rsid w:val="003C6298"/>
    <w:rsid w:val="003C6886"/>
    <w:rsid w:val="003C6924"/>
    <w:rsid w:val="003C6D6A"/>
    <w:rsid w:val="003C6FCC"/>
    <w:rsid w:val="003C713C"/>
    <w:rsid w:val="003D0288"/>
    <w:rsid w:val="003D058E"/>
    <w:rsid w:val="003D0757"/>
    <w:rsid w:val="003D2477"/>
    <w:rsid w:val="003D3681"/>
    <w:rsid w:val="003D3E8D"/>
    <w:rsid w:val="003D5EF6"/>
    <w:rsid w:val="003D676E"/>
    <w:rsid w:val="003E058A"/>
    <w:rsid w:val="003E399C"/>
    <w:rsid w:val="003E642C"/>
    <w:rsid w:val="003E7F40"/>
    <w:rsid w:val="003F4DD6"/>
    <w:rsid w:val="003F522C"/>
    <w:rsid w:val="004047E5"/>
    <w:rsid w:val="00405307"/>
    <w:rsid w:val="00405B17"/>
    <w:rsid w:val="004129CD"/>
    <w:rsid w:val="004129E8"/>
    <w:rsid w:val="00413856"/>
    <w:rsid w:val="00416638"/>
    <w:rsid w:val="004166CE"/>
    <w:rsid w:val="00416926"/>
    <w:rsid w:val="00416D5A"/>
    <w:rsid w:val="00417522"/>
    <w:rsid w:val="00421453"/>
    <w:rsid w:val="00421621"/>
    <w:rsid w:val="0042499F"/>
    <w:rsid w:val="0042538F"/>
    <w:rsid w:val="00425C0C"/>
    <w:rsid w:val="00426A80"/>
    <w:rsid w:val="0042786E"/>
    <w:rsid w:val="004324ED"/>
    <w:rsid w:val="004339A3"/>
    <w:rsid w:val="004366C1"/>
    <w:rsid w:val="00436F4B"/>
    <w:rsid w:val="004403F5"/>
    <w:rsid w:val="00441374"/>
    <w:rsid w:val="00444025"/>
    <w:rsid w:val="0044764B"/>
    <w:rsid w:val="00447720"/>
    <w:rsid w:val="0044772E"/>
    <w:rsid w:val="00450FB9"/>
    <w:rsid w:val="00451E1A"/>
    <w:rsid w:val="00453968"/>
    <w:rsid w:val="00456A85"/>
    <w:rsid w:val="0045754C"/>
    <w:rsid w:val="00460272"/>
    <w:rsid w:val="00461DEC"/>
    <w:rsid w:val="00463331"/>
    <w:rsid w:val="00463491"/>
    <w:rsid w:val="00463D36"/>
    <w:rsid w:val="0046431C"/>
    <w:rsid w:val="00464E95"/>
    <w:rsid w:val="00465A2F"/>
    <w:rsid w:val="00465E3A"/>
    <w:rsid w:val="0046759A"/>
    <w:rsid w:val="00467B69"/>
    <w:rsid w:val="00471D8E"/>
    <w:rsid w:val="00472021"/>
    <w:rsid w:val="0047203F"/>
    <w:rsid w:val="00472DEC"/>
    <w:rsid w:val="00473217"/>
    <w:rsid w:val="004739DA"/>
    <w:rsid w:val="0047453F"/>
    <w:rsid w:val="004749CC"/>
    <w:rsid w:val="004772FB"/>
    <w:rsid w:val="00480702"/>
    <w:rsid w:val="004812D1"/>
    <w:rsid w:val="004842F4"/>
    <w:rsid w:val="00486954"/>
    <w:rsid w:val="004869B4"/>
    <w:rsid w:val="00487AAD"/>
    <w:rsid w:val="004905DF"/>
    <w:rsid w:val="0049199A"/>
    <w:rsid w:val="00493840"/>
    <w:rsid w:val="00493859"/>
    <w:rsid w:val="00493C00"/>
    <w:rsid w:val="00494DB3"/>
    <w:rsid w:val="004A172B"/>
    <w:rsid w:val="004A24EA"/>
    <w:rsid w:val="004A28E0"/>
    <w:rsid w:val="004A3D28"/>
    <w:rsid w:val="004A5229"/>
    <w:rsid w:val="004A5893"/>
    <w:rsid w:val="004A7969"/>
    <w:rsid w:val="004A7D4B"/>
    <w:rsid w:val="004A7D5A"/>
    <w:rsid w:val="004B203D"/>
    <w:rsid w:val="004B3AD6"/>
    <w:rsid w:val="004B5183"/>
    <w:rsid w:val="004B6281"/>
    <w:rsid w:val="004B6E40"/>
    <w:rsid w:val="004B78A5"/>
    <w:rsid w:val="004C279A"/>
    <w:rsid w:val="004C2E16"/>
    <w:rsid w:val="004C360D"/>
    <w:rsid w:val="004C4948"/>
    <w:rsid w:val="004C5D94"/>
    <w:rsid w:val="004C6E75"/>
    <w:rsid w:val="004D07C9"/>
    <w:rsid w:val="004D3CA2"/>
    <w:rsid w:val="004D45D5"/>
    <w:rsid w:val="004E08A9"/>
    <w:rsid w:val="004E185E"/>
    <w:rsid w:val="004E1D16"/>
    <w:rsid w:val="004E2133"/>
    <w:rsid w:val="004E2AD0"/>
    <w:rsid w:val="004E305D"/>
    <w:rsid w:val="004E479C"/>
    <w:rsid w:val="004E6038"/>
    <w:rsid w:val="004E6947"/>
    <w:rsid w:val="004E69C2"/>
    <w:rsid w:val="004E6FCF"/>
    <w:rsid w:val="004F11D9"/>
    <w:rsid w:val="004F1675"/>
    <w:rsid w:val="004F1776"/>
    <w:rsid w:val="004F1E02"/>
    <w:rsid w:val="004F1FA1"/>
    <w:rsid w:val="004F2D03"/>
    <w:rsid w:val="004F32D4"/>
    <w:rsid w:val="004F33B7"/>
    <w:rsid w:val="004F4561"/>
    <w:rsid w:val="004F58A6"/>
    <w:rsid w:val="004F5C48"/>
    <w:rsid w:val="004F6112"/>
    <w:rsid w:val="004F6DCA"/>
    <w:rsid w:val="004F7731"/>
    <w:rsid w:val="00500C84"/>
    <w:rsid w:val="00502021"/>
    <w:rsid w:val="005025EC"/>
    <w:rsid w:val="0050358A"/>
    <w:rsid w:val="005044A5"/>
    <w:rsid w:val="005054B2"/>
    <w:rsid w:val="005074B7"/>
    <w:rsid w:val="00511F25"/>
    <w:rsid w:val="005120EE"/>
    <w:rsid w:val="005139EF"/>
    <w:rsid w:val="00513A7D"/>
    <w:rsid w:val="00514267"/>
    <w:rsid w:val="0051593B"/>
    <w:rsid w:val="005162BE"/>
    <w:rsid w:val="00516A34"/>
    <w:rsid w:val="00517D8C"/>
    <w:rsid w:val="00517FCA"/>
    <w:rsid w:val="00520974"/>
    <w:rsid w:val="00520D1B"/>
    <w:rsid w:val="00521DE8"/>
    <w:rsid w:val="005230A7"/>
    <w:rsid w:val="005231F2"/>
    <w:rsid w:val="005236BD"/>
    <w:rsid w:val="00524475"/>
    <w:rsid w:val="00524D64"/>
    <w:rsid w:val="0052599D"/>
    <w:rsid w:val="005271D8"/>
    <w:rsid w:val="00527237"/>
    <w:rsid w:val="00533EA7"/>
    <w:rsid w:val="00534F1F"/>
    <w:rsid w:val="0053511A"/>
    <w:rsid w:val="00540C6D"/>
    <w:rsid w:val="00540D96"/>
    <w:rsid w:val="005413FE"/>
    <w:rsid w:val="005418DC"/>
    <w:rsid w:val="0054532C"/>
    <w:rsid w:val="005469F0"/>
    <w:rsid w:val="00546BC3"/>
    <w:rsid w:val="0055395C"/>
    <w:rsid w:val="005649E9"/>
    <w:rsid w:val="005655DB"/>
    <w:rsid w:val="0056583B"/>
    <w:rsid w:val="00565CF3"/>
    <w:rsid w:val="00571012"/>
    <w:rsid w:val="00572D2B"/>
    <w:rsid w:val="00574927"/>
    <w:rsid w:val="00575D7C"/>
    <w:rsid w:val="00575EFE"/>
    <w:rsid w:val="0057612C"/>
    <w:rsid w:val="00576481"/>
    <w:rsid w:val="005808AD"/>
    <w:rsid w:val="00581F3A"/>
    <w:rsid w:val="00584B76"/>
    <w:rsid w:val="00585540"/>
    <w:rsid w:val="00585F53"/>
    <w:rsid w:val="005872C4"/>
    <w:rsid w:val="005872F9"/>
    <w:rsid w:val="00587828"/>
    <w:rsid w:val="00590B54"/>
    <w:rsid w:val="00590BD2"/>
    <w:rsid w:val="005913EF"/>
    <w:rsid w:val="00591590"/>
    <w:rsid w:val="00591C81"/>
    <w:rsid w:val="005921BC"/>
    <w:rsid w:val="00592254"/>
    <w:rsid w:val="005926EA"/>
    <w:rsid w:val="00592840"/>
    <w:rsid w:val="00593EFC"/>
    <w:rsid w:val="00594557"/>
    <w:rsid w:val="0059631E"/>
    <w:rsid w:val="00597777"/>
    <w:rsid w:val="0059787A"/>
    <w:rsid w:val="00597B74"/>
    <w:rsid w:val="005A0EE9"/>
    <w:rsid w:val="005A23F6"/>
    <w:rsid w:val="005A330F"/>
    <w:rsid w:val="005A3789"/>
    <w:rsid w:val="005A4400"/>
    <w:rsid w:val="005A6596"/>
    <w:rsid w:val="005A7659"/>
    <w:rsid w:val="005A7F2A"/>
    <w:rsid w:val="005B0B97"/>
    <w:rsid w:val="005B1F16"/>
    <w:rsid w:val="005B2219"/>
    <w:rsid w:val="005B38A8"/>
    <w:rsid w:val="005B3B27"/>
    <w:rsid w:val="005B40B2"/>
    <w:rsid w:val="005B4F49"/>
    <w:rsid w:val="005B575F"/>
    <w:rsid w:val="005B5967"/>
    <w:rsid w:val="005B71C2"/>
    <w:rsid w:val="005B7493"/>
    <w:rsid w:val="005B7FB6"/>
    <w:rsid w:val="005C0255"/>
    <w:rsid w:val="005C13E9"/>
    <w:rsid w:val="005C2A53"/>
    <w:rsid w:val="005C41E9"/>
    <w:rsid w:val="005C41F4"/>
    <w:rsid w:val="005C50B2"/>
    <w:rsid w:val="005D0135"/>
    <w:rsid w:val="005D1076"/>
    <w:rsid w:val="005D1DE7"/>
    <w:rsid w:val="005D3B1E"/>
    <w:rsid w:val="005D4020"/>
    <w:rsid w:val="005D4FC8"/>
    <w:rsid w:val="005D5768"/>
    <w:rsid w:val="005D63A0"/>
    <w:rsid w:val="005E21C2"/>
    <w:rsid w:val="005E23CF"/>
    <w:rsid w:val="005E2FA1"/>
    <w:rsid w:val="005E492C"/>
    <w:rsid w:val="005F0197"/>
    <w:rsid w:val="005F2898"/>
    <w:rsid w:val="005F5D33"/>
    <w:rsid w:val="005F75C9"/>
    <w:rsid w:val="005F79C4"/>
    <w:rsid w:val="00600089"/>
    <w:rsid w:val="00600B56"/>
    <w:rsid w:val="00601A30"/>
    <w:rsid w:val="00602552"/>
    <w:rsid w:val="00602F4D"/>
    <w:rsid w:val="0060636B"/>
    <w:rsid w:val="006107C2"/>
    <w:rsid w:val="00613D10"/>
    <w:rsid w:val="00614AA1"/>
    <w:rsid w:val="00616213"/>
    <w:rsid w:val="0061774F"/>
    <w:rsid w:val="00617812"/>
    <w:rsid w:val="00617C8A"/>
    <w:rsid w:val="00620F4F"/>
    <w:rsid w:val="00621695"/>
    <w:rsid w:val="006216C7"/>
    <w:rsid w:val="00621A65"/>
    <w:rsid w:val="00621B5E"/>
    <w:rsid w:val="006221F4"/>
    <w:rsid w:val="00622B75"/>
    <w:rsid w:val="00623811"/>
    <w:rsid w:val="00623B04"/>
    <w:rsid w:val="006247A3"/>
    <w:rsid w:val="006262E2"/>
    <w:rsid w:val="00627406"/>
    <w:rsid w:val="00630E1C"/>
    <w:rsid w:val="00631BFB"/>
    <w:rsid w:val="00632580"/>
    <w:rsid w:val="006330A6"/>
    <w:rsid w:val="00633DA0"/>
    <w:rsid w:val="00634498"/>
    <w:rsid w:val="006353BB"/>
    <w:rsid w:val="0063643B"/>
    <w:rsid w:val="00637E72"/>
    <w:rsid w:val="006401A9"/>
    <w:rsid w:val="00640C21"/>
    <w:rsid w:val="006432C1"/>
    <w:rsid w:val="00651001"/>
    <w:rsid w:val="0065345B"/>
    <w:rsid w:val="006540F6"/>
    <w:rsid w:val="00654B37"/>
    <w:rsid w:val="00654BAB"/>
    <w:rsid w:val="00656615"/>
    <w:rsid w:val="00656BB2"/>
    <w:rsid w:val="00661114"/>
    <w:rsid w:val="0066181E"/>
    <w:rsid w:val="00661EFB"/>
    <w:rsid w:val="00670D5F"/>
    <w:rsid w:val="006721E3"/>
    <w:rsid w:val="00673158"/>
    <w:rsid w:val="00673397"/>
    <w:rsid w:val="0067476B"/>
    <w:rsid w:val="00676B38"/>
    <w:rsid w:val="00677172"/>
    <w:rsid w:val="00677CAD"/>
    <w:rsid w:val="00682863"/>
    <w:rsid w:val="0068309C"/>
    <w:rsid w:val="00684C81"/>
    <w:rsid w:val="00686A38"/>
    <w:rsid w:val="00687D2F"/>
    <w:rsid w:val="0069279C"/>
    <w:rsid w:val="00692C8A"/>
    <w:rsid w:val="006932CF"/>
    <w:rsid w:val="006936D4"/>
    <w:rsid w:val="006937B5"/>
    <w:rsid w:val="0069446E"/>
    <w:rsid w:val="006955EC"/>
    <w:rsid w:val="00695748"/>
    <w:rsid w:val="0069679C"/>
    <w:rsid w:val="00697456"/>
    <w:rsid w:val="00697557"/>
    <w:rsid w:val="006A0043"/>
    <w:rsid w:val="006A0E89"/>
    <w:rsid w:val="006A12F8"/>
    <w:rsid w:val="006A159D"/>
    <w:rsid w:val="006A1DCB"/>
    <w:rsid w:val="006A290E"/>
    <w:rsid w:val="006A375E"/>
    <w:rsid w:val="006A4787"/>
    <w:rsid w:val="006A6154"/>
    <w:rsid w:val="006A6873"/>
    <w:rsid w:val="006A7A62"/>
    <w:rsid w:val="006B122A"/>
    <w:rsid w:val="006B296C"/>
    <w:rsid w:val="006B3D3C"/>
    <w:rsid w:val="006B50A0"/>
    <w:rsid w:val="006B57D0"/>
    <w:rsid w:val="006B7DE7"/>
    <w:rsid w:val="006C04FF"/>
    <w:rsid w:val="006C3B8C"/>
    <w:rsid w:val="006C481A"/>
    <w:rsid w:val="006C5E4A"/>
    <w:rsid w:val="006C67DA"/>
    <w:rsid w:val="006C6989"/>
    <w:rsid w:val="006C7713"/>
    <w:rsid w:val="006C7B22"/>
    <w:rsid w:val="006D013F"/>
    <w:rsid w:val="006D015C"/>
    <w:rsid w:val="006D3C31"/>
    <w:rsid w:val="006D5889"/>
    <w:rsid w:val="006D7981"/>
    <w:rsid w:val="006D7F8E"/>
    <w:rsid w:val="006E24AC"/>
    <w:rsid w:val="006E314D"/>
    <w:rsid w:val="006E3695"/>
    <w:rsid w:val="006E4F0E"/>
    <w:rsid w:val="006E630F"/>
    <w:rsid w:val="006E6AB0"/>
    <w:rsid w:val="006E78DE"/>
    <w:rsid w:val="006F0AC0"/>
    <w:rsid w:val="006F161F"/>
    <w:rsid w:val="006F22A8"/>
    <w:rsid w:val="006F30A2"/>
    <w:rsid w:val="006F3440"/>
    <w:rsid w:val="006F3AEC"/>
    <w:rsid w:val="006F410C"/>
    <w:rsid w:val="006F49E8"/>
    <w:rsid w:val="006F658C"/>
    <w:rsid w:val="0070175F"/>
    <w:rsid w:val="007020F8"/>
    <w:rsid w:val="00702506"/>
    <w:rsid w:val="00702E8B"/>
    <w:rsid w:val="00703100"/>
    <w:rsid w:val="007036C8"/>
    <w:rsid w:val="007039B9"/>
    <w:rsid w:val="00705303"/>
    <w:rsid w:val="0070591F"/>
    <w:rsid w:val="00706E88"/>
    <w:rsid w:val="00707FEE"/>
    <w:rsid w:val="0071015F"/>
    <w:rsid w:val="0071085B"/>
    <w:rsid w:val="00710DFD"/>
    <w:rsid w:val="007148B0"/>
    <w:rsid w:val="0071577A"/>
    <w:rsid w:val="007157C6"/>
    <w:rsid w:val="00716C5F"/>
    <w:rsid w:val="00717C78"/>
    <w:rsid w:val="00721733"/>
    <w:rsid w:val="0072318A"/>
    <w:rsid w:val="00725798"/>
    <w:rsid w:val="007263B4"/>
    <w:rsid w:val="00726A3C"/>
    <w:rsid w:val="00727078"/>
    <w:rsid w:val="007278B3"/>
    <w:rsid w:val="007310EF"/>
    <w:rsid w:val="007317C6"/>
    <w:rsid w:val="00740381"/>
    <w:rsid w:val="007404A1"/>
    <w:rsid w:val="00740F51"/>
    <w:rsid w:val="00744D12"/>
    <w:rsid w:val="007450F6"/>
    <w:rsid w:val="00745968"/>
    <w:rsid w:val="0074648F"/>
    <w:rsid w:val="00746CAA"/>
    <w:rsid w:val="00746EC7"/>
    <w:rsid w:val="007472B2"/>
    <w:rsid w:val="00751860"/>
    <w:rsid w:val="00751E38"/>
    <w:rsid w:val="00751F45"/>
    <w:rsid w:val="00753032"/>
    <w:rsid w:val="00753C39"/>
    <w:rsid w:val="00754766"/>
    <w:rsid w:val="007561F1"/>
    <w:rsid w:val="00756A89"/>
    <w:rsid w:val="00757477"/>
    <w:rsid w:val="00761BFF"/>
    <w:rsid w:val="00762A0D"/>
    <w:rsid w:val="00762AAD"/>
    <w:rsid w:val="007633F5"/>
    <w:rsid w:val="0076344D"/>
    <w:rsid w:val="00763992"/>
    <w:rsid w:val="00765E49"/>
    <w:rsid w:val="00765F9A"/>
    <w:rsid w:val="007672DB"/>
    <w:rsid w:val="00767E9D"/>
    <w:rsid w:val="00770214"/>
    <w:rsid w:val="00770575"/>
    <w:rsid w:val="00770ABC"/>
    <w:rsid w:val="00770C38"/>
    <w:rsid w:val="00770E22"/>
    <w:rsid w:val="0077116C"/>
    <w:rsid w:val="00771232"/>
    <w:rsid w:val="00772A0C"/>
    <w:rsid w:val="007737C6"/>
    <w:rsid w:val="00773CAA"/>
    <w:rsid w:val="00776A14"/>
    <w:rsid w:val="00776D19"/>
    <w:rsid w:val="00776FE2"/>
    <w:rsid w:val="0077783D"/>
    <w:rsid w:val="00777B4C"/>
    <w:rsid w:val="0078098E"/>
    <w:rsid w:val="007833BB"/>
    <w:rsid w:val="00783968"/>
    <w:rsid w:val="0078559A"/>
    <w:rsid w:val="00786121"/>
    <w:rsid w:val="0078746C"/>
    <w:rsid w:val="00792228"/>
    <w:rsid w:val="0079269E"/>
    <w:rsid w:val="00792CCB"/>
    <w:rsid w:val="007949D3"/>
    <w:rsid w:val="00796B8A"/>
    <w:rsid w:val="0079745A"/>
    <w:rsid w:val="00797908"/>
    <w:rsid w:val="007A0DA8"/>
    <w:rsid w:val="007A119C"/>
    <w:rsid w:val="007A16D4"/>
    <w:rsid w:val="007A1F50"/>
    <w:rsid w:val="007A41BC"/>
    <w:rsid w:val="007A71C1"/>
    <w:rsid w:val="007A74E2"/>
    <w:rsid w:val="007A7EDD"/>
    <w:rsid w:val="007B64E8"/>
    <w:rsid w:val="007B7E04"/>
    <w:rsid w:val="007C14C4"/>
    <w:rsid w:val="007C253E"/>
    <w:rsid w:val="007C2715"/>
    <w:rsid w:val="007C2C26"/>
    <w:rsid w:val="007C53FB"/>
    <w:rsid w:val="007C5DF4"/>
    <w:rsid w:val="007C68E9"/>
    <w:rsid w:val="007D1DFB"/>
    <w:rsid w:val="007D28A9"/>
    <w:rsid w:val="007D2FE8"/>
    <w:rsid w:val="007D3179"/>
    <w:rsid w:val="007D60B7"/>
    <w:rsid w:val="007D67FD"/>
    <w:rsid w:val="007D7339"/>
    <w:rsid w:val="007D7EE1"/>
    <w:rsid w:val="007E1247"/>
    <w:rsid w:val="007E1593"/>
    <w:rsid w:val="007E1D04"/>
    <w:rsid w:val="007E2B59"/>
    <w:rsid w:val="007E3339"/>
    <w:rsid w:val="007E394C"/>
    <w:rsid w:val="007E45D8"/>
    <w:rsid w:val="007E5238"/>
    <w:rsid w:val="007E5A42"/>
    <w:rsid w:val="007E73F5"/>
    <w:rsid w:val="007E7DA2"/>
    <w:rsid w:val="007F2DB8"/>
    <w:rsid w:val="007F30E1"/>
    <w:rsid w:val="007F3299"/>
    <w:rsid w:val="007F3ADA"/>
    <w:rsid w:val="007F585B"/>
    <w:rsid w:val="007F6ADA"/>
    <w:rsid w:val="00802A9B"/>
    <w:rsid w:val="008032EF"/>
    <w:rsid w:val="00803403"/>
    <w:rsid w:val="008035D4"/>
    <w:rsid w:val="00805896"/>
    <w:rsid w:val="008072B6"/>
    <w:rsid w:val="00810EAE"/>
    <w:rsid w:val="0081120C"/>
    <w:rsid w:val="00811517"/>
    <w:rsid w:val="008119FD"/>
    <w:rsid w:val="0081217E"/>
    <w:rsid w:val="00813A49"/>
    <w:rsid w:val="008148C3"/>
    <w:rsid w:val="00815D8B"/>
    <w:rsid w:val="008165B0"/>
    <w:rsid w:val="00817561"/>
    <w:rsid w:val="00820817"/>
    <w:rsid w:val="00820CCF"/>
    <w:rsid w:val="00822591"/>
    <w:rsid w:val="008226A7"/>
    <w:rsid w:val="00822811"/>
    <w:rsid w:val="00823087"/>
    <w:rsid w:val="00823CC1"/>
    <w:rsid w:val="0082460B"/>
    <w:rsid w:val="0082603C"/>
    <w:rsid w:val="0082644A"/>
    <w:rsid w:val="00827715"/>
    <w:rsid w:val="00830056"/>
    <w:rsid w:val="0083052A"/>
    <w:rsid w:val="00834A1D"/>
    <w:rsid w:val="00834FE0"/>
    <w:rsid w:val="008350C4"/>
    <w:rsid w:val="0083693F"/>
    <w:rsid w:val="0084200F"/>
    <w:rsid w:val="00842E74"/>
    <w:rsid w:val="0084316F"/>
    <w:rsid w:val="008440EC"/>
    <w:rsid w:val="008467DC"/>
    <w:rsid w:val="00846CDA"/>
    <w:rsid w:val="00847856"/>
    <w:rsid w:val="008500B0"/>
    <w:rsid w:val="0085080E"/>
    <w:rsid w:val="0085271F"/>
    <w:rsid w:val="00853073"/>
    <w:rsid w:val="00853D17"/>
    <w:rsid w:val="00855D33"/>
    <w:rsid w:val="00855EF5"/>
    <w:rsid w:val="00855FB2"/>
    <w:rsid w:val="008562A1"/>
    <w:rsid w:val="008605CF"/>
    <w:rsid w:val="008647C3"/>
    <w:rsid w:val="008714C5"/>
    <w:rsid w:val="0087340F"/>
    <w:rsid w:val="00873441"/>
    <w:rsid w:val="00874D13"/>
    <w:rsid w:val="00877531"/>
    <w:rsid w:val="0088093D"/>
    <w:rsid w:val="00880B0E"/>
    <w:rsid w:val="00881121"/>
    <w:rsid w:val="00882FF9"/>
    <w:rsid w:val="00883BF5"/>
    <w:rsid w:val="00884B9C"/>
    <w:rsid w:val="00884F73"/>
    <w:rsid w:val="00885CD6"/>
    <w:rsid w:val="008865C8"/>
    <w:rsid w:val="0089031F"/>
    <w:rsid w:val="00890881"/>
    <w:rsid w:val="008910AB"/>
    <w:rsid w:val="0089262A"/>
    <w:rsid w:val="008A1EB9"/>
    <w:rsid w:val="008A41BC"/>
    <w:rsid w:val="008A7244"/>
    <w:rsid w:val="008B0A09"/>
    <w:rsid w:val="008B0F78"/>
    <w:rsid w:val="008B10FE"/>
    <w:rsid w:val="008B122F"/>
    <w:rsid w:val="008B152F"/>
    <w:rsid w:val="008B2F16"/>
    <w:rsid w:val="008B7425"/>
    <w:rsid w:val="008B752E"/>
    <w:rsid w:val="008B7CC9"/>
    <w:rsid w:val="008C1C68"/>
    <w:rsid w:val="008C1ED4"/>
    <w:rsid w:val="008C22F9"/>
    <w:rsid w:val="008C2A18"/>
    <w:rsid w:val="008C2EFA"/>
    <w:rsid w:val="008C3C7E"/>
    <w:rsid w:val="008C3EA7"/>
    <w:rsid w:val="008C4567"/>
    <w:rsid w:val="008C465C"/>
    <w:rsid w:val="008C49CE"/>
    <w:rsid w:val="008D08F6"/>
    <w:rsid w:val="008D18E3"/>
    <w:rsid w:val="008D1E95"/>
    <w:rsid w:val="008D27C0"/>
    <w:rsid w:val="008D2FD8"/>
    <w:rsid w:val="008D4778"/>
    <w:rsid w:val="008D478A"/>
    <w:rsid w:val="008D7385"/>
    <w:rsid w:val="008E0FDD"/>
    <w:rsid w:val="008E1518"/>
    <w:rsid w:val="008E18E5"/>
    <w:rsid w:val="008E1B28"/>
    <w:rsid w:val="008E1BCA"/>
    <w:rsid w:val="008E632C"/>
    <w:rsid w:val="008E6BE9"/>
    <w:rsid w:val="008E6F16"/>
    <w:rsid w:val="008E78F6"/>
    <w:rsid w:val="008E7E5B"/>
    <w:rsid w:val="008F4ABF"/>
    <w:rsid w:val="008F5344"/>
    <w:rsid w:val="0090080C"/>
    <w:rsid w:val="009018EA"/>
    <w:rsid w:val="0090241B"/>
    <w:rsid w:val="009037B0"/>
    <w:rsid w:val="0090478D"/>
    <w:rsid w:val="00907565"/>
    <w:rsid w:val="00910121"/>
    <w:rsid w:val="00910908"/>
    <w:rsid w:val="00913160"/>
    <w:rsid w:val="009139B5"/>
    <w:rsid w:val="00913E19"/>
    <w:rsid w:val="009146E3"/>
    <w:rsid w:val="00914A9F"/>
    <w:rsid w:val="00914C1B"/>
    <w:rsid w:val="009172C4"/>
    <w:rsid w:val="00917FE2"/>
    <w:rsid w:val="00920A21"/>
    <w:rsid w:val="00920B42"/>
    <w:rsid w:val="00920B7F"/>
    <w:rsid w:val="00921730"/>
    <w:rsid w:val="00922323"/>
    <w:rsid w:val="009224B5"/>
    <w:rsid w:val="009231AD"/>
    <w:rsid w:val="009277A1"/>
    <w:rsid w:val="00927BE2"/>
    <w:rsid w:val="00930CD1"/>
    <w:rsid w:val="00930D54"/>
    <w:rsid w:val="009331F5"/>
    <w:rsid w:val="009346D8"/>
    <w:rsid w:val="00934767"/>
    <w:rsid w:val="0093589A"/>
    <w:rsid w:val="00936956"/>
    <w:rsid w:val="00936E3D"/>
    <w:rsid w:val="0093799C"/>
    <w:rsid w:val="00937A3A"/>
    <w:rsid w:val="00940EAA"/>
    <w:rsid w:val="009414A1"/>
    <w:rsid w:val="0094233D"/>
    <w:rsid w:val="0094268A"/>
    <w:rsid w:val="00942765"/>
    <w:rsid w:val="009445BF"/>
    <w:rsid w:val="00944742"/>
    <w:rsid w:val="0094479C"/>
    <w:rsid w:val="00946124"/>
    <w:rsid w:val="00946D81"/>
    <w:rsid w:val="00946F86"/>
    <w:rsid w:val="0095081D"/>
    <w:rsid w:val="00950E47"/>
    <w:rsid w:val="00954282"/>
    <w:rsid w:val="009545BA"/>
    <w:rsid w:val="00956C12"/>
    <w:rsid w:val="00956E06"/>
    <w:rsid w:val="0095705B"/>
    <w:rsid w:val="009577EB"/>
    <w:rsid w:val="009617FC"/>
    <w:rsid w:val="00962528"/>
    <w:rsid w:val="00963580"/>
    <w:rsid w:val="00963B79"/>
    <w:rsid w:val="00965E63"/>
    <w:rsid w:val="00967C06"/>
    <w:rsid w:val="0097134F"/>
    <w:rsid w:val="00973252"/>
    <w:rsid w:val="009736B8"/>
    <w:rsid w:val="00973C67"/>
    <w:rsid w:val="00973F3A"/>
    <w:rsid w:val="009746A4"/>
    <w:rsid w:val="009748D7"/>
    <w:rsid w:val="00974DC4"/>
    <w:rsid w:val="00974EA8"/>
    <w:rsid w:val="009756F0"/>
    <w:rsid w:val="00981290"/>
    <w:rsid w:val="009855CF"/>
    <w:rsid w:val="009859F9"/>
    <w:rsid w:val="0098612E"/>
    <w:rsid w:val="00986E11"/>
    <w:rsid w:val="009876FA"/>
    <w:rsid w:val="009925CC"/>
    <w:rsid w:val="00992B2B"/>
    <w:rsid w:val="00993039"/>
    <w:rsid w:val="009942F9"/>
    <w:rsid w:val="00996467"/>
    <w:rsid w:val="00996C42"/>
    <w:rsid w:val="009976C9"/>
    <w:rsid w:val="009A2586"/>
    <w:rsid w:val="009A2A50"/>
    <w:rsid w:val="009A4CA5"/>
    <w:rsid w:val="009A7692"/>
    <w:rsid w:val="009B26A8"/>
    <w:rsid w:val="009B2B2F"/>
    <w:rsid w:val="009B457B"/>
    <w:rsid w:val="009B4E88"/>
    <w:rsid w:val="009B5F71"/>
    <w:rsid w:val="009B69D3"/>
    <w:rsid w:val="009B6A05"/>
    <w:rsid w:val="009B7061"/>
    <w:rsid w:val="009C070C"/>
    <w:rsid w:val="009C0DD0"/>
    <w:rsid w:val="009C0F31"/>
    <w:rsid w:val="009C209C"/>
    <w:rsid w:val="009C33C8"/>
    <w:rsid w:val="009C3538"/>
    <w:rsid w:val="009C46DD"/>
    <w:rsid w:val="009C4B88"/>
    <w:rsid w:val="009C6A9E"/>
    <w:rsid w:val="009D0E7A"/>
    <w:rsid w:val="009D2AED"/>
    <w:rsid w:val="009D3030"/>
    <w:rsid w:val="009D32EB"/>
    <w:rsid w:val="009D378F"/>
    <w:rsid w:val="009D46DE"/>
    <w:rsid w:val="009D59D6"/>
    <w:rsid w:val="009D6515"/>
    <w:rsid w:val="009D65AF"/>
    <w:rsid w:val="009E0083"/>
    <w:rsid w:val="009E03C8"/>
    <w:rsid w:val="009E06D6"/>
    <w:rsid w:val="009E12AF"/>
    <w:rsid w:val="009E17F8"/>
    <w:rsid w:val="009E1E01"/>
    <w:rsid w:val="009E3723"/>
    <w:rsid w:val="009E477C"/>
    <w:rsid w:val="009E53B7"/>
    <w:rsid w:val="009E63C6"/>
    <w:rsid w:val="009E7FE8"/>
    <w:rsid w:val="009F00BA"/>
    <w:rsid w:val="009F0844"/>
    <w:rsid w:val="009F1335"/>
    <w:rsid w:val="009F3430"/>
    <w:rsid w:val="009F37C2"/>
    <w:rsid w:val="009F46CE"/>
    <w:rsid w:val="009F5E84"/>
    <w:rsid w:val="009F658D"/>
    <w:rsid w:val="009F7FCF"/>
    <w:rsid w:val="00A032FE"/>
    <w:rsid w:val="00A03BDA"/>
    <w:rsid w:val="00A045C1"/>
    <w:rsid w:val="00A04797"/>
    <w:rsid w:val="00A0542F"/>
    <w:rsid w:val="00A05CA7"/>
    <w:rsid w:val="00A077A6"/>
    <w:rsid w:val="00A16CB3"/>
    <w:rsid w:val="00A17173"/>
    <w:rsid w:val="00A21D22"/>
    <w:rsid w:val="00A236D1"/>
    <w:rsid w:val="00A23A7D"/>
    <w:rsid w:val="00A23B53"/>
    <w:rsid w:val="00A2587B"/>
    <w:rsid w:val="00A25F4A"/>
    <w:rsid w:val="00A27766"/>
    <w:rsid w:val="00A302F5"/>
    <w:rsid w:val="00A31397"/>
    <w:rsid w:val="00A319AE"/>
    <w:rsid w:val="00A31D57"/>
    <w:rsid w:val="00A32198"/>
    <w:rsid w:val="00A33708"/>
    <w:rsid w:val="00A353D7"/>
    <w:rsid w:val="00A35830"/>
    <w:rsid w:val="00A37286"/>
    <w:rsid w:val="00A41026"/>
    <w:rsid w:val="00A41375"/>
    <w:rsid w:val="00A420B8"/>
    <w:rsid w:val="00A431A4"/>
    <w:rsid w:val="00A45D75"/>
    <w:rsid w:val="00A50B95"/>
    <w:rsid w:val="00A51293"/>
    <w:rsid w:val="00A53125"/>
    <w:rsid w:val="00A5345D"/>
    <w:rsid w:val="00A534D0"/>
    <w:rsid w:val="00A56033"/>
    <w:rsid w:val="00A5604A"/>
    <w:rsid w:val="00A6053F"/>
    <w:rsid w:val="00A60E1F"/>
    <w:rsid w:val="00A60E7A"/>
    <w:rsid w:val="00A613E5"/>
    <w:rsid w:val="00A62154"/>
    <w:rsid w:val="00A62EAD"/>
    <w:rsid w:val="00A62F66"/>
    <w:rsid w:val="00A63392"/>
    <w:rsid w:val="00A643EA"/>
    <w:rsid w:val="00A64934"/>
    <w:rsid w:val="00A65AEE"/>
    <w:rsid w:val="00A67EEE"/>
    <w:rsid w:val="00A703CF"/>
    <w:rsid w:val="00A72C08"/>
    <w:rsid w:val="00A77A21"/>
    <w:rsid w:val="00A80188"/>
    <w:rsid w:val="00A8084F"/>
    <w:rsid w:val="00A80EEB"/>
    <w:rsid w:val="00A81984"/>
    <w:rsid w:val="00A821CD"/>
    <w:rsid w:val="00A827D0"/>
    <w:rsid w:val="00A827F2"/>
    <w:rsid w:val="00A82BBE"/>
    <w:rsid w:val="00A83A89"/>
    <w:rsid w:val="00A857A5"/>
    <w:rsid w:val="00A8598D"/>
    <w:rsid w:val="00A85E1B"/>
    <w:rsid w:val="00A862C4"/>
    <w:rsid w:val="00A8644E"/>
    <w:rsid w:val="00A86D80"/>
    <w:rsid w:val="00A8792D"/>
    <w:rsid w:val="00A87E5C"/>
    <w:rsid w:val="00A901B5"/>
    <w:rsid w:val="00A90A14"/>
    <w:rsid w:val="00A91ADC"/>
    <w:rsid w:val="00A94C9B"/>
    <w:rsid w:val="00A97167"/>
    <w:rsid w:val="00A9723C"/>
    <w:rsid w:val="00AA148D"/>
    <w:rsid w:val="00AA3C3B"/>
    <w:rsid w:val="00AA47AA"/>
    <w:rsid w:val="00AA4F2B"/>
    <w:rsid w:val="00AA5603"/>
    <w:rsid w:val="00AB0616"/>
    <w:rsid w:val="00AB0621"/>
    <w:rsid w:val="00AB1E08"/>
    <w:rsid w:val="00AB3136"/>
    <w:rsid w:val="00AB354B"/>
    <w:rsid w:val="00AB3F2E"/>
    <w:rsid w:val="00AB4249"/>
    <w:rsid w:val="00AB42C5"/>
    <w:rsid w:val="00AB49A0"/>
    <w:rsid w:val="00AB7101"/>
    <w:rsid w:val="00AB7832"/>
    <w:rsid w:val="00AC2CC0"/>
    <w:rsid w:val="00AC4AF9"/>
    <w:rsid w:val="00AC59F2"/>
    <w:rsid w:val="00AC61F5"/>
    <w:rsid w:val="00AC69DE"/>
    <w:rsid w:val="00AC70E3"/>
    <w:rsid w:val="00AD0F51"/>
    <w:rsid w:val="00AD2664"/>
    <w:rsid w:val="00AD2DF1"/>
    <w:rsid w:val="00AD3D77"/>
    <w:rsid w:val="00AD6B24"/>
    <w:rsid w:val="00AD71DC"/>
    <w:rsid w:val="00AD7DF6"/>
    <w:rsid w:val="00AE00CC"/>
    <w:rsid w:val="00AE00E8"/>
    <w:rsid w:val="00AE1005"/>
    <w:rsid w:val="00AE1794"/>
    <w:rsid w:val="00AE5D27"/>
    <w:rsid w:val="00AE5F15"/>
    <w:rsid w:val="00AE7330"/>
    <w:rsid w:val="00AE7EA8"/>
    <w:rsid w:val="00AF1518"/>
    <w:rsid w:val="00AF1BC7"/>
    <w:rsid w:val="00AF26F8"/>
    <w:rsid w:val="00AF2F8C"/>
    <w:rsid w:val="00AF3232"/>
    <w:rsid w:val="00AF3561"/>
    <w:rsid w:val="00AF70A0"/>
    <w:rsid w:val="00AF71E5"/>
    <w:rsid w:val="00B008A6"/>
    <w:rsid w:val="00B00A24"/>
    <w:rsid w:val="00B02BC9"/>
    <w:rsid w:val="00B04618"/>
    <w:rsid w:val="00B05337"/>
    <w:rsid w:val="00B05348"/>
    <w:rsid w:val="00B053FB"/>
    <w:rsid w:val="00B061A6"/>
    <w:rsid w:val="00B06CDC"/>
    <w:rsid w:val="00B076AB"/>
    <w:rsid w:val="00B07B72"/>
    <w:rsid w:val="00B07BD2"/>
    <w:rsid w:val="00B13011"/>
    <w:rsid w:val="00B149E3"/>
    <w:rsid w:val="00B15C13"/>
    <w:rsid w:val="00B1678D"/>
    <w:rsid w:val="00B17761"/>
    <w:rsid w:val="00B2042E"/>
    <w:rsid w:val="00B23F61"/>
    <w:rsid w:val="00B2603B"/>
    <w:rsid w:val="00B34E44"/>
    <w:rsid w:val="00B354D7"/>
    <w:rsid w:val="00B360BA"/>
    <w:rsid w:val="00B36A7C"/>
    <w:rsid w:val="00B36AA8"/>
    <w:rsid w:val="00B37B4C"/>
    <w:rsid w:val="00B37E84"/>
    <w:rsid w:val="00B40AA9"/>
    <w:rsid w:val="00B41D65"/>
    <w:rsid w:val="00B43EAC"/>
    <w:rsid w:val="00B46321"/>
    <w:rsid w:val="00B4722F"/>
    <w:rsid w:val="00B51029"/>
    <w:rsid w:val="00B529C5"/>
    <w:rsid w:val="00B52B83"/>
    <w:rsid w:val="00B56058"/>
    <w:rsid w:val="00B62EB8"/>
    <w:rsid w:val="00B631D0"/>
    <w:rsid w:val="00B63BDD"/>
    <w:rsid w:val="00B64153"/>
    <w:rsid w:val="00B651B6"/>
    <w:rsid w:val="00B666DB"/>
    <w:rsid w:val="00B66BAC"/>
    <w:rsid w:val="00B7087F"/>
    <w:rsid w:val="00B70AC2"/>
    <w:rsid w:val="00B71A73"/>
    <w:rsid w:val="00B72D63"/>
    <w:rsid w:val="00B73A6F"/>
    <w:rsid w:val="00B742AC"/>
    <w:rsid w:val="00B745AD"/>
    <w:rsid w:val="00B74BE8"/>
    <w:rsid w:val="00B74DD1"/>
    <w:rsid w:val="00B751AE"/>
    <w:rsid w:val="00B75858"/>
    <w:rsid w:val="00B7648C"/>
    <w:rsid w:val="00B768CB"/>
    <w:rsid w:val="00B76B6F"/>
    <w:rsid w:val="00B77E9C"/>
    <w:rsid w:val="00B80062"/>
    <w:rsid w:val="00B8009D"/>
    <w:rsid w:val="00B81A9D"/>
    <w:rsid w:val="00B8214E"/>
    <w:rsid w:val="00B82883"/>
    <w:rsid w:val="00B8512A"/>
    <w:rsid w:val="00B870AD"/>
    <w:rsid w:val="00B90498"/>
    <w:rsid w:val="00B92ECC"/>
    <w:rsid w:val="00B93707"/>
    <w:rsid w:val="00B939E6"/>
    <w:rsid w:val="00B956BE"/>
    <w:rsid w:val="00BA0D8A"/>
    <w:rsid w:val="00BA4140"/>
    <w:rsid w:val="00BA6229"/>
    <w:rsid w:val="00BA78EB"/>
    <w:rsid w:val="00BB0653"/>
    <w:rsid w:val="00BB0C9B"/>
    <w:rsid w:val="00BB112B"/>
    <w:rsid w:val="00BB1AAF"/>
    <w:rsid w:val="00BB2C09"/>
    <w:rsid w:val="00BB2CA1"/>
    <w:rsid w:val="00BB3225"/>
    <w:rsid w:val="00BB658C"/>
    <w:rsid w:val="00BB7A7B"/>
    <w:rsid w:val="00BC0CB4"/>
    <w:rsid w:val="00BC4D3E"/>
    <w:rsid w:val="00BC555D"/>
    <w:rsid w:val="00BC5654"/>
    <w:rsid w:val="00BC5FDA"/>
    <w:rsid w:val="00BC69B9"/>
    <w:rsid w:val="00BD061A"/>
    <w:rsid w:val="00BD6354"/>
    <w:rsid w:val="00BD71D0"/>
    <w:rsid w:val="00BD7D79"/>
    <w:rsid w:val="00BE1160"/>
    <w:rsid w:val="00BE1AE4"/>
    <w:rsid w:val="00BE2635"/>
    <w:rsid w:val="00BE4AF5"/>
    <w:rsid w:val="00BE5C1C"/>
    <w:rsid w:val="00BE7849"/>
    <w:rsid w:val="00BE7B40"/>
    <w:rsid w:val="00BF19EE"/>
    <w:rsid w:val="00BF32B0"/>
    <w:rsid w:val="00BF4DF2"/>
    <w:rsid w:val="00BF671B"/>
    <w:rsid w:val="00BF6D37"/>
    <w:rsid w:val="00C0162E"/>
    <w:rsid w:val="00C0346C"/>
    <w:rsid w:val="00C039AD"/>
    <w:rsid w:val="00C04E8E"/>
    <w:rsid w:val="00C10850"/>
    <w:rsid w:val="00C10D34"/>
    <w:rsid w:val="00C13BA5"/>
    <w:rsid w:val="00C154E2"/>
    <w:rsid w:val="00C20B51"/>
    <w:rsid w:val="00C20CE9"/>
    <w:rsid w:val="00C20D75"/>
    <w:rsid w:val="00C22235"/>
    <w:rsid w:val="00C222A1"/>
    <w:rsid w:val="00C25976"/>
    <w:rsid w:val="00C268F0"/>
    <w:rsid w:val="00C273A0"/>
    <w:rsid w:val="00C305A0"/>
    <w:rsid w:val="00C308A5"/>
    <w:rsid w:val="00C313FA"/>
    <w:rsid w:val="00C3147A"/>
    <w:rsid w:val="00C3255E"/>
    <w:rsid w:val="00C32E45"/>
    <w:rsid w:val="00C32F16"/>
    <w:rsid w:val="00C34635"/>
    <w:rsid w:val="00C34745"/>
    <w:rsid w:val="00C36F4F"/>
    <w:rsid w:val="00C37E14"/>
    <w:rsid w:val="00C40708"/>
    <w:rsid w:val="00C40A51"/>
    <w:rsid w:val="00C41795"/>
    <w:rsid w:val="00C425D4"/>
    <w:rsid w:val="00C440C1"/>
    <w:rsid w:val="00C44EA0"/>
    <w:rsid w:val="00C451A3"/>
    <w:rsid w:val="00C451F1"/>
    <w:rsid w:val="00C460C2"/>
    <w:rsid w:val="00C469AA"/>
    <w:rsid w:val="00C47E7D"/>
    <w:rsid w:val="00C521C1"/>
    <w:rsid w:val="00C5229C"/>
    <w:rsid w:val="00C523DA"/>
    <w:rsid w:val="00C52B20"/>
    <w:rsid w:val="00C5520A"/>
    <w:rsid w:val="00C56028"/>
    <w:rsid w:val="00C56665"/>
    <w:rsid w:val="00C572D3"/>
    <w:rsid w:val="00C6117A"/>
    <w:rsid w:val="00C61733"/>
    <w:rsid w:val="00C62349"/>
    <w:rsid w:val="00C631AE"/>
    <w:rsid w:val="00C633DB"/>
    <w:rsid w:val="00C63FB4"/>
    <w:rsid w:val="00C6516D"/>
    <w:rsid w:val="00C65A00"/>
    <w:rsid w:val="00C67345"/>
    <w:rsid w:val="00C711E2"/>
    <w:rsid w:val="00C74C0F"/>
    <w:rsid w:val="00C770CD"/>
    <w:rsid w:val="00C80263"/>
    <w:rsid w:val="00C81FCD"/>
    <w:rsid w:val="00C82883"/>
    <w:rsid w:val="00C834B4"/>
    <w:rsid w:val="00C84741"/>
    <w:rsid w:val="00C85A1F"/>
    <w:rsid w:val="00C86544"/>
    <w:rsid w:val="00C876B0"/>
    <w:rsid w:val="00C87BA3"/>
    <w:rsid w:val="00C9018E"/>
    <w:rsid w:val="00C91393"/>
    <w:rsid w:val="00C92860"/>
    <w:rsid w:val="00C92B8D"/>
    <w:rsid w:val="00C93529"/>
    <w:rsid w:val="00C94176"/>
    <w:rsid w:val="00C94212"/>
    <w:rsid w:val="00C95DDA"/>
    <w:rsid w:val="00C95F6B"/>
    <w:rsid w:val="00C96FDB"/>
    <w:rsid w:val="00C972F7"/>
    <w:rsid w:val="00CA00DA"/>
    <w:rsid w:val="00CA1629"/>
    <w:rsid w:val="00CA1AE9"/>
    <w:rsid w:val="00CA26A7"/>
    <w:rsid w:val="00CA2B0E"/>
    <w:rsid w:val="00CA49EA"/>
    <w:rsid w:val="00CA4A5A"/>
    <w:rsid w:val="00CA592E"/>
    <w:rsid w:val="00CA737D"/>
    <w:rsid w:val="00CB06DC"/>
    <w:rsid w:val="00CB0BB8"/>
    <w:rsid w:val="00CB1650"/>
    <w:rsid w:val="00CB1DE0"/>
    <w:rsid w:val="00CB2109"/>
    <w:rsid w:val="00CB2382"/>
    <w:rsid w:val="00CB3134"/>
    <w:rsid w:val="00CB49A4"/>
    <w:rsid w:val="00CB65EC"/>
    <w:rsid w:val="00CB683C"/>
    <w:rsid w:val="00CC1C7D"/>
    <w:rsid w:val="00CC2230"/>
    <w:rsid w:val="00CC421A"/>
    <w:rsid w:val="00CC4DE8"/>
    <w:rsid w:val="00CC7748"/>
    <w:rsid w:val="00CD0CD6"/>
    <w:rsid w:val="00CD63A0"/>
    <w:rsid w:val="00CD79A2"/>
    <w:rsid w:val="00CD7D48"/>
    <w:rsid w:val="00CE2EDD"/>
    <w:rsid w:val="00CE4531"/>
    <w:rsid w:val="00CE550D"/>
    <w:rsid w:val="00CE6C62"/>
    <w:rsid w:val="00CF262B"/>
    <w:rsid w:val="00CF2716"/>
    <w:rsid w:val="00CF3D6B"/>
    <w:rsid w:val="00CF7551"/>
    <w:rsid w:val="00D000C7"/>
    <w:rsid w:val="00D003AA"/>
    <w:rsid w:val="00D00E2D"/>
    <w:rsid w:val="00D00E46"/>
    <w:rsid w:val="00D01544"/>
    <w:rsid w:val="00D04764"/>
    <w:rsid w:val="00D06386"/>
    <w:rsid w:val="00D107FF"/>
    <w:rsid w:val="00D11BD0"/>
    <w:rsid w:val="00D1539E"/>
    <w:rsid w:val="00D158A9"/>
    <w:rsid w:val="00D172A6"/>
    <w:rsid w:val="00D20C7A"/>
    <w:rsid w:val="00D22C0F"/>
    <w:rsid w:val="00D2551C"/>
    <w:rsid w:val="00D2596B"/>
    <w:rsid w:val="00D25F90"/>
    <w:rsid w:val="00D3039C"/>
    <w:rsid w:val="00D31186"/>
    <w:rsid w:val="00D333A7"/>
    <w:rsid w:val="00D35872"/>
    <w:rsid w:val="00D36B3D"/>
    <w:rsid w:val="00D40E58"/>
    <w:rsid w:val="00D41DFB"/>
    <w:rsid w:val="00D43C61"/>
    <w:rsid w:val="00D43E29"/>
    <w:rsid w:val="00D4733C"/>
    <w:rsid w:val="00D508C2"/>
    <w:rsid w:val="00D5094E"/>
    <w:rsid w:val="00D51427"/>
    <w:rsid w:val="00D51E27"/>
    <w:rsid w:val="00D520B2"/>
    <w:rsid w:val="00D522D8"/>
    <w:rsid w:val="00D53105"/>
    <w:rsid w:val="00D5391D"/>
    <w:rsid w:val="00D5528C"/>
    <w:rsid w:val="00D56521"/>
    <w:rsid w:val="00D577D2"/>
    <w:rsid w:val="00D611B7"/>
    <w:rsid w:val="00D616F9"/>
    <w:rsid w:val="00D61F7A"/>
    <w:rsid w:val="00D63723"/>
    <w:rsid w:val="00D651AF"/>
    <w:rsid w:val="00D66C28"/>
    <w:rsid w:val="00D6714A"/>
    <w:rsid w:val="00D7207F"/>
    <w:rsid w:val="00D72CDB"/>
    <w:rsid w:val="00D72FDC"/>
    <w:rsid w:val="00D74645"/>
    <w:rsid w:val="00D77C8D"/>
    <w:rsid w:val="00D81C2C"/>
    <w:rsid w:val="00D82CE5"/>
    <w:rsid w:val="00D83C2A"/>
    <w:rsid w:val="00D84042"/>
    <w:rsid w:val="00D851AB"/>
    <w:rsid w:val="00D85420"/>
    <w:rsid w:val="00D854DC"/>
    <w:rsid w:val="00D86006"/>
    <w:rsid w:val="00D927B2"/>
    <w:rsid w:val="00D92DC0"/>
    <w:rsid w:val="00D93A20"/>
    <w:rsid w:val="00D93B35"/>
    <w:rsid w:val="00D949E5"/>
    <w:rsid w:val="00D94EEA"/>
    <w:rsid w:val="00D951D4"/>
    <w:rsid w:val="00D9525E"/>
    <w:rsid w:val="00D953D7"/>
    <w:rsid w:val="00D97F00"/>
    <w:rsid w:val="00DA1A6F"/>
    <w:rsid w:val="00DA1CC8"/>
    <w:rsid w:val="00DA36D4"/>
    <w:rsid w:val="00DA42D6"/>
    <w:rsid w:val="00DA5A95"/>
    <w:rsid w:val="00DA60CB"/>
    <w:rsid w:val="00DA662A"/>
    <w:rsid w:val="00DA72BA"/>
    <w:rsid w:val="00DB084D"/>
    <w:rsid w:val="00DB2EDB"/>
    <w:rsid w:val="00DB4C76"/>
    <w:rsid w:val="00DB4EA8"/>
    <w:rsid w:val="00DB5B61"/>
    <w:rsid w:val="00DB6071"/>
    <w:rsid w:val="00DC1B91"/>
    <w:rsid w:val="00DC2AF9"/>
    <w:rsid w:val="00DC2B26"/>
    <w:rsid w:val="00DC44DA"/>
    <w:rsid w:val="00DC49D1"/>
    <w:rsid w:val="00DC79F0"/>
    <w:rsid w:val="00DD093C"/>
    <w:rsid w:val="00DD0BCE"/>
    <w:rsid w:val="00DD10B1"/>
    <w:rsid w:val="00DD1600"/>
    <w:rsid w:val="00DD170B"/>
    <w:rsid w:val="00DD2F2C"/>
    <w:rsid w:val="00DD5D01"/>
    <w:rsid w:val="00DD6071"/>
    <w:rsid w:val="00DD6BE2"/>
    <w:rsid w:val="00DE08C6"/>
    <w:rsid w:val="00DE0C43"/>
    <w:rsid w:val="00DE1906"/>
    <w:rsid w:val="00DE1E0B"/>
    <w:rsid w:val="00DF19DF"/>
    <w:rsid w:val="00DF3488"/>
    <w:rsid w:val="00DF40BC"/>
    <w:rsid w:val="00DF4286"/>
    <w:rsid w:val="00E002F1"/>
    <w:rsid w:val="00E014CA"/>
    <w:rsid w:val="00E01D75"/>
    <w:rsid w:val="00E0354C"/>
    <w:rsid w:val="00E04B86"/>
    <w:rsid w:val="00E04FAB"/>
    <w:rsid w:val="00E05D51"/>
    <w:rsid w:val="00E07208"/>
    <w:rsid w:val="00E10172"/>
    <w:rsid w:val="00E11AD5"/>
    <w:rsid w:val="00E11BDD"/>
    <w:rsid w:val="00E13E97"/>
    <w:rsid w:val="00E15138"/>
    <w:rsid w:val="00E15491"/>
    <w:rsid w:val="00E15AE4"/>
    <w:rsid w:val="00E15F8A"/>
    <w:rsid w:val="00E16B30"/>
    <w:rsid w:val="00E202DC"/>
    <w:rsid w:val="00E20A7C"/>
    <w:rsid w:val="00E21AA6"/>
    <w:rsid w:val="00E21E54"/>
    <w:rsid w:val="00E21F1B"/>
    <w:rsid w:val="00E25C2D"/>
    <w:rsid w:val="00E26CA2"/>
    <w:rsid w:val="00E27A43"/>
    <w:rsid w:val="00E27DFF"/>
    <w:rsid w:val="00E27E10"/>
    <w:rsid w:val="00E30CA2"/>
    <w:rsid w:val="00E3121F"/>
    <w:rsid w:val="00E3312A"/>
    <w:rsid w:val="00E348CF"/>
    <w:rsid w:val="00E34AA8"/>
    <w:rsid w:val="00E35FFB"/>
    <w:rsid w:val="00E360DE"/>
    <w:rsid w:val="00E37797"/>
    <w:rsid w:val="00E37C1C"/>
    <w:rsid w:val="00E42BDB"/>
    <w:rsid w:val="00E43A13"/>
    <w:rsid w:val="00E43FB9"/>
    <w:rsid w:val="00E44DD9"/>
    <w:rsid w:val="00E4585A"/>
    <w:rsid w:val="00E45F7E"/>
    <w:rsid w:val="00E465F4"/>
    <w:rsid w:val="00E47E8C"/>
    <w:rsid w:val="00E50832"/>
    <w:rsid w:val="00E5175C"/>
    <w:rsid w:val="00E526B2"/>
    <w:rsid w:val="00E536EF"/>
    <w:rsid w:val="00E54CB2"/>
    <w:rsid w:val="00E55141"/>
    <w:rsid w:val="00E56607"/>
    <w:rsid w:val="00E56AA0"/>
    <w:rsid w:val="00E5735C"/>
    <w:rsid w:val="00E60089"/>
    <w:rsid w:val="00E60D39"/>
    <w:rsid w:val="00E60F34"/>
    <w:rsid w:val="00E61C7D"/>
    <w:rsid w:val="00E6213C"/>
    <w:rsid w:val="00E63577"/>
    <w:rsid w:val="00E64A81"/>
    <w:rsid w:val="00E66E69"/>
    <w:rsid w:val="00E66F50"/>
    <w:rsid w:val="00E716D0"/>
    <w:rsid w:val="00E71C98"/>
    <w:rsid w:val="00E7264E"/>
    <w:rsid w:val="00E728B4"/>
    <w:rsid w:val="00E73D56"/>
    <w:rsid w:val="00E749E1"/>
    <w:rsid w:val="00E75150"/>
    <w:rsid w:val="00E753E8"/>
    <w:rsid w:val="00E766E9"/>
    <w:rsid w:val="00E76729"/>
    <w:rsid w:val="00E767FA"/>
    <w:rsid w:val="00E80718"/>
    <w:rsid w:val="00E80D8C"/>
    <w:rsid w:val="00E839E3"/>
    <w:rsid w:val="00E84F5E"/>
    <w:rsid w:val="00E85166"/>
    <w:rsid w:val="00E863D5"/>
    <w:rsid w:val="00E871C6"/>
    <w:rsid w:val="00E877EE"/>
    <w:rsid w:val="00E901F8"/>
    <w:rsid w:val="00E90245"/>
    <w:rsid w:val="00E92A95"/>
    <w:rsid w:val="00E93AAD"/>
    <w:rsid w:val="00E9420A"/>
    <w:rsid w:val="00E95FB3"/>
    <w:rsid w:val="00E968A8"/>
    <w:rsid w:val="00E970AE"/>
    <w:rsid w:val="00E9722E"/>
    <w:rsid w:val="00E978AD"/>
    <w:rsid w:val="00E97BD1"/>
    <w:rsid w:val="00EA1A7C"/>
    <w:rsid w:val="00EA1E71"/>
    <w:rsid w:val="00EA49BB"/>
    <w:rsid w:val="00EA4A80"/>
    <w:rsid w:val="00EA6133"/>
    <w:rsid w:val="00EA613D"/>
    <w:rsid w:val="00EA6D99"/>
    <w:rsid w:val="00EA6E08"/>
    <w:rsid w:val="00EA7759"/>
    <w:rsid w:val="00EA7CFE"/>
    <w:rsid w:val="00EB0FD3"/>
    <w:rsid w:val="00EB17ED"/>
    <w:rsid w:val="00EB33DF"/>
    <w:rsid w:val="00EB365F"/>
    <w:rsid w:val="00EB3B01"/>
    <w:rsid w:val="00EB4465"/>
    <w:rsid w:val="00EB5861"/>
    <w:rsid w:val="00EB6E19"/>
    <w:rsid w:val="00EB7284"/>
    <w:rsid w:val="00EB737E"/>
    <w:rsid w:val="00EB7856"/>
    <w:rsid w:val="00EB7AC8"/>
    <w:rsid w:val="00EB7F02"/>
    <w:rsid w:val="00EC042C"/>
    <w:rsid w:val="00EC0636"/>
    <w:rsid w:val="00EC0F22"/>
    <w:rsid w:val="00EC190D"/>
    <w:rsid w:val="00EC2FE8"/>
    <w:rsid w:val="00EC354D"/>
    <w:rsid w:val="00EC3EC2"/>
    <w:rsid w:val="00EC5949"/>
    <w:rsid w:val="00EC6892"/>
    <w:rsid w:val="00EC76F9"/>
    <w:rsid w:val="00ED18CF"/>
    <w:rsid w:val="00ED24C1"/>
    <w:rsid w:val="00ED2B9E"/>
    <w:rsid w:val="00ED3752"/>
    <w:rsid w:val="00ED421D"/>
    <w:rsid w:val="00ED449C"/>
    <w:rsid w:val="00ED45BE"/>
    <w:rsid w:val="00ED4BD7"/>
    <w:rsid w:val="00EE176D"/>
    <w:rsid w:val="00EE34A3"/>
    <w:rsid w:val="00EE39CC"/>
    <w:rsid w:val="00EE42BD"/>
    <w:rsid w:val="00EE45BA"/>
    <w:rsid w:val="00EE4F72"/>
    <w:rsid w:val="00EF0993"/>
    <w:rsid w:val="00EF0AE5"/>
    <w:rsid w:val="00EF2BC0"/>
    <w:rsid w:val="00EF36AF"/>
    <w:rsid w:val="00EF36CD"/>
    <w:rsid w:val="00EF6805"/>
    <w:rsid w:val="00EF77B8"/>
    <w:rsid w:val="00EF7F55"/>
    <w:rsid w:val="00F00D6B"/>
    <w:rsid w:val="00F0106D"/>
    <w:rsid w:val="00F03E4C"/>
    <w:rsid w:val="00F04E7F"/>
    <w:rsid w:val="00F04FFF"/>
    <w:rsid w:val="00F0613E"/>
    <w:rsid w:val="00F10CB1"/>
    <w:rsid w:val="00F11BAA"/>
    <w:rsid w:val="00F12073"/>
    <w:rsid w:val="00F13798"/>
    <w:rsid w:val="00F142FF"/>
    <w:rsid w:val="00F167D9"/>
    <w:rsid w:val="00F21CE5"/>
    <w:rsid w:val="00F22194"/>
    <w:rsid w:val="00F22E53"/>
    <w:rsid w:val="00F24CCB"/>
    <w:rsid w:val="00F253ED"/>
    <w:rsid w:val="00F301E8"/>
    <w:rsid w:val="00F3177A"/>
    <w:rsid w:val="00F32557"/>
    <w:rsid w:val="00F326D1"/>
    <w:rsid w:val="00F3517B"/>
    <w:rsid w:val="00F37BAB"/>
    <w:rsid w:val="00F42CE6"/>
    <w:rsid w:val="00F42D8D"/>
    <w:rsid w:val="00F42DE5"/>
    <w:rsid w:val="00F430BA"/>
    <w:rsid w:val="00F4377D"/>
    <w:rsid w:val="00F43BA9"/>
    <w:rsid w:val="00F43DE5"/>
    <w:rsid w:val="00F445A3"/>
    <w:rsid w:val="00F4472E"/>
    <w:rsid w:val="00F44D44"/>
    <w:rsid w:val="00F45152"/>
    <w:rsid w:val="00F45C01"/>
    <w:rsid w:val="00F45D5C"/>
    <w:rsid w:val="00F461C9"/>
    <w:rsid w:val="00F46455"/>
    <w:rsid w:val="00F468FD"/>
    <w:rsid w:val="00F5309E"/>
    <w:rsid w:val="00F53D91"/>
    <w:rsid w:val="00F5422B"/>
    <w:rsid w:val="00F5491C"/>
    <w:rsid w:val="00F57D96"/>
    <w:rsid w:val="00F60AA5"/>
    <w:rsid w:val="00F61198"/>
    <w:rsid w:val="00F6150C"/>
    <w:rsid w:val="00F618DF"/>
    <w:rsid w:val="00F61BF5"/>
    <w:rsid w:val="00F61F41"/>
    <w:rsid w:val="00F620FC"/>
    <w:rsid w:val="00F64018"/>
    <w:rsid w:val="00F64207"/>
    <w:rsid w:val="00F642D5"/>
    <w:rsid w:val="00F65435"/>
    <w:rsid w:val="00F65CD6"/>
    <w:rsid w:val="00F65F36"/>
    <w:rsid w:val="00F706A6"/>
    <w:rsid w:val="00F7269A"/>
    <w:rsid w:val="00F72A2B"/>
    <w:rsid w:val="00F72AB6"/>
    <w:rsid w:val="00F73242"/>
    <w:rsid w:val="00F767FC"/>
    <w:rsid w:val="00F76BB7"/>
    <w:rsid w:val="00F76BE2"/>
    <w:rsid w:val="00F77D92"/>
    <w:rsid w:val="00F806D3"/>
    <w:rsid w:val="00F82E8E"/>
    <w:rsid w:val="00F83AAF"/>
    <w:rsid w:val="00F8466B"/>
    <w:rsid w:val="00F853F4"/>
    <w:rsid w:val="00F861A8"/>
    <w:rsid w:val="00F86718"/>
    <w:rsid w:val="00F90076"/>
    <w:rsid w:val="00F92018"/>
    <w:rsid w:val="00F9268A"/>
    <w:rsid w:val="00F926C4"/>
    <w:rsid w:val="00F93089"/>
    <w:rsid w:val="00F93A9D"/>
    <w:rsid w:val="00F94D51"/>
    <w:rsid w:val="00F95D73"/>
    <w:rsid w:val="00FA054D"/>
    <w:rsid w:val="00FA140E"/>
    <w:rsid w:val="00FA2E6C"/>
    <w:rsid w:val="00FA2E98"/>
    <w:rsid w:val="00FA3641"/>
    <w:rsid w:val="00FA3C3D"/>
    <w:rsid w:val="00FA3FE1"/>
    <w:rsid w:val="00FA400E"/>
    <w:rsid w:val="00FA4095"/>
    <w:rsid w:val="00FA434E"/>
    <w:rsid w:val="00FA4457"/>
    <w:rsid w:val="00FA4CD2"/>
    <w:rsid w:val="00FA54BD"/>
    <w:rsid w:val="00FA68C2"/>
    <w:rsid w:val="00FB0238"/>
    <w:rsid w:val="00FB0BB1"/>
    <w:rsid w:val="00FB2514"/>
    <w:rsid w:val="00FB2886"/>
    <w:rsid w:val="00FB3A81"/>
    <w:rsid w:val="00FB459F"/>
    <w:rsid w:val="00FB562E"/>
    <w:rsid w:val="00FB5B90"/>
    <w:rsid w:val="00FB69C6"/>
    <w:rsid w:val="00FB6B29"/>
    <w:rsid w:val="00FB7106"/>
    <w:rsid w:val="00FB7265"/>
    <w:rsid w:val="00FC0C1F"/>
    <w:rsid w:val="00FC20FE"/>
    <w:rsid w:val="00FC27A7"/>
    <w:rsid w:val="00FC32F3"/>
    <w:rsid w:val="00FC3B13"/>
    <w:rsid w:val="00FC427A"/>
    <w:rsid w:val="00FC4365"/>
    <w:rsid w:val="00FC4456"/>
    <w:rsid w:val="00FC5A6E"/>
    <w:rsid w:val="00FC5BE1"/>
    <w:rsid w:val="00FC5D77"/>
    <w:rsid w:val="00FC7791"/>
    <w:rsid w:val="00FC7C28"/>
    <w:rsid w:val="00FD0B82"/>
    <w:rsid w:val="00FD1828"/>
    <w:rsid w:val="00FD1C4C"/>
    <w:rsid w:val="00FD1F73"/>
    <w:rsid w:val="00FD47B4"/>
    <w:rsid w:val="00FD593D"/>
    <w:rsid w:val="00FD6C8B"/>
    <w:rsid w:val="00FD6F2C"/>
    <w:rsid w:val="00FD7B89"/>
    <w:rsid w:val="00FE0CF2"/>
    <w:rsid w:val="00FE1C6F"/>
    <w:rsid w:val="00FE2630"/>
    <w:rsid w:val="00FE334E"/>
    <w:rsid w:val="00FE440C"/>
    <w:rsid w:val="00FE502F"/>
    <w:rsid w:val="00FE5913"/>
    <w:rsid w:val="00FF0B16"/>
    <w:rsid w:val="00FF1B16"/>
    <w:rsid w:val="00FF271F"/>
    <w:rsid w:val="00FF2C8F"/>
    <w:rsid w:val="00FF322E"/>
    <w:rsid w:val="00FF353F"/>
    <w:rsid w:val="00FF357D"/>
    <w:rsid w:val="00FF3ABD"/>
    <w:rsid w:val="00FF477B"/>
    <w:rsid w:val="00FF4C66"/>
    <w:rsid w:val="00FF51DD"/>
    <w:rsid w:val="00FF536F"/>
    <w:rsid w:val="1284FD95"/>
    <w:rsid w:val="17660E83"/>
    <w:rsid w:val="1AEE4CE8"/>
    <w:rsid w:val="20D0B12A"/>
    <w:rsid w:val="35CE2188"/>
    <w:rsid w:val="35ECA6BA"/>
    <w:rsid w:val="38139BEA"/>
    <w:rsid w:val="38C9533D"/>
    <w:rsid w:val="3A65239E"/>
    <w:rsid w:val="3EC4406E"/>
    <w:rsid w:val="442795BE"/>
    <w:rsid w:val="455DE9E4"/>
    <w:rsid w:val="46DE63B3"/>
    <w:rsid w:val="50006D10"/>
    <w:rsid w:val="516CE2F7"/>
    <w:rsid w:val="62A6D21A"/>
    <w:rsid w:val="6908882A"/>
    <w:rsid w:val="6ADD9D05"/>
    <w:rsid w:val="6B833554"/>
    <w:rsid w:val="6CC9A273"/>
    <w:rsid w:val="74BF9076"/>
    <w:rsid w:val="759FC5A6"/>
    <w:rsid w:val="79D6C998"/>
    <w:rsid w:val="7B6304D8"/>
    <w:rsid w:val="7EDA4321"/>
    <w:rsid w:val="7F278A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5B10AF"/>
  <w15:chartTrackingRefBased/>
  <w15:docId w15:val="{4FF7D336-0A5B-4F6C-90C4-C03A6C58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39A3"/>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uiPriority w:val="99"/>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link w:val="BodyTextIndentChar"/>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uiPriority w:val="3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FollowedHyperlink">
    <w:name w:val="FollowedHyperlink"/>
    <w:rsid w:val="00263D8B"/>
    <w:rPr>
      <w:color w:val="800080"/>
      <w:u w:val="single"/>
    </w:rPr>
  </w:style>
  <w:style w:type="character" w:styleId="CommentReference">
    <w:name w:val="annotation reference"/>
    <w:uiPriority w:val="99"/>
    <w:rsid w:val="00B66BAC"/>
    <w:rPr>
      <w:sz w:val="16"/>
      <w:szCs w:val="16"/>
    </w:rPr>
  </w:style>
  <w:style w:type="paragraph" w:styleId="CommentText">
    <w:name w:val="annotation text"/>
    <w:basedOn w:val="Normal"/>
    <w:link w:val="CommentTextChar"/>
    <w:uiPriority w:val="99"/>
    <w:rsid w:val="00B66BAC"/>
    <w:rPr>
      <w:sz w:val="20"/>
      <w:szCs w:val="20"/>
    </w:rPr>
  </w:style>
  <w:style w:type="character" w:customStyle="1" w:styleId="CommentTextChar">
    <w:name w:val="Comment Text Char"/>
    <w:basedOn w:val="DefaultParagraphFont"/>
    <w:link w:val="CommentText"/>
    <w:uiPriority w:val="99"/>
    <w:rsid w:val="00B66BAC"/>
  </w:style>
  <w:style w:type="paragraph" w:styleId="CommentSubject">
    <w:name w:val="annotation subject"/>
    <w:basedOn w:val="CommentText"/>
    <w:next w:val="CommentText"/>
    <w:link w:val="CommentSubjectChar"/>
    <w:rsid w:val="00B66BAC"/>
    <w:rPr>
      <w:b/>
      <w:bCs/>
    </w:rPr>
  </w:style>
  <w:style w:type="character" w:customStyle="1" w:styleId="CommentSubjectChar">
    <w:name w:val="Comment Subject Char"/>
    <w:link w:val="CommentSubject"/>
    <w:rsid w:val="00B66BAC"/>
    <w:rPr>
      <w:b/>
      <w:bCs/>
    </w:rPr>
  </w:style>
  <w:style w:type="paragraph" w:styleId="BodyTextIndent3">
    <w:name w:val="Body Text Indent 3"/>
    <w:basedOn w:val="Normal"/>
    <w:link w:val="BodyTextIndent3Char"/>
    <w:rsid w:val="00F72AB6"/>
    <w:pPr>
      <w:spacing w:after="120"/>
      <w:ind w:left="360"/>
    </w:pPr>
    <w:rPr>
      <w:sz w:val="16"/>
      <w:szCs w:val="16"/>
    </w:rPr>
  </w:style>
  <w:style w:type="character" w:customStyle="1" w:styleId="BodyTextIndent3Char">
    <w:name w:val="Body Text Indent 3 Char"/>
    <w:link w:val="BodyTextIndent3"/>
    <w:rsid w:val="00F72AB6"/>
    <w:rPr>
      <w:sz w:val="16"/>
      <w:szCs w:val="16"/>
    </w:rPr>
  </w:style>
  <w:style w:type="paragraph" w:customStyle="1" w:styleId="bullet1">
    <w:name w:val="bullet1"/>
    <w:basedOn w:val="Normal"/>
    <w:rsid w:val="00F72AB6"/>
    <w:pPr>
      <w:numPr>
        <w:numId w:val="2"/>
      </w:numPr>
    </w:pPr>
    <w:rPr>
      <w:rFonts w:ascii="Arial" w:hAnsi="Arial" w:cs="Arial"/>
      <w:sz w:val="22"/>
      <w:szCs w:val="22"/>
    </w:rPr>
  </w:style>
  <w:style w:type="paragraph" w:styleId="BodyTextIndent2">
    <w:name w:val="Body Text Indent 2"/>
    <w:basedOn w:val="Normal"/>
    <w:link w:val="BodyTextIndent2Char"/>
    <w:rsid w:val="00CF2716"/>
    <w:pPr>
      <w:spacing w:after="120" w:line="480" w:lineRule="auto"/>
      <w:ind w:left="360"/>
    </w:pPr>
  </w:style>
  <w:style w:type="character" w:customStyle="1" w:styleId="BodyTextIndent2Char">
    <w:name w:val="Body Text Indent 2 Char"/>
    <w:link w:val="BodyTextIndent2"/>
    <w:rsid w:val="00CF2716"/>
    <w:rPr>
      <w:sz w:val="24"/>
      <w:szCs w:val="24"/>
    </w:rPr>
  </w:style>
  <w:style w:type="paragraph" w:styleId="ListParagraph">
    <w:name w:val="List Paragraph"/>
    <w:basedOn w:val="Normal"/>
    <w:uiPriority w:val="34"/>
    <w:qFormat/>
    <w:rsid w:val="00186BF9"/>
    <w:pPr>
      <w:spacing w:after="200" w:line="276" w:lineRule="auto"/>
      <w:ind w:left="720"/>
    </w:pPr>
    <w:rPr>
      <w:rFonts w:ascii="Calibri" w:eastAsia="Calibri" w:hAnsi="Calibri" w:cs="Calibri"/>
      <w:sz w:val="22"/>
      <w:szCs w:val="22"/>
    </w:rPr>
  </w:style>
  <w:style w:type="paragraph" w:styleId="NoSpacing">
    <w:name w:val="No Spacing"/>
    <w:uiPriority w:val="1"/>
    <w:qFormat/>
    <w:rsid w:val="003C6D6A"/>
    <w:rPr>
      <w:rFonts w:ascii="Calibri" w:eastAsia="Calibri" w:hAnsi="Calibri"/>
      <w:sz w:val="22"/>
      <w:szCs w:val="22"/>
      <w:lang w:eastAsia="en-US"/>
    </w:rPr>
  </w:style>
  <w:style w:type="paragraph" w:styleId="Revision">
    <w:name w:val="Revision"/>
    <w:hidden/>
    <w:uiPriority w:val="99"/>
    <w:semiHidden/>
    <w:rsid w:val="004E479C"/>
    <w:rPr>
      <w:sz w:val="24"/>
      <w:szCs w:val="24"/>
      <w:lang w:eastAsia="en-US"/>
    </w:rPr>
  </w:style>
  <w:style w:type="character" w:customStyle="1" w:styleId="BodyTextIndentChar">
    <w:name w:val="Body Text Indent Char"/>
    <w:link w:val="BodyTextIndent"/>
    <w:rsid w:val="00F82E8E"/>
    <w:rPr>
      <w:sz w:val="26"/>
      <w:shd w:val="pct25" w:color="auto" w:fill="FFFFFF"/>
    </w:rPr>
  </w:style>
  <w:style w:type="character" w:styleId="UnresolvedMention">
    <w:name w:val="Unresolved Mention"/>
    <w:uiPriority w:val="99"/>
    <w:semiHidden/>
    <w:unhideWhenUsed/>
    <w:rsid w:val="00634498"/>
    <w:rPr>
      <w:color w:val="605E5C"/>
      <w:shd w:val="clear" w:color="auto" w:fill="E1DFDD"/>
    </w:rPr>
  </w:style>
  <w:style w:type="character" w:customStyle="1" w:styleId="FooterChar">
    <w:name w:val="Footer Char"/>
    <w:link w:val="Footer"/>
    <w:uiPriority w:val="99"/>
    <w:rsid w:val="00DA60CB"/>
    <w:rPr>
      <w:sz w:val="24"/>
      <w:szCs w:val="24"/>
    </w:rPr>
  </w:style>
  <w:style w:type="character" w:customStyle="1" w:styleId="element-citation">
    <w:name w:val="element-citation"/>
    <w:rsid w:val="00770575"/>
  </w:style>
  <w:style w:type="character" w:customStyle="1" w:styleId="ref-journal">
    <w:name w:val="ref-journal"/>
    <w:rsid w:val="00770575"/>
  </w:style>
  <w:style w:type="character" w:customStyle="1" w:styleId="ref-vol">
    <w:name w:val="ref-vol"/>
    <w:rsid w:val="00770575"/>
  </w:style>
  <w:style w:type="character" w:customStyle="1" w:styleId="nowrap">
    <w:name w:val="nowrap"/>
    <w:rsid w:val="00C0346C"/>
  </w:style>
  <w:style w:type="paragraph" w:customStyle="1" w:styleId="TableParagraph">
    <w:name w:val="Table Paragraph"/>
    <w:basedOn w:val="Normal"/>
    <w:uiPriority w:val="1"/>
    <w:qFormat/>
    <w:rsid w:val="00677172"/>
    <w:pPr>
      <w:widowControl w:val="0"/>
      <w:autoSpaceDE w:val="0"/>
      <w:autoSpaceDN w:val="0"/>
      <w:ind w:left="107"/>
    </w:pPr>
    <w:rPr>
      <w:rFonts w:ascii="Calibri" w:eastAsia="Calibri" w:hAnsi="Calibri" w:cs="Calibri"/>
      <w:sz w:val="22"/>
      <w:szCs w:val="22"/>
    </w:rPr>
  </w:style>
  <w:style w:type="paragraph" w:styleId="FootnoteText">
    <w:name w:val="footnote text"/>
    <w:basedOn w:val="Normal"/>
    <w:link w:val="FootnoteTextChar"/>
    <w:uiPriority w:val="99"/>
    <w:rsid w:val="004A7D4B"/>
    <w:rPr>
      <w:sz w:val="20"/>
      <w:szCs w:val="20"/>
    </w:rPr>
  </w:style>
  <w:style w:type="character" w:customStyle="1" w:styleId="FootnoteTextChar">
    <w:name w:val="Footnote Text Char"/>
    <w:basedOn w:val="DefaultParagraphFont"/>
    <w:link w:val="FootnoteText"/>
    <w:uiPriority w:val="99"/>
    <w:rsid w:val="004A7D4B"/>
  </w:style>
  <w:style w:type="character" w:styleId="FootnoteReference">
    <w:name w:val="footnote reference"/>
    <w:uiPriority w:val="99"/>
    <w:rsid w:val="004A7D4B"/>
    <w:rPr>
      <w:vertAlign w:val="superscript"/>
    </w:rPr>
  </w:style>
  <w:style w:type="paragraph" w:styleId="EndnoteText">
    <w:name w:val="endnote text"/>
    <w:basedOn w:val="Normal"/>
    <w:link w:val="EndnoteTextChar"/>
    <w:rsid w:val="00BD061A"/>
    <w:rPr>
      <w:sz w:val="20"/>
      <w:szCs w:val="20"/>
    </w:rPr>
  </w:style>
  <w:style w:type="character" w:customStyle="1" w:styleId="EndnoteTextChar">
    <w:name w:val="Endnote Text Char"/>
    <w:basedOn w:val="DefaultParagraphFont"/>
    <w:link w:val="EndnoteText"/>
    <w:rsid w:val="00BD061A"/>
  </w:style>
  <w:style w:type="character" w:styleId="EndnoteReference">
    <w:name w:val="endnote reference"/>
    <w:rsid w:val="00BD061A"/>
    <w:rPr>
      <w:vertAlign w:val="superscript"/>
    </w:rPr>
  </w:style>
  <w:style w:type="character" w:customStyle="1" w:styleId="normaltextrun">
    <w:name w:val="normaltextrun"/>
    <w:basedOn w:val="DefaultParagraphFont"/>
    <w:rsid w:val="00631BFB"/>
  </w:style>
  <w:style w:type="table" w:customStyle="1" w:styleId="TableGrid1">
    <w:name w:val="Table Grid1"/>
    <w:basedOn w:val="TableNormal"/>
    <w:next w:val="TableGrid"/>
    <w:uiPriority w:val="39"/>
    <w:rsid w:val="00CE550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550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sites/default/files/documents/public-assistance-program-delivery-guide-operational-draft.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 Id="rId3" Type="http://schemas.openxmlformats.org/officeDocument/2006/relationships/hyperlink" Target="https://www.gsa.gov/travel/plan-book/transportation-airfare-pov-etc/privately-owned-vehicle-pov-mileage-reimbursement-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Props1.xml><?xml version="1.0" encoding="utf-8"?>
<ds:datastoreItem xmlns:ds="http://schemas.openxmlformats.org/officeDocument/2006/customXml" ds:itemID="{7B6CB5B5-6DBE-4395-BFC6-B307F40C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DBB86-BABB-4905-86D6-405FF0C9A9B4}">
  <ds:schemaRefs>
    <ds:schemaRef ds:uri="http://schemas.microsoft.com/sharepoint/v3/contenttype/forms"/>
  </ds:schemaRefs>
</ds:datastoreItem>
</file>

<file path=customXml/itemProps3.xml><?xml version="1.0" encoding="utf-8"?>
<ds:datastoreItem xmlns:ds="http://schemas.openxmlformats.org/officeDocument/2006/customXml" ds:itemID="{39CA1F82-CDEE-4924-BE19-B85922F84FF4}">
  <ds:schemaRefs>
    <ds:schemaRef ds:uri="http://schemas.openxmlformats.org/officeDocument/2006/bibliography"/>
  </ds:schemaRefs>
</ds:datastoreItem>
</file>

<file path=customXml/itemProps4.xml><?xml version="1.0" encoding="utf-8"?>
<ds:datastoreItem xmlns:ds="http://schemas.openxmlformats.org/officeDocument/2006/customXml" ds:itemID="{5B648519-4E30-4F50-ABFF-0FE59B5659C2}">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9415</Words>
  <Characters>56283</Characters>
  <Application>Microsoft Office Word</Application>
  <DocSecurity>0</DocSecurity>
  <Lines>469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 Julia K. EOP/OMB (Intern)</dc:creator>
  <cp:lastModifiedBy>Crosby, Kevin</cp:lastModifiedBy>
  <cp:revision>4</cp:revision>
  <dcterms:created xsi:type="dcterms:W3CDTF">2023-03-01T19:59:00Z</dcterms:created>
  <dcterms:modified xsi:type="dcterms:W3CDTF">2023-10-16T20:06:00Z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