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6D3F" w:rsidRPr="00EE335C" w:rsidP="002A265C" w14:paraId="7A4CC2D0" w14:textId="77777777">
      <w:pPr>
        <w:spacing w:after="0" w:line="240" w:lineRule="auto"/>
        <w:jc w:val="center"/>
        <w:rPr>
          <w:rFonts w:ascii="Times New Roman" w:eastAsia="Times New Roman" w:hAnsi="Times New Roman" w:cs="Times New Roman"/>
          <w:sz w:val="26"/>
          <w:szCs w:val="24"/>
        </w:rPr>
      </w:pPr>
      <w:r w:rsidRPr="00EE335C">
        <w:rPr>
          <w:rFonts w:ascii="Times New Roman" w:eastAsia="Times New Roman" w:hAnsi="Times New Roman" w:cs="Times New Roman"/>
          <w:sz w:val="26"/>
          <w:szCs w:val="24"/>
        </w:rPr>
        <w:t>UNITED STATES OF AMERICA</w:t>
      </w:r>
    </w:p>
    <w:p w:rsidR="00466D3F" w:rsidRPr="00EE335C" w:rsidP="002A265C" w14:paraId="6DDAAE14" w14:textId="56C987F4">
      <w:pPr>
        <w:tabs>
          <w:tab w:val="center" w:pos="4680"/>
          <w:tab w:val="right" w:pos="9360"/>
        </w:tabs>
        <w:spacing w:after="0" w:line="240" w:lineRule="auto"/>
        <w:jc w:val="center"/>
        <w:rPr>
          <w:rFonts w:ascii="Times New Roman" w:eastAsia="Times New Roman" w:hAnsi="Times New Roman" w:cs="Times New Roman"/>
          <w:sz w:val="26"/>
          <w:szCs w:val="24"/>
        </w:rPr>
      </w:pPr>
      <w:r w:rsidRPr="00EE335C">
        <w:rPr>
          <w:rFonts w:ascii="Times New Roman" w:eastAsia="Times New Roman" w:hAnsi="Times New Roman" w:cs="Times New Roman"/>
          <w:sz w:val="26"/>
          <w:szCs w:val="24"/>
        </w:rPr>
        <w:t>FEDERAL ENERGY REGULATORY COMMISSION</w:t>
      </w:r>
    </w:p>
    <w:p w:rsidR="00466D3F" w:rsidRPr="00EE335C" w:rsidP="002A265C" w14:paraId="795533AB" w14:textId="77777777">
      <w:pPr>
        <w:spacing w:after="0" w:line="240" w:lineRule="auto"/>
        <w:jc w:val="center"/>
        <w:rPr>
          <w:rFonts w:ascii="Times New Roman" w:eastAsia="Times New Roman" w:hAnsi="Times New Roman" w:cs="Times New Roman"/>
          <w:sz w:val="26"/>
          <w:szCs w:val="24"/>
        </w:rPr>
      </w:pPr>
    </w:p>
    <w:p w:rsidR="00466D3F" w:rsidRPr="00EE335C" w:rsidP="002A265C" w14:paraId="54AC1172" w14:textId="1C54FCD3">
      <w:pPr>
        <w:spacing w:after="0" w:line="240" w:lineRule="auto"/>
        <w:jc w:val="center"/>
        <w:rPr>
          <w:rFonts w:ascii="Times New Roman" w:eastAsia="Times New Roman" w:hAnsi="Times New Roman" w:cs="Times New Roman"/>
          <w:sz w:val="26"/>
          <w:szCs w:val="24"/>
        </w:rPr>
      </w:pPr>
      <w:r w:rsidRPr="00EE335C">
        <w:rPr>
          <w:rFonts w:ascii="Times New Roman" w:eastAsia="Times New Roman" w:hAnsi="Times New Roman" w:cs="Times New Roman"/>
          <w:sz w:val="26"/>
          <w:szCs w:val="24"/>
        </w:rPr>
        <w:t xml:space="preserve">[Docket No. </w:t>
      </w:r>
      <w:r w:rsidRPr="00EE335C" w:rsidR="00AD6EEE">
        <w:rPr>
          <w:rFonts w:ascii="Times New Roman" w:eastAsia="Times New Roman" w:hAnsi="Times New Roman" w:cs="Times New Roman"/>
          <w:sz w:val="26"/>
          <w:szCs w:val="24"/>
        </w:rPr>
        <w:t>IC23-14-000</w:t>
      </w:r>
      <w:r w:rsidRPr="00EE335C">
        <w:rPr>
          <w:rFonts w:ascii="Times New Roman" w:eastAsia="Times New Roman" w:hAnsi="Times New Roman" w:cs="Times New Roman"/>
          <w:sz w:val="26"/>
          <w:szCs w:val="24"/>
        </w:rPr>
        <w:t>]</w:t>
      </w:r>
    </w:p>
    <w:p w:rsidR="00466D3F" w:rsidRPr="00EE335C" w:rsidP="002A265C" w14:paraId="682612A9" w14:textId="77777777">
      <w:pPr>
        <w:spacing w:after="0" w:line="240" w:lineRule="auto"/>
        <w:jc w:val="center"/>
        <w:rPr>
          <w:rFonts w:ascii="Times New Roman" w:eastAsia="Times New Roman" w:hAnsi="Times New Roman" w:cs="Times New Roman"/>
          <w:sz w:val="26"/>
          <w:szCs w:val="24"/>
        </w:rPr>
      </w:pPr>
    </w:p>
    <w:p w:rsidR="00466D3F" w:rsidRPr="00EE335C" w:rsidP="002A265C" w14:paraId="17A6CBD7" w14:textId="175F9662">
      <w:pPr>
        <w:spacing w:after="0" w:line="240" w:lineRule="auto"/>
        <w:jc w:val="center"/>
        <w:rPr>
          <w:rFonts w:ascii="Times New Roman" w:eastAsia="Times New Roman" w:hAnsi="Times New Roman" w:cs="Times New Roman"/>
          <w:sz w:val="26"/>
          <w:szCs w:val="24"/>
        </w:rPr>
      </w:pPr>
      <w:r w:rsidRPr="00EE335C">
        <w:rPr>
          <w:rFonts w:ascii="Times New Roman" w:eastAsia="Times New Roman" w:hAnsi="Times New Roman" w:cs="Times New Roman"/>
          <w:sz w:val="26"/>
          <w:szCs w:val="24"/>
        </w:rPr>
        <w:t>COMMISSION INFORMATION COLLECTION ACTIVIT</w:t>
      </w:r>
      <w:r w:rsidRPr="00EE335C" w:rsidR="00FF187C">
        <w:rPr>
          <w:rFonts w:ascii="Times New Roman" w:eastAsia="Times New Roman" w:hAnsi="Times New Roman" w:cs="Times New Roman"/>
          <w:sz w:val="26"/>
          <w:szCs w:val="24"/>
        </w:rPr>
        <w:t>Y</w:t>
      </w:r>
      <w:r w:rsidRPr="00EE335C">
        <w:rPr>
          <w:rFonts w:ascii="Times New Roman" w:eastAsia="Times New Roman" w:hAnsi="Times New Roman" w:cs="Times New Roman"/>
          <w:sz w:val="26"/>
          <w:szCs w:val="24"/>
        </w:rPr>
        <w:t xml:space="preserve"> (FERC-</w:t>
      </w:r>
      <w:r w:rsidRPr="00EE335C" w:rsidR="00A97A06">
        <w:rPr>
          <w:rFonts w:ascii="Times New Roman" w:eastAsia="Times New Roman" w:hAnsi="Times New Roman" w:cs="Times New Roman"/>
          <w:sz w:val="26"/>
          <w:szCs w:val="24"/>
        </w:rPr>
        <w:t>717</w:t>
      </w:r>
      <w:r w:rsidRPr="00EE335C" w:rsidR="00533798">
        <w:rPr>
          <w:rFonts w:ascii="Times New Roman" w:eastAsia="Times New Roman" w:hAnsi="Times New Roman" w:cs="Times New Roman"/>
          <w:sz w:val="26"/>
          <w:szCs w:val="24"/>
        </w:rPr>
        <w:t>)</w:t>
      </w:r>
      <w:r w:rsidRPr="00EE335C">
        <w:rPr>
          <w:rFonts w:ascii="Times New Roman" w:eastAsia="Times New Roman" w:hAnsi="Times New Roman" w:cs="Times New Roman"/>
          <w:sz w:val="26"/>
          <w:szCs w:val="24"/>
        </w:rPr>
        <w:t>;</w:t>
      </w:r>
    </w:p>
    <w:p w:rsidR="00466D3F" w:rsidRPr="00EE335C" w:rsidP="002A265C" w14:paraId="74E6C6E7" w14:textId="708D8283">
      <w:pPr>
        <w:spacing w:after="0" w:line="240" w:lineRule="auto"/>
        <w:jc w:val="center"/>
        <w:rPr>
          <w:rFonts w:ascii="Times New Roman" w:eastAsia="Times New Roman" w:hAnsi="Times New Roman" w:cs="Times New Roman"/>
          <w:i/>
          <w:iCs/>
          <w:sz w:val="26"/>
          <w:szCs w:val="24"/>
        </w:rPr>
      </w:pPr>
      <w:r w:rsidRPr="00EE335C">
        <w:rPr>
          <w:rFonts w:ascii="Times New Roman" w:eastAsia="Times New Roman" w:hAnsi="Times New Roman" w:cs="Times New Roman"/>
          <w:sz w:val="26"/>
          <w:szCs w:val="24"/>
        </w:rPr>
        <w:t>COMMENT REQUEST; EXTENSION</w:t>
      </w:r>
      <w:r w:rsidRPr="00EE335C" w:rsidR="002D3B37">
        <w:rPr>
          <w:rFonts w:ascii="Times New Roman" w:eastAsia="Times New Roman" w:hAnsi="Times New Roman" w:cs="Times New Roman"/>
          <w:sz w:val="26"/>
          <w:szCs w:val="24"/>
        </w:rPr>
        <w:t xml:space="preserve"> </w:t>
      </w:r>
    </w:p>
    <w:p w:rsidR="00466D3F" w:rsidRPr="00EE335C" w:rsidP="002A265C" w14:paraId="546976EA" w14:textId="77E6943E">
      <w:pPr>
        <w:spacing w:after="0" w:line="240" w:lineRule="auto"/>
        <w:jc w:val="center"/>
        <w:rPr>
          <w:rFonts w:ascii="Times New Roman" w:eastAsia="Times New Roman" w:hAnsi="Times New Roman" w:cs="Times New Roman"/>
          <w:sz w:val="26"/>
          <w:szCs w:val="24"/>
        </w:rPr>
      </w:pPr>
    </w:p>
    <w:p w:rsidR="00B5790B" w:rsidP="00DE1526" w14:paraId="0113A4FC" w14:textId="357F512C">
      <w:pPr>
        <w:spacing w:after="0" w:line="240" w:lineRule="auto"/>
        <w:jc w:val="center"/>
        <w:rPr>
          <w:rFonts w:ascii="Times New Roman" w:eastAsia="Times New Roman" w:hAnsi="Times New Roman" w:cs="Times New Roman"/>
          <w:sz w:val="26"/>
          <w:szCs w:val="24"/>
        </w:rPr>
      </w:pPr>
      <w:r w:rsidRPr="00DE1526">
        <w:rPr>
          <w:rFonts w:ascii="Times New Roman" w:eastAsia="Times New Roman" w:hAnsi="Times New Roman" w:cs="Times New Roman"/>
          <w:sz w:val="26"/>
          <w:szCs w:val="24"/>
        </w:rPr>
        <w:t>(October 5, 2023)</w:t>
      </w:r>
    </w:p>
    <w:p w:rsidR="00DE1526" w:rsidRPr="00DE1526" w:rsidP="00DE1526" w14:paraId="7059E3C4" w14:textId="77777777">
      <w:pPr>
        <w:spacing w:after="0" w:line="240" w:lineRule="auto"/>
        <w:rPr>
          <w:rFonts w:ascii="Times New Roman" w:eastAsia="Times New Roman" w:hAnsi="Times New Roman" w:cs="Times New Roman"/>
          <w:sz w:val="26"/>
          <w:szCs w:val="24"/>
        </w:rPr>
      </w:pPr>
    </w:p>
    <w:p w:rsidR="00466D3F" w:rsidRPr="00EE335C" w:rsidP="00466D3F" w14:paraId="3DE586F9" w14:textId="77777777">
      <w:pPr>
        <w:spacing w:after="0" w:line="240" w:lineRule="auto"/>
        <w:rPr>
          <w:rFonts w:ascii="Times New Roman" w:eastAsia="Times New Roman" w:hAnsi="Times New Roman" w:cs="Times New Roman"/>
          <w:sz w:val="26"/>
          <w:szCs w:val="24"/>
        </w:rPr>
      </w:pPr>
      <w:r w:rsidRPr="00EE335C">
        <w:rPr>
          <w:rFonts w:ascii="Times New Roman" w:eastAsia="Times New Roman" w:hAnsi="Times New Roman" w:cs="Times New Roman"/>
          <w:b/>
          <w:sz w:val="26"/>
          <w:szCs w:val="24"/>
        </w:rPr>
        <w:t>AGENCY:</w:t>
      </w:r>
      <w:r w:rsidRPr="00EE335C">
        <w:rPr>
          <w:rFonts w:ascii="Times New Roman" w:eastAsia="Times New Roman" w:hAnsi="Times New Roman" w:cs="Times New Roman"/>
          <w:sz w:val="26"/>
          <w:szCs w:val="24"/>
        </w:rPr>
        <w:t xml:space="preserve">  Federal Energy Regulatory Commission.</w:t>
      </w:r>
    </w:p>
    <w:p w:rsidR="00466D3F" w:rsidRPr="00EE335C" w:rsidP="00466D3F" w14:paraId="2977D753" w14:textId="77777777">
      <w:pPr>
        <w:spacing w:after="0" w:line="240" w:lineRule="auto"/>
        <w:rPr>
          <w:rFonts w:ascii="Times New Roman" w:eastAsia="Times New Roman" w:hAnsi="Times New Roman" w:cs="Times New Roman"/>
          <w:sz w:val="26"/>
          <w:szCs w:val="24"/>
        </w:rPr>
      </w:pPr>
    </w:p>
    <w:p w:rsidR="00466D3F" w:rsidRPr="00EE335C" w:rsidP="00466D3F" w14:paraId="758C4EF6" w14:textId="7C0F924B">
      <w:pPr>
        <w:spacing w:after="0" w:line="480" w:lineRule="auto"/>
        <w:rPr>
          <w:rFonts w:ascii="Times New Roman" w:eastAsia="Times New Roman" w:hAnsi="Times New Roman" w:cs="Times New Roman"/>
          <w:sz w:val="26"/>
          <w:szCs w:val="24"/>
        </w:rPr>
      </w:pPr>
      <w:r w:rsidRPr="00EE335C">
        <w:rPr>
          <w:rFonts w:ascii="Times New Roman" w:eastAsia="Times New Roman" w:hAnsi="Times New Roman" w:cs="Times New Roman"/>
          <w:b/>
          <w:sz w:val="26"/>
          <w:szCs w:val="24"/>
        </w:rPr>
        <w:t>ACTION:</w:t>
      </w:r>
      <w:r w:rsidRPr="00EE335C">
        <w:rPr>
          <w:rFonts w:ascii="Times New Roman" w:eastAsia="Times New Roman" w:hAnsi="Times New Roman" w:cs="Times New Roman"/>
          <w:sz w:val="26"/>
          <w:szCs w:val="24"/>
        </w:rPr>
        <w:t xml:space="preserve">  </w:t>
      </w:r>
      <w:bookmarkStart w:id="0" w:name="_Hlk68091542"/>
      <w:r w:rsidRPr="00EE335C">
        <w:rPr>
          <w:rFonts w:ascii="Times New Roman" w:eastAsia="Times New Roman" w:hAnsi="Times New Roman" w:cs="Times New Roman"/>
          <w:sz w:val="26"/>
          <w:szCs w:val="24"/>
        </w:rPr>
        <w:t xml:space="preserve">Notice of information collection </w:t>
      </w:r>
      <w:bookmarkEnd w:id="0"/>
      <w:r w:rsidRPr="00EE335C">
        <w:rPr>
          <w:rFonts w:ascii="Times New Roman" w:eastAsia="Times New Roman" w:hAnsi="Times New Roman" w:cs="Times New Roman"/>
          <w:sz w:val="26"/>
          <w:szCs w:val="24"/>
        </w:rPr>
        <w:t>and request for comments.</w:t>
      </w:r>
    </w:p>
    <w:p w:rsidR="00466D3F" w:rsidRPr="00EE335C" w:rsidP="00466D3F" w14:paraId="22BE1BF8" w14:textId="21B66866">
      <w:pPr>
        <w:spacing w:after="0" w:line="480" w:lineRule="auto"/>
        <w:rPr>
          <w:rFonts w:ascii="Times New Roman" w:eastAsia="Times New Roman" w:hAnsi="Times New Roman" w:cs="Times New Roman"/>
          <w:sz w:val="26"/>
          <w:szCs w:val="24"/>
        </w:rPr>
      </w:pPr>
      <w:r w:rsidRPr="00EE335C">
        <w:rPr>
          <w:rFonts w:ascii="Times New Roman" w:eastAsia="Times New Roman" w:hAnsi="Times New Roman" w:cs="Times New Roman"/>
          <w:b/>
          <w:sz w:val="26"/>
          <w:szCs w:val="24"/>
        </w:rPr>
        <w:t>SUMMARY:</w:t>
      </w:r>
      <w:r w:rsidRPr="00EE335C">
        <w:rPr>
          <w:rFonts w:ascii="Times New Roman" w:eastAsia="Times New Roman" w:hAnsi="Times New Roman" w:cs="Times New Roman"/>
          <w:sz w:val="26"/>
          <w:szCs w:val="24"/>
        </w:rPr>
        <w:t xml:space="preserve">  In compliance with the requirements of the Paperwork Reduction Act of 1995, the Federal Energy Regulatory Commission (Commission or FERC) is soliciting public comment on the </w:t>
      </w:r>
      <w:r w:rsidR="000306B8">
        <w:rPr>
          <w:rFonts w:ascii="Times New Roman" w:eastAsia="Times New Roman" w:hAnsi="Times New Roman" w:cs="Times New Roman"/>
          <w:sz w:val="26"/>
          <w:szCs w:val="24"/>
        </w:rPr>
        <w:t xml:space="preserve">revision of the </w:t>
      </w:r>
      <w:r w:rsidRPr="00EE335C">
        <w:rPr>
          <w:rFonts w:ascii="Times New Roman" w:eastAsia="Times New Roman" w:hAnsi="Times New Roman" w:cs="Times New Roman"/>
          <w:sz w:val="26"/>
          <w:szCs w:val="24"/>
        </w:rPr>
        <w:t>currently approved information collection, FERC</w:t>
      </w:r>
      <w:r w:rsidRPr="00EE335C" w:rsidR="009F69B3">
        <w:rPr>
          <w:rFonts w:ascii="Times New Roman" w:eastAsia="Times New Roman" w:hAnsi="Times New Roman" w:cs="Times New Roman"/>
          <w:sz w:val="26"/>
          <w:szCs w:val="24"/>
        </w:rPr>
        <w:t>-</w:t>
      </w:r>
      <w:r w:rsidRPr="00EE335C" w:rsidR="00A97A06">
        <w:rPr>
          <w:rFonts w:ascii="Times New Roman" w:eastAsia="Times New Roman" w:hAnsi="Times New Roman" w:cs="Times New Roman"/>
          <w:sz w:val="26"/>
          <w:szCs w:val="24"/>
        </w:rPr>
        <w:t>717 (</w:t>
      </w:r>
      <w:r w:rsidRPr="00EE335C" w:rsidR="00330347">
        <w:rPr>
          <w:rFonts w:ascii="Times New Roman" w:eastAsia="Times New Roman" w:hAnsi="Times New Roman" w:cs="Times New Roman"/>
          <w:sz w:val="26"/>
          <w:szCs w:val="24"/>
        </w:rPr>
        <w:t>Standards for Business Practices and Communication Protocols for Public Utilities</w:t>
      </w:r>
      <w:r w:rsidRPr="00EE335C" w:rsidR="008C05D5">
        <w:rPr>
          <w:rFonts w:ascii="Times New Roman" w:eastAsia="Times New Roman" w:hAnsi="Times New Roman" w:cs="Times New Roman"/>
          <w:sz w:val="26"/>
          <w:szCs w:val="24"/>
        </w:rPr>
        <w:t>).</w:t>
      </w:r>
    </w:p>
    <w:p w:rsidR="00466D3F" w:rsidRPr="00EE335C" w:rsidP="00466D3F" w14:paraId="7243C272" w14:textId="2508AFEA">
      <w:pPr>
        <w:spacing w:after="0" w:line="480" w:lineRule="auto"/>
        <w:rPr>
          <w:rFonts w:ascii="Times New Roman" w:eastAsia="Times New Roman" w:hAnsi="Times New Roman" w:cs="Times New Roman"/>
          <w:sz w:val="26"/>
          <w:szCs w:val="24"/>
        </w:rPr>
      </w:pPr>
      <w:r w:rsidRPr="00EE335C">
        <w:rPr>
          <w:rFonts w:ascii="Times New Roman" w:eastAsia="Times New Roman" w:hAnsi="Times New Roman" w:cs="Times New Roman"/>
          <w:b/>
          <w:sz w:val="26"/>
          <w:szCs w:val="24"/>
        </w:rPr>
        <w:t>DATES:</w:t>
      </w:r>
      <w:r w:rsidRPr="00EE335C">
        <w:rPr>
          <w:rFonts w:ascii="Times New Roman" w:eastAsia="Times New Roman" w:hAnsi="Times New Roman" w:cs="Times New Roman"/>
          <w:sz w:val="26"/>
          <w:szCs w:val="24"/>
        </w:rPr>
        <w:t xml:space="preserve">  Comments on the collection</w:t>
      </w:r>
      <w:r w:rsidRPr="00EE335C" w:rsidR="00093E00">
        <w:rPr>
          <w:rFonts w:ascii="Times New Roman" w:eastAsia="Times New Roman" w:hAnsi="Times New Roman" w:cs="Times New Roman"/>
          <w:sz w:val="26"/>
          <w:szCs w:val="24"/>
        </w:rPr>
        <w:t>s</w:t>
      </w:r>
      <w:r w:rsidRPr="00EE335C">
        <w:rPr>
          <w:rFonts w:ascii="Times New Roman" w:eastAsia="Times New Roman" w:hAnsi="Times New Roman" w:cs="Times New Roman"/>
          <w:sz w:val="26"/>
          <w:szCs w:val="24"/>
        </w:rPr>
        <w:t xml:space="preserve"> of information are due [</w:t>
      </w:r>
      <w:r w:rsidRPr="00EE335C">
        <w:rPr>
          <w:rFonts w:ascii="Times New Roman" w:eastAsia="Times New Roman" w:hAnsi="Times New Roman" w:cs="Times New Roman"/>
          <w:b/>
          <w:sz w:val="26"/>
          <w:szCs w:val="24"/>
        </w:rPr>
        <w:t xml:space="preserve">INSERT DATE </w:t>
      </w:r>
      <w:r w:rsidRPr="00EE335C" w:rsidR="00931504">
        <w:rPr>
          <w:rFonts w:ascii="Times New Roman" w:eastAsia="Times New Roman" w:hAnsi="Times New Roman" w:cs="Times New Roman"/>
          <w:b/>
          <w:sz w:val="26"/>
          <w:szCs w:val="24"/>
        </w:rPr>
        <w:t>60 DAYS AFTER DATE OF PUBLICATION IN THE FEDERAL REGISTER</w:t>
      </w:r>
      <w:r w:rsidRPr="00EE335C">
        <w:rPr>
          <w:rFonts w:ascii="Times New Roman" w:eastAsia="Times New Roman" w:hAnsi="Times New Roman" w:cs="Times New Roman"/>
          <w:sz w:val="26"/>
          <w:szCs w:val="24"/>
        </w:rPr>
        <w:t xml:space="preserve">]. </w:t>
      </w:r>
    </w:p>
    <w:p w:rsidR="00466D3F" w:rsidRPr="00EE335C" w:rsidP="00466D3F" w14:paraId="2C8788F3" w14:textId="2995CE48">
      <w:pPr>
        <w:spacing w:after="0" w:line="480" w:lineRule="auto"/>
        <w:rPr>
          <w:rFonts w:ascii="Times New Roman" w:eastAsia="Times New Roman" w:hAnsi="Times New Roman" w:cs="Times New Roman"/>
          <w:sz w:val="26"/>
          <w:szCs w:val="24"/>
        </w:rPr>
      </w:pPr>
      <w:r w:rsidRPr="00EE335C">
        <w:rPr>
          <w:rFonts w:ascii="Times New Roman" w:eastAsia="Times New Roman" w:hAnsi="Times New Roman" w:cs="Times New Roman"/>
          <w:b/>
          <w:sz w:val="26"/>
          <w:szCs w:val="24"/>
        </w:rPr>
        <w:t>ADDRESSES:</w:t>
      </w:r>
      <w:r w:rsidRPr="00EE335C">
        <w:rPr>
          <w:rFonts w:ascii="Times New Roman" w:eastAsia="Times New Roman" w:hAnsi="Times New Roman" w:cs="Times New Roman"/>
          <w:sz w:val="26"/>
          <w:szCs w:val="24"/>
        </w:rPr>
        <w:t xml:space="preserve">  </w:t>
      </w:r>
      <w:bookmarkStart w:id="1" w:name="OLE_LINK1"/>
      <w:r w:rsidRPr="00EE335C">
        <w:rPr>
          <w:rFonts w:ascii="Times New Roman" w:eastAsia="Times New Roman" w:hAnsi="Times New Roman" w:cs="Times New Roman"/>
          <w:sz w:val="26"/>
          <w:szCs w:val="24"/>
        </w:rPr>
        <w:t xml:space="preserve">You may </w:t>
      </w:r>
      <w:r w:rsidRPr="00EE335C" w:rsidR="00BF7A38">
        <w:rPr>
          <w:rFonts w:ascii="Times New Roman" w:eastAsia="Times New Roman" w:hAnsi="Times New Roman" w:cs="Times New Roman"/>
          <w:sz w:val="26"/>
          <w:szCs w:val="24"/>
        </w:rPr>
        <w:t xml:space="preserve">submit </w:t>
      </w:r>
      <w:r w:rsidRPr="00EE335C">
        <w:rPr>
          <w:rFonts w:ascii="Times New Roman" w:eastAsia="Times New Roman" w:hAnsi="Times New Roman" w:cs="Times New Roman"/>
          <w:sz w:val="26"/>
          <w:szCs w:val="24"/>
        </w:rPr>
        <w:t xml:space="preserve">your comments (identified by Docket No. </w:t>
      </w:r>
      <w:r w:rsidRPr="00EE335C" w:rsidR="00AD6EEE">
        <w:rPr>
          <w:rFonts w:ascii="Times New Roman" w:eastAsia="Times New Roman" w:hAnsi="Times New Roman" w:cs="Times New Roman"/>
          <w:sz w:val="26"/>
          <w:szCs w:val="24"/>
        </w:rPr>
        <w:t>IC</w:t>
      </w:r>
      <w:r w:rsidRPr="00EE335C" w:rsidR="00854CBF">
        <w:rPr>
          <w:rFonts w:ascii="Times New Roman" w:eastAsia="Times New Roman" w:hAnsi="Times New Roman" w:cs="Times New Roman"/>
          <w:sz w:val="26"/>
          <w:szCs w:val="24"/>
        </w:rPr>
        <w:t>23-14-000</w:t>
      </w:r>
      <w:r w:rsidRPr="00EE335C" w:rsidR="00083CA5">
        <w:rPr>
          <w:rFonts w:ascii="Times New Roman" w:eastAsia="Times New Roman" w:hAnsi="Times New Roman" w:cs="Times New Roman"/>
          <w:sz w:val="26"/>
          <w:szCs w:val="24"/>
        </w:rPr>
        <w:t>) on</w:t>
      </w:r>
      <w:r w:rsidRPr="00EE335C" w:rsidR="00624C22">
        <w:rPr>
          <w:rFonts w:ascii="Times New Roman" w:eastAsia="Times New Roman" w:hAnsi="Times New Roman" w:cs="Times New Roman"/>
          <w:sz w:val="26"/>
          <w:szCs w:val="24"/>
        </w:rPr>
        <w:t xml:space="preserve"> </w:t>
      </w:r>
      <w:r w:rsidRPr="00EE335C" w:rsidR="00E77AF2">
        <w:rPr>
          <w:rFonts w:ascii="Times New Roman" w:eastAsia="Times New Roman" w:hAnsi="Times New Roman" w:cs="Times New Roman"/>
          <w:sz w:val="26"/>
          <w:szCs w:val="24"/>
        </w:rPr>
        <w:t>FERC-</w:t>
      </w:r>
      <w:r w:rsidRPr="00EE335C" w:rsidR="00854CBF">
        <w:rPr>
          <w:rFonts w:ascii="Times New Roman" w:eastAsia="Times New Roman" w:hAnsi="Times New Roman" w:cs="Times New Roman"/>
          <w:sz w:val="26"/>
          <w:szCs w:val="24"/>
        </w:rPr>
        <w:t>717</w:t>
      </w:r>
      <w:r w:rsidRPr="00EE335C">
        <w:rPr>
          <w:rFonts w:ascii="Times New Roman" w:eastAsia="Times New Roman" w:hAnsi="Times New Roman" w:cs="Times New Roman"/>
          <w:sz w:val="26"/>
          <w:szCs w:val="24"/>
        </w:rPr>
        <w:t xml:space="preserve"> by one of the following methods:</w:t>
      </w:r>
    </w:p>
    <w:p w:rsidR="00466D3F" w:rsidRPr="00EE335C" w:rsidP="00466D3F" w14:paraId="669D9DBA" w14:textId="669C1A4E">
      <w:pPr>
        <w:spacing w:after="0" w:line="480" w:lineRule="auto"/>
        <w:rPr>
          <w:rFonts w:ascii="Times New Roman" w:eastAsia="Times New Roman" w:hAnsi="Times New Roman" w:cs="Times New Roman"/>
          <w:sz w:val="26"/>
          <w:szCs w:val="24"/>
        </w:rPr>
      </w:pPr>
      <w:r w:rsidRPr="00EE335C">
        <w:rPr>
          <w:rFonts w:ascii="Times New Roman" w:eastAsia="Times New Roman" w:hAnsi="Times New Roman" w:cs="Times New Roman"/>
          <w:sz w:val="26"/>
          <w:szCs w:val="24"/>
        </w:rPr>
        <w:t xml:space="preserve">Electronic filing through </w:t>
      </w:r>
      <w:hyperlink r:id="rId10" w:history="1">
        <w:r w:rsidRPr="00EE335C" w:rsidR="00197AF3">
          <w:rPr>
            <w:rStyle w:val="Hyperlink"/>
            <w:rFonts w:ascii="Times New Roman" w:eastAsia="Times New Roman" w:hAnsi="Times New Roman" w:cs="Times New Roman"/>
            <w:sz w:val="26"/>
            <w:szCs w:val="24"/>
          </w:rPr>
          <w:t>https://www.ferc.gov</w:t>
        </w:r>
      </w:hyperlink>
      <w:r w:rsidRPr="00EE335C">
        <w:rPr>
          <w:rFonts w:ascii="Times New Roman" w:eastAsia="Times New Roman" w:hAnsi="Times New Roman" w:cs="Times New Roman"/>
          <w:sz w:val="26"/>
          <w:szCs w:val="24"/>
        </w:rPr>
        <w:t xml:space="preserve"> is preferred.</w:t>
      </w:r>
    </w:p>
    <w:p w:rsidR="002F2136" w:rsidRPr="00EE335C" w:rsidP="004C23FC" w14:paraId="4463AB74" w14:textId="766DED2A">
      <w:pPr>
        <w:pStyle w:val="ListParagraph"/>
        <w:numPr>
          <w:ilvl w:val="0"/>
          <w:numId w:val="3"/>
        </w:numPr>
        <w:spacing w:after="0" w:line="480" w:lineRule="auto"/>
        <w:rPr>
          <w:rFonts w:ascii="Times New Roman" w:eastAsia="Times New Roman" w:hAnsi="Times New Roman" w:cs="Times New Roman"/>
          <w:sz w:val="26"/>
          <w:szCs w:val="24"/>
        </w:rPr>
      </w:pPr>
      <w:r w:rsidRPr="00EE335C">
        <w:rPr>
          <w:rFonts w:ascii="Times New Roman" w:eastAsia="Times New Roman" w:hAnsi="Times New Roman" w:cs="Times New Roman"/>
          <w:sz w:val="26"/>
          <w:szCs w:val="24"/>
        </w:rPr>
        <w:t xml:space="preserve">Electronic Filing: </w:t>
      </w:r>
      <w:r w:rsidR="008B0EC3">
        <w:rPr>
          <w:rFonts w:ascii="Times New Roman" w:eastAsia="Times New Roman" w:hAnsi="Times New Roman" w:cs="Times New Roman"/>
          <w:sz w:val="26"/>
          <w:szCs w:val="24"/>
        </w:rPr>
        <w:t xml:space="preserve"> </w:t>
      </w:r>
      <w:r w:rsidRPr="00EE335C">
        <w:rPr>
          <w:rFonts w:ascii="Times New Roman" w:eastAsia="Times New Roman" w:hAnsi="Times New Roman" w:cs="Times New Roman"/>
          <w:sz w:val="26"/>
          <w:szCs w:val="24"/>
        </w:rPr>
        <w:t xml:space="preserve">Documents must be filed in acceptable native applications and print-to-PDF, but not in scanned or picture format. </w:t>
      </w:r>
    </w:p>
    <w:p w:rsidR="00466D3F" w:rsidRPr="00EE335C" w:rsidP="003A480E" w14:paraId="1B456B6C" w14:textId="14BE66F6">
      <w:pPr>
        <w:pStyle w:val="ListParagraph"/>
        <w:numPr>
          <w:ilvl w:val="0"/>
          <w:numId w:val="3"/>
        </w:numPr>
        <w:spacing w:after="0" w:line="480" w:lineRule="auto"/>
        <w:rPr>
          <w:rFonts w:ascii="Times New Roman" w:eastAsia="Times New Roman" w:hAnsi="Times New Roman" w:cs="Times New Roman"/>
          <w:sz w:val="26"/>
          <w:szCs w:val="24"/>
        </w:rPr>
      </w:pPr>
      <w:r w:rsidRPr="00EE335C">
        <w:rPr>
          <w:rFonts w:ascii="Times New Roman" w:eastAsia="Times New Roman" w:hAnsi="Times New Roman" w:cs="Times New Roman"/>
          <w:sz w:val="26"/>
          <w:szCs w:val="24"/>
        </w:rPr>
        <w:t>For those unable to file electronically, comments may be filed by USPS mail or by hand (including courier) delivery:</w:t>
      </w:r>
    </w:p>
    <w:p w:rsidR="00466D3F" w:rsidRPr="00EE335C" w:rsidP="00466D3F" w14:paraId="5136E141" w14:textId="07724987">
      <w:pPr>
        <w:numPr>
          <w:ilvl w:val="1"/>
          <w:numId w:val="1"/>
        </w:numPr>
        <w:spacing w:after="0" w:line="480" w:lineRule="auto"/>
        <w:rPr>
          <w:rFonts w:ascii="Times New Roman" w:eastAsia="Times New Roman" w:hAnsi="Times New Roman" w:cs="Times New Roman"/>
          <w:sz w:val="26"/>
          <w:szCs w:val="24"/>
        </w:rPr>
      </w:pPr>
      <w:r w:rsidRPr="00EE335C">
        <w:rPr>
          <w:rFonts w:ascii="Times New Roman" w:eastAsia="Times New Roman" w:hAnsi="Times New Roman" w:cs="Times New Roman"/>
          <w:sz w:val="26"/>
          <w:szCs w:val="24"/>
        </w:rPr>
        <w:t>Mail via U.S. Postal Service Only: Addressed to: Federal Energy Regulatory Commission, Secretary of the Commission, 888 First Street, N.E., Washington, DC 20426.</w:t>
      </w:r>
    </w:p>
    <w:p w:rsidR="00466D3F" w:rsidRPr="00EE335C" w:rsidP="00466D3F" w14:paraId="416C5E58" w14:textId="07289CB8">
      <w:pPr>
        <w:numPr>
          <w:ilvl w:val="1"/>
          <w:numId w:val="1"/>
        </w:numPr>
        <w:spacing w:after="0" w:line="480" w:lineRule="auto"/>
        <w:contextualSpacing/>
        <w:rPr>
          <w:rFonts w:ascii="Times New Roman" w:eastAsia="Times New Roman" w:hAnsi="Times New Roman" w:cs="Times New Roman"/>
          <w:sz w:val="26"/>
          <w:szCs w:val="24"/>
        </w:rPr>
      </w:pPr>
      <w:r w:rsidRPr="00EE335C">
        <w:rPr>
          <w:rFonts w:ascii="Times New Roman" w:eastAsia="Times New Roman" w:hAnsi="Times New Roman" w:cs="Times New Roman"/>
          <w:sz w:val="26"/>
          <w:szCs w:val="24"/>
        </w:rPr>
        <w:t>Hand (including courier) delivery: Deliver to: Federal Energy Regulatory Commission, 12225 Wilkins Avenue, Rockville, MD 20852.</w:t>
      </w:r>
    </w:p>
    <w:p w:rsidR="00466D3F" w:rsidRPr="00EE335C" w:rsidP="00466D3F" w14:paraId="756C26BD" w14:textId="50F961FB">
      <w:pPr>
        <w:spacing w:after="0" w:line="480" w:lineRule="auto"/>
        <w:rPr>
          <w:rFonts w:ascii="Times New Roman" w:eastAsia="Times New Roman" w:hAnsi="Times New Roman" w:cs="Times New Roman"/>
          <w:sz w:val="26"/>
          <w:szCs w:val="24"/>
        </w:rPr>
      </w:pPr>
      <w:r w:rsidRPr="00EE335C">
        <w:rPr>
          <w:rFonts w:ascii="Times New Roman" w:eastAsia="Times New Roman" w:hAnsi="Times New Roman" w:cs="Times New Roman"/>
          <w:i/>
          <w:sz w:val="26"/>
          <w:szCs w:val="24"/>
        </w:rPr>
        <w:t xml:space="preserve">Instructions: </w:t>
      </w:r>
      <w:r w:rsidRPr="00EE335C">
        <w:rPr>
          <w:rFonts w:ascii="Times New Roman" w:eastAsia="Times New Roman" w:hAnsi="Times New Roman" w:cs="Times New Roman"/>
          <w:sz w:val="26"/>
          <w:szCs w:val="24"/>
        </w:rPr>
        <w:t xml:space="preserve">All submissions must be formatted and filed in accordance with submission guidelines at: </w:t>
      </w:r>
      <w:hyperlink r:id="rId10" w:history="1">
        <w:r w:rsidRPr="00EE335C" w:rsidR="00197AF3">
          <w:rPr>
            <w:rStyle w:val="Hyperlink"/>
            <w:rFonts w:ascii="Times New Roman" w:eastAsia="Times New Roman" w:hAnsi="Times New Roman" w:cs="Times New Roman"/>
            <w:sz w:val="26"/>
            <w:szCs w:val="24"/>
          </w:rPr>
          <w:t>https://www.ferc.gov</w:t>
        </w:r>
      </w:hyperlink>
      <w:r w:rsidRPr="00EE335C">
        <w:rPr>
          <w:rFonts w:ascii="Times New Roman" w:eastAsia="Times New Roman" w:hAnsi="Times New Roman" w:cs="Times New Roman"/>
          <w:sz w:val="26"/>
          <w:szCs w:val="24"/>
        </w:rPr>
        <w:t xml:space="preserve">. </w:t>
      </w:r>
      <w:r w:rsidRPr="00EE335C" w:rsidR="003A480E">
        <w:rPr>
          <w:rFonts w:ascii="Times New Roman" w:eastAsia="Times New Roman" w:hAnsi="Times New Roman" w:cs="Times New Roman"/>
          <w:sz w:val="26"/>
          <w:szCs w:val="24"/>
        </w:rPr>
        <w:t xml:space="preserve"> </w:t>
      </w:r>
      <w:r w:rsidRPr="00EE335C">
        <w:rPr>
          <w:rFonts w:ascii="Times New Roman" w:eastAsia="Times New Roman" w:hAnsi="Times New Roman" w:cs="Times New Roman"/>
          <w:sz w:val="26"/>
          <w:szCs w:val="24"/>
        </w:rPr>
        <w:t>For user assistance, contact FERC Online Support by e-mail at ferconlinesupport@ferc.gov, or by phone at (866) 208-3676 (toll-free).</w:t>
      </w:r>
    </w:p>
    <w:p w:rsidR="00466D3F" w:rsidRPr="00EE335C" w:rsidP="00466D3F" w14:paraId="51171985" w14:textId="7544D521">
      <w:pPr>
        <w:spacing w:after="0" w:line="480" w:lineRule="auto"/>
        <w:rPr>
          <w:rFonts w:ascii="Times New Roman" w:eastAsia="Times New Roman" w:hAnsi="Times New Roman" w:cs="Times New Roman"/>
          <w:sz w:val="26"/>
          <w:szCs w:val="24"/>
        </w:rPr>
      </w:pPr>
      <w:r w:rsidRPr="00EE335C">
        <w:rPr>
          <w:rFonts w:ascii="Times New Roman" w:eastAsia="Times New Roman" w:hAnsi="Times New Roman" w:cs="Times New Roman"/>
          <w:i/>
          <w:sz w:val="26"/>
          <w:szCs w:val="24"/>
        </w:rPr>
        <w:t>Docket:</w:t>
      </w:r>
      <w:r w:rsidRPr="00EE335C">
        <w:rPr>
          <w:rFonts w:ascii="Times New Roman" w:eastAsia="Times New Roman" w:hAnsi="Times New Roman" w:cs="Times New Roman"/>
          <w:sz w:val="26"/>
          <w:szCs w:val="24"/>
        </w:rPr>
        <w:t xml:space="preserve"> Users interested in receiving automatic notification of activity in this docket or in viewing/downloading comments and issuances in this docket may do so at </w:t>
      </w:r>
      <w:hyperlink r:id="rId10" w:history="1">
        <w:r w:rsidRPr="00EE335C" w:rsidR="00197AF3">
          <w:rPr>
            <w:rStyle w:val="Hyperlink"/>
            <w:rFonts w:ascii="Times New Roman" w:eastAsia="Times New Roman" w:hAnsi="Times New Roman" w:cs="Times New Roman"/>
            <w:sz w:val="26"/>
            <w:szCs w:val="24"/>
          </w:rPr>
          <w:t>https://www.ferc.gov</w:t>
        </w:r>
      </w:hyperlink>
      <w:r w:rsidRPr="00EE335C">
        <w:rPr>
          <w:rFonts w:ascii="Times New Roman" w:eastAsia="Times New Roman" w:hAnsi="Times New Roman" w:cs="Times New Roman"/>
          <w:sz w:val="26"/>
          <w:szCs w:val="24"/>
        </w:rPr>
        <w:t xml:space="preserve">. </w:t>
      </w:r>
    </w:p>
    <w:bookmarkEnd w:id="1"/>
    <w:p w:rsidR="00466D3F" w:rsidRPr="00EE335C" w:rsidP="00466D3F" w14:paraId="7E3ADCB4" w14:textId="1AC2C363">
      <w:pPr>
        <w:spacing w:after="0" w:line="480" w:lineRule="auto"/>
        <w:rPr>
          <w:rFonts w:ascii="Times New Roman" w:eastAsia="Times New Roman" w:hAnsi="Times New Roman" w:cs="Times New Roman"/>
          <w:sz w:val="26"/>
          <w:szCs w:val="26"/>
        </w:rPr>
      </w:pPr>
      <w:r w:rsidRPr="00EE335C">
        <w:rPr>
          <w:rFonts w:ascii="Times New Roman" w:eastAsia="Times New Roman" w:hAnsi="Times New Roman" w:cs="Times New Roman"/>
          <w:b/>
          <w:sz w:val="26"/>
          <w:szCs w:val="26"/>
        </w:rPr>
        <w:t>FOR FURTHER INFORMATION:</w:t>
      </w:r>
      <w:r w:rsidRPr="00EE335C">
        <w:rPr>
          <w:rFonts w:ascii="Times New Roman" w:eastAsia="Times New Roman" w:hAnsi="Times New Roman" w:cs="Times New Roman"/>
          <w:sz w:val="26"/>
          <w:szCs w:val="26"/>
        </w:rPr>
        <w:t xml:space="preserve">  Ellen Brown may be reached by e-mail at </w:t>
      </w:r>
      <w:r>
        <w:fldChar w:fldCharType="begin"/>
      </w:r>
      <w:r w:rsidRPr="00EE335C">
        <w:rPr>
          <w:rFonts w:ascii="Times New Roman" w:eastAsia="Times New Roman" w:hAnsi="Times New Roman" w:cs="Times New Roman"/>
          <w:color w:val="0000FF"/>
          <w:sz w:val="26"/>
          <w:szCs w:val="24"/>
          <w:u w:val="single"/>
        </w:rPr>
        <w:instrText xml:space="preserve"> HYPERLINK "mailto:DataClearance@FERC.gov" </w:instrText>
      </w:r>
      <w:r>
        <w:fldChar w:fldCharType="separate"/>
      </w:r>
      <w:r w:rsidRPr="00EE335C">
        <w:rPr>
          <w:rFonts w:ascii="Times New Roman" w:eastAsia="Times New Roman" w:hAnsi="Times New Roman" w:cs="Times New Roman"/>
          <w:color w:val="0000FF"/>
          <w:sz w:val="26"/>
          <w:szCs w:val="24"/>
          <w:u w:val="single"/>
        </w:rPr>
        <w:t>DataClearance@FERC.gov</w:t>
      </w:r>
      <w:r>
        <w:fldChar w:fldCharType="end"/>
      </w:r>
      <w:r w:rsidRPr="00EE335C">
        <w:rPr>
          <w:rFonts w:ascii="Times New Roman" w:eastAsia="Times New Roman" w:hAnsi="Times New Roman" w:cs="Times New Roman"/>
          <w:sz w:val="26"/>
          <w:szCs w:val="26"/>
        </w:rPr>
        <w:t xml:space="preserve">, </w:t>
      </w:r>
      <w:r w:rsidRPr="00EE335C" w:rsidR="0020383C">
        <w:rPr>
          <w:rFonts w:ascii="Times New Roman" w:eastAsia="Times New Roman" w:hAnsi="Times New Roman" w:cs="Times New Roman"/>
          <w:sz w:val="26"/>
          <w:szCs w:val="26"/>
        </w:rPr>
        <w:t xml:space="preserve">or by </w:t>
      </w:r>
      <w:r w:rsidRPr="00EE335C">
        <w:rPr>
          <w:rFonts w:ascii="Times New Roman" w:eastAsia="Times New Roman" w:hAnsi="Times New Roman" w:cs="Times New Roman"/>
          <w:sz w:val="26"/>
          <w:szCs w:val="26"/>
        </w:rPr>
        <w:t>telephone at (202) 502-8663.</w:t>
      </w:r>
    </w:p>
    <w:p w:rsidR="009811DC" w:rsidRPr="009811DC" w:rsidP="009811DC" w14:paraId="7E1ECD34" w14:textId="77777777">
      <w:pPr>
        <w:spacing w:after="0" w:line="480" w:lineRule="auto"/>
        <w:rPr>
          <w:rFonts w:ascii="Times New Roman" w:eastAsia="Times New Roman" w:hAnsi="Times New Roman" w:cs="Times New Roman"/>
          <w:bCs/>
          <w:sz w:val="26"/>
          <w:szCs w:val="24"/>
        </w:rPr>
      </w:pPr>
      <w:r w:rsidRPr="00194065">
        <w:rPr>
          <w:rFonts w:ascii="Times New Roman" w:eastAsia="Times New Roman" w:hAnsi="Times New Roman" w:cs="Times New Roman"/>
          <w:bCs/>
          <w:i/>
          <w:sz w:val="26"/>
          <w:szCs w:val="24"/>
        </w:rPr>
        <w:t>Title:</w:t>
      </w:r>
      <w:r w:rsidRPr="009811DC">
        <w:rPr>
          <w:rFonts w:ascii="Times New Roman" w:eastAsia="Times New Roman" w:hAnsi="Times New Roman" w:cs="Times New Roman"/>
          <w:bCs/>
          <w:i/>
          <w:sz w:val="26"/>
          <w:szCs w:val="24"/>
        </w:rPr>
        <w:t xml:space="preserve"> </w:t>
      </w:r>
      <w:r w:rsidRPr="009811DC">
        <w:rPr>
          <w:rFonts w:ascii="Times New Roman" w:eastAsia="Times New Roman" w:hAnsi="Times New Roman" w:cs="Times New Roman"/>
          <w:bCs/>
          <w:sz w:val="26"/>
          <w:szCs w:val="24"/>
        </w:rPr>
        <w:t>FERC-717</w:t>
      </w:r>
      <w:bookmarkStart w:id="2" w:name="_Hlk49424857"/>
      <w:r w:rsidRPr="009811DC">
        <w:rPr>
          <w:rFonts w:ascii="Times New Roman" w:eastAsia="Times New Roman" w:hAnsi="Times New Roman" w:cs="Times New Roman"/>
          <w:bCs/>
          <w:sz w:val="26"/>
          <w:szCs w:val="24"/>
        </w:rPr>
        <w:t xml:space="preserve">, Standards for Business Practices and Communication Protocols for Public Utilities </w:t>
      </w:r>
      <w:bookmarkEnd w:id="2"/>
    </w:p>
    <w:p w:rsidR="009811DC" w:rsidRPr="009811DC" w:rsidP="009811DC" w14:paraId="7EB34E21" w14:textId="77777777">
      <w:pPr>
        <w:spacing w:after="0" w:line="480" w:lineRule="auto"/>
        <w:rPr>
          <w:rFonts w:ascii="Times New Roman" w:eastAsia="Times New Roman" w:hAnsi="Times New Roman" w:cs="Times New Roman"/>
          <w:bCs/>
          <w:sz w:val="26"/>
          <w:szCs w:val="24"/>
        </w:rPr>
      </w:pPr>
      <w:r w:rsidRPr="00194065">
        <w:rPr>
          <w:rFonts w:ascii="Times New Roman" w:eastAsia="Times New Roman" w:hAnsi="Times New Roman" w:cs="Times New Roman"/>
          <w:bCs/>
          <w:i/>
          <w:sz w:val="26"/>
          <w:szCs w:val="24"/>
        </w:rPr>
        <w:t>OMB Control No.:</w:t>
      </w:r>
      <w:r w:rsidRPr="009811DC">
        <w:rPr>
          <w:rFonts w:ascii="Times New Roman" w:eastAsia="Times New Roman" w:hAnsi="Times New Roman" w:cs="Times New Roman"/>
          <w:bCs/>
          <w:sz w:val="26"/>
          <w:szCs w:val="24"/>
        </w:rPr>
        <w:t xml:space="preserve"> 1902-0173</w:t>
      </w:r>
    </w:p>
    <w:p w:rsidR="009811DC" w:rsidRPr="009811DC" w:rsidP="009811DC" w14:paraId="3FC94D23" w14:textId="75A2C870">
      <w:pPr>
        <w:spacing w:after="0" w:line="480" w:lineRule="auto"/>
        <w:rPr>
          <w:rFonts w:ascii="Times New Roman" w:eastAsia="Times New Roman" w:hAnsi="Times New Roman" w:cs="Times New Roman"/>
          <w:bCs/>
          <w:sz w:val="26"/>
          <w:szCs w:val="24"/>
        </w:rPr>
      </w:pPr>
      <w:r w:rsidRPr="00194065">
        <w:rPr>
          <w:rFonts w:ascii="Times New Roman" w:eastAsia="Times New Roman" w:hAnsi="Times New Roman" w:cs="Times New Roman"/>
          <w:bCs/>
          <w:i/>
          <w:sz w:val="26"/>
          <w:szCs w:val="24"/>
        </w:rPr>
        <w:t>Type of Request:</w:t>
      </w:r>
      <w:r w:rsidRPr="009811DC">
        <w:rPr>
          <w:rFonts w:ascii="Times New Roman" w:eastAsia="Times New Roman" w:hAnsi="Times New Roman" w:cs="Times New Roman"/>
          <w:bCs/>
          <w:sz w:val="26"/>
          <w:szCs w:val="24"/>
        </w:rPr>
        <w:t xml:space="preserve"> Three-year approval of the FERC-717 information collection requirements</w:t>
      </w:r>
      <w:r w:rsidR="007A53BA">
        <w:rPr>
          <w:rFonts w:ascii="Times New Roman" w:eastAsia="Times New Roman" w:hAnsi="Times New Roman" w:cs="Times New Roman"/>
          <w:bCs/>
          <w:sz w:val="26"/>
          <w:szCs w:val="24"/>
        </w:rPr>
        <w:t xml:space="preserve"> </w:t>
      </w:r>
      <w:r w:rsidRPr="009811DC">
        <w:rPr>
          <w:rFonts w:ascii="Times New Roman" w:eastAsia="Times New Roman" w:hAnsi="Times New Roman" w:cs="Times New Roman"/>
          <w:bCs/>
          <w:sz w:val="26"/>
          <w:szCs w:val="24"/>
        </w:rPr>
        <w:t xml:space="preserve">with </w:t>
      </w:r>
      <w:r w:rsidR="00F11336">
        <w:rPr>
          <w:rFonts w:ascii="Times New Roman" w:eastAsia="Times New Roman" w:hAnsi="Times New Roman" w:cs="Times New Roman"/>
          <w:bCs/>
          <w:sz w:val="26"/>
          <w:szCs w:val="24"/>
        </w:rPr>
        <w:t xml:space="preserve">deletion of one-time burdens </w:t>
      </w:r>
      <w:r w:rsidR="005A37F9">
        <w:rPr>
          <w:rFonts w:ascii="Times New Roman" w:eastAsia="Times New Roman" w:hAnsi="Times New Roman" w:cs="Times New Roman"/>
          <w:bCs/>
          <w:sz w:val="26"/>
          <w:szCs w:val="24"/>
        </w:rPr>
        <w:t xml:space="preserve">previously approved by </w:t>
      </w:r>
      <w:r w:rsidR="003A0967">
        <w:rPr>
          <w:rFonts w:ascii="Times New Roman" w:eastAsia="Times New Roman" w:hAnsi="Times New Roman" w:cs="Times New Roman"/>
          <w:bCs/>
          <w:sz w:val="26"/>
          <w:szCs w:val="24"/>
        </w:rPr>
        <w:t>the Office of Management and Budget.</w:t>
      </w:r>
    </w:p>
    <w:p w:rsidR="00871F53" w:rsidP="009811DC" w14:paraId="2A86D29E" w14:textId="194CD231">
      <w:pPr>
        <w:spacing w:after="0" w:line="480" w:lineRule="auto"/>
        <w:rPr>
          <w:rFonts w:ascii="Times New Roman" w:hAnsi="Times New Roman"/>
          <w:sz w:val="26"/>
        </w:rPr>
      </w:pPr>
      <w:r w:rsidRPr="00194065">
        <w:rPr>
          <w:rFonts w:ascii="Times New Roman" w:eastAsia="Times New Roman" w:hAnsi="Times New Roman" w:cs="Times New Roman"/>
          <w:bCs/>
          <w:i/>
          <w:sz w:val="26"/>
          <w:szCs w:val="24"/>
        </w:rPr>
        <w:t>Abstract:</w:t>
      </w:r>
      <w:r w:rsidRPr="009811DC">
        <w:rPr>
          <w:rFonts w:ascii="Times New Roman" w:eastAsia="Times New Roman" w:hAnsi="Times New Roman" w:cs="Times New Roman"/>
          <w:bCs/>
          <w:i/>
          <w:sz w:val="26"/>
          <w:szCs w:val="24"/>
        </w:rPr>
        <w:t xml:space="preserve"> </w:t>
      </w:r>
      <w:r w:rsidRPr="003C5618" w:rsidR="00AE392F">
        <w:rPr>
          <w:rFonts w:ascii="Times New Roman" w:hAnsi="Times New Roman"/>
          <w:sz w:val="26"/>
        </w:rPr>
        <w:t xml:space="preserve">Section 205 </w:t>
      </w:r>
      <w:r w:rsidR="009E301D">
        <w:rPr>
          <w:rFonts w:ascii="Times New Roman" w:hAnsi="Times New Roman"/>
          <w:sz w:val="26"/>
        </w:rPr>
        <w:t>of the Federal Power Act</w:t>
      </w:r>
      <w:r w:rsidR="002E7580">
        <w:rPr>
          <w:rFonts w:ascii="Times New Roman" w:hAnsi="Times New Roman"/>
          <w:sz w:val="26"/>
        </w:rPr>
        <w:t xml:space="preserve"> (FPA)</w:t>
      </w:r>
      <w:r w:rsidR="009E301D">
        <w:rPr>
          <w:rFonts w:ascii="Times New Roman" w:hAnsi="Times New Roman"/>
          <w:sz w:val="26"/>
        </w:rPr>
        <w:t xml:space="preserve"> </w:t>
      </w:r>
      <w:r w:rsidRPr="003C5618" w:rsidR="00AE392F">
        <w:rPr>
          <w:rFonts w:ascii="Times New Roman" w:hAnsi="Times New Roman"/>
          <w:sz w:val="26"/>
        </w:rPr>
        <w:t>(16</w:t>
      </w:r>
      <w:r w:rsidR="00BE4C6B">
        <w:rPr>
          <w:rFonts w:ascii="Times New Roman" w:hAnsi="Times New Roman"/>
          <w:sz w:val="26"/>
        </w:rPr>
        <w:t xml:space="preserve"> U.S.</w:t>
      </w:r>
      <w:r w:rsidRPr="003C5618" w:rsidR="00AE392F">
        <w:rPr>
          <w:rFonts w:ascii="Times New Roman" w:hAnsi="Times New Roman"/>
          <w:sz w:val="26"/>
        </w:rPr>
        <w:t xml:space="preserve">C. 824d) </w:t>
      </w:r>
      <w:r w:rsidR="006028F2">
        <w:rPr>
          <w:rFonts w:ascii="Times New Roman" w:hAnsi="Times New Roman"/>
          <w:sz w:val="26"/>
        </w:rPr>
        <w:t>requires</w:t>
      </w:r>
      <w:r w:rsidRPr="003C5618" w:rsidR="00AE392F">
        <w:rPr>
          <w:rFonts w:ascii="Times New Roman" w:hAnsi="Times New Roman"/>
          <w:sz w:val="26"/>
        </w:rPr>
        <w:t xml:space="preserve"> that al</w:t>
      </w:r>
      <w:r w:rsidR="00172426">
        <w:rPr>
          <w:rFonts w:ascii="Times New Roman" w:hAnsi="Times New Roman"/>
          <w:sz w:val="26"/>
        </w:rPr>
        <w:t xml:space="preserve">l </w:t>
      </w:r>
      <w:r w:rsidRPr="003C5618" w:rsidR="00AE392F">
        <w:rPr>
          <w:rFonts w:ascii="Times New Roman" w:hAnsi="Times New Roman"/>
          <w:sz w:val="26"/>
        </w:rPr>
        <w:t xml:space="preserve">rates and charges </w:t>
      </w:r>
      <w:r w:rsidR="00003DF1">
        <w:rPr>
          <w:rFonts w:ascii="Times New Roman" w:hAnsi="Times New Roman"/>
          <w:sz w:val="26"/>
        </w:rPr>
        <w:t xml:space="preserve">for </w:t>
      </w:r>
      <w:r w:rsidRPr="003C5618" w:rsidR="00AE392F">
        <w:rPr>
          <w:rFonts w:ascii="Times New Roman" w:hAnsi="Times New Roman"/>
          <w:sz w:val="26"/>
        </w:rPr>
        <w:t>the transmission or sale of electric energy</w:t>
      </w:r>
      <w:r w:rsidR="002E7580">
        <w:rPr>
          <w:rFonts w:ascii="Times New Roman" w:hAnsi="Times New Roman"/>
          <w:sz w:val="26"/>
        </w:rPr>
        <w:t xml:space="preserve"> </w:t>
      </w:r>
      <w:r w:rsidRPr="003C5618" w:rsidR="00AE392F">
        <w:rPr>
          <w:rFonts w:ascii="Times New Roman" w:hAnsi="Times New Roman"/>
          <w:sz w:val="26"/>
        </w:rPr>
        <w:t>and all rules and regulations affecting or pertaining to such rates and charges be just and reasonable.</w:t>
      </w:r>
      <w:r w:rsidR="00172426">
        <w:rPr>
          <w:rFonts w:ascii="Times New Roman" w:hAnsi="Times New Roman"/>
          <w:sz w:val="26"/>
        </w:rPr>
        <w:t xml:space="preserve">  </w:t>
      </w:r>
      <w:r w:rsidRPr="003C5618" w:rsidR="00AE392F">
        <w:rPr>
          <w:rFonts w:ascii="Times New Roman" w:hAnsi="Times New Roman"/>
          <w:sz w:val="26"/>
        </w:rPr>
        <w:t xml:space="preserve">Section 206 </w:t>
      </w:r>
      <w:r w:rsidR="002E7580">
        <w:rPr>
          <w:rFonts w:ascii="Times New Roman" w:hAnsi="Times New Roman"/>
          <w:sz w:val="26"/>
        </w:rPr>
        <w:t xml:space="preserve">of the FPA </w:t>
      </w:r>
      <w:r w:rsidRPr="00352E68" w:rsidR="00AE392F">
        <w:rPr>
          <w:rFonts w:ascii="Times New Roman" w:hAnsi="Times New Roman"/>
          <w:sz w:val="26"/>
        </w:rPr>
        <w:t xml:space="preserve">(16 U.S.C. 824e) </w:t>
      </w:r>
      <w:r w:rsidR="002E7580">
        <w:rPr>
          <w:rFonts w:ascii="Times New Roman" w:hAnsi="Times New Roman"/>
          <w:sz w:val="26"/>
        </w:rPr>
        <w:t xml:space="preserve">authorizes </w:t>
      </w:r>
      <w:r w:rsidRPr="00352E68" w:rsidR="00AE392F">
        <w:rPr>
          <w:rFonts w:ascii="Times New Roman" w:hAnsi="Times New Roman"/>
          <w:sz w:val="26"/>
        </w:rPr>
        <w:t>FERC to initiate a proceeding to address any “rate, charge or classification” related to the transmission or sale of electricity that the agency determines is “unjust, unreasonable, unduly discriminatory or preferential.”</w:t>
      </w:r>
    </w:p>
    <w:p w:rsidR="004E22A5" w14:paraId="19F62263" w14:textId="5E52FA23">
      <w:pPr>
        <w:pStyle w:val="HTMLPreformatted"/>
        <w:spacing w:line="480" w:lineRule="auto"/>
        <w:rPr>
          <w:rFonts w:ascii="Times New Roman" w:hAnsi="Times New Roman" w:cs="Times New Roman"/>
          <w:sz w:val="26"/>
          <w:szCs w:val="26"/>
        </w:rPr>
      </w:pPr>
      <w:r>
        <w:rPr>
          <w:rFonts w:ascii="Times New Roman" w:hAnsi="Times New Roman"/>
          <w:sz w:val="26"/>
        </w:rPr>
        <w:t>Commission regulations at 18 CFR 35.28 and 18 CFR Part 37 are in</w:t>
      </w:r>
      <w:r w:rsidR="005D22DC">
        <w:rPr>
          <w:rFonts w:ascii="Times New Roman" w:hAnsi="Times New Roman"/>
          <w:sz w:val="26"/>
        </w:rPr>
        <w:t xml:space="preserve"> accordance with </w:t>
      </w:r>
      <w:r w:rsidRPr="00390831" w:rsidR="00AE392F">
        <w:rPr>
          <w:rFonts w:ascii="Times New Roman" w:hAnsi="Times New Roman"/>
          <w:sz w:val="26"/>
        </w:rPr>
        <w:t>FPA Sections 205 and 206</w:t>
      </w:r>
      <w:r>
        <w:rPr>
          <w:rFonts w:ascii="Times New Roman" w:hAnsi="Times New Roman"/>
          <w:sz w:val="26"/>
        </w:rPr>
        <w:t>.</w:t>
      </w:r>
      <w:r w:rsidR="00D760A6">
        <w:rPr>
          <w:rFonts w:ascii="Times New Roman" w:hAnsi="Times New Roman"/>
          <w:color w:val="000000"/>
          <w:sz w:val="26"/>
        </w:rPr>
        <w:t xml:space="preserve">  </w:t>
      </w:r>
      <w:r w:rsidR="007F773A">
        <w:rPr>
          <w:rFonts w:ascii="Times New Roman" w:hAnsi="Times New Roman"/>
          <w:color w:val="000000"/>
          <w:sz w:val="26"/>
        </w:rPr>
        <w:t xml:space="preserve">The regulation at 18 CFR 35.28 </w:t>
      </w:r>
      <w:r w:rsidR="008919E2">
        <w:rPr>
          <w:rFonts w:ascii="Times New Roman" w:hAnsi="Times New Roman"/>
          <w:color w:val="000000"/>
          <w:sz w:val="26"/>
        </w:rPr>
        <w:t xml:space="preserve">applies to </w:t>
      </w:r>
      <w:r w:rsidR="00F12911">
        <w:rPr>
          <w:rFonts w:ascii="Times New Roman" w:hAnsi="Times New Roman"/>
          <w:sz w:val="26"/>
        </w:rPr>
        <w:t xml:space="preserve">any </w:t>
      </w:r>
      <w:r w:rsidRPr="00841FD9" w:rsidR="00BF74A7">
        <w:rPr>
          <w:rFonts w:ascii="Times New Roman" w:hAnsi="Times New Roman"/>
          <w:sz w:val="26"/>
        </w:rPr>
        <w:t>public utilit</w:t>
      </w:r>
      <w:r w:rsidR="00F12911">
        <w:rPr>
          <w:rFonts w:ascii="Times New Roman" w:hAnsi="Times New Roman"/>
          <w:sz w:val="26"/>
        </w:rPr>
        <w:t>y</w:t>
      </w:r>
      <w:r w:rsidRPr="00841FD9" w:rsidR="00BF74A7">
        <w:rPr>
          <w:rFonts w:ascii="Times New Roman" w:hAnsi="Times New Roman"/>
          <w:sz w:val="26"/>
        </w:rPr>
        <w:t xml:space="preserve"> that own</w:t>
      </w:r>
      <w:r w:rsidR="0087309D">
        <w:rPr>
          <w:rFonts w:ascii="Times New Roman" w:hAnsi="Times New Roman"/>
          <w:sz w:val="26"/>
        </w:rPr>
        <w:t>s</w:t>
      </w:r>
      <w:r w:rsidRPr="00841FD9" w:rsidR="00BF74A7">
        <w:rPr>
          <w:rFonts w:ascii="Times New Roman" w:hAnsi="Times New Roman"/>
          <w:sz w:val="26"/>
        </w:rPr>
        <w:t>, operate</w:t>
      </w:r>
      <w:r w:rsidR="0087309D">
        <w:rPr>
          <w:rFonts w:ascii="Times New Roman" w:hAnsi="Times New Roman"/>
          <w:sz w:val="26"/>
        </w:rPr>
        <w:t>s</w:t>
      </w:r>
      <w:r w:rsidR="00BF74A7">
        <w:rPr>
          <w:rFonts w:ascii="Times New Roman" w:hAnsi="Times New Roman"/>
          <w:sz w:val="26"/>
        </w:rPr>
        <w:t>,</w:t>
      </w:r>
      <w:r w:rsidRPr="00841FD9" w:rsidR="00BF74A7">
        <w:rPr>
          <w:rFonts w:ascii="Times New Roman" w:hAnsi="Times New Roman"/>
          <w:sz w:val="26"/>
        </w:rPr>
        <w:t xml:space="preserve"> or control</w:t>
      </w:r>
      <w:r w:rsidR="0087309D">
        <w:rPr>
          <w:rFonts w:ascii="Times New Roman" w:hAnsi="Times New Roman"/>
          <w:sz w:val="26"/>
        </w:rPr>
        <w:t>s</w:t>
      </w:r>
      <w:r w:rsidRPr="00841FD9" w:rsidR="00BF74A7">
        <w:rPr>
          <w:rFonts w:ascii="Times New Roman" w:hAnsi="Times New Roman"/>
          <w:sz w:val="26"/>
        </w:rPr>
        <w:t xml:space="preserve"> interstate transmission facilities </w:t>
      </w:r>
      <w:r w:rsidR="00C76D7F">
        <w:rPr>
          <w:rFonts w:ascii="Times New Roman" w:hAnsi="Times New Roman"/>
          <w:sz w:val="26"/>
        </w:rPr>
        <w:t xml:space="preserve">and </w:t>
      </w:r>
      <w:r w:rsidR="0087309D">
        <w:rPr>
          <w:rFonts w:ascii="Times New Roman" w:hAnsi="Times New Roman"/>
          <w:sz w:val="26"/>
        </w:rPr>
        <w:t xml:space="preserve">any </w:t>
      </w:r>
      <w:r w:rsidR="00C76D7F">
        <w:rPr>
          <w:rFonts w:ascii="Times New Roman" w:hAnsi="Times New Roman"/>
          <w:sz w:val="26"/>
        </w:rPr>
        <w:t>non-public utilit</w:t>
      </w:r>
      <w:r w:rsidR="0087309D">
        <w:rPr>
          <w:rFonts w:ascii="Times New Roman" w:hAnsi="Times New Roman"/>
          <w:sz w:val="26"/>
        </w:rPr>
        <w:t>y</w:t>
      </w:r>
      <w:r w:rsidR="00C76D7F">
        <w:rPr>
          <w:rFonts w:ascii="Times New Roman" w:hAnsi="Times New Roman"/>
          <w:sz w:val="26"/>
        </w:rPr>
        <w:t xml:space="preserve"> seeking voluntary compliance with jurisdictional transmission </w:t>
      </w:r>
      <w:r w:rsidR="008919E2">
        <w:rPr>
          <w:rFonts w:ascii="Times New Roman" w:hAnsi="Times New Roman"/>
          <w:sz w:val="26"/>
        </w:rPr>
        <w:t>tariff reciprocity conditions.</w:t>
      </w:r>
      <w:r>
        <w:rPr>
          <w:rFonts w:ascii="Times New Roman" w:hAnsi="Times New Roman"/>
          <w:sz w:val="26"/>
        </w:rPr>
        <w:t xml:space="preserve">  These entities must </w:t>
      </w:r>
      <w:r w:rsidR="00BF74A7">
        <w:rPr>
          <w:rFonts w:ascii="Times New Roman" w:hAnsi="Times New Roman" w:cs="Times New Roman"/>
          <w:sz w:val="26"/>
          <w:szCs w:val="26"/>
        </w:rPr>
        <w:t xml:space="preserve">offer transmission service on an open and non-discriminatory basis pursuant to a </w:t>
      </w:r>
      <w:r w:rsidRPr="00841FD9" w:rsidR="00BF74A7">
        <w:rPr>
          <w:rFonts w:ascii="Times New Roman" w:hAnsi="Times New Roman" w:cs="Times New Roman"/>
          <w:i/>
          <w:iCs/>
          <w:sz w:val="26"/>
          <w:szCs w:val="26"/>
        </w:rPr>
        <w:t>pro forma</w:t>
      </w:r>
      <w:r w:rsidR="00BF74A7">
        <w:rPr>
          <w:rFonts w:ascii="Times New Roman" w:hAnsi="Times New Roman" w:cs="Times New Roman"/>
          <w:sz w:val="26"/>
          <w:szCs w:val="26"/>
        </w:rPr>
        <w:t xml:space="preserve"> Open Access Transmission Tariff (OATT).</w:t>
      </w:r>
    </w:p>
    <w:p w:rsidR="00264DF2" w:rsidRPr="006D4101" w:rsidP="006D4101" w14:paraId="52831243" w14:textId="709D6B86">
      <w:pPr>
        <w:pStyle w:val="HTMLPreformatted"/>
        <w:spacing w:line="480" w:lineRule="auto"/>
        <w:rPr>
          <w:rFonts w:ascii="Times New Roman" w:hAnsi="Times New Roman"/>
          <w:color w:val="000000"/>
          <w:sz w:val="26"/>
        </w:rPr>
      </w:pPr>
      <w:r>
        <w:rPr>
          <w:rFonts w:ascii="Times New Roman" w:hAnsi="Times New Roman"/>
          <w:color w:val="000000"/>
          <w:sz w:val="26"/>
        </w:rPr>
        <w:t xml:space="preserve">Part </w:t>
      </w:r>
      <w:r w:rsidR="004863D8">
        <w:rPr>
          <w:rFonts w:ascii="Times New Roman" w:hAnsi="Times New Roman"/>
          <w:color w:val="000000"/>
          <w:sz w:val="26"/>
        </w:rPr>
        <w:t>37</w:t>
      </w:r>
      <w:r>
        <w:rPr>
          <w:rFonts w:ascii="Times New Roman" w:hAnsi="Times New Roman"/>
          <w:color w:val="000000"/>
          <w:sz w:val="26"/>
        </w:rPr>
        <w:t xml:space="preserve"> applies to </w:t>
      </w:r>
      <w:r>
        <w:rPr>
          <w:rFonts w:ascii="Times New Roman" w:hAnsi="Times New Roman"/>
          <w:sz w:val="26"/>
        </w:rPr>
        <w:t xml:space="preserve">any </w:t>
      </w:r>
      <w:r w:rsidRPr="00841FD9">
        <w:rPr>
          <w:rFonts w:ascii="Times New Roman" w:hAnsi="Times New Roman"/>
          <w:sz w:val="26"/>
        </w:rPr>
        <w:t>public utilit</w:t>
      </w:r>
      <w:r>
        <w:rPr>
          <w:rFonts w:ascii="Times New Roman" w:hAnsi="Times New Roman"/>
          <w:sz w:val="26"/>
        </w:rPr>
        <w:t>y</w:t>
      </w:r>
      <w:r w:rsidRPr="00841FD9">
        <w:rPr>
          <w:rFonts w:ascii="Times New Roman" w:hAnsi="Times New Roman"/>
          <w:sz w:val="26"/>
        </w:rPr>
        <w:t xml:space="preserve"> that own</w:t>
      </w:r>
      <w:r>
        <w:rPr>
          <w:rFonts w:ascii="Times New Roman" w:hAnsi="Times New Roman"/>
          <w:sz w:val="26"/>
        </w:rPr>
        <w:t>s</w:t>
      </w:r>
      <w:r w:rsidRPr="00841FD9">
        <w:rPr>
          <w:rFonts w:ascii="Times New Roman" w:hAnsi="Times New Roman"/>
          <w:sz w:val="26"/>
        </w:rPr>
        <w:t>, operate</w:t>
      </w:r>
      <w:r>
        <w:rPr>
          <w:rFonts w:ascii="Times New Roman" w:hAnsi="Times New Roman"/>
          <w:sz w:val="26"/>
        </w:rPr>
        <w:t>s,</w:t>
      </w:r>
      <w:r w:rsidRPr="00841FD9">
        <w:rPr>
          <w:rFonts w:ascii="Times New Roman" w:hAnsi="Times New Roman"/>
          <w:sz w:val="26"/>
        </w:rPr>
        <w:t xml:space="preserve"> or control</w:t>
      </w:r>
      <w:r>
        <w:rPr>
          <w:rFonts w:ascii="Times New Roman" w:hAnsi="Times New Roman"/>
          <w:sz w:val="26"/>
        </w:rPr>
        <w:t>s</w:t>
      </w:r>
      <w:r w:rsidRPr="00841FD9">
        <w:rPr>
          <w:rFonts w:ascii="Times New Roman" w:hAnsi="Times New Roman"/>
          <w:sz w:val="26"/>
        </w:rPr>
        <w:t xml:space="preserve"> </w:t>
      </w:r>
      <w:r w:rsidR="000D74B5">
        <w:rPr>
          <w:rFonts w:ascii="Times New Roman" w:hAnsi="Times New Roman"/>
          <w:sz w:val="26"/>
        </w:rPr>
        <w:t xml:space="preserve">facilities used for the transmission of electric energy in </w:t>
      </w:r>
      <w:r w:rsidRPr="00841FD9">
        <w:rPr>
          <w:rFonts w:ascii="Times New Roman" w:hAnsi="Times New Roman"/>
          <w:sz w:val="26"/>
        </w:rPr>
        <w:t xml:space="preserve">interstate </w:t>
      </w:r>
      <w:r w:rsidR="000D74B5">
        <w:rPr>
          <w:rFonts w:ascii="Times New Roman" w:hAnsi="Times New Roman"/>
          <w:sz w:val="26"/>
        </w:rPr>
        <w:t xml:space="preserve">commerce and to transactions performed under the </w:t>
      </w:r>
      <w:r w:rsidR="000D74B5">
        <w:rPr>
          <w:rFonts w:ascii="Times New Roman" w:hAnsi="Times New Roman"/>
          <w:i/>
          <w:iCs/>
          <w:sz w:val="26"/>
        </w:rPr>
        <w:t xml:space="preserve">pro </w:t>
      </w:r>
      <w:r w:rsidRPr="000D74B5" w:rsidR="000D74B5">
        <w:rPr>
          <w:rFonts w:ascii="Times New Roman" w:hAnsi="Times New Roman"/>
          <w:i/>
          <w:iCs/>
          <w:sz w:val="26"/>
        </w:rPr>
        <w:t>forma</w:t>
      </w:r>
      <w:r w:rsidR="000D74B5">
        <w:rPr>
          <w:rFonts w:ascii="Times New Roman" w:hAnsi="Times New Roman"/>
          <w:sz w:val="26"/>
        </w:rPr>
        <w:t xml:space="preserve"> OATT</w:t>
      </w:r>
      <w:r w:rsidR="00B3577F">
        <w:rPr>
          <w:rFonts w:ascii="Times New Roman" w:hAnsi="Times New Roman"/>
          <w:sz w:val="26"/>
        </w:rPr>
        <w:t xml:space="preserve"> </w:t>
      </w:r>
      <w:r w:rsidR="000A5288">
        <w:rPr>
          <w:rFonts w:ascii="Times New Roman" w:hAnsi="Times New Roman"/>
          <w:sz w:val="26"/>
        </w:rPr>
        <w:t>established under 18 CFR 35.28</w:t>
      </w:r>
      <w:r w:rsidR="000D74B5">
        <w:rPr>
          <w:rFonts w:ascii="Times New Roman" w:hAnsi="Times New Roman"/>
          <w:sz w:val="26"/>
        </w:rPr>
        <w:t>.</w:t>
      </w:r>
      <w:r w:rsidR="00A95ECF">
        <w:rPr>
          <w:rFonts w:ascii="Times New Roman" w:hAnsi="Times New Roman"/>
          <w:sz w:val="26"/>
        </w:rPr>
        <w:t xml:space="preserve">  </w:t>
      </w:r>
      <w:r w:rsidR="00FB2793">
        <w:rPr>
          <w:rFonts w:ascii="Times New Roman" w:hAnsi="Times New Roman"/>
          <w:sz w:val="26"/>
        </w:rPr>
        <w:t>As stated at 18 CFR 37.2, t</w:t>
      </w:r>
      <w:r w:rsidRPr="006D4101">
        <w:rPr>
          <w:rFonts w:ascii="Times New Roman" w:hAnsi="Times New Roman"/>
          <w:sz w:val="26"/>
        </w:rPr>
        <w:t>he purpose of 18 CFR Part 37 is to ensure that potential customers of open access transmission service receive access to information that will enable them to obtain transmission service on a non-discriminatory basis from any Transmission Provider.</w:t>
      </w:r>
      <w:r>
        <w:rPr>
          <w:rStyle w:val="FootnoteReference"/>
          <w:b w:val="0"/>
          <w:bCs/>
          <w:color w:val="000000"/>
        </w:rPr>
        <w:footnoteReference w:id="3"/>
      </w:r>
      <w:r w:rsidR="008352B5">
        <w:rPr>
          <w:rFonts w:ascii="Times New Roman" w:hAnsi="Times New Roman"/>
          <w:sz w:val="26"/>
        </w:rPr>
        <w:t xml:space="preserve">  </w:t>
      </w:r>
      <w:r w:rsidR="00893542">
        <w:rPr>
          <w:rFonts w:ascii="Times New Roman" w:hAnsi="Times New Roman"/>
          <w:sz w:val="26"/>
        </w:rPr>
        <w:t xml:space="preserve">The regulations in 18 CFR Part 37 </w:t>
      </w:r>
      <w:r w:rsidR="00065920">
        <w:rPr>
          <w:rFonts w:ascii="Times New Roman" w:hAnsi="Times New Roman"/>
          <w:sz w:val="26"/>
        </w:rPr>
        <w:t xml:space="preserve">provide standards of conduct </w:t>
      </w:r>
      <w:r w:rsidR="009B7F7C">
        <w:rPr>
          <w:rFonts w:ascii="Times New Roman" w:hAnsi="Times New Roman"/>
          <w:sz w:val="26"/>
        </w:rPr>
        <w:t>and require</w:t>
      </w:r>
      <w:r w:rsidR="003E6DBD">
        <w:rPr>
          <w:rFonts w:ascii="Times New Roman" w:hAnsi="Times New Roman"/>
          <w:sz w:val="26"/>
        </w:rPr>
        <w:t xml:space="preserve"> the Transmission Provider </w:t>
      </w:r>
      <w:r w:rsidR="002377AD">
        <w:rPr>
          <w:rFonts w:ascii="Times New Roman" w:hAnsi="Times New Roman"/>
          <w:sz w:val="26"/>
        </w:rPr>
        <w:t>(</w:t>
      </w:r>
      <w:r w:rsidR="003E6DBD">
        <w:rPr>
          <w:rFonts w:ascii="Times New Roman" w:hAnsi="Times New Roman"/>
          <w:sz w:val="26"/>
        </w:rPr>
        <w:t>or its agent) to</w:t>
      </w:r>
      <w:r w:rsidR="002E7A17">
        <w:rPr>
          <w:rFonts w:ascii="Times New Roman" w:hAnsi="Times New Roman"/>
          <w:sz w:val="26"/>
        </w:rPr>
        <w:t xml:space="preserve"> create and operate </w:t>
      </w:r>
      <w:r w:rsidR="00386ADC">
        <w:rPr>
          <w:rFonts w:ascii="Times New Roman" w:hAnsi="Times New Roman"/>
          <w:sz w:val="26"/>
        </w:rPr>
        <w:t>an Open Access Same</w:t>
      </w:r>
      <w:r w:rsidR="003B53B6">
        <w:rPr>
          <w:rFonts w:ascii="Times New Roman" w:hAnsi="Times New Roman"/>
          <w:sz w:val="26"/>
        </w:rPr>
        <w:t>-</w:t>
      </w:r>
      <w:r w:rsidR="00115154">
        <w:rPr>
          <w:rFonts w:ascii="Times New Roman" w:hAnsi="Times New Roman"/>
          <w:sz w:val="26"/>
        </w:rPr>
        <w:t>T</w:t>
      </w:r>
      <w:r w:rsidR="003B53B6">
        <w:rPr>
          <w:rFonts w:ascii="Times New Roman" w:hAnsi="Times New Roman"/>
          <w:sz w:val="26"/>
        </w:rPr>
        <w:t xml:space="preserve">ime </w:t>
      </w:r>
      <w:r w:rsidR="003B53B6">
        <w:rPr>
          <w:rFonts w:ascii="Times New Roman" w:hAnsi="Times New Roman"/>
          <w:sz w:val="26"/>
        </w:rPr>
        <w:t>Infor</w:t>
      </w:r>
      <w:r w:rsidR="00AE06A3">
        <w:rPr>
          <w:rFonts w:ascii="Times New Roman" w:hAnsi="Times New Roman"/>
          <w:sz w:val="26"/>
        </w:rPr>
        <w:t>m</w:t>
      </w:r>
      <w:r w:rsidR="003B53B6">
        <w:rPr>
          <w:rFonts w:ascii="Times New Roman" w:hAnsi="Times New Roman"/>
          <w:sz w:val="26"/>
        </w:rPr>
        <w:t>ation System (OASIS)</w:t>
      </w:r>
      <w:r w:rsidR="00AE06A3">
        <w:rPr>
          <w:rFonts w:ascii="Times New Roman" w:hAnsi="Times New Roman"/>
          <w:sz w:val="26"/>
        </w:rPr>
        <w:t xml:space="preserve"> that gives all users of the open access</w:t>
      </w:r>
      <w:r w:rsidR="00BB083B">
        <w:rPr>
          <w:rFonts w:ascii="Times New Roman" w:hAnsi="Times New Roman"/>
          <w:sz w:val="26"/>
        </w:rPr>
        <w:t xml:space="preserve"> transmission system access to the same information.</w:t>
      </w:r>
    </w:p>
    <w:p w:rsidR="00781B3D" w:rsidP="00781B3D" w14:paraId="1BEDF480" w14:textId="57443E7A">
      <w:pPr>
        <w:pStyle w:val="NormalWeb"/>
        <w:spacing w:before="0" w:beforeAutospacing="0" w:after="0" w:afterAutospacing="0" w:line="480" w:lineRule="auto"/>
      </w:pPr>
      <w:r w:rsidRPr="006D4101">
        <w:rPr>
          <w:color w:val="000000"/>
          <w:sz w:val="26"/>
        </w:rPr>
        <w:t xml:space="preserve">The collection of information in accordance with FERC-717 is necessary for the implementation of OASIS.  </w:t>
      </w:r>
      <w:r w:rsidR="00BA7561">
        <w:rPr>
          <w:color w:val="000000"/>
          <w:sz w:val="26"/>
        </w:rPr>
        <w:t xml:space="preserve">The regulation at 18 CFR 37.6 </w:t>
      </w:r>
      <w:r w:rsidR="00965B18">
        <w:rPr>
          <w:color w:val="000000"/>
          <w:sz w:val="26"/>
        </w:rPr>
        <w:t xml:space="preserve">lists the </w:t>
      </w:r>
      <w:r w:rsidR="00733744">
        <w:rPr>
          <w:color w:val="000000"/>
          <w:sz w:val="26"/>
        </w:rPr>
        <w:t xml:space="preserve">information that Transportation Providers </w:t>
      </w:r>
      <w:r w:rsidR="006402EB">
        <w:rPr>
          <w:color w:val="000000"/>
          <w:sz w:val="26"/>
        </w:rPr>
        <w:t>or Responsible Parties</w:t>
      </w:r>
      <w:r>
        <w:rPr>
          <w:rStyle w:val="FootnoteReference"/>
          <w:b w:val="0"/>
          <w:bCs/>
          <w:color w:val="000000"/>
        </w:rPr>
        <w:footnoteReference w:id="4"/>
      </w:r>
      <w:r w:rsidR="006402EB">
        <w:rPr>
          <w:color w:val="000000"/>
          <w:sz w:val="26"/>
        </w:rPr>
        <w:t xml:space="preserve"> </w:t>
      </w:r>
      <w:r w:rsidR="00733744">
        <w:rPr>
          <w:color w:val="000000"/>
          <w:sz w:val="26"/>
        </w:rPr>
        <w:t xml:space="preserve">must </w:t>
      </w:r>
      <w:r w:rsidR="00C027AE">
        <w:rPr>
          <w:color w:val="000000"/>
          <w:sz w:val="26"/>
        </w:rPr>
        <w:t xml:space="preserve">calculate and </w:t>
      </w:r>
      <w:r w:rsidR="00EF1CB9">
        <w:rPr>
          <w:color w:val="000000"/>
          <w:sz w:val="26"/>
        </w:rPr>
        <w:t>post on OASIS</w:t>
      </w:r>
      <w:r w:rsidR="00171A4F">
        <w:rPr>
          <w:color w:val="000000"/>
          <w:sz w:val="26"/>
        </w:rPr>
        <w:t xml:space="preserve">.  </w:t>
      </w:r>
      <w:r w:rsidR="00EB0513">
        <w:rPr>
          <w:color w:val="000000"/>
          <w:sz w:val="26"/>
        </w:rPr>
        <w:t xml:space="preserve">Paragraph (a) of section 37.6 </w:t>
      </w:r>
      <w:r>
        <w:rPr>
          <w:color w:val="000000"/>
          <w:sz w:val="26"/>
        </w:rPr>
        <w:t xml:space="preserve">provides that the information posted on OASIS must </w:t>
      </w:r>
      <w:r>
        <w:t>be in such detail and the OASIS must have such capabilities as to allow Transmission Customers</w:t>
      </w:r>
      <w:r>
        <w:rPr>
          <w:rStyle w:val="FootnoteReference"/>
          <w:b w:val="0"/>
          <w:bCs/>
        </w:rPr>
        <w:footnoteReference w:id="5"/>
      </w:r>
      <w:r>
        <w:t xml:space="preserve"> to</w:t>
      </w:r>
      <w:r w:rsidR="00122F73">
        <w:t>:</w:t>
      </w:r>
    </w:p>
    <w:p w:rsidR="00781B3D" w:rsidRPr="00C93E52" w:rsidP="00C93E52" w14:paraId="12C988D3" w14:textId="32501852">
      <w:pPr>
        <w:pStyle w:val="indent-1"/>
        <w:spacing w:before="0" w:beforeAutospacing="0" w:after="0" w:afterAutospacing="0" w:line="480" w:lineRule="auto"/>
        <w:ind w:firstLine="720"/>
        <w:rPr>
          <w:sz w:val="26"/>
          <w:szCs w:val="26"/>
        </w:rPr>
      </w:pPr>
      <w:r w:rsidRPr="00C93E52">
        <w:rPr>
          <w:rStyle w:val="paren"/>
          <w:sz w:val="26"/>
          <w:szCs w:val="26"/>
        </w:rPr>
        <w:t>(</w:t>
      </w:r>
      <w:r w:rsidRPr="00C93E52">
        <w:rPr>
          <w:rStyle w:val="paragraph-hierarchy"/>
          <w:sz w:val="26"/>
          <w:szCs w:val="26"/>
        </w:rPr>
        <w:t>1</w:t>
      </w:r>
      <w:r w:rsidRPr="00C93E52">
        <w:rPr>
          <w:rStyle w:val="paren"/>
          <w:sz w:val="26"/>
          <w:szCs w:val="26"/>
        </w:rPr>
        <w:t>)</w:t>
      </w:r>
      <w:r w:rsidRPr="00C93E52">
        <w:rPr>
          <w:sz w:val="26"/>
          <w:szCs w:val="26"/>
        </w:rPr>
        <w:t xml:space="preserve"> Make requests for transmission services offered by Transmission Providers, Resellers</w:t>
      </w:r>
      <w:r>
        <w:rPr>
          <w:rStyle w:val="FootnoteReference"/>
          <w:b w:val="0"/>
          <w:bCs/>
        </w:rPr>
        <w:footnoteReference w:id="6"/>
      </w:r>
      <w:r w:rsidRPr="00C93E52">
        <w:rPr>
          <w:sz w:val="26"/>
          <w:szCs w:val="26"/>
        </w:rPr>
        <w:t xml:space="preserve"> and other providers of ancillary services, request the designation of a network resource, and request the termination of the designation of a network resource;</w:t>
      </w:r>
    </w:p>
    <w:p w:rsidR="00781B3D" w:rsidRPr="00C93E52" w:rsidP="00C93E52" w14:paraId="5892D494" w14:textId="452A78A2">
      <w:pPr>
        <w:pStyle w:val="indent-1"/>
        <w:spacing w:before="0" w:beforeAutospacing="0" w:after="0" w:afterAutospacing="0" w:line="480" w:lineRule="auto"/>
        <w:ind w:firstLine="720"/>
        <w:rPr>
          <w:sz w:val="26"/>
          <w:szCs w:val="26"/>
        </w:rPr>
      </w:pPr>
      <w:r w:rsidRPr="00C93E52">
        <w:rPr>
          <w:rStyle w:val="paren"/>
          <w:sz w:val="26"/>
          <w:szCs w:val="26"/>
        </w:rPr>
        <w:t>(</w:t>
      </w:r>
      <w:r w:rsidRPr="00C93E52">
        <w:rPr>
          <w:rStyle w:val="paragraph-hierarchy"/>
          <w:sz w:val="26"/>
          <w:szCs w:val="26"/>
        </w:rPr>
        <w:t>2</w:t>
      </w:r>
      <w:r w:rsidRPr="00C93E52">
        <w:rPr>
          <w:rStyle w:val="paren"/>
          <w:sz w:val="26"/>
          <w:szCs w:val="26"/>
        </w:rPr>
        <w:t>)</w:t>
      </w:r>
      <w:r w:rsidRPr="00C93E52">
        <w:rPr>
          <w:sz w:val="26"/>
          <w:szCs w:val="26"/>
        </w:rPr>
        <w:t xml:space="preserve"> View and download in standard formats, using standard protocols,</w:t>
      </w:r>
      <w:r>
        <w:rPr>
          <w:rStyle w:val="FootnoteReference"/>
        </w:rPr>
        <w:footnoteReference w:id="7"/>
      </w:r>
      <w:r w:rsidRPr="00C93E52">
        <w:rPr>
          <w:sz w:val="26"/>
          <w:szCs w:val="26"/>
        </w:rPr>
        <w:t xml:space="preserve"> information regarding the transmission system necessary to enable prudent business decision making;</w:t>
      </w:r>
    </w:p>
    <w:p w:rsidR="00781B3D" w:rsidRPr="00C93E52" w:rsidP="00C93E52" w14:paraId="13F20803" w14:textId="77777777">
      <w:pPr>
        <w:pStyle w:val="indent-1"/>
        <w:spacing w:before="0" w:beforeAutospacing="0" w:after="0" w:afterAutospacing="0" w:line="480" w:lineRule="auto"/>
        <w:ind w:firstLine="720"/>
        <w:rPr>
          <w:sz w:val="26"/>
          <w:szCs w:val="26"/>
        </w:rPr>
      </w:pPr>
      <w:r w:rsidRPr="00C93E52">
        <w:rPr>
          <w:rStyle w:val="paren"/>
          <w:sz w:val="26"/>
          <w:szCs w:val="26"/>
        </w:rPr>
        <w:t>(</w:t>
      </w:r>
      <w:r w:rsidRPr="00C93E52">
        <w:rPr>
          <w:rStyle w:val="paragraph-hierarchy"/>
          <w:sz w:val="26"/>
          <w:szCs w:val="26"/>
        </w:rPr>
        <w:t>3</w:t>
      </w:r>
      <w:r w:rsidRPr="00C93E52">
        <w:rPr>
          <w:rStyle w:val="paren"/>
          <w:sz w:val="26"/>
          <w:szCs w:val="26"/>
        </w:rPr>
        <w:t>)</w:t>
      </w:r>
      <w:r w:rsidRPr="00C93E52">
        <w:rPr>
          <w:sz w:val="26"/>
          <w:szCs w:val="26"/>
        </w:rPr>
        <w:t xml:space="preserve"> Post, view, upload and download information regarding available products and desired services; </w:t>
      </w:r>
    </w:p>
    <w:p w:rsidR="00781B3D" w:rsidRPr="00C93E52" w:rsidP="00C93E52" w14:paraId="472A1130" w14:textId="77777777">
      <w:pPr>
        <w:pStyle w:val="indent-1"/>
        <w:spacing w:before="0" w:beforeAutospacing="0" w:after="0" w:afterAutospacing="0" w:line="480" w:lineRule="auto"/>
        <w:ind w:firstLine="720"/>
        <w:rPr>
          <w:sz w:val="26"/>
          <w:szCs w:val="26"/>
        </w:rPr>
      </w:pPr>
      <w:r w:rsidRPr="00C93E52">
        <w:rPr>
          <w:rStyle w:val="paren"/>
          <w:sz w:val="26"/>
          <w:szCs w:val="26"/>
        </w:rPr>
        <w:t>(</w:t>
      </w:r>
      <w:r w:rsidRPr="00C93E52">
        <w:rPr>
          <w:rStyle w:val="paragraph-hierarchy"/>
          <w:sz w:val="26"/>
          <w:szCs w:val="26"/>
        </w:rPr>
        <w:t>4</w:t>
      </w:r>
      <w:r w:rsidRPr="00C93E52">
        <w:rPr>
          <w:rStyle w:val="paren"/>
          <w:sz w:val="26"/>
          <w:szCs w:val="26"/>
        </w:rPr>
        <w:t>)</w:t>
      </w:r>
      <w:r w:rsidRPr="00C93E52">
        <w:rPr>
          <w:sz w:val="26"/>
          <w:szCs w:val="26"/>
        </w:rPr>
        <w:t xml:space="preserve"> Clearly identify the degree to which transmission service requests or schedules were denied or interrupted; </w:t>
      </w:r>
    </w:p>
    <w:p w:rsidR="00781B3D" w:rsidRPr="00C93E52" w:rsidP="00C93E52" w14:paraId="33E23DD3" w14:textId="3A0C82DB">
      <w:pPr>
        <w:pStyle w:val="indent-1"/>
        <w:spacing w:before="0" w:beforeAutospacing="0" w:after="0" w:afterAutospacing="0" w:line="480" w:lineRule="auto"/>
        <w:ind w:firstLine="720"/>
        <w:rPr>
          <w:sz w:val="26"/>
          <w:szCs w:val="26"/>
        </w:rPr>
      </w:pPr>
      <w:r w:rsidRPr="00C93E52">
        <w:rPr>
          <w:rStyle w:val="paren"/>
          <w:sz w:val="26"/>
          <w:szCs w:val="26"/>
        </w:rPr>
        <w:t>(</w:t>
      </w:r>
      <w:r w:rsidRPr="00C93E52">
        <w:rPr>
          <w:rStyle w:val="paragraph-hierarchy"/>
          <w:sz w:val="26"/>
          <w:szCs w:val="26"/>
        </w:rPr>
        <w:t>5</w:t>
      </w:r>
      <w:r w:rsidRPr="00C93E52">
        <w:rPr>
          <w:rStyle w:val="paren"/>
          <w:sz w:val="26"/>
          <w:szCs w:val="26"/>
        </w:rPr>
        <w:t>)</w:t>
      </w:r>
      <w:r w:rsidRPr="00C93E52">
        <w:rPr>
          <w:sz w:val="26"/>
          <w:szCs w:val="26"/>
        </w:rPr>
        <w:t xml:space="preserve"> Obtain access, in electronic format, to information to support available transmission capability calculations and historical transmission service requests and schedules for various audit purposes; and</w:t>
      </w:r>
    </w:p>
    <w:p w:rsidR="008B0EC3" w:rsidRPr="00C93E52" w:rsidP="00097F1C" w14:paraId="13B40B8D" w14:textId="2F3A4134">
      <w:pPr>
        <w:pStyle w:val="indent-1"/>
        <w:spacing w:before="0" w:beforeAutospacing="0" w:after="0" w:afterAutospacing="0" w:line="480" w:lineRule="auto"/>
        <w:ind w:firstLine="720"/>
        <w:rPr>
          <w:sz w:val="26"/>
          <w:szCs w:val="26"/>
        </w:rPr>
      </w:pPr>
      <w:r w:rsidRPr="00C93E52">
        <w:rPr>
          <w:rStyle w:val="paren"/>
          <w:sz w:val="26"/>
          <w:szCs w:val="26"/>
        </w:rPr>
        <w:t>(</w:t>
      </w:r>
      <w:r w:rsidRPr="00C93E52">
        <w:rPr>
          <w:rStyle w:val="paragraph-hierarchy"/>
          <w:sz w:val="26"/>
          <w:szCs w:val="26"/>
        </w:rPr>
        <w:t>6</w:t>
      </w:r>
      <w:r w:rsidRPr="00C93E52">
        <w:rPr>
          <w:rStyle w:val="paren"/>
          <w:sz w:val="26"/>
          <w:szCs w:val="26"/>
        </w:rPr>
        <w:t>)</w:t>
      </w:r>
      <w:r w:rsidRPr="00C93E52">
        <w:rPr>
          <w:sz w:val="26"/>
          <w:szCs w:val="26"/>
        </w:rPr>
        <w:t xml:space="preserve"> Make file transfers and automated computer-to-computer file transfers and queries as defined by the Standards and Communications Protocols Document.</w:t>
      </w:r>
    </w:p>
    <w:p w:rsidR="00C34DD3" w:rsidP="00097F1C" w14:paraId="2E7ED6BC" w14:textId="393EA68B">
      <w:pPr>
        <w:pStyle w:val="HTMLPreformatted"/>
        <w:spacing w:line="480" w:lineRule="auto"/>
        <w:rPr>
          <w:rFonts w:ascii="Times New Roman" w:hAnsi="Times New Roman"/>
          <w:sz w:val="26"/>
        </w:rPr>
      </w:pPr>
      <w:r w:rsidRPr="00226C6E">
        <w:rPr>
          <w:rFonts w:ascii="Times New Roman" w:hAnsi="Times New Roman"/>
          <w:sz w:val="26"/>
          <w:u w:val="single"/>
        </w:rPr>
        <w:t>Calculation methods, availability of information, and requests</w:t>
      </w:r>
    </w:p>
    <w:p w:rsidR="00221B34" w:rsidP="00221B34" w14:paraId="369BC4B4" w14:textId="5AB9CF26">
      <w:pPr>
        <w:pStyle w:val="HTMLPreformatted"/>
        <w:spacing w:line="480" w:lineRule="auto"/>
      </w:pPr>
      <w:r>
        <w:rPr>
          <w:rFonts w:ascii="Times New Roman" w:hAnsi="Times New Roman"/>
          <w:sz w:val="26"/>
        </w:rPr>
        <w:t xml:space="preserve">The regulation at 18 CFR 37.6(b)(2) </w:t>
      </w:r>
      <w:r w:rsidR="00842F5B">
        <w:rPr>
          <w:rFonts w:ascii="Times New Roman" w:hAnsi="Times New Roman"/>
          <w:sz w:val="26"/>
        </w:rPr>
        <w:t>provides that i</w:t>
      </w:r>
      <w:r w:rsidRPr="006E1C9B">
        <w:rPr>
          <w:rFonts w:ascii="Times New Roman" w:hAnsi="Times New Roman"/>
          <w:sz w:val="26"/>
        </w:rPr>
        <w:t>nformation used to calculate any posting of ATC and TTC</w:t>
      </w:r>
      <w:r>
        <w:rPr>
          <w:rStyle w:val="FootnoteReference"/>
          <w:b w:val="0"/>
          <w:bCs/>
        </w:rPr>
        <w:footnoteReference w:id="8"/>
      </w:r>
      <w:r w:rsidRPr="006E1C9B">
        <w:rPr>
          <w:rFonts w:ascii="Times New Roman" w:hAnsi="Times New Roman"/>
          <w:sz w:val="26"/>
        </w:rPr>
        <w:t xml:space="preserve"> must be dated and time-stamped and all calculations shall be performed according to consistently applied methodologies referenced in the Transmission Provider's transmission tariff and shall be based on Commission-approved Reliability Standards, business practice and electronic communication standards, and related implementation documents, as well as current industry practices, standards and criteria. </w:t>
      </w:r>
      <w:r w:rsidR="00F3517C">
        <w:rPr>
          <w:rFonts w:ascii="Times New Roman" w:hAnsi="Times New Roman"/>
          <w:sz w:val="26"/>
        </w:rPr>
        <w:t xml:space="preserve"> </w:t>
      </w:r>
      <w:r w:rsidRPr="006E1C9B">
        <w:rPr>
          <w:rFonts w:ascii="Times New Roman" w:hAnsi="Times New Roman"/>
          <w:sz w:val="26"/>
        </w:rPr>
        <w:t xml:space="preserve">Such calculations shall be conducted in a manner that is transparent, consistent </w:t>
      </w:r>
      <w:r w:rsidRPr="006E1C9B">
        <w:rPr>
          <w:rFonts w:ascii="Times New Roman" w:hAnsi="Times New Roman"/>
          <w:sz w:val="26"/>
        </w:rPr>
        <w:t>with anticipated system conditions and outages for the relevant timeframe, and not unduly discriminatory or preferential.</w:t>
      </w:r>
    </w:p>
    <w:p w:rsidR="00221B34" w:rsidRPr="008419EA" w:rsidP="00221B34" w14:paraId="10D5FBC5" w14:textId="7B242A77">
      <w:pPr>
        <w:pStyle w:val="indent-2"/>
        <w:spacing w:before="0" w:beforeAutospacing="0" w:after="0" w:afterAutospacing="0" w:line="480" w:lineRule="auto"/>
        <w:rPr>
          <w:sz w:val="26"/>
        </w:rPr>
      </w:pPr>
      <w:r w:rsidRPr="008419EA">
        <w:rPr>
          <w:sz w:val="26"/>
        </w:rPr>
        <w:t>On request, the Responsible Party must make all data used to calculate ATC, TTC, Capacity Benefit Margin,</w:t>
      </w:r>
      <w:r>
        <w:rPr>
          <w:rStyle w:val="FootnoteReference"/>
        </w:rPr>
        <w:footnoteReference w:id="9"/>
      </w:r>
      <w:r w:rsidRPr="008419EA">
        <w:rPr>
          <w:sz w:val="26"/>
        </w:rPr>
        <w:t xml:space="preserve"> and Transmission Reliability Margin</w:t>
      </w:r>
      <w:r>
        <w:rPr>
          <w:rStyle w:val="FootnoteReference"/>
        </w:rPr>
        <w:footnoteReference w:id="10"/>
      </w:r>
      <w:r w:rsidRPr="008419EA">
        <w:rPr>
          <w:sz w:val="26"/>
        </w:rPr>
        <w:t xml:space="preserve"> for any constrained posted paths publicly available in electronic form within one week of the posting. </w:t>
      </w:r>
      <w:r w:rsidR="008B0EC3">
        <w:rPr>
          <w:sz w:val="26"/>
        </w:rPr>
        <w:t xml:space="preserve"> </w:t>
      </w:r>
      <w:r w:rsidRPr="008419EA">
        <w:rPr>
          <w:sz w:val="26"/>
        </w:rPr>
        <w:t xml:space="preserve">The information is required to be provided only in the electronic format in which it was created, along with any necessary decoding instructions, at a cost limited to the cost of reproducing the material. </w:t>
      </w:r>
      <w:r w:rsidR="008B0EC3">
        <w:rPr>
          <w:sz w:val="26"/>
        </w:rPr>
        <w:t xml:space="preserve"> </w:t>
      </w:r>
      <w:r w:rsidRPr="008419EA">
        <w:rPr>
          <w:sz w:val="26"/>
        </w:rPr>
        <w:t>This information is to be retained for six months after the applicable posting period.</w:t>
      </w:r>
    </w:p>
    <w:p w:rsidR="00CF7EF8" w:rsidP="00221B34" w14:paraId="7FC0C947" w14:textId="5B6301A1">
      <w:pPr>
        <w:pStyle w:val="indent-2"/>
        <w:spacing w:before="0" w:beforeAutospacing="0" w:after="0" w:afterAutospacing="0" w:line="480" w:lineRule="auto"/>
        <w:rPr>
          <w:sz w:val="26"/>
          <w:szCs w:val="26"/>
        </w:rPr>
      </w:pPr>
      <w:r w:rsidRPr="00C93E52">
        <w:rPr>
          <w:sz w:val="26"/>
          <w:szCs w:val="26"/>
        </w:rPr>
        <w:t xml:space="preserve">System planning studies, facilities studies, and specific network impact studies performed for customers or the Transmission Provider's own network resources are to be made publicly available in electronic form on request and a list of such studies must be posted on the OASIS. </w:t>
      </w:r>
      <w:r w:rsidRPr="00C93E52" w:rsidR="008B0EC3">
        <w:rPr>
          <w:sz w:val="26"/>
          <w:szCs w:val="26"/>
        </w:rPr>
        <w:t xml:space="preserve"> </w:t>
      </w:r>
      <w:r w:rsidRPr="00C93E52">
        <w:rPr>
          <w:sz w:val="26"/>
          <w:szCs w:val="26"/>
        </w:rPr>
        <w:t xml:space="preserve">A study is required to be provided only in the electronic format in which it was created, along with any necessary decoding instructions, at a cost limited to the cost of reproducing the material. </w:t>
      </w:r>
      <w:r w:rsidRPr="00C93E52" w:rsidR="008B0EC3">
        <w:rPr>
          <w:sz w:val="26"/>
          <w:szCs w:val="26"/>
        </w:rPr>
        <w:t xml:space="preserve"> </w:t>
      </w:r>
      <w:r w:rsidRPr="00C93E52">
        <w:rPr>
          <w:sz w:val="26"/>
          <w:szCs w:val="26"/>
        </w:rPr>
        <w:t>These studies are to be retained for five years.</w:t>
      </w:r>
    </w:p>
    <w:p w:rsidR="00CF7EF8" w14:paraId="00425BD4" w14:textId="77777777">
      <w:pPr>
        <w:rPr>
          <w:rFonts w:ascii="Times New Roman" w:eastAsia="Times New Roman" w:hAnsi="Times New Roman" w:cs="Times New Roman"/>
          <w:sz w:val="26"/>
          <w:szCs w:val="26"/>
        </w:rPr>
      </w:pPr>
      <w:r>
        <w:rPr>
          <w:sz w:val="26"/>
          <w:szCs w:val="26"/>
        </w:rPr>
        <w:br w:type="page"/>
      </w:r>
    </w:p>
    <w:p w:rsidR="00656095" w:rsidP="00656095" w14:paraId="5B4F2C21" w14:textId="77777777">
      <w:pPr>
        <w:pStyle w:val="HTMLPreformatted"/>
        <w:spacing w:line="480" w:lineRule="auto"/>
        <w:rPr>
          <w:rFonts w:ascii="Times New Roman" w:hAnsi="Times New Roman"/>
          <w:color w:val="000000"/>
          <w:sz w:val="26"/>
          <w:u w:val="single"/>
        </w:rPr>
      </w:pPr>
      <w:r>
        <w:rPr>
          <w:rFonts w:ascii="Times New Roman" w:hAnsi="Times New Roman"/>
          <w:color w:val="000000"/>
          <w:sz w:val="26"/>
          <w:u w:val="single"/>
        </w:rPr>
        <w:t>Posting</w:t>
      </w:r>
      <w:r w:rsidR="006A5C52">
        <w:rPr>
          <w:rFonts w:ascii="Times New Roman" w:hAnsi="Times New Roman"/>
          <w:color w:val="000000"/>
          <w:sz w:val="26"/>
          <w:u w:val="single"/>
        </w:rPr>
        <w:t xml:space="preserve"> Requirements</w:t>
      </w:r>
    </w:p>
    <w:p w:rsidR="00C34DD3" w:rsidRPr="006F6D01" w:rsidP="00CF7EF8" w14:paraId="5EDAA657" w14:textId="3A88DC8B">
      <w:pPr>
        <w:pStyle w:val="HTMLPreformatted"/>
        <w:spacing w:line="480" w:lineRule="auto"/>
        <w:rPr>
          <w:sz w:val="26"/>
        </w:rPr>
      </w:pPr>
      <w:r w:rsidRPr="00656095">
        <w:rPr>
          <w:rFonts w:ascii="Times New Roman" w:hAnsi="Times New Roman"/>
          <w:color w:val="000000"/>
          <w:sz w:val="26"/>
        </w:rPr>
        <w:t xml:space="preserve">Paragraph (b)(3) </w:t>
      </w:r>
      <w:r w:rsidRPr="00656095" w:rsidR="00B820DB">
        <w:rPr>
          <w:rFonts w:ascii="Times New Roman" w:hAnsi="Times New Roman"/>
          <w:color w:val="000000"/>
          <w:sz w:val="26"/>
        </w:rPr>
        <w:t xml:space="preserve">of 18 CFR </w:t>
      </w:r>
      <w:r w:rsidRPr="00656095" w:rsidR="00B24BAC">
        <w:rPr>
          <w:rFonts w:ascii="Times New Roman" w:hAnsi="Times New Roman"/>
          <w:color w:val="000000"/>
          <w:sz w:val="26"/>
        </w:rPr>
        <w:t xml:space="preserve">37.6 </w:t>
      </w:r>
      <w:r w:rsidRPr="00656095" w:rsidR="00E06C2E">
        <w:rPr>
          <w:rFonts w:ascii="Times New Roman" w:hAnsi="Times New Roman"/>
          <w:color w:val="000000"/>
          <w:sz w:val="26"/>
        </w:rPr>
        <w:t xml:space="preserve">requires </w:t>
      </w:r>
      <w:r w:rsidRPr="00656095" w:rsidR="006F60F5">
        <w:rPr>
          <w:rFonts w:ascii="Times New Roman" w:hAnsi="Times New Roman"/>
          <w:color w:val="000000"/>
          <w:sz w:val="26"/>
        </w:rPr>
        <w:t xml:space="preserve">Transmission Providers to calculate and </w:t>
      </w:r>
      <w:r w:rsidRPr="00656095" w:rsidR="00381475">
        <w:rPr>
          <w:rFonts w:ascii="Times New Roman" w:hAnsi="Times New Roman"/>
          <w:color w:val="000000"/>
          <w:sz w:val="26"/>
        </w:rPr>
        <w:t xml:space="preserve">post </w:t>
      </w:r>
      <w:r w:rsidRPr="00656095" w:rsidR="00C136B8">
        <w:rPr>
          <w:rFonts w:ascii="Times New Roman" w:hAnsi="Times New Roman"/>
          <w:color w:val="000000"/>
          <w:sz w:val="26"/>
        </w:rPr>
        <w:t>the</w:t>
      </w:r>
      <w:r w:rsidRPr="00656095" w:rsidR="00C136B8">
        <w:rPr>
          <w:rFonts w:ascii="Times New Roman" w:hAnsi="Times New Roman"/>
          <w:sz w:val="26"/>
        </w:rPr>
        <w:t xml:space="preserve"> ATC, TTC, CBM, and TRM in megawatts </w:t>
      </w:r>
      <w:r w:rsidRPr="00656095" w:rsidR="00381475">
        <w:rPr>
          <w:rFonts w:ascii="Times New Roman" w:hAnsi="Times New Roman"/>
          <w:color w:val="000000"/>
          <w:sz w:val="26"/>
        </w:rPr>
        <w:t xml:space="preserve">for </w:t>
      </w:r>
      <w:r w:rsidRPr="00656095" w:rsidR="00C83B1D">
        <w:rPr>
          <w:rFonts w:ascii="Times New Roman" w:hAnsi="Times New Roman"/>
          <w:sz w:val="26"/>
        </w:rPr>
        <w:t>each Posted Path.</w:t>
      </w:r>
      <w:r>
        <w:rPr>
          <w:rStyle w:val="FootnoteReference"/>
          <w:b w:val="0"/>
          <w:bCs/>
        </w:rPr>
        <w:footnoteReference w:id="11"/>
      </w:r>
      <w:r w:rsidRPr="00656095" w:rsidR="007C1185">
        <w:rPr>
          <w:rFonts w:ascii="Times New Roman" w:hAnsi="Times New Roman"/>
          <w:sz w:val="26"/>
        </w:rPr>
        <w:t xml:space="preserve">  </w:t>
      </w:r>
      <w:r w:rsidRPr="00656095" w:rsidR="006F6D01">
        <w:rPr>
          <w:rFonts w:ascii="Times New Roman" w:hAnsi="Times New Roman"/>
          <w:sz w:val="26"/>
        </w:rPr>
        <w:t xml:space="preserve">Paragraph (c) of 18 CFR 37.6 requires Transmission Providers to post prices and a summary of the terms and conditions associated with all transmission products offered to Transmission Customers. </w:t>
      </w:r>
      <w:r w:rsidRPr="00656095" w:rsidR="006A5C52">
        <w:rPr>
          <w:rFonts w:ascii="Times New Roman" w:hAnsi="Times New Roman"/>
          <w:sz w:val="26"/>
        </w:rPr>
        <w:t xml:space="preserve"> Paragraph (d) of 18 CFR 37.6 requires Transmission Providers to </w:t>
      </w:r>
      <w:r w:rsidRPr="00656095" w:rsidR="00D71471">
        <w:rPr>
          <w:rFonts w:ascii="Times New Roman" w:hAnsi="Times New Roman"/>
          <w:sz w:val="26"/>
        </w:rPr>
        <w:t>post a</w:t>
      </w:r>
      <w:r w:rsidRPr="00656095" w:rsidR="006A5C52">
        <w:rPr>
          <w:rFonts w:ascii="Times New Roman" w:hAnsi="Times New Roman"/>
          <w:sz w:val="26"/>
        </w:rPr>
        <w:t xml:space="preserve">ny ancillary service required to be provided or offered under the </w:t>
      </w:r>
      <w:r w:rsidRPr="00656095" w:rsidR="006A5C52">
        <w:rPr>
          <w:rStyle w:val="Emphasis"/>
          <w:rFonts w:ascii="Times New Roman" w:hAnsi="Times New Roman"/>
          <w:sz w:val="26"/>
        </w:rPr>
        <w:t>pro forma</w:t>
      </w:r>
      <w:r w:rsidRPr="00656095" w:rsidR="006A5C52">
        <w:rPr>
          <w:rFonts w:ascii="Times New Roman" w:hAnsi="Times New Roman"/>
          <w:sz w:val="26"/>
        </w:rPr>
        <w:t xml:space="preserve"> </w:t>
      </w:r>
      <w:r w:rsidRPr="00656095" w:rsidR="00EB11BD">
        <w:rPr>
          <w:rFonts w:ascii="Times New Roman" w:hAnsi="Times New Roman"/>
          <w:sz w:val="26"/>
        </w:rPr>
        <w:t>OATT.</w:t>
      </w:r>
    </w:p>
    <w:p w:rsidR="00C34DD3" w:rsidRPr="00F6125D" w:rsidP="00CF7EF8" w14:paraId="2D0F897C" w14:textId="48210D0F">
      <w:pPr>
        <w:spacing w:after="0" w:line="480" w:lineRule="auto"/>
        <w:rPr>
          <w:rFonts w:ascii="Times New Roman" w:eastAsia="Times New Roman" w:hAnsi="Times New Roman" w:cs="Times New Roman"/>
          <w:bCs/>
          <w:sz w:val="26"/>
          <w:szCs w:val="24"/>
          <w:u w:val="single"/>
        </w:rPr>
      </w:pPr>
      <w:r>
        <w:rPr>
          <w:rFonts w:ascii="Times New Roman" w:eastAsia="Times New Roman" w:hAnsi="Times New Roman" w:cs="Times New Roman"/>
          <w:bCs/>
          <w:sz w:val="26"/>
          <w:szCs w:val="24"/>
          <w:u w:val="single"/>
        </w:rPr>
        <w:t>Standards of Conduct</w:t>
      </w:r>
    </w:p>
    <w:p w:rsidR="000D1B03" w:rsidRPr="009811DC" w:rsidP="00CF7EF8" w14:paraId="534C2E3D" w14:textId="3B817D53">
      <w:pPr>
        <w:spacing w:after="0" w:line="480" w:lineRule="auto"/>
        <w:rPr>
          <w:rFonts w:ascii="Times New Roman" w:eastAsia="Times New Roman" w:hAnsi="Times New Roman" w:cs="Times New Roman"/>
          <w:bCs/>
          <w:i/>
          <w:sz w:val="26"/>
          <w:szCs w:val="24"/>
        </w:rPr>
      </w:pPr>
      <w:r w:rsidRPr="009811DC">
        <w:rPr>
          <w:rFonts w:ascii="Times New Roman" w:eastAsia="Times New Roman" w:hAnsi="Times New Roman" w:cs="Times New Roman"/>
          <w:bCs/>
          <w:sz w:val="26"/>
          <w:szCs w:val="24"/>
        </w:rPr>
        <w:t>The Commission established Standards of Conduct</w:t>
      </w:r>
      <w:r w:rsidR="001250F9">
        <w:rPr>
          <w:rFonts w:ascii="Times New Roman" w:eastAsia="Times New Roman" w:hAnsi="Times New Roman" w:cs="Times New Roman"/>
          <w:bCs/>
          <w:sz w:val="26"/>
          <w:szCs w:val="24"/>
        </w:rPr>
        <w:t xml:space="preserve"> at 18 CFR </w:t>
      </w:r>
      <w:r w:rsidR="004D631A">
        <w:rPr>
          <w:rFonts w:ascii="Times New Roman" w:eastAsia="Times New Roman" w:hAnsi="Times New Roman" w:cs="Times New Roman"/>
          <w:bCs/>
          <w:sz w:val="26"/>
          <w:szCs w:val="24"/>
        </w:rPr>
        <w:t>37.4</w:t>
      </w:r>
      <w:r w:rsidRPr="009811DC">
        <w:rPr>
          <w:rFonts w:ascii="Times New Roman" w:eastAsia="Times New Roman" w:hAnsi="Times New Roman" w:cs="Times New Roman"/>
          <w:bCs/>
          <w:sz w:val="26"/>
          <w:szCs w:val="24"/>
        </w:rPr>
        <w:t xml:space="preserve"> requiring that personnel engaged in transmission system operations function independently from personnel engaged in marketing functions. </w:t>
      </w:r>
      <w:r w:rsidR="008B0EC3">
        <w:rPr>
          <w:rFonts w:ascii="Times New Roman" w:eastAsia="Times New Roman" w:hAnsi="Times New Roman" w:cs="Times New Roman"/>
          <w:bCs/>
          <w:sz w:val="26"/>
          <w:szCs w:val="24"/>
        </w:rPr>
        <w:t xml:space="preserve"> </w:t>
      </w:r>
      <w:r w:rsidRPr="009811DC">
        <w:rPr>
          <w:rFonts w:ascii="Times New Roman" w:eastAsia="Times New Roman" w:hAnsi="Times New Roman" w:cs="Times New Roman"/>
          <w:bCs/>
          <w:sz w:val="26"/>
          <w:szCs w:val="24"/>
        </w:rPr>
        <w:t xml:space="preserve">The Standards of Conduct were designed to prevent employees of a public utility (or any of its affiliates) engaged in marketing functions from preferential access to OASIS-related information or from engaging in unduly discriminatory business practices.  Companies were required to separate their transmission operations/reliability functions from their marketing/merchant functions and prevent system operators from providing merchant employees and employees of affiliates </w:t>
      </w:r>
      <w:r w:rsidRPr="009811DC">
        <w:rPr>
          <w:rFonts w:ascii="Times New Roman" w:eastAsia="Times New Roman" w:hAnsi="Times New Roman" w:cs="Times New Roman"/>
          <w:bCs/>
          <w:sz w:val="26"/>
          <w:szCs w:val="24"/>
        </w:rPr>
        <w:t>with transmission-related information not available to all customers at the same time through public posting on the OASIS.</w:t>
      </w:r>
    </w:p>
    <w:p w:rsidR="009811DC" w:rsidRPr="009811DC" w:rsidP="009811DC" w14:paraId="69D803D4" w14:textId="71C43AC1">
      <w:pPr>
        <w:spacing w:after="0" w:line="480" w:lineRule="auto"/>
        <w:rPr>
          <w:rFonts w:ascii="Times New Roman" w:eastAsia="Times New Roman" w:hAnsi="Times New Roman" w:cs="Times New Roman"/>
          <w:bCs/>
          <w:sz w:val="26"/>
          <w:szCs w:val="24"/>
        </w:rPr>
      </w:pPr>
      <w:r w:rsidRPr="004D0A61">
        <w:rPr>
          <w:rFonts w:ascii="Times New Roman" w:eastAsia="Times New Roman" w:hAnsi="Times New Roman" w:cs="Times New Roman"/>
          <w:bCs/>
          <w:i/>
          <w:sz w:val="26"/>
          <w:szCs w:val="24"/>
        </w:rPr>
        <w:t>Type of Respondents</w:t>
      </w:r>
      <w:r w:rsidRPr="004D0A61" w:rsidR="00875989">
        <w:rPr>
          <w:rFonts w:ascii="Times New Roman" w:eastAsia="Times New Roman" w:hAnsi="Times New Roman" w:cs="Times New Roman"/>
          <w:bCs/>
          <w:iCs/>
          <w:sz w:val="26"/>
          <w:szCs w:val="24"/>
        </w:rPr>
        <w:t>:</w:t>
      </w:r>
      <w:r w:rsidR="00875989">
        <w:rPr>
          <w:rFonts w:ascii="Times New Roman" w:eastAsia="Times New Roman" w:hAnsi="Times New Roman" w:cs="Times New Roman"/>
          <w:bCs/>
          <w:iCs/>
          <w:sz w:val="26"/>
          <w:szCs w:val="24"/>
        </w:rPr>
        <w:t xml:space="preserve">  </w:t>
      </w:r>
      <w:r w:rsidRPr="009811DC">
        <w:rPr>
          <w:rFonts w:ascii="Times New Roman" w:eastAsia="Times New Roman" w:hAnsi="Times New Roman" w:cs="Times New Roman"/>
          <w:bCs/>
          <w:sz w:val="26"/>
          <w:szCs w:val="24"/>
        </w:rPr>
        <w:t xml:space="preserve">Transmission </w:t>
      </w:r>
      <w:r w:rsidR="001277C8">
        <w:rPr>
          <w:rFonts w:ascii="Times New Roman" w:eastAsia="Times New Roman" w:hAnsi="Times New Roman" w:cs="Times New Roman"/>
          <w:bCs/>
          <w:sz w:val="26"/>
          <w:szCs w:val="24"/>
        </w:rPr>
        <w:t>Providers</w:t>
      </w:r>
      <w:r w:rsidRPr="009811DC">
        <w:rPr>
          <w:rFonts w:ascii="Times New Roman" w:eastAsia="Times New Roman" w:hAnsi="Times New Roman" w:cs="Times New Roman"/>
          <w:bCs/>
          <w:sz w:val="26"/>
          <w:szCs w:val="24"/>
        </w:rPr>
        <w:t>.</w:t>
      </w:r>
    </w:p>
    <w:p w:rsidR="00942F7A" w:rsidP="009811DC" w14:paraId="081A9440" w14:textId="6C3836BB">
      <w:pPr>
        <w:spacing w:after="0" w:line="480" w:lineRule="auto"/>
        <w:rPr>
          <w:rFonts w:ascii="Times New Roman" w:eastAsia="Times New Roman" w:hAnsi="Times New Roman" w:cs="Times New Roman"/>
          <w:bCs/>
          <w:sz w:val="26"/>
          <w:szCs w:val="24"/>
        </w:rPr>
      </w:pPr>
      <w:r w:rsidRPr="004D0A61">
        <w:rPr>
          <w:rFonts w:ascii="Times New Roman" w:eastAsia="Times New Roman" w:hAnsi="Times New Roman" w:cs="Times New Roman"/>
          <w:bCs/>
          <w:i/>
          <w:sz w:val="26"/>
          <w:szCs w:val="24"/>
        </w:rPr>
        <w:t>Estimate of Annual Burden</w:t>
      </w:r>
      <w:r w:rsidR="00751DEA">
        <w:rPr>
          <w:rFonts w:ascii="Times New Roman" w:eastAsia="Times New Roman" w:hAnsi="Times New Roman" w:cs="Times New Roman"/>
          <w:bCs/>
          <w:i/>
          <w:sz w:val="26"/>
          <w:szCs w:val="24"/>
        </w:rPr>
        <w:t>:</w:t>
      </w:r>
      <w:r>
        <w:rPr>
          <w:rFonts w:ascii="Times New Roman" w:eastAsia="Times New Roman" w:hAnsi="Times New Roman" w:cs="Times New Roman"/>
          <w:bCs/>
          <w:iCs/>
          <w:sz w:val="26"/>
          <w:szCs w:val="24"/>
          <w:vertAlign w:val="superscript"/>
        </w:rPr>
        <w:footnoteReference w:id="12"/>
      </w:r>
      <w:r w:rsidRPr="00FC0C56">
        <w:rPr>
          <w:rFonts w:ascii="Times New Roman" w:eastAsia="Times New Roman" w:hAnsi="Times New Roman" w:cs="Times New Roman"/>
          <w:bCs/>
          <w:iCs/>
          <w:sz w:val="26"/>
          <w:szCs w:val="24"/>
        </w:rPr>
        <w:t xml:space="preserve"> </w:t>
      </w:r>
      <w:r w:rsidR="002558DC">
        <w:rPr>
          <w:rFonts w:ascii="Times New Roman" w:eastAsia="Times New Roman" w:hAnsi="Times New Roman" w:cs="Times New Roman"/>
          <w:bCs/>
          <w:sz w:val="26"/>
          <w:szCs w:val="24"/>
        </w:rPr>
        <w:t xml:space="preserve"> </w:t>
      </w:r>
      <w:r w:rsidR="00490D07">
        <w:rPr>
          <w:rFonts w:ascii="Times New Roman" w:eastAsia="Times New Roman" w:hAnsi="Times New Roman" w:cs="Times New Roman"/>
          <w:bCs/>
          <w:sz w:val="26"/>
          <w:szCs w:val="24"/>
        </w:rPr>
        <w:t xml:space="preserve">The previous information collection </w:t>
      </w:r>
      <w:r w:rsidR="00CA5138">
        <w:rPr>
          <w:rFonts w:ascii="Times New Roman" w:eastAsia="Times New Roman" w:hAnsi="Times New Roman" w:cs="Times New Roman"/>
          <w:bCs/>
          <w:sz w:val="26"/>
          <w:szCs w:val="24"/>
        </w:rPr>
        <w:t xml:space="preserve">request </w:t>
      </w:r>
      <w:r w:rsidR="00EA6947">
        <w:rPr>
          <w:rFonts w:ascii="Times New Roman" w:eastAsia="Times New Roman" w:hAnsi="Times New Roman" w:cs="Times New Roman"/>
          <w:bCs/>
          <w:sz w:val="26"/>
          <w:szCs w:val="24"/>
        </w:rPr>
        <w:t>(ICR Reference No. 202002-</w:t>
      </w:r>
      <w:r w:rsidR="00917FEA">
        <w:rPr>
          <w:rFonts w:ascii="Times New Roman" w:eastAsia="Times New Roman" w:hAnsi="Times New Roman" w:cs="Times New Roman"/>
          <w:bCs/>
          <w:sz w:val="26"/>
          <w:szCs w:val="24"/>
        </w:rPr>
        <w:t xml:space="preserve">1902-006) </w:t>
      </w:r>
      <w:r w:rsidR="00822493">
        <w:rPr>
          <w:rFonts w:ascii="Times New Roman" w:eastAsia="Times New Roman" w:hAnsi="Times New Roman" w:cs="Times New Roman"/>
          <w:bCs/>
          <w:sz w:val="26"/>
          <w:szCs w:val="24"/>
        </w:rPr>
        <w:t xml:space="preserve">in the year 2020 </w:t>
      </w:r>
      <w:r w:rsidR="00CA5138">
        <w:rPr>
          <w:rFonts w:ascii="Times New Roman" w:eastAsia="Times New Roman" w:hAnsi="Times New Roman" w:cs="Times New Roman"/>
          <w:bCs/>
          <w:sz w:val="26"/>
          <w:szCs w:val="24"/>
        </w:rPr>
        <w:t xml:space="preserve">was approved by OMB </w:t>
      </w:r>
      <w:r w:rsidR="00C31562">
        <w:rPr>
          <w:rFonts w:ascii="Times New Roman" w:eastAsia="Times New Roman" w:hAnsi="Times New Roman" w:cs="Times New Roman"/>
          <w:bCs/>
          <w:sz w:val="26"/>
          <w:szCs w:val="24"/>
        </w:rPr>
        <w:t xml:space="preserve">with </w:t>
      </w:r>
      <w:r w:rsidR="00CA5138">
        <w:rPr>
          <w:rFonts w:ascii="Times New Roman" w:eastAsia="Times New Roman" w:hAnsi="Times New Roman" w:cs="Times New Roman"/>
          <w:bCs/>
          <w:sz w:val="26"/>
          <w:szCs w:val="24"/>
        </w:rPr>
        <w:t xml:space="preserve">a one-time burden </w:t>
      </w:r>
      <w:r w:rsidR="00822493">
        <w:rPr>
          <w:rFonts w:ascii="Times New Roman" w:eastAsia="Times New Roman" w:hAnsi="Times New Roman" w:cs="Times New Roman"/>
          <w:bCs/>
          <w:sz w:val="26"/>
          <w:szCs w:val="24"/>
        </w:rPr>
        <w:t xml:space="preserve">that was expected </w:t>
      </w:r>
      <w:r w:rsidR="00C31562">
        <w:rPr>
          <w:rFonts w:ascii="Times New Roman" w:eastAsia="Times New Roman" w:hAnsi="Times New Roman" w:cs="Times New Roman"/>
          <w:bCs/>
          <w:sz w:val="26"/>
          <w:szCs w:val="24"/>
        </w:rPr>
        <w:t xml:space="preserve">to be completed in Year One.  As averaged over a </w:t>
      </w:r>
      <w:r w:rsidR="0003417E">
        <w:rPr>
          <w:rFonts w:ascii="Times New Roman" w:eastAsia="Times New Roman" w:hAnsi="Times New Roman" w:cs="Times New Roman"/>
          <w:bCs/>
          <w:sz w:val="26"/>
          <w:szCs w:val="24"/>
        </w:rPr>
        <w:t>three-year period, the annual responses were estimated as 165 annually</w:t>
      </w:r>
      <w:r w:rsidR="00EF536D">
        <w:rPr>
          <w:rFonts w:ascii="Times New Roman" w:eastAsia="Times New Roman" w:hAnsi="Times New Roman" w:cs="Times New Roman"/>
          <w:bCs/>
          <w:sz w:val="26"/>
          <w:szCs w:val="24"/>
        </w:rPr>
        <w:t xml:space="preserve">, 10 hours per response, and total hours of 1,650 hours.  These burdens are not included </w:t>
      </w:r>
      <w:r w:rsidR="00DD0267">
        <w:rPr>
          <w:rFonts w:ascii="Times New Roman" w:eastAsia="Times New Roman" w:hAnsi="Times New Roman" w:cs="Times New Roman"/>
          <w:bCs/>
          <w:sz w:val="26"/>
          <w:szCs w:val="24"/>
        </w:rPr>
        <w:t>in this information collection request because all respondents have complied with that one-time burden.</w:t>
      </w:r>
      <w:r w:rsidR="00917FEA">
        <w:rPr>
          <w:rFonts w:ascii="Times New Roman" w:eastAsia="Times New Roman" w:hAnsi="Times New Roman" w:cs="Times New Roman"/>
          <w:bCs/>
          <w:sz w:val="26"/>
          <w:szCs w:val="24"/>
        </w:rPr>
        <w:t xml:space="preserve">  The removal of those burdens constitutes a program change.</w:t>
      </w:r>
    </w:p>
    <w:p w:rsidR="009811DC" w:rsidP="009811DC" w14:paraId="1F17CC43" w14:textId="72AE9B55">
      <w:pPr>
        <w:spacing w:after="0" w:line="480" w:lineRule="auto"/>
        <w:rPr>
          <w:rFonts w:ascii="Times New Roman" w:eastAsia="Times New Roman" w:hAnsi="Times New Roman" w:cs="Times New Roman"/>
          <w:bCs/>
          <w:sz w:val="26"/>
          <w:szCs w:val="24"/>
        </w:rPr>
      </w:pPr>
      <w:r>
        <w:rPr>
          <w:rFonts w:ascii="Times New Roman" w:eastAsia="Times New Roman" w:hAnsi="Times New Roman" w:cs="Times New Roman"/>
          <w:bCs/>
          <w:sz w:val="26"/>
          <w:szCs w:val="24"/>
        </w:rPr>
        <w:t>T</w:t>
      </w:r>
      <w:r w:rsidR="00917FEA">
        <w:rPr>
          <w:rFonts w:ascii="Times New Roman" w:eastAsia="Times New Roman" w:hAnsi="Times New Roman" w:cs="Times New Roman"/>
          <w:bCs/>
          <w:sz w:val="26"/>
          <w:szCs w:val="24"/>
        </w:rPr>
        <w:t>h</w:t>
      </w:r>
      <w:r w:rsidR="00D73CEE">
        <w:rPr>
          <w:rFonts w:ascii="Times New Roman" w:eastAsia="Times New Roman" w:hAnsi="Times New Roman" w:cs="Times New Roman"/>
          <w:bCs/>
          <w:sz w:val="26"/>
          <w:szCs w:val="24"/>
        </w:rPr>
        <w:t xml:space="preserve">e </w:t>
      </w:r>
      <w:r w:rsidR="0037675B">
        <w:rPr>
          <w:rFonts w:ascii="Times New Roman" w:eastAsia="Times New Roman" w:hAnsi="Times New Roman" w:cs="Times New Roman"/>
          <w:bCs/>
          <w:sz w:val="26"/>
          <w:szCs w:val="24"/>
        </w:rPr>
        <w:t xml:space="preserve">estimated annual </w:t>
      </w:r>
      <w:r w:rsidR="00D73CEE">
        <w:rPr>
          <w:rFonts w:ascii="Times New Roman" w:eastAsia="Times New Roman" w:hAnsi="Times New Roman" w:cs="Times New Roman"/>
          <w:bCs/>
          <w:sz w:val="26"/>
          <w:szCs w:val="24"/>
        </w:rPr>
        <w:t xml:space="preserve">number of responses </w:t>
      </w:r>
      <w:r w:rsidR="0037675B">
        <w:rPr>
          <w:rFonts w:ascii="Times New Roman" w:eastAsia="Times New Roman" w:hAnsi="Times New Roman" w:cs="Times New Roman"/>
          <w:bCs/>
          <w:sz w:val="26"/>
          <w:szCs w:val="24"/>
        </w:rPr>
        <w:t xml:space="preserve">for the ongoing information collection activity </w:t>
      </w:r>
      <w:r w:rsidR="00D73CEE">
        <w:rPr>
          <w:rFonts w:ascii="Times New Roman" w:eastAsia="Times New Roman" w:hAnsi="Times New Roman" w:cs="Times New Roman"/>
          <w:bCs/>
          <w:sz w:val="26"/>
          <w:szCs w:val="24"/>
        </w:rPr>
        <w:t xml:space="preserve">are adjusted in this </w:t>
      </w:r>
      <w:r w:rsidR="00664416">
        <w:rPr>
          <w:rFonts w:ascii="Times New Roman" w:eastAsia="Times New Roman" w:hAnsi="Times New Roman" w:cs="Times New Roman"/>
          <w:bCs/>
          <w:sz w:val="26"/>
          <w:szCs w:val="24"/>
        </w:rPr>
        <w:t>information collection request</w:t>
      </w:r>
      <w:r w:rsidR="00983B6B">
        <w:rPr>
          <w:rFonts w:ascii="Times New Roman" w:eastAsia="Times New Roman" w:hAnsi="Times New Roman" w:cs="Times New Roman"/>
          <w:bCs/>
          <w:sz w:val="26"/>
          <w:szCs w:val="24"/>
        </w:rPr>
        <w:t xml:space="preserve"> from </w:t>
      </w:r>
      <w:r w:rsidR="00304AA6">
        <w:rPr>
          <w:rFonts w:ascii="Times New Roman" w:eastAsia="Times New Roman" w:hAnsi="Times New Roman" w:cs="Times New Roman"/>
          <w:bCs/>
          <w:sz w:val="26"/>
          <w:szCs w:val="24"/>
        </w:rPr>
        <w:t xml:space="preserve">162 to 216, an increase of </w:t>
      </w:r>
      <w:r w:rsidR="001F708B">
        <w:rPr>
          <w:rFonts w:ascii="Times New Roman" w:eastAsia="Times New Roman" w:hAnsi="Times New Roman" w:cs="Times New Roman"/>
          <w:bCs/>
          <w:sz w:val="26"/>
          <w:szCs w:val="24"/>
        </w:rPr>
        <w:t xml:space="preserve">54 responses.  </w:t>
      </w:r>
      <w:r w:rsidR="00776885">
        <w:rPr>
          <w:rFonts w:ascii="Times New Roman" w:eastAsia="Times New Roman" w:hAnsi="Times New Roman" w:cs="Times New Roman"/>
          <w:bCs/>
          <w:sz w:val="26"/>
          <w:szCs w:val="24"/>
        </w:rPr>
        <w:t>B</w:t>
      </w:r>
      <w:r w:rsidRPr="007E6AF9" w:rsidR="007E6AF9">
        <w:rPr>
          <w:rFonts w:ascii="Times New Roman" w:eastAsia="Times New Roman" w:hAnsi="Times New Roman" w:cs="Times New Roman"/>
          <w:bCs/>
          <w:sz w:val="26"/>
          <w:szCs w:val="24"/>
        </w:rPr>
        <w:t>ased on a review of the information collection since our last submission</w:t>
      </w:r>
      <w:r w:rsidR="0037675B">
        <w:rPr>
          <w:rFonts w:ascii="Times New Roman" w:eastAsia="Times New Roman" w:hAnsi="Times New Roman" w:cs="Times New Roman"/>
          <w:bCs/>
          <w:sz w:val="26"/>
          <w:szCs w:val="24"/>
        </w:rPr>
        <w:t xml:space="preserve">, we have determined this </w:t>
      </w:r>
      <w:r w:rsidR="003435B0">
        <w:rPr>
          <w:rFonts w:ascii="Times New Roman" w:eastAsia="Times New Roman" w:hAnsi="Times New Roman" w:cs="Times New Roman"/>
          <w:bCs/>
          <w:sz w:val="26"/>
          <w:szCs w:val="24"/>
        </w:rPr>
        <w:t>change in number of responses is due to changes in the regulated industry.</w:t>
      </w:r>
    </w:p>
    <w:p w:rsidR="00C129DB" w:rsidP="009811DC" w14:paraId="63993AA4" w14:textId="77777777">
      <w:pPr>
        <w:spacing w:after="0" w:line="480" w:lineRule="auto"/>
        <w:rPr>
          <w:rFonts w:ascii="Times New Roman" w:eastAsia="Times New Roman" w:hAnsi="Times New Roman" w:cs="Times New Roman"/>
          <w:bCs/>
          <w:sz w:val="26"/>
          <w:szCs w:val="24"/>
        </w:rPr>
      </w:pPr>
      <w:r>
        <w:rPr>
          <w:rFonts w:ascii="Times New Roman" w:eastAsia="Times New Roman" w:hAnsi="Times New Roman" w:cs="Times New Roman"/>
          <w:bCs/>
          <w:sz w:val="26"/>
          <w:szCs w:val="24"/>
        </w:rPr>
        <w:t xml:space="preserve">The current burden estimates are shown in the </w:t>
      </w:r>
      <w:r>
        <w:rPr>
          <w:rFonts w:ascii="Times New Roman" w:eastAsia="Times New Roman" w:hAnsi="Times New Roman" w:cs="Times New Roman"/>
          <w:bCs/>
          <w:sz w:val="26"/>
          <w:szCs w:val="24"/>
        </w:rPr>
        <w:t>following table.</w:t>
      </w:r>
    </w:p>
    <w:p w:rsidR="00C129DB" w14:paraId="248D1DCA" w14:textId="77777777">
      <w:pPr>
        <w:rPr>
          <w:rFonts w:ascii="Times New Roman" w:eastAsia="Times New Roman" w:hAnsi="Times New Roman" w:cs="Times New Roman"/>
          <w:bCs/>
          <w:sz w:val="26"/>
          <w:szCs w:val="24"/>
        </w:rPr>
      </w:pPr>
      <w:r>
        <w:rPr>
          <w:rFonts w:ascii="Times New Roman" w:eastAsia="Times New Roman" w:hAnsi="Times New Roman" w:cs="Times New Roman"/>
          <w:bCs/>
          <w:sz w:val="26"/>
          <w:szCs w:val="24"/>
        </w:rPr>
        <w:br w:type="page"/>
      </w:r>
    </w:p>
    <w:p w:rsidR="009811DC" w:rsidP="00664416" w14:paraId="0257B223" w14:textId="493A414F">
      <w:pPr>
        <w:spacing w:after="0" w:line="240" w:lineRule="auto"/>
        <w:jc w:val="center"/>
        <w:rPr>
          <w:rFonts w:ascii="Times New Roman" w:eastAsia="Times New Roman" w:hAnsi="Times New Roman" w:cs="Times New Roman"/>
          <w:b/>
          <w:sz w:val="26"/>
          <w:szCs w:val="24"/>
        </w:rPr>
      </w:pPr>
      <w:r w:rsidRPr="00EE335C">
        <w:rPr>
          <w:rFonts w:ascii="Times New Roman" w:eastAsia="Times New Roman" w:hAnsi="Times New Roman" w:cs="Times New Roman"/>
          <w:b/>
          <w:sz w:val="26"/>
          <w:szCs w:val="24"/>
        </w:rPr>
        <w:t>Burden Estimates for FERC-717, Standards for Business Practices and Communication Protocols for Public Utilities</w:t>
      </w:r>
    </w:p>
    <w:p w:rsidR="00F00BFB" w:rsidRPr="009811DC" w:rsidP="00664416" w14:paraId="5AE86058" w14:textId="77777777">
      <w:pPr>
        <w:spacing w:after="0" w:line="240" w:lineRule="auto"/>
        <w:jc w:val="center"/>
        <w:rPr>
          <w:rFonts w:ascii="Times New Roman" w:eastAsia="Times New Roman" w:hAnsi="Times New Roman" w:cs="Times New Roman"/>
          <w:b/>
          <w:sz w:val="26"/>
          <w:szCs w:val="24"/>
        </w:rPr>
      </w:pPr>
    </w:p>
    <w:tbl>
      <w:tblPr>
        <w:tblW w:w="499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65"/>
        <w:gridCol w:w="1711"/>
        <w:gridCol w:w="1711"/>
        <w:gridCol w:w="1440"/>
        <w:gridCol w:w="1350"/>
        <w:gridCol w:w="1260"/>
      </w:tblGrid>
      <w:tr w14:paraId="3672BBE0" w14:textId="77777777" w:rsidTr="009826F9">
        <w:tblPrEx>
          <w:tblW w:w="499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999" w:type="pct"/>
            <w:shd w:val="clear" w:color="auto" w:fill="D9D9D9"/>
            <w:vAlign w:val="bottom"/>
          </w:tcPr>
          <w:p w:rsidR="00F00BFB" w:rsidP="000A3C27" w14:paraId="73B7FCB8" w14:textId="77777777">
            <w:pPr>
              <w:spacing w:after="0" w:line="240" w:lineRule="auto"/>
              <w:jc w:val="center"/>
              <w:rPr>
                <w:rFonts w:ascii="Times New Roman" w:eastAsia="Times New Roman" w:hAnsi="Times New Roman" w:cs="Times New Roman"/>
                <w:b/>
                <w:sz w:val="26"/>
                <w:szCs w:val="24"/>
              </w:rPr>
            </w:pPr>
          </w:p>
          <w:p w:rsidR="009811DC" w:rsidRPr="009811DC" w:rsidP="000A3C27" w14:paraId="3C5E810F" w14:textId="56897E1D">
            <w:pPr>
              <w:spacing w:after="0" w:line="240" w:lineRule="auto"/>
              <w:jc w:val="center"/>
              <w:rPr>
                <w:rFonts w:ascii="Times New Roman" w:eastAsia="Times New Roman" w:hAnsi="Times New Roman" w:cs="Times New Roman"/>
                <w:b/>
                <w:sz w:val="26"/>
                <w:szCs w:val="24"/>
              </w:rPr>
            </w:pPr>
            <w:r w:rsidRPr="009811DC">
              <w:rPr>
                <w:rFonts w:ascii="Times New Roman" w:eastAsia="Times New Roman" w:hAnsi="Times New Roman" w:cs="Times New Roman"/>
                <w:b/>
                <w:sz w:val="26"/>
                <w:szCs w:val="24"/>
              </w:rPr>
              <w:t>Information Collection Requirement</w:t>
            </w:r>
          </w:p>
        </w:tc>
        <w:tc>
          <w:tcPr>
            <w:tcW w:w="916" w:type="pct"/>
            <w:shd w:val="clear" w:color="auto" w:fill="D9D9D9"/>
            <w:vAlign w:val="bottom"/>
          </w:tcPr>
          <w:p w:rsidR="009811DC" w:rsidRPr="009811DC" w:rsidP="000A3C27" w14:paraId="1089EB94" w14:textId="5BAFE9BE">
            <w:pPr>
              <w:spacing w:after="0" w:line="240" w:lineRule="auto"/>
              <w:jc w:val="center"/>
              <w:rPr>
                <w:rFonts w:ascii="Times New Roman" w:eastAsia="Times New Roman" w:hAnsi="Times New Roman" w:cs="Times New Roman"/>
                <w:b/>
                <w:sz w:val="26"/>
                <w:szCs w:val="24"/>
              </w:rPr>
            </w:pPr>
            <w:r w:rsidRPr="009811DC">
              <w:rPr>
                <w:rFonts w:ascii="Times New Roman" w:eastAsia="Times New Roman" w:hAnsi="Times New Roman" w:cs="Times New Roman"/>
                <w:b/>
                <w:sz w:val="26"/>
                <w:szCs w:val="24"/>
              </w:rPr>
              <w:t>N</w:t>
            </w:r>
            <w:r w:rsidR="008E4B4B">
              <w:rPr>
                <w:rFonts w:ascii="Times New Roman" w:eastAsia="Times New Roman" w:hAnsi="Times New Roman" w:cs="Times New Roman"/>
                <w:b/>
                <w:sz w:val="26"/>
                <w:szCs w:val="24"/>
              </w:rPr>
              <w:t>o.</w:t>
            </w:r>
            <w:r w:rsidRPr="009811DC">
              <w:rPr>
                <w:rFonts w:ascii="Times New Roman" w:eastAsia="Times New Roman" w:hAnsi="Times New Roman" w:cs="Times New Roman"/>
                <w:b/>
                <w:sz w:val="26"/>
                <w:szCs w:val="24"/>
              </w:rPr>
              <w:t xml:space="preserve"> of Respondents</w:t>
            </w:r>
            <w:r w:rsidRPr="009811DC">
              <w:rPr>
                <w:rFonts w:ascii="Times New Roman" w:eastAsia="Times New Roman" w:hAnsi="Times New Roman" w:cs="Times New Roman"/>
                <w:b/>
                <w:sz w:val="26"/>
                <w:szCs w:val="24"/>
              </w:rPr>
              <w:br/>
              <w:t>(1)</w:t>
            </w:r>
          </w:p>
        </w:tc>
        <w:tc>
          <w:tcPr>
            <w:tcW w:w="916" w:type="pct"/>
            <w:shd w:val="clear" w:color="auto" w:fill="D9D9D9"/>
            <w:vAlign w:val="bottom"/>
          </w:tcPr>
          <w:p w:rsidR="009811DC" w:rsidRPr="009811DC" w:rsidP="000A3C27" w14:paraId="161F390D" w14:textId="3C35CDE3">
            <w:pPr>
              <w:spacing w:after="0" w:line="240" w:lineRule="auto"/>
              <w:jc w:val="center"/>
              <w:rPr>
                <w:rFonts w:ascii="Times New Roman" w:eastAsia="Times New Roman" w:hAnsi="Times New Roman" w:cs="Times New Roman"/>
                <w:b/>
                <w:sz w:val="26"/>
                <w:szCs w:val="24"/>
              </w:rPr>
            </w:pPr>
            <w:r w:rsidRPr="009811DC">
              <w:rPr>
                <w:rFonts w:ascii="Times New Roman" w:eastAsia="Times New Roman" w:hAnsi="Times New Roman" w:cs="Times New Roman"/>
                <w:b/>
                <w:sz w:val="26"/>
                <w:szCs w:val="24"/>
              </w:rPr>
              <w:t>Annual N</w:t>
            </w:r>
            <w:r w:rsidR="009826F9">
              <w:rPr>
                <w:rFonts w:ascii="Times New Roman" w:eastAsia="Times New Roman" w:hAnsi="Times New Roman" w:cs="Times New Roman"/>
                <w:b/>
                <w:sz w:val="26"/>
                <w:szCs w:val="24"/>
              </w:rPr>
              <w:t>o.</w:t>
            </w:r>
            <w:r w:rsidRPr="009811DC">
              <w:rPr>
                <w:rFonts w:ascii="Times New Roman" w:eastAsia="Times New Roman" w:hAnsi="Times New Roman" w:cs="Times New Roman"/>
                <w:b/>
                <w:sz w:val="26"/>
                <w:szCs w:val="24"/>
              </w:rPr>
              <w:t xml:space="preserve"> of Responses per Respondent</w:t>
            </w:r>
          </w:p>
          <w:p w:rsidR="009811DC" w:rsidRPr="009811DC" w:rsidP="000A3C27" w14:paraId="46DC689C" w14:textId="77777777">
            <w:pPr>
              <w:spacing w:after="0" w:line="240" w:lineRule="auto"/>
              <w:jc w:val="center"/>
              <w:rPr>
                <w:rFonts w:ascii="Times New Roman" w:eastAsia="Times New Roman" w:hAnsi="Times New Roman" w:cs="Times New Roman"/>
                <w:b/>
                <w:sz w:val="26"/>
                <w:szCs w:val="24"/>
              </w:rPr>
            </w:pPr>
            <w:r w:rsidRPr="009811DC">
              <w:rPr>
                <w:rFonts w:ascii="Times New Roman" w:eastAsia="Times New Roman" w:hAnsi="Times New Roman" w:cs="Times New Roman"/>
                <w:b/>
                <w:sz w:val="26"/>
                <w:szCs w:val="24"/>
              </w:rPr>
              <w:t>(2)</w:t>
            </w:r>
          </w:p>
        </w:tc>
        <w:tc>
          <w:tcPr>
            <w:tcW w:w="771" w:type="pct"/>
            <w:shd w:val="clear" w:color="auto" w:fill="D9D9D9"/>
            <w:vAlign w:val="bottom"/>
          </w:tcPr>
          <w:p w:rsidR="009811DC" w:rsidRPr="009811DC" w:rsidP="000A3C27" w14:paraId="10A60E0E" w14:textId="47A3226E">
            <w:pPr>
              <w:spacing w:after="0" w:line="240" w:lineRule="auto"/>
              <w:jc w:val="center"/>
              <w:rPr>
                <w:rFonts w:ascii="Times New Roman" w:eastAsia="Times New Roman" w:hAnsi="Times New Roman" w:cs="Times New Roman"/>
                <w:b/>
                <w:sz w:val="26"/>
                <w:szCs w:val="24"/>
              </w:rPr>
            </w:pPr>
            <w:r w:rsidRPr="009811DC">
              <w:rPr>
                <w:rFonts w:ascii="Times New Roman" w:eastAsia="Times New Roman" w:hAnsi="Times New Roman" w:cs="Times New Roman"/>
                <w:b/>
                <w:sz w:val="26"/>
                <w:szCs w:val="24"/>
              </w:rPr>
              <w:t>Total N</w:t>
            </w:r>
            <w:r w:rsidR="009826F9">
              <w:rPr>
                <w:rFonts w:ascii="Times New Roman" w:eastAsia="Times New Roman" w:hAnsi="Times New Roman" w:cs="Times New Roman"/>
                <w:b/>
                <w:sz w:val="26"/>
                <w:szCs w:val="24"/>
              </w:rPr>
              <w:t>o.</w:t>
            </w:r>
            <w:r w:rsidRPr="009811DC">
              <w:rPr>
                <w:rFonts w:ascii="Times New Roman" w:eastAsia="Times New Roman" w:hAnsi="Times New Roman" w:cs="Times New Roman"/>
                <w:b/>
                <w:sz w:val="26"/>
                <w:szCs w:val="24"/>
              </w:rPr>
              <w:t xml:space="preserve"> of Responses (1)*(2)=(3)</w:t>
            </w:r>
          </w:p>
        </w:tc>
        <w:tc>
          <w:tcPr>
            <w:tcW w:w="723" w:type="pct"/>
            <w:shd w:val="clear" w:color="auto" w:fill="D9D9D9"/>
            <w:vAlign w:val="bottom"/>
          </w:tcPr>
          <w:p w:rsidR="009811DC" w:rsidRPr="009811DC" w:rsidP="000A3C27" w14:paraId="4D75D958" w14:textId="77777777">
            <w:pPr>
              <w:spacing w:after="0" w:line="240" w:lineRule="auto"/>
              <w:jc w:val="center"/>
              <w:rPr>
                <w:rFonts w:ascii="Times New Roman" w:eastAsia="Times New Roman" w:hAnsi="Times New Roman" w:cs="Times New Roman"/>
                <w:b/>
                <w:sz w:val="26"/>
                <w:szCs w:val="24"/>
              </w:rPr>
            </w:pPr>
            <w:r w:rsidRPr="009811DC">
              <w:rPr>
                <w:rFonts w:ascii="Times New Roman" w:eastAsia="Times New Roman" w:hAnsi="Times New Roman" w:cs="Times New Roman"/>
                <w:b/>
                <w:sz w:val="26"/>
                <w:szCs w:val="24"/>
              </w:rPr>
              <w:t>Average Burden Hours &amp; Cost Per Response</w:t>
            </w:r>
            <w:bookmarkStart w:id="3" w:name="_Ref477435767"/>
            <w:r>
              <w:rPr>
                <w:rFonts w:ascii="Times New Roman" w:eastAsia="Times New Roman" w:hAnsi="Times New Roman" w:cs="Times New Roman"/>
                <w:bCs/>
                <w:sz w:val="26"/>
                <w:szCs w:val="24"/>
                <w:vertAlign w:val="superscript"/>
              </w:rPr>
              <w:footnoteReference w:id="13"/>
            </w:r>
            <w:bookmarkEnd w:id="3"/>
          </w:p>
          <w:p w:rsidR="009811DC" w:rsidRPr="009811DC" w:rsidP="000A3C27" w14:paraId="3D1FEFE4" w14:textId="77777777">
            <w:pPr>
              <w:spacing w:after="0" w:line="240" w:lineRule="auto"/>
              <w:jc w:val="center"/>
              <w:rPr>
                <w:rFonts w:ascii="Times New Roman" w:eastAsia="Times New Roman" w:hAnsi="Times New Roman" w:cs="Times New Roman"/>
                <w:b/>
                <w:sz w:val="26"/>
                <w:szCs w:val="24"/>
              </w:rPr>
            </w:pPr>
            <w:r w:rsidRPr="009811DC">
              <w:rPr>
                <w:rFonts w:ascii="Times New Roman" w:eastAsia="Times New Roman" w:hAnsi="Times New Roman" w:cs="Times New Roman"/>
                <w:b/>
                <w:sz w:val="26"/>
                <w:szCs w:val="24"/>
              </w:rPr>
              <w:t>(4)</w:t>
            </w:r>
          </w:p>
        </w:tc>
        <w:tc>
          <w:tcPr>
            <w:tcW w:w="675" w:type="pct"/>
            <w:shd w:val="clear" w:color="auto" w:fill="D9D9D9"/>
            <w:vAlign w:val="bottom"/>
          </w:tcPr>
          <w:p w:rsidR="009811DC" w:rsidRPr="009811DC" w:rsidP="000A3C27" w14:paraId="0D42DF63" w14:textId="77777777">
            <w:pPr>
              <w:spacing w:after="0" w:line="240" w:lineRule="auto"/>
              <w:jc w:val="center"/>
              <w:rPr>
                <w:rFonts w:ascii="Times New Roman" w:eastAsia="Times New Roman" w:hAnsi="Times New Roman" w:cs="Times New Roman"/>
                <w:b/>
                <w:sz w:val="26"/>
                <w:szCs w:val="24"/>
              </w:rPr>
            </w:pPr>
            <w:r w:rsidRPr="009811DC">
              <w:rPr>
                <w:rFonts w:ascii="Times New Roman" w:eastAsia="Times New Roman" w:hAnsi="Times New Roman" w:cs="Times New Roman"/>
                <w:b/>
                <w:sz w:val="26"/>
                <w:szCs w:val="24"/>
              </w:rPr>
              <w:t>Total Annual Burden Hours &amp; Total Annual Cost</w:t>
            </w:r>
          </w:p>
          <w:p w:rsidR="009811DC" w:rsidRPr="009811DC" w:rsidP="000A3C27" w14:paraId="59809F79" w14:textId="77777777">
            <w:pPr>
              <w:spacing w:after="0" w:line="240" w:lineRule="auto"/>
              <w:jc w:val="center"/>
              <w:rPr>
                <w:rFonts w:ascii="Times New Roman" w:eastAsia="Times New Roman" w:hAnsi="Times New Roman" w:cs="Times New Roman"/>
                <w:b/>
                <w:sz w:val="26"/>
                <w:szCs w:val="24"/>
              </w:rPr>
            </w:pPr>
            <w:r w:rsidRPr="009811DC">
              <w:rPr>
                <w:rFonts w:ascii="Times New Roman" w:eastAsia="Times New Roman" w:hAnsi="Times New Roman" w:cs="Times New Roman"/>
                <w:b/>
                <w:sz w:val="26"/>
                <w:szCs w:val="24"/>
              </w:rPr>
              <w:t>(3)*(4)=(5)</w:t>
            </w:r>
          </w:p>
        </w:tc>
      </w:tr>
      <w:tr w14:paraId="03434B88" w14:textId="77777777" w:rsidTr="00C129DB">
        <w:tblPrEx>
          <w:tblW w:w="4993" w:type="pct"/>
          <w:tblInd w:w="-72" w:type="dxa"/>
          <w:tblLayout w:type="fixed"/>
          <w:tblLook w:val="01E0"/>
        </w:tblPrEx>
        <w:trPr>
          <w:cantSplit/>
          <w:trHeight w:val="1448"/>
        </w:trPr>
        <w:tc>
          <w:tcPr>
            <w:tcW w:w="999" w:type="pct"/>
            <w:shd w:val="clear" w:color="auto" w:fill="auto"/>
            <w:vAlign w:val="bottom"/>
          </w:tcPr>
          <w:p w:rsidR="009811DC" w:rsidRPr="009811DC" w:rsidP="00C129DB" w14:paraId="6A9E4ED3" w14:textId="14CABF00">
            <w:pPr>
              <w:spacing w:after="0" w:line="240" w:lineRule="auto"/>
              <w:jc w:val="center"/>
              <w:rPr>
                <w:rFonts w:ascii="Times New Roman" w:eastAsia="Times New Roman" w:hAnsi="Times New Roman" w:cs="Times New Roman"/>
                <w:b/>
                <w:sz w:val="26"/>
                <w:szCs w:val="24"/>
              </w:rPr>
            </w:pPr>
            <w:r>
              <w:rPr>
                <w:rFonts w:ascii="Times New Roman" w:eastAsia="Times New Roman" w:hAnsi="Times New Roman" w:cs="Times New Roman"/>
                <w:bCs/>
                <w:sz w:val="26"/>
                <w:szCs w:val="24"/>
              </w:rPr>
              <w:t>Open Access Same-Time Information (OASIS)</w:t>
            </w:r>
          </w:p>
        </w:tc>
        <w:tc>
          <w:tcPr>
            <w:tcW w:w="916" w:type="pct"/>
            <w:shd w:val="clear" w:color="auto" w:fill="auto"/>
            <w:vAlign w:val="bottom"/>
          </w:tcPr>
          <w:p w:rsidR="009811DC" w:rsidRPr="009811DC" w:rsidP="00AD52F6" w14:paraId="5642D54F" w14:textId="200FA52C">
            <w:pPr>
              <w:spacing w:after="0" w:line="240" w:lineRule="auto"/>
              <w:jc w:val="right"/>
              <w:rPr>
                <w:rFonts w:ascii="Times New Roman" w:eastAsia="Times New Roman" w:hAnsi="Times New Roman" w:cs="Times New Roman"/>
                <w:bCs/>
                <w:sz w:val="26"/>
                <w:szCs w:val="24"/>
              </w:rPr>
            </w:pPr>
            <w:r>
              <w:rPr>
                <w:rFonts w:ascii="Times New Roman" w:eastAsia="Times New Roman" w:hAnsi="Times New Roman" w:cs="Times New Roman"/>
                <w:bCs/>
                <w:sz w:val="26"/>
                <w:szCs w:val="24"/>
              </w:rPr>
              <w:t>216</w:t>
            </w:r>
          </w:p>
        </w:tc>
        <w:tc>
          <w:tcPr>
            <w:tcW w:w="916" w:type="pct"/>
            <w:shd w:val="clear" w:color="auto" w:fill="auto"/>
            <w:vAlign w:val="bottom"/>
          </w:tcPr>
          <w:p w:rsidR="009811DC" w:rsidRPr="009811DC" w:rsidP="00AD52F6" w14:paraId="5CFE1DAD" w14:textId="77777777">
            <w:pPr>
              <w:spacing w:after="0" w:line="240" w:lineRule="auto"/>
              <w:jc w:val="right"/>
              <w:rPr>
                <w:rFonts w:ascii="Times New Roman" w:eastAsia="Times New Roman" w:hAnsi="Times New Roman" w:cs="Times New Roman"/>
                <w:bCs/>
                <w:sz w:val="26"/>
                <w:szCs w:val="24"/>
              </w:rPr>
            </w:pPr>
            <w:r w:rsidRPr="009811DC">
              <w:rPr>
                <w:rFonts w:ascii="Times New Roman" w:eastAsia="Times New Roman" w:hAnsi="Times New Roman" w:cs="Times New Roman"/>
                <w:bCs/>
                <w:sz w:val="26"/>
                <w:szCs w:val="24"/>
              </w:rPr>
              <w:t>1</w:t>
            </w:r>
          </w:p>
        </w:tc>
        <w:tc>
          <w:tcPr>
            <w:tcW w:w="771" w:type="pct"/>
            <w:shd w:val="clear" w:color="auto" w:fill="auto"/>
            <w:vAlign w:val="bottom"/>
          </w:tcPr>
          <w:p w:rsidR="009811DC" w:rsidRPr="009811DC" w:rsidP="00AD52F6" w14:paraId="1BC557DB" w14:textId="1340448E">
            <w:pPr>
              <w:spacing w:after="0" w:line="240" w:lineRule="auto"/>
              <w:jc w:val="right"/>
              <w:rPr>
                <w:rFonts w:ascii="Times New Roman" w:eastAsia="Times New Roman" w:hAnsi="Times New Roman" w:cs="Times New Roman"/>
                <w:bCs/>
                <w:sz w:val="26"/>
                <w:szCs w:val="24"/>
              </w:rPr>
            </w:pPr>
            <w:r>
              <w:rPr>
                <w:rFonts w:ascii="Times New Roman" w:eastAsia="Times New Roman" w:hAnsi="Times New Roman" w:cs="Times New Roman"/>
                <w:bCs/>
                <w:sz w:val="26"/>
                <w:szCs w:val="24"/>
              </w:rPr>
              <w:t>216</w:t>
            </w:r>
          </w:p>
        </w:tc>
        <w:tc>
          <w:tcPr>
            <w:tcW w:w="723" w:type="pct"/>
            <w:shd w:val="clear" w:color="auto" w:fill="auto"/>
            <w:vAlign w:val="bottom"/>
          </w:tcPr>
          <w:p w:rsidR="009811DC" w:rsidRPr="009811DC" w:rsidP="00AD52F6" w14:paraId="7CC83682" w14:textId="77777777">
            <w:pPr>
              <w:spacing w:after="0" w:line="240" w:lineRule="auto"/>
              <w:jc w:val="right"/>
              <w:rPr>
                <w:rFonts w:ascii="Times New Roman" w:eastAsia="Times New Roman" w:hAnsi="Times New Roman" w:cs="Times New Roman"/>
                <w:bCs/>
                <w:sz w:val="26"/>
                <w:szCs w:val="24"/>
              </w:rPr>
            </w:pPr>
            <w:r w:rsidRPr="009811DC">
              <w:rPr>
                <w:rFonts w:ascii="Times New Roman" w:eastAsia="Times New Roman" w:hAnsi="Times New Roman" w:cs="Times New Roman"/>
                <w:bCs/>
                <w:sz w:val="26"/>
                <w:szCs w:val="24"/>
              </w:rPr>
              <w:t>30 hrs.;</w:t>
            </w:r>
          </w:p>
          <w:p w:rsidR="009811DC" w:rsidRPr="009811DC" w:rsidP="00AD52F6" w14:paraId="27E02425" w14:textId="3231B29C">
            <w:pPr>
              <w:spacing w:after="0" w:line="240" w:lineRule="auto"/>
              <w:jc w:val="right"/>
              <w:rPr>
                <w:rFonts w:ascii="Times New Roman" w:eastAsia="Times New Roman" w:hAnsi="Times New Roman" w:cs="Times New Roman"/>
                <w:bCs/>
                <w:sz w:val="26"/>
                <w:szCs w:val="24"/>
              </w:rPr>
            </w:pPr>
            <w:r w:rsidRPr="009811DC">
              <w:rPr>
                <w:rFonts w:ascii="Times New Roman" w:eastAsia="Times New Roman" w:hAnsi="Times New Roman" w:cs="Times New Roman"/>
                <w:bCs/>
                <w:sz w:val="26"/>
                <w:szCs w:val="24"/>
              </w:rPr>
              <w:t>$2,</w:t>
            </w:r>
            <w:r w:rsidR="00B40332">
              <w:rPr>
                <w:rFonts w:ascii="Times New Roman" w:eastAsia="Times New Roman" w:hAnsi="Times New Roman" w:cs="Times New Roman"/>
                <w:bCs/>
                <w:sz w:val="26"/>
                <w:szCs w:val="24"/>
              </w:rPr>
              <w:t>880</w:t>
            </w:r>
          </w:p>
        </w:tc>
        <w:tc>
          <w:tcPr>
            <w:tcW w:w="675" w:type="pct"/>
            <w:shd w:val="clear" w:color="auto" w:fill="auto"/>
            <w:vAlign w:val="bottom"/>
          </w:tcPr>
          <w:p w:rsidR="009811DC" w:rsidRPr="009811DC" w:rsidP="00AD52F6" w14:paraId="5CD7704A" w14:textId="2392BE93">
            <w:pPr>
              <w:spacing w:after="0" w:line="240" w:lineRule="auto"/>
              <w:jc w:val="right"/>
              <w:rPr>
                <w:rFonts w:ascii="Times New Roman" w:eastAsia="Times New Roman" w:hAnsi="Times New Roman" w:cs="Times New Roman"/>
                <w:bCs/>
                <w:sz w:val="26"/>
                <w:szCs w:val="24"/>
              </w:rPr>
            </w:pPr>
            <w:r>
              <w:rPr>
                <w:rFonts w:ascii="Times New Roman" w:eastAsia="Times New Roman" w:hAnsi="Times New Roman" w:cs="Times New Roman"/>
                <w:bCs/>
                <w:sz w:val="26"/>
                <w:szCs w:val="24"/>
              </w:rPr>
              <w:t>6,480</w:t>
            </w:r>
            <w:r w:rsidRPr="009811DC">
              <w:rPr>
                <w:rFonts w:ascii="Times New Roman" w:eastAsia="Times New Roman" w:hAnsi="Times New Roman" w:cs="Times New Roman"/>
                <w:bCs/>
                <w:sz w:val="26"/>
                <w:szCs w:val="24"/>
              </w:rPr>
              <w:t xml:space="preserve"> hrs.;</w:t>
            </w:r>
          </w:p>
          <w:p w:rsidR="009811DC" w:rsidRPr="009811DC" w:rsidP="00AD52F6" w14:paraId="4FFBA059" w14:textId="271E6FCE">
            <w:pPr>
              <w:spacing w:after="0" w:line="240" w:lineRule="auto"/>
              <w:jc w:val="right"/>
              <w:rPr>
                <w:rFonts w:ascii="Times New Roman" w:eastAsia="Times New Roman" w:hAnsi="Times New Roman" w:cs="Times New Roman"/>
                <w:bCs/>
                <w:sz w:val="26"/>
                <w:szCs w:val="24"/>
              </w:rPr>
            </w:pPr>
            <w:r>
              <w:rPr>
                <w:rFonts w:ascii="Times New Roman" w:eastAsia="Times New Roman" w:hAnsi="Times New Roman" w:cs="Times New Roman"/>
                <w:bCs/>
                <w:sz w:val="26"/>
                <w:szCs w:val="24"/>
              </w:rPr>
              <w:t>$622,080</w:t>
            </w:r>
          </w:p>
        </w:tc>
      </w:tr>
    </w:tbl>
    <w:p w:rsidR="009811DC" w:rsidRPr="009811DC" w:rsidP="009811DC" w14:paraId="15B84E81" w14:textId="77777777">
      <w:pPr>
        <w:spacing w:after="0" w:line="480" w:lineRule="auto"/>
        <w:rPr>
          <w:rFonts w:ascii="Times New Roman" w:eastAsia="Times New Roman" w:hAnsi="Times New Roman" w:cs="Times New Roman"/>
          <w:b/>
          <w:sz w:val="26"/>
          <w:szCs w:val="24"/>
        </w:rPr>
      </w:pPr>
    </w:p>
    <w:p w:rsidR="00C864B2" w:rsidP="009811DC" w14:paraId="3319A78F" w14:textId="77777777">
      <w:pPr>
        <w:spacing w:after="0" w:line="480" w:lineRule="auto"/>
        <w:rPr>
          <w:rFonts w:ascii="Times New Roman" w:eastAsia="Times New Roman" w:hAnsi="Times New Roman" w:cs="Times New Roman"/>
          <w:bCs/>
          <w:sz w:val="26"/>
          <w:szCs w:val="24"/>
        </w:rPr>
      </w:pPr>
      <w:r w:rsidRPr="004D0A61">
        <w:rPr>
          <w:rFonts w:ascii="Times New Roman" w:eastAsia="Times New Roman" w:hAnsi="Times New Roman" w:cs="Times New Roman"/>
          <w:bCs/>
          <w:i/>
          <w:sz w:val="26"/>
          <w:szCs w:val="24"/>
        </w:rPr>
        <w:t>Comments</w:t>
      </w:r>
      <w:r w:rsidRPr="009811DC">
        <w:rPr>
          <w:rFonts w:ascii="Times New Roman" w:eastAsia="Times New Roman" w:hAnsi="Times New Roman" w:cs="Times New Roman"/>
          <w:bCs/>
          <w:i/>
          <w:sz w:val="26"/>
          <w:szCs w:val="24"/>
        </w:rPr>
        <w:t xml:space="preserve">:  </w:t>
      </w:r>
      <w:r w:rsidRPr="009811DC">
        <w:rPr>
          <w:rFonts w:ascii="Times New Roman" w:eastAsia="Times New Roman" w:hAnsi="Times New Roman" w:cs="Times New Roman"/>
          <w:bCs/>
          <w:sz w:val="26"/>
          <w:szCs w:val="24"/>
        </w:rPr>
        <w:t>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w:t>
      </w:r>
    </w:p>
    <w:p w:rsidR="00C864B2" w14:paraId="3430B139" w14:textId="77777777">
      <w:pPr>
        <w:rPr>
          <w:rFonts w:ascii="Times New Roman" w:eastAsia="Times New Roman" w:hAnsi="Times New Roman" w:cs="Times New Roman"/>
          <w:bCs/>
          <w:sz w:val="26"/>
          <w:szCs w:val="24"/>
        </w:rPr>
      </w:pPr>
      <w:r>
        <w:rPr>
          <w:rFonts w:ascii="Times New Roman" w:eastAsia="Times New Roman" w:hAnsi="Times New Roman" w:cs="Times New Roman"/>
          <w:bCs/>
          <w:sz w:val="26"/>
          <w:szCs w:val="24"/>
        </w:rPr>
        <w:br w:type="page"/>
      </w:r>
    </w:p>
    <w:p w:rsidR="009811DC" w:rsidRPr="009811DC" w:rsidP="009811DC" w14:paraId="146C5D9E" w14:textId="5E8269B9">
      <w:pPr>
        <w:spacing w:after="0" w:line="480" w:lineRule="auto"/>
        <w:rPr>
          <w:rFonts w:ascii="Times New Roman" w:eastAsia="Times New Roman" w:hAnsi="Times New Roman" w:cs="Times New Roman"/>
          <w:bCs/>
          <w:sz w:val="26"/>
          <w:szCs w:val="24"/>
        </w:rPr>
      </w:pPr>
      <w:r w:rsidRPr="009811DC">
        <w:rPr>
          <w:rFonts w:ascii="Times New Roman" w:eastAsia="Times New Roman" w:hAnsi="Times New Roman" w:cs="Times New Roman"/>
          <w:bCs/>
          <w:sz w:val="26"/>
          <w:szCs w:val="24"/>
        </w:rPr>
        <w:t>clarity of the information collection; and (4) ways to minimize the burden of the collection of information on those who are to respond, including the use of automated collection techniques or other forms of information technology.</w:t>
      </w:r>
    </w:p>
    <w:p w:rsidR="009811DC" w:rsidP="009811DC" w14:paraId="193DE7DC" w14:textId="78AEC0D8">
      <w:pPr>
        <w:spacing w:after="0" w:line="480" w:lineRule="auto"/>
        <w:rPr>
          <w:rFonts w:ascii="Times New Roman" w:eastAsia="Times New Roman" w:hAnsi="Times New Roman" w:cs="Times New Roman"/>
          <w:bCs/>
          <w:sz w:val="26"/>
          <w:szCs w:val="24"/>
        </w:rPr>
      </w:pPr>
    </w:p>
    <w:p w:rsidR="006E5EE0" w:rsidRPr="006E5EE0" w:rsidP="006E5EE0" w14:paraId="4761D6F5" w14:textId="6A6DAC62">
      <w:pPr>
        <w:spacing w:after="0" w:line="240" w:lineRule="auto"/>
        <w:ind w:firstLine="2174"/>
        <w:jc w:val="center"/>
        <w:rPr>
          <w:rFonts w:ascii="Times New Roman" w:hAnsi="Times New Roman" w:cs="Times New Roman"/>
          <w:sz w:val="26"/>
        </w:rPr>
      </w:pPr>
      <w:r w:rsidRPr="006E5EE0">
        <w:rPr>
          <w:rFonts w:ascii="Times New Roman" w:hAnsi="Times New Roman" w:cs="Times New Roman"/>
          <w:sz w:val="26"/>
        </w:rPr>
        <w:t>Kimberly D. Bose,</w:t>
      </w:r>
    </w:p>
    <w:p w:rsidR="006E5EE0" w:rsidRPr="006E5EE0" w:rsidP="006E5EE0" w14:paraId="649B9E5D" w14:textId="0C7B0D9C">
      <w:pPr>
        <w:spacing w:after="0" w:line="240" w:lineRule="auto"/>
        <w:ind w:firstLine="2174"/>
        <w:jc w:val="center"/>
      </w:pPr>
      <w:r w:rsidRPr="006E5EE0">
        <w:rPr>
          <w:rFonts w:ascii="Times New Roman" w:hAnsi="Times New Roman" w:cs="Times New Roman"/>
          <w:sz w:val="26"/>
        </w:rPr>
        <w:t>Secretary.</w:t>
      </w:r>
    </w:p>
    <w:p w:rsidR="006E5EE0" w:rsidRPr="009811DC" w:rsidP="009811DC" w14:paraId="7FC2F9D4" w14:textId="77777777">
      <w:pPr>
        <w:spacing w:after="0" w:line="480" w:lineRule="auto"/>
        <w:rPr>
          <w:rFonts w:ascii="Times New Roman" w:eastAsia="Times New Roman" w:hAnsi="Times New Roman" w:cs="Times New Roman"/>
          <w:b/>
          <w:sz w:val="26"/>
          <w:szCs w:val="24"/>
        </w:rPr>
      </w:pPr>
    </w:p>
    <w:p w:rsidR="00466D3F" w:rsidRPr="00EE335C" w:rsidP="00466D3F" w14:paraId="33BD465B" w14:textId="401CA1E6">
      <w:pPr>
        <w:spacing w:after="0" w:line="240" w:lineRule="auto"/>
        <w:ind w:firstLine="2174"/>
        <w:jc w:val="center"/>
        <w:rPr>
          <w:rFonts w:ascii="Times New Roman" w:eastAsia="Times New Roman" w:hAnsi="Times New Roman" w:cs="Times New Roman"/>
          <w:sz w:val="26"/>
          <w:szCs w:val="24"/>
        </w:rPr>
      </w:pPr>
    </w:p>
    <w:p w:rsidR="00466D3F" w:rsidRPr="00EE335C" w:rsidP="00466D3F" w14:paraId="7F40E234" w14:textId="77777777">
      <w:pPr>
        <w:rPr>
          <w:rFonts w:ascii="Times New Roman" w:eastAsia="Times New Roman" w:hAnsi="Times New Roman" w:cs="Times New Roman"/>
          <w:sz w:val="26"/>
          <w:szCs w:val="24"/>
        </w:rPr>
      </w:pPr>
    </w:p>
    <w:p w:rsidR="00466D3F" w:rsidRPr="00EE335C" w14:paraId="7732DA3A" w14:textId="77777777">
      <w:pPr>
        <w:rPr>
          <w:rFonts w:ascii="Times New Roman" w:hAnsi="Times New Roman" w:cs="Times New Roman"/>
          <w:sz w:val="26"/>
          <w:szCs w:val="24"/>
        </w:rPr>
      </w:pPr>
    </w:p>
    <w:sectPr w:rsidSect="002D2DBD">
      <w:head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70EEFFA" w14:textId="77777777" w:rsidTr="5D869676">
      <w:tblPrEx>
        <w:tblW w:w="0" w:type="auto"/>
        <w:tblLayout w:type="fixed"/>
        <w:tblLook w:val="06A0"/>
      </w:tblPrEx>
      <w:trPr>
        <w:trHeight w:val="300"/>
      </w:trPr>
      <w:tc>
        <w:tcPr>
          <w:tcW w:w="3120" w:type="dxa"/>
        </w:tcPr>
        <w:p w:rsidR="5D869676" w:rsidP="5D869676" w14:paraId="59665879" w14:textId="2B0EF1CB">
          <w:pPr>
            <w:pStyle w:val="Header"/>
            <w:ind w:left="-115"/>
          </w:pPr>
        </w:p>
      </w:tc>
      <w:tc>
        <w:tcPr>
          <w:tcW w:w="3120" w:type="dxa"/>
        </w:tcPr>
        <w:p w:rsidR="5D869676" w:rsidP="5D869676" w14:paraId="2AB497DA" w14:textId="371ABEE2">
          <w:pPr>
            <w:pStyle w:val="Header"/>
            <w:jc w:val="center"/>
          </w:pPr>
        </w:p>
      </w:tc>
      <w:tc>
        <w:tcPr>
          <w:tcW w:w="3120" w:type="dxa"/>
        </w:tcPr>
        <w:p w:rsidR="5D869676" w:rsidP="5D869676" w14:paraId="4D3070AB" w14:textId="4A67B350">
          <w:pPr>
            <w:pStyle w:val="Header"/>
            <w:ind w:right="-115"/>
            <w:jc w:val="right"/>
          </w:pPr>
        </w:p>
      </w:tc>
    </w:tr>
  </w:tbl>
  <w:p w:rsidR="5D869676" w:rsidP="5D869676" w14:paraId="16C13BC1" w14:textId="5345B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17F62" w:rsidP="00466D3F" w14:paraId="2B955B0F" w14:textId="77777777">
      <w:pPr>
        <w:spacing w:after="0" w:line="240" w:lineRule="auto"/>
      </w:pPr>
      <w:r>
        <w:separator/>
      </w:r>
    </w:p>
  </w:footnote>
  <w:footnote w:type="continuationSeparator" w:id="1">
    <w:p w:rsidR="00A17F62" w:rsidP="00466D3F" w14:paraId="0BA9D3FE" w14:textId="77777777">
      <w:pPr>
        <w:spacing w:after="0" w:line="240" w:lineRule="auto"/>
      </w:pPr>
      <w:r>
        <w:continuationSeparator/>
      </w:r>
    </w:p>
  </w:footnote>
  <w:footnote w:type="continuationNotice" w:id="2">
    <w:p w:rsidR="00A17F62" w14:paraId="7E16FD7C" w14:textId="77777777">
      <w:pPr>
        <w:spacing w:after="0" w:line="240" w:lineRule="auto"/>
      </w:pPr>
    </w:p>
  </w:footnote>
  <w:footnote w:id="3">
    <w:p w:rsidR="001237BF" w:rsidRPr="00EB0633" w:rsidP="001237BF" w14:paraId="676C7387" w14:textId="77777777">
      <w:pPr>
        <w:pStyle w:val="FootnoteText"/>
        <w:rPr>
          <w:rFonts w:ascii="Times New Roman" w:hAnsi="Times New Roman"/>
          <w:sz w:val="26"/>
        </w:rPr>
      </w:pPr>
      <w:r w:rsidRPr="00EB0633">
        <w:rPr>
          <w:rStyle w:val="FootnoteReference"/>
          <w:b w:val="0"/>
        </w:rPr>
        <w:footnoteRef/>
      </w:r>
      <w:r w:rsidRPr="00EB0633">
        <w:rPr>
          <w:rFonts w:ascii="Times New Roman" w:hAnsi="Times New Roman"/>
          <w:sz w:val="26"/>
        </w:rPr>
        <w:t xml:space="preserve"> As defined at 18 CFR 37.3(a), a “Transmission Provider” is any public utility that owns, operates, or controls facilities used for the transmission of electricity in interstate commerce.</w:t>
      </w:r>
    </w:p>
  </w:footnote>
  <w:footnote w:id="4">
    <w:p w:rsidR="006402EB" w14:paraId="2BA72BF7" w14:textId="654629FF">
      <w:pPr>
        <w:pStyle w:val="FootnoteText"/>
      </w:pPr>
      <w:r w:rsidRPr="00EB0633">
        <w:rPr>
          <w:rStyle w:val="FootnoteReference"/>
          <w:b w:val="0"/>
        </w:rPr>
        <w:footnoteRef/>
      </w:r>
      <w:r w:rsidRPr="00EB0633">
        <w:rPr>
          <w:rFonts w:ascii="Times New Roman" w:hAnsi="Times New Roman"/>
          <w:sz w:val="26"/>
        </w:rPr>
        <w:t xml:space="preserve"> As defined at 18 CFR 37.3(c), a “Responsible Party” is </w:t>
      </w:r>
      <w:r w:rsidRPr="00EB0633" w:rsidR="00AF3478">
        <w:rPr>
          <w:rFonts w:ascii="Times New Roman" w:hAnsi="Times New Roman"/>
          <w:sz w:val="26"/>
        </w:rPr>
        <w:t>the Transmission Provider or an agent to whom the Transmission Provider has delegated the responsibility of meeting any of the requirements of 18 CFR Part 37.</w:t>
      </w:r>
    </w:p>
  </w:footnote>
  <w:footnote w:id="5">
    <w:p w:rsidR="008A4B92" w14:paraId="218942BD" w14:textId="1E524DBF">
      <w:pPr>
        <w:pStyle w:val="FootnoteText"/>
      </w:pPr>
      <w:r w:rsidRPr="00B74600">
        <w:rPr>
          <w:rStyle w:val="FootnoteReference"/>
          <w:b w:val="0"/>
        </w:rPr>
        <w:footnoteRef/>
      </w:r>
      <w:r w:rsidRPr="00B74600">
        <w:rPr>
          <w:rFonts w:ascii="Times New Roman" w:hAnsi="Times New Roman"/>
          <w:bCs/>
          <w:sz w:val="26"/>
        </w:rPr>
        <w:t xml:space="preserve"> As defined at 18 CFR 37.3</w:t>
      </w:r>
      <w:r w:rsidRPr="00B74600" w:rsidR="00A67C8A">
        <w:rPr>
          <w:rFonts w:ascii="Times New Roman" w:hAnsi="Times New Roman"/>
          <w:bCs/>
          <w:sz w:val="26"/>
        </w:rPr>
        <w:t>(b), a “Transmission Customer” is any eligible customer (or its designated agent) that can or does execute a transmission service agreement or can or does receive transmission service</w:t>
      </w:r>
      <w:r w:rsidR="00A67C8A">
        <w:t>.</w:t>
      </w:r>
    </w:p>
  </w:footnote>
  <w:footnote w:id="6">
    <w:p w:rsidR="008F5FBD" w:rsidRPr="00606EFC" w14:paraId="494BB859" w14:textId="32BAEB7D">
      <w:pPr>
        <w:pStyle w:val="FootnoteText"/>
        <w:rPr>
          <w:rFonts w:ascii="Times New Roman" w:hAnsi="Times New Roman"/>
          <w:bCs/>
          <w:sz w:val="26"/>
        </w:rPr>
      </w:pPr>
      <w:r w:rsidRPr="00606EFC">
        <w:rPr>
          <w:rStyle w:val="FootnoteReference"/>
          <w:b w:val="0"/>
        </w:rPr>
        <w:footnoteRef/>
      </w:r>
      <w:r w:rsidRPr="00606EFC">
        <w:rPr>
          <w:rFonts w:ascii="Times New Roman" w:hAnsi="Times New Roman"/>
          <w:bCs/>
          <w:sz w:val="26"/>
        </w:rPr>
        <w:t xml:space="preserve"> As defined at 18 CFR 37.3(d), a “Reseller” is any Transmission Customer who offers to sell transmission capacity it has purchased.</w:t>
      </w:r>
    </w:p>
  </w:footnote>
  <w:footnote w:id="7">
    <w:p w:rsidR="003F6F99" w14:paraId="0962BC71" w14:textId="6DD05A31">
      <w:pPr>
        <w:pStyle w:val="FootnoteText"/>
      </w:pPr>
      <w:r>
        <w:rPr>
          <w:rStyle w:val="FootnoteReference"/>
        </w:rPr>
        <w:footnoteRef/>
      </w:r>
      <w:r w:rsidRPr="00983B6B">
        <w:rPr>
          <w:rFonts w:ascii="Times New Roman" w:hAnsi="Times New Roman"/>
          <w:sz w:val="26"/>
        </w:rPr>
        <w:t xml:space="preserve"> </w:t>
      </w:r>
      <w:r w:rsidRPr="00983B6B" w:rsidR="006900A4">
        <w:rPr>
          <w:rFonts w:ascii="Times New Roman" w:hAnsi="Times New Roman"/>
          <w:sz w:val="26"/>
        </w:rPr>
        <w:t xml:space="preserve">The standard protocols are included in </w:t>
      </w:r>
      <w:r w:rsidRPr="00983B6B">
        <w:rPr>
          <w:rFonts w:ascii="Times New Roman" w:hAnsi="Times New Roman"/>
          <w:sz w:val="26"/>
        </w:rPr>
        <w:t>the Standards for Business Practices and Communication Protocols for Public Utilities adopted by the Wholesale Electric Quadrant (WEQ) of the North American Energy Standards Board (NAESB).</w:t>
      </w:r>
      <w:r w:rsidRPr="00983B6B" w:rsidR="00EF7A7D">
        <w:rPr>
          <w:rFonts w:ascii="Times New Roman" w:hAnsi="Times New Roman"/>
          <w:sz w:val="26"/>
        </w:rPr>
        <w:t xml:space="preserve">  </w:t>
      </w:r>
      <w:r w:rsidRPr="00983B6B" w:rsidR="006900A4">
        <w:rPr>
          <w:rFonts w:ascii="Times New Roman" w:hAnsi="Times New Roman"/>
          <w:sz w:val="26"/>
        </w:rPr>
        <w:t xml:space="preserve">The Commission adopted </w:t>
      </w:r>
      <w:r w:rsidRPr="00983B6B" w:rsidR="000D05C4">
        <w:rPr>
          <w:rFonts w:ascii="Times New Roman" w:hAnsi="Times New Roman"/>
          <w:sz w:val="26"/>
        </w:rPr>
        <w:t xml:space="preserve">the protocols by reference in 18 CFR 38.1(b)(2)(iv) in a final rule at </w:t>
      </w:r>
      <w:r w:rsidRPr="00983B6B" w:rsidR="005F645B">
        <w:rPr>
          <w:rFonts w:ascii="Times New Roman" w:hAnsi="Times New Roman"/>
          <w:sz w:val="26"/>
        </w:rPr>
        <w:t>86 FR 29491 (June 2, 2021)</w:t>
      </w:r>
      <w:r w:rsidRPr="00983B6B" w:rsidR="00B37B1C">
        <w:rPr>
          <w:rFonts w:ascii="Times New Roman" w:hAnsi="Times New Roman"/>
          <w:sz w:val="26"/>
        </w:rPr>
        <w:t>.  The protocols remain effective at present.</w:t>
      </w:r>
    </w:p>
  </w:footnote>
  <w:footnote w:id="8">
    <w:p w:rsidR="001F3E28" w:rsidRPr="00A33DDF" w:rsidP="001F3E28" w14:paraId="3CD914B5" w14:textId="3ACDCEDD">
      <w:pPr>
        <w:pStyle w:val="FootnoteText"/>
        <w:rPr>
          <w:rFonts w:ascii="Times New Roman" w:hAnsi="Times New Roman"/>
          <w:bCs/>
          <w:sz w:val="26"/>
        </w:rPr>
      </w:pPr>
      <w:r w:rsidRPr="00A33DDF">
        <w:rPr>
          <w:rFonts w:ascii="Times New Roman" w:hAnsi="Times New Roman"/>
          <w:sz w:val="26"/>
          <w:vertAlign w:val="superscript"/>
        </w:rPr>
        <w:footnoteRef/>
      </w:r>
      <w:r w:rsidRPr="00A33DDF">
        <w:rPr>
          <w:rFonts w:ascii="Times New Roman" w:hAnsi="Times New Roman"/>
          <w:bCs/>
          <w:sz w:val="26"/>
        </w:rPr>
        <w:t xml:space="preserve"> As defined at 18 CFR 37.6(b)(1)</w:t>
      </w:r>
      <w:r w:rsidR="00A93DA1">
        <w:rPr>
          <w:rFonts w:ascii="Times New Roman" w:hAnsi="Times New Roman"/>
          <w:bCs/>
          <w:sz w:val="26"/>
        </w:rPr>
        <w:t xml:space="preserve">:  </w:t>
      </w:r>
      <w:r w:rsidR="004F33BB">
        <w:rPr>
          <w:rFonts w:ascii="Times New Roman" w:hAnsi="Times New Roman"/>
          <w:bCs/>
          <w:sz w:val="26"/>
        </w:rPr>
        <w:t xml:space="preserve">(1) </w:t>
      </w:r>
      <w:r w:rsidRPr="00A33DDF">
        <w:rPr>
          <w:rFonts w:ascii="Times New Roman" w:hAnsi="Times New Roman"/>
          <w:bCs/>
          <w:sz w:val="26"/>
        </w:rPr>
        <w:t>ATC is the transfer capability remaining in the physical transmission network for further commercial activity over and above already committed uses, or such definition as contained in Commission-approved Reliability Standards</w:t>
      </w:r>
      <w:r>
        <w:rPr>
          <w:rFonts w:ascii="Times New Roman" w:hAnsi="Times New Roman"/>
          <w:bCs/>
          <w:sz w:val="26"/>
        </w:rPr>
        <w:t xml:space="preserve">.  </w:t>
      </w:r>
      <w:r w:rsidR="004F33BB">
        <w:rPr>
          <w:rFonts w:ascii="Times New Roman" w:hAnsi="Times New Roman"/>
          <w:bCs/>
          <w:sz w:val="26"/>
        </w:rPr>
        <w:t xml:space="preserve">(2) </w:t>
      </w:r>
      <w:r w:rsidRPr="00A33DDF">
        <w:rPr>
          <w:rFonts w:ascii="Times New Roman" w:hAnsi="Times New Roman"/>
          <w:bCs/>
          <w:sz w:val="26"/>
        </w:rPr>
        <w:t>TTC is the amount of electric power that can be moved or transferred reliably from one area to another area of the interconnected transmission systems by way of all transmission lines (or paths) between those areas under specified system conditions, or such definition as contained in Commission-approved Reliability Standards.</w:t>
      </w:r>
    </w:p>
  </w:footnote>
  <w:footnote w:id="9">
    <w:p w:rsidR="00221B34" w:rsidRPr="00F6125D" w:rsidP="00221B34" w14:paraId="35267FED" w14:textId="77777777">
      <w:pPr>
        <w:pStyle w:val="FootnoteText"/>
        <w:rPr>
          <w:rFonts w:ascii="Times New Roman" w:hAnsi="Times New Roman"/>
          <w:sz w:val="26"/>
        </w:rPr>
      </w:pPr>
      <w:r w:rsidRPr="00F6125D">
        <w:rPr>
          <w:rStyle w:val="FootnoteReference"/>
          <w:b w:val="0"/>
        </w:rPr>
        <w:footnoteRef/>
      </w:r>
      <w:r w:rsidRPr="00F6125D">
        <w:rPr>
          <w:rFonts w:ascii="Times New Roman" w:hAnsi="Times New Roman"/>
          <w:sz w:val="26"/>
        </w:rPr>
        <w:t xml:space="preserve"> As defined at 18 CFR 37.6(b)(1)(vii)</w:t>
      </w:r>
      <w:r>
        <w:rPr>
          <w:rFonts w:ascii="Times New Roman" w:hAnsi="Times New Roman"/>
          <w:sz w:val="26"/>
        </w:rPr>
        <w:t>, “</w:t>
      </w:r>
      <w:r w:rsidRPr="00F6125D">
        <w:rPr>
          <w:rStyle w:val="Emphasis"/>
          <w:rFonts w:ascii="Times New Roman" w:hAnsi="Times New Roman"/>
          <w:i w:val="0"/>
          <w:iCs w:val="0"/>
          <w:sz w:val="26"/>
        </w:rPr>
        <w:t>Capacity Benefit Margin</w:t>
      </w:r>
      <w:r>
        <w:rPr>
          <w:rStyle w:val="Emphasis"/>
          <w:rFonts w:ascii="Times New Roman" w:hAnsi="Times New Roman"/>
          <w:i w:val="0"/>
          <w:iCs w:val="0"/>
          <w:sz w:val="26"/>
        </w:rPr>
        <w:t>”</w:t>
      </w:r>
      <w:r w:rsidRPr="00F6125D">
        <w:rPr>
          <w:rFonts w:ascii="Times New Roman" w:hAnsi="Times New Roman"/>
          <w:sz w:val="26"/>
        </w:rPr>
        <w:t xml:space="preserve"> means the amount of TTC preserved by the Transmission Provider for load-serving entities, whose loads are located on that Transmission Provider's system, to enable access by the load-serving entities to generation from interconnected systems to meet generation reliability requirements, or such definition as contained in Commission-approved Reliability Standards.</w:t>
      </w:r>
    </w:p>
  </w:footnote>
  <w:footnote w:id="10">
    <w:p w:rsidR="00221B34" w:rsidRPr="00F6125D" w:rsidP="00221B34" w14:paraId="210688BB" w14:textId="77777777">
      <w:pPr>
        <w:pStyle w:val="FootnoteText"/>
        <w:rPr>
          <w:rFonts w:ascii="Times New Roman" w:hAnsi="Times New Roman"/>
          <w:sz w:val="26"/>
        </w:rPr>
      </w:pPr>
      <w:r w:rsidRPr="00F607A9">
        <w:rPr>
          <w:rStyle w:val="FootnoteReference"/>
          <w:b w:val="0"/>
        </w:rPr>
        <w:footnoteRef/>
      </w:r>
      <w:r w:rsidRPr="00F607A9">
        <w:rPr>
          <w:rFonts w:ascii="Times New Roman" w:hAnsi="Times New Roman"/>
          <w:sz w:val="26"/>
        </w:rPr>
        <w:t xml:space="preserve"> As defined at 18 CFR 37.6(b)(1)(viii), “</w:t>
      </w:r>
      <w:r w:rsidRPr="00F607A9">
        <w:rPr>
          <w:rStyle w:val="Emphasis"/>
          <w:rFonts w:ascii="Times New Roman" w:hAnsi="Times New Roman"/>
          <w:i w:val="0"/>
          <w:iCs w:val="0"/>
          <w:sz w:val="26"/>
        </w:rPr>
        <w:t>Transmission Reliability Margin”</w:t>
      </w:r>
      <w:r w:rsidRPr="00F607A9">
        <w:rPr>
          <w:rFonts w:ascii="Times New Roman" w:hAnsi="Times New Roman"/>
          <w:sz w:val="26"/>
        </w:rPr>
        <w:t xml:space="preserve"> </w:t>
      </w:r>
      <w:r>
        <w:rPr>
          <w:rFonts w:ascii="Times New Roman" w:hAnsi="Times New Roman"/>
          <w:sz w:val="26"/>
        </w:rPr>
        <w:t>is</w:t>
      </w:r>
      <w:r w:rsidRPr="00F607A9">
        <w:rPr>
          <w:rFonts w:ascii="Times New Roman" w:hAnsi="Times New Roman"/>
          <w:sz w:val="26"/>
        </w:rPr>
        <w:t xml:space="preserve"> the amount of TTC necessary to provide reasonable assurance that the interconnected transmission network will be secure, or such definition as contained in Commission-approved Reliability Standards.</w:t>
      </w:r>
    </w:p>
  </w:footnote>
  <w:footnote w:id="11">
    <w:p w:rsidR="00C83B1D" w:rsidRPr="00EB0633" w14:paraId="7A291D6D" w14:textId="6CC8658D">
      <w:pPr>
        <w:pStyle w:val="FootnoteText"/>
        <w:rPr>
          <w:rFonts w:ascii="Times New Roman" w:hAnsi="Times New Roman"/>
          <w:sz w:val="26"/>
        </w:rPr>
      </w:pPr>
      <w:r w:rsidRPr="00EB0633">
        <w:rPr>
          <w:rStyle w:val="FootnoteReference"/>
          <w:b w:val="0"/>
        </w:rPr>
        <w:footnoteRef/>
      </w:r>
      <w:r w:rsidRPr="00EB0633">
        <w:rPr>
          <w:rFonts w:ascii="Times New Roman" w:hAnsi="Times New Roman"/>
          <w:sz w:val="26"/>
        </w:rPr>
        <w:t xml:space="preserve"> </w:t>
      </w:r>
      <w:r w:rsidRPr="00EB0633" w:rsidR="00B51A24">
        <w:rPr>
          <w:rFonts w:ascii="Times New Roman" w:hAnsi="Times New Roman"/>
          <w:sz w:val="26"/>
        </w:rPr>
        <w:t xml:space="preserve">As defined at 18 CFR </w:t>
      </w:r>
      <w:r w:rsidRPr="00EB0633" w:rsidR="00B75C6E">
        <w:rPr>
          <w:rFonts w:ascii="Times New Roman" w:hAnsi="Times New Roman"/>
          <w:sz w:val="26"/>
        </w:rPr>
        <w:t>37.6(b)(1)(i), “</w:t>
      </w:r>
      <w:r w:rsidRPr="00EB0633" w:rsidR="00D27EDC">
        <w:rPr>
          <w:rFonts w:ascii="Times New Roman" w:hAnsi="Times New Roman"/>
          <w:sz w:val="26"/>
        </w:rPr>
        <w:t>P</w:t>
      </w:r>
      <w:r w:rsidRPr="00EB0633" w:rsidR="00B51A24">
        <w:rPr>
          <w:rFonts w:ascii="Times New Roman" w:hAnsi="Times New Roman"/>
          <w:sz w:val="26"/>
        </w:rPr>
        <w:t xml:space="preserve">osted </w:t>
      </w:r>
      <w:r w:rsidRPr="00EB0633" w:rsidR="00D27EDC">
        <w:rPr>
          <w:rFonts w:ascii="Times New Roman" w:hAnsi="Times New Roman"/>
          <w:sz w:val="26"/>
        </w:rPr>
        <w:t>P</w:t>
      </w:r>
      <w:r w:rsidRPr="00EB0633" w:rsidR="00B51A24">
        <w:rPr>
          <w:rFonts w:ascii="Times New Roman" w:hAnsi="Times New Roman"/>
          <w:sz w:val="26"/>
        </w:rPr>
        <w:t>ath</w:t>
      </w:r>
      <w:r w:rsidRPr="00EB0633" w:rsidR="00B75C6E">
        <w:rPr>
          <w:rFonts w:ascii="Times New Roman" w:hAnsi="Times New Roman"/>
          <w:sz w:val="26"/>
        </w:rPr>
        <w:t>”</w:t>
      </w:r>
      <w:r w:rsidRPr="00EB0633" w:rsidR="00B51A24">
        <w:rPr>
          <w:rFonts w:ascii="Times New Roman" w:hAnsi="Times New Roman"/>
          <w:sz w:val="26"/>
        </w:rPr>
        <w:t xml:space="preserve"> means any control area to control area interconnection; any path for which service is denied, </w:t>
      </w:r>
      <w:r w:rsidRPr="00EB0633" w:rsidR="00D733EF">
        <w:rPr>
          <w:rFonts w:ascii="Times New Roman" w:hAnsi="Times New Roman"/>
          <w:sz w:val="26"/>
        </w:rPr>
        <w:t>curtailed,</w:t>
      </w:r>
      <w:r w:rsidRPr="00EB0633" w:rsidR="00B51A24">
        <w:rPr>
          <w:rFonts w:ascii="Times New Roman" w:hAnsi="Times New Roman"/>
          <w:sz w:val="26"/>
        </w:rPr>
        <w:t xml:space="preserve"> or interrupted for more than 24 hours in the past 12 months; and any path for which a customer requests to have ATC or TTC posted. </w:t>
      </w:r>
      <w:r w:rsidR="008B0EC3">
        <w:rPr>
          <w:rFonts w:ascii="Times New Roman" w:hAnsi="Times New Roman"/>
          <w:sz w:val="26"/>
        </w:rPr>
        <w:t xml:space="preserve"> </w:t>
      </w:r>
      <w:r w:rsidRPr="00EB0633" w:rsidR="00B51A24">
        <w:rPr>
          <w:rFonts w:ascii="Times New Roman" w:hAnsi="Times New Roman"/>
          <w:sz w:val="26"/>
        </w:rPr>
        <w:t xml:space="preserve">For this last category, the posting must continue for 180 days and thereafter until 180 days have elapsed from the most recent request for service over the requested path. For purposes of this definition, an hour includes any part of an hour during which service was denied, </w:t>
      </w:r>
      <w:r w:rsidRPr="00EB0633" w:rsidR="00D733EF">
        <w:rPr>
          <w:rFonts w:ascii="Times New Roman" w:hAnsi="Times New Roman"/>
          <w:sz w:val="26"/>
        </w:rPr>
        <w:t>curtailed,</w:t>
      </w:r>
      <w:r w:rsidRPr="00EB0633" w:rsidR="00B51A24">
        <w:rPr>
          <w:rFonts w:ascii="Times New Roman" w:hAnsi="Times New Roman"/>
          <w:sz w:val="26"/>
        </w:rPr>
        <w:t xml:space="preserve"> or interrupted.</w:t>
      </w:r>
    </w:p>
  </w:footnote>
  <w:footnote w:id="12">
    <w:p w:rsidR="009811DC" w:rsidRPr="00EE335C" w:rsidP="009811DC" w14:paraId="21FB048E" w14:textId="78217E4D">
      <w:pPr>
        <w:pStyle w:val="FootnoteText"/>
        <w:rPr>
          <w:rFonts w:ascii="Times New Roman" w:hAnsi="Times New Roman"/>
          <w:sz w:val="26"/>
        </w:rPr>
      </w:pPr>
      <w:r w:rsidRPr="00FD75B7">
        <w:rPr>
          <w:rStyle w:val="FootnoteReference"/>
          <w:b w:val="0"/>
          <w:bCs/>
        </w:rPr>
        <w:footnoteRef/>
      </w:r>
      <w:r w:rsidRPr="000D189D">
        <w:rPr>
          <w:szCs w:val="26"/>
        </w:rPr>
        <w:t xml:space="preserve"> </w:t>
      </w:r>
      <w:r w:rsidRPr="00EE335C">
        <w:rPr>
          <w:rFonts w:ascii="Times New Roman" w:hAnsi="Times New Roman"/>
          <w:sz w:val="26"/>
          <w:szCs w:val="26"/>
        </w:rPr>
        <w:t xml:space="preserve">Burden is defined as the total time, effort, or financial resources expended by persons to generate, maintain, retain, or disclose or provide information to or for a Federal agency. For further explanation of what is included in the information collection burden, refer to </w:t>
      </w:r>
      <w:r w:rsidR="00EE335C">
        <w:rPr>
          <w:rFonts w:ascii="Times New Roman" w:hAnsi="Times New Roman"/>
          <w:sz w:val="26"/>
          <w:szCs w:val="26"/>
        </w:rPr>
        <w:t>5 CFR 1320.3</w:t>
      </w:r>
      <w:r w:rsidRPr="00EE335C">
        <w:rPr>
          <w:rFonts w:ascii="Times New Roman" w:hAnsi="Times New Roman"/>
          <w:sz w:val="26"/>
          <w:szCs w:val="26"/>
        </w:rPr>
        <w:t>.</w:t>
      </w:r>
    </w:p>
  </w:footnote>
  <w:footnote w:id="13">
    <w:p w:rsidR="009811DC" w:rsidRPr="00972E20" w:rsidP="009811DC" w14:paraId="7F0C7AF6" w14:textId="0E28799C">
      <w:pPr>
        <w:pStyle w:val="FootnoteText"/>
        <w:rPr>
          <w:rFonts w:ascii="Times New Roman" w:hAnsi="Times New Roman"/>
          <w:sz w:val="26"/>
          <w:szCs w:val="22"/>
        </w:rPr>
      </w:pPr>
      <w:r w:rsidRPr="00972E20">
        <w:rPr>
          <w:rStyle w:val="FootnoteReference"/>
          <w:b w:val="0"/>
        </w:rPr>
        <w:footnoteRef/>
      </w:r>
      <w:r w:rsidRPr="00972E20">
        <w:rPr>
          <w:rFonts w:ascii="Times New Roman" w:hAnsi="Times New Roman"/>
          <w:sz w:val="26"/>
        </w:rPr>
        <w:t xml:space="preserve"> </w:t>
      </w:r>
      <w:r w:rsidRPr="00972E20">
        <w:rPr>
          <w:rFonts w:ascii="Times New Roman" w:hAnsi="Times New Roman"/>
          <w:sz w:val="26"/>
          <w:szCs w:val="26"/>
        </w:rPr>
        <w:t>The Commission staff thinks that the average respondent for this collection is similarly situated to the Commission, in terms of salary plus benefits.   Based upon FERC’s FY 202</w:t>
      </w:r>
      <w:r w:rsidR="00BF42B8">
        <w:rPr>
          <w:rFonts w:ascii="Times New Roman" w:hAnsi="Times New Roman"/>
          <w:sz w:val="26"/>
          <w:szCs w:val="26"/>
        </w:rPr>
        <w:t>2</w:t>
      </w:r>
      <w:r w:rsidRPr="00972E20">
        <w:rPr>
          <w:rFonts w:ascii="Times New Roman" w:hAnsi="Times New Roman"/>
          <w:sz w:val="26"/>
          <w:szCs w:val="26"/>
        </w:rPr>
        <w:t xml:space="preserve"> annual average of $</w:t>
      </w:r>
      <w:r w:rsidR="00A32F3F">
        <w:rPr>
          <w:rFonts w:ascii="Times New Roman" w:hAnsi="Times New Roman"/>
          <w:sz w:val="26"/>
          <w:szCs w:val="26"/>
        </w:rPr>
        <w:t>199,867</w:t>
      </w:r>
      <w:r w:rsidRPr="00972E20">
        <w:rPr>
          <w:rFonts w:ascii="Times New Roman" w:hAnsi="Times New Roman"/>
          <w:sz w:val="26"/>
          <w:szCs w:val="26"/>
        </w:rPr>
        <w:t xml:space="preserve"> (for salary plus benefits), </w:t>
      </w:r>
      <w:r w:rsidR="00A32F3F">
        <w:rPr>
          <w:rFonts w:ascii="Times New Roman" w:hAnsi="Times New Roman"/>
          <w:sz w:val="26"/>
          <w:szCs w:val="26"/>
        </w:rPr>
        <w:t xml:space="preserve">and </w:t>
      </w:r>
      <w:r w:rsidRPr="00972E20">
        <w:rPr>
          <w:rFonts w:ascii="Times New Roman" w:hAnsi="Times New Roman"/>
          <w:sz w:val="26"/>
          <w:szCs w:val="26"/>
        </w:rPr>
        <w:t>the average hourly cost is $</w:t>
      </w:r>
      <w:r w:rsidR="00A32F3F">
        <w:rPr>
          <w:rFonts w:ascii="Times New Roman" w:hAnsi="Times New Roman"/>
          <w:sz w:val="26"/>
          <w:szCs w:val="26"/>
        </w:rPr>
        <w:t>96</w:t>
      </w:r>
      <w:r w:rsidRPr="00972E20">
        <w:rPr>
          <w:rFonts w:ascii="Times New Roman" w:hAnsi="Times New Roman"/>
          <w:sz w:val="26"/>
          <w:szCs w:val="26"/>
        </w:rPr>
        <w:t>/hour.</w:t>
      </w:r>
      <w:r w:rsidRPr="00972E20">
        <w:rPr>
          <w:rFonts w:ascii="Times New Roman" w:hAnsi="Times New Roman"/>
          <w:sz w:val="2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3E00" w:rsidRPr="00093E00" w14:paraId="12F1BB6A" w14:textId="1FF0C6F6">
    <w:pPr>
      <w:pStyle w:val="Header"/>
      <w:jc w:val="right"/>
      <w:rPr>
        <w:rFonts w:ascii="Times New Roman" w:hAnsi="Times New Roman" w:cs="Times New Roman"/>
        <w:sz w:val="24"/>
        <w:szCs w:val="24"/>
      </w:rPr>
    </w:pPr>
    <w:sdt>
      <w:sdtPr>
        <w:rPr>
          <w:rFonts w:ascii="Times New Roman" w:hAnsi="Times New Roman" w:cs="Times New Roman"/>
          <w:sz w:val="24"/>
          <w:szCs w:val="24"/>
        </w:rPr>
        <w:id w:val="1789858271"/>
        <w:docPartObj>
          <w:docPartGallery w:val="Page Numbers (Top of Page)"/>
          <w:docPartUnique/>
        </w:docPartObj>
      </w:sdtPr>
      <w:sdtEndPr>
        <w:rPr>
          <w:noProof/>
        </w:rPr>
      </w:sdtEndPr>
      <w:sdtContent>
        <w:r w:rsidRPr="00093E00">
          <w:rPr>
            <w:rFonts w:ascii="Times New Roman" w:hAnsi="Times New Roman" w:cs="Times New Roman"/>
            <w:sz w:val="24"/>
            <w:szCs w:val="24"/>
          </w:rPr>
          <w:t xml:space="preserve">Docket No. </w:t>
        </w:r>
        <w:r w:rsidR="00854CBF">
          <w:rPr>
            <w:rFonts w:ascii="Times New Roman" w:hAnsi="Times New Roman" w:cs="Times New Roman"/>
            <w:sz w:val="24"/>
            <w:szCs w:val="24"/>
          </w:rPr>
          <w:t>IC23-14-000</w:t>
        </w:r>
        <w:r w:rsidRPr="00093E00">
          <w:rPr>
            <w:rFonts w:ascii="Times New Roman" w:hAnsi="Times New Roman" w:cs="Times New Roman"/>
            <w:sz w:val="24"/>
            <w:szCs w:val="24"/>
          </w:rPr>
          <w:tab/>
        </w:r>
        <w:r w:rsidRPr="00093E00">
          <w:rPr>
            <w:rFonts w:ascii="Times New Roman" w:hAnsi="Times New Roman" w:cs="Times New Roman"/>
            <w:sz w:val="24"/>
            <w:szCs w:val="24"/>
          </w:rPr>
          <w:tab/>
          <w:t xml:space="preserve"> </w:t>
        </w:r>
        <w:r w:rsidRPr="00093E00">
          <w:rPr>
            <w:rFonts w:ascii="Times New Roman" w:hAnsi="Times New Roman" w:cs="Times New Roman"/>
            <w:sz w:val="24"/>
            <w:szCs w:val="24"/>
          </w:rPr>
          <w:fldChar w:fldCharType="begin"/>
        </w:r>
        <w:r w:rsidRPr="00093E00">
          <w:rPr>
            <w:rFonts w:ascii="Times New Roman" w:hAnsi="Times New Roman" w:cs="Times New Roman"/>
            <w:sz w:val="24"/>
            <w:szCs w:val="24"/>
          </w:rPr>
          <w:instrText xml:space="preserve"> PAGE   \* MERGEFORMAT </w:instrText>
        </w:r>
        <w:r w:rsidRPr="00093E00">
          <w:rPr>
            <w:rFonts w:ascii="Times New Roman" w:hAnsi="Times New Roman" w:cs="Times New Roman"/>
            <w:sz w:val="24"/>
            <w:szCs w:val="24"/>
          </w:rPr>
          <w:fldChar w:fldCharType="separate"/>
        </w:r>
        <w:r w:rsidRPr="00093E00">
          <w:rPr>
            <w:rFonts w:ascii="Times New Roman" w:hAnsi="Times New Roman" w:cs="Times New Roman"/>
            <w:noProof/>
            <w:sz w:val="24"/>
            <w:szCs w:val="24"/>
          </w:rPr>
          <w:t>2</w:t>
        </w:r>
        <w:r w:rsidRPr="00093E00">
          <w:rPr>
            <w:rFonts w:ascii="Times New Roman" w:hAnsi="Times New Roman" w:cs="Times New Roman"/>
            <w:noProof/>
            <w:sz w:val="24"/>
            <w:szCs w:val="24"/>
          </w:rPr>
          <w:fldChar w:fldCharType="end"/>
        </w:r>
      </w:sdtContent>
    </w:sdt>
  </w:p>
  <w:p w:rsidR="00093E00" w:rsidRPr="00093E00" w14:paraId="0DC08035" w14:textId="77777777">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3E00" w14:paraId="17542D39" w14:textId="0FC0D74E">
    <w:pPr>
      <w:pStyle w:val="Header"/>
      <w:jc w:val="right"/>
    </w:pPr>
  </w:p>
  <w:p w:rsidR="00093E00" w14:paraId="4622F39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96B4E7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5EE7ACF"/>
    <w:multiLevelType w:val="hybridMultilevel"/>
    <w:tmpl w:val="A4CCB5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EA5461E"/>
    <w:multiLevelType w:val="hybridMultilevel"/>
    <w:tmpl w:val="805A85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39764E2"/>
    <w:multiLevelType w:val="hybridMultilevel"/>
    <w:tmpl w:val="DC567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E605976"/>
    <w:multiLevelType w:val="hybridMultilevel"/>
    <w:tmpl w:val="8EFCE7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8E91307"/>
    <w:multiLevelType w:val="hybridMultilevel"/>
    <w:tmpl w:val="066244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FD1076A"/>
    <w:multiLevelType w:val="hybridMultilevel"/>
    <w:tmpl w:val="58BCB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88142033">
    <w:abstractNumId w:val="0"/>
  </w:num>
  <w:num w:numId="2" w16cid:durableId="484978130">
    <w:abstractNumId w:val="3"/>
  </w:num>
  <w:num w:numId="3" w16cid:durableId="1883325538">
    <w:abstractNumId w:val="5"/>
  </w:num>
  <w:num w:numId="4" w16cid:durableId="1210532764">
    <w:abstractNumId w:val="6"/>
  </w:num>
  <w:num w:numId="5" w16cid:durableId="1837066714">
    <w:abstractNumId w:val="2"/>
  </w:num>
  <w:num w:numId="6" w16cid:durableId="881287666">
    <w:abstractNumId w:val="4"/>
  </w:num>
  <w:num w:numId="7" w16cid:durableId="1072772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3F"/>
    <w:rsid w:val="00003DF1"/>
    <w:rsid w:val="00011569"/>
    <w:rsid w:val="00011DD7"/>
    <w:rsid w:val="000127A2"/>
    <w:rsid w:val="00020BF9"/>
    <w:rsid w:val="00021FFF"/>
    <w:rsid w:val="000278F9"/>
    <w:rsid w:val="000306B8"/>
    <w:rsid w:val="000309FB"/>
    <w:rsid w:val="000314D9"/>
    <w:rsid w:val="0003417E"/>
    <w:rsid w:val="000400C4"/>
    <w:rsid w:val="00042A89"/>
    <w:rsid w:val="0004388E"/>
    <w:rsid w:val="00044C23"/>
    <w:rsid w:val="00045348"/>
    <w:rsid w:val="0005602C"/>
    <w:rsid w:val="000565BC"/>
    <w:rsid w:val="000618EA"/>
    <w:rsid w:val="00065876"/>
    <w:rsid w:val="00065920"/>
    <w:rsid w:val="00065EFB"/>
    <w:rsid w:val="00074992"/>
    <w:rsid w:val="00076023"/>
    <w:rsid w:val="00076136"/>
    <w:rsid w:val="0007685A"/>
    <w:rsid w:val="00082753"/>
    <w:rsid w:val="00083CA5"/>
    <w:rsid w:val="000908D1"/>
    <w:rsid w:val="00091C6F"/>
    <w:rsid w:val="00093638"/>
    <w:rsid w:val="00093E00"/>
    <w:rsid w:val="00096548"/>
    <w:rsid w:val="00097F1C"/>
    <w:rsid w:val="000A07D3"/>
    <w:rsid w:val="000A3C27"/>
    <w:rsid w:val="000A5288"/>
    <w:rsid w:val="000B31E6"/>
    <w:rsid w:val="000B3CC3"/>
    <w:rsid w:val="000C02F8"/>
    <w:rsid w:val="000C1A28"/>
    <w:rsid w:val="000C2EAF"/>
    <w:rsid w:val="000D02BE"/>
    <w:rsid w:val="000D05C4"/>
    <w:rsid w:val="000D189D"/>
    <w:rsid w:val="000D1AE3"/>
    <w:rsid w:val="000D1B03"/>
    <w:rsid w:val="000D1E96"/>
    <w:rsid w:val="000D5D0D"/>
    <w:rsid w:val="000D7383"/>
    <w:rsid w:val="000D74B5"/>
    <w:rsid w:val="000D7897"/>
    <w:rsid w:val="000F5767"/>
    <w:rsid w:val="00103589"/>
    <w:rsid w:val="0011443B"/>
    <w:rsid w:val="00115154"/>
    <w:rsid w:val="00121CDB"/>
    <w:rsid w:val="00122F73"/>
    <w:rsid w:val="001237BF"/>
    <w:rsid w:val="001250F9"/>
    <w:rsid w:val="001277C8"/>
    <w:rsid w:val="0013624B"/>
    <w:rsid w:val="00140E1F"/>
    <w:rsid w:val="00153BB1"/>
    <w:rsid w:val="00155A44"/>
    <w:rsid w:val="00157A37"/>
    <w:rsid w:val="001603EE"/>
    <w:rsid w:val="00162270"/>
    <w:rsid w:val="0016482E"/>
    <w:rsid w:val="00165645"/>
    <w:rsid w:val="00171A4F"/>
    <w:rsid w:val="00172426"/>
    <w:rsid w:val="001728DA"/>
    <w:rsid w:val="00177A15"/>
    <w:rsid w:val="0018477A"/>
    <w:rsid w:val="00194065"/>
    <w:rsid w:val="00197AF3"/>
    <w:rsid w:val="001A1941"/>
    <w:rsid w:val="001A5291"/>
    <w:rsid w:val="001B23B1"/>
    <w:rsid w:val="001B2956"/>
    <w:rsid w:val="001B3223"/>
    <w:rsid w:val="001C0E99"/>
    <w:rsid w:val="001C1778"/>
    <w:rsid w:val="001C3607"/>
    <w:rsid w:val="001C73C6"/>
    <w:rsid w:val="001D5376"/>
    <w:rsid w:val="001E5E2B"/>
    <w:rsid w:val="001F072A"/>
    <w:rsid w:val="001F3E28"/>
    <w:rsid w:val="001F6B97"/>
    <w:rsid w:val="001F708B"/>
    <w:rsid w:val="00201C65"/>
    <w:rsid w:val="00202CA7"/>
    <w:rsid w:val="0020383C"/>
    <w:rsid w:val="002079CF"/>
    <w:rsid w:val="00213565"/>
    <w:rsid w:val="002149DB"/>
    <w:rsid w:val="00217C4A"/>
    <w:rsid w:val="00221B34"/>
    <w:rsid w:val="002257F7"/>
    <w:rsid w:val="00226C6E"/>
    <w:rsid w:val="0023168E"/>
    <w:rsid w:val="00234E20"/>
    <w:rsid w:val="00234FEA"/>
    <w:rsid w:val="002377AD"/>
    <w:rsid w:val="002408DA"/>
    <w:rsid w:val="00240B55"/>
    <w:rsid w:val="0024410C"/>
    <w:rsid w:val="00254E36"/>
    <w:rsid w:val="002558DC"/>
    <w:rsid w:val="00264DF2"/>
    <w:rsid w:val="00266544"/>
    <w:rsid w:val="00285CB5"/>
    <w:rsid w:val="002973C9"/>
    <w:rsid w:val="002A0263"/>
    <w:rsid w:val="002A265C"/>
    <w:rsid w:val="002A3EDC"/>
    <w:rsid w:val="002B342E"/>
    <w:rsid w:val="002B6345"/>
    <w:rsid w:val="002D11C7"/>
    <w:rsid w:val="002D2DBD"/>
    <w:rsid w:val="002D3B37"/>
    <w:rsid w:val="002D5759"/>
    <w:rsid w:val="002E3C27"/>
    <w:rsid w:val="002E729D"/>
    <w:rsid w:val="002E7580"/>
    <w:rsid w:val="002E7A17"/>
    <w:rsid w:val="002F2136"/>
    <w:rsid w:val="002F6F5A"/>
    <w:rsid w:val="002F73C7"/>
    <w:rsid w:val="00304AA6"/>
    <w:rsid w:val="00304D89"/>
    <w:rsid w:val="00306582"/>
    <w:rsid w:val="0031123E"/>
    <w:rsid w:val="00315B22"/>
    <w:rsid w:val="00325647"/>
    <w:rsid w:val="003301AE"/>
    <w:rsid w:val="00330347"/>
    <w:rsid w:val="003409F7"/>
    <w:rsid w:val="00341010"/>
    <w:rsid w:val="00341F38"/>
    <w:rsid w:val="003435B0"/>
    <w:rsid w:val="003455FF"/>
    <w:rsid w:val="003528EC"/>
    <w:rsid w:val="00352E68"/>
    <w:rsid w:val="00354A70"/>
    <w:rsid w:val="00354EA3"/>
    <w:rsid w:val="00356480"/>
    <w:rsid w:val="00362285"/>
    <w:rsid w:val="00363891"/>
    <w:rsid w:val="00365F52"/>
    <w:rsid w:val="003665C1"/>
    <w:rsid w:val="003677A0"/>
    <w:rsid w:val="0037675B"/>
    <w:rsid w:val="00381475"/>
    <w:rsid w:val="00386ADC"/>
    <w:rsid w:val="00390831"/>
    <w:rsid w:val="00390BAB"/>
    <w:rsid w:val="003A0967"/>
    <w:rsid w:val="003A0D6B"/>
    <w:rsid w:val="003A3DAE"/>
    <w:rsid w:val="003A480E"/>
    <w:rsid w:val="003A5179"/>
    <w:rsid w:val="003A6914"/>
    <w:rsid w:val="003B427B"/>
    <w:rsid w:val="003B4FF7"/>
    <w:rsid w:val="003B53B6"/>
    <w:rsid w:val="003B5DDA"/>
    <w:rsid w:val="003B7F4D"/>
    <w:rsid w:val="003B7FBE"/>
    <w:rsid w:val="003C371A"/>
    <w:rsid w:val="003C5618"/>
    <w:rsid w:val="003C6DE8"/>
    <w:rsid w:val="003D0842"/>
    <w:rsid w:val="003D77DC"/>
    <w:rsid w:val="003E326B"/>
    <w:rsid w:val="003E6DBD"/>
    <w:rsid w:val="003F33A7"/>
    <w:rsid w:val="003F6F99"/>
    <w:rsid w:val="00413856"/>
    <w:rsid w:val="0041406B"/>
    <w:rsid w:val="004158BA"/>
    <w:rsid w:val="00422264"/>
    <w:rsid w:val="00433988"/>
    <w:rsid w:val="0044022C"/>
    <w:rsid w:val="00441B95"/>
    <w:rsid w:val="00450499"/>
    <w:rsid w:val="00454A4E"/>
    <w:rsid w:val="004558E4"/>
    <w:rsid w:val="00456117"/>
    <w:rsid w:val="004606F9"/>
    <w:rsid w:val="00460CE5"/>
    <w:rsid w:val="00466D3F"/>
    <w:rsid w:val="00467BC4"/>
    <w:rsid w:val="004714D5"/>
    <w:rsid w:val="00472A53"/>
    <w:rsid w:val="004826BF"/>
    <w:rsid w:val="004863D8"/>
    <w:rsid w:val="00490D07"/>
    <w:rsid w:val="00492E0A"/>
    <w:rsid w:val="00493D38"/>
    <w:rsid w:val="00494551"/>
    <w:rsid w:val="00495A22"/>
    <w:rsid w:val="004A2630"/>
    <w:rsid w:val="004A3604"/>
    <w:rsid w:val="004A39DB"/>
    <w:rsid w:val="004C038A"/>
    <w:rsid w:val="004C0F7D"/>
    <w:rsid w:val="004C15A5"/>
    <w:rsid w:val="004C23FC"/>
    <w:rsid w:val="004C4149"/>
    <w:rsid w:val="004C7B54"/>
    <w:rsid w:val="004D01CC"/>
    <w:rsid w:val="004D0A61"/>
    <w:rsid w:val="004D631A"/>
    <w:rsid w:val="004E085D"/>
    <w:rsid w:val="004E22A5"/>
    <w:rsid w:val="004F33BB"/>
    <w:rsid w:val="004F4FA1"/>
    <w:rsid w:val="005006F3"/>
    <w:rsid w:val="005026BF"/>
    <w:rsid w:val="00515998"/>
    <w:rsid w:val="00524F01"/>
    <w:rsid w:val="00533798"/>
    <w:rsid w:val="0053506E"/>
    <w:rsid w:val="0054198E"/>
    <w:rsid w:val="00541E07"/>
    <w:rsid w:val="005439B2"/>
    <w:rsid w:val="00543DE3"/>
    <w:rsid w:val="00551A4D"/>
    <w:rsid w:val="00553C5C"/>
    <w:rsid w:val="00556B37"/>
    <w:rsid w:val="00563FDC"/>
    <w:rsid w:val="00567102"/>
    <w:rsid w:val="00574F35"/>
    <w:rsid w:val="00580042"/>
    <w:rsid w:val="005810E9"/>
    <w:rsid w:val="00581485"/>
    <w:rsid w:val="005A37F9"/>
    <w:rsid w:val="005B117E"/>
    <w:rsid w:val="005B1F29"/>
    <w:rsid w:val="005D22DC"/>
    <w:rsid w:val="005D24A9"/>
    <w:rsid w:val="005E18FB"/>
    <w:rsid w:val="005E3E61"/>
    <w:rsid w:val="005F055D"/>
    <w:rsid w:val="005F5CD0"/>
    <w:rsid w:val="005F645B"/>
    <w:rsid w:val="006028F2"/>
    <w:rsid w:val="00606EFC"/>
    <w:rsid w:val="00610E9D"/>
    <w:rsid w:val="00615DF1"/>
    <w:rsid w:val="00623298"/>
    <w:rsid w:val="00624C22"/>
    <w:rsid w:val="00625EC7"/>
    <w:rsid w:val="00626969"/>
    <w:rsid w:val="00637930"/>
    <w:rsid w:val="006402EB"/>
    <w:rsid w:val="006447CC"/>
    <w:rsid w:val="00645402"/>
    <w:rsid w:val="00656095"/>
    <w:rsid w:val="00664416"/>
    <w:rsid w:val="006656FD"/>
    <w:rsid w:val="006804A3"/>
    <w:rsid w:val="00682991"/>
    <w:rsid w:val="006900A4"/>
    <w:rsid w:val="006A3B76"/>
    <w:rsid w:val="006A5C52"/>
    <w:rsid w:val="006C0E68"/>
    <w:rsid w:val="006C7F61"/>
    <w:rsid w:val="006D29F3"/>
    <w:rsid w:val="006D4101"/>
    <w:rsid w:val="006E1C9B"/>
    <w:rsid w:val="006E53A3"/>
    <w:rsid w:val="006E55BC"/>
    <w:rsid w:val="006E5EE0"/>
    <w:rsid w:val="006F60F5"/>
    <w:rsid w:val="006F6D01"/>
    <w:rsid w:val="0070608E"/>
    <w:rsid w:val="00720B0D"/>
    <w:rsid w:val="00733744"/>
    <w:rsid w:val="00734E4B"/>
    <w:rsid w:val="00736512"/>
    <w:rsid w:val="0074694C"/>
    <w:rsid w:val="00751DEA"/>
    <w:rsid w:val="0075421E"/>
    <w:rsid w:val="00761D50"/>
    <w:rsid w:val="00770003"/>
    <w:rsid w:val="0077308A"/>
    <w:rsid w:val="007748EE"/>
    <w:rsid w:val="00776885"/>
    <w:rsid w:val="0077788E"/>
    <w:rsid w:val="00781B3D"/>
    <w:rsid w:val="00785AF3"/>
    <w:rsid w:val="00797986"/>
    <w:rsid w:val="007A32D9"/>
    <w:rsid w:val="007A53BA"/>
    <w:rsid w:val="007A6880"/>
    <w:rsid w:val="007B14B6"/>
    <w:rsid w:val="007B2F95"/>
    <w:rsid w:val="007B67D0"/>
    <w:rsid w:val="007B6B7D"/>
    <w:rsid w:val="007C1185"/>
    <w:rsid w:val="007C3918"/>
    <w:rsid w:val="007C5F3B"/>
    <w:rsid w:val="007D570B"/>
    <w:rsid w:val="007E08C3"/>
    <w:rsid w:val="007E0DDB"/>
    <w:rsid w:val="007E21CF"/>
    <w:rsid w:val="007E69E2"/>
    <w:rsid w:val="007E6AF9"/>
    <w:rsid w:val="007E702E"/>
    <w:rsid w:val="007F76C2"/>
    <w:rsid w:val="007F773A"/>
    <w:rsid w:val="007F7899"/>
    <w:rsid w:val="0080685F"/>
    <w:rsid w:val="00812E95"/>
    <w:rsid w:val="008141DC"/>
    <w:rsid w:val="00816489"/>
    <w:rsid w:val="00822493"/>
    <w:rsid w:val="008335D1"/>
    <w:rsid w:val="00834D38"/>
    <w:rsid w:val="008352B5"/>
    <w:rsid w:val="0084065E"/>
    <w:rsid w:val="008419EA"/>
    <w:rsid w:val="00841FD9"/>
    <w:rsid w:val="00842F5B"/>
    <w:rsid w:val="00853C46"/>
    <w:rsid w:val="00854CBF"/>
    <w:rsid w:val="00860E9B"/>
    <w:rsid w:val="008654DD"/>
    <w:rsid w:val="00871CC4"/>
    <w:rsid w:val="00871F53"/>
    <w:rsid w:val="0087309D"/>
    <w:rsid w:val="008732F1"/>
    <w:rsid w:val="00874C40"/>
    <w:rsid w:val="00875989"/>
    <w:rsid w:val="00875E16"/>
    <w:rsid w:val="00876220"/>
    <w:rsid w:val="00880C4C"/>
    <w:rsid w:val="008919E2"/>
    <w:rsid w:val="00892168"/>
    <w:rsid w:val="00893542"/>
    <w:rsid w:val="00893CBD"/>
    <w:rsid w:val="00893E4F"/>
    <w:rsid w:val="008A3ED7"/>
    <w:rsid w:val="008A4458"/>
    <w:rsid w:val="008A4B92"/>
    <w:rsid w:val="008B0EC3"/>
    <w:rsid w:val="008B5F9E"/>
    <w:rsid w:val="008C05D5"/>
    <w:rsid w:val="008C09CC"/>
    <w:rsid w:val="008D34FD"/>
    <w:rsid w:val="008D3B63"/>
    <w:rsid w:val="008D5E0F"/>
    <w:rsid w:val="008D6443"/>
    <w:rsid w:val="008D66DD"/>
    <w:rsid w:val="008E3C52"/>
    <w:rsid w:val="008E4B4B"/>
    <w:rsid w:val="008E5855"/>
    <w:rsid w:val="008E5E27"/>
    <w:rsid w:val="008F02E7"/>
    <w:rsid w:val="008F0BBB"/>
    <w:rsid w:val="008F5FBD"/>
    <w:rsid w:val="008F6ACE"/>
    <w:rsid w:val="00900252"/>
    <w:rsid w:val="009018E1"/>
    <w:rsid w:val="00904CDC"/>
    <w:rsid w:val="009054B4"/>
    <w:rsid w:val="00912748"/>
    <w:rsid w:val="00917FEA"/>
    <w:rsid w:val="00922015"/>
    <w:rsid w:val="00924D10"/>
    <w:rsid w:val="00931504"/>
    <w:rsid w:val="00942F7A"/>
    <w:rsid w:val="0094392C"/>
    <w:rsid w:val="0094489D"/>
    <w:rsid w:val="009557FD"/>
    <w:rsid w:val="00961A17"/>
    <w:rsid w:val="00963BBF"/>
    <w:rsid w:val="00964BB7"/>
    <w:rsid w:val="00965B18"/>
    <w:rsid w:val="0097000F"/>
    <w:rsid w:val="00972E20"/>
    <w:rsid w:val="00981076"/>
    <w:rsid w:val="009811DC"/>
    <w:rsid w:val="009815D8"/>
    <w:rsid w:val="00981A5A"/>
    <w:rsid w:val="009826F9"/>
    <w:rsid w:val="00982FA8"/>
    <w:rsid w:val="00983B6B"/>
    <w:rsid w:val="00992031"/>
    <w:rsid w:val="00992209"/>
    <w:rsid w:val="009A4DFA"/>
    <w:rsid w:val="009A7B97"/>
    <w:rsid w:val="009B36C8"/>
    <w:rsid w:val="009B5A53"/>
    <w:rsid w:val="009B764F"/>
    <w:rsid w:val="009B7F7C"/>
    <w:rsid w:val="009C0F8F"/>
    <w:rsid w:val="009D0486"/>
    <w:rsid w:val="009D1023"/>
    <w:rsid w:val="009D25F5"/>
    <w:rsid w:val="009D60D1"/>
    <w:rsid w:val="009E301D"/>
    <w:rsid w:val="009E513C"/>
    <w:rsid w:val="009E57C8"/>
    <w:rsid w:val="009F1C80"/>
    <w:rsid w:val="009F2138"/>
    <w:rsid w:val="009F69B3"/>
    <w:rsid w:val="009F740C"/>
    <w:rsid w:val="00A17F62"/>
    <w:rsid w:val="00A20F9F"/>
    <w:rsid w:val="00A231C9"/>
    <w:rsid w:val="00A272C3"/>
    <w:rsid w:val="00A30FEC"/>
    <w:rsid w:val="00A32F3F"/>
    <w:rsid w:val="00A33DDF"/>
    <w:rsid w:val="00A34DA9"/>
    <w:rsid w:val="00A42E66"/>
    <w:rsid w:val="00A464D1"/>
    <w:rsid w:val="00A5419E"/>
    <w:rsid w:val="00A54B3C"/>
    <w:rsid w:val="00A60896"/>
    <w:rsid w:val="00A616D8"/>
    <w:rsid w:val="00A64D60"/>
    <w:rsid w:val="00A66ACE"/>
    <w:rsid w:val="00A6771E"/>
    <w:rsid w:val="00A67C8A"/>
    <w:rsid w:val="00A76E67"/>
    <w:rsid w:val="00A80E80"/>
    <w:rsid w:val="00A81500"/>
    <w:rsid w:val="00A83895"/>
    <w:rsid w:val="00A86C01"/>
    <w:rsid w:val="00A93DA1"/>
    <w:rsid w:val="00A94C31"/>
    <w:rsid w:val="00A95ECF"/>
    <w:rsid w:val="00A97A06"/>
    <w:rsid w:val="00AA4566"/>
    <w:rsid w:val="00AA7165"/>
    <w:rsid w:val="00AB4B26"/>
    <w:rsid w:val="00AB6EED"/>
    <w:rsid w:val="00AC1F51"/>
    <w:rsid w:val="00AC26DD"/>
    <w:rsid w:val="00AD0500"/>
    <w:rsid w:val="00AD1A1E"/>
    <w:rsid w:val="00AD33E6"/>
    <w:rsid w:val="00AD52F6"/>
    <w:rsid w:val="00AD6EEE"/>
    <w:rsid w:val="00AE06A3"/>
    <w:rsid w:val="00AE392F"/>
    <w:rsid w:val="00AF2C7E"/>
    <w:rsid w:val="00AF3478"/>
    <w:rsid w:val="00AF3908"/>
    <w:rsid w:val="00AF59F8"/>
    <w:rsid w:val="00B00130"/>
    <w:rsid w:val="00B057E2"/>
    <w:rsid w:val="00B069D0"/>
    <w:rsid w:val="00B1794D"/>
    <w:rsid w:val="00B21535"/>
    <w:rsid w:val="00B21F4B"/>
    <w:rsid w:val="00B23898"/>
    <w:rsid w:val="00B24BAC"/>
    <w:rsid w:val="00B271FA"/>
    <w:rsid w:val="00B27FFE"/>
    <w:rsid w:val="00B348F7"/>
    <w:rsid w:val="00B3577F"/>
    <w:rsid w:val="00B3671B"/>
    <w:rsid w:val="00B37B1C"/>
    <w:rsid w:val="00B40332"/>
    <w:rsid w:val="00B440F7"/>
    <w:rsid w:val="00B51A24"/>
    <w:rsid w:val="00B5308F"/>
    <w:rsid w:val="00B54CB1"/>
    <w:rsid w:val="00B55FF1"/>
    <w:rsid w:val="00B56503"/>
    <w:rsid w:val="00B5790B"/>
    <w:rsid w:val="00B64E65"/>
    <w:rsid w:val="00B71B7B"/>
    <w:rsid w:val="00B73291"/>
    <w:rsid w:val="00B74600"/>
    <w:rsid w:val="00B75C6E"/>
    <w:rsid w:val="00B816EF"/>
    <w:rsid w:val="00B817BD"/>
    <w:rsid w:val="00B820DB"/>
    <w:rsid w:val="00B83B36"/>
    <w:rsid w:val="00B8556F"/>
    <w:rsid w:val="00B87996"/>
    <w:rsid w:val="00B90F3D"/>
    <w:rsid w:val="00BA7561"/>
    <w:rsid w:val="00BB083B"/>
    <w:rsid w:val="00BC5B31"/>
    <w:rsid w:val="00BC7DC5"/>
    <w:rsid w:val="00BE072B"/>
    <w:rsid w:val="00BE3698"/>
    <w:rsid w:val="00BE4C6B"/>
    <w:rsid w:val="00BF42B8"/>
    <w:rsid w:val="00BF74A7"/>
    <w:rsid w:val="00BF7A38"/>
    <w:rsid w:val="00C027AE"/>
    <w:rsid w:val="00C123B1"/>
    <w:rsid w:val="00C129DB"/>
    <w:rsid w:val="00C136B8"/>
    <w:rsid w:val="00C16EA0"/>
    <w:rsid w:val="00C206C9"/>
    <w:rsid w:val="00C25F21"/>
    <w:rsid w:val="00C31562"/>
    <w:rsid w:val="00C3463E"/>
    <w:rsid w:val="00C34DD3"/>
    <w:rsid w:val="00C351F6"/>
    <w:rsid w:val="00C357CB"/>
    <w:rsid w:val="00C46E13"/>
    <w:rsid w:val="00C514B1"/>
    <w:rsid w:val="00C547B8"/>
    <w:rsid w:val="00C70653"/>
    <w:rsid w:val="00C708D4"/>
    <w:rsid w:val="00C71EC3"/>
    <w:rsid w:val="00C763E7"/>
    <w:rsid w:val="00C76D7F"/>
    <w:rsid w:val="00C76EA3"/>
    <w:rsid w:val="00C80E77"/>
    <w:rsid w:val="00C83B1D"/>
    <w:rsid w:val="00C8475B"/>
    <w:rsid w:val="00C864B2"/>
    <w:rsid w:val="00C906F2"/>
    <w:rsid w:val="00C93C51"/>
    <w:rsid w:val="00C93E52"/>
    <w:rsid w:val="00C94330"/>
    <w:rsid w:val="00C9534A"/>
    <w:rsid w:val="00CA4C4F"/>
    <w:rsid w:val="00CA5138"/>
    <w:rsid w:val="00CA6B65"/>
    <w:rsid w:val="00CB340C"/>
    <w:rsid w:val="00CC66BE"/>
    <w:rsid w:val="00CC7985"/>
    <w:rsid w:val="00CD316F"/>
    <w:rsid w:val="00CD4010"/>
    <w:rsid w:val="00CD5564"/>
    <w:rsid w:val="00CF1D98"/>
    <w:rsid w:val="00CF4A1D"/>
    <w:rsid w:val="00CF7EF8"/>
    <w:rsid w:val="00D02C0E"/>
    <w:rsid w:val="00D02D64"/>
    <w:rsid w:val="00D0347B"/>
    <w:rsid w:val="00D048DA"/>
    <w:rsid w:val="00D07BD0"/>
    <w:rsid w:val="00D110E9"/>
    <w:rsid w:val="00D14254"/>
    <w:rsid w:val="00D156D8"/>
    <w:rsid w:val="00D17C7A"/>
    <w:rsid w:val="00D20898"/>
    <w:rsid w:val="00D24D66"/>
    <w:rsid w:val="00D25022"/>
    <w:rsid w:val="00D27EDC"/>
    <w:rsid w:val="00D452EA"/>
    <w:rsid w:val="00D510CC"/>
    <w:rsid w:val="00D5241C"/>
    <w:rsid w:val="00D53214"/>
    <w:rsid w:val="00D54B7D"/>
    <w:rsid w:val="00D5524B"/>
    <w:rsid w:val="00D60B7B"/>
    <w:rsid w:val="00D631C3"/>
    <w:rsid w:val="00D65B4A"/>
    <w:rsid w:val="00D71471"/>
    <w:rsid w:val="00D7236A"/>
    <w:rsid w:val="00D733EF"/>
    <w:rsid w:val="00D73CEE"/>
    <w:rsid w:val="00D760A6"/>
    <w:rsid w:val="00D81B16"/>
    <w:rsid w:val="00D92E85"/>
    <w:rsid w:val="00D94B4E"/>
    <w:rsid w:val="00D95176"/>
    <w:rsid w:val="00DA08CC"/>
    <w:rsid w:val="00DA6482"/>
    <w:rsid w:val="00DB08C5"/>
    <w:rsid w:val="00DD0267"/>
    <w:rsid w:val="00DD40E6"/>
    <w:rsid w:val="00DD6A13"/>
    <w:rsid w:val="00DE1526"/>
    <w:rsid w:val="00DE4024"/>
    <w:rsid w:val="00DE5615"/>
    <w:rsid w:val="00DF21F5"/>
    <w:rsid w:val="00DF6E64"/>
    <w:rsid w:val="00E005CD"/>
    <w:rsid w:val="00E06C2E"/>
    <w:rsid w:val="00E102C1"/>
    <w:rsid w:val="00E10360"/>
    <w:rsid w:val="00E16196"/>
    <w:rsid w:val="00E169FF"/>
    <w:rsid w:val="00E274EB"/>
    <w:rsid w:val="00E30726"/>
    <w:rsid w:val="00E30E24"/>
    <w:rsid w:val="00E421BF"/>
    <w:rsid w:val="00E430E0"/>
    <w:rsid w:val="00E4628A"/>
    <w:rsid w:val="00E465D7"/>
    <w:rsid w:val="00E46A6C"/>
    <w:rsid w:val="00E473D3"/>
    <w:rsid w:val="00E50B63"/>
    <w:rsid w:val="00E53F5D"/>
    <w:rsid w:val="00E540CF"/>
    <w:rsid w:val="00E553DC"/>
    <w:rsid w:val="00E55E6C"/>
    <w:rsid w:val="00E55F2C"/>
    <w:rsid w:val="00E62AB4"/>
    <w:rsid w:val="00E77AF2"/>
    <w:rsid w:val="00E84BDA"/>
    <w:rsid w:val="00E84E2A"/>
    <w:rsid w:val="00E93E23"/>
    <w:rsid w:val="00E94271"/>
    <w:rsid w:val="00E973E3"/>
    <w:rsid w:val="00EA17D8"/>
    <w:rsid w:val="00EA4FAE"/>
    <w:rsid w:val="00EA54AF"/>
    <w:rsid w:val="00EA6947"/>
    <w:rsid w:val="00EB0513"/>
    <w:rsid w:val="00EB0633"/>
    <w:rsid w:val="00EB11BD"/>
    <w:rsid w:val="00EB1505"/>
    <w:rsid w:val="00EB1D8C"/>
    <w:rsid w:val="00EB7890"/>
    <w:rsid w:val="00EB7C16"/>
    <w:rsid w:val="00EC01DC"/>
    <w:rsid w:val="00EC2018"/>
    <w:rsid w:val="00ED0A93"/>
    <w:rsid w:val="00ED39C5"/>
    <w:rsid w:val="00EE335C"/>
    <w:rsid w:val="00EE5809"/>
    <w:rsid w:val="00EF133F"/>
    <w:rsid w:val="00EF1CB9"/>
    <w:rsid w:val="00EF536D"/>
    <w:rsid w:val="00EF7A7D"/>
    <w:rsid w:val="00F00492"/>
    <w:rsid w:val="00F00BFB"/>
    <w:rsid w:val="00F01907"/>
    <w:rsid w:val="00F10115"/>
    <w:rsid w:val="00F11336"/>
    <w:rsid w:val="00F12911"/>
    <w:rsid w:val="00F23360"/>
    <w:rsid w:val="00F233FB"/>
    <w:rsid w:val="00F3517C"/>
    <w:rsid w:val="00F43E61"/>
    <w:rsid w:val="00F50BD5"/>
    <w:rsid w:val="00F5413F"/>
    <w:rsid w:val="00F607A9"/>
    <w:rsid w:val="00F6125D"/>
    <w:rsid w:val="00F61FBB"/>
    <w:rsid w:val="00F62100"/>
    <w:rsid w:val="00F723F0"/>
    <w:rsid w:val="00F82A21"/>
    <w:rsid w:val="00FA2041"/>
    <w:rsid w:val="00FA38BD"/>
    <w:rsid w:val="00FA3A58"/>
    <w:rsid w:val="00FA3BC3"/>
    <w:rsid w:val="00FA472E"/>
    <w:rsid w:val="00FA4E56"/>
    <w:rsid w:val="00FA619E"/>
    <w:rsid w:val="00FB2793"/>
    <w:rsid w:val="00FB3BF5"/>
    <w:rsid w:val="00FB4CB3"/>
    <w:rsid w:val="00FB7F53"/>
    <w:rsid w:val="00FC0C56"/>
    <w:rsid w:val="00FC5D1C"/>
    <w:rsid w:val="00FD55E9"/>
    <w:rsid w:val="00FD75B7"/>
    <w:rsid w:val="00FD7F4B"/>
    <w:rsid w:val="00FE3D90"/>
    <w:rsid w:val="00FF187C"/>
    <w:rsid w:val="00FF207A"/>
    <w:rsid w:val="00FF7834"/>
    <w:rsid w:val="5D8696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FEE842"/>
  <w15:chartTrackingRefBased/>
  <w15:docId w15:val="{F021081A-036B-41A7-936C-395AFE0B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66D3F"/>
    <w:rPr>
      <w:sz w:val="16"/>
      <w:szCs w:val="16"/>
    </w:rPr>
  </w:style>
  <w:style w:type="paragraph" w:styleId="CommentText">
    <w:name w:val="annotation text"/>
    <w:basedOn w:val="Normal"/>
    <w:link w:val="CommentTextChar"/>
    <w:uiPriority w:val="99"/>
    <w:semiHidden/>
    <w:unhideWhenUsed/>
    <w:rsid w:val="00466D3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66D3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66D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D3F"/>
    <w:rPr>
      <w:rFonts w:ascii="Segoe UI" w:hAnsi="Segoe UI" w:cs="Segoe UI"/>
      <w:sz w:val="18"/>
      <w:szCs w:val="18"/>
    </w:rPr>
  </w:style>
  <w:style w:type="paragraph" w:styleId="FootnoteText">
    <w:name w:val="footnote text"/>
    <w:basedOn w:val="Normal"/>
    <w:link w:val="FootnoteTextChar"/>
    <w:uiPriority w:val="99"/>
    <w:semiHidden/>
    <w:unhideWhenUsed/>
    <w:rsid w:val="00466D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6D3F"/>
    <w:rPr>
      <w:sz w:val="20"/>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466D3F"/>
    <w:rPr>
      <w:rFonts w:ascii="Times New Roman" w:hAnsi="Times New Roman"/>
      <w:b/>
      <w:sz w:val="26"/>
      <w:szCs w:val="26"/>
      <w:vertAlign w:val="superscript"/>
    </w:rPr>
  </w:style>
  <w:style w:type="paragraph" w:styleId="CommentSubject">
    <w:name w:val="annotation subject"/>
    <w:basedOn w:val="CommentText"/>
    <w:next w:val="CommentText"/>
    <w:link w:val="CommentSubjectChar"/>
    <w:uiPriority w:val="99"/>
    <w:semiHidden/>
    <w:unhideWhenUsed/>
    <w:rsid w:val="00AC26D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26D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93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E00"/>
  </w:style>
  <w:style w:type="paragraph" w:styleId="Footer">
    <w:name w:val="footer"/>
    <w:basedOn w:val="Normal"/>
    <w:link w:val="FooterChar"/>
    <w:uiPriority w:val="99"/>
    <w:unhideWhenUsed/>
    <w:rsid w:val="00093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E00"/>
  </w:style>
  <w:style w:type="character" w:styleId="Hyperlink">
    <w:name w:val="Hyperlink"/>
    <w:basedOn w:val="DefaultParagraphFont"/>
    <w:uiPriority w:val="99"/>
    <w:unhideWhenUsed/>
    <w:rsid w:val="00E10360"/>
    <w:rPr>
      <w:color w:val="0563C1" w:themeColor="hyperlink"/>
      <w:u w:val="single"/>
    </w:rPr>
  </w:style>
  <w:style w:type="character" w:styleId="UnresolvedMention">
    <w:name w:val="Unresolved Mention"/>
    <w:basedOn w:val="DefaultParagraphFont"/>
    <w:uiPriority w:val="99"/>
    <w:semiHidden/>
    <w:unhideWhenUsed/>
    <w:rsid w:val="00E10360"/>
    <w:rPr>
      <w:color w:val="605E5C"/>
      <w:shd w:val="clear" w:color="auto" w:fill="E1DFDD"/>
    </w:rPr>
  </w:style>
  <w:style w:type="paragraph" w:styleId="ListParagraph">
    <w:name w:val="List Paragraph"/>
    <w:basedOn w:val="Normal"/>
    <w:uiPriority w:val="34"/>
    <w:qFormat/>
    <w:rsid w:val="002F2136"/>
    <w:pPr>
      <w:ind w:left="720"/>
      <w:contextualSpacing/>
    </w:pPr>
  </w:style>
  <w:style w:type="paragraph" w:styleId="Revision">
    <w:name w:val="Revision"/>
    <w:hidden/>
    <w:uiPriority w:val="99"/>
    <w:semiHidden/>
    <w:rsid w:val="00F5413F"/>
    <w:pPr>
      <w:spacing w:after="0" w:line="240" w:lineRule="auto"/>
    </w:pPr>
  </w:style>
  <w:style w:type="paragraph" w:styleId="HTMLPreformatted">
    <w:name w:val="HTML Preformatted"/>
    <w:basedOn w:val="Normal"/>
    <w:link w:val="HTMLPreformattedChar"/>
    <w:uiPriority w:val="99"/>
    <w:unhideWhenUsed/>
    <w:rsid w:val="00761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61D50"/>
    <w:rPr>
      <w:rFonts w:ascii="Courier New" w:eastAsia="Times New Roman" w:hAnsi="Courier New" w:cs="Courier New"/>
      <w:sz w:val="20"/>
      <w:szCs w:val="20"/>
    </w:rPr>
  </w:style>
  <w:style w:type="paragraph" w:customStyle="1" w:styleId="indent-2">
    <w:name w:val="indent-2"/>
    <w:basedOn w:val="Normal"/>
    <w:rsid w:val="003C37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3C371A"/>
  </w:style>
  <w:style w:type="character" w:customStyle="1" w:styleId="paren">
    <w:name w:val="paren"/>
    <w:basedOn w:val="DefaultParagraphFont"/>
    <w:rsid w:val="003C371A"/>
  </w:style>
  <w:style w:type="character" w:styleId="Emphasis">
    <w:name w:val="Emphasis"/>
    <w:basedOn w:val="DefaultParagraphFont"/>
    <w:uiPriority w:val="20"/>
    <w:qFormat/>
    <w:rsid w:val="003C371A"/>
    <w:rPr>
      <w:i/>
      <w:iCs/>
    </w:rPr>
  </w:style>
  <w:style w:type="character" w:customStyle="1" w:styleId="paragraph-heading">
    <w:name w:val="paragraph-heading"/>
    <w:basedOn w:val="DefaultParagraphFont"/>
    <w:rsid w:val="003E326B"/>
  </w:style>
  <w:style w:type="paragraph" w:styleId="NormalWeb">
    <w:name w:val="Normal (Web)"/>
    <w:basedOn w:val="Normal"/>
    <w:uiPriority w:val="99"/>
    <w:unhideWhenUsed/>
    <w:rsid w:val="00781B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1"/>
    <w:basedOn w:val="Normal"/>
    <w:rsid w:val="00781B3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A64361F2-963A-4679-BC52-7C184571C356}">
  <ds:schemaRefs>
    <ds:schemaRef ds:uri="http://schemas.openxmlformats.org/officeDocument/2006/bibliography"/>
  </ds:schemaRefs>
</ds:datastoreItem>
</file>

<file path=customXml/itemProps2.xml><?xml version="1.0" encoding="utf-8"?>
<ds:datastoreItem xmlns:ds="http://schemas.openxmlformats.org/officeDocument/2006/customXml" ds:itemID="{14CFA564-536A-479F-9DE6-91A90B629D6D}">
  <ds:schemaRefs>
    <ds:schemaRef ds:uri="Microsoft.SharePoint.Taxonomy.ContentTypeSync"/>
  </ds:schemaRefs>
</ds:datastoreItem>
</file>

<file path=customXml/itemProps3.xml><?xml version="1.0" encoding="utf-8"?>
<ds:datastoreItem xmlns:ds="http://schemas.openxmlformats.org/officeDocument/2006/customXml" ds:itemID="{79A935CE-3525-4B49-A1AB-C652A77F9AB5}">
  <ds:schemaRefs>
    <ds:schemaRef ds:uri="http://schemas.microsoft.com/sharepoint/v3/contenttype/forms"/>
  </ds:schemaRefs>
</ds:datastoreItem>
</file>

<file path=customXml/itemProps4.xml><?xml version="1.0" encoding="utf-8"?>
<ds:datastoreItem xmlns:ds="http://schemas.openxmlformats.org/officeDocument/2006/customXml" ds:itemID="{D20CAEEE-3BE3-4CEA-809B-6FD92C290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A9F766-238E-458E-864A-6E8CCA7B27BA}">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1665</Words>
  <Characters>9496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Sonneman</dc:creator>
  <cp:lastModifiedBy>Jean Sonneman</cp:lastModifiedBy>
  <cp:revision>2</cp:revision>
  <dcterms:created xsi:type="dcterms:W3CDTF">2023-10-05T19:13:00Z</dcterms:created>
  <dcterms:modified xsi:type="dcterms:W3CDTF">2023-10-05T19:13:00Z</dcterms:modified>
</cp:coreProperties>
</file>