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6266D" w:rsidP="00917277" w14:paraId="05ECE6CA" w14:textId="77777777">
      <w:pPr>
        <w:tabs>
          <w:tab w:val="left" w:pos="180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Supporting Statement for</w:t>
      </w:r>
    </w:p>
    <w:p w:rsidR="0066266D" w:rsidP="00917277" w14:paraId="041D386E" w14:textId="167463A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FERC-717 (</w:t>
      </w:r>
      <w:r w:rsidRPr="001D5754" w:rsidR="001D5754">
        <w:rPr>
          <w:rFonts w:ascii="Times New Roman" w:hAnsi="Times New Roman" w:cs="Times New Roman"/>
          <w:bCs/>
          <w:sz w:val="24"/>
          <w:szCs w:val="24"/>
        </w:rPr>
        <w:t xml:space="preserve">Standards for </w:t>
      </w:r>
      <w:r w:rsidRPr="001D5754">
        <w:rPr>
          <w:rFonts w:ascii="Times New Roman" w:hAnsi="Times New Roman" w:cs="Times New Roman"/>
          <w:bCs/>
          <w:sz w:val="24"/>
          <w:szCs w:val="24"/>
        </w:rPr>
        <w:t>Business Practices and Communication Protocols</w:t>
      </w:r>
      <w:r w:rsidRPr="001D5754" w:rsidR="00D107E5">
        <w:rPr>
          <w:rFonts w:ascii="Times New Roman" w:hAnsi="Times New Roman" w:cs="Times New Roman"/>
          <w:bCs/>
          <w:sz w:val="24"/>
          <w:szCs w:val="24"/>
        </w:rPr>
        <w:t xml:space="preserve"> for Public Utilities</w:t>
      </w:r>
      <w:r>
        <w:rPr>
          <w:rFonts w:ascii="Times New Roman" w:hAnsi="Times New Roman" w:cs="Times New Roman"/>
          <w:b/>
          <w:sz w:val="24"/>
          <w:szCs w:val="24"/>
        </w:rPr>
        <w:t>)</w:t>
      </w:r>
    </w:p>
    <w:p w:rsidR="0066266D" w:rsidP="00917277" w14:paraId="5F901EA2" w14:textId="77777777">
      <w:pPr>
        <w:spacing w:after="0" w:line="240" w:lineRule="auto"/>
        <w:rPr>
          <w:rFonts w:ascii="Times New Roman" w:hAnsi="Times New Roman" w:cs="Times New Roman"/>
          <w:sz w:val="24"/>
          <w:szCs w:val="24"/>
        </w:rPr>
      </w:pPr>
    </w:p>
    <w:p w:rsidR="0066266D" w:rsidP="00917277" w14:paraId="4D076B13" w14:textId="2A5CD562">
      <w:pPr>
        <w:pStyle w:val="FERCparanumber"/>
        <w:numPr>
          <w:ilvl w:val="0"/>
          <w:numId w:val="0"/>
        </w:numPr>
        <w:spacing w:line="240" w:lineRule="auto"/>
        <w:rPr>
          <w:sz w:val="24"/>
        </w:rPr>
      </w:pPr>
      <w:r>
        <w:t xml:space="preserve">The Federal Energy Regulatory Commission (Commission or FERC) requests that the Office of Management and Budget (OMB) </w:t>
      </w:r>
      <w:r w:rsidR="009C77C2">
        <w:t xml:space="preserve">approve the renewal of </w:t>
      </w:r>
      <w:r>
        <w:t>FERC-717 (Standards for Business Practices and Communication Protocols for Public Utilities</w:t>
      </w:r>
      <w:r w:rsidR="009C77C2">
        <w:t>).</w:t>
      </w:r>
    </w:p>
    <w:p w:rsidR="0066266D" w:rsidP="00917277" w14:paraId="0C0FCF3C" w14:textId="77777777">
      <w:pPr>
        <w:spacing w:after="0" w:line="240" w:lineRule="auto"/>
        <w:rPr>
          <w:rFonts w:ascii="Times New Roman" w:hAnsi="Times New Roman" w:cs="Times New Roman"/>
          <w:sz w:val="24"/>
          <w:szCs w:val="24"/>
        </w:rPr>
      </w:pPr>
    </w:p>
    <w:p w:rsidR="0066266D" w:rsidP="00917277" w14:paraId="558DF8F4" w14:textId="33A42711">
      <w:pPr>
        <w:pStyle w:val="ListParagraph"/>
        <w:numPr>
          <w:ilvl w:val="0"/>
          <w:numId w:val="1"/>
        </w:numPr>
        <w:spacing w:after="0" w:line="240" w:lineRule="auto"/>
        <w:ind w:left="360"/>
        <w:rPr>
          <w:rFonts w:ascii="Times New Roman" w:hAnsi="Times New Roman" w:cs="Times New Roman"/>
          <w:b/>
          <w:sz w:val="24"/>
          <w:szCs w:val="24"/>
        </w:rPr>
      </w:pPr>
      <w:r>
        <w:rPr>
          <w:rFonts w:ascii="Times New Roman" w:hAnsi="Times New Roman" w:cs="Times New Roman"/>
          <w:b/>
          <w:sz w:val="24"/>
          <w:szCs w:val="24"/>
        </w:rPr>
        <w:t>CIRCUMSTANCES THAT MAKE THE COLLECTION OF INFORMATION NECESSARY</w:t>
      </w:r>
    </w:p>
    <w:p w:rsidR="00A373F2" w:rsidRPr="00A373F2" w:rsidP="00A373F2" w14:paraId="3B7B7AD6" w14:textId="77777777">
      <w:pPr>
        <w:spacing w:after="0" w:line="240" w:lineRule="auto"/>
        <w:rPr>
          <w:rFonts w:ascii="Times New Roman" w:hAnsi="Times New Roman" w:cs="Times New Roman"/>
          <w:b/>
          <w:sz w:val="24"/>
          <w:szCs w:val="24"/>
        </w:rPr>
      </w:pPr>
    </w:p>
    <w:p w:rsidR="00662C27" w:rsidP="00917277" w14:paraId="1E15D62F" w14:textId="5DEAAA11">
      <w:pPr>
        <w:spacing w:after="0" w:line="240" w:lineRule="auto"/>
        <w:rPr>
          <w:rFonts w:ascii="Times New Roman" w:hAnsi="Times New Roman" w:cs="Times New Roman"/>
          <w:sz w:val="24"/>
          <w:szCs w:val="24"/>
        </w:rPr>
      </w:pPr>
      <w:r w:rsidRPr="00662C27">
        <w:rPr>
          <w:rFonts w:ascii="Times New Roman" w:hAnsi="Times New Roman" w:cs="Times New Roman"/>
          <w:sz w:val="24"/>
          <w:szCs w:val="24"/>
        </w:rPr>
        <w:t xml:space="preserve">This </w:t>
      </w:r>
      <w:r>
        <w:rPr>
          <w:rFonts w:ascii="Times New Roman" w:hAnsi="Times New Roman" w:cs="Times New Roman"/>
          <w:sz w:val="24"/>
          <w:szCs w:val="24"/>
        </w:rPr>
        <w:t xml:space="preserve">collection of information </w:t>
      </w:r>
      <w:r w:rsidRPr="00662C27">
        <w:rPr>
          <w:rFonts w:ascii="Times New Roman" w:hAnsi="Times New Roman" w:cs="Times New Roman"/>
          <w:sz w:val="24"/>
          <w:szCs w:val="24"/>
        </w:rPr>
        <w:t xml:space="preserve">pertains to a requirement that </w:t>
      </w:r>
      <w:r w:rsidRPr="00662C27" w:rsidR="00364707">
        <w:rPr>
          <w:rFonts w:ascii="Times New Roman" w:hAnsi="Times New Roman" w:cs="Times New Roman"/>
          <w:sz w:val="24"/>
          <w:szCs w:val="24"/>
        </w:rPr>
        <w:t>Transmission</w:t>
      </w:r>
      <w:r w:rsidRPr="00662C27">
        <w:rPr>
          <w:rFonts w:ascii="Times New Roman" w:hAnsi="Times New Roman" w:cs="Times New Roman"/>
          <w:sz w:val="24"/>
          <w:szCs w:val="24"/>
        </w:rPr>
        <w:t xml:space="preserve"> Providers</w:t>
      </w:r>
      <w:r>
        <w:rPr>
          <w:rFonts w:ascii="Times New Roman" w:hAnsi="Times New Roman" w:cs="Times New Roman"/>
          <w:bCs/>
          <w:sz w:val="24"/>
          <w:szCs w:val="24"/>
          <w:vertAlign w:val="superscript"/>
        </w:rPr>
        <w:footnoteReference w:id="2"/>
      </w:r>
      <w:r w:rsidRPr="00662C27">
        <w:rPr>
          <w:rFonts w:ascii="Times New Roman" w:hAnsi="Times New Roman" w:cs="Times New Roman"/>
          <w:sz w:val="24"/>
          <w:szCs w:val="24"/>
        </w:rPr>
        <w:t xml:space="preserve"> provide certain information regarding their transmission operations on an Open Access Same-Time Information System (OASIS).  This requirement was established because the Commission has determined that Transmission Customers</w:t>
      </w:r>
      <w:r>
        <w:rPr>
          <w:rFonts w:ascii="Times New Roman" w:hAnsi="Times New Roman" w:cs="Times New Roman"/>
          <w:bCs/>
          <w:sz w:val="24"/>
          <w:szCs w:val="24"/>
          <w:vertAlign w:val="superscript"/>
        </w:rPr>
        <w:footnoteReference w:id="3"/>
      </w:r>
      <w:r w:rsidRPr="00662C27">
        <w:rPr>
          <w:rFonts w:ascii="Times New Roman" w:hAnsi="Times New Roman" w:cs="Times New Roman"/>
          <w:sz w:val="24"/>
          <w:szCs w:val="24"/>
        </w:rPr>
        <w:t xml:space="preserve"> must have simultaneous access to the same information available to the Transmission Provider in order to receive nondiscriminatory transmission services in accordance with section 205 of the Federal Power Act.</w:t>
      </w:r>
      <w:r>
        <w:rPr>
          <w:rFonts w:ascii="Times New Roman" w:hAnsi="Times New Roman" w:cs="Times New Roman"/>
          <w:bCs/>
          <w:sz w:val="24"/>
          <w:szCs w:val="24"/>
          <w:vertAlign w:val="superscript"/>
        </w:rPr>
        <w:footnoteReference w:id="4"/>
      </w:r>
    </w:p>
    <w:p w:rsidR="00662C27" w:rsidRPr="00662C27" w:rsidP="00917277" w14:paraId="5833E56E" w14:textId="77777777">
      <w:pPr>
        <w:spacing w:after="0" w:line="240" w:lineRule="auto"/>
        <w:rPr>
          <w:rFonts w:ascii="Times New Roman" w:hAnsi="Times New Roman" w:cs="Times New Roman"/>
          <w:sz w:val="24"/>
          <w:szCs w:val="24"/>
        </w:rPr>
      </w:pPr>
    </w:p>
    <w:p w:rsidR="00662C27" w:rsidP="00917277" w14:paraId="46C6888A" w14:textId="5D8A289A">
      <w:pPr>
        <w:spacing w:after="0" w:line="240" w:lineRule="auto"/>
        <w:rPr>
          <w:rFonts w:ascii="Times New Roman" w:hAnsi="Times New Roman" w:cs="Times New Roman"/>
          <w:sz w:val="24"/>
          <w:szCs w:val="24"/>
        </w:rPr>
      </w:pPr>
      <w:r w:rsidRPr="00662C27">
        <w:rPr>
          <w:rFonts w:ascii="Times New Roman" w:hAnsi="Times New Roman" w:cs="Times New Roman"/>
          <w:sz w:val="24"/>
          <w:szCs w:val="24"/>
        </w:rPr>
        <w:t xml:space="preserve">Regulations at 18 CFR Part 37 </w:t>
      </w:r>
      <w:r w:rsidR="001B630A">
        <w:rPr>
          <w:rFonts w:ascii="Times New Roman" w:hAnsi="Times New Roman" w:cs="Times New Roman"/>
          <w:sz w:val="24"/>
          <w:szCs w:val="24"/>
        </w:rPr>
        <w:t>require</w:t>
      </w:r>
      <w:r w:rsidRPr="00662C27">
        <w:rPr>
          <w:rFonts w:ascii="Times New Roman" w:hAnsi="Times New Roman" w:cs="Times New Roman"/>
          <w:sz w:val="24"/>
          <w:szCs w:val="24"/>
        </w:rPr>
        <w:t xml:space="preserve"> Transmission Providers to operate an OASIS either individually or jointly with other Transmission Providers.  </w:t>
      </w:r>
      <w:r w:rsidRPr="00662C27" w:rsidR="00364707">
        <w:rPr>
          <w:rFonts w:ascii="Times New Roman" w:hAnsi="Times New Roman" w:cs="Times New Roman"/>
          <w:sz w:val="24"/>
          <w:szCs w:val="24"/>
        </w:rPr>
        <w:t>These</w:t>
      </w:r>
      <w:r w:rsidRPr="00662C27">
        <w:rPr>
          <w:rFonts w:ascii="Times New Roman" w:hAnsi="Times New Roman" w:cs="Times New Roman"/>
          <w:sz w:val="24"/>
          <w:szCs w:val="24"/>
        </w:rPr>
        <w:t xml:space="preserve"> regulations also provide that a Transmission Provider may delegate this responsibility to a Responsible Party</w:t>
      </w:r>
      <w:r>
        <w:rPr>
          <w:rFonts w:ascii="Times New Roman" w:hAnsi="Times New Roman" w:cs="Times New Roman"/>
          <w:bCs/>
          <w:sz w:val="24"/>
          <w:szCs w:val="24"/>
          <w:vertAlign w:val="superscript"/>
        </w:rPr>
        <w:footnoteReference w:id="5"/>
      </w:r>
      <w:r w:rsidRPr="00662C27">
        <w:rPr>
          <w:rFonts w:ascii="Times New Roman" w:hAnsi="Times New Roman" w:cs="Times New Roman"/>
          <w:sz w:val="24"/>
          <w:szCs w:val="24"/>
        </w:rPr>
        <w:t xml:space="preserve"> such as another Transmission Provider, an Independent System Operator, a Regional </w:t>
      </w:r>
      <w:r w:rsidRPr="00662C27" w:rsidR="00364707">
        <w:rPr>
          <w:rFonts w:ascii="Times New Roman" w:hAnsi="Times New Roman" w:cs="Times New Roman"/>
          <w:sz w:val="24"/>
          <w:szCs w:val="24"/>
        </w:rPr>
        <w:t>Transmission</w:t>
      </w:r>
      <w:r w:rsidRPr="00662C27">
        <w:rPr>
          <w:rFonts w:ascii="Times New Roman" w:hAnsi="Times New Roman" w:cs="Times New Roman"/>
          <w:sz w:val="24"/>
          <w:szCs w:val="24"/>
        </w:rPr>
        <w:t xml:space="preserve"> Group, or a Regional Reliability Council.</w:t>
      </w:r>
    </w:p>
    <w:p w:rsidR="00662C27" w:rsidRPr="00662C27" w:rsidP="00917277" w14:paraId="2C7A9D2F" w14:textId="77777777">
      <w:pPr>
        <w:spacing w:after="0" w:line="240" w:lineRule="auto"/>
        <w:rPr>
          <w:rFonts w:ascii="Times New Roman" w:hAnsi="Times New Roman" w:cs="Times New Roman"/>
          <w:sz w:val="24"/>
          <w:szCs w:val="24"/>
        </w:rPr>
      </w:pPr>
    </w:p>
    <w:p w:rsidR="0066266D" w:rsidP="00C54F5A" w14:paraId="55E89FA8" w14:textId="1F839348">
      <w:pPr>
        <w:spacing w:after="0" w:line="240" w:lineRule="auto"/>
        <w:rPr>
          <w:rFonts w:ascii="Times New Roman" w:hAnsi="Times New Roman" w:cs="Times New Roman"/>
          <w:sz w:val="24"/>
          <w:szCs w:val="24"/>
        </w:rPr>
      </w:pPr>
      <w:r w:rsidRPr="00662C27">
        <w:rPr>
          <w:rFonts w:ascii="Times New Roman" w:hAnsi="Times New Roman" w:cs="Times New Roman"/>
          <w:sz w:val="24"/>
          <w:szCs w:val="24"/>
        </w:rPr>
        <w:t>The information that must be posted at OASIS sites is listed at 18 CFR 37.6.  The required postings include business practices, communication protocols, transfer capacity, transmission service products, and prices.</w:t>
      </w:r>
    </w:p>
    <w:p w:rsidR="0066266D" w:rsidP="00917277" w14:paraId="5841D8EE" w14:textId="77777777">
      <w:pPr>
        <w:spacing w:after="0" w:line="240" w:lineRule="auto"/>
        <w:rPr>
          <w:rFonts w:ascii="Times New Roman" w:hAnsi="Times New Roman" w:cs="Times New Roman"/>
          <w:sz w:val="24"/>
          <w:szCs w:val="24"/>
        </w:rPr>
      </w:pPr>
    </w:p>
    <w:p w:rsidR="00D9710D" w:rsidP="00D9710D" w14:paraId="6CBF0C4B" w14:textId="715F24D1">
      <w:pPr>
        <w:tabs>
          <w:tab w:val="left" w:pos="261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regulations at 18 CFR Part 37 are </w:t>
      </w:r>
      <w:r w:rsidR="00873C4C">
        <w:rPr>
          <w:rFonts w:ascii="Times New Roman" w:hAnsi="Times New Roman" w:cs="Times New Roman"/>
          <w:sz w:val="24"/>
          <w:szCs w:val="24"/>
        </w:rPr>
        <w:t>supplemented</w:t>
      </w:r>
      <w:r>
        <w:rPr>
          <w:rFonts w:ascii="Times New Roman" w:hAnsi="Times New Roman" w:cs="Times New Roman"/>
          <w:sz w:val="24"/>
          <w:szCs w:val="24"/>
        </w:rPr>
        <w:t xml:space="preserve"> by industry-wide Business Practice </w:t>
      </w:r>
      <w:r w:rsidR="00364707">
        <w:rPr>
          <w:rFonts w:ascii="Times New Roman" w:hAnsi="Times New Roman" w:cs="Times New Roman"/>
          <w:sz w:val="24"/>
          <w:szCs w:val="24"/>
        </w:rPr>
        <w:t>Standards</w:t>
      </w:r>
      <w:r>
        <w:rPr>
          <w:rFonts w:ascii="Times New Roman" w:hAnsi="Times New Roman" w:cs="Times New Roman"/>
          <w:sz w:val="24"/>
          <w:szCs w:val="24"/>
        </w:rPr>
        <w:t xml:space="preserve"> </w:t>
      </w:r>
      <w:r w:rsidR="008B05D4">
        <w:rPr>
          <w:rFonts w:ascii="Times New Roman" w:hAnsi="Times New Roman" w:cs="Times New Roman"/>
          <w:sz w:val="24"/>
          <w:szCs w:val="24"/>
        </w:rPr>
        <w:t xml:space="preserve">and Communication Protocols </w:t>
      </w:r>
      <w:r>
        <w:rPr>
          <w:rFonts w:ascii="Times New Roman" w:hAnsi="Times New Roman" w:cs="Times New Roman"/>
          <w:sz w:val="24"/>
          <w:szCs w:val="24"/>
        </w:rPr>
        <w:t xml:space="preserve">that are incorporated by reference at 18 CFR 38.1.  These standards </w:t>
      </w:r>
      <w:r w:rsidR="000818F2">
        <w:rPr>
          <w:rFonts w:ascii="Times New Roman" w:hAnsi="Times New Roman" w:cs="Times New Roman"/>
          <w:sz w:val="24"/>
          <w:szCs w:val="24"/>
        </w:rPr>
        <w:t>help the industry achieve increased levels of efficiency</w:t>
      </w:r>
      <w:r w:rsidR="00FD5334">
        <w:rPr>
          <w:rFonts w:ascii="Times New Roman" w:hAnsi="Times New Roman" w:cs="Times New Roman"/>
          <w:sz w:val="24"/>
          <w:szCs w:val="24"/>
        </w:rPr>
        <w:t>, and</w:t>
      </w:r>
      <w:r>
        <w:rPr>
          <w:rFonts w:ascii="Times New Roman" w:hAnsi="Times New Roman" w:cs="Times New Roman"/>
          <w:sz w:val="24"/>
          <w:szCs w:val="24"/>
        </w:rPr>
        <w:t xml:space="preserve"> </w:t>
      </w:r>
      <w:r w:rsidR="000818F2">
        <w:rPr>
          <w:rFonts w:ascii="Times New Roman" w:hAnsi="Times New Roman" w:cs="Times New Roman"/>
          <w:sz w:val="24"/>
          <w:szCs w:val="24"/>
        </w:rPr>
        <w:t>build on the Commission’s work in preventing undue discrimination and preference in transmission service (in Order Nos. 890, 890-A, 890-B and 890-C)</w:t>
      </w:r>
      <w:r w:rsidR="007D096C">
        <w:rPr>
          <w:rFonts w:ascii="Times New Roman" w:hAnsi="Times New Roman" w:cs="Times New Roman"/>
          <w:sz w:val="24"/>
          <w:szCs w:val="24"/>
        </w:rPr>
        <w:t>.</w:t>
      </w:r>
      <w:r w:rsidR="00B10968">
        <w:rPr>
          <w:rFonts w:ascii="Times New Roman" w:hAnsi="Times New Roman" w:cs="Times New Roman"/>
          <w:sz w:val="24"/>
          <w:szCs w:val="24"/>
        </w:rPr>
        <w:t xml:space="preserve"> </w:t>
      </w:r>
      <w:r w:rsidR="007D096C">
        <w:rPr>
          <w:rFonts w:ascii="Times New Roman" w:hAnsi="Times New Roman" w:cs="Times New Roman"/>
          <w:sz w:val="24"/>
          <w:szCs w:val="24"/>
        </w:rPr>
        <w:t xml:space="preserve"> </w:t>
      </w:r>
      <w:r w:rsidR="00B10968">
        <w:rPr>
          <w:rFonts w:ascii="Times New Roman" w:hAnsi="Times New Roman" w:cs="Times New Roman"/>
          <w:sz w:val="24"/>
          <w:szCs w:val="24"/>
        </w:rPr>
        <w:t>The standards include</w:t>
      </w:r>
      <w:r w:rsidR="000818F2">
        <w:rPr>
          <w:rFonts w:ascii="Times New Roman" w:hAnsi="Times New Roman" w:cs="Times New Roman"/>
          <w:sz w:val="24"/>
          <w:szCs w:val="24"/>
        </w:rPr>
        <w:t xml:space="preserve"> six </w:t>
      </w:r>
      <w:r w:rsidR="00B10968">
        <w:rPr>
          <w:rFonts w:ascii="Times New Roman" w:hAnsi="Times New Roman" w:cs="Times New Roman"/>
          <w:sz w:val="24"/>
          <w:szCs w:val="24"/>
        </w:rPr>
        <w:t>OASIS-</w:t>
      </w:r>
      <w:r w:rsidR="000818F2">
        <w:rPr>
          <w:rFonts w:ascii="Times New Roman" w:hAnsi="Times New Roman" w:cs="Times New Roman"/>
          <w:sz w:val="24"/>
          <w:szCs w:val="24"/>
        </w:rPr>
        <w:t xml:space="preserve"> related </w:t>
      </w:r>
      <w:r w:rsidR="000818F2">
        <w:rPr>
          <w:rFonts w:ascii="Times New Roman" w:hAnsi="Times New Roman" w:cs="Times New Roman"/>
          <w:sz w:val="24"/>
          <w:szCs w:val="24"/>
        </w:rPr>
        <w:t xml:space="preserve">standards that </w:t>
      </w:r>
      <w:r w:rsidR="00B10968">
        <w:rPr>
          <w:rFonts w:ascii="Times New Roman" w:hAnsi="Times New Roman" w:cs="Times New Roman"/>
          <w:sz w:val="24"/>
          <w:szCs w:val="24"/>
        </w:rPr>
        <w:t xml:space="preserve">the North </w:t>
      </w:r>
      <w:r w:rsidR="00364707">
        <w:rPr>
          <w:rFonts w:ascii="Times New Roman" w:hAnsi="Times New Roman" w:cs="Times New Roman"/>
          <w:sz w:val="24"/>
          <w:szCs w:val="24"/>
        </w:rPr>
        <w:t>American</w:t>
      </w:r>
      <w:r w:rsidR="00B10968">
        <w:rPr>
          <w:rFonts w:ascii="Times New Roman" w:hAnsi="Times New Roman" w:cs="Times New Roman"/>
          <w:sz w:val="24"/>
          <w:szCs w:val="24"/>
        </w:rPr>
        <w:t xml:space="preserve"> Energy Standards Board (</w:t>
      </w:r>
      <w:r w:rsidR="000818F2">
        <w:rPr>
          <w:rFonts w:ascii="Times New Roman" w:hAnsi="Times New Roman" w:cs="Times New Roman"/>
          <w:sz w:val="24"/>
          <w:szCs w:val="24"/>
        </w:rPr>
        <w:t>NAESB</w:t>
      </w:r>
      <w:r w:rsidR="00B10968">
        <w:rPr>
          <w:rFonts w:ascii="Times New Roman" w:hAnsi="Times New Roman" w:cs="Times New Roman"/>
          <w:sz w:val="24"/>
          <w:szCs w:val="24"/>
        </w:rPr>
        <w:t>)</w:t>
      </w:r>
      <w:r w:rsidR="000818F2">
        <w:rPr>
          <w:rFonts w:ascii="Times New Roman" w:hAnsi="Times New Roman" w:cs="Times New Roman"/>
          <w:sz w:val="24"/>
          <w:szCs w:val="24"/>
        </w:rPr>
        <w:t xml:space="preserve"> modified in response to directives and guidance provided in Order Nos. 676-E, 676-H, and 890</w:t>
      </w:r>
      <w:r w:rsidR="000C0848">
        <w:rPr>
          <w:rFonts w:ascii="Times New Roman" w:hAnsi="Times New Roman" w:cs="Times New Roman"/>
          <w:sz w:val="24"/>
          <w:szCs w:val="24"/>
        </w:rPr>
        <w:t>.</w:t>
      </w:r>
      <w:r>
        <w:rPr>
          <w:rStyle w:val="FootnoteReference"/>
          <w:rFonts w:ascii="Times New Roman" w:hAnsi="Times New Roman" w:cs="Times New Roman"/>
          <w:sz w:val="24"/>
          <w:szCs w:val="24"/>
          <w:vertAlign w:val="superscript"/>
        </w:rPr>
        <w:footnoteReference w:id="6"/>
      </w:r>
    </w:p>
    <w:p w:rsidR="00BF7996" w:rsidP="00D9710D" w14:paraId="599ADA10" w14:textId="77777777">
      <w:pPr>
        <w:tabs>
          <w:tab w:val="left" w:pos="2610"/>
        </w:tabs>
        <w:spacing w:after="0" w:line="240" w:lineRule="auto"/>
        <w:rPr>
          <w:rFonts w:ascii="Times New Roman" w:hAnsi="Times New Roman" w:cs="Times New Roman"/>
          <w:sz w:val="24"/>
          <w:szCs w:val="24"/>
        </w:rPr>
      </w:pPr>
    </w:p>
    <w:p w:rsidR="0066266D" w:rsidP="00D9710D" w14:paraId="62E45DDC" w14:textId="0D79CC16">
      <w:pPr>
        <w:tabs>
          <w:tab w:val="left" w:pos="2610"/>
        </w:tabs>
        <w:spacing w:after="0" w:line="240" w:lineRule="auto"/>
        <w:rPr>
          <w:rFonts w:ascii="Times New Roman" w:hAnsi="Times New Roman" w:cs="Times New Roman"/>
          <w:sz w:val="24"/>
          <w:szCs w:val="24"/>
        </w:rPr>
      </w:pPr>
      <w:r>
        <w:rPr>
          <w:rFonts w:ascii="Times New Roman" w:hAnsi="Times New Roman" w:cs="Times New Roman"/>
          <w:sz w:val="24"/>
          <w:szCs w:val="24"/>
        </w:rPr>
        <w:t>In addition, in W</w:t>
      </w:r>
      <w:r w:rsidR="00D0794B">
        <w:rPr>
          <w:rFonts w:ascii="Times New Roman" w:hAnsi="Times New Roman" w:cs="Times New Roman"/>
          <w:sz w:val="24"/>
          <w:szCs w:val="24"/>
        </w:rPr>
        <w:t xml:space="preserve">holesale </w:t>
      </w:r>
      <w:r>
        <w:rPr>
          <w:rFonts w:ascii="Times New Roman" w:hAnsi="Times New Roman" w:cs="Times New Roman"/>
          <w:sz w:val="24"/>
          <w:szCs w:val="24"/>
        </w:rPr>
        <w:t>E</w:t>
      </w:r>
      <w:r w:rsidR="00D0794B">
        <w:rPr>
          <w:rFonts w:ascii="Times New Roman" w:hAnsi="Times New Roman" w:cs="Times New Roman"/>
          <w:sz w:val="24"/>
          <w:szCs w:val="24"/>
        </w:rPr>
        <w:t xml:space="preserve">lectric </w:t>
      </w:r>
      <w:r>
        <w:rPr>
          <w:rFonts w:ascii="Times New Roman" w:hAnsi="Times New Roman" w:cs="Times New Roman"/>
          <w:sz w:val="24"/>
          <w:szCs w:val="24"/>
        </w:rPr>
        <w:t>Q</w:t>
      </w:r>
      <w:r w:rsidR="00D0794B">
        <w:rPr>
          <w:rFonts w:ascii="Times New Roman" w:hAnsi="Times New Roman" w:cs="Times New Roman"/>
          <w:sz w:val="24"/>
          <w:szCs w:val="24"/>
        </w:rPr>
        <w:t>uadrant (WEQ)</w:t>
      </w:r>
      <w:r>
        <w:rPr>
          <w:rFonts w:ascii="Times New Roman" w:hAnsi="Times New Roman" w:cs="Times New Roman"/>
          <w:sz w:val="24"/>
          <w:szCs w:val="24"/>
        </w:rPr>
        <w:t xml:space="preserve"> Version 003.</w:t>
      </w:r>
      <w:r w:rsidR="009C77C2">
        <w:rPr>
          <w:rFonts w:ascii="Times New Roman" w:hAnsi="Times New Roman" w:cs="Times New Roman"/>
          <w:sz w:val="24"/>
          <w:szCs w:val="24"/>
        </w:rPr>
        <w:t>2</w:t>
      </w:r>
      <w:r>
        <w:rPr>
          <w:rFonts w:ascii="Times New Roman" w:hAnsi="Times New Roman" w:cs="Times New Roman"/>
          <w:sz w:val="24"/>
          <w:szCs w:val="24"/>
        </w:rPr>
        <w:t>, NAESB developed two suites of standards in coordination with the North American Electric Reliability Corporation (NERC).  These two NAESB suites of standards establish: (1) NAESB Electric Industry Registry (EIR) business practice standards that replace the NERC Transmission System Information Networks (TSIN) as the tool to be used by wholesale electric markets to conduct electronic transactions via electronic tagging (e-Tags); and (2) Modeling Business Practice Standards to support and complement NERC’s proposed retirement of its “MOD A” Reliability Standards.  NAESB also adopted revisions to NAESB standards that need to match up with NERC’s Interchange Scheduling and Coordination Reliability Standards.</w:t>
      </w:r>
    </w:p>
    <w:p w:rsidR="0066266D" w:rsidP="00917277" w14:paraId="6DF1AFAA" w14:textId="77777777">
      <w:pPr>
        <w:spacing w:after="0" w:line="240" w:lineRule="auto"/>
        <w:rPr>
          <w:rFonts w:ascii="Times New Roman" w:hAnsi="Times New Roman" w:cs="Times New Roman"/>
          <w:sz w:val="24"/>
          <w:szCs w:val="24"/>
        </w:rPr>
      </w:pPr>
    </w:p>
    <w:p w:rsidR="0066266D" w:rsidP="00C54F5A" w14:paraId="1D4991D9" w14:textId="79518298">
      <w:pPr>
        <w:spacing w:after="0" w:line="240" w:lineRule="auto"/>
        <w:rPr>
          <w:rFonts w:ascii="Times New Roman" w:hAnsi="Times New Roman" w:cs="Times New Roman"/>
          <w:sz w:val="24"/>
          <w:szCs w:val="24"/>
        </w:rPr>
      </w:pPr>
      <w:r>
        <w:rPr>
          <w:rFonts w:ascii="Times New Roman" w:hAnsi="Times New Roman" w:cs="Times New Roman"/>
          <w:sz w:val="24"/>
          <w:szCs w:val="24"/>
        </w:rPr>
        <w:t>The WEQ Version 003.2 Standards also include other changes that were made to support consistency with NERC Reliability Standards.  NAESB made these changes as a result of continuing coordination with NERC regarding dynamic tagging and pseudo-ties, and the finalization of the transition of the industry registry tool from NERC to NAESB.  NAESB also made additional changes to seven suites of the WEQ Business Practices to ensure the standards accurately reflect revisions to the NERC Reliability Standards.  In addition, NAESB made changes to support market operator functionalities to support the full use of the market operator as a separate role within the EIR and on e-Tags.</w:t>
      </w:r>
      <w:bookmarkStart w:id="0" w:name="_Hlk27654878"/>
      <w:bookmarkEnd w:id="0"/>
    </w:p>
    <w:p w:rsidR="00E041BE" w:rsidP="00E041BE" w14:paraId="470BF9DA" w14:textId="36F56CA2">
      <w:pPr>
        <w:spacing w:after="0" w:line="240" w:lineRule="auto"/>
        <w:rPr>
          <w:rFonts w:ascii="Times New Roman" w:hAnsi="Times New Roman" w:cs="Times New Roman"/>
          <w:sz w:val="24"/>
          <w:szCs w:val="24"/>
        </w:rPr>
      </w:pPr>
    </w:p>
    <w:p w:rsidR="0066266D" w:rsidP="00917277" w14:paraId="2A6CEC6D" w14:textId="77777777">
      <w:pPr>
        <w:pStyle w:val="ListParagraph"/>
        <w:numPr>
          <w:ilvl w:val="0"/>
          <w:numId w:val="1"/>
        </w:numPr>
        <w:spacing w:after="0" w:line="240" w:lineRule="auto"/>
        <w:ind w:left="360"/>
        <w:rPr>
          <w:rFonts w:ascii="Times New Roman" w:hAnsi="Times New Roman" w:cs="Times New Roman"/>
          <w:b/>
          <w:sz w:val="24"/>
          <w:szCs w:val="24"/>
        </w:rPr>
      </w:pPr>
      <w:r>
        <w:rPr>
          <w:rFonts w:ascii="Times New Roman" w:hAnsi="Times New Roman" w:cs="Times New Roman"/>
          <w:b/>
          <w:sz w:val="24"/>
          <w:szCs w:val="24"/>
        </w:rPr>
        <w:t>HOW, BY WHOM, AND FOR WHAT PURPOSE THE INFORMATION IS TO BE USED AND THE CONSEQUENCES OF NOT COLLECTING THE INFORMATION</w:t>
      </w:r>
    </w:p>
    <w:p w:rsidR="0066266D" w:rsidP="00917277" w14:paraId="2AE23168" w14:textId="77777777">
      <w:pPr>
        <w:spacing w:after="0" w:line="240" w:lineRule="auto"/>
        <w:rPr>
          <w:rFonts w:ascii="Times New Roman" w:hAnsi="Times New Roman" w:cs="Times New Roman"/>
          <w:sz w:val="24"/>
          <w:szCs w:val="24"/>
        </w:rPr>
      </w:pPr>
    </w:p>
    <w:p w:rsidR="0066266D" w:rsidP="00917277" w14:paraId="428E3940" w14:textId="32C5F72D">
      <w:pPr>
        <w:spacing w:after="0" w:line="240" w:lineRule="auto"/>
        <w:rPr>
          <w:rFonts w:ascii="Times New Roman" w:hAnsi="Times New Roman" w:cs="Times New Roman"/>
          <w:sz w:val="24"/>
          <w:szCs w:val="24"/>
        </w:rPr>
      </w:pPr>
      <w:r>
        <w:rPr>
          <w:rFonts w:ascii="Times New Roman" w:hAnsi="Times New Roman" w:cs="Times New Roman"/>
          <w:b/>
          <w:sz w:val="24"/>
          <w:szCs w:val="24"/>
        </w:rPr>
        <w:t>FERC-717</w:t>
      </w:r>
      <w:r w:rsidR="009C77C2">
        <w:rPr>
          <w:rFonts w:ascii="Times New Roman" w:hAnsi="Times New Roman" w:cs="Times New Roman"/>
          <w:sz w:val="24"/>
          <w:szCs w:val="24"/>
        </w:rPr>
        <w:t xml:space="preserve"> </w:t>
      </w:r>
      <w:r>
        <w:rPr>
          <w:rFonts w:ascii="Times New Roman" w:hAnsi="Times New Roman" w:cs="Times New Roman"/>
          <w:sz w:val="24"/>
          <w:szCs w:val="24"/>
        </w:rPr>
        <w:t xml:space="preserve">requires </w:t>
      </w:r>
      <w:r w:rsidR="00364707">
        <w:rPr>
          <w:rFonts w:ascii="Times New Roman" w:hAnsi="Times New Roman" w:cs="Times New Roman"/>
          <w:sz w:val="24"/>
          <w:szCs w:val="24"/>
        </w:rPr>
        <w:t>Transmission</w:t>
      </w:r>
      <w:r w:rsidR="004929E2">
        <w:rPr>
          <w:rFonts w:ascii="Times New Roman" w:hAnsi="Times New Roman" w:cs="Times New Roman"/>
          <w:sz w:val="24"/>
          <w:szCs w:val="24"/>
        </w:rPr>
        <w:t xml:space="preserve"> Providers </w:t>
      </w:r>
      <w:r>
        <w:rPr>
          <w:rFonts w:ascii="Times New Roman" w:hAnsi="Times New Roman" w:cs="Times New Roman"/>
          <w:sz w:val="24"/>
          <w:szCs w:val="24"/>
        </w:rPr>
        <w:t>to operate in compliance with the WEQ Version 003.2 business practice standards</w:t>
      </w:r>
      <w:r w:rsidR="004929E2">
        <w:rPr>
          <w:rFonts w:ascii="Times New Roman" w:hAnsi="Times New Roman" w:cs="Times New Roman"/>
          <w:sz w:val="24"/>
          <w:szCs w:val="24"/>
        </w:rPr>
        <w:t xml:space="preserve"> and with relevant Commission regulations.</w:t>
      </w:r>
    </w:p>
    <w:p w:rsidR="0066266D" w:rsidP="00917277" w14:paraId="65371740" w14:textId="77777777">
      <w:pPr>
        <w:spacing w:after="0" w:line="240" w:lineRule="auto"/>
        <w:rPr>
          <w:rFonts w:ascii="Times New Roman" w:hAnsi="Times New Roman" w:cs="Times New Roman"/>
          <w:sz w:val="24"/>
          <w:szCs w:val="24"/>
        </w:rPr>
      </w:pPr>
    </w:p>
    <w:p w:rsidR="0007211F" w:rsidP="00917277" w14:paraId="74424D25" w14:textId="021C17B5">
      <w:pPr>
        <w:spacing w:after="0" w:line="240" w:lineRule="auto"/>
        <w:rPr>
          <w:rFonts w:ascii="Times New Roman" w:hAnsi="Times New Roman" w:cs="Times New Roman"/>
          <w:sz w:val="24"/>
          <w:szCs w:val="24"/>
        </w:rPr>
      </w:pPr>
      <w:r>
        <w:rPr>
          <w:rFonts w:ascii="Times New Roman" w:hAnsi="Times New Roman" w:cs="Times New Roman"/>
          <w:sz w:val="24"/>
          <w:szCs w:val="24"/>
        </w:rPr>
        <w:t>The regulation at 18 CFR 37.5(a)</w:t>
      </w:r>
      <w:r w:rsidR="000818F2">
        <w:rPr>
          <w:rFonts w:ascii="Times New Roman" w:hAnsi="Times New Roman" w:cs="Times New Roman"/>
          <w:sz w:val="24"/>
          <w:szCs w:val="24"/>
        </w:rPr>
        <w:t xml:space="preserve"> require</w:t>
      </w:r>
      <w:r>
        <w:rPr>
          <w:rFonts w:ascii="Times New Roman" w:hAnsi="Times New Roman" w:cs="Times New Roman"/>
          <w:sz w:val="24"/>
          <w:szCs w:val="24"/>
        </w:rPr>
        <w:t>s</w:t>
      </w:r>
      <w:r w:rsidR="000818F2">
        <w:rPr>
          <w:rFonts w:ascii="Times New Roman" w:hAnsi="Times New Roman" w:cs="Times New Roman"/>
          <w:sz w:val="24"/>
          <w:szCs w:val="24"/>
        </w:rPr>
        <w:t xml:space="preserve"> </w:t>
      </w:r>
      <w:r w:rsidR="00717F84">
        <w:rPr>
          <w:rFonts w:ascii="Times New Roman" w:hAnsi="Times New Roman" w:cs="Times New Roman"/>
          <w:sz w:val="24"/>
          <w:szCs w:val="24"/>
        </w:rPr>
        <w:t>Transmission Providers</w:t>
      </w:r>
      <w:r w:rsidR="000818F2">
        <w:rPr>
          <w:rFonts w:ascii="Times New Roman" w:hAnsi="Times New Roman" w:cs="Times New Roman"/>
          <w:sz w:val="24"/>
          <w:szCs w:val="24"/>
        </w:rPr>
        <w:t xml:space="preserve"> to establish OASIS sites to provide </w:t>
      </w:r>
      <w:r w:rsidR="007E4550">
        <w:rPr>
          <w:rFonts w:ascii="Times New Roman" w:hAnsi="Times New Roman" w:cs="Times New Roman"/>
          <w:sz w:val="24"/>
          <w:szCs w:val="24"/>
        </w:rPr>
        <w:t>T</w:t>
      </w:r>
      <w:r w:rsidR="000818F2">
        <w:rPr>
          <w:rFonts w:ascii="Times New Roman" w:hAnsi="Times New Roman" w:cs="Times New Roman"/>
          <w:sz w:val="24"/>
          <w:szCs w:val="24"/>
        </w:rPr>
        <w:t xml:space="preserve">ransmission </w:t>
      </w:r>
      <w:r w:rsidR="007E4550">
        <w:rPr>
          <w:rFonts w:ascii="Times New Roman" w:hAnsi="Times New Roman" w:cs="Times New Roman"/>
          <w:sz w:val="24"/>
          <w:szCs w:val="24"/>
        </w:rPr>
        <w:t>C</w:t>
      </w:r>
      <w:r w:rsidR="000818F2">
        <w:rPr>
          <w:rFonts w:ascii="Times New Roman" w:hAnsi="Times New Roman" w:cs="Times New Roman"/>
          <w:sz w:val="24"/>
          <w:szCs w:val="24"/>
        </w:rPr>
        <w:t xml:space="preserve">ustomers with equal and timely access to information about transmission and ancillary services provided in the tariffs.  This requirement was established because the </w:t>
      </w:r>
      <w:r w:rsidR="000818F2">
        <w:rPr>
          <w:rFonts w:ascii="Times New Roman" w:hAnsi="Times New Roman" w:cs="Times New Roman"/>
          <w:sz w:val="24"/>
          <w:szCs w:val="24"/>
        </w:rPr>
        <w:t>Commission has determined that transmission customers must have simultaneous access to the same information available to the Transmission Provider in order to achieve nondiscriminatory transmission services.</w:t>
      </w:r>
    </w:p>
    <w:p w:rsidR="0066266D" w:rsidP="00917277" w14:paraId="18F38995" w14:textId="77777777">
      <w:pPr>
        <w:spacing w:after="0" w:line="240" w:lineRule="auto"/>
        <w:rPr>
          <w:rFonts w:ascii="Times New Roman" w:hAnsi="Times New Roman" w:cs="Times New Roman"/>
          <w:sz w:val="24"/>
          <w:szCs w:val="24"/>
        </w:rPr>
      </w:pPr>
    </w:p>
    <w:p w:rsidR="00577F0E" w:rsidP="00917277" w14:paraId="3FA45658" w14:textId="54969FC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Commission determined that standardization of business practices and communication processes benefits the electric industry by providing uniform methods for public utilities to conduct business with different transmission providers.  Many participants in electric markets conduct business transactions involving a number of different </w:t>
      </w:r>
      <w:r w:rsidR="004C40BD">
        <w:rPr>
          <w:rFonts w:ascii="Times New Roman" w:hAnsi="Times New Roman" w:cs="Times New Roman"/>
          <w:sz w:val="24"/>
          <w:szCs w:val="24"/>
        </w:rPr>
        <w:t>T</w:t>
      </w:r>
      <w:r>
        <w:rPr>
          <w:rFonts w:ascii="Times New Roman" w:hAnsi="Times New Roman" w:cs="Times New Roman"/>
          <w:sz w:val="24"/>
          <w:szCs w:val="24"/>
        </w:rPr>
        <w:t xml:space="preserve">ransmission </w:t>
      </w:r>
      <w:r w:rsidR="004C40BD">
        <w:rPr>
          <w:rFonts w:ascii="Times New Roman" w:hAnsi="Times New Roman" w:cs="Times New Roman"/>
          <w:sz w:val="24"/>
          <w:szCs w:val="24"/>
        </w:rPr>
        <w:t>P</w:t>
      </w:r>
      <w:r>
        <w:rPr>
          <w:rFonts w:ascii="Times New Roman" w:hAnsi="Times New Roman" w:cs="Times New Roman"/>
          <w:sz w:val="24"/>
          <w:szCs w:val="24"/>
        </w:rPr>
        <w:t>roviders. Establishing a uniform set of procedures and communication protocols increases the efficiency of such transactions.</w:t>
      </w:r>
    </w:p>
    <w:p w:rsidR="00CF25E0" w:rsidP="00917277" w14:paraId="317BFB38" w14:textId="77777777">
      <w:pPr>
        <w:spacing w:after="0" w:line="240" w:lineRule="auto"/>
        <w:rPr>
          <w:rFonts w:ascii="Times New Roman" w:hAnsi="Times New Roman" w:cs="Times New Roman"/>
          <w:sz w:val="24"/>
          <w:szCs w:val="24"/>
        </w:rPr>
      </w:pPr>
    </w:p>
    <w:p w:rsidR="00577F0E" w:rsidP="00917277" w14:paraId="1E914783"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The information required to be posted at OASIS sites is listed at 18 CFR 37.6 and in the provisions incorporated by reference at 18 CFR 38.1.  Under 18 CFR 37.6(a), t</w:t>
      </w:r>
      <w:r w:rsidRPr="00E13DD9">
        <w:rPr>
          <w:rFonts w:ascii="Times New Roman" w:hAnsi="Times New Roman" w:cs="Times New Roman"/>
          <w:sz w:val="24"/>
          <w:szCs w:val="24"/>
        </w:rPr>
        <w:t>he information posted on the OASIS must be in such detail and the OASIS must have such capabilities as to allow Transmission Customers to:</w:t>
      </w:r>
    </w:p>
    <w:p w:rsidR="00577F0E" w:rsidRPr="00E13DD9" w:rsidP="00917277" w14:paraId="46712263" w14:textId="77777777">
      <w:pPr>
        <w:spacing w:after="0" w:line="240" w:lineRule="auto"/>
        <w:rPr>
          <w:rFonts w:ascii="Times New Roman" w:hAnsi="Times New Roman" w:cs="Times New Roman"/>
          <w:sz w:val="24"/>
          <w:szCs w:val="24"/>
        </w:rPr>
      </w:pPr>
    </w:p>
    <w:p w:rsidR="00577F0E" w:rsidRPr="00E13DD9" w:rsidP="00917277" w14:paraId="7D4119D6" w14:textId="77777777">
      <w:pPr>
        <w:numPr>
          <w:ilvl w:val="0"/>
          <w:numId w:val="9"/>
        </w:numPr>
        <w:spacing w:after="0" w:line="240" w:lineRule="auto"/>
        <w:rPr>
          <w:rFonts w:ascii="Times New Roman" w:hAnsi="Times New Roman" w:cs="Times New Roman"/>
          <w:sz w:val="24"/>
          <w:szCs w:val="24"/>
        </w:rPr>
      </w:pPr>
      <w:r w:rsidRPr="00E13DD9">
        <w:rPr>
          <w:rFonts w:ascii="Times New Roman" w:hAnsi="Times New Roman" w:cs="Times New Roman"/>
          <w:sz w:val="24"/>
          <w:szCs w:val="24"/>
        </w:rPr>
        <w:t xml:space="preserve">Make requests for transmission services offered by Transmission Providers, Resellers and other providers of ancillary services, request the designation of a network resource, and request the termination of the designation of a network resource; </w:t>
      </w:r>
    </w:p>
    <w:p w:rsidR="00577F0E" w:rsidRPr="00E13DD9" w:rsidP="00917277" w14:paraId="458919D5" w14:textId="77777777">
      <w:pPr>
        <w:numPr>
          <w:ilvl w:val="0"/>
          <w:numId w:val="9"/>
        </w:numPr>
        <w:spacing w:after="0" w:line="240" w:lineRule="auto"/>
        <w:rPr>
          <w:rFonts w:ascii="Times New Roman" w:hAnsi="Times New Roman" w:cs="Times New Roman"/>
          <w:sz w:val="24"/>
          <w:szCs w:val="24"/>
        </w:rPr>
      </w:pPr>
      <w:r w:rsidRPr="00E13DD9">
        <w:rPr>
          <w:rFonts w:ascii="Times New Roman" w:hAnsi="Times New Roman" w:cs="Times New Roman"/>
          <w:sz w:val="24"/>
          <w:szCs w:val="24"/>
        </w:rPr>
        <w:t xml:space="preserve">View and download in standard formats, using standard protocols, information regarding the transmission system necessary to enable prudent business decision making; </w:t>
      </w:r>
    </w:p>
    <w:p w:rsidR="00577F0E" w:rsidRPr="00E13DD9" w:rsidP="00917277" w14:paraId="37B0DA38" w14:textId="77777777">
      <w:pPr>
        <w:numPr>
          <w:ilvl w:val="0"/>
          <w:numId w:val="9"/>
        </w:numPr>
        <w:spacing w:after="0" w:line="240" w:lineRule="auto"/>
        <w:rPr>
          <w:rFonts w:ascii="Times New Roman" w:hAnsi="Times New Roman" w:cs="Times New Roman"/>
          <w:sz w:val="24"/>
          <w:szCs w:val="24"/>
        </w:rPr>
      </w:pPr>
      <w:r w:rsidRPr="00E13DD9">
        <w:rPr>
          <w:rFonts w:ascii="Times New Roman" w:hAnsi="Times New Roman" w:cs="Times New Roman"/>
          <w:sz w:val="24"/>
          <w:szCs w:val="24"/>
        </w:rPr>
        <w:t xml:space="preserve">Post, view, upload and download information regarding available products and desired services; </w:t>
      </w:r>
    </w:p>
    <w:p w:rsidR="00577F0E" w:rsidRPr="00E13DD9" w:rsidP="00917277" w14:paraId="16B06805" w14:textId="77777777">
      <w:pPr>
        <w:numPr>
          <w:ilvl w:val="0"/>
          <w:numId w:val="9"/>
        </w:numPr>
        <w:spacing w:after="0" w:line="240" w:lineRule="auto"/>
        <w:rPr>
          <w:rFonts w:ascii="Times New Roman" w:hAnsi="Times New Roman" w:cs="Times New Roman"/>
          <w:sz w:val="24"/>
          <w:szCs w:val="24"/>
        </w:rPr>
      </w:pPr>
      <w:r w:rsidRPr="00E13DD9">
        <w:rPr>
          <w:rFonts w:ascii="Times New Roman" w:hAnsi="Times New Roman" w:cs="Times New Roman"/>
          <w:sz w:val="24"/>
          <w:szCs w:val="24"/>
        </w:rPr>
        <w:t>Clearly identify the degree to which transmission service requests or schedules were denied or interrupted;</w:t>
      </w:r>
    </w:p>
    <w:p w:rsidR="00577F0E" w:rsidRPr="00E13DD9" w:rsidP="00917277" w14:paraId="08933AD9" w14:textId="6A442A25">
      <w:pPr>
        <w:numPr>
          <w:ilvl w:val="0"/>
          <w:numId w:val="9"/>
        </w:numPr>
        <w:spacing w:after="0" w:line="240" w:lineRule="auto"/>
        <w:rPr>
          <w:rFonts w:ascii="Times New Roman" w:hAnsi="Times New Roman" w:cs="Times New Roman"/>
          <w:sz w:val="24"/>
          <w:szCs w:val="24"/>
        </w:rPr>
      </w:pPr>
      <w:r w:rsidRPr="00E13DD9">
        <w:rPr>
          <w:rFonts w:ascii="Times New Roman" w:hAnsi="Times New Roman" w:cs="Times New Roman"/>
          <w:sz w:val="24"/>
          <w:szCs w:val="24"/>
        </w:rPr>
        <w:t>Obtain access, in electronic format, to information to support available transmission capability calculations and historical transmission service requests and schedules for various audit purposes; and</w:t>
      </w:r>
    </w:p>
    <w:p w:rsidR="00577F0E" w:rsidRPr="00E13DD9" w:rsidP="00917277" w14:paraId="13453EB2" w14:textId="77777777">
      <w:pPr>
        <w:numPr>
          <w:ilvl w:val="0"/>
          <w:numId w:val="9"/>
        </w:numPr>
        <w:spacing w:after="0" w:line="240" w:lineRule="auto"/>
        <w:rPr>
          <w:rFonts w:ascii="Times New Roman" w:hAnsi="Times New Roman" w:cs="Times New Roman"/>
          <w:sz w:val="24"/>
          <w:szCs w:val="24"/>
        </w:rPr>
      </w:pPr>
      <w:r w:rsidRPr="00E13DD9">
        <w:rPr>
          <w:rFonts w:ascii="Times New Roman" w:hAnsi="Times New Roman" w:cs="Times New Roman"/>
          <w:sz w:val="24"/>
          <w:szCs w:val="24"/>
        </w:rPr>
        <w:t>Make file transfers and automated computer-to-computer file transfers and queries as defined by the Standards and Communications Protocols Document.</w:t>
      </w:r>
    </w:p>
    <w:p w:rsidR="00577F0E" w:rsidP="00917277" w14:paraId="6282FE6A" w14:textId="77777777">
      <w:pPr>
        <w:spacing w:after="0" w:line="240" w:lineRule="auto"/>
        <w:rPr>
          <w:rFonts w:ascii="Times New Roman" w:hAnsi="Times New Roman" w:cs="Times New Roman"/>
          <w:sz w:val="24"/>
          <w:szCs w:val="24"/>
        </w:rPr>
      </w:pPr>
    </w:p>
    <w:p w:rsidR="00577F0E" w:rsidP="00917277" w14:paraId="56671AD9"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Subsection (b) of 18 CFR 37.6 requires that the Transmission Provider’s </w:t>
      </w:r>
      <w:r w:rsidRPr="000542B5">
        <w:rPr>
          <w:rFonts w:ascii="Times New Roman" w:hAnsi="Times New Roman" w:cs="Times New Roman"/>
          <w:sz w:val="24"/>
          <w:szCs w:val="24"/>
        </w:rPr>
        <w:t xml:space="preserve">available transfer capability (ATC) and the total transfer capability (TTC) be calculated and posted for each Posted Path </w:t>
      </w:r>
      <w:r>
        <w:rPr>
          <w:rFonts w:ascii="Times New Roman" w:hAnsi="Times New Roman" w:cs="Times New Roman"/>
          <w:sz w:val="24"/>
          <w:szCs w:val="24"/>
        </w:rPr>
        <w:t xml:space="preserve">(i.e., </w:t>
      </w:r>
      <w:r w:rsidRPr="00075985">
        <w:rPr>
          <w:rFonts w:ascii="Times New Roman" w:hAnsi="Times New Roman" w:cs="Times New Roman"/>
          <w:sz w:val="24"/>
          <w:szCs w:val="24"/>
        </w:rPr>
        <w:t>any control area to control area interconnection; any path for which service is denied, curtailed or interrupted for more than 24 hours in the past 12 months; and any path for which a customer requests to have ATC or TTC posted</w:t>
      </w:r>
      <w:r>
        <w:rPr>
          <w:rFonts w:ascii="Times New Roman" w:hAnsi="Times New Roman" w:cs="Times New Roman"/>
          <w:sz w:val="24"/>
          <w:szCs w:val="24"/>
        </w:rPr>
        <w:t>.</w:t>
      </w:r>
    </w:p>
    <w:p w:rsidR="00577F0E" w:rsidP="00917277" w14:paraId="4C7DD7B7" w14:textId="77777777">
      <w:pPr>
        <w:spacing w:after="0" w:line="240" w:lineRule="auto"/>
        <w:rPr>
          <w:rFonts w:ascii="Times New Roman" w:hAnsi="Times New Roman" w:cs="Times New Roman"/>
          <w:sz w:val="24"/>
          <w:szCs w:val="24"/>
        </w:rPr>
      </w:pPr>
    </w:p>
    <w:p w:rsidR="00577F0E" w:rsidP="00917277" w14:paraId="12C95C01"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Subsection (c) of 18 CFR 37.6 requires that the </w:t>
      </w:r>
      <w:r w:rsidRPr="00BB2B24">
        <w:rPr>
          <w:rFonts w:ascii="Times New Roman" w:hAnsi="Times New Roman" w:cs="Times New Roman"/>
          <w:sz w:val="24"/>
          <w:szCs w:val="24"/>
        </w:rPr>
        <w:t>Transmission Providers post prices and a summary of the terms and conditions associated with all transmission products offered to Transmission Customers.</w:t>
      </w:r>
    </w:p>
    <w:p w:rsidR="00577F0E" w:rsidP="00917277" w14:paraId="51DB41A4" w14:textId="77777777">
      <w:pPr>
        <w:spacing w:after="0" w:line="240" w:lineRule="auto"/>
        <w:rPr>
          <w:rFonts w:ascii="Times New Roman" w:hAnsi="Times New Roman" w:cs="Times New Roman"/>
          <w:sz w:val="24"/>
          <w:szCs w:val="24"/>
        </w:rPr>
      </w:pPr>
    </w:p>
    <w:p w:rsidR="00577F0E" w:rsidP="00917277" w14:paraId="63722205"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Subsection (d) of 18 CFR 37.6 requires posting of a</w:t>
      </w:r>
      <w:r w:rsidRPr="00A53898">
        <w:rPr>
          <w:rFonts w:ascii="Times New Roman" w:hAnsi="Times New Roman" w:cs="Times New Roman"/>
          <w:sz w:val="24"/>
          <w:szCs w:val="24"/>
        </w:rPr>
        <w:t xml:space="preserve">ny ancillary service </w:t>
      </w:r>
      <w:r>
        <w:rPr>
          <w:rFonts w:ascii="Times New Roman" w:hAnsi="Times New Roman" w:cs="Times New Roman"/>
          <w:sz w:val="24"/>
          <w:szCs w:val="24"/>
        </w:rPr>
        <w:t>and its price.</w:t>
      </w:r>
    </w:p>
    <w:p w:rsidR="00577F0E" w:rsidP="00917277" w14:paraId="2C8FF3CF" w14:textId="77777777">
      <w:pPr>
        <w:spacing w:after="0" w:line="240" w:lineRule="auto"/>
        <w:rPr>
          <w:rFonts w:ascii="Times New Roman" w:hAnsi="Times New Roman" w:cs="Times New Roman"/>
          <w:sz w:val="24"/>
          <w:szCs w:val="24"/>
        </w:rPr>
      </w:pPr>
    </w:p>
    <w:p w:rsidR="00577F0E" w:rsidP="00917277" w14:paraId="29890572"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With some exceptions, subsection (e) of 18 CFR 37.6 requires posting of a</w:t>
      </w:r>
      <w:r w:rsidRPr="000C69AD">
        <w:rPr>
          <w:rFonts w:ascii="Times New Roman" w:hAnsi="Times New Roman" w:cs="Times New Roman"/>
          <w:sz w:val="24"/>
          <w:szCs w:val="24"/>
        </w:rPr>
        <w:t>ll requests for transmission and ancillary service offered by Transmission Providers under the pro forma tariff</w:t>
      </w:r>
      <w:r>
        <w:rPr>
          <w:rFonts w:ascii="Times New Roman" w:hAnsi="Times New Roman" w:cs="Times New Roman"/>
          <w:sz w:val="24"/>
          <w:szCs w:val="24"/>
        </w:rPr>
        <w:t>.</w:t>
      </w:r>
      <w:r>
        <w:rPr>
          <w:rStyle w:val="FootnoteReference"/>
          <w:rFonts w:ascii="Times New Roman" w:hAnsi="Times New Roman" w:cs="Times New Roman"/>
          <w:sz w:val="24"/>
          <w:szCs w:val="24"/>
          <w:vertAlign w:val="superscript"/>
        </w:rPr>
        <w:footnoteReference w:id="7"/>
      </w:r>
      <w:r>
        <w:rPr>
          <w:rFonts w:ascii="Times New Roman" w:hAnsi="Times New Roman" w:cs="Times New Roman"/>
          <w:sz w:val="24"/>
          <w:szCs w:val="24"/>
        </w:rPr>
        <w:t xml:space="preserve"> </w:t>
      </w:r>
      <w:r w:rsidRPr="000C69AD">
        <w:rPr>
          <w:rFonts w:ascii="Times New Roman" w:hAnsi="Times New Roman" w:cs="Times New Roman"/>
          <w:sz w:val="24"/>
          <w:szCs w:val="24"/>
        </w:rPr>
        <w:t xml:space="preserve"> The Transmission Provider must post all requests for transmission service, for ancillary service, and for the designation or termination of a network resource comparably.</w:t>
      </w:r>
    </w:p>
    <w:p w:rsidR="00577F0E" w:rsidP="00917277" w14:paraId="08A2B791" w14:textId="77777777">
      <w:pPr>
        <w:spacing w:after="0" w:line="240" w:lineRule="auto"/>
        <w:rPr>
          <w:rFonts w:ascii="Times New Roman" w:hAnsi="Times New Roman" w:cs="Times New Roman"/>
          <w:sz w:val="24"/>
          <w:szCs w:val="24"/>
        </w:rPr>
      </w:pPr>
    </w:p>
    <w:p w:rsidR="00577F0E" w:rsidP="00917277" w14:paraId="6568DE49"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Subsection (f) of 18 CFR 37.6 provides that i</w:t>
      </w:r>
      <w:r w:rsidRPr="003B3183">
        <w:rPr>
          <w:rFonts w:ascii="Times New Roman" w:hAnsi="Times New Roman" w:cs="Times New Roman"/>
          <w:sz w:val="24"/>
          <w:szCs w:val="24"/>
        </w:rPr>
        <w:t>nformation on transmission service schedules must be recorded by the entity scheduling the transmission service and must be available on the OASIS for download.</w:t>
      </w:r>
      <w:r>
        <w:rPr>
          <w:rFonts w:ascii="Times New Roman" w:hAnsi="Times New Roman" w:cs="Times New Roman"/>
          <w:sz w:val="24"/>
          <w:szCs w:val="24"/>
        </w:rPr>
        <w:t xml:space="preserve">  </w:t>
      </w:r>
      <w:r w:rsidRPr="003B3183">
        <w:rPr>
          <w:rFonts w:ascii="Times New Roman" w:hAnsi="Times New Roman" w:cs="Times New Roman"/>
          <w:sz w:val="24"/>
          <w:szCs w:val="24"/>
        </w:rPr>
        <w:t xml:space="preserve">Transmission service schedules must be posted no later than seven calendar days from the start of the transmission service. </w:t>
      </w:r>
    </w:p>
    <w:p w:rsidR="00577F0E" w:rsidP="00917277" w14:paraId="03248199" w14:textId="77777777">
      <w:pPr>
        <w:spacing w:after="0" w:line="240" w:lineRule="auto"/>
        <w:rPr>
          <w:rFonts w:ascii="Times New Roman" w:hAnsi="Times New Roman" w:cs="Times New Roman"/>
          <w:sz w:val="24"/>
          <w:szCs w:val="24"/>
        </w:rPr>
      </w:pPr>
    </w:p>
    <w:p w:rsidR="00577F0E" w:rsidP="00917277" w14:paraId="2A8C6D5A" w14:textId="473B983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Subsection (g) of 18 CFR 37.6 includes various types of requirements.  For example, the </w:t>
      </w:r>
      <w:r w:rsidR="00364707">
        <w:rPr>
          <w:rFonts w:ascii="Times New Roman" w:hAnsi="Times New Roman" w:cs="Times New Roman"/>
          <w:sz w:val="24"/>
          <w:szCs w:val="24"/>
        </w:rPr>
        <w:t>Responsible</w:t>
      </w:r>
      <w:r>
        <w:rPr>
          <w:rFonts w:ascii="Times New Roman" w:hAnsi="Times New Roman" w:cs="Times New Roman"/>
          <w:sz w:val="24"/>
          <w:szCs w:val="24"/>
        </w:rPr>
        <w:t xml:space="preserve"> Party must post transmission-related communications such as want ads, and must post other transmission-related communications in conformance with instructions provided by the third party on whose behalf the communication is posted.</w:t>
      </w:r>
    </w:p>
    <w:p w:rsidR="00577F0E" w:rsidP="00917277" w14:paraId="684BD3F6" w14:textId="77777777">
      <w:pPr>
        <w:spacing w:after="0" w:line="240" w:lineRule="auto"/>
        <w:rPr>
          <w:rFonts w:ascii="Times New Roman" w:hAnsi="Times New Roman" w:cs="Times New Roman"/>
          <w:sz w:val="24"/>
          <w:szCs w:val="24"/>
        </w:rPr>
      </w:pPr>
    </w:p>
    <w:p w:rsidR="00577F0E" w:rsidP="00917277" w14:paraId="400F7309" w14:textId="2BD39DD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Subsection (h) of 18 CFR 37.6 requires the Responsible Party to post, on a quarterly basis, </w:t>
      </w:r>
      <w:r w:rsidRPr="009C037F">
        <w:rPr>
          <w:rFonts w:ascii="Times New Roman" w:hAnsi="Times New Roman" w:cs="Times New Roman"/>
          <w:sz w:val="24"/>
          <w:szCs w:val="24"/>
        </w:rPr>
        <w:t>information summarizing the time to complete transmission service request studi</w:t>
      </w:r>
      <w:r>
        <w:rPr>
          <w:rFonts w:ascii="Times New Roman" w:hAnsi="Times New Roman" w:cs="Times New Roman"/>
          <w:sz w:val="24"/>
          <w:szCs w:val="24"/>
        </w:rPr>
        <w:t xml:space="preserve">es, including </w:t>
      </w:r>
      <w:r w:rsidRPr="009C037F">
        <w:rPr>
          <w:rFonts w:ascii="Times New Roman" w:hAnsi="Times New Roman" w:cs="Times New Roman"/>
          <w:sz w:val="24"/>
          <w:szCs w:val="24"/>
        </w:rPr>
        <w:t>the Responsible Party's processing of transmission service request system impact studies and facilities studies.</w:t>
      </w:r>
    </w:p>
    <w:p w:rsidR="00577F0E" w:rsidP="00917277" w14:paraId="2BBD04FA" w14:textId="77777777">
      <w:pPr>
        <w:spacing w:after="0" w:line="240" w:lineRule="auto"/>
        <w:rPr>
          <w:rFonts w:ascii="Times New Roman" w:hAnsi="Times New Roman" w:cs="Times New Roman"/>
          <w:sz w:val="24"/>
          <w:szCs w:val="24"/>
        </w:rPr>
      </w:pPr>
    </w:p>
    <w:p w:rsidR="00577F0E" w:rsidP="00917277" w14:paraId="0D74A318" w14:textId="3C03BB2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Subsection (i) of 18 CFR 37.6 requires the </w:t>
      </w:r>
      <w:r w:rsidRPr="00825256">
        <w:rPr>
          <w:rFonts w:ascii="Times New Roman" w:hAnsi="Times New Roman" w:cs="Times New Roman"/>
          <w:sz w:val="24"/>
          <w:szCs w:val="24"/>
        </w:rPr>
        <w:t>Responsible Party to post data each month listing, by path or flowgate, the number of transmission service requests that have been accepted and the number of transmission service requests that have been denied during the prior month. This posting must distinguish between the length of the service request (e.g., short-term or long-term requests) and between the type of service requested (e.g., firm point</w:t>
      </w:r>
      <w:r w:rsidR="00252E31">
        <w:rPr>
          <w:rFonts w:ascii="Times New Roman" w:hAnsi="Times New Roman" w:cs="Times New Roman"/>
          <w:sz w:val="24"/>
          <w:szCs w:val="24"/>
        </w:rPr>
        <w:t>-</w:t>
      </w:r>
      <w:r w:rsidRPr="00825256">
        <w:rPr>
          <w:rFonts w:ascii="Times New Roman" w:hAnsi="Times New Roman" w:cs="Times New Roman"/>
          <w:sz w:val="24"/>
          <w:szCs w:val="24"/>
        </w:rPr>
        <w:t>to-point, non-firm point-to-point or network service).</w:t>
      </w:r>
    </w:p>
    <w:p w:rsidR="00577F0E" w:rsidP="00917277" w14:paraId="4EA19301" w14:textId="77777777">
      <w:pPr>
        <w:spacing w:after="0" w:line="240" w:lineRule="auto"/>
        <w:rPr>
          <w:rFonts w:ascii="Times New Roman" w:hAnsi="Times New Roman" w:cs="Times New Roman"/>
          <w:sz w:val="24"/>
          <w:szCs w:val="24"/>
        </w:rPr>
      </w:pPr>
    </w:p>
    <w:p w:rsidR="00577F0E" w:rsidP="00917277" w14:paraId="27916B8D"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Subsection (j) of 18 CFR 37.6 requires the Transmission Provider to a</w:t>
      </w:r>
      <w:r w:rsidRPr="00D470C7">
        <w:rPr>
          <w:rFonts w:ascii="Times New Roman" w:hAnsi="Times New Roman" w:cs="Times New Roman"/>
          <w:sz w:val="24"/>
          <w:szCs w:val="24"/>
        </w:rPr>
        <w:t>llow the posting on OASIS of any third party offer to relieve a specified congested transmission facility</w:t>
      </w:r>
      <w:r>
        <w:rPr>
          <w:rFonts w:ascii="Times New Roman" w:hAnsi="Times New Roman" w:cs="Times New Roman"/>
          <w:sz w:val="24"/>
          <w:szCs w:val="24"/>
        </w:rPr>
        <w:t xml:space="preserve">; and requires the Transmission Provide to post on OASIS </w:t>
      </w:r>
      <w:r w:rsidRPr="00D470C7">
        <w:rPr>
          <w:rFonts w:ascii="Times New Roman" w:hAnsi="Times New Roman" w:cs="Times New Roman"/>
          <w:sz w:val="24"/>
          <w:szCs w:val="24"/>
        </w:rPr>
        <w:t xml:space="preserve">(i) its monthly average cost of planning and reliability redispatch, for which it invoices customers, at each internal transmission facility or interface over which it provides redispatch service and (ii) a high and low redispatch cost for the month for each of these same transmission facilities. The </w:t>
      </w:r>
      <w:r>
        <w:rPr>
          <w:rFonts w:ascii="Times New Roman" w:hAnsi="Times New Roman" w:cs="Times New Roman"/>
          <w:sz w:val="24"/>
          <w:szCs w:val="24"/>
        </w:rPr>
        <w:t>Tr</w:t>
      </w:r>
      <w:r w:rsidRPr="00D470C7">
        <w:rPr>
          <w:rFonts w:ascii="Times New Roman" w:hAnsi="Times New Roman" w:cs="Times New Roman"/>
          <w:sz w:val="24"/>
          <w:szCs w:val="24"/>
        </w:rPr>
        <w:t xml:space="preserve">ansmission </w:t>
      </w:r>
      <w:r>
        <w:rPr>
          <w:rFonts w:ascii="Times New Roman" w:hAnsi="Times New Roman" w:cs="Times New Roman"/>
          <w:sz w:val="24"/>
          <w:szCs w:val="24"/>
        </w:rPr>
        <w:t>P</w:t>
      </w:r>
      <w:r w:rsidRPr="00D470C7">
        <w:rPr>
          <w:rFonts w:ascii="Times New Roman" w:hAnsi="Times New Roman" w:cs="Times New Roman"/>
          <w:sz w:val="24"/>
          <w:szCs w:val="24"/>
        </w:rPr>
        <w:t>rovider must post this data on OASIS as soon as practical after the end of each month, but no later than when it sends invoices to transmission customers for redispatch-related services.</w:t>
      </w:r>
    </w:p>
    <w:p w:rsidR="00577F0E" w:rsidP="00917277" w14:paraId="10D7C011" w14:textId="77777777">
      <w:pPr>
        <w:spacing w:after="0" w:line="240" w:lineRule="auto"/>
        <w:rPr>
          <w:rFonts w:ascii="Times New Roman" w:hAnsi="Times New Roman" w:cs="Times New Roman"/>
          <w:sz w:val="24"/>
          <w:szCs w:val="24"/>
        </w:rPr>
      </w:pPr>
    </w:p>
    <w:p w:rsidR="00577F0E" w:rsidRPr="00D470C7" w:rsidP="00917277" w14:paraId="3FEFF65C" w14:textId="273F485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Subsection (k) of 18 CFR 37.6 </w:t>
      </w:r>
      <w:r w:rsidR="00364707">
        <w:rPr>
          <w:rFonts w:ascii="Times New Roman" w:hAnsi="Times New Roman" w:cs="Times New Roman"/>
          <w:sz w:val="24"/>
          <w:szCs w:val="24"/>
        </w:rPr>
        <w:t>requires</w:t>
      </w:r>
      <w:r>
        <w:rPr>
          <w:rFonts w:ascii="Times New Roman" w:hAnsi="Times New Roman" w:cs="Times New Roman"/>
          <w:sz w:val="24"/>
          <w:szCs w:val="24"/>
        </w:rPr>
        <w:t xml:space="preserve"> t</w:t>
      </w:r>
      <w:r w:rsidRPr="00C54F5A">
        <w:rPr>
          <w:rFonts w:ascii="Times New Roman" w:hAnsi="Times New Roman" w:cs="Times New Roman"/>
          <w:sz w:val="24"/>
          <w:szCs w:val="24"/>
        </w:rPr>
        <w:t xml:space="preserve">he Transmission Provider </w:t>
      </w:r>
      <w:r>
        <w:rPr>
          <w:rFonts w:ascii="Times New Roman" w:hAnsi="Times New Roman" w:cs="Times New Roman"/>
          <w:sz w:val="24"/>
          <w:szCs w:val="24"/>
        </w:rPr>
        <w:t xml:space="preserve">to </w:t>
      </w:r>
      <w:r w:rsidRPr="00C54F5A">
        <w:rPr>
          <w:rFonts w:ascii="Times New Roman" w:hAnsi="Times New Roman" w:cs="Times New Roman"/>
          <w:sz w:val="24"/>
          <w:szCs w:val="24"/>
        </w:rPr>
        <w:t>post on OASIS historical one-minute and ten-minute area control error data for the most recent calendar year, and update this posting once per year.</w:t>
      </w:r>
    </w:p>
    <w:p w:rsidR="0066266D" w:rsidP="00917277" w14:paraId="48A7156A" w14:textId="77777777">
      <w:pPr>
        <w:spacing w:after="0" w:line="240" w:lineRule="auto"/>
        <w:rPr>
          <w:rFonts w:ascii="Times New Roman" w:hAnsi="Times New Roman" w:cs="Times New Roman"/>
          <w:sz w:val="24"/>
          <w:szCs w:val="24"/>
        </w:rPr>
      </w:pPr>
    </w:p>
    <w:p w:rsidR="0066266D" w:rsidP="00917277" w14:paraId="4CED5CD2" w14:textId="58598EEE">
      <w:pPr>
        <w:spacing w:after="0" w:line="240" w:lineRule="auto"/>
        <w:rPr>
          <w:rFonts w:ascii="Times New Roman" w:hAnsi="Times New Roman" w:cs="Times New Roman"/>
          <w:sz w:val="24"/>
          <w:szCs w:val="24"/>
        </w:rPr>
      </w:pPr>
      <w:r>
        <w:rPr>
          <w:rFonts w:ascii="Times New Roman" w:hAnsi="Times New Roman" w:cs="Times New Roman"/>
          <w:sz w:val="24"/>
          <w:szCs w:val="24"/>
        </w:rPr>
        <w:t>Transmission Providers must</w:t>
      </w:r>
      <w:r w:rsidR="000818F2">
        <w:rPr>
          <w:rFonts w:ascii="Times New Roman" w:hAnsi="Times New Roman" w:cs="Times New Roman"/>
          <w:sz w:val="24"/>
          <w:szCs w:val="24"/>
        </w:rPr>
        <w:t xml:space="preserve"> make tariff filings referencing the WEQ Version 003.2 standards and stating that they will implement their tariff in accordance with the requirements of the WEQ Version 003.2 standards.  </w:t>
      </w:r>
      <w:r w:rsidR="00402896">
        <w:rPr>
          <w:rFonts w:ascii="Times New Roman" w:hAnsi="Times New Roman" w:cs="Times New Roman"/>
          <w:sz w:val="24"/>
          <w:szCs w:val="24"/>
        </w:rPr>
        <w:t xml:space="preserve">Transmission Providers </w:t>
      </w:r>
      <w:r w:rsidR="000818F2">
        <w:rPr>
          <w:rFonts w:ascii="Times New Roman" w:hAnsi="Times New Roman" w:cs="Times New Roman"/>
          <w:sz w:val="24"/>
          <w:szCs w:val="24"/>
        </w:rPr>
        <w:t>currently collect and post information on various systems such as OASIS currently in use by the industry.  Without these standards, the same transactions would occur.  However, the details regarding each transaction would vary from utility to utility</w:t>
      </w:r>
      <w:r w:rsidR="00F77D35">
        <w:rPr>
          <w:rFonts w:ascii="Times New Roman" w:hAnsi="Times New Roman" w:cs="Times New Roman"/>
          <w:sz w:val="24"/>
          <w:szCs w:val="24"/>
        </w:rPr>
        <w:t xml:space="preserve"> and would thus </w:t>
      </w:r>
      <w:r w:rsidR="000818F2">
        <w:rPr>
          <w:rFonts w:ascii="Times New Roman" w:hAnsi="Times New Roman" w:cs="Times New Roman"/>
          <w:sz w:val="24"/>
          <w:szCs w:val="24"/>
        </w:rPr>
        <w:t>hinder</w:t>
      </w:r>
      <w:r w:rsidR="00F77D35">
        <w:rPr>
          <w:rFonts w:ascii="Times New Roman" w:hAnsi="Times New Roman" w:cs="Times New Roman"/>
          <w:sz w:val="24"/>
          <w:szCs w:val="24"/>
        </w:rPr>
        <w:t xml:space="preserve"> </w:t>
      </w:r>
      <w:r w:rsidR="000818F2">
        <w:rPr>
          <w:rFonts w:ascii="Times New Roman" w:hAnsi="Times New Roman" w:cs="Times New Roman"/>
          <w:sz w:val="24"/>
          <w:szCs w:val="24"/>
        </w:rPr>
        <w:t>standardization.</w:t>
      </w:r>
    </w:p>
    <w:p w:rsidR="0066266D" w:rsidP="00917277" w14:paraId="490ED1E9" w14:textId="77777777">
      <w:pPr>
        <w:spacing w:after="0" w:line="240" w:lineRule="auto"/>
        <w:rPr>
          <w:rFonts w:ascii="Times New Roman" w:hAnsi="Times New Roman" w:cs="Times New Roman"/>
          <w:sz w:val="24"/>
          <w:szCs w:val="24"/>
        </w:rPr>
      </w:pPr>
    </w:p>
    <w:p w:rsidR="0066266D" w:rsidP="00917277" w14:paraId="5897A784" w14:textId="2EF083BA">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General.  </w:t>
      </w:r>
      <w:r>
        <w:rPr>
          <w:rFonts w:ascii="Times New Roman" w:hAnsi="Times New Roman" w:cs="Times New Roman"/>
          <w:sz w:val="24"/>
          <w:szCs w:val="24"/>
        </w:rPr>
        <w:t xml:space="preserve">The substance of the reporting requirements </w:t>
      </w:r>
      <w:r w:rsidR="0064218D">
        <w:rPr>
          <w:rFonts w:ascii="Times New Roman" w:hAnsi="Times New Roman" w:cs="Times New Roman"/>
          <w:sz w:val="24"/>
          <w:szCs w:val="24"/>
        </w:rPr>
        <w:t xml:space="preserve">(described above) </w:t>
      </w:r>
      <w:r>
        <w:rPr>
          <w:rFonts w:ascii="Times New Roman" w:hAnsi="Times New Roman" w:cs="Times New Roman"/>
          <w:sz w:val="24"/>
          <w:szCs w:val="24"/>
        </w:rPr>
        <w:t xml:space="preserve">is incorporated by reference into FERC’s regulations at 18 CFR </w:t>
      </w:r>
      <w:r w:rsidR="00552993">
        <w:rPr>
          <w:rFonts w:ascii="Times New Roman" w:hAnsi="Times New Roman" w:cs="Times New Roman"/>
          <w:sz w:val="24"/>
          <w:szCs w:val="24"/>
        </w:rPr>
        <w:t xml:space="preserve">38 </w:t>
      </w:r>
      <w:r>
        <w:rPr>
          <w:rFonts w:ascii="Times New Roman" w:hAnsi="Times New Roman" w:cs="Times New Roman"/>
          <w:sz w:val="24"/>
          <w:szCs w:val="24"/>
        </w:rPr>
        <w:t xml:space="preserve">(making the standards mandatory).  </w:t>
      </w:r>
      <w:r w:rsidRPr="00552993">
        <w:rPr>
          <w:rFonts w:ascii="Times New Roman" w:hAnsi="Times New Roman" w:cs="Times New Roman"/>
          <w:sz w:val="24"/>
          <w:szCs w:val="24"/>
        </w:rPr>
        <w:t>However</w:t>
      </w:r>
      <w:r w:rsidRPr="00552993" w:rsidR="003B416F">
        <w:rPr>
          <w:rFonts w:ascii="Times New Roman" w:hAnsi="Times New Roman" w:cs="Times New Roman"/>
          <w:sz w:val="24"/>
          <w:szCs w:val="24"/>
        </w:rPr>
        <w:t>,</w:t>
      </w:r>
      <w:r>
        <w:rPr>
          <w:rFonts w:ascii="Times New Roman" w:hAnsi="Times New Roman" w:cs="Times New Roman"/>
          <w:sz w:val="24"/>
          <w:szCs w:val="24"/>
        </w:rPr>
        <w:t xml:space="preserve"> the standards themselves are copyrighted by NAESB.  Links to the NAESB submittals in the dockets are included under Supplementary Documents.  </w:t>
      </w:r>
    </w:p>
    <w:p w:rsidR="0066266D" w:rsidP="00917277" w14:paraId="4D0264EB" w14:textId="77777777">
      <w:pPr>
        <w:spacing w:after="0" w:line="240" w:lineRule="auto"/>
        <w:rPr>
          <w:rFonts w:ascii="Times New Roman" w:hAnsi="Times New Roman" w:cs="Times New Roman"/>
          <w:sz w:val="24"/>
          <w:szCs w:val="24"/>
        </w:rPr>
      </w:pPr>
    </w:p>
    <w:p w:rsidR="0066266D" w:rsidP="00917277" w14:paraId="6FE66FC6" w14:textId="77777777">
      <w:pPr>
        <w:pStyle w:val="ListParagraph"/>
        <w:numPr>
          <w:ilvl w:val="0"/>
          <w:numId w:val="1"/>
        </w:numPr>
        <w:spacing w:after="0" w:line="240" w:lineRule="auto"/>
        <w:ind w:left="360"/>
        <w:rPr>
          <w:rFonts w:ascii="Times New Roman" w:hAnsi="Times New Roman" w:cs="Times New Roman"/>
          <w:b/>
          <w:sz w:val="24"/>
          <w:szCs w:val="24"/>
        </w:rPr>
      </w:pPr>
      <w:r>
        <w:rPr>
          <w:rFonts w:ascii="Times New Roman" w:hAnsi="Times New Roman" w:cs="Times New Roman"/>
          <w:b/>
          <w:sz w:val="24"/>
          <w:szCs w:val="24"/>
        </w:rPr>
        <w:t>DESCRIBE ANY CONSIDERATION OF THE USE OF IMPROVED INFORMATION TECHNOLOGY TO REDUCE THE BURDEN AND TECHNICAL OR LEGAL OBSTACLES TO REDUCING BURDEN</w:t>
      </w:r>
    </w:p>
    <w:p w:rsidR="0066266D" w:rsidP="00917277" w14:paraId="765AE80D" w14:textId="77777777">
      <w:pPr>
        <w:spacing w:after="0" w:line="240" w:lineRule="auto"/>
        <w:ind w:left="720"/>
        <w:rPr>
          <w:rFonts w:ascii="Times New Roman" w:hAnsi="Times New Roman" w:cs="Times New Roman"/>
          <w:sz w:val="24"/>
          <w:szCs w:val="24"/>
        </w:rPr>
      </w:pPr>
    </w:p>
    <w:p w:rsidR="002C57A1" w:rsidP="00917277" w14:paraId="1600CF10" w14:textId="02BEDD8D">
      <w:pPr>
        <w:spacing w:after="0" w:line="240" w:lineRule="auto"/>
        <w:rPr>
          <w:rFonts w:ascii="Times New Roman" w:hAnsi="Times New Roman" w:cs="Times New Roman"/>
          <w:sz w:val="24"/>
          <w:szCs w:val="24"/>
        </w:rPr>
      </w:pPr>
      <w:r>
        <w:rPr>
          <w:rFonts w:ascii="Times New Roman" w:hAnsi="Times New Roman" w:cs="Times New Roman"/>
          <w:sz w:val="24"/>
          <w:szCs w:val="24"/>
        </w:rPr>
        <w:t>FERC has made no significant changes in information technology use for complying with the FERC-</w:t>
      </w:r>
      <w:r w:rsidR="009C77C2">
        <w:rPr>
          <w:rFonts w:ascii="Times New Roman" w:hAnsi="Times New Roman" w:cs="Times New Roman"/>
          <w:sz w:val="24"/>
          <w:szCs w:val="24"/>
        </w:rPr>
        <w:t>717</w:t>
      </w:r>
      <w:r>
        <w:rPr>
          <w:rFonts w:ascii="Times New Roman" w:hAnsi="Times New Roman" w:cs="Times New Roman"/>
          <w:sz w:val="24"/>
          <w:szCs w:val="24"/>
        </w:rPr>
        <w:t xml:space="preserve"> for the electronic filing of tariffs.  Applicable entities also continue to use OASIS (under the FERC-717 collection), providing the public online access to transmission service information.</w:t>
      </w:r>
    </w:p>
    <w:p w:rsidR="0066266D" w:rsidP="00917277" w14:paraId="494C7231" w14:textId="77777777">
      <w:pPr>
        <w:spacing w:after="0" w:line="240" w:lineRule="auto"/>
        <w:rPr>
          <w:rFonts w:ascii="Times New Roman" w:hAnsi="Times New Roman" w:cs="Times New Roman"/>
          <w:sz w:val="24"/>
          <w:szCs w:val="24"/>
        </w:rPr>
      </w:pPr>
    </w:p>
    <w:p w:rsidR="0066266D" w:rsidP="00917277" w14:paraId="14C59294" w14:textId="77777777">
      <w:pPr>
        <w:pStyle w:val="ListParagraph"/>
        <w:numPr>
          <w:ilvl w:val="0"/>
          <w:numId w:val="1"/>
        </w:numPr>
        <w:spacing w:after="0" w:line="240" w:lineRule="auto"/>
        <w:ind w:left="360"/>
        <w:rPr>
          <w:rFonts w:ascii="Times New Roman" w:hAnsi="Times New Roman" w:cs="Times New Roman"/>
          <w:b/>
          <w:sz w:val="24"/>
          <w:szCs w:val="24"/>
        </w:rPr>
      </w:pPr>
      <w:r>
        <w:rPr>
          <w:rFonts w:ascii="Times New Roman" w:hAnsi="Times New Roman" w:cs="Times New Roman"/>
          <w:b/>
          <w:sz w:val="24"/>
          <w:szCs w:val="24"/>
        </w:rPr>
        <w:t>DESCRIBE EFFORTS TO IDENTIFY DUPLICATION AND SHOW SPECIFICALLY WHY ANY SIMILAR INFORMATION ALREADY AVAILABLE CANNOT BE USED OR MODIFIED FOR USE FOR THE PURPOSE(S) DESCRIBED IN INSTRUCTION NO. 2</w:t>
      </w:r>
    </w:p>
    <w:p w:rsidR="0066266D" w:rsidP="00917277" w14:paraId="7A94E3E5" w14:textId="77777777">
      <w:pPr>
        <w:spacing w:after="0" w:line="240" w:lineRule="auto"/>
        <w:rPr>
          <w:rFonts w:ascii="Times New Roman" w:hAnsi="Times New Roman" w:cs="Times New Roman"/>
          <w:sz w:val="24"/>
          <w:szCs w:val="24"/>
        </w:rPr>
      </w:pPr>
    </w:p>
    <w:p w:rsidR="0066266D" w:rsidP="00917277" w14:paraId="3CF7C7DF"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FERC </w:t>
      </w:r>
      <w:r w:rsidRPr="00105B35">
        <w:rPr>
          <w:rFonts w:ascii="Times New Roman" w:hAnsi="Times New Roman" w:cs="Times New Roman"/>
          <w:sz w:val="24"/>
          <w:szCs w:val="24"/>
        </w:rPr>
        <w:t>periodically</w:t>
      </w:r>
      <w:r>
        <w:rPr>
          <w:rFonts w:ascii="Times New Roman" w:hAnsi="Times New Roman" w:cs="Times New Roman"/>
          <w:sz w:val="24"/>
          <w:szCs w:val="24"/>
        </w:rPr>
        <w:t xml:space="preserve"> reviews rules and data </w:t>
      </w:r>
      <w:r w:rsidRPr="00105B35">
        <w:rPr>
          <w:rFonts w:ascii="Times New Roman" w:hAnsi="Times New Roman" w:cs="Times New Roman"/>
          <w:sz w:val="24"/>
          <w:szCs w:val="24"/>
        </w:rPr>
        <w:t>requirements</w:t>
      </w:r>
      <w:r>
        <w:rPr>
          <w:rFonts w:ascii="Times New Roman" w:hAnsi="Times New Roman" w:cs="Times New Roman"/>
          <w:sz w:val="24"/>
          <w:szCs w:val="24"/>
        </w:rPr>
        <w:t xml:space="preserve"> in conjunction with OMB clearance expiration dates.  This process includes a review of FERC's regulations and data requirements to identify duplication.  The information to be submitted, generated, kept, or posted, pursuant to this Final Rule is not readily available from other sources and, therefore, no duplicate information is available that would serve as a substitute for this information and for performing oversight and review responsibilities under applicable legislation (e.g. FPA, Energy Policy Act of 1992 (EPAct)).</w:t>
      </w:r>
    </w:p>
    <w:p w:rsidR="0066266D" w:rsidP="00917277" w14:paraId="08BB7D46" w14:textId="77777777">
      <w:pPr>
        <w:spacing w:after="0" w:line="240" w:lineRule="auto"/>
        <w:rPr>
          <w:rFonts w:ascii="Times New Roman" w:hAnsi="Times New Roman" w:cs="Times New Roman"/>
          <w:sz w:val="24"/>
          <w:szCs w:val="24"/>
        </w:rPr>
      </w:pPr>
    </w:p>
    <w:p w:rsidR="0066266D" w:rsidP="00917277" w14:paraId="1BC18FF1" w14:textId="77777777">
      <w:pPr>
        <w:pStyle w:val="ListParagraph"/>
        <w:numPr>
          <w:ilvl w:val="0"/>
          <w:numId w:val="1"/>
        </w:numPr>
        <w:spacing w:after="0" w:line="240" w:lineRule="auto"/>
        <w:ind w:left="360"/>
        <w:rPr>
          <w:rFonts w:ascii="Times New Roman" w:hAnsi="Times New Roman" w:cs="Times New Roman"/>
          <w:b/>
          <w:sz w:val="24"/>
          <w:szCs w:val="24"/>
        </w:rPr>
      </w:pPr>
      <w:r>
        <w:rPr>
          <w:rFonts w:ascii="Times New Roman" w:hAnsi="Times New Roman" w:cs="Times New Roman"/>
          <w:b/>
          <w:sz w:val="24"/>
          <w:szCs w:val="24"/>
        </w:rPr>
        <w:t>METHODS USED TO MINIMIZE THE BURDEN IN COLLECTION OF INFORMATION INVOLVING SMALL ENTITIES</w:t>
      </w:r>
    </w:p>
    <w:p w:rsidR="0066266D" w:rsidP="00917277" w14:paraId="6BBBDC27" w14:textId="05A7F7DC">
      <w:pPr>
        <w:tabs>
          <w:tab w:val="left" w:pos="6315"/>
        </w:tabs>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66266D" w:rsidP="00917277" w14:paraId="20F9A893" w14:textId="0F9B7633">
      <w:pPr>
        <w:spacing w:after="0" w:line="240" w:lineRule="auto"/>
        <w:rPr>
          <w:rFonts w:ascii="Times New Roman" w:hAnsi="Times New Roman" w:cs="Times New Roman"/>
          <w:sz w:val="24"/>
          <w:szCs w:val="24"/>
        </w:rPr>
      </w:pPr>
      <w:r>
        <w:rPr>
          <w:rFonts w:ascii="Times New Roman" w:hAnsi="Times New Roman" w:cs="Times New Roman"/>
          <w:sz w:val="24"/>
          <w:szCs w:val="24"/>
        </w:rPr>
        <w:t>FERC estimates that these requirements apply to 26</w:t>
      </w:r>
      <w:r>
        <w:rPr>
          <w:rStyle w:val="FootnoteReference"/>
          <w:rFonts w:ascii="Times New Roman" w:hAnsi="Times New Roman" w:cs="Times New Roman"/>
          <w:sz w:val="24"/>
          <w:szCs w:val="24"/>
          <w:vertAlign w:val="superscript"/>
        </w:rPr>
        <w:footnoteReference w:id="8"/>
      </w:r>
      <w:r>
        <w:rPr>
          <w:rFonts w:ascii="Times New Roman" w:hAnsi="Times New Roman" w:cs="Times New Roman"/>
          <w:sz w:val="24"/>
          <w:szCs w:val="24"/>
        </w:rPr>
        <w:t xml:space="preserve"> small public utilities.  The Commission does consider waivers for small entities, which serves as an option for small entities to reduce their burden.  The Commission grants these waivers on a case-by-case basis.</w:t>
      </w:r>
    </w:p>
    <w:p w:rsidR="0066266D" w:rsidP="00917277" w14:paraId="24C4D22A" w14:textId="77777777">
      <w:pPr>
        <w:spacing w:after="0" w:line="240" w:lineRule="auto"/>
        <w:rPr>
          <w:rFonts w:ascii="Times New Roman" w:hAnsi="Times New Roman" w:cs="Times New Roman"/>
          <w:sz w:val="24"/>
          <w:szCs w:val="24"/>
        </w:rPr>
      </w:pPr>
    </w:p>
    <w:p w:rsidR="0066266D" w:rsidP="00917277" w14:paraId="2DBF6907" w14:textId="77777777">
      <w:pPr>
        <w:pStyle w:val="ListParagraph"/>
        <w:numPr>
          <w:ilvl w:val="0"/>
          <w:numId w:val="1"/>
        </w:numPr>
        <w:spacing w:after="0" w:line="240" w:lineRule="auto"/>
        <w:ind w:left="360"/>
        <w:rPr>
          <w:rFonts w:ascii="Times New Roman" w:hAnsi="Times New Roman" w:cs="Times New Roman"/>
          <w:b/>
          <w:sz w:val="24"/>
          <w:szCs w:val="24"/>
        </w:rPr>
      </w:pPr>
      <w:r>
        <w:rPr>
          <w:rFonts w:ascii="Times New Roman" w:hAnsi="Times New Roman" w:cs="Times New Roman"/>
          <w:b/>
          <w:sz w:val="24"/>
          <w:szCs w:val="24"/>
        </w:rPr>
        <w:t>CONSEQUENCE TO FEDERAL PROGRAM IF COLLECTION WERE CONDUCTED LESS FREQUENTLY</w:t>
      </w:r>
    </w:p>
    <w:p w:rsidR="0066266D" w:rsidP="00917277" w14:paraId="232D0E3B" w14:textId="77777777">
      <w:pPr>
        <w:spacing w:after="0" w:line="240" w:lineRule="auto"/>
        <w:rPr>
          <w:rFonts w:ascii="Times New Roman" w:hAnsi="Times New Roman" w:cs="Times New Roman"/>
          <w:sz w:val="24"/>
          <w:szCs w:val="24"/>
        </w:rPr>
      </w:pPr>
    </w:p>
    <w:p w:rsidR="0066266D" w:rsidP="00917277" w14:paraId="1287BB5D"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The Commission promotes an open transmission system through its policies and regulations.  The NAESB WEQ Version 003.2 standards were developed and vetted through an industry consensus process.  If the information collection components of the standards were conducted less frequently, then the standards would not fully achieve their purpose of promoting efficiency in the wholesale electric industry.  Further, anything different from the standards under consideration here would not be in accordance with what the industry has already vetted and approved in an open consensus building process through NAESB.</w:t>
      </w:r>
    </w:p>
    <w:p w:rsidR="0066266D" w:rsidP="00917277" w14:paraId="7C2B8EA9" w14:textId="77777777">
      <w:pPr>
        <w:spacing w:after="0" w:line="240" w:lineRule="auto"/>
        <w:rPr>
          <w:rFonts w:ascii="Times New Roman" w:hAnsi="Times New Roman" w:cs="Times New Roman"/>
          <w:sz w:val="24"/>
          <w:szCs w:val="24"/>
        </w:rPr>
      </w:pPr>
    </w:p>
    <w:p w:rsidR="0066266D" w:rsidRPr="005E2E72" w:rsidP="00917277" w14:paraId="2E0CEC39" w14:textId="77777777">
      <w:pPr>
        <w:pStyle w:val="ListParagraph"/>
        <w:numPr>
          <w:ilvl w:val="0"/>
          <w:numId w:val="1"/>
        </w:numPr>
        <w:spacing w:after="0" w:line="240" w:lineRule="auto"/>
        <w:ind w:left="360"/>
        <w:rPr>
          <w:rFonts w:ascii="Times New Roman" w:hAnsi="Times New Roman" w:cs="Times New Roman"/>
          <w:b/>
          <w:sz w:val="26"/>
          <w:szCs w:val="24"/>
        </w:rPr>
      </w:pPr>
      <w:r w:rsidRPr="005E2E72">
        <w:rPr>
          <w:rFonts w:ascii="Times New Roman" w:hAnsi="Times New Roman" w:cs="Times New Roman"/>
          <w:b/>
          <w:sz w:val="26"/>
          <w:szCs w:val="24"/>
        </w:rPr>
        <w:t>EXPLAIN ANY SPECIAL CIRCUMSTANCES RELATING TO THE INFORMATION COLLECTION</w:t>
      </w:r>
    </w:p>
    <w:p w:rsidR="0066266D" w:rsidRPr="005E2E72" w:rsidP="00917277" w14:paraId="40CEFFE1" w14:textId="77777777">
      <w:pPr>
        <w:spacing w:after="0" w:line="240" w:lineRule="auto"/>
        <w:rPr>
          <w:rFonts w:ascii="Times New Roman" w:hAnsi="Times New Roman" w:cs="Times New Roman"/>
          <w:sz w:val="26"/>
          <w:szCs w:val="24"/>
        </w:rPr>
      </w:pPr>
    </w:p>
    <w:p w:rsidR="0066266D" w:rsidRPr="005E2E72" w:rsidP="00917277" w14:paraId="603B24EA" w14:textId="77777777">
      <w:pPr>
        <w:spacing w:after="0" w:line="240" w:lineRule="auto"/>
        <w:rPr>
          <w:rFonts w:ascii="Times New Roman" w:hAnsi="Times New Roman" w:cs="Times New Roman"/>
          <w:sz w:val="26"/>
          <w:szCs w:val="24"/>
        </w:rPr>
      </w:pPr>
      <w:r w:rsidRPr="005E2E72">
        <w:rPr>
          <w:rFonts w:ascii="Times New Roman" w:hAnsi="Times New Roman" w:cs="Times New Roman"/>
          <w:sz w:val="26"/>
          <w:szCs w:val="24"/>
        </w:rPr>
        <w:t>There are no special circumstances.</w:t>
      </w:r>
    </w:p>
    <w:p w:rsidR="0066266D" w:rsidRPr="005E2E72" w:rsidP="00917277" w14:paraId="58041E77" w14:textId="77777777">
      <w:pPr>
        <w:spacing w:after="0" w:line="240" w:lineRule="auto"/>
        <w:rPr>
          <w:rFonts w:ascii="Times New Roman" w:hAnsi="Times New Roman" w:cs="Times New Roman"/>
          <w:sz w:val="26"/>
          <w:szCs w:val="24"/>
        </w:rPr>
      </w:pPr>
    </w:p>
    <w:p w:rsidR="0066266D" w:rsidRPr="005E2E72" w:rsidP="00917277" w14:paraId="3111A5EE" w14:textId="77777777">
      <w:pPr>
        <w:pStyle w:val="ListParagraph"/>
        <w:numPr>
          <w:ilvl w:val="0"/>
          <w:numId w:val="1"/>
        </w:numPr>
        <w:spacing w:after="0" w:line="240" w:lineRule="auto"/>
        <w:ind w:left="360"/>
        <w:rPr>
          <w:rFonts w:ascii="Times New Roman" w:hAnsi="Times New Roman" w:cs="Times New Roman"/>
          <w:b/>
          <w:sz w:val="26"/>
          <w:szCs w:val="24"/>
        </w:rPr>
      </w:pPr>
      <w:r w:rsidRPr="005E2E72">
        <w:rPr>
          <w:rFonts w:ascii="Times New Roman" w:hAnsi="Times New Roman" w:cs="Times New Roman"/>
          <w:b/>
          <w:sz w:val="26"/>
          <w:szCs w:val="24"/>
        </w:rPr>
        <w:t>DESCRIBE EFFORTS TO CONSULT OUTSIDE THE AGENCY: SUMMARIZE PUBLIC COMMENTS AND THE AGENCY’S RESPONSE</w:t>
      </w:r>
    </w:p>
    <w:p w:rsidR="0066266D" w:rsidRPr="005E2E72" w:rsidP="00917277" w14:paraId="0D17681E" w14:textId="77777777">
      <w:pPr>
        <w:spacing w:after="0" w:line="240" w:lineRule="auto"/>
        <w:rPr>
          <w:rFonts w:ascii="Times New Roman" w:hAnsi="Times New Roman" w:cs="Times New Roman"/>
          <w:sz w:val="26"/>
          <w:szCs w:val="24"/>
        </w:rPr>
      </w:pPr>
    </w:p>
    <w:p w:rsidR="00DA4E89" w:rsidRPr="005E2E72" w:rsidP="00DA4E89" w14:paraId="79038413" w14:textId="23F21A3A">
      <w:pPr>
        <w:spacing w:after="0" w:line="240" w:lineRule="auto"/>
        <w:rPr>
          <w:rFonts w:ascii="Times New Roman" w:hAnsi="Times New Roman" w:cs="Times New Roman"/>
          <w:sz w:val="26"/>
          <w:szCs w:val="24"/>
        </w:rPr>
      </w:pPr>
      <w:bookmarkStart w:id="1" w:name="_Hlk27654910"/>
      <w:r w:rsidRPr="005E2E72">
        <w:rPr>
          <w:rFonts w:ascii="Times New Roman" w:hAnsi="Times New Roman" w:cs="Times New Roman"/>
          <w:sz w:val="26"/>
          <w:szCs w:val="24"/>
        </w:rPr>
        <w:t xml:space="preserve">As required by the Paperwork Reduction Act, the Commission published a notice of this information collection request in the Federal Register on </w:t>
      </w:r>
      <w:r w:rsidRPr="005E2E72" w:rsidR="00CC53C5">
        <w:rPr>
          <w:rFonts w:ascii="Times New Roman" w:hAnsi="Times New Roman" w:cs="Times New Roman"/>
          <w:sz w:val="26"/>
          <w:szCs w:val="24"/>
        </w:rPr>
        <w:t>October 13, 2023</w:t>
      </w:r>
      <w:r w:rsidRPr="005E2E72" w:rsidR="00BA385E">
        <w:rPr>
          <w:rFonts w:ascii="Times New Roman" w:hAnsi="Times New Roman" w:cs="Times New Roman"/>
          <w:sz w:val="26"/>
          <w:szCs w:val="24"/>
        </w:rPr>
        <w:t xml:space="preserve"> (8</w:t>
      </w:r>
      <w:r w:rsidRPr="005E2E72" w:rsidR="00CC53C5">
        <w:rPr>
          <w:rFonts w:ascii="Times New Roman" w:hAnsi="Times New Roman" w:cs="Times New Roman"/>
          <w:sz w:val="26"/>
          <w:szCs w:val="24"/>
        </w:rPr>
        <w:t>8</w:t>
      </w:r>
      <w:r w:rsidRPr="005E2E72" w:rsidR="00BA385E">
        <w:rPr>
          <w:rFonts w:ascii="Times New Roman" w:hAnsi="Times New Roman" w:cs="Times New Roman"/>
          <w:sz w:val="26"/>
          <w:szCs w:val="24"/>
        </w:rPr>
        <w:t xml:space="preserve"> FR </w:t>
      </w:r>
      <w:r w:rsidRPr="005E2E72" w:rsidR="004B29E9">
        <w:rPr>
          <w:rFonts w:ascii="Times New Roman" w:hAnsi="Times New Roman" w:cs="Times New Roman"/>
          <w:sz w:val="26"/>
          <w:szCs w:val="24"/>
        </w:rPr>
        <w:t>70967</w:t>
      </w:r>
      <w:r w:rsidRPr="005E2E72" w:rsidR="00BA385E">
        <w:rPr>
          <w:rFonts w:ascii="Times New Roman" w:hAnsi="Times New Roman" w:cs="Times New Roman"/>
          <w:sz w:val="26"/>
          <w:szCs w:val="24"/>
        </w:rPr>
        <w:t>)</w:t>
      </w:r>
      <w:r w:rsidRPr="005E2E72" w:rsidR="00D84E40">
        <w:rPr>
          <w:rFonts w:ascii="Times New Roman" w:hAnsi="Times New Roman" w:cs="Times New Roman"/>
          <w:sz w:val="26"/>
          <w:szCs w:val="24"/>
        </w:rPr>
        <w:t>.  No comments were received during the 60-day comment period.  T</w:t>
      </w:r>
      <w:r w:rsidRPr="005E2E72" w:rsidR="00434D13">
        <w:rPr>
          <w:rFonts w:ascii="Times New Roman" w:hAnsi="Times New Roman" w:cs="Times New Roman"/>
          <w:sz w:val="26"/>
          <w:szCs w:val="24"/>
        </w:rPr>
        <w:t xml:space="preserve">he </w:t>
      </w:r>
      <w:r w:rsidRPr="005E2E72" w:rsidR="00D84E40">
        <w:rPr>
          <w:rFonts w:ascii="Times New Roman" w:hAnsi="Times New Roman" w:cs="Times New Roman"/>
          <w:sz w:val="26"/>
          <w:szCs w:val="24"/>
        </w:rPr>
        <w:t xml:space="preserve">Commission published the </w:t>
      </w:r>
      <w:r w:rsidRPr="005E2E72" w:rsidR="00434D13">
        <w:rPr>
          <w:rFonts w:ascii="Times New Roman" w:hAnsi="Times New Roman" w:cs="Times New Roman"/>
          <w:sz w:val="26"/>
          <w:szCs w:val="24"/>
        </w:rPr>
        <w:t xml:space="preserve">30-day notice </w:t>
      </w:r>
      <w:r w:rsidR="00CF6B3B">
        <w:rPr>
          <w:rFonts w:ascii="Times New Roman" w:hAnsi="Times New Roman" w:cs="Times New Roman"/>
          <w:sz w:val="26"/>
          <w:szCs w:val="24"/>
        </w:rPr>
        <w:t>on December 21, 2023 (88 FR 88383).</w:t>
      </w:r>
    </w:p>
    <w:p w:rsidR="001215DB" w:rsidRPr="005E2E72" w:rsidP="00DA4E89" w14:paraId="2D379765" w14:textId="77777777">
      <w:pPr>
        <w:spacing w:after="0" w:line="240" w:lineRule="auto"/>
        <w:rPr>
          <w:rFonts w:ascii="Times New Roman" w:hAnsi="Times New Roman" w:cs="Times New Roman"/>
          <w:sz w:val="26"/>
          <w:szCs w:val="24"/>
        </w:rPr>
      </w:pPr>
    </w:p>
    <w:bookmarkEnd w:id="1"/>
    <w:p w:rsidR="0066266D" w:rsidRPr="005E2E72" w:rsidP="00917277" w14:paraId="380C9B53" w14:textId="77777777">
      <w:pPr>
        <w:pStyle w:val="ListParagraph"/>
        <w:numPr>
          <w:ilvl w:val="0"/>
          <w:numId w:val="1"/>
        </w:numPr>
        <w:spacing w:after="0" w:line="240" w:lineRule="auto"/>
        <w:ind w:left="360"/>
        <w:rPr>
          <w:rFonts w:ascii="Times New Roman" w:hAnsi="Times New Roman" w:cs="Times New Roman"/>
          <w:b/>
          <w:sz w:val="26"/>
          <w:szCs w:val="24"/>
        </w:rPr>
      </w:pPr>
      <w:r w:rsidRPr="005E2E72">
        <w:rPr>
          <w:rFonts w:ascii="Times New Roman" w:hAnsi="Times New Roman" w:cs="Times New Roman"/>
          <w:b/>
          <w:sz w:val="26"/>
          <w:szCs w:val="24"/>
        </w:rPr>
        <w:t>EXPLAIN ANY PAYMENT OR GIFTS TO RESPONDENTS</w:t>
      </w:r>
    </w:p>
    <w:p w:rsidR="0066266D" w:rsidRPr="005E2E72" w:rsidP="00917277" w14:paraId="56AF971E" w14:textId="77777777">
      <w:pPr>
        <w:spacing w:after="0" w:line="240" w:lineRule="auto"/>
        <w:rPr>
          <w:rFonts w:ascii="Times New Roman" w:hAnsi="Times New Roman" w:cs="Times New Roman"/>
          <w:sz w:val="26"/>
          <w:szCs w:val="24"/>
        </w:rPr>
      </w:pPr>
    </w:p>
    <w:p w:rsidR="0066266D" w:rsidRPr="005E2E72" w:rsidP="00917277" w14:paraId="29453D2E" w14:textId="77777777">
      <w:pPr>
        <w:spacing w:after="0" w:line="240" w:lineRule="auto"/>
        <w:rPr>
          <w:rFonts w:ascii="Times New Roman" w:hAnsi="Times New Roman" w:cs="Times New Roman"/>
          <w:sz w:val="26"/>
          <w:szCs w:val="24"/>
        </w:rPr>
      </w:pPr>
      <w:r w:rsidRPr="005E2E72">
        <w:rPr>
          <w:rFonts w:ascii="Times New Roman" w:hAnsi="Times New Roman" w:cs="Times New Roman"/>
          <w:sz w:val="26"/>
          <w:szCs w:val="24"/>
        </w:rPr>
        <w:t>There are no payments or gifts to respondents for these collections.</w:t>
      </w:r>
    </w:p>
    <w:p w:rsidR="0066266D" w:rsidRPr="005E2E72" w:rsidP="00917277" w14:paraId="6048DB09" w14:textId="77777777">
      <w:pPr>
        <w:spacing w:after="0" w:line="240" w:lineRule="auto"/>
        <w:rPr>
          <w:rFonts w:ascii="Times New Roman" w:hAnsi="Times New Roman" w:cs="Times New Roman"/>
          <w:sz w:val="26"/>
          <w:szCs w:val="24"/>
        </w:rPr>
      </w:pPr>
    </w:p>
    <w:p w:rsidR="0066266D" w:rsidRPr="005E2E72" w:rsidP="00917277" w14:paraId="6607D37D" w14:textId="77777777">
      <w:pPr>
        <w:pStyle w:val="ListParagraph"/>
        <w:numPr>
          <w:ilvl w:val="0"/>
          <w:numId w:val="1"/>
        </w:numPr>
        <w:spacing w:after="0" w:line="240" w:lineRule="auto"/>
        <w:ind w:left="360"/>
        <w:rPr>
          <w:rFonts w:ascii="Times New Roman" w:hAnsi="Times New Roman" w:cs="Times New Roman"/>
          <w:b/>
          <w:sz w:val="26"/>
          <w:szCs w:val="24"/>
        </w:rPr>
      </w:pPr>
      <w:r w:rsidRPr="005E2E72">
        <w:rPr>
          <w:rFonts w:ascii="Times New Roman" w:hAnsi="Times New Roman" w:cs="Times New Roman"/>
          <w:b/>
          <w:sz w:val="26"/>
          <w:szCs w:val="24"/>
        </w:rPr>
        <w:t>DESCRIBE ANY ASSURANCE OF CONFIDENTIALITY PROVIDED TO RESPONDENTS</w:t>
      </w:r>
    </w:p>
    <w:p w:rsidR="0066266D" w:rsidRPr="005E2E72" w:rsidP="00917277" w14:paraId="55495FD7" w14:textId="77777777">
      <w:pPr>
        <w:spacing w:after="0" w:line="240" w:lineRule="auto"/>
        <w:rPr>
          <w:rFonts w:ascii="Times New Roman" w:hAnsi="Times New Roman" w:cs="Times New Roman"/>
          <w:sz w:val="26"/>
          <w:szCs w:val="24"/>
        </w:rPr>
      </w:pPr>
    </w:p>
    <w:p w:rsidR="0066266D" w:rsidRPr="005E2E72" w:rsidP="00917277" w14:paraId="7AEE977D" w14:textId="77777777">
      <w:pPr>
        <w:spacing w:after="0" w:line="240" w:lineRule="auto"/>
        <w:rPr>
          <w:rFonts w:ascii="Times New Roman" w:hAnsi="Times New Roman" w:cs="Times New Roman"/>
          <w:sz w:val="26"/>
          <w:szCs w:val="24"/>
        </w:rPr>
      </w:pPr>
      <w:r w:rsidRPr="005E2E72">
        <w:rPr>
          <w:rFonts w:ascii="Times New Roman" w:hAnsi="Times New Roman" w:cs="Times New Roman"/>
          <w:sz w:val="26"/>
          <w:szCs w:val="24"/>
        </w:rPr>
        <w:t>Any data filed are public information and, therefore, not confidential.  However, a company may request confidential treatment of some or all parts of the information requirement under the FERC regulations at 18 CFR 388.112.  The Commission will review each request for confidential treatment on a case-by-case basis.</w:t>
      </w:r>
    </w:p>
    <w:p w:rsidR="0066266D" w:rsidRPr="005E2E72" w:rsidP="00917277" w14:paraId="2E369531" w14:textId="77777777">
      <w:pPr>
        <w:spacing w:after="0" w:line="240" w:lineRule="auto"/>
        <w:rPr>
          <w:rFonts w:ascii="Times New Roman" w:hAnsi="Times New Roman" w:cs="Times New Roman"/>
          <w:sz w:val="26"/>
          <w:szCs w:val="24"/>
        </w:rPr>
      </w:pPr>
    </w:p>
    <w:p w:rsidR="0066266D" w:rsidRPr="005E2E72" w:rsidP="00917277" w14:paraId="7F063929" w14:textId="77777777">
      <w:pPr>
        <w:pStyle w:val="ListParagraph"/>
        <w:numPr>
          <w:ilvl w:val="0"/>
          <w:numId w:val="1"/>
        </w:numPr>
        <w:spacing w:after="0" w:line="240" w:lineRule="auto"/>
        <w:ind w:left="360"/>
        <w:rPr>
          <w:rFonts w:ascii="Times New Roman" w:hAnsi="Times New Roman" w:cs="Times New Roman"/>
          <w:b/>
          <w:sz w:val="26"/>
          <w:szCs w:val="24"/>
        </w:rPr>
      </w:pPr>
      <w:r w:rsidRPr="005E2E72">
        <w:rPr>
          <w:rFonts w:ascii="Times New Roman" w:hAnsi="Times New Roman" w:cs="Times New Roman"/>
          <w:b/>
          <w:sz w:val="26"/>
          <w:szCs w:val="24"/>
        </w:rPr>
        <w:t>PROVIDE ADDITIONAL JUSTIFICATION FOR ANY QUESTIONS OF A SENSITIVE NATURE, SUCH AS SEXUAL BEHAVIOR AND ATTITUDES, RELIGIOUS BELIEFS, AND OTHER MATTERS THAT ARE COMMONLY CONSIDERED PRIVATE.</w:t>
      </w:r>
    </w:p>
    <w:p w:rsidR="0066266D" w:rsidRPr="005E2E72" w:rsidP="00917277" w14:paraId="2CCBDB39" w14:textId="77777777">
      <w:pPr>
        <w:spacing w:after="0" w:line="240" w:lineRule="auto"/>
        <w:rPr>
          <w:rFonts w:ascii="Times New Roman" w:hAnsi="Times New Roman" w:cs="Times New Roman"/>
          <w:sz w:val="26"/>
          <w:szCs w:val="24"/>
        </w:rPr>
      </w:pPr>
    </w:p>
    <w:p w:rsidR="0066266D" w:rsidRPr="005E2E72" w:rsidP="00917277" w14:paraId="23A5E0F7" w14:textId="77777777">
      <w:pPr>
        <w:spacing w:after="0" w:line="240" w:lineRule="auto"/>
        <w:rPr>
          <w:rFonts w:ascii="Times New Roman" w:hAnsi="Times New Roman" w:cs="Times New Roman"/>
          <w:sz w:val="26"/>
          <w:szCs w:val="24"/>
        </w:rPr>
      </w:pPr>
      <w:r w:rsidRPr="005E2E72">
        <w:rPr>
          <w:rFonts w:ascii="Times New Roman" w:hAnsi="Times New Roman" w:cs="Times New Roman"/>
          <w:sz w:val="26"/>
          <w:szCs w:val="24"/>
        </w:rPr>
        <w:t>There are no questions of a sensitive nature in the reporting requirements.</w:t>
      </w:r>
    </w:p>
    <w:p w:rsidR="0066266D" w:rsidRPr="005E2E72" w:rsidP="00917277" w14:paraId="2DB4339B" w14:textId="77777777">
      <w:pPr>
        <w:spacing w:after="0" w:line="240" w:lineRule="auto"/>
        <w:rPr>
          <w:rFonts w:ascii="Times New Roman" w:hAnsi="Times New Roman" w:cs="Times New Roman"/>
          <w:sz w:val="26"/>
          <w:szCs w:val="24"/>
        </w:rPr>
      </w:pPr>
    </w:p>
    <w:p w:rsidR="0066266D" w:rsidRPr="005E2E72" w:rsidP="00917277" w14:paraId="752C8CE9" w14:textId="0FE6433F">
      <w:pPr>
        <w:pStyle w:val="ListParagraph"/>
        <w:numPr>
          <w:ilvl w:val="0"/>
          <w:numId w:val="1"/>
        </w:numPr>
        <w:spacing w:after="0" w:line="240" w:lineRule="auto"/>
        <w:ind w:left="360"/>
        <w:rPr>
          <w:rFonts w:ascii="Times New Roman" w:hAnsi="Times New Roman" w:cs="Times New Roman"/>
          <w:b/>
          <w:sz w:val="26"/>
          <w:szCs w:val="24"/>
        </w:rPr>
      </w:pPr>
      <w:r w:rsidRPr="005E2E72">
        <w:rPr>
          <w:rFonts w:ascii="Times New Roman" w:hAnsi="Times New Roman" w:cs="Times New Roman"/>
          <w:b/>
          <w:sz w:val="26"/>
          <w:szCs w:val="24"/>
        </w:rPr>
        <w:t>ESTIMATED BURDEN OF COLLECTION OF INFORMATION</w:t>
      </w:r>
    </w:p>
    <w:p w:rsidR="0017704A" w:rsidRPr="005E2E72" w:rsidP="0017704A" w14:paraId="0FAE772B" w14:textId="376E7CC9">
      <w:pPr>
        <w:spacing w:after="0" w:line="240" w:lineRule="auto"/>
        <w:rPr>
          <w:rFonts w:ascii="Times New Roman" w:hAnsi="Times New Roman" w:cs="Times New Roman"/>
          <w:b/>
          <w:sz w:val="26"/>
          <w:szCs w:val="24"/>
        </w:rPr>
      </w:pPr>
    </w:p>
    <w:p w:rsidR="0001583D" w:rsidRPr="005E2E72" w:rsidP="0001583D" w14:paraId="5FEC43F4" w14:textId="77777777">
      <w:pPr>
        <w:spacing w:after="0" w:line="240" w:lineRule="auto"/>
        <w:rPr>
          <w:rFonts w:ascii="Times New Roman" w:hAnsi="Times New Roman" w:cs="Times New Roman"/>
          <w:bCs/>
          <w:iCs/>
          <w:sz w:val="26"/>
          <w:szCs w:val="24"/>
        </w:rPr>
      </w:pPr>
      <w:r w:rsidRPr="005E2E72">
        <w:rPr>
          <w:rFonts w:ascii="Times New Roman" w:hAnsi="Times New Roman" w:cs="Times New Roman"/>
          <w:bCs/>
          <w:iCs/>
          <w:sz w:val="26"/>
          <w:szCs w:val="24"/>
        </w:rPr>
        <w:t>The previous information collection request (ICR Reference No. 202002-1902-006) in the year 2020 was approved by OMB with a one-time burden that was expected to be completed in Year One.  As averaged over a three-year period, the annual responses were estimated as 165 annually, 10 hours per response, and total hours of 1,650 hours.  These burdens are not included in this information collection request because all respondents have complied with that one-time burden.  The removal of those burdens constitutes a program change.</w:t>
      </w:r>
    </w:p>
    <w:p w:rsidR="0001583D" w:rsidP="0001583D" w14:paraId="05F7DB7C" w14:textId="2F78A0B5">
      <w:pPr>
        <w:spacing w:after="0" w:line="240" w:lineRule="auto"/>
        <w:rPr>
          <w:rFonts w:ascii="Times New Roman" w:hAnsi="Times New Roman" w:cs="Times New Roman"/>
          <w:bCs/>
          <w:iCs/>
          <w:sz w:val="26"/>
          <w:szCs w:val="24"/>
        </w:rPr>
      </w:pPr>
      <w:r w:rsidRPr="005E2E72">
        <w:rPr>
          <w:rFonts w:ascii="Times New Roman" w:hAnsi="Times New Roman" w:cs="Times New Roman"/>
          <w:bCs/>
          <w:iCs/>
          <w:sz w:val="26"/>
          <w:szCs w:val="24"/>
        </w:rPr>
        <w:t>The estimated annual number of responses for the ongoing information collection activity are adjusted in this information collection request from 162 to 216, an increase of 54 responses.  Based on a review of the information collection since our last submission, we have determined this change in number of responses is due to changes in the regulated industry.</w:t>
      </w:r>
    </w:p>
    <w:p w:rsidR="00E9236C" w:rsidRPr="005E2E72" w:rsidP="0001583D" w14:paraId="41BA1639" w14:textId="77777777">
      <w:pPr>
        <w:spacing w:after="0" w:line="240" w:lineRule="auto"/>
        <w:rPr>
          <w:rFonts w:ascii="Times New Roman" w:hAnsi="Times New Roman" w:cs="Times New Roman"/>
          <w:bCs/>
          <w:iCs/>
          <w:sz w:val="26"/>
          <w:szCs w:val="24"/>
        </w:rPr>
      </w:pPr>
    </w:p>
    <w:p w:rsidR="0001583D" w:rsidRPr="005E2E72" w:rsidP="0001583D" w14:paraId="10ABD07C" w14:textId="77777777">
      <w:pPr>
        <w:spacing w:after="0" w:line="240" w:lineRule="auto"/>
        <w:rPr>
          <w:rFonts w:ascii="Times New Roman" w:hAnsi="Times New Roman" w:cs="Times New Roman"/>
          <w:bCs/>
          <w:iCs/>
          <w:sz w:val="26"/>
          <w:szCs w:val="24"/>
        </w:rPr>
      </w:pPr>
      <w:r w:rsidRPr="005E2E72">
        <w:rPr>
          <w:rFonts w:ascii="Times New Roman" w:hAnsi="Times New Roman" w:cs="Times New Roman"/>
          <w:bCs/>
          <w:iCs/>
          <w:sz w:val="26"/>
          <w:szCs w:val="24"/>
        </w:rPr>
        <w:t>The current burden estimates are shown in the following table.</w:t>
      </w:r>
    </w:p>
    <w:p w:rsidR="0001583D" w:rsidRPr="005E2E72" w:rsidP="0001583D" w14:paraId="2A69CD83" w14:textId="77777777">
      <w:pPr>
        <w:spacing w:after="0" w:line="240" w:lineRule="auto"/>
        <w:rPr>
          <w:rFonts w:ascii="Times New Roman" w:hAnsi="Times New Roman" w:cs="Times New Roman"/>
          <w:b/>
          <w:bCs/>
          <w:iCs/>
          <w:sz w:val="26"/>
          <w:szCs w:val="24"/>
        </w:rPr>
      </w:pPr>
    </w:p>
    <w:p w:rsidR="0001583D" w:rsidRPr="005E2E72" w:rsidP="0001583D" w14:paraId="37FDD15D" w14:textId="77777777">
      <w:pPr>
        <w:spacing w:after="0" w:line="240" w:lineRule="auto"/>
        <w:jc w:val="center"/>
        <w:rPr>
          <w:rFonts w:ascii="Times New Roman" w:hAnsi="Times New Roman" w:cs="Times New Roman"/>
          <w:b/>
          <w:iCs/>
          <w:sz w:val="26"/>
          <w:szCs w:val="24"/>
        </w:rPr>
      </w:pPr>
      <w:r w:rsidRPr="005E2E72">
        <w:rPr>
          <w:rFonts w:ascii="Times New Roman" w:hAnsi="Times New Roman" w:cs="Times New Roman"/>
          <w:b/>
          <w:iCs/>
          <w:sz w:val="26"/>
          <w:szCs w:val="24"/>
        </w:rPr>
        <w:t>Burden Estimates for FERC-717, Standards for Business Practices and Communication Protocols for Public Utilities</w:t>
      </w:r>
    </w:p>
    <w:p w:rsidR="0001583D" w:rsidRPr="005E2E72" w:rsidP="0001583D" w14:paraId="1F55AE29" w14:textId="77777777">
      <w:pPr>
        <w:spacing w:after="0" w:line="240" w:lineRule="auto"/>
        <w:rPr>
          <w:rFonts w:ascii="Times New Roman" w:hAnsi="Times New Roman" w:cs="Times New Roman"/>
          <w:b/>
          <w:iCs/>
          <w:sz w:val="26"/>
          <w:szCs w:val="24"/>
        </w:rPr>
      </w:pPr>
    </w:p>
    <w:tbl>
      <w:tblPr>
        <w:tblW w:w="4993"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64"/>
        <w:gridCol w:w="1712"/>
        <w:gridCol w:w="1640"/>
        <w:gridCol w:w="1374"/>
        <w:gridCol w:w="1374"/>
        <w:gridCol w:w="1373"/>
      </w:tblGrid>
      <w:tr w14:paraId="57F5CBD4" w14:textId="77777777" w:rsidTr="009163A5">
        <w:tblPrEx>
          <w:tblW w:w="4993"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Pr>
        <w:tc>
          <w:tcPr>
            <w:tcW w:w="998" w:type="pct"/>
            <w:shd w:val="clear" w:color="auto" w:fill="D9D9D9"/>
            <w:vAlign w:val="bottom"/>
          </w:tcPr>
          <w:p w:rsidR="0001583D" w:rsidRPr="005E2E72" w:rsidP="009163A5" w14:paraId="35071869" w14:textId="77777777">
            <w:pPr>
              <w:spacing w:after="0" w:line="240" w:lineRule="auto"/>
              <w:jc w:val="center"/>
              <w:rPr>
                <w:rFonts w:ascii="Times New Roman" w:hAnsi="Times New Roman" w:cs="Times New Roman"/>
                <w:b/>
                <w:iCs/>
                <w:sz w:val="26"/>
                <w:szCs w:val="24"/>
              </w:rPr>
            </w:pPr>
            <w:r w:rsidRPr="005E2E72">
              <w:rPr>
                <w:rFonts w:ascii="Times New Roman" w:hAnsi="Times New Roman" w:cs="Times New Roman"/>
                <w:b/>
                <w:iCs/>
                <w:sz w:val="26"/>
                <w:szCs w:val="24"/>
              </w:rPr>
              <w:t>Information Collection Requirement</w:t>
            </w:r>
          </w:p>
        </w:tc>
        <w:tc>
          <w:tcPr>
            <w:tcW w:w="917" w:type="pct"/>
            <w:shd w:val="clear" w:color="auto" w:fill="D9D9D9"/>
            <w:vAlign w:val="bottom"/>
          </w:tcPr>
          <w:p w:rsidR="0001583D" w:rsidRPr="005E2E72" w:rsidP="009163A5" w14:paraId="6C4052DA" w14:textId="77777777">
            <w:pPr>
              <w:spacing w:after="0" w:line="240" w:lineRule="auto"/>
              <w:jc w:val="center"/>
              <w:rPr>
                <w:rFonts w:ascii="Times New Roman" w:hAnsi="Times New Roman" w:cs="Times New Roman"/>
                <w:b/>
                <w:iCs/>
                <w:sz w:val="26"/>
                <w:szCs w:val="24"/>
              </w:rPr>
            </w:pPr>
            <w:r w:rsidRPr="005E2E72">
              <w:rPr>
                <w:rFonts w:ascii="Times New Roman" w:hAnsi="Times New Roman" w:cs="Times New Roman"/>
                <w:b/>
                <w:iCs/>
                <w:sz w:val="26"/>
                <w:szCs w:val="24"/>
              </w:rPr>
              <w:t>No. of Respondents</w:t>
            </w:r>
            <w:r w:rsidRPr="005E2E72">
              <w:rPr>
                <w:rFonts w:ascii="Times New Roman" w:hAnsi="Times New Roman" w:cs="Times New Roman"/>
                <w:b/>
                <w:iCs/>
                <w:sz w:val="26"/>
                <w:szCs w:val="24"/>
              </w:rPr>
              <w:br/>
              <w:t>(1)</w:t>
            </w:r>
          </w:p>
        </w:tc>
        <w:tc>
          <w:tcPr>
            <w:tcW w:w="878" w:type="pct"/>
            <w:shd w:val="clear" w:color="auto" w:fill="D9D9D9"/>
            <w:vAlign w:val="bottom"/>
          </w:tcPr>
          <w:p w:rsidR="0001583D" w:rsidRPr="005E2E72" w:rsidP="009163A5" w14:paraId="7AB765CF" w14:textId="77777777">
            <w:pPr>
              <w:spacing w:after="0" w:line="240" w:lineRule="auto"/>
              <w:jc w:val="center"/>
              <w:rPr>
                <w:rFonts w:ascii="Times New Roman" w:hAnsi="Times New Roman" w:cs="Times New Roman"/>
                <w:b/>
                <w:iCs/>
                <w:sz w:val="26"/>
                <w:szCs w:val="24"/>
              </w:rPr>
            </w:pPr>
            <w:r w:rsidRPr="005E2E72">
              <w:rPr>
                <w:rFonts w:ascii="Times New Roman" w:hAnsi="Times New Roman" w:cs="Times New Roman"/>
                <w:b/>
                <w:iCs/>
                <w:sz w:val="26"/>
                <w:szCs w:val="24"/>
              </w:rPr>
              <w:t>Annual No. of Responses per Respondent</w:t>
            </w:r>
          </w:p>
          <w:p w:rsidR="0001583D" w:rsidRPr="005E2E72" w:rsidP="009163A5" w14:paraId="68C9B6B3" w14:textId="77777777">
            <w:pPr>
              <w:spacing w:after="0" w:line="240" w:lineRule="auto"/>
              <w:jc w:val="center"/>
              <w:rPr>
                <w:rFonts w:ascii="Times New Roman" w:hAnsi="Times New Roman" w:cs="Times New Roman"/>
                <w:b/>
                <w:iCs/>
                <w:sz w:val="26"/>
                <w:szCs w:val="24"/>
              </w:rPr>
            </w:pPr>
            <w:r w:rsidRPr="005E2E72">
              <w:rPr>
                <w:rFonts w:ascii="Times New Roman" w:hAnsi="Times New Roman" w:cs="Times New Roman"/>
                <w:b/>
                <w:iCs/>
                <w:sz w:val="26"/>
                <w:szCs w:val="24"/>
              </w:rPr>
              <w:t>(2)</w:t>
            </w:r>
          </w:p>
        </w:tc>
        <w:tc>
          <w:tcPr>
            <w:tcW w:w="736" w:type="pct"/>
            <w:shd w:val="clear" w:color="auto" w:fill="D9D9D9"/>
            <w:vAlign w:val="bottom"/>
          </w:tcPr>
          <w:p w:rsidR="0001583D" w:rsidRPr="005E2E72" w:rsidP="009163A5" w14:paraId="1D72DEA6" w14:textId="77777777">
            <w:pPr>
              <w:spacing w:after="0" w:line="240" w:lineRule="auto"/>
              <w:jc w:val="center"/>
              <w:rPr>
                <w:rFonts w:ascii="Times New Roman" w:hAnsi="Times New Roman" w:cs="Times New Roman"/>
                <w:b/>
                <w:iCs/>
                <w:sz w:val="26"/>
                <w:szCs w:val="24"/>
              </w:rPr>
            </w:pPr>
            <w:r w:rsidRPr="005E2E72">
              <w:rPr>
                <w:rFonts w:ascii="Times New Roman" w:hAnsi="Times New Roman" w:cs="Times New Roman"/>
                <w:b/>
                <w:iCs/>
                <w:sz w:val="26"/>
                <w:szCs w:val="24"/>
              </w:rPr>
              <w:t>Total No. of Responses (1)*(2)=(3)</w:t>
            </w:r>
          </w:p>
        </w:tc>
        <w:tc>
          <w:tcPr>
            <w:tcW w:w="736" w:type="pct"/>
            <w:shd w:val="clear" w:color="auto" w:fill="D9D9D9"/>
            <w:vAlign w:val="bottom"/>
          </w:tcPr>
          <w:p w:rsidR="0001583D" w:rsidRPr="005E2E72" w:rsidP="009163A5" w14:paraId="5AD4562D" w14:textId="77777777">
            <w:pPr>
              <w:spacing w:after="0" w:line="240" w:lineRule="auto"/>
              <w:jc w:val="center"/>
              <w:rPr>
                <w:rFonts w:ascii="Times New Roman" w:hAnsi="Times New Roman" w:cs="Times New Roman"/>
                <w:b/>
                <w:iCs/>
                <w:sz w:val="26"/>
                <w:szCs w:val="24"/>
              </w:rPr>
            </w:pPr>
            <w:r w:rsidRPr="005E2E72">
              <w:rPr>
                <w:rFonts w:ascii="Times New Roman" w:hAnsi="Times New Roman" w:cs="Times New Roman"/>
                <w:b/>
                <w:iCs/>
                <w:sz w:val="26"/>
                <w:szCs w:val="24"/>
              </w:rPr>
              <w:t>Average Burden Hours &amp; Cost Per Response</w:t>
            </w:r>
            <w:bookmarkStart w:id="2" w:name="_Ref477435767"/>
            <w:r>
              <w:rPr>
                <w:rFonts w:ascii="Times New Roman" w:hAnsi="Times New Roman" w:cs="Times New Roman"/>
                <w:b/>
                <w:bCs/>
                <w:iCs/>
                <w:sz w:val="26"/>
                <w:szCs w:val="24"/>
                <w:vertAlign w:val="superscript"/>
              </w:rPr>
              <w:footnoteReference w:id="9"/>
            </w:r>
            <w:bookmarkEnd w:id="2"/>
          </w:p>
          <w:p w:rsidR="0001583D" w:rsidRPr="005E2E72" w:rsidP="009163A5" w14:paraId="1EFAEE51" w14:textId="77777777">
            <w:pPr>
              <w:spacing w:after="0" w:line="240" w:lineRule="auto"/>
              <w:jc w:val="center"/>
              <w:rPr>
                <w:rFonts w:ascii="Times New Roman" w:hAnsi="Times New Roman" w:cs="Times New Roman"/>
                <w:b/>
                <w:iCs/>
                <w:sz w:val="26"/>
                <w:szCs w:val="24"/>
              </w:rPr>
            </w:pPr>
            <w:r w:rsidRPr="005E2E72">
              <w:rPr>
                <w:rFonts w:ascii="Times New Roman" w:hAnsi="Times New Roman" w:cs="Times New Roman"/>
                <w:b/>
                <w:iCs/>
                <w:sz w:val="26"/>
                <w:szCs w:val="24"/>
              </w:rPr>
              <w:t>(4)</w:t>
            </w:r>
          </w:p>
        </w:tc>
        <w:tc>
          <w:tcPr>
            <w:tcW w:w="735" w:type="pct"/>
            <w:shd w:val="clear" w:color="auto" w:fill="D9D9D9"/>
            <w:vAlign w:val="bottom"/>
          </w:tcPr>
          <w:p w:rsidR="0001583D" w:rsidRPr="005E2E72" w:rsidP="009163A5" w14:paraId="1B955778" w14:textId="77777777">
            <w:pPr>
              <w:spacing w:after="0" w:line="240" w:lineRule="auto"/>
              <w:jc w:val="center"/>
              <w:rPr>
                <w:rFonts w:ascii="Times New Roman" w:hAnsi="Times New Roman" w:cs="Times New Roman"/>
                <w:b/>
                <w:iCs/>
                <w:sz w:val="26"/>
                <w:szCs w:val="24"/>
              </w:rPr>
            </w:pPr>
            <w:r w:rsidRPr="005E2E72">
              <w:rPr>
                <w:rFonts w:ascii="Times New Roman" w:hAnsi="Times New Roman" w:cs="Times New Roman"/>
                <w:b/>
                <w:iCs/>
                <w:sz w:val="26"/>
                <w:szCs w:val="24"/>
              </w:rPr>
              <w:t>Total Annual Burden Hours &amp; Total Annual Cost</w:t>
            </w:r>
          </w:p>
          <w:p w:rsidR="0001583D" w:rsidRPr="005E2E72" w:rsidP="009163A5" w14:paraId="4B49595B" w14:textId="77777777">
            <w:pPr>
              <w:spacing w:after="0" w:line="240" w:lineRule="auto"/>
              <w:jc w:val="center"/>
              <w:rPr>
                <w:rFonts w:ascii="Times New Roman" w:hAnsi="Times New Roman" w:cs="Times New Roman"/>
                <w:b/>
                <w:iCs/>
                <w:sz w:val="26"/>
                <w:szCs w:val="24"/>
              </w:rPr>
            </w:pPr>
            <w:r w:rsidRPr="005E2E72">
              <w:rPr>
                <w:rFonts w:ascii="Times New Roman" w:hAnsi="Times New Roman" w:cs="Times New Roman"/>
                <w:b/>
                <w:iCs/>
                <w:sz w:val="26"/>
                <w:szCs w:val="24"/>
              </w:rPr>
              <w:t>(3)*(4)=(5)</w:t>
            </w:r>
          </w:p>
        </w:tc>
      </w:tr>
      <w:tr w14:paraId="562F6991" w14:textId="77777777" w:rsidTr="0001583D">
        <w:tblPrEx>
          <w:tblW w:w="4993" w:type="pct"/>
          <w:tblInd w:w="-72" w:type="dxa"/>
          <w:tblLayout w:type="fixed"/>
          <w:tblLook w:val="01E0"/>
        </w:tblPrEx>
        <w:trPr>
          <w:cantSplit/>
          <w:trHeight w:val="1448"/>
        </w:trPr>
        <w:tc>
          <w:tcPr>
            <w:tcW w:w="998" w:type="pct"/>
            <w:shd w:val="clear" w:color="auto" w:fill="auto"/>
            <w:vAlign w:val="bottom"/>
          </w:tcPr>
          <w:p w:rsidR="0001583D" w:rsidRPr="005E2E72" w:rsidP="0001583D" w14:paraId="0B9960B5" w14:textId="77777777">
            <w:pPr>
              <w:spacing w:after="0" w:line="240" w:lineRule="auto"/>
              <w:jc w:val="center"/>
              <w:rPr>
                <w:rFonts w:ascii="Times New Roman" w:hAnsi="Times New Roman" w:cs="Times New Roman"/>
                <w:iCs/>
                <w:sz w:val="26"/>
                <w:szCs w:val="24"/>
              </w:rPr>
            </w:pPr>
            <w:r w:rsidRPr="005E2E72">
              <w:rPr>
                <w:rFonts w:ascii="Times New Roman" w:hAnsi="Times New Roman" w:cs="Times New Roman"/>
                <w:iCs/>
                <w:sz w:val="26"/>
                <w:szCs w:val="24"/>
              </w:rPr>
              <w:t>Open Access Same-Time Information (OASIS)</w:t>
            </w:r>
          </w:p>
        </w:tc>
        <w:tc>
          <w:tcPr>
            <w:tcW w:w="917" w:type="pct"/>
            <w:shd w:val="clear" w:color="auto" w:fill="auto"/>
            <w:vAlign w:val="bottom"/>
          </w:tcPr>
          <w:p w:rsidR="0001583D" w:rsidRPr="005E2E72" w:rsidP="0001583D" w14:paraId="161FA752" w14:textId="77777777">
            <w:pPr>
              <w:spacing w:after="0" w:line="240" w:lineRule="auto"/>
              <w:jc w:val="right"/>
              <w:rPr>
                <w:rFonts w:ascii="Times New Roman" w:hAnsi="Times New Roman" w:cs="Times New Roman"/>
                <w:iCs/>
                <w:sz w:val="26"/>
                <w:szCs w:val="24"/>
              </w:rPr>
            </w:pPr>
            <w:r w:rsidRPr="005E2E72">
              <w:rPr>
                <w:rFonts w:ascii="Times New Roman" w:hAnsi="Times New Roman" w:cs="Times New Roman"/>
                <w:iCs/>
                <w:sz w:val="26"/>
                <w:szCs w:val="24"/>
              </w:rPr>
              <w:t>216</w:t>
            </w:r>
          </w:p>
        </w:tc>
        <w:tc>
          <w:tcPr>
            <w:tcW w:w="878" w:type="pct"/>
            <w:shd w:val="clear" w:color="auto" w:fill="auto"/>
            <w:vAlign w:val="bottom"/>
          </w:tcPr>
          <w:p w:rsidR="0001583D" w:rsidRPr="005E2E72" w:rsidP="0001583D" w14:paraId="5762A4AB" w14:textId="77777777">
            <w:pPr>
              <w:spacing w:after="0" w:line="240" w:lineRule="auto"/>
              <w:jc w:val="right"/>
              <w:rPr>
                <w:rFonts w:ascii="Times New Roman" w:hAnsi="Times New Roman" w:cs="Times New Roman"/>
                <w:iCs/>
                <w:sz w:val="26"/>
                <w:szCs w:val="24"/>
              </w:rPr>
            </w:pPr>
            <w:r w:rsidRPr="005E2E72">
              <w:rPr>
                <w:rFonts w:ascii="Times New Roman" w:hAnsi="Times New Roman" w:cs="Times New Roman"/>
                <w:iCs/>
                <w:sz w:val="26"/>
                <w:szCs w:val="24"/>
              </w:rPr>
              <w:t>1</w:t>
            </w:r>
          </w:p>
        </w:tc>
        <w:tc>
          <w:tcPr>
            <w:tcW w:w="736" w:type="pct"/>
            <w:shd w:val="clear" w:color="auto" w:fill="auto"/>
            <w:vAlign w:val="bottom"/>
          </w:tcPr>
          <w:p w:rsidR="0001583D" w:rsidRPr="005E2E72" w:rsidP="0001583D" w14:paraId="7E541094" w14:textId="77777777">
            <w:pPr>
              <w:spacing w:after="0" w:line="240" w:lineRule="auto"/>
              <w:jc w:val="right"/>
              <w:rPr>
                <w:rFonts w:ascii="Times New Roman" w:hAnsi="Times New Roman" w:cs="Times New Roman"/>
                <w:iCs/>
                <w:sz w:val="26"/>
                <w:szCs w:val="24"/>
              </w:rPr>
            </w:pPr>
            <w:r w:rsidRPr="005E2E72">
              <w:rPr>
                <w:rFonts w:ascii="Times New Roman" w:hAnsi="Times New Roman" w:cs="Times New Roman"/>
                <w:iCs/>
                <w:sz w:val="26"/>
                <w:szCs w:val="24"/>
              </w:rPr>
              <w:t>216</w:t>
            </w:r>
          </w:p>
        </w:tc>
        <w:tc>
          <w:tcPr>
            <w:tcW w:w="736" w:type="pct"/>
            <w:shd w:val="clear" w:color="auto" w:fill="auto"/>
            <w:vAlign w:val="bottom"/>
          </w:tcPr>
          <w:p w:rsidR="0001583D" w:rsidRPr="005E2E72" w:rsidP="0001583D" w14:paraId="7A0D0382" w14:textId="77777777">
            <w:pPr>
              <w:spacing w:after="0" w:line="240" w:lineRule="auto"/>
              <w:jc w:val="right"/>
              <w:rPr>
                <w:rFonts w:ascii="Times New Roman" w:hAnsi="Times New Roman" w:cs="Times New Roman"/>
                <w:iCs/>
                <w:sz w:val="26"/>
                <w:szCs w:val="24"/>
              </w:rPr>
            </w:pPr>
            <w:r w:rsidRPr="005E2E72">
              <w:rPr>
                <w:rFonts w:ascii="Times New Roman" w:hAnsi="Times New Roman" w:cs="Times New Roman"/>
                <w:iCs/>
                <w:sz w:val="26"/>
                <w:szCs w:val="24"/>
              </w:rPr>
              <w:t>30 hrs.;</w:t>
            </w:r>
          </w:p>
          <w:p w:rsidR="0001583D" w:rsidRPr="005E2E72" w:rsidP="0001583D" w14:paraId="604C9B45" w14:textId="77777777">
            <w:pPr>
              <w:spacing w:after="0" w:line="240" w:lineRule="auto"/>
              <w:jc w:val="right"/>
              <w:rPr>
                <w:rFonts w:ascii="Times New Roman" w:hAnsi="Times New Roman" w:cs="Times New Roman"/>
                <w:iCs/>
                <w:sz w:val="26"/>
                <w:szCs w:val="24"/>
              </w:rPr>
            </w:pPr>
            <w:r w:rsidRPr="005E2E72">
              <w:rPr>
                <w:rFonts w:ascii="Times New Roman" w:hAnsi="Times New Roman" w:cs="Times New Roman"/>
                <w:iCs/>
                <w:sz w:val="26"/>
                <w:szCs w:val="24"/>
              </w:rPr>
              <w:t>$2,880</w:t>
            </w:r>
          </w:p>
        </w:tc>
        <w:tc>
          <w:tcPr>
            <w:tcW w:w="735" w:type="pct"/>
            <w:shd w:val="clear" w:color="auto" w:fill="auto"/>
            <w:vAlign w:val="bottom"/>
          </w:tcPr>
          <w:p w:rsidR="0001583D" w:rsidRPr="005E2E72" w:rsidP="0001583D" w14:paraId="75ED8872" w14:textId="77777777">
            <w:pPr>
              <w:spacing w:after="0" w:line="240" w:lineRule="auto"/>
              <w:jc w:val="right"/>
              <w:rPr>
                <w:rFonts w:ascii="Times New Roman" w:hAnsi="Times New Roman" w:cs="Times New Roman"/>
                <w:iCs/>
                <w:sz w:val="26"/>
                <w:szCs w:val="24"/>
              </w:rPr>
            </w:pPr>
            <w:r w:rsidRPr="005E2E72">
              <w:rPr>
                <w:rFonts w:ascii="Times New Roman" w:hAnsi="Times New Roman" w:cs="Times New Roman"/>
                <w:iCs/>
                <w:sz w:val="26"/>
                <w:szCs w:val="24"/>
              </w:rPr>
              <w:t>6,480 hrs.;</w:t>
            </w:r>
          </w:p>
          <w:p w:rsidR="0001583D" w:rsidRPr="005E2E72" w:rsidP="0001583D" w14:paraId="34986A36" w14:textId="77777777">
            <w:pPr>
              <w:spacing w:after="0" w:line="240" w:lineRule="auto"/>
              <w:jc w:val="right"/>
              <w:rPr>
                <w:rFonts w:ascii="Times New Roman" w:hAnsi="Times New Roman" w:cs="Times New Roman"/>
                <w:iCs/>
                <w:sz w:val="26"/>
                <w:szCs w:val="24"/>
              </w:rPr>
            </w:pPr>
            <w:r w:rsidRPr="005E2E72">
              <w:rPr>
                <w:rFonts w:ascii="Times New Roman" w:hAnsi="Times New Roman" w:cs="Times New Roman"/>
                <w:iCs/>
                <w:sz w:val="26"/>
                <w:szCs w:val="24"/>
              </w:rPr>
              <w:t>$622,080</w:t>
            </w:r>
          </w:p>
        </w:tc>
      </w:tr>
    </w:tbl>
    <w:p w:rsidR="0017704A" w:rsidRPr="005E2E72" w:rsidP="0017704A" w14:paraId="24B5EF48" w14:textId="77777777">
      <w:pPr>
        <w:spacing w:after="0" w:line="240" w:lineRule="auto"/>
        <w:rPr>
          <w:rFonts w:ascii="Times New Roman" w:hAnsi="Times New Roman" w:cs="Times New Roman"/>
          <w:b/>
          <w:sz w:val="26"/>
          <w:szCs w:val="24"/>
        </w:rPr>
      </w:pPr>
    </w:p>
    <w:p w:rsidR="0066266D" w:rsidRPr="005E2E72" w:rsidP="00917277" w14:paraId="5D186A9E" w14:textId="77777777">
      <w:pPr>
        <w:spacing w:after="0" w:line="240" w:lineRule="auto"/>
        <w:rPr>
          <w:rFonts w:ascii="Times New Roman" w:hAnsi="Times New Roman" w:cs="Times New Roman"/>
          <w:sz w:val="26"/>
          <w:szCs w:val="24"/>
        </w:rPr>
      </w:pPr>
    </w:p>
    <w:p w:rsidR="0066266D" w:rsidRPr="005E2E72" w:rsidP="00917277" w14:paraId="0CBF080B" w14:textId="77777777">
      <w:pPr>
        <w:pStyle w:val="ListParagraph"/>
        <w:numPr>
          <w:ilvl w:val="0"/>
          <w:numId w:val="1"/>
        </w:numPr>
        <w:spacing w:after="0" w:line="240" w:lineRule="auto"/>
        <w:ind w:left="360"/>
        <w:rPr>
          <w:rFonts w:ascii="Times New Roman" w:hAnsi="Times New Roman" w:cs="Times New Roman"/>
          <w:b/>
          <w:sz w:val="26"/>
          <w:szCs w:val="24"/>
        </w:rPr>
      </w:pPr>
      <w:r w:rsidRPr="005E2E72">
        <w:rPr>
          <w:rFonts w:ascii="Times New Roman" w:hAnsi="Times New Roman" w:cs="Times New Roman"/>
          <w:b/>
          <w:sz w:val="26"/>
          <w:szCs w:val="24"/>
        </w:rPr>
        <w:t>ESTIMATE OF THE TOTAL ANNUAL COST BURDEN TO RESPONDENTS</w:t>
      </w:r>
    </w:p>
    <w:p w:rsidR="0066266D" w:rsidRPr="005E2E72" w:rsidP="00917277" w14:paraId="17A43CE7" w14:textId="77777777">
      <w:pPr>
        <w:spacing w:after="0" w:line="240" w:lineRule="auto"/>
        <w:rPr>
          <w:rFonts w:ascii="Times New Roman" w:hAnsi="Times New Roman" w:cs="Times New Roman"/>
          <w:sz w:val="26"/>
          <w:szCs w:val="24"/>
        </w:rPr>
      </w:pPr>
    </w:p>
    <w:p w:rsidR="0066266D" w:rsidRPr="005E2E72" w:rsidP="00917277" w14:paraId="19A20E8D" w14:textId="47411600">
      <w:pPr>
        <w:spacing w:after="0" w:line="240" w:lineRule="auto"/>
        <w:rPr>
          <w:rFonts w:ascii="Times New Roman" w:hAnsi="Times New Roman" w:cs="Times New Roman"/>
          <w:sz w:val="26"/>
          <w:szCs w:val="24"/>
        </w:rPr>
      </w:pPr>
      <w:r w:rsidRPr="005E2E72">
        <w:rPr>
          <w:rFonts w:ascii="Times New Roman" w:hAnsi="Times New Roman" w:cs="Times New Roman"/>
          <w:sz w:val="26"/>
          <w:szCs w:val="24"/>
        </w:rPr>
        <w:t>There are no non-labor costs currently associated with the either the FERC-717.</w:t>
      </w:r>
    </w:p>
    <w:p w:rsidR="0066266D" w:rsidRPr="005E2E72" w:rsidP="00917277" w14:paraId="7914EE97" w14:textId="626400C5">
      <w:pPr>
        <w:spacing w:after="0" w:line="240" w:lineRule="auto"/>
        <w:rPr>
          <w:rFonts w:ascii="Times New Roman" w:hAnsi="Times New Roman" w:cs="Times New Roman"/>
          <w:sz w:val="26"/>
          <w:szCs w:val="24"/>
        </w:rPr>
      </w:pPr>
      <w:r w:rsidRPr="005E2E72">
        <w:rPr>
          <w:rFonts w:ascii="Times New Roman" w:hAnsi="Times New Roman" w:cs="Times New Roman"/>
          <w:sz w:val="26"/>
          <w:szCs w:val="24"/>
        </w:rPr>
        <w:t>All of the costs are associated with labor and are shown in Questions #12 and 15.</w:t>
      </w:r>
    </w:p>
    <w:p w:rsidR="0066266D" w:rsidRPr="005E2E72" w:rsidP="00917277" w14:paraId="33121FFA" w14:textId="77777777">
      <w:pPr>
        <w:spacing w:after="0" w:line="240" w:lineRule="auto"/>
        <w:rPr>
          <w:rFonts w:ascii="Times New Roman" w:hAnsi="Times New Roman" w:cs="Times New Roman"/>
          <w:sz w:val="26"/>
          <w:szCs w:val="24"/>
        </w:rPr>
      </w:pPr>
    </w:p>
    <w:p w:rsidR="0066266D" w:rsidRPr="005E2E72" w:rsidP="00917277" w14:paraId="061CE844" w14:textId="5AD95B90">
      <w:pPr>
        <w:pStyle w:val="ListParagraph"/>
        <w:numPr>
          <w:ilvl w:val="0"/>
          <w:numId w:val="1"/>
        </w:numPr>
        <w:spacing w:after="0" w:line="240" w:lineRule="auto"/>
        <w:ind w:left="360"/>
        <w:rPr>
          <w:rFonts w:ascii="Times New Roman" w:hAnsi="Times New Roman" w:cs="Times New Roman"/>
          <w:b/>
          <w:sz w:val="26"/>
          <w:szCs w:val="24"/>
        </w:rPr>
      </w:pPr>
      <w:r w:rsidRPr="005E2E72">
        <w:rPr>
          <w:rFonts w:ascii="Times New Roman" w:hAnsi="Times New Roman" w:cs="Times New Roman"/>
          <w:b/>
          <w:sz w:val="26"/>
          <w:szCs w:val="24"/>
        </w:rPr>
        <w:t>ESTIMATED ANNUALIZED COST TO FEDERAL GOVERNMENT</w:t>
      </w:r>
    </w:p>
    <w:p w:rsidR="00B9327E" w:rsidRPr="005E2E72" w:rsidP="00917277" w14:paraId="5F9A8DDC" w14:textId="77777777">
      <w:pPr>
        <w:pStyle w:val="ListParagraph"/>
        <w:spacing w:after="0" w:line="240" w:lineRule="auto"/>
        <w:ind w:left="360"/>
        <w:rPr>
          <w:rFonts w:ascii="Times New Roman" w:hAnsi="Times New Roman" w:cs="Times New Roman"/>
          <w:b/>
          <w:sz w:val="26"/>
          <w:szCs w:val="24"/>
        </w:rPr>
      </w:pPr>
    </w:p>
    <w:p w:rsidR="0066266D" w:rsidRPr="005E2E72" w:rsidP="00917277" w14:paraId="1E071A80" w14:textId="77777777">
      <w:pPr>
        <w:spacing w:after="0" w:line="240" w:lineRule="auto"/>
        <w:rPr>
          <w:rFonts w:ascii="Times New Roman" w:hAnsi="Times New Roman" w:cs="Times New Roman"/>
          <w:sz w:val="26"/>
          <w:szCs w:val="24"/>
        </w:rPr>
      </w:pPr>
      <w:r w:rsidRPr="005E2E72">
        <w:rPr>
          <w:rFonts w:ascii="Times New Roman" w:hAnsi="Times New Roman" w:cs="Times New Roman"/>
          <w:sz w:val="26"/>
          <w:szCs w:val="24"/>
        </w:rPr>
        <w:t xml:space="preserve">The Commission bases its estimate of the ‘Analysis and Processing of filings’ cost to the Federal Government on salaries and benefits for professional and clerical support.  This estimated cost represents staff analysis, decision making, and review of any actual filings made in response to the Final Rule.  </w:t>
      </w:r>
    </w:p>
    <w:p w:rsidR="0066266D" w:rsidRPr="005E2E72" w:rsidP="00917277" w14:paraId="119050E8" w14:textId="77777777">
      <w:pPr>
        <w:spacing w:after="0" w:line="240" w:lineRule="auto"/>
        <w:rPr>
          <w:rFonts w:ascii="Times New Roman" w:hAnsi="Times New Roman" w:cs="Times New Roman"/>
          <w:sz w:val="26"/>
          <w:szCs w:val="24"/>
        </w:rPr>
      </w:pPr>
    </w:p>
    <w:p w:rsidR="0066266D" w:rsidRPr="005E2E72" w:rsidP="00917277" w14:paraId="687C94CB" w14:textId="77777777">
      <w:pPr>
        <w:spacing w:after="0" w:line="240" w:lineRule="auto"/>
        <w:rPr>
          <w:rFonts w:ascii="Times New Roman" w:hAnsi="Times New Roman" w:cs="Times New Roman"/>
          <w:sz w:val="26"/>
          <w:szCs w:val="24"/>
        </w:rPr>
      </w:pPr>
      <w:r w:rsidRPr="005E2E72">
        <w:rPr>
          <w:rFonts w:ascii="Times New Roman" w:hAnsi="Times New Roman" w:cs="Times New Roman"/>
          <w:sz w:val="26"/>
          <w:szCs w:val="24"/>
        </w:rPr>
        <w:t>The PRA Administrative Cost is a Federal Cost associated with preparing, issuing, and submitting materials necessary to comply with the PRA for rulemakings, orders, or any other vehicle used to create, modify, extend, or discontinue an information collection.  This average annual cost includes requests for extensions, all associated rulemakings and orders, other changes to the collection, and associated publications in the Federal Register.  This estimate is updated annually.</w:t>
      </w:r>
    </w:p>
    <w:p w:rsidR="0066266D" w:rsidRPr="005E2E72" w:rsidP="00917277" w14:paraId="0E6518A6" w14:textId="77777777">
      <w:pPr>
        <w:spacing w:after="0" w:line="240" w:lineRule="auto"/>
        <w:rPr>
          <w:rFonts w:ascii="Times New Roman" w:hAnsi="Times New Roman" w:cs="Times New Roman"/>
          <w:sz w:val="26"/>
          <w:szCs w:val="24"/>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82"/>
        <w:gridCol w:w="3201"/>
        <w:gridCol w:w="2995"/>
      </w:tblGrid>
      <w:tr w14:paraId="49B59554" w14:textId="77777777">
        <w:tblPrEx>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3182" w:type="dxa"/>
            <w:tcBorders>
              <w:top w:val="single" w:sz="4" w:space="0" w:color="auto"/>
              <w:left w:val="single" w:sz="4" w:space="0" w:color="auto"/>
              <w:bottom w:val="single" w:sz="4" w:space="0" w:color="auto"/>
              <w:right w:val="single" w:sz="4" w:space="0" w:color="auto"/>
            </w:tcBorders>
            <w:shd w:val="clear" w:color="auto" w:fill="CCCCCC"/>
          </w:tcPr>
          <w:p w:rsidR="0066266D" w:rsidRPr="005E2E72" w:rsidP="00917277" w14:paraId="576F572B" w14:textId="77777777">
            <w:pPr>
              <w:spacing w:after="0" w:line="240" w:lineRule="auto"/>
              <w:rPr>
                <w:rFonts w:ascii="Times New Roman" w:hAnsi="Times New Roman" w:cs="Times New Roman"/>
                <w:sz w:val="26"/>
                <w:szCs w:val="24"/>
              </w:rPr>
            </w:pPr>
          </w:p>
        </w:tc>
        <w:tc>
          <w:tcPr>
            <w:tcW w:w="3201" w:type="dxa"/>
            <w:tcBorders>
              <w:top w:val="single" w:sz="4" w:space="0" w:color="auto"/>
              <w:left w:val="single" w:sz="4" w:space="0" w:color="auto"/>
              <w:bottom w:val="single" w:sz="4" w:space="0" w:color="auto"/>
              <w:right w:val="single" w:sz="4" w:space="0" w:color="auto"/>
            </w:tcBorders>
            <w:shd w:val="clear" w:color="auto" w:fill="CCCCCC"/>
            <w:hideMark/>
          </w:tcPr>
          <w:p w:rsidR="0066266D" w:rsidRPr="005E2E72" w:rsidP="00917277" w14:paraId="656FF5AB" w14:textId="77777777">
            <w:pPr>
              <w:spacing w:after="0" w:line="240" w:lineRule="auto"/>
              <w:jc w:val="center"/>
              <w:rPr>
                <w:rFonts w:ascii="Times New Roman" w:hAnsi="Times New Roman" w:cs="Times New Roman"/>
                <w:b/>
                <w:sz w:val="26"/>
                <w:szCs w:val="24"/>
              </w:rPr>
            </w:pPr>
            <w:r w:rsidRPr="005E2E72">
              <w:rPr>
                <w:rFonts w:ascii="Times New Roman" w:hAnsi="Times New Roman" w:cs="Times New Roman"/>
                <w:b/>
                <w:sz w:val="26"/>
                <w:szCs w:val="24"/>
              </w:rPr>
              <w:t>Number of Full-Time Equivalent Employees (FTEs)</w:t>
            </w:r>
          </w:p>
        </w:tc>
        <w:tc>
          <w:tcPr>
            <w:tcW w:w="2995" w:type="dxa"/>
            <w:tcBorders>
              <w:top w:val="single" w:sz="4" w:space="0" w:color="auto"/>
              <w:left w:val="single" w:sz="4" w:space="0" w:color="auto"/>
              <w:bottom w:val="single" w:sz="4" w:space="0" w:color="auto"/>
              <w:right w:val="single" w:sz="4" w:space="0" w:color="auto"/>
            </w:tcBorders>
            <w:shd w:val="clear" w:color="auto" w:fill="CCCCCC"/>
            <w:hideMark/>
          </w:tcPr>
          <w:p w:rsidR="0066266D" w:rsidRPr="005E2E72" w:rsidP="00917277" w14:paraId="1330944A" w14:textId="77777777">
            <w:pPr>
              <w:spacing w:after="0" w:line="240" w:lineRule="auto"/>
              <w:jc w:val="center"/>
              <w:rPr>
                <w:rFonts w:ascii="Times New Roman" w:hAnsi="Times New Roman" w:cs="Times New Roman"/>
                <w:b/>
                <w:sz w:val="26"/>
                <w:szCs w:val="24"/>
              </w:rPr>
            </w:pPr>
            <w:r w:rsidRPr="005E2E72">
              <w:rPr>
                <w:rFonts w:ascii="Times New Roman" w:hAnsi="Times New Roman" w:cs="Times New Roman"/>
                <w:b/>
                <w:sz w:val="26"/>
                <w:szCs w:val="24"/>
              </w:rPr>
              <w:t>Estimated Annual Federal Cost</w:t>
            </w:r>
            <w:r>
              <w:rPr>
                <w:rStyle w:val="FootnoteReference"/>
                <w:rFonts w:ascii="Times New Roman" w:hAnsi="Times New Roman" w:cs="Times New Roman"/>
                <w:b/>
                <w:sz w:val="26"/>
                <w:szCs w:val="24"/>
                <w:vertAlign w:val="superscript"/>
              </w:rPr>
              <w:footnoteReference w:id="10"/>
            </w:r>
          </w:p>
        </w:tc>
      </w:tr>
      <w:tr w14:paraId="7512677B" w14:textId="77777777">
        <w:tblPrEx>
          <w:tblW w:w="9378" w:type="dxa"/>
          <w:tblLook w:val="01E0"/>
        </w:tblPrEx>
        <w:tc>
          <w:tcPr>
            <w:tcW w:w="3182" w:type="dxa"/>
            <w:tcBorders>
              <w:top w:val="single" w:sz="4" w:space="0" w:color="auto"/>
              <w:left w:val="single" w:sz="4" w:space="0" w:color="auto"/>
              <w:bottom w:val="single" w:sz="4" w:space="0" w:color="auto"/>
              <w:right w:val="single" w:sz="4" w:space="0" w:color="auto"/>
            </w:tcBorders>
          </w:tcPr>
          <w:p w:rsidR="0066266D" w:rsidRPr="005E2E72" w:rsidP="00917277" w14:paraId="5AAA9E79" w14:textId="77777777">
            <w:pPr>
              <w:spacing w:after="0" w:line="240" w:lineRule="auto"/>
              <w:rPr>
                <w:rFonts w:ascii="Times New Roman" w:hAnsi="Times New Roman" w:cs="Times New Roman"/>
                <w:sz w:val="26"/>
                <w:szCs w:val="24"/>
              </w:rPr>
            </w:pPr>
            <w:r w:rsidRPr="005E2E72">
              <w:rPr>
                <w:rFonts w:ascii="Times New Roman" w:hAnsi="Times New Roman" w:cs="Times New Roman"/>
                <w:sz w:val="26"/>
                <w:szCs w:val="24"/>
              </w:rPr>
              <w:t>FERC-717, Analysis and Processing of filings</w:t>
            </w:r>
          </w:p>
        </w:tc>
        <w:tc>
          <w:tcPr>
            <w:tcW w:w="3201" w:type="dxa"/>
            <w:tcBorders>
              <w:top w:val="single" w:sz="4" w:space="0" w:color="auto"/>
              <w:left w:val="single" w:sz="4" w:space="0" w:color="auto"/>
              <w:bottom w:val="single" w:sz="4" w:space="0" w:color="auto"/>
              <w:right w:val="single" w:sz="4" w:space="0" w:color="auto"/>
            </w:tcBorders>
            <w:vAlign w:val="bottom"/>
          </w:tcPr>
          <w:p w:rsidR="0066266D" w:rsidRPr="005E2E72" w:rsidP="00917277" w14:paraId="5E8E7D98" w14:textId="77777777">
            <w:pPr>
              <w:spacing w:after="0" w:line="240" w:lineRule="auto"/>
              <w:jc w:val="right"/>
              <w:rPr>
                <w:rFonts w:ascii="Times New Roman" w:hAnsi="Times New Roman" w:cs="Times New Roman"/>
                <w:sz w:val="26"/>
                <w:szCs w:val="24"/>
              </w:rPr>
            </w:pPr>
            <w:r w:rsidRPr="005E2E72">
              <w:rPr>
                <w:rFonts w:ascii="Times New Roman" w:hAnsi="Times New Roman" w:cs="Times New Roman"/>
                <w:sz w:val="26"/>
                <w:szCs w:val="24"/>
              </w:rPr>
              <w:t>0.5</w:t>
            </w:r>
          </w:p>
        </w:tc>
        <w:tc>
          <w:tcPr>
            <w:tcW w:w="2995" w:type="dxa"/>
            <w:tcBorders>
              <w:top w:val="single" w:sz="4" w:space="0" w:color="auto"/>
              <w:left w:val="single" w:sz="4" w:space="0" w:color="auto"/>
              <w:bottom w:val="single" w:sz="4" w:space="0" w:color="auto"/>
              <w:right w:val="single" w:sz="4" w:space="0" w:color="auto"/>
            </w:tcBorders>
            <w:vAlign w:val="bottom"/>
          </w:tcPr>
          <w:p w:rsidR="0066266D" w:rsidRPr="005E2E72" w:rsidP="00917277" w14:paraId="1B7510CE" w14:textId="662F7ECF">
            <w:pPr>
              <w:spacing w:after="0" w:line="240" w:lineRule="auto"/>
              <w:jc w:val="right"/>
              <w:rPr>
                <w:rFonts w:ascii="Times New Roman" w:hAnsi="Times New Roman" w:cs="Times New Roman"/>
                <w:sz w:val="26"/>
                <w:szCs w:val="24"/>
              </w:rPr>
            </w:pPr>
            <w:r w:rsidRPr="005E2E72">
              <w:rPr>
                <w:rFonts w:ascii="Times New Roman" w:hAnsi="Times New Roman" w:cs="Times New Roman"/>
                <w:sz w:val="26"/>
                <w:szCs w:val="24"/>
              </w:rPr>
              <w:t>$99,</w:t>
            </w:r>
            <w:r w:rsidRPr="005E2E72" w:rsidR="006E66D9">
              <w:rPr>
                <w:rFonts w:ascii="Times New Roman" w:hAnsi="Times New Roman" w:cs="Times New Roman"/>
                <w:sz w:val="26"/>
                <w:szCs w:val="24"/>
              </w:rPr>
              <w:t>933.50</w:t>
            </w:r>
          </w:p>
        </w:tc>
      </w:tr>
      <w:tr w14:paraId="43853883" w14:textId="77777777">
        <w:tblPrEx>
          <w:tblW w:w="9378" w:type="dxa"/>
          <w:tblLook w:val="01E0"/>
        </w:tblPrEx>
        <w:tc>
          <w:tcPr>
            <w:tcW w:w="3182" w:type="dxa"/>
            <w:tcBorders>
              <w:top w:val="single" w:sz="4" w:space="0" w:color="auto"/>
              <w:left w:val="single" w:sz="4" w:space="0" w:color="auto"/>
              <w:bottom w:val="single" w:sz="4" w:space="0" w:color="auto"/>
              <w:right w:val="single" w:sz="4" w:space="0" w:color="auto"/>
            </w:tcBorders>
            <w:hideMark/>
          </w:tcPr>
          <w:p w:rsidR="004D0259" w:rsidRPr="005E2E72" w:rsidP="00917277" w14:paraId="5E18BFCF" w14:textId="73E6CBF8">
            <w:pPr>
              <w:spacing w:after="0" w:line="240" w:lineRule="auto"/>
              <w:rPr>
                <w:rFonts w:ascii="Times New Roman" w:hAnsi="Times New Roman" w:cs="Times New Roman"/>
                <w:sz w:val="26"/>
                <w:szCs w:val="24"/>
              </w:rPr>
            </w:pPr>
            <w:r w:rsidRPr="005E2E72">
              <w:rPr>
                <w:rFonts w:ascii="Times New Roman" w:hAnsi="Times New Roman" w:cs="Times New Roman"/>
                <w:sz w:val="26"/>
                <w:szCs w:val="24"/>
              </w:rPr>
              <w:t>PRA Administrative Cost (for FERC-717)</w:t>
            </w:r>
          </w:p>
        </w:tc>
        <w:tc>
          <w:tcPr>
            <w:tcW w:w="3201"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4D0259" w:rsidRPr="005E2E72" w:rsidP="00917277" w14:paraId="76835837" w14:textId="77777777">
            <w:pPr>
              <w:spacing w:after="0" w:line="240" w:lineRule="auto"/>
              <w:jc w:val="right"/>
              <w:rPr>
                <w:rFonts w:ascii="Times New Roman" w:hAnsi="Times New Roman" w:cs="Times New Roman"/>
                <w:sz w:val="26"/>
                <w:szCs w:val="24"/>
              </w:rPr>
            </w:pPr>
          </w:p>
        </w:tc>
        <w:tc>
          <w:tcPr>
            <w:tcW w:w="2995" w:type="dxa"/>
            <w:tcBorders>
              <w:top w:val="single" w:sz="4" w:space="0" w:color="auto"/>
              <w:left w:val="single" w:sz="4" w:space="0" w:color="auto"/>
              <w:bottom w:val="single" w:sz="4" w:space="0" w:color="auto"/>
              <w:right w:val="single" w:sz="4" w:space="0" w:color="auto"/>
            </w:tcBorders>
            <w:vAlign w:val="center"/>
            <w:hideMark/>
          </w:tcPr>
          <w:p w:rsidR="004D0259" w:rsidRPr="005E2E72" w:rsidP="00917277" w14:paraId="27DC2507" w14:textId="50CD3C94">
            <w:pPr>
              <w:spacing w:after="0" w:line="240" w:lineRule="auto"/>
              <w:jc w:val="right"/>
              <w:rPr>
                <w:rFonts w:ascii="Times New Roman" w:hAnsi="Times New Roman" w:cs="Times New Roman"/>
                <w:sz w:val="26"/>
                <w:szCs w:val="24"/>
              </w:rPr>
            </w:pPr>
            <w:r w:rsidRPr="005E2E72">
              <w:rPr>
                <w:rFonts w:ascii="Times New Roman" w:hAnsi="Times New Roman" w:cs="Times New Roman"/>
                <w:sz w:val="26"/>
                <w:szCs w:val="24"/>
              </w:rPr>
              <w:t>$</w:t>
            </w:r>
            <w:r w:rsidRPr="005E2E72" w:rsidR="001F084A">
              <w:rPr>
                <w:rFonts w:ascii="Times New Roman" w:hAnsi="Times New Roman" w:cs="Times New Roman"/>
                <w:sz w:val="26"/>
                <w:szCs w:val="24"/>
              </w:rPr>
              <w:t>8,286</w:t>
            </w:r>
          </w:p>
        </w:tc>
      </w:tr>
      <w:tr w14:paraId="08BE77AF" w14:textId="77777777" w:rsidTr="007E30B7">
        <w:tblPrEx>
          <w:tblW w:w="9378" w:type="dxa"/>
          <w:tblLook w:val="01E0"/>
        </w:tblPrEx>
        <w:tc>
          <w:tcPr>
            <w:tcW w:w="3182" w:type="dxa"/>
            <w:tcBorders>
              <w:top w:val="single" w:sz="4" w:space="0" w:color="auto"/>
              <w:left w:val="single" w:sz="4" w:space="0" w:color="auto"/>
              <w:bottom w:val="single" w:sz="4" w:space="0" w:color="auto"/>
              <w:right w:val="single" w:sz="4" w:space="0" w:color="auto"/>
            </w:tcBorders>
          </w:tcPr>
          <w:p w:rsidR="004D0259" w:rsidRPr="005E2E72" w:rsidP="00917277" w14:paraId="68D5D18E" w14:textId="243E51D2">
            <w:pPr>
              <w:spacing w:after="0" w:line="240" w:lineRule="auto"/>
              <w:rPr>
                <w:rFonts w:ascii="Times New Roman" w:hAnsi="Times New Roman" w:cs="Times New Roman"/>
                <w:sz w:val="26"/>
                <w:szCs w:val="24"/>
              </w:rPr>
            </w:pPr>
            <w:r w:rsidRPr="005E2E72">
              <w:rPr>
                <w:rFonts w:ascii="Times New Roman" w:hAnsi="Times New Roman" w:cs="Times New Roman"/>
                <w:b/>
                <w:sz w:val="26"/>
                <w:szCs w:val="24"/>
              </w:rPr>
              <w:t>FERC Total</w:t>
            </w:r>
          </w:p>
        </w:tc>
        <w:tc>
          <w:tcPr>
            <w:tcW w:w="3201" w:type="dxa"/>
            <w:vMerge/>
            <w:tcBorders>
              <w:top w:val="single" w:sz="4" w:space="0" w:color="auto"/>
              <w:left w:val="single" w:sz="4" w:space="0" w:color="auto"/>
              <w:bottom w:val="single" w:sz="4" w:space="0" w:color="auto"/>
              <w:right w:val="single" w:sz="4" w:space="0" w:color="auto"/>
            </w:tcBorders>
            <w:vAlign w:val="center"/>
          </w:tcPr>
          <w:p w:rsidR="004D0259" w:rsidRPr="005E2E72" w:rsidP="00917277" w14:paraId="6DD517DD" w14:textId="77777777">
            <w:pPr>
              <w:spacing w:after="0" w:line="240" w:lineRule="auto"/>
              <w:rPr>
                <w:rFonts w:ascii="Times New Roman" w:hAnsi="Times New Roman" w:cs="Times New Roman"/>
                <w:sz w:val="26"/>
                <w:szCs w:val="24"/>
              </w:rPr>
            </w:pPr>
          </w:p>
        </w:tc>
        <w:tc>
          <w:tcPr>
            <w:tcW w:w="2995" w:type="dxa"/>
            <w:tcBorders>
              <w:top w:val="single" w:sz="4" w:space="0" w:color="auto"/>
              <w:left w:val="single" w:sz="4" w:space="0" w:color="auto"/>
              <w:bottom w:val="single" w:sz="4" w:space="0" w:color="auto"/>
              <w:right w:val="single" w:sz="4" w:space="0" w:color="auto"/>
            </w:tcBorders>
            <w:vAlign w:val="center"/>
          </w:tcPr>
          <w:p w:rsidR="004D0259" w:rsidRPr="005E2E72" w:rsidP="00917277" w14:paraId="23016CFA" w14:textId="44D28B27">
            <w:pPr>
              <w:spacing w:after="0" w:line="240" w:lineRule="auto"/>
              <w:jc w:val="right"/>
              <w:rPr>
                <w:rFonts w:ascii="Times New Roman" w:hAnsi="Times New Roman" w:cs="Times New Roman"/>
                <w:sz w:val="26"/>
                <w:szCs w:val="24"/>
              </w:rPr>
            </w:pPr>
            <w:r w:rsidRPr="005E2E72">
              <w:rPr>
                <w:rFonts w:ascii="Times New Roman" w:hAnsi="Times New Roman" w:cs="Times New Roman"/>
                <w:sz w:val="26"/>
                <w:szCs w:val="24"/>
              </w:rPr>
              <w:t>$</w:t>
            </w:r>
            <w:r w:rsidRPr="005E2E72" w:rsidR="00265B16">
              <w:rPr>
                <w:rFonts w:ascii="Times New Roman" w:hAnsi="Times New Roman" w:cs="Times New Roman"/>
                <w:sz w:val="26"/>
                <w:szCs w:val="24"/>
              </w:rPr>
              <w:t>108,219.50</w:t>
            </w:r>
          </w:p>
        </w:tc>
      </w:tr>
    </w:tbl>
    <w:p w:rsidR="0066266D" w:rsidRPr="005E2E72" w:rsidP="00917277" w14:paraId="39151BA9" w14:textId="77777777">
      <w:pPr>
        <w:spacing w:after="0" w:line="240" w:lineRule="auto"/>
        <w:rPr>
          <w:rFonts w:ascii="Times New Roman" w:hAnsi="Times New Roman" w:cs="Times New Roman"/>
          <w:sz w:val="26"/>
          <w:szCs w:val="24"/>
        </w:rPr>
      </w:pPr>
    </w:p>
    <w:p w:rsidR="0066266D" w:rsidRPr="005E2E72" w:rsidP="00917277" w14:paraId="2B5A7B8B" w14:textId="77777777">
      <w:pPr>
        <w:spacing w:after="0" w:line="240" w:lineRule="auto"/>
        <w:rPr>
          <w:rFonts w:ascii="Times New Roman" w:hAnsi="Times New Roman" w:cs="Times New Roman"/>
          <w:sz w:val="26"/>
          <w:szCs w:val="24"/>
        </w:rPr>
      </w:pPr>
    </w:p>
    <w:p w:rsidR="0066266D" w:rsidRPr="005E2E72" w:rsidP="00917277" w14:paraId="49424F40" w14:textId="22E06A94">
      <w:pPr>
        <w:pStyle w:val="ListParagraph"/>
        <w:numPr>
          <w:ilvl w:val="0"/>
          <w:numId w:val="1"/>
        </w:numPr>
        <w:spacing w:after="0" w:line="240" w:lineRule="auto"/>
        <w:ind w:left="360"/>
        <w:rPr>
          <w:rFonts w:ascii="Times New Roman" w:hAnsi="Times New Roman" w:cs="Times New Roman"/>
          <w:b/>
          <w:sz w:val="26"/>
          <w:szCs w:val="24"/>
        </w:rPr>
      </w:pPr>
      <w:r w:rsidRPr="005E2E72">
        <w:rPr>
          <w:rFonts w:ascii="Times New Roman" w:hAnsi="Times New Roman" w:cs="Times New Roman"/>
          <w:b/>
          <w:sz w:val="26"/>
          <w:szCs w:val="24"/>
        </w:rPr>
        <w:t>REASONS FOR CHANGES IN BURDEN INCLUDING THE NEED FOR ANY INCREASE</w:t>
      </w:r>
    </w:p>
    <w:p w:rsidR="00E1787A" w:rsidRPr="005E2E72" w:rsidP="00E1787A" w14:paraId="16658782" w14:textId="6DB76325">
      <w:pPr>
        <w:spacing w:after="0" w:line="240" w:lineRule="auto"/>
        <w:rPr>
          <w:rFonts w:ascii="Times New Roman" w:hAnsi="Times New Roman" w:cs="Times New Roman"/>
          <w:bCs/>
          <w:sz w:val="26"/>
          <w:szCs w:val="24"/>
        </w:rPr>
      </w:pPr>
    </w:p>
    <w:p w:rsidR="00E1787A" w:rsidRPr="005E2E72" w:rsidP="00E1787A" w14:paraId="636A8821" w14:textId="77777777">
      <w:pPr>
        <w:spacing w:after="0" w:line="240" w:lineRule="auto"/>
        <w:rPr>
          <w:rFonts w:ascii="Times New Roman" w:hAnsi="Times New Roman" w:cs="Times New Roman"/>
          <w:bCs/>
          <w:sz w:val="26"/>
          <w:szCs w:val="24"/>
        </w:rPr>
      </w:pPr>
      <w:r w:rsidRPr="005E2E72">
        <w:rPr>
          <w:rFonts w:ascii="Times New Roman" w:hAnsi="Times New Roman" w:cs="Times New Roman"/>
          <w:bCs/>
          <w:sz w:val="26"/>
          <w:szCs w:val="24"/>
        </w:rPr>
        <w:t>The previous information collection request (ICR Reference No. 202002-1902-006) in the year 2020 was approved by OMB with a one-time burden that was expected to be completed in Year One.  As averaged over a three-year period, the annual responses were estimated as 165 annually, 10 hours per response, and total hours of 1,650 hours.  These burdens are not included in this information collection request because all respondents have complied with that one-time burden.  The removal of those burdens constitutes a program change.</w:t>
      </w:r>
    </w:p>
    <w:p w:rsidR="00E1787A" w:rsidRPr="005E2E72" w:rsidP="00E1787A" w14:paraId="08F553C0" w14:textId="77777777">
      <w:pPr>
        <w:spacing w:after="0" w:line="240" w:lineRule="auto"/>
        <w:rPr>
          <w:rFonts w:ascii="Times New Roman" w:hAnsi="Times New Roman" w:cs="Times New Roman"/>
          <w:bCs/>
          <w:sz w:val="26"/>
          <w:szCs w:val="24"/>
        </w:rPr>
      </w:pPr>
    </w:p>
    <w:p w:rsidR="00485BE1" w:rsidRPr="005E2E72" w:rsidP="00E1787A" w14:paraId="2F636306" w14:textId="708E1868">
      <w:pPr>
        <w:spacing w:after="0" w:line="240" w:lineRule="auto"/>
        <w:rPr>
          <w:rFonts w:ascii="Times New Roman" w:hAnsi="Times New Roman" w:cs="Times New Roman"/>
          <w:bCs/>
          <w:sz w:val="26"/>
          <w:szCs w:val="24"/>
        </w:rPr>
      </w:pPr>
      <w:r w:rsidRPr="005E2E72">
        <w:rPr>
          <w:rFonts w:ascii="Times New Roman" w:hAnsi="Times New Roman" w:cs="Times New Roman"/>
          <w:bCs/>
          <w:sz w:val="26"/>
          <w:szCs w:val="24"/>
        </w:rPr>
        <w:t>The estimated annual number of responses for the ongoing information collection activity are adjusted in this information collection request from 162 to 216, an increase of 54 responses.  Based on a review of the information collection since our last submission, we have determined this change in number of responses is due to changes in the regulated industry.</w:t>
      </w:r>
    </w:p>
    <w:p w:rsidR="00485BE1" w:rsidRPr="005E2E72" w:rsidP="00E1787A" w14:paraId="164B4A17" w14:textId="61661504">
      <w:pPr>
        <w:spacing w:after="0" w:line="240" w:lineRule="auto"/>
        <w:rPr>
          <w:rFonts w:ascii="Times New Roman" w:hAnsi="Times New Roman" w:cs="Times New Roman"/>
          <w:bCs/>
          <w:sz w:val="26"/>
          <w:szCs w:val="24"/>
        </w:rPr>
      </w:pPr>
    </w:p>
    <w:p w:rsidR="00485BE1" w:rsidRPr="005E2E72" w:rsidP="00E1787A" w14:paraId="2441314B" w14:textId="6DC8903C">
      <w:pPr>
        <w:spacing w:after="0" w:line="240" w:lineRule="auto"/>
        <w:rPr>
          <w:rFonts w:ascii="Times New Roman" w:hAnsi="Times New Roman" w:cs="Times New Roman"/>
          <w:bCs/>
          <w:sz w:val="26"/>
          <w:szCs w:val="24"/>
        </w:rPr>
      </w:pPr>
      <w:r w:rsidRPr="005E2E72">
        <w:rPr>
          <w:rFonts w:ascii="Times New Roman" w:hAnsi="Times New Roman" w:cs="Times New Roman"/>
          <w:bCs/>
          <w:sz w:val="26"/>
          <w:szCs w:val="24"/>
        </w:rPr>
        <w:t xml:space="preserve">The net changes in the estimated annual burdens are </w:t>
      </w:r>
      <w:r w:rsidRPr="005E2E72" w:rsidR="00477002">
        <w:rPr>
          <w:rFonts w:ascii="Times New Roman" w:hAnsi="Times New Roman" w:cs="Times New Roman"/>
          <w:bCs/>
          <w:sz w:val="26"/>
          <w:szCs w:val="24"/>
        </w:rPr>
        <w:t xml:space="preserve">111 fewer responses and </w:t>
      </w:r>
      <w:r w:rsidRPr="005E2E72" w:rsidR="000C6663">
        <w:rPr>
          <w:rFonts w:ascii="Times New Roman" w:hAnsi="Times New Roman" w:cs="Times New Roman"/>
          <w:bCs/>
          <w:sz w:val="26"/>
          <w:szCs w:val="24"/>
        </w:rPr>
        <w:t>30 fewer burden hours.</w:t>
      </w:r>
      <w:r w:rsidRPr="005E2E72">
        <w:rPr>
          <w:rFonts w:ascii="Times New Roman" w:hAnsi="Times New Roman" w:cs="Times New Roman"/>
          <w:bCs/>
          <w:sz w:val="26"/>
          <w:szCs w:val="24"/>
        </w:rPr>
        <w:t xml:space="preserve"> </w:t>
      </w:r>
    </w:p>
    <w:p w:rsidR="00485BE1" w:rsidRPr="005E2E72" w14:paraId="23AFC60A" w14:textId="77777777">
      <w:pPr>
        <w:rPr>
          <w:rFonts w:ascii="Times New Roman" w:hAnsi="Times New Roman" w:cs="Times New Roman"/>
          <w:bCs/>
          <w:sz w:val="26"/>
          <w:szCs w:val="24"/>
        </w:rPr>
      </w:pPr>
      <w:r w:rsidRPr="005E2E72">
        <w:rPr>
          <w:rFonts w:ascii="Times New Roman" w:hAnsi="Times New Roman" w:cs="Times New Roman"/>
          <w:bCs/>
          <w:sz w:val="26"/>
          <w:szCs w:val="24"/>
        </w:rPr>
        <w:br w:type="page"/>
      </w:r>
    </w:p>
    <w:p w:rsidR="00E1787A" w:rsidRPr="005E2E72" w:rsidP="00E1787A" w14:paraId="0E956EC7" w14:textId="77777777">
      <w:pPr>
        <w:spacing w:after="0" w:line="240" w:lineRule="auto"/>
        <w:rPr>
          <w:rFonts w:ascii="Times New Roman" w:hAnsi="Times New Roman" w:cs="Times New Roman"/>
          <w:bCs/>
          <w:sz w:val="26"/>
          <w:szCs w:val="24"/>
        </w:rPr>
      </w:pPr>
    </w:p>
    <w:p w:rsidR="0066266D" w:rsidRPr="005E2E72" w:rsidP="00917277" w14:paraId="0FE7163B" w14:textId="77777777">
      <w:pPr>
        <w:spacing w:after="0" w:line="240" w:lineRule="auto"/>
        <w:rPr>
          <w:rFonts w:ascii="Times New Roman" w:hAnsi="Times New Roman" w:cs="Times New Roman"/>
          <w:sz w:val="26"/>
          <w:szCs w:val="24"/>
        </w:rPr>
      </w:pPr>
    </w:p>
    <w:tbl>
      <w:tblPr>
        <w:tblW w:w="93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47"/>
        <w:gridCol w:w="1710"/>
        <w:gridCol w:w="1800"/>
        <w:gridCol w:w="1890"/>
        <w:gridCol w:w="1920"/>
      </w:tblGrid>
      <w:tr w14:paraId="000B973F" w14:textId="77777777" w:rsidTr="00385185">
        <w:tblPrEx>
          <w:tblW w:w="93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870"/>
        </w:trPr>
        <w:tc>
          <w:tcPr>
            <w:tcW w:w="2047" w:type="dxa"/>
            <w:shd w:val="clear" w:color="auto" w:fill="D9D9D9"/>
            <w:vAlign w:val="bottom"/>
          </w:tcPr>
          <w:p w:rsidR="0066266D" w:rsidRPr="005E2E72" w:rsidP="008A4DE7" w14:paraId="68373E40" w14:textId="77777777">
            <w:pPr>
              <w:spacing w:after="0" w:line="240" w:lineRule="auto"/>
              <w:jc w:val="center"/>
              <w:rPr>
                <w:rFonts w:ascii="Times New Roman" w:hAnsi="Times New Roman" w:cs="Times New Roman"/>
                <w:b/>
                <w:sz w:val="26"/>
                <w:szCs w:val="24"/>
              </w:rPr>
            </w:pPr>
            <w:r w:rsidRPr="005E2E72">
              <w:rPr>
                <w:rFonts w:ascii="Times New Roman" w:hAnsi="Times New Roman" w:cs="Times New Roman"/>
                <w:b/>
                <w:sz w:val="26"/>
                <w:szCs w:val="24"/>
              </w:rPr>
              <w:t>FERC-717</w:t>
            </w:r>
          </w:p>
        </w:tc>
        <w:tc>
          <w:tcPr>
            <w:tcW w:w="1710" w:type="dxa"/>
            <w:shd w:val="clear" w:color="auto" w:fill="D9D9D9"/>
            <w:vAlign w:val="bottom"/>
          </w:tcPr>
          <w:p w:rsidR="0066266D" w:rsidRPr="005E2E72" w:rsidP="008A4DE7" w14:paraId="2A5C01CE" w14:textId="77777777">
            <w:pPr>
              <w:spacing w:after="0" w:line="240" w:lineRule="auto"/>
              <w:jc w:val="center"/>
              <w:rPr>
                <w:rFonts w:ascii="Times New Roman" w:hAnsi="Times New Roman" w:cs="Times New Roman"/>
                <w:b/>
                <w:sz w:val="26"/>
                <w:szCs w:val="24"/>
              </w:rPr>
            </w:pPr>
            <w:r w:rsidRPr="005E2E72">
              <w:rPr>
                <w:rFonts w:ascii="Times New Roman" w:hAnsi="Times New Roman" w:cs="Times New Roman"/>
                <w:b/>
                <w:sz w:val="26"/>
                <w:szCs w:val="24"/>
              </w:rPr>
              <w:t>Total Request</w:t>
            </w:r>
          </w:p>
        </w:tc>
        <w:tc>
          <w:tcPr>
            <w:tcW w:w="1800" w:type="dxa"/>
            <w:shd w:val="clear" w:color="auto" w:fill="D9D9D9"/>
            <w:vAlign w:val="bottom"/>
          </w:tcPr>
          <w:p w:rsidR="0066266D" w:rsidRPr="005E2E72" w:rsidP="008A4DE7" w14:paraId="26BE0C89" w14:textId="77777777">
            <w:pPr>
              <w:spacing w:after="0" w:line="240" w:lineRule="auto"/>
              <w:jc w:val="center"/>
              <w:rPr>
                <w:rFonts w:ascii="Times New Roman" w:hAnsi="Times New Roman" w:cs="Times New Roman"/>
                <w:b/>
                <w:sz w:val="26"/>
                <w:szCs w:val="24"/>
              </w:rPr>
            </w:pPr>
            <w:r w:rsidRPr="005E2E72">
              <w:rPr>
                <w:rFonts w:ascii="Times New Roman" w:hAnsi="Times New Roman" w:cs="Times New Roman"/>
                <w:b/>
                <w:sz w:val="26"/>
                <w:szCs w:val="24"/>
              </w:rPr>
              <w:t>Previously Approved</w:t>
            </w:r>
          </w:p>
        </w:tc>
        <w:tc>
          <w:tcPr>
            <w:tcW w:w="1890" w:type="dxa"/>
            <w:shd w:val="clear" w:color="auto" w:fill="D9D9D9"/>
            <w:vAlign w:val="bottom"/>
          </w:tcPr>
          <w:p w:rsidR="0066266D" w:rsidRPr="005E2E72" w:rsidP="008A4DE7" w14:paraId="63F3AF4C" w14:textId="77777777">
            <w:pPr>
              <w:spacing w:after="0" w:line="240" w:lineRule="auto"/>
              <w:jc w:val="center"/>
              <w:rPr>
                <w:rFonts w:ascii="Times New Roman" w:hAnsi="Times New Roman" w:cs="Times New Roman"/>
                <w:b/>
                <w:sz w:val="26"/>
                <w:szCs w:val="24"/>
              </w:rPr>
            </w:pPr>
            <w:r w:rsidRPr="005E2E72">
              <w:rPr>
                <w:rFonts w:ascii="Times New Roman" w:hAnsi="Times New Roman" w:cs="Times New Roman"/>
                <w:b/>
                <w:sz w:val="26"/>
                <w:szCs w:val="24"/>
              </w:rPr>
              <w:t>Change due to Adjustment in Estimate</w:t>
            </w:r>
          </w:p>
        </w:tc>
        <w:tc>
          <w:tcPr>
            <w:tcW w:w="1920" w:type="dxa"/>
            <w:shd w:val="clear" w:color="auto" w:fill="D9D9D9"/>
            <w:vAlign w:val="bottom"/>
          </w:tcPr>
          <w:p w:rsidR="0066266D" w:rsidRPr="005E2E72" w:rsidP="008A4DE7" w14:paraId="1698D40C" w14:textId="77777777">
            <w:pPr>
              <w:spacing w:after="0" w:line="240" w:lineRule="auto"/>
              <w:jc w:val="center"/>
              <w:rPr>
                <w:rFonts w:ascii="Times New Roman" w:hAnsi="Times New Roman" w:cs="Times New Roman"/>
                <w:b/>
                <w:sz w:val="26"/>
                <w:szCs w:val="24"/>
              </w:rPr>
            </w:pPr>
            <w:r w:rsidRPr="005E2E72">
              <w:rPr>
                <w:rFonts w:ascii="Times New Roman" w:hAnsi="Times New Roman" w:cs="Times New Roman"/>
                <w:b/>
                <w:sz w:val="26"/>
                <w:szCs w:val="24"/>
              </w:rPr>
              <w:t>Change Due to Agency Discretion</w:t>
            </w:r>
          </w:p>
        </w:tc>
      </w:tr>
      <w:tr w14:paraId="5AC49EF1" w14:textId="77777777" w:rsidTr="00700866">
        <w:tblPrEx>
          <w:tblW w:w="9367" w:type="dxa"/>
          <w:tblInd w:w="108" w:type="dxa"/>
          <w:tblLook w:val="01E0"/>
        </w:tblPrEx>
        <w:trPr>
          <w:trHeight w:val="591"/>
        </w:trPr>
        <w:tc>
          <w:tcPr>
            <w:tcW w:w="2047" w:type="dxa"/>
          </w:tcPr>
          <w:p w:rsidR="0066266D" w:rsidRPr="005E2E72" w:rsidP="00917277" w14:paraId="57B5F8EB" w14:textId="77777777">
            <w:pPr>
              <w:spacing w:after="0" w:line="240" w:lineRule="auto"/>
              <w:rPr>
                <w:rFonts w:ascii="Times New Roman" w:hAnsi="Times New Roman" w:cs="Times New Roman"/>
                <w:sz w:val="26"/>
                <w:szCs w:val="24"/>
              </w:rPr>
            </w:pPr>
            <w:r w:rsidRPr="005E2E72">
              <w:rPr>
                <w:rFonts w:ascii="Times New Roman" w:hAnsi="Times New Roman" w:cs="Times New Roman"/>
                <w:sz w:val="26"/>
                <w:szCs w:val="24"/>
              </w:rPr>
              <w:t>Annual Number of Responses</w:t>
            </w:r>
          </w:p>
        </w:tc>
        <w:tc>
          <w:tcPr>
            <w:tcW w:w="1710" w:type="dxa"/>
            <w:vAlign w:val="bottom"/>
          </w:tcPr>
          <w:p w:rsidR="0066266D" w:rsidRPr="005E2E72" w:rsidP="00700866" w14:paraId="7B1B2F94" w14:textId="592C154D">
            <w:pPr>
              <w:spacing w:after="0" w:line="240" w:lineRule="auto"/>
              <w:jc w:val="right"/>
              <w:rPr>
                <w:rFonts w:ascii="Times New Roman" w:hAnsi="Times New Roman" w:cs="Times New Roman"/>
                <w:sz w:val="26"/>
                <w:szCs w:val="24"/>
              </w:rPr>
            </w:pPr>
            <w:r w:rsidRPr="005E2E72">
              <w:rPr>
                <w:rFonts w:ascii="Times New Roman" w:hAnsi="Times New Roman" w:cs="Times New Roman"/>
                <w:sz w:val="26"/>
                <w:szCs w:val="24"/>
              </w:rPr>
              <w:t>216 responses</w:t>
            </w:r>
          </w:p>
        </w:tc>
        <w:tc>
          <w:tcPr>
            <w:tcW w:w="1800" w:type="dxa"/>
            <w:vAlign w:val="bottom"/>
          </w:tcPr>
          <w:p w:rsidR="0066266D" w:rsidRPr="005E2E72" w:rsidP="00700866" w14:paraId="5CFD30EF" w14:textId="00C7AE26">
            <w:pPr>
              <w:spacing w:after="0" w:line="240" w:lineRule="auto"/>
              <w:jc w:val="right"/>
              <w:rPr>
                <w:rFonts w:ascii="Times New Roman" w:hAnsi="Times New Roman" w:cs="Times New Roman"/>
                <w:sz w:val="26"/>
                <w:szCs w:val="24"/>
              </w:rPr>
            </w:pPr>
            <w:r w:rsidRPr="005E2E72">
              <w:rPr>
                <w:rFonts w:ascii="Times New Roman" w:hAnsi="Times New Roman" w:cs="Times New Roman"/>
                <w:sz w:val="26"/>
                <w:szCs w:val="24"/>
              </w:rPr>
              <w:t>327 responses</w:t>
            </w:r>
          </w:p>
        </w:tc>
        <w:tc>
          <w:tcPr>
            <w:tcW w:w="1890" w:type="dxa"/>
            <w:vAlign w:val="bottom"/>
          </w:tcPr>
          <w:p w:rsidR="0066266D" w:rsidRPr="005E2E72" w:rsidP="00700866" w14:paraId="784B1783" w14:textId="54ED86B9">
            <w:pPr>
              <w:spacing w:after="0" w:line="240" w:lineRule="auto"/>
              <w:jc w:val="right"/>
              <w:rPr>
                <w:rFonts w:ascii="Times New Roman" w:hAnsi="Times New Roman" w:cs="Times New Roman"/>
                <w:sz w:val="26"/>
                <w:szCs w:val="24"/>
              </w:rPr>
            </w:pPr>
            <w:r w:rsidRPr="005E2E72">
              <w:rPr>
                <w:rFonts w:ascii="Times New Roman" w:hAnsi="Times New Roman" w:cs="Times New Roman"/>
                <w:sz w:val="26"/>
                <w:szCs w:val="24"/>
              </w:rPr>
              <w:t>+54 responses</w:t>
            </w:r>
          </w:p>
        </w:tc>
        <w:tc>
          <w:tcPr>
            <w:tcW w:w="1920" w:type="dxa"/>
            <w:vAlign w:val="bottom"/>
          </w:tcPr>
          <w:p w:rsidR="0066266D" w:rsidRPr="005E2E72" w:rsidP="00700866" w14:paraId="73D202DC" w14:textId="19362C58">
            <w:pPr>
              <w:spacing w:after="0" w:line="240" w:lineRule="auto"/>
              <w:jc w:val="right"/>
              <w:rPr>
                <w:rFonts w:ascii="Times New Roman" w:hAnsi="Times New Roman" w:cs="Times New Roman"/>
                <w:sz w:val="26"/>
                <w:szCs w:val="24"/>
              </w:rPr>
            </w:pPr>
            <w:r w:rsidRPr="005E2E72">
              <w:rPr>
                <w:rFonts w:ascii="Times New Roman" w:hAnsi="Times New Roman" w:cs="Times New Roman"/>
                <w:sz w:val="26"/>
              </w:rPr>
              <w:t>­</w:t>
            </w:r>
            <w:r w:rsidRPr="005E2E72" w:rsidR="00FF0D17">
              <w:rPr>
                <w:rFonts w:ascii="Times New Roman" w:hAnsi="Times New Roman"/>
                <w:sz w:val="26"/>
              </w:rPr>
              <w:t>165 responses</w:t>
            </w:r>
          </w:p>
        </w:tc>
      </w:tr>
      <w:tr w14:paraId="180888BD" w14:textId="77777777" w:rsidTr="00700866">
        <w:tblPrEx>
          <w:tblW w:w="9367" w:type="dxa"/>
          <w:tblInd w:w="108" w:type="dxa"/>
          <w:tblLook w:val="01E0"/>
        </w:tblPrEx>
        <w:trPr>
          <w:trHeight w:val="575"/>
        </w:trPr>
        <w:tc>
          <w:tcPr>
            <w:tcW w:w="2047" w:type="dxa"/>
          </w:tcPr>
          <w:p w:rsidR="0066266D" w:rsidRPr="005E2E72" w:rsidP="00917277" w14:paraId="4412687B" w14:textId="77777777">
            <w:pPr>
              <w:spacing w:after="0" w:line="240" w:lineRule="auto"/>
              <w:rPr>
                <w:rFonts w:ascii="Times New Roman" w:hAnsi="Times New Roman" w:cs="Times New Roman"/>
                <w:sz w:val="26"/>
                <w:szCs w:val="24"/>
              </w:rPr>
            </w:pPr>
            <w:r w:rsidRPr="005E2E72">
              <w:rPr>
                <w:rFonts w:ascii="Times New Roman" w:hAnsi="Times New Roman" w:cs="Times New Roman"/>
                <w:sz w:val="26"/>
                <w:szCs w:val="24"/>
              </w:rPr>
              <w:t>Annual Time Burden (Hr.)</w:t>
            </w:r>
          </w:p>
        </w:tc>
        <w:tc>
          <w:tcPr>
            <w:tcW w:w="1710" w:type="dxa"/>
            <w:vAlign w:val="bottom"/>
          </w:tcPr>
          <w:p w:rsidR="0066266D" w:rsidRPr="005E2E72" w:rsidP="00700866" w14:paraId="113F03DD" w14:textId="260FE2A8">
            <w:pPr>
              <w:spacing w:after="0" w:line="240" w:lineRule="auto"/>
              <w:jc w:val="right"/>
              <w:rPr>
                <w:rFonts w:ascii="Times New Roman" w:hAnsi="Times New Roman" w:cs="Times New Roman"/>
                <w:sz w:val="26"/>
                <w:szCs w:val="24"/>
              </w:rPr>
            </w:pPr>
            <w:r w:rsidRPr="005E2E72">
              <w:rPr>
                <w:rFonts w:ascii="Times New Roman" w:hAnsi="Times New Roman" w:cs="Times New Roman"/>
                <w:sz w:val="26"/>
                <w:szCs w:val="24"/>
              </w:rPr>
              <w:t>6,480 hours</w:t>
            </w:r>
          </w:p>
        </w:tc>
        <w:tc>
          <w:tcPr>
            <w:tcW w:w="1800" w:type="dxa"/>
            <w:vAlign w:val="bottom"/>
          </w:tcPr>
          <w:p w:rsidR="0066266D" w:rsidRPr="005E2E72" w:rsidP="00700866" w14:paraId="3983EC35" w14:textId="7FFDE4B3">
            <w:pPr>
              <w:spacing w:after="0" w:line="240" w:lineRule="auto"/>
              <w:jc w:val="right"/>
              <w:rPr>
                <w:rFonts w:ascii="Times New Roman" w:hAnsi="Times New Roman" w:cs="Times New Roman"/>
                <w:sz w:val="26"/>
                <w:szCs w:val="24"/>
              </w:rPr>
            </w:pPr>
            <w:r w:rsidRPr="005E2E72">
              <w:rPr>
                <w:rFonts w:ascii="Times New Roman" w:hAnsi="Times New Roman" w:cs="Times New Roman"/>
                <w:sz w:val="26"/>
                <w:szCs w:val="24"/>
              </w:rPr>
              <w:t>6,510 hours</w:t>
            </w:r>
          </w:p>
        </w:tc>
        <w:tc>
          <w:tcPr>
            <w:tcW w:w="1890" w:type="dxa"/>
            <w:vAlign w:val="bottom"/>
          </w:tcPr>
          <w:p w:rsidR="0066266D" w:rsidRPr="005E2E72" w:rsidP="00700866" w14:paraId="15098C91" w14:textId="6DAE3C73">
            <w:pPr>
              <w:spacing w:after="0" w:line="240" w:lineRule="auto"/>
              <w:jc w:val="right"/>
              <w:rPr>
                <w:rFonts w:ascii="Times New Roman" w:hAnsi="Times New Roman" w:cs="Times New Roman"/>
                <w:sz w:val="26"/>
                <w:szCs w:val="24"/>
              </w:rPr>
            </w:pPr>
            <w:r w:rsidRPr="005E2E72">
              <w:rPr>
                <w:rFonts w:ascii="Times New Roman" w:hAnsi="Times New Roman" w:cs="Times New Roman"/>
                <w:sz w:val="26"/>
                <w:szCs w:val="24"/>
              </w:rPr>
              <w:t>+1,620 hours</w:t>
            </w:r>
          </w:p>
        </w:tc>
        <w:tc>
          <w:tcPr>
            <w:tcW w:w="1920" w:type="dxa"/>
            <w:vAlign w:val="bottom"/>
          </w:tcPr>
          <w:p w:rsidR="0066266D" w:rsidRPr="005E2E72" w:rsidP="00700866" w14:paraId="2A624BF4" w14:textId="0DA21A65">
            <w:pPr>
              <w:spacing w:after="0" w:line="240" w:lineRule="auto"/>
              <w:jc w:val="right"/>
              <w:rPr>
                <w:rFonts w:ascii="Times New Roman" w:hAnsi="Times New Roman" w:cs="Times New Roman"/>
                <w:sz w:val="26"/>
                <w:szCs w:val="24"/>
              </w:rPr>
            </w:pPr>
            <w:r w:rsidRPr="005E2E72">
              <w:rPr>
                <w:rFonts w:ascii="Times New Roman" w:hAnsi="Times New Roman" w:cs="Times New Roman"/>
                <w:sz w:val="26"/>
                <w:szCs w:val="24"/>
              </w:rPr>
              <w:t>­</w:t>
            </w:r>
            <w:r w:rsidRPr="005E2E72" w:rsidR="00385185">
              <w:rPr>
                <w:rFonts w:ascii="Times New Roman" w:hAnsi="Times New Roman" w:cs="Times New Roman"/>
                <w:sz w:val="26"/>
                <w:szCs w:val="24"/>
              </w:rPr>
              <w:t>1,650 hours</w:t>
            </w:r>
          </w:p>
        </w:tc>
      </w:tr>
      <w:tr w14:paraId="04DA81C3" w14:textId="77777777" w:rsidTr="00385185">
        <w:tblPrEx>
          <w:tblW w:w="9367" w:type="dxa"/>
          <w:tblInd w:w="108" w:type="dxa"/>
          <w:tblLook w:val="01E0"/>
        </w:tblPrEx>
        <w:trPr>
          <w:trHeight w:val="295"/>
        </w:trPr>
        <w:tc>
          <w:tcPr>
            <w:tcW w:w="2047" w:type="dxa"/>
          </w:tcPr>
          <w:p w:rsidR="0066266D" w:rsidRPr="005E2E72" w:rsidP="00917277" w14:paraId="1A727DE0" w14:textId="77777777">
            <w:pPr>
              <w:spacing w:after="0" w:line="240" w:lineRule="auto"/>
              <w:rPr>
                <w:rFonts w:ascii="Times New Roman" w:hAnsi="Times New Roman" w:cs="Times New Roman"/>
                <w:sz w:val="26"/>
                <w:szCs w:val="24"/>
              </w:rPr>
            </w:pPr>
            <w:r w:rsidRPr="005E2E72">
              <w:rPr>
                <w:rFonts w:ascii="Times New Roman" w:hAnsi="Times New Roman" w:cs="Times New Roman"/>
                <w:sz w:val="26"/>
                <w:szCs w:val="24"/>
              </w:rPr>
              <w:t>Annual Cost Burden ($)</w:t>
            </w:r>
          </w:p>
        </w:tc>
        <w:tc>
          <w:tcPr>
            <w:tcW w:w="1710" w:type="dxa"/>
            <w:vAlign w:val="bottom"/>
          </w:tcPr>
          <w:p w:rsidR="0066266D" w:rsidRPr="005E2E72" w:rsidP="003E594A" w14:paraId="3553AB3B" w14:textId="77777777">
            <w:pPr>
              <w:spacing w:after="0" w:line="240" w:lineRule="auto"/>
              <w:jc w:val="right"/>
              <w:rPr>
                <w:rFonts w:ascii="Times New Roman" w:hAnsi="Times New Roman" w:cs="Times New Roman"/>
                <w:sz w:val="26"/>
                <w:szCs w:val="24"/>
              </w:rPr>
            </w:pPr>
            <w:r w:rsidRPr="005E2E72">
              <w:rPr>
                <w:rFonts w:ascii="Times New Roman" w:hAnsi="Times New Roman" w:cs="Times New Roman"/>
                <w:sz w:val="26"/>
                <w:szCs w:val="24"/>
              </w:rPr>
              <w:t>0</w:t>
            </w:r>
          </w:p>
        </w:tc>
        <w:tc>
          <w:tcPr>
            <w:tcW w:w="1800" w:type="dxa"/>
            <w:vAlign w:val="bottom"/>
          </w:tcPr>
          <w:p w:rsidR="0066266D" w:rsidRPr="005E2E72" w:rsidP="003E594A" w14:paraId="65DCBA64" w14:textId="77777777">
            <w:pPr>
              <w:spacing w:after="0" w:line="240" w:lineRule="auto"/>
              <w:jc w:val="right"/>
              <w:rPr>
                <w:rFonts w:ascii="Times New Roman" w:hAnsi="Times New Roman" w:cs="Times New Roman"/>
                <w:sz w:val="26"/>
                <w:szCs w:val="24"/>
              </w:rPr>
            </w:pPr>
            <w:r w:rsidRPr="005E2E72">
              <w:rPr>
                <w:rFonts w:ascii="Times New Roman" w:hAnsi="Times New Roman" w:cs="Times New Roman"/>
                <w:sz w:val="26"/>
                <w:szCs w:val="24"/>
              </w:rPr>
              <w:t>0</w:t>
            </w:r>
          </w:p>
        </w:tc>
        <w:tc>
          <w:tcPr>
            <w:tcW w:w="1890" w:type="dxa"/>
            <w:vAlign w:val="bottom"/>
          </w:tcPr>
          <w:p w:rsidR="0066266D" w:rsidRPr="005E2E72" w:rsidP="003E594A" w14:paraId="5FE784DD" w14:textId="77777777">
            <w:pPr>
              <w:spacing w:after="0" w:line="240" w:lineRule="auto"/>
              <w:jc w:val="right"/>
              <w:rPr>
                <w:rFonts w:ascii="Times New Roman" w:hAnsi="Times New Roman" w:cs="Times New Roman"/>
                <w:sz w:val="26"/>
                <w:szCs w:val="24"/>
              </w:rPr>
            </w:pPr>
            <w:r w:rsidRPr="005E2E72">
              <w:rPr>
                <w:rFonts w:ascii="Times New Roman" w:hAnsi="Times New Roman" w:cs="Times New Roman"/>
                <w:sz w:val="26"/>
                <w:szCs w:val="24"/>
              </w:rPr>
              <w:t>0</w:t>
            </w:r>
          </w:p>
        </w:tc>
        <w:tc>
          <w:tcPr>
            <w:tcW w:w="1920" w:type="dxa"/>
            <w:vAlign w:val="bottom"/>
          </w:tcPr>
          <w:p w:rsidR="0066266D" w:rsidRPr="005E2E72" w:rsidP="003E594A" w14:paraId="4FE0F9C3" w14:textId="77777777">
            <w:pPr>
              <w:spacing w:after="0" w:line="240" w:lineRule="auto"/>
              <w:jc w:val="right"/>
              <w:rPr>
                <w:rFonts w:ascii="Times New Roman" w:hAnsi="Times New Roman" w:cs="Times New Roman"/>
                <w:sz w:val="26"/>
                <w:szCs w:val="24"/>
              </w:rPr>
            </w:pPr>
            <w:r w:rsidRPr="005E2E72">
              <w:rPr>
                <w:rFonts w:ascii="Times New Roman" w:hAnsi="Times New Roman" w:cs="Times New Roman"/>
                <w:sz w:val="26"/>
                <w:szCs w:val="24"/>
              </w:rPr>
              <w:t>0</w:t>
            </w:r>
          </w:p>
        </w:tc>
      </w:tr>
    </w:tbl>
    <w:p w:rsidR="0066266D" w:rsidRPr="005E2E72" w:rsidP="00917277" w14:paraId="4DB0DA19" w14:textId="77777777">
      <w:pPr>
        <w:spacing w:after="0" w:line="240" w:lineRule="auto"/>
        <w:rPr>
          <w:rFonts w:ascii="Times New Roman" w:hAnsi="Times New Roman" w:cs="Times New Roman"/>
          <w:sz w:val="26"/>
          <w:szCs w:val="24"/>
        </w:rPr>
      </w:pPr>
    </w:p>
    <w:p w:rsidR="0066266D" w:rsidRPr="005E2E72" w:rsidP="00917277" w14:paraId="14ABDD22" w14:textId="77777777">
      <w:pPr>
        <w:pStyle w:val="ListParagraph"/>
        <w:numPr>
          <w:ilvl w:val="0"/>
          <w:numId w:val="1"/>
        </w:numPr>
        <w:spacing w:after="0" w:line="240" w:lineRule="auto"/>
        <w:ind w:left="360"/>
        <w:rPr>
          <w:rFonts w:ascii="Times New Roman" w:hAnsi="Times New Roman" w:cs="Times New Roman"/>
          <w:b/>
          <w:sz w:val="26"/>
          <w:szCs w:val="24"/>
        </w:rPr>
      </w:pPr>
      <w:r w:rsidRPr="005E2E72">
        <w:rPr>
          <w:rFonts w:ascii="Times New Roman" w:hAnsi="Times New Roman" w:cs="Times New Roman"/>
          <w:b/>
          <w:sz w:val="26"/>
          <w:szCs w:val="24"/>
        </w:rPr>
        <w:t>TIME SCHEDULE FOR PUBLICATION OF DATA</w:t>
      </w:r>
    </w:p>
    <w:p w:rsidR="0066266D" w:rsidRPr="005E2E72" w:rsidP="00917277" w14:paraId="204F11FB" w14:textId="77777777">
      <w:pPr>
        <w:spacing w:after="0" w:line="240" w:lineRule="auto"/>
        <w:rPr>
          <w:rFonts w:ascii="Times New Roman" w:hAnsi="Times New Roman" w:cs="Times New Roman"/>
          <w:sz w:val="26"/>
          <w:szCs w:val="24"/>
        </w:rPr>
      </w:pPr>
    </w:p>
    <w:p w:rsidR="0066266D" w:rsidRPr="005E2E72" w:rsidP="00917277" w14:paraId="14719F9B" w14:textId="77777777">
      <w:pPr>
        <w:spacing w:after="0" w:line="240" w:lineRule="auto"/>
        <w:rPr>
          <w:rFonts w:ascii="Times New Roman" w:hAnsi="Times New Roman" w:cs="Times New Roman"/>
          <w:sz w:val="26"/>
          <w:szCs w:val="24"/>
        </w:rPr>
      </w:pPr>
      <w:r w:rsidRPr="005E2E72">
        <w:rPr>
          <w:rFonts w:ascii="Times New Roman" w:hAnsi="Times New Roman" w:cs="Times New Roman"/>
          <w:sz w:val="26"/>
          <w:szCs w:val="24"/>
        </w:rPr>
        <w:t>FERC does not publish any data associated with these collections.</w:t>
      </w:r>
    </w:p>
    <w:p w:rsidR="0066266D" w:rsidRPr="005E2E72" w:rsidP="00917277" w14:paraId="6604B37B" w14:textId="77777777">
      <w:pPr>
        <w:spacing w:after="0" w:line="240" w:lineRule="auto"/>
        <w:rPr>
          <w:rFonts w:ascii="Times New Roman" w:hAnsi="Times New Roman" w:cs="Times New Roman"/>
          <w:sz w:val="26"/>
          <w:szCs w:val="24"/>
        </w:rPr>
      </w:pPr>
    </w:p>
    <w:p w:rsidR="0066266D" w:rsidRPr="005E2E72" w:rsidP="00917277" w14:paraId="5D665C09" w14:textId="77777777">
      <w:pPr>
        <w:pStyle w:val="ListParagraph"/>
        <w:numPr>
          <w:ilvl w:val="0"/>
          <w:numId w:val="1"/>
        </w:numPr>
        <w:spacing w:after="0" w:line="240" w:lineRule="auto"/>
        <w:ind w:left="360"/>
        <w:rPr>
          <w:rFonts w:ascii="Times New Roman" w:hAnsi="Times New Roman" w:cs="Times New Roman"/>
          <w:b/>
          <w:sz w:val="26"/>
          <w:szCs w:val="24"/>
        </w:rPr>
      </w:pPr>
      <w:r w:rsidRPr="005E2E72">
        <w:rPr>
          <w:rFonts w:ascii="Times New Roman" w:hAnsi="Times New Roman" w:cs="Times New Roman"/>
          <w:b/>
          <w:sz w:val="26"/>
          <w:szCs w:val="24"/>
        </w:rPr>
        <w:t>DISPLAY OF EXPIRATION DATE</w:t>
      </w:r>
    </w:p>
    <w:p w:rsidR="0066266D" w:rsidRPr="005E2E72" w:rsidP="00917277" w14:paraId="3AE5A3C1" w14:textId="77777777">
      <w:pPr>
        <w:spacing w:after="0" w:line="240" w:lineRule="auto"/>
        <w:rPr>
          <w:rFonts w:ascii="Times New Roman" w:hAnsi="Times New Roman" w:cs="Times New Roman"/>
          <w:sz w:val="26"/>
          <w:szCs w:val="24"/>
        </w:rPr>
      </w:pPr>
    </w:p>
    <w:p w:rsidR="001A6670" w:rsidRPr="005E2E72" w:rsidP="001A6670" w14:paraId="2F6B6498" w14:textId="2A30764A">
      <w:pPr>
        <w:tabs>
          <w:tab w:val="num" w:pos="1080"/>
        </w:tabs>
        <w:spacing w:after="0" w:line="240" w:lineRule="auto"/>
        <w:rPr>
          <w:rFonts w:ascii="Times New Roman" w:hAnsi="Times New Roman" w:cs="Times New Roman"/>
          <w:sz w:val="26"/>
          <w:szCs w:val="24"/>
        </w:rPr>
      </w:pPr>
      <w:r w:rsidRPr="005E2E72">
        <w:rPr>
          <w:rFonts w:ascii="Times New Roman" w:hAnsi="Times New Roman" w:cs="Times New Roman"/>
          <w:sz w:val="26"/>
          <w:szCs w:val="24"/>
        </w:rPr>
        <w:t xml:space="preserve">The expiration date is displayed in a table posted at </w:t>
      </w:r>
      <w:hyperlink r:id="rId9" w:history="1">
        <w:r w:rsidRPr="005E2E72">
          <w:rPr>
            <w:rStyle w:val="Hyperlink"/>
            <w:rFonts w:ascii="Times New Roman" w:hAnsi="Times New Roman" w:cs="Times New Roman"/>
            <w:sz w:val="26"/>
            <w:szCs w:val="24"/>
          </w:rPr>
          <w:t>https://www.ferc.gov/media/information-collections</w:t>
        </w:r>
      </w:hyperlink>
      <w:r w:rsidRPr="005E2E72">
        <w:rPr>
          <w:rFonts w:ascii="Times New Roman" w:hAnsi="Times New Roman" w:cs="Times New Roman"/>
          <w:sz w:val="26"/>
          <w:szCs w:val="24"/>
        </w:rPr>
        <w:t>.</w:t>
      </w:r>
    </w:p>
    <w:p w:rsidR="0066266D" w:rsidRPr="005E2E72" w:rsidP="00917277" w14:paraId="1187CB15" w14:textId="77777777">
      <w:pPr>
        <w:spacing w:after="0" w:line="240" w:lineRule="auto"/>
        <w:rPr>
          <w:rFonts w:ascii="Times New Roman" w:hAnsi="Times New Roman" w:cs="Times New Roman"/>
          <w:sz w:val="26"/>
          <w:szCs w:val="24"/>
        </w:rPr>
      </w:pPr>
    </w:p>
    <w:p w:rsidR="0066266D" w:rsidRPr="005E2E72" w:rsidP="00917277" w14:paraId="2186A3B9" w14:textId="77777777">
      <w:pPr>
        <w:pStyle w:val="ListParagraph"/>
        <w:numPr>
          <w:ilvl w:val="0"/>
          <w:numId w:val="1"/>
        </w:numPr>
        <w:spacing w:after="0" w:line="240" w:lineRule="auto"/>
        <w:ind w:left="360"/>
        <w:rPr>
          <w:rFonts w:ascii="Times New Roman" w:hAnsi="Times New Roman" w:cs="Times New Roman"/>
          <w:b/>
          <w:sz w:val="26"/>
          <w:szCs w:val="24"/>
        </w:rPr>
      </w:pPr>
      <w:r w:rsidRPr="005E2E72">
        <w:rPr>
          <w:rFonts w:ascii="Times New Roman" w:hAnsi="Times New Roman" w:cs="Times New Roman"/>
          <w:b/>
          <w:sz w:val="26"/>
          <w:szCs w:val="24"/>
        </w:rPr>
        <w:t>EXCEPTIONS TO THE CERTIFICATION STATEMENT</w:t>
      </w:r>
    </w:p>
    <w:p w:rsidR="0066266D" w:rsidRPr="005E2E72" w:rsidP="00917277" w14:paraId="4543A16F" w14:textId="77777777">
      <w:pPr>
        <w:spacing w:after="0" w:line="240" w:lineRule="auto"/>
        <w:rPr>
          <w:rFonts w:ascii="Times New Roman" w:hAnsi="Times New Roman" w:cs="Times New Roman"/>
          <w:b/>
          <w:sz w:val="26"/>
          <w:szCs w:val="24"/>
        </w:rPr>
      </w:pPr>
    </w:p>
    <w:p w:rsidR="0066266D" w:rsidP="00917277" w14:paraId="4E950620" w14:textId="77777777">
      <w:pPr>
        <w:spacing w:after="0" w:line="240" w:lineRule="auto"/>
        <w:rPr>
          <w:rFonts w:ascii="Times New Roman" w:hAnsi="Times New Roman" w:cs="Times New Roman"/>
          <w:sz w:val="24"/>
          <w:szCs w:val="24"/>
        </w:rPr>
      </w:pPr>
      <w:r w:rsidRPr="005E2E72">
        <w:rPr>
          <w:rFonts w:ascii="Times New Roman" w:hAnsi="Times New Roman" w:cs="Times New Roman"/>
          <w:sz w:val="26"/>
          <w:szCs w:val="24"/>
        </w:rPr>
        <w:t>The dat</w:t>
      </w:r>
      <w:r>
        <w:rPr>
          <w:rFonts w:ascii="Times New Roman" w:hAnsi="Times New Roman" w:cs="Times New Roman"/>
          <w:sz w:val="24"/>
          <w:szCs w:val="24"/>
        </w:rPr>
        <w:t>a collected for the reporting requirements are not used for statistical purposes.</w:t>
      </w:r>
    </w:p>
    <w:sectPr>
      <w:headerReference w:type="default" r:id="rId10"/>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76411206"/>
      <w:docPartObj>
        <w:docPartGallery w:val="Page Numbers (Bottom of Page)"/>
        <w:docPartUnique/>
      </w:docPartObj>
    </w:sdtPr>
    <w:sdtEndPr>
      <w:rPr>
        <w:noProof/>
      </w:rPr>
    </w:sdtEndPr>
    <w:sdtContent>
      <w:p w:rsidR="0066266D" w14:paraId="1E56C897" w14:textId="77777777">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66266D" w14:paraId="0259FB7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D73AA" w14:paraId="0E54C672" w14:textId="77777777">
      <w:pPr>
        <w:spacing w:after="0" w:line="240" w:lineRule="auto"/>
      </w:pPr>
      <w:r>
        <w:separator/>
      </w:r>
    </w:p>
  </w:footnote>
  <w:footnote w:type="continuationSeparator" w:id="1">
    <w:p w:rsidR="002D73AA" w14:paraId="71F2548C" w14:textId="77777777">
      <w:pPr>
        <w:spacing w:after="0" w:line="240" w:lineRule="auto"/>
      </w:pPr>
      <w:r>
        <w:continuationSeparator/>
      </w:r>
    </w:p>
  </w:footnote>
  <w:footnote w:id="2">
    <w:p w:rsidR="00662C27" w:rsidRPr="006C4B6C" w:rsidP="00662C27" w14:paraId="792353D9" w14:textId="77777777">
      <w:pPr>
        <w:pStyle w:val="FootnoteText"/>
        <w:rPr>
          <w:sz w:val="26"/>
        </w:rPr>
      </w:pPr>
      <w:r w:rsidRPr="006C4B6C">
        <w:rPr>
          <w:rStyle w:val="FootnoteReference"/>
          <w:sz w:val="26"/>
          <w:vertAlign w:val="superscript"/>
        </w:rPr>
        <w:footnoteRef/>
      </w:r>
      <w:r>
        <w:t xml:space="preserve"> </w:t>
      </w:r>
      <w:r w:rsidRPr="006C4B6C">
        <w:rPr>
          <w:sz w:val="26"/>
        </w:rPr>
        <w:t>Under 18 CFR 37.3(a), a “Transmission Provider” is any public utility that owns, operates, or controls facilities used for the transmission of electric energy in interstate commerce.</w:t>
      </w:r>
    </w:p>
  </w:footnote>
  <w:footnote w:id="3">
    <w:p w:rsidR="00662C27" w:rsidRPr="006C4B6C" w:rsidP="00662C27" w14:paraId="5B54A092" w14:textId="50FA6A7F">
      <w:pPr>
        <w:pStyle w:val="FootnoteText"/>
        <w:rPr>
          <w:sz w:val="26"/>
        </w:rPr>
      </w:pPr>
      <w:r w:rsidRPr="006C4B6C">
        <w:rPr>
          <w:rStyle w:val="FootnoteReference"/>
          <w:bCs/>
          <w:sz w:val="26"/>
          <w:vertAlign w:val="superscript"/>
        </w:rPr>
        <w:footnoteRef/>
      </w:r>
      <w:r w:rsidRPr="006C4B6C">
        <w:rPr>
          <w:sz w:val="26"/>
        </w:rPr>
        <w:t xml:space="preserve"> </w:t>
      </w:r>
      <w:r w:rsidRPr="006C4B6C">
        <w:rPr>
          <w:bCs/>
          <w:sz w:val="26"/>
        </w:rPr>
        <w:t xml:space="preserve">Under 18 CFR 37.3(b), a “Transmission Customer” is any eligible customer (or its designated agent) that can or does execute a </w:t>
      </w:r>
      <w:r w:rsidRPr="006C4B6C" w:rsidR="00364707">
        <w:rPr>
          <w:bCs/>
          <w:sz w:val="26"/>
        </w:rPr>
        <w:t>transmission</w:t>
      </w:r>
      <w:r w:rsidRPr="006C4B6C">
        <w:rPr>
          <w:bCs/>
          <w:sz w:val="26"/>
        </w:rPr>
        <w:t xml:space="preserve"> service agreement or can or does receive transmission service.</w:t>
      </w:r>
    </w:p>
  </w:footnote>
  <w:footnote w:id="4">
    <w:p w:rsidR="00662C27" w:rsidRPr="006C4B6C" w:rsidP="00662C27" w14:paraId="58A0DAE0" w14:textId="77777777">
      <w:pPr>
        <w:pStyle w:val="FootnoteText"/>
        <w:rPr>
          <w:b/>
          <w:bCs/>
          <w:sz w:val="26"/>
        </w:rPr>
      </w:pPr>
      <w:r w:rsidRPr="006C4B6C">
        <w:rPr>
          <w:rStyle w:val="FootnoteReference"/>
          <w:bCs/>
          <w:sz w:val="26"/>
          <w:vertAlign w:val="superscript"/>
        </w:rPr>
        <w:footnoteRef/>
      </w:r>
      <w:r w:rsidRPr="006C4B6C">
        <w:rPr>
          <w:bCs/>
          <w:sz w:val="26"/>
        </w:rPr>
        <w:t xml:space="preserve"> 16 U.S.C. 824d.</w:t>
      </w:r>
    </w:p>
  </w:footnote>
  <w:footnote w:id="5">
    <w:p w:rsidR="00662C27" w:rsidRPr="006C4B6C" w:rsidP="00662C27" w14:paraId="2DF9BB69" w14:textId="77777777">
      <w:pPr>
        <w:pStyle w:val="FootnoteText"/>
        <w:rPr>
          <w:sz w:val="26"/>
        </w:rPr>
      </w:pPr>
      <w:r w:rsidRPr="006C4B6C">
        <w:rPr>
          <w:rStyle w:val="FootnoteReference"/>
          <w:bCs/>
          <w:sz w:val="26"/>
          <w:vertAlign w:val="superscript"/>
        </w:rPr>
        <w:footnoteRef/>
      </w:r>
      <w:r w:rsidRPr="006C4B6C">
        <w:rPr>
          <w:bCs/>
          <w:sz w:val="26"/>
        </w:rPr>
        <w:t xml:space="preserve"> Under 18 CFR 37.3(c), a “Responsible Party”</w:t>
      </w:r>
      <w:r w:rsidRPr="006C4B6C">
        <w:rPr>
          <w:sz w:val="26"/>
        </w:rPr>
        <w:t xml:space="preserve"> is a Transmission Provider or an agent to whom the Transmission Provider has delegated the responsibility of meeting any of the requirements of 18 CFR Part 37.</w:t>
      </w:r>
    </w:p>
  </w:footnote>
  <w:footnote w:id="6">
    <w:p w:rsidR="0066266D" w:rsidRPr="006C4B6C" w14:paraId="3F1E8AA2" w14:textId="77777777">
      <w:pPr>
        <w:pStyle w:val="FootnoteText"/>
        <w:rPr>
          <w:sz w:val="26"/>
          <w:szCs w:val="22"/>
        </w:rPr>
      </w:pPr>
      <w:r w:rsidRPr="006C4B6C">
        <w:rPr>
          <w:rStyle w:val="FootnoteReference"/>
          <w:sz w:val="26"/>
          <w:szCs w:val="22"/>
          <w:vertAlign w:val="superscript"/>
        </w:rPr>
        <w:footnoteRef/>
      </w:r>
      <w:r w:rsidRPr="006C4B6C">
        <w:rPr>
          <w:sz w:val="26"/>
          <w:szCs w:val="22"/>
          <w:vertAlign w:val="superscript"/>
        </w:rPr>
        <w:t xml:space="preserve"> </w:t>
      </w:r>
      <w:r w:rsidRPr="006C4B6C">
        <w:rPr>
          <w:i/>
          <w:sz w:val="26"/>
          <w:szCs w:val="22"/>
        </w:rPr>
        <w:t>Standards for Business Practices and Communication Protocols for Public Utilities</w:t>
      </w:r>
      <w:r w:rsidRPr="006C4B6C">
        <w:rPr>
          <w:sz w:val="26"/>
          <w:szCs w:val="22"/>
        </w:rPr>
        <w:t xml:space="preserve">, Order No. 676-H, 79 FR 56,939 (Oct. 24, 2014), 148 FERC ¶ 61,205, at P 77 (2014); </w:t>
      </w:r>
      <w:r w:rsidRPr="006C4B6C">
        <w:rPr>
          <w:i/>
          <w:sz w:val="26"/>
          <w:szCs w:val="22"/>
        </w:rPr>
        <w:t>Standards for Business Practices and Communication Protocols for Public Utilities</w:t>
      </w:r>
      <w:r w:rsidRPr="006C4B6C">
        <w:rPr>
          <w:sz w:val="26"/>
          <w:szCs w:val="22"/>
        </w:rPr>
        <w:t xml:space="preserve">, Order No. 676-E, 74 FR 63,288 (Dec. 3, 2009), 129 FERC ¶ 61,162 (2009).  </w:t>
      </w:r>
      <w:r w:rsidRPr="006C4B6C">
        <w:rPr>
          <w:i/>
          <w:sz w:val="26"/>
          <w:szCs w:val="22"/>
        </w:rPr>
        <w:t>Standards for Business Practices and Communication Protocols for Public Utilities</w:t>
      </w:r>
      <w:r w:rsidRPr="006C4B6C">
        <w:rPr>
          <w:sz w:val="26"/>
          <w:szCs w:val="22"/>
        </w:rPr>
        <w:t xml:space="preserve">, Order No. 676-E, 74 FR 63,288 (Dec. 3, 2009), 129 FERC ¶ 61,162 (2009).  This order also incorporated revisions made in response to Order Nos. 890, 890-A, and 890-B.  </w:t>
      </w:r>
      <w:r w:rsidRPr="006C4B6C">
        <w:rPr>
          <w:i/>
          <w:sz w:val="26"/>
          <w:szCs w:val="22"/>
        </w:rPr>
        <w:t>See</w:t>
      </w:r>
      <w:r w:rsidRPr="006C4B6C">
        <w:rPr>
          <w:sz w:val="26"/>
          <w:szCs w:val="22"/>
        </w:rPr>
        <w:t xml:space="preserve"> </w:t>
      </w:r>
      <w:r w:rsidRPr="006C4B6C">
        <w:rPr>
          <w:i/>
          <w:iCs/>
          <w:sz w:val="26"/>
          <w:szCs w:val="22"/>
        </w:rPr>
        <w:t>Preventing Undue Discrimination and Preference in Transmission Service</w:t>
      </w:r>
      <w:r w:rsidRPr="006C4B6C">
        <w:rPr>
          <w:sz w:val="26"/>
          <w:szCs w:val="22"/>
        </w:rPr>
        <w:t xml:space="preserve">, Order No. 890, 118 FERC ¶ 61,119, </w:t>
      </w:r>
      <w:r w:rsidRPr="006C4B6C">
        <w:rPr>
          <w:i/>
          <w:iCs/>
          <w:sz w:val="26"/>
          <w:szCs w:val="22"/>
        </w:rPr>
        <w:t>order on reh’g</w:t>
      </w:r>
      <w:r w:rsidRPr="006C4B6C">
        <w:rPr>
          <w:sz w:val="26"/>
          <w:szCs w:val="22"/>
        </w:rPr>
        <w:t xml:space="preserve">, Order No. 890-A, 121 FERC ¶ 61,297 (2007), </w:t>
      </w:r>
      <w:r w:rsidRPr="006C4B6C">
        <w:rPr>
          <w:i/>
          <w:iCs/>
          <w:sz w:val="26"/>
          <w:szCs w:val="22"/>
        </w:rPr>
        <w:t>order on reh’g</w:t>
      </w:r>
      <w:r w:rsidRPr="006C4B6C">
        <w:rPr>
          <w:sz w:val="26"/>
          <w:szCs w:val="22"/>
        </w:rPr>
        <w:t>, Order No. 890-B, 123 FERC ¶ 61,299 (2008),</w:t>
      </w:r>
      <w:r w:rsidRPr="006C4B6C">
        <w:rPr>
          <w:i/>
          <w:sz w:val="26"/>
          <w:szCs w:val="22"/>
        </w:rPr>
        <w:t xml:space="preserve"> order on reh’g</w:t>
      </w:r>
      <w:r w:rsidRPr="006C4B6C">
        <w:rPr>
          <w:sz w:val="26"/>
          <w:szCs w:val="22"/>
        </w:rPr>
        <w:t xml:space="preserve">, Order No. 890-C, 126 FERC ¶ 61,228, </w:t>
      </w:r>
      <w:r w:rsidRPr="006C4B6C">
        <w:rPr>
          <w:i/>
          <w:sz w:val="26"/>
          <w:szCs w:val="22"/>
        </w:rPr>
        <w:t>order on clarification</w:t>
      </w:r>
      <w:r w:rsidRPr="006C4B6C">
        <w:rPr>
          <w:sz w:val="26"/>
          <w:szCs w:val="22"/>
        </w:rPr>
        <w:t xml:space="preserve">, Order No. 890-D, 129 FERC ¶ 61,126 (2009).  </w:t>
      </w:r>
    </w:p>
  </w:footnote>
  <w:footnote w:id="7">
    <w:p w:rsidR="00577F0E" w:rsidRPr="006C4B6C" w:rsidP="00577F0E" w14:paraId="73CB0B60" w14:textId="77777777">
      <w:pPr>
        <w:pStyle w:val="FootnoteText"/>
        <w:rPr>
          <w:sz w:val="26"/>
        </w:rPr>
      </w:pPr>
      <w:r w:rsidRPr="006C4B6C">
        <w:rPr>
          <w:rStyle w:val="FootnoteReference"/>
          <w:sz w:val="26"/>
          <w:vertAlign w:val="superscript"/>
        </w:rPr>
        <w:footnoteRef/>
      </w:r>
      <w:r w:rsidRPr="006C4B6C">
        <w:rPr>
          <w:sz w:val="26"/>
          <w:vertAlign w:val="superscript"/>
        </w:rPr>
        <w:t xml:space="preserve"> </w:t>
      </w:r>
      <w:r w:rsidRPr="006C4B6C">
        <w:rPr>
          <w:sz w:val="26"/>
        </w:rPr>
        <w:t xml:space="preserve"> The Commission established the pro forma open access transmission tariff in 1996 as a remedy to prevent undue discrimination.  </w:t>
      </w:r>
      <w:r w:rsidRPr="006C4B6C">
        <w:rPr>
          <w:i/>
          <w:iCs/>
          <w:sz w:val="26"/>
        </w:rPr>
        <w:t>See</w:t>
      </w:r>
      <w:r w:rsidRPr="006C4B6C">
        <w:rPr>
          <w:sz w:val="26"/>
        </w:rPr>
        <w:t xml:space="preserve"> </w:t>
      </w:r>
      <w:r w:rsidRPr="006C4B6C">
        <w:rPr>
          <w:i/>
          <w:iCs/>
          <w:sz w:val="26"/>
          <w:u w:val="single"/>
        </w:rPr>
        <w:t>Promoting Wholesale Competition Through Open Access Non-discriminatory Transmission Services by Public Utilities; Recovery of Stranded Costs by Public Utilities and Transmitting Utilities</w:t>
      </w:r>
      <w:r w:rsidRPr="006C4B6C">
        <w:rPr>
          <w:sz w:val="26"/>
        </w:rPr>
        <w:t xml:space="preserve">, Order No. 888, 61 Fed. Reg. 21,540 (May 10, 1996)  </w:t>
      </w:r>
    </w:p>
  </w:footnote>
  <w:footnote w:id="8">
    <w:p w:rsidR="0066266D" w:rsidRPr="006C4B6C" w14:paraId="08B98F13" w14:textId="1A1185E9">
      <w:pPr>
        <w:pStyle w:val="FootnoteText"/>
        <w:rPr>
          <w:sz w:val="26"/>
        </w:rPr>
      </w:pPr>
      <w:r w:rsidRPr="006C4B6C">
        <w:rPr>
          <w:rStyle w:val="FootnoteReference"/>
          <w:sz w:val="26"/>
          <w:vertAlign w:val="superscript"/>
        </w:rPr>
        <w:footnoteRef/>
      </w:r>
      <w:r w:rsidRPr="006C4B6C">
        <w:rPr>
          <w:sz w:val="26"/>
        </w:rPr>
        <w:t xml:space="preserve"> This figure constitutes </w:t>
      </w:r>
      <w:r w:rsidR="00A85EC6">
        <w:rPr>
          <w:sz w:val="26"/>
        </w:rPr>
        <w:t xml:space="preserve">approximately </w:t>
      </w:r>
      <w:r w:rsidR="009F08D4">
        <w:rPr>
          <w:sz w:val="26"/>
        </w:rPr>
        <w:t>1</w:t>
      </w:r>
      <w:r w:rsidR="00720706">
        <w:rPr>
          <w:sz w:val="26"/>
        </w:rPr>
        <w:t>2</w:t>
      </w:r>
      <w:r w:rsidR="00A85EC6">
        <w:rPr>
          <w:sz w:val="26"/>
        </w:rPr>
        <w:t xml:space="preserve"> percent </w:t>
      </w:r>
      <w:r w:rsidRPr="006C4B6C">
        <w:rPr>
          <w:sz w:val="26"/>
        </w:rPr>
        <w:t xml:space="preserve">of the </w:t>
      </w:r>
      <w:r w:rsidR="00A85EC6">
        <w:rPr>
          <w:sz w:val="26"/>
        </w:rPr>
        <w:t>216</w:t>
      </w:r>
      <w:r w:rsidRPr="006C4B6C">
        <w:rPr>
          <w:sz w:val="26"/>
        </w:rPr>
        <w:t xml:space="preserve"> affected entities</w:t>
      </w:r>
      <w:r w:rsidR="005E2E72">
        <w:rPr>
          <w:sz w:val="26"/>
        </w:rPr>
        <w:t>.</w:t>
      </w:r>
    </w:p>
  </w:footnote>
  <w:footnote w:id="9">
    <w:p w:rsidR="0001583D" w:rsidRPr="00972E20" w:rsidP="0001583D" w14:paraId="73F1B23E" w14:textId="77777777">
      <w:pPr>
        <w:pStyle w:val="FootnoteText"/>
        <w:rPr>
          <w:szCs w:val="22"/>
        </w:rPr>
      </w:pPr>
      <w:r w:rsidRPr="00972E20">
        <w:rPr>
          <w:rStyle w:val="FootnoteReference"/>
        </w:rPr>
        <w:footnoteRef/>
      </w:r>
      <w:r w:rsidRPr="00972E20">
        <w:t xml:space="preserve"> </w:t>
      </w:r>
      <w:r w:rsidRPr="00972E20">
        <w:rPr>
          <w:szCs w:val="26"/>
        </w:rPr>
        <w:t>The Commission staff thinks that the average respondent for this collection is similarly situated to the Commission, in terms of salary plus benefits.   Based upon FERC’s FY 202</w:t>
      </w:r>
      <w:r>
        <w:rPr>
          <w:szCs w:val="26"/>
        </w:rPr>
        <w:t>2</w:t>
      </w:r>
      <w:r w:rsidRPr="00972E20">
        <w:rPr>
          <w:szCs w:val="26"/>
        </w:rPr>
        <w:t xml:space="preserve"> annual average of $</w:t>
      </w:r>
      <w:r>
        <w:rPr>
          <w:szCs w:val="26"/>
        </w:rPr>
        <w:t>199,867</w:t>
      </w:r>
      <w:r w:rsidRPr="00972E20">
        <w:rPr>
          <w:szCs w:val="26"/>
        </w:rPr>
        <w:t xml:space="preserve"> (for salary plus benefits), </w:t>
      </w:r>
      <w:r>
        <w:rPr>
          <w:szCs w:val="26"/>
        </w:rPr>
        <w:t xml:space="preserve">and </w:t>
      </w:r>
      <w:r w:rsidRPr="00972E20">
        <w:rPr>
          <w:szCs w:val="26"/>
        </w:rPr>
        <w:t>the average hourly cost is $</w:t>
      </w:r>
      <w:r>
        <w:rPr>
          <w:szCs w:val="26"/>
        </w:rPr>
        <w:t>96</w:t>
      </w:r>
      <w:r w:rsidRPr="00972E20">
        <w:rPr>
          <w:szCs w:val="26"/>
        </w:rPr>
        <w:t>/hour.</w:t>
      </w:r>
      <w:r w:rsidRPr="00972E20">
        <w:t xml:space="preserve"> </w:t>
      </w:r>
    </w:p>
  </w:footnote>
  <w:footnote w:id="10">
    <w:p w:rsidR="0066266D" w:rsidRPr="006C4B6C" w14:paraId="18B6154F" w14:textId="6AFF6CD1">
      <w:pPr>
        <w:pStyle w:val="FootnoteText"/>
        <w:rPr>
          <w:sz w:val="26"/>
        </w:rPr>
      </w:pPr>
      <w:r w:rsidRPr="006C4B6C">
        <w:rPr>
          <w:rStyle w:val="FootnoteReference"/>
          <w:sz w:val="26"/>
          <w:vertAlign w:val="superscript"/>
        </w:rPr>
        <w:footnoteRef/>
      </w:r>
      <w:r w:rsidRPr="006C4B6C">
        <w:rPr>
          <w:sz w:val="26"/>
          <w:vertAlign w:val="superscript"/>
        </w:rPr>
        <w:t xml:space="preserve"> </w:t>
      </w:r>
      <w:r w:rsidRPr="006C4B6C">
        <w:rPr>
          <w:sz w:val="26"/>
        </w:rPr>
        <w:t>The figure for analysis and processing  is based on FERC’s 20</w:t>
      </w:r>
      <w:r w:rsidRPr="006C4B6C" w:rsidR="004D0259">
        <w:rPr>
          <w:sz w:val="26"/>
        </w:rPr>
        <w:t>20</w:t>
      </w:r>
      <w:r w:rsidRPr="006C4B6C">
        <w:rPr>
          <w:sz w:val="26"/>
        </w:rPr>
        <w:t xml:space="preserve"> FTE average annual salary plus benefits of $1</w:t>
      </w:r>
      <w:r w:rsidRPr="006C4B6C" w:rsidR="004D0259">
        <w:rPr>
          <w:sz w:val="26"/>
        </w:rPr>
        <w:t>72,329</w:t>
      </w:r>
      <w:r w:rsidRPr="006C4B6C">
        <w:rPr>
          <w:sz w:val="2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266D" w14:paraId="2FDD8067" w14:textId="649BD998">
    <w:pPr>
      <w:pStyle w:val="Header"/>
      <w:rPr>
        <w:rFonts w:ascii="Times New Roman" w:hAnsi="Times New Roman" w:cs="Times New Roman"/>
        <w:sz w:val="24"/>
        <w:szCs w:val="24"/>
      </w:rPr>
    </w:pPr>
    <w:r>
      <w:rPr>
        <w:rFonts w:ascii="Times New Roman" w:hAnsi="Times New Roman" w:cs="Times New Roman"/>
        <w:sz w:val="24"/>
        <w:szCs w:val="24"/>
      </w:rPr>
      <w:t>OMB Control No. 1902-0173 (FERC-717)</w:t>
    </w:r>
  </w:p>
  <w:p w:rsidR="0066266D" w14:paraId="5F93C5CF" w14:textId="376FD8D3">
    <w:pPr>
      <w:pStyle w:val="Header"/>
      <w:rPr>
        <w:rFonts w:ascii="Times New Roman" w:hAnsi="Times New Roman" w:cs="Times New Roman"/>
        <w:sz w:val="24"/>
        <w:szCs w:val="24"/>
      </w:rPr>
    </w:pPr>
    <w:r>
      <w:rPr>
        <w:rFonts w:ascii="Times New Roman" w:hAnsi="Times New Roman" w:cs="Times New Roman"/>
        <w:sz w:val="24"/>
        <w:szCs w:val="24"/>
      </w:rPr>
      <w:t xml:space="preserve">Docket Nos. </w:t>
    </w:r>
    <w:r w:rsidR="009C77C2">
      <w:rPr>
        <w:rFonts w:ascii="Times New Roman" w:hAnsi="Times New Roman" w:cs="Times New Roman"/>
        <w:sz w:val="24"/>
        <w:szCs w:val="24"/>
      </w:rPr>
      <w:t>IC</w:t>
    </w:r>
    <w:r w:rsidR="00A373F2">
      <w:rPr>
        <w:rFonts w:ascii="Times New Roman" w:hAnsi="Times New Roman" w:cs="Times New Roman"/>
        <w:sz w:val="24"/>
        <w:szCs w:val="24"/>
      </w:rPr>
      <w:t>23-14-000</w:t>
    </w:r>
  </w:p>
  <w:p w:rsidR="000818F2" w14:paraId="19FAF728" w14:textId="438F5D51">
    <w:pPr>
      <w:pStyle w:val="Header"/>
      <w:rPr>
        <w:rFonts w:ascii="Times New Roman" w:hAnsi="Times New Roman" w:cs="Times New Roman"/>
        <w:sz w:val="24"/>
        <w:szCs w:val="24"/>
      </w:rPr>
    </w:pPr>
  </w:p>
  <w:p w:rsidR="0066266D" w14:paraId="1E0A44B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B07D51"/>
    <w:multiLevelType w:val="hybridMultilevel"/>
    <w:tmpl w:val="B550358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0DD71ABE"/>
    <w:multiLevelType w:val="hybridMultilevel"/>
    <w:tmpl w:val="2B1C44A2"/>
    <w:lvl w:ilvl="0">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nsid w:val="178C0C08"/>
    <w:multiLevelType w:val="hybridMultilevel"/>
    <w:tmpl w:val="BD4CA990"/>
    <w:lvl w:ilvl="0">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nsid w:val="1A28168B"/>
    <w:multiLevelType w:val="hybridMultilevel"/>
    <w:tmpl w:val="ACA4B5B6"/>
    <w:lvl w:ilvl="0">
      <w:start w:val="327"/>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10F02A8"/>
    <w:multiLevelType w:val="hybridMultilevel"/>
    <w:tmpl w:val="1F3240CC"/>
    <w:lvl w:ilvl="0">
      <w:start w:val="1"/>
      <w:numFmt w:val="bullet"/>
      <w:lvlText w:val=""/>
      <w:lvlJc w:val="left"/>
      <w:pPr>
        <w:tabs>
          <w:tab w:val="num" w:pos="1500"/>
        </w:tabs>
        <w:ind w:left="1500" w:hanging="360"/>
      </w:pPr>
      <w:rPr>
        <w:rFonts w:ascii="Symbol" w:hAnsi="Symbol" w:hint="default"/>
        <w:color w:val="auto"/>
      </w:rPr>
    </w:lvl>
    <w:lvl w:ilvl="1">
      <w:start w:val="1"/>
      <w:numFmt w:val="bullet"/>
      <w:lvlText w:val="o"/>
      <w:lvlJc w:val="left"/>
      <w:pPr>
        <w:tabs>
          <w:tab w:val="num" w:pos="1500"/>
        </w:tabs>
        <w:ind w:left="1500" w:hanging="360"/>
      </w:pPr>
      <w:rPr>
        <w:rFonts w:ascii="Courier New" w:hAnsi="Courier New" w:cs="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cs="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cs="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5">
    <w:nsid w:val="33156D43"/>
    <w:multiLevelType w:val="multilevel"/>
    <w:tmpl w:val="B140707E"/>
    <w:lvl w:ilvl="0">
      <w:start w:val="1"/>
      <w:numFmt w:val="decimal"/>
      <w:pStyle w:val="ListContinue"/>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6">
    <w:nsid w:val="35AB0C9D"/>
    <w:multiLevelType w:val="hybridMultilevel"/>
    <w:tmpl w:val="9B5ED38E"/>
    <w:lvl w:ilvl="0">
      <w:start w:val="327"/>
      <w:numFmt w:val="bullet"/>
      <w:lvlText w:val="-"/>
      <w:lvlJc w:val="left"/>
      <w:pPr>
        <w:ind w:left="1440" w:hanging="360"/>
      </w:pPr>
      <w:rPr>
        <w:rFonts w:ascii="Calibri" w:hAnsi="Calibri" w:eastAsiaTheme="minorHAnsi" w:cs="Calibri" w:hint="default"/>
        <w:sz w:val="22"/>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42F164BD"/>
    <w:multiLevelType w:val="hybridMultilevel"/>
    <w:tmpl w:val="6F7C7FBE"/>
    <w:lvl w:ilvl="0">
      <w:start w:val="327"/>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9E80A66"/>
    <w:multiLevelType w:val="hybridMultilevel"/>
    <w:tmpl w:val="3D7C1524"/>
    <w:lvl w:ilvl="0">
      <w:start w:val="6"/>
      <w:numFmt w:val="lowerLetter"/>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
    <w:nsid w:val="4FCC1895"/>
    <w:multiLevelType w:val="hybridMultilevel"/>
    <w:tmpl w:val="632C2E0E"/>
    <w:lvl w:ilvl="0">
      <w:start w:val="1"/>
      <w:numFmt w:val="decimal"/>
      <w:lvlText w:val="%1."/>
      <w:lvlJc w:val="left"/>
      <w:pPr>
        <w:ind w:left="99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2031692"/>
    <w:multiLevelType w:val="hybridMultilevel"/>
    <w:tmpl w:val="437E93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B260868"/>
    <w:multiLevelType w:val="hybridMultilevel"/>
    <w:tmpl w:val="FF0638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CD21B64"/>
    <w:multiLevelType w:val="hybridMultilevel"/>
    <w:tmpl w:val="8A18239A"/>
    <w:lvl w:ilvl="0">
      <w:start w:val="327"/>
      <w:numFmt w:val="bullet"/>
      <w:lvlText w:val="-"/>
      <w:lvlJc w:val="left"/>
      <w:pPr>
        <w:ind w:left="1080" w:hanging="360"/>
      </w:pPr>
      <w:rPr>
        <w:rFonts w:ascii="Calibri" w:hAnsi="Calibri" w:eastAsiaTheme="minorHAnsi" w:cs="Calibri" w:hint="default"/>
        <w:sz w:val="2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607E18E4"/>
    <w:multiLevelType w:val="hybridMultilevel"/>
    <w:tmpl w:val="2E0A86B8"/>
    <w:lvl w:ilvl="0">
      <w:start w:val="1"/>
      <w:numFmt w:val="decimal"/>
      <w:lvlText w:val="(%1)"/>
      <w:lvlJc w:val="left"/>
      <w:pPr>
        <w:ind w:left="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lowerLetter"/>
      <w:lvlText w:val="%2"/>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7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4">
    <w:nsid w:val="643812E9"/>
    <w:multiLevelType w:val="hybridMultilevel"/>
    <w:tmpl w:val="5A167F8C"/>
    <w:lvl w:ilvl="0">
      <w:start w:val="8"/>
      <w:numFmt w:val="lowerLetter"/>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5">
    <w:nsid w:val="672835CA"/>
    <w:multiLevelType w:val="hybridMultilevel"/>
    <w:tmpl w:val="633420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D3B09D3"/>
    <w:multiLevelType w:val="hybridMultilevel"/>
    <w:tmpl w:val="CBA4F348"/>
    <w:lvl w:ilvl="0">
      <w:start w:val="1"/>
      <w:numFmt w:val="decimal"/>
      <w:lvlText w:val="%1."/>
      <w:lvlJc w:val="left"/>
      <w:pPr>
        <w:tabs>
          <w:tab w:val="num" w:pos="900"/>
        </w:tabs>
        <w:ind w:left="180" w:firstLine="0"/>
      </w:pPr>
      <w:rPr>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E4E4DD3"/>
    <w:multiLevelType w:val="hybridMultilevel"/>
    <w:tmpl w:val="7A9C585E"/>
    <w:lvl w:ilvl="0">
      <w:start w:val="1"/>
      <w:numFmt w:val="decimal"/>
      <w:pStyle w:val="FERCparanumber"/>
      <w:lvlText w:val="%1."/>
      <w:lvlJc w:val="left"/>
      <w:pPr>
        <w:tabs>
          <w:tab w:val="num" w:pos="720"/>
        </w:tabs>
        <w:ind w:left="0" w:firstLine="0"/>
      </w:pPr>
      <w:rPr>
        <w:rFonts w:hint="default"/>
      </w:rPr>
    </w:lvl>
    <w:lvl w:ilvl="1">
      <w:start w:val="1"/>
      <w:numFmt w:val="lowerLetter"/>
      <w:lvlText w:val="%2."/>
      <w:lvlJc w:val="left"/>
      <w:pPr>
        <w:tabs>
          <w:tab w:val="num" w:pos="1350"/>
        </w:tabs>
        <w:ind w:left="135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151092231">
    <w:abstractNumId w:val="9"/>
  </w:num>
  <w:num w:numId="2" w16cid:durableId="1466242843">
    <w:abstractNumId w:val="5"/>
  </w:num>
  <w:num w:numId="3" w16cid:durableId="1856964159">
    <w:abstractNumId w:val="11"/>
  </w:num>
  <w:num w:numId="4" w16cid:durableId="982351090">
    <w:abstractNumId w:val="15"/>
  </w:num>
  <w:num w:numId="5" w16cid:durableId="1408649852">
    <w:abstractNumId w:val="17"/>
  </w:num>
  <w:num w:numId="6" w16cid:durableId="1621917615">
    <w:abstractNumId w:val="0"/>
  </w:num>
  <w:num w:numId="7" w16cid:durableId="1945651055">
    <w:abstractNumId w:val="16"/>
  </w:num>
  <w:num w:numId="8" w16cid:durableId="1392919979">
    <w:abstractNumId w:val="10"/>
  </w:num>
  <w:num w:numId="9" w16cid:durableId="1585261582">
    <w:abstractNumId w:val="13"/>
  </w:num>
  <w:num w:numId="10" w16cid:durableId="733628165">
    <w:abstractNumId w:val="8"/>
  </w:num>
  <w:num w:numId="11" w16cid:durableId="235676145">
    <w:abstractNumId w:val="2"/>
  </w:num>
  <w:num w:numId="12" w16cid:durableId="684333827">
    <w:abstractNumId w:val="14"/>
  </w:num>
  <w:num w:numId="13" w16cid:durableId="1899853842">
    <w:abstractNumId w:val="1"/>
  </w:num>
  <w:num w:numId="14" w16cid:durableId="245698731">
    <w:abstractNumId w:val="4"/>
  </w:num>
  <w:num w:numId="15" w16cid:durableId="1105540122">
    <w:abstractNumId w:val="7"/>
  </w:num>
  <w:num w:numId="16" w16cid:durableId="1580947994">
    <w:abstractNumId w:val="12"/>
  </w:num>
  <w:num w:numId="17" w16cid:durableId="1841919885">
    <w:abstractNumId w:val="6"/>
  </w:num>
  <w:num w:numId="18" w16cid:durableId="15230880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266D"/>
    <w:rsid w:val="0001583D"/>
    <w:rsid w:val="000417D0"/>
    <w:rsid w:val="00051BCA"/>
    <w:rsid w:val="000542B5"/>
    <w:rsid w:val="0007211F"/>
    <w:rsid w:val="00075985"/>
    <w:rsid w:val="000818F2"/>
    <w:rsid w:val="000C0848"/>
    <w:rsid w:val="000C6663"/>
    <w:rsid w:val="000C69AD"/>
    <w:rsid w:val="00104311"/>
    <w:rsid w:val="00105B35"/>
    <w:rsid w:val="001215DB"/>
    <w:rsid w:val="0015255B"/>
    <w:rsid w:val="00153A13"/>
    <w:rsid w:val="0017129C"/>
    <w:rsid w:val="0017704A"/>
    <w:rsid w:val="00186D0A"/>
    <w:rsid w:val="00187BB2"/>
    <w:rsid w:val="001A6670"/>
    <w:rsid w:val="001B630A"/>
    <w:rsid w:val="001D1438"/>
    <w:rsid w:val="001D5754"/>
    <w:rsid w:val="001F084A"/>
    <w:rsid w:val="00227CE2"/>
    <w:rsid w:val="00252E31"/>
    <w:rsid w:val="00265B16"/>
    <w:rsid w:val="002C57A1"/>
    <w:rsid w:val="002D1466"/>
    <w:rsid w:val="002D73AA"/>
    <w:rsid w:val="002F2DE2"/>
    <w:rsid w:val="00302DBB"/>
    <w:rsid w:val="003257EE"/>
    <w:rsid w:val="003372B6"/>
    <w:rsid w:val="00354E21"/>
    <w:rsid w:val="0035681E"/>
    <w:rsid w:val="00364707"/>
    <w:rsid w:val="00375049"/>
    <w:rsid w:val="00385185"/>
    <w:rsid w:val="003904F0"/>
    <w:rsid w:val="003A43C4"/>
    <w:rsid w:val="003B3183"/>
    <w:rsid w:val="003B416F"/>
    <w:rsid w:val="003E594A"/>
    <w:rsid w:val="003E5D7C"/>
    <w:rsid w:val="00402896"/>
    <w:rsid w:val="00407D02"/>
    <w:rsid w:val="0041695D"/>
    <w:rsid w:val="00434D13"/>
    <w:rsid w:val="0043790E"/>
    <w:rsid w:val="00477002"/>
    <w:rsid w:val="00482BC4"/>
    <w:rsid w:val="00485BE1"/>
    <w:rsid w:val="004929E2"/>
    <w:rsid w:val="00495BE0"/>
    <w:rsid w:val="004A2E18"/>
    <w:rsid w:val="004B29E9"/>
    <w:rsid w:val="004C40BD"/>
    <w:rsid w:val="004D0259"/>
    <w:rsid w:val="004D54DE"/>
    <w:rsid w:val="004F1E6B"/>
    <w:rsid w:val="004F4C64"/>
    <w:rsid w:val="00514F54"/>
    <w:rsid w:val="00552993"/>
    <w:rsid w:val="00560399"/>
    <w:rsid w:val="00575354"/>
    <w:rsid w:val="00577F0E"/>
    <w:rsid w:val="00592F54"/>
    <w:rsid w:val="005B2974"/>
    <w:rsid w:val="005B40B0"/>
    <w:rsid w:val="005C42CE"/>
    <w:rsid w:val="005E2E72"/>
    <w:rsid w:val="0064218D"/>
    <w:rsid w:val="0065667B"/>
    <w:rsid w:val="0066266D"/>
    <w:rsid w:val="00662C27"/>
    <w:rsid w:val="00685A42"/>
    <w:rsid w:val="0069089E"/>
    <w:rsid w:val="006C4B6C"/>
    <w:rsid w:val="006C7823"/>
    <w:rsid w:val="006E66D9"/>
    <w:rsid w:val="006F6E24"/>
    <w:rsid w:val="00700866"/>
    <w:rsid w:val="00703FF7"/>
    <w:rsid w:val="00717F84"/>
    <w:rsid w:val="00720706"/>
    <w:rsid w:val="0072495B"/>
    <w:rsid w:val="0073230B"/>
    <w:rsid w:val="00787955"/>
    <w:rsid w:val="007D096C"/>
    <w:rsid w:val="007E4550"/>
    <w:rsid w:val="007E67C5"/>
    <w:rsid w:val="00825256"/>
    <w:rsid w:val="00837C14"/>
    <w:rsid w:val="0087290D"/>
    <w:rsid w:val="00873C4C"/>
    <w:rsid w:val="008A4DE7"/>
    <w:rsid w:val="008B05D4"/>
    <w:rsid w:val="008C144F"/>
    <w:rsid w:val="008D2220"/>
    <w:rsid w:val="008E1D04"/>
    <w:rsid w:val="008F42DC"/>
    <w:rsid w:val="009163A5"/>
    <w:rsid w:val="00917277"/>
    <w:rsid w:val="00917E51"/>
    <w:rsid w:val="0093305C"/>
    <w:rsid w:val="00972E20"/>
    <w:rsid w:val="009815C6"/>
    <w:rsid w:val="009B3193"/>
    <w:rsid w:val="009C037F"/>
    <w:rsid w:val="009C14FC"/>
    <w:rsid w:val="009C77C2"/>
    <w:rsid w:val="009E4FC4"/>
    <w:rsid w:val="009E4FCE"/>
    <w:rsid w:val="009E56D1"/>
    <w:rsid w:val="009F08D4"/>
    <w:rsid w:val="00A27F68"/>
    <w:rsid w:val="00A34F7A"/>
    <w:rsid w:val="00A373F2"/>
    <w:rsid w:val="00A53898"/>
    <w:rsid w:val="00A64619"/>
    <w:rsid w:val="00A82522"/>
    <w:rsid w:val="00A85EC6"/>
    <w:rsid w:val="00B10968"/>
    <w:rsid w:val="00B75867"/>
    <w:rsid w:val="00B851C8"/>
    <w:rsid w:val="00B9327E"/>
    <w:rsid w:val="00BA24B8"/>
    <w:rsid w:val="00BA385E"/>
    <w:rsid w:val="00BB2B24"/>
    <w:rsid w:val="00BC4DE5"/>
    <w:rsid w:val="00BD4273"/>
    <w:rsid w:val="00BE743D"/>
    <w:rsid w:val="00BE7F4D"/>
    <w:rsid w:val="00BF7996"/>
    <w:rsid w:val="00C07889"/>
    <w:rsid w:val="00C54F5A"/>
    <w:rsid w:val="00C60F53"/>
    <w:rsid w:val="00CC53C5"/>
    <w:rsid w:val="00CE5C1C"/>
    <w:rsid w:val="00CF25E0"/>
    <w:rsid w:val="00CF6B3B"/>
    <w:rsid w:val="00D0794B"/>
    <w:rsid w:val="00D107E5"/>
    <w:rsid w:val="00D470C7"/>
    <w:rsid w:val="00D84E40"/>
    <w:rsid w:val="00D9710D"/>
    <w:rsid w:val="00DA3E86"/>
    <w:rsid w:val="00DA4E89"/>
    <w:rsid w:val="00DB3897"/>
    <w:rsid w:val="00DC0863"/>
    <w:rsid w:val="00DD18BC"/>
    <w:rsid w:val="00DF1F9B"/>
    <w:rsid w:val="00E041BE"/>
    <w:rsid w:val="00E13DD9"/>
    <w:rsid w:val="00E1787A"/>
    <w:rsid w:val="00E34234"/>
    <w:rsid w:val="00E46D55"/>
    <w:rsid w:val="00E73D71"/>
    <w:rsid w:val="00E9236C"/>
    <w:rsid w:val="00ED14C2"/>
    <w:rsid w:val="00F0051C"/>
    <w:rsid w:val="00F42F3C"/>
    <w:rsid w:val="00F77D35"/>
    <w:rsid w:val="00F93493"/>
    <w:rsid w:val="00FA5369"/>
    <w:rsid w:val="00FD401D"/>
    <w:rsid w:val="00FD5334"/>
    <w:rsid w:val="00FF0D1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7B89CFA"/>
  <w15:docId w15:val="{706809B1-FFA6-4028-9015-F487D50A5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uiPriority w:val="34"/>
    <w:qFormat/>
    <w:pPr>
      <w:ind w:left="720"/>
      <w:contextualSpacing/>
    </w:pPr>
  </w:style>
  <w:style w:type="paragraph" w:styleId="ListContinue">
    <w:name w:val="List Continue"/>
    <w:basedOn w:val="Normal"/>
    <w:pPr>
      <w:numPr>
        <w:numId w:val="2"/>
      </w:numPr>
      <w:spacing w:after="120" w:line="480" w:lineRule="auto"/>
    </w:pPr>
    <w:rPr>
      <w:rFonts w:ascii="Times New Roman" w:eastAsia="Times New Roman" w:hAnsi="Times New Roman" w:cs="Times New Roman"/>
      <w:sz w:val="26"/>
      <w:szCs w:val="24"/>
    </w:rPr>
  </w:style>
  <w:style w:type="paragraph" w:customStyle="1" w:styleId="LegalFormat">
    <w:name w:val="Legal Format"/>
    <w:basedOn w:val="ListContinue"/>
    <w:pPr>
      <w:spacing w:after="0"/>
      <w:ind w:left="0"/>
    </w:pPr>
    <w:rPr>
      <w:u w:val="single"/>
    </w:rPr>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qFormat/>
  </w:style>
  <w:style w:type="paragraph" w:styleId="FootnoteText">
    <w:name w:val="footnote text"/>
    <w:aliases w:val=" Char,Char,Footnote Text Char Char Char Char Char,Footnote Text Char Char1 Char,Footnote Text Char1 Char Char Char,Footnote Text Char1 Char Char Char Char Char Char Char,Footnote Text Char1 Char1 Char,Footnote Text Char2 Char,fn,fn1,fn3,ft"/>
    <w:basedOn w:val="Normal"/>
    <w:link w:val="FootnoteTextChar1"/>
    <w:qFormat/>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 Char Char Char,Footnote Text Char Char Char1,Footnote Text Char1 Char Char1,Footnote Text Char1 Char2,Footnote Text Char3 Char,Footnote Text MRP Char,fn1 Char"/>
    <w:basedOn w:val="DefaultParagraphFont"/>
    <w:uiPriority w:val="99"/>
    <w:rPr>
      <w:sz w:val="20"/>
      <w:szCs w:val="20"/>
    </w:rPr>
  </w:style>
  <w:style w:type="character" w:customStyle="1" w:styleId="FootnoteTextChar1">
    <w:name w:val="Footnote Text Char1"/>
    <w:aliases w:val="Footnote Text Char Char Char Char Char Char,Footnote Text Char Char1 Char Char,Footnote Text Char1 Char Char Char Char,Footnote Text Char1 Char Char Char Char Char Char Char Char,Footnote Text Char2 Char Char,fn Char,fn3 Char,ft Char"/>
    <w:link w:val="FootnoteText"/>
    <w:rPr>
      <w:rFonts w:ascii="Times New Roman" w:eastAsia="Times New Roman" w:hAnsi="Times New Roman" w:cs="Times New Roman"/>
      <w:sz w:val="20"/>
      <w:szCs w:val="20"/>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styleId="Hyperlink">
    <w:name w:val="Hyperlink"/>
    <w:basedOn w:val="DefaultParagraphFont"/>
    <w:uiPriority w:val="99"/>
    <w:unhideWhenUsed/>
    <w:rPr>
      <w:color w:val="0000FF" w:themeColor="hyperlink"/>
      <w:u w:val="single"/>
    </w:rPr>
  </w:style>
  <w:style w:type="paragraph" w:customStyle="1" w:styleId="FERCparanumber">
    <w:name w:val="FERC paranumber"/>
    <w:basedOn w:val="Normal"/>
    <w:link w:val="FERCparanumberChar"/>
    <w:qFormat/>
    <w:pPr>
      <w:numPr>
        <w:numId w:val="5"/>
      </w:numPr>
      <w:autoSpaceDE w:val="0"/>
      <w:autoSpaceDN w:val="0"/>
      <w:adjustRightInd w:val="0"/>
      <w:spacing w:after="0" w:line="480" w:lineRule="auto"/>
    </w:pPr>
    <w:rPr>
      <w:rFonts w:ascii="Times New Roman" w:eastAsia="Times New Roman" w:hAnsi="Times New Roman" w:cs="Times New Roman"/>
      <w:sz w:val="26"/>
      <w:szCs w:val="24"/>
    </w:rPr>
  </w:style>
  <w:style w:type="character" w:customStyle="1" w:styleId="FERCparanumberChar">
    <w:name w:val="FERC paranumber Char"/>
    <w:link w:val="FERCparanumber"/>
    <w:rPr>
      <w:rFonts w:ascii="Times New Roman" w:eastAsia="Times New Roman" w:hAnsi="Times New Roman" w:cs="Times New Roman"/>
      <w:sz w:val="26"/>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FollowedHyperlink">
    <w:name w:val="FollowedHyperlink"/>
    <w:basedOn w:val="DefaultParagraphFont"/>
    <w:uiPriority w:val="99"/>
    <w:semiHidden/>
    <w:unhideWhenUsed/>
    <w:rsid w:val="00514F54"/>
    <w:rPr>
      <w:color w:val="800080" w:themeColor="followedHyperlink"/>
      <w:u w:val="single"/>
    </w:rPr>
  </w:style>
  <w:style w:type="character" w:styleId="UnresolvedMention">
    <w:name w:val="Unresolved Mention"/>
    <w:basedOn w:val="DefaultParagraphFont"/>
    <w:uiPriority w:val="99"/>
    <w:semiHidden/>
    <w:unhideWhenUsed/>
    <w:rsid w:val="001A66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ferc.gov/media/information-colle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3B788DBE4EC674DA43FFFAC61CE420A" ma:contentTypeVersion="11" ma:contentTypeDescription="Create a new document." ma:contentTypeScope="" ma:versionID="a7fe3cc153c473ec2cb313c23d3ca5b3">
  <xsd:schema xmlns:xsd="http://www.w3.org/2001/XMLSchema" xmlns:xs="http://www.w3.org/2001/XMLSchema" xmlns:p="http://schemas.microsoft.com/office/2006/metadata/properties" xmlns:ns1="http://schemas.microsoft.com/sharepoint/v3" xmlns:ns2="3ba234e7-5332-4888-8100-1eba4e1e478e" xmlns:ns3="5b614717-fa42-4d55-8c6b-b7d98cda7b53" xmlns:ns4="http://schemas.microsoft.com/sharepoint/v4" targetNamespace="http://schemas.microsoft.com/office/2006/metadata/properties" ma:root="true" ma:fieldsID="efea5c61c61edd443a64ff842ab74346" ns1:_="" ns2:_="" ns3:_="" ns4:_="">
    <xsd:import namespace="http://schemas.microsoft.com/sharepoint/v3"/>
    <xsd:import namespace="3ba234e7-5332-4888-8100-1eba4e1e478e"/>
    <xsd:import namespace="5b614717-fa42-4d55-8c6b-b7d98cda7b53"/>
    <xsd:import namespace="http://schemas.microsoft.com/sharepoint/v4"/>
    <xsd:element name="properties">
      <xsd:complexType>
        <xsd:sequence>
          <xsd:element name="documentManagement">
            <xsd:complexType>
              <xsd:all>
                <xsd:element ref="ns1:ReportOwner" minOccurs="0"/>
                <xsd:element ref="ns2:MediaServiceMetadata" minOccurs="0"/>
                <xsd:element ref="ns2:MediaServiceFastMetadata" minOccurs="0"/>
                <xsd:element ref="ns2:MediaServiceObjectDetectorVersions" minOccurs="0"/>
                <xsd:element ref="ns3:SharedWithUsers" minOccurs="0"/>
                <xsd:element ref="ns3:SharedWithDetail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Owner" ma:index="8"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a234e7-5332-4888-8100-1eba4e1e478e"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614717-fa42-4d55-8c6b-b7d98cda7b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IconOverlay xmlns="http://schemas.microsoft.com/sharepoint/v4" xsi:nil="true"/>
    <ReportOwner xmlns="http://schemas.microsoft.com/sharepoint/v3">
      <UserInfo>
        <DisplayName/>
        <AccountId xsi:nil="true"/>
        <AccountType/>
      </UserInfo>
    </ReportOwner>
  </documentManagement>
</p:properties>
</file>

<file path=customXml/itemProps1.xml><?xml version="1.0" encoding="utf-8"?>
<ds:datastoreItem xmlns:ds="http://schemas.openxmlformats.org/officeDocument/2006/customXml" ds:itemID="{D9C6C5CF-3CE0-47E8-B44B-CB4D7C85D04F}">
  <ds:schemaRefs>
    <ds:schemaRef ds:uri="http://schemas.microsoft.com/sharepoint/v3/contenttype/forms"/>
  </ds:schemaRefs>
</ds:datastoreItem>
</file>

<file path=customXml/itemProps2.xml><?xml version="1.0" encoding="utf-8"?>
<ds:datastoreItem xmlns:ds="http://schemas.openxmlformats.org/officeDocument/2006/customXml" ds:itemID="{65ACC15D-5058-451D-B7E7-1A0E00B4F761}">
  <ds:schemaRefs>
    <ds:schemaRef ds:uri="http://schemas.openxmlformats.org/officeDocument/2006/bibliography"/>
  </ds:schemaRefs>
</ds:datastoreItem>
</file>

<file path=customXml/itemProps3.xml><?xml version="1.0" encoding="utf-8"?>
<ds:datastoreItem xmlns:ds="http://schemas.openxmlformats.org/officeDocument/2006/customXml" ds:itemID="{C1F54A62-636B-497C-ADDC-D9288A4F14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ba234e7-5332-4888-8100-1eba4e1e478e"/>
    <ds:schemaRef ds:uri="5b614717-fa42-4d55-8c6b-b7d98cda7b5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3A4479-0543-455B-A152-110FB41B2830}">
  <ds:schemaRefs>
    <ds:schemaRef ds:uri="http://schemas.microsoft.com/office/2006/metadata/properties"/>
    <ds:schemaRef ds:uri="http://schemas.microsoft.com/sharepoint/v4"/>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2778</Words>
  <Characters>15838</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FERC-717 renewal supp9rting statement</vt:lpstr>
    </vt:vector>
  </TitlesOfParts>
  <Company>FERC</Company>
  <LinksUpToDate>false</LinksUpToDate>
  <CharactersWithSpaces>18579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FERC-717 renewal supp9rting statement</dc:title>
  <dc:creator>ferc</dc:creator>
  <cp:lastModifiedBy>Jean Sonneman</cp:lastModifiedBy>
  <cp:revision>3</cp:revision>
  <dcterms:created xsi:type="dcterms:W3CDTF">2023-12-21T21:42:00Z</dcterms:created>
  <dcterms:modified xsi:type="dcterms:W3CDTF">2023-12-21T21:43:00Z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0x010100D3B788DBE4EC674DA43FFFAC61CE420A</vt:lpwstr>
  </property>
  <property fmtid="{D5CDD505-2E9C-101B-9397-08002B2CF9AE}" pid="3" name="MSIP_Label_6155a89b-0f08-4a93-8ea2-8a916d6643b5_ActionId">
    <vt:lpwstr>0699ffee-6594-418f-b540-7ceec60401fb</vt:lpwstr>
  </property>
  <property fmtid="{D5CDD505-2E9C-101B-9397-08002B2CF9AE}" pid="4" name="MSIP_Label_6155a89b-0f08-4a93-8ea2-8a916d6643b5_Application">
    <vt:lpwstr>Microsoft Azure Information Protection</vt:lpwstr>
  </property>
  <property fmtid="{D5CDD505-2E9C-101B-9397-08002B2CF9AE}" pid="5" name="MSIP_Label_6155a89b-0f08-4a93-8ea2-8a916d6643b5_Enabled">
    <vt:lpwstr>True</vt:lpwstr>
  </property>
  <property fmtid="{D5CDD505-2E9C-101B-9397-08002B2CF9AE}" pid="6" name="MSIP_Label_6155a89b-0f08-4a93-8ea2-8a916d6643b5_Extended_MSFT_Method">
    <vt:lpwstr>Manual</vt:lpwstr>
  </property>
  <property fmtid="{D5CDD505-2E9C-101B-9397-08002B2CF9AE}" pid="7" name="MSIP_Label_6155a89b-0f08-4a93-8ea2-8a916d6643b5_Name">
    <vt:lpwstr>General</vt:lpwstr>
  </property>
  <property fmtid="{D5CDD505-2E9C-101B-9397-08002B2CF9AE}" pid="8" name="MSIP_Label_6155a89b-0f08-4a93-8ea2-8a916d6643b5_Owner">
    <vt:lpwstr>Kayla.Williams@ferc.gov</vt:lpwstr>
  </property>
  <property fmtid="{D5CDD505-2E9C-101B-9397-08002B2CF9AE}" pid="9" name="MSIP_Label_6155a89b-0f08-4a93-8ea2-8a916d6643b5_SetDate">
    <vt:lpwstr>2020-11-06T22:42:08.6439203Z</vt:lpwstr>
  </property>
  <property fmtid="{D5CDD505-2E9C-101B-9397-08002B2CF9AE}" pid="10" name="MSIP_Label_6155a89b-0f08-4a93-8ea2-8a916d6643b5_SiteId">
    <vt:lpwstr>19caa9e9-04ff-43fa-885f-d77fac387903</vt:lpwstr>
  </property>
  <property fmtid="{D5CDD505-2E9C-101B-9397-08002B2CF9AE}" pid="11" name="Sensitivity">
    <vt:lpwstr>General</vt:lpwstr>
  </property>
</Properties>
</file>