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214B" w:rsidP="00BD0F89" w14:paraId="0DE46580" w14:textId="77777777">
      <w:pPr>
        <w:spacing w:after="0" w:line="240" w:lineRule="auto"/>
        <w:jc w:val="center"/>
        <w:rPr>
          <w:rFonts w:ascii="Times New Roman" w:hAnsi="Times New Roman"/>
          <w:b/>
          <w:bCs/>
          <w:sz w:val="26"/>
          <w:szCs w:val="26"/>
        </w:rPr>
      </w:pPr>
    </w:p>
    <w:p w:rsidR="009C7F55" w:rsidRPr="00FB4D45" w:rsidP="00BD0F89" w14:paraId="17D3E202" w14:textId="01254568">
      <w:pPr>
        <w:spacing w:after="0" w:line="240" w:lineRule="auto"/>
        <w:jc w:val="center"/>
        <w:rPr>
          <w:rFonts w:ascii="Times New Roman" w:hAnsi="Times New Roman"/>
          <w:b/>
          <w:bCs/>
          <w:sz w:val="26"/>
          <w:szCs w:val="26"/>
        </w:rPr>
      </w:pPr>
      <w:r w:rsidRPr="0062408D">
        <w:rPr>
          <w:rFonts w:ascii="Times New Roman" w:hAnsi="Times New Roman"/>
          <w:b/>
          <w:bCs/>
          <w:sz w:val="26"/>
          <w:szCs w:val="26"/>
        </w:rPr>
        <w:t>Consolidated</w:t>
      </w:r>
      <w:r w:rsidRPr="00421ABB">
        <w:rPr>
          <w:rFonts w:ascii="Times New Roman" w:hAnsi="Times New Roman"/>
          <w:b/>
          <w:bCs/>
          <w:sz w:val="26"/>
          <w:szCs w:val="26"/>
        </w:rPr>
        <w:t xml:space="preserve"> </w:t>
      </w:r>
      <w:r w:rsidRPr="00FB4D45">
        <w:rPr>
          <w:rFonts w:ascii="Times New Roman" w:hAnsi="Times New Roman"/>
          <w:b/>
          <w:bCs/>
          <w:sz w:val="26"/>
          <w:szCs w:val="26"/>
        </w:rPr>
        <w:t>Supporting Statement</w:t>
      </w:r>
      <w:r w:rsidRPr="00FB4D45" w:rsidR="002953E1">
        <w:rPr>
          <w:rFonts w:ascii="Times New Roman" w:hAnsi="Times New Roman"/>
          <w:b/>
          <w:bCs/>
          <w:sz w:val="26"/>
          <w:szCs w:val="26"/>
        </w:rPr>
        <w:t xml:space="preserve"> for</w:t>
      </w:r>
    </w:p>
    <w:p w:rsidR="009D3942" w:rsidRPr="0073506C" w:rsidP="00BD0F89" w14:paraId="21AA4489" w14:textId="3D01E808">
      <w:pPr>
        <w:spacing w:after="0" w:line="240" w:lineRule="auto"/>
        <w:jc w:val="center"/>
        <w:rPr>
          <w:rFonts w:ascii="Times New Roman" w:hAnsi="Times New Roman"/>
          <w:b/>
          <w:sz w:val="26"/>
          <w:szCs w:val="26"/>
        </w:rPr>
      </w:pPr>
      <w:r w:rsidRPr="0073506C">
        <w:rPr>
          <w:rFonts w:ascii="Times New Roman" w:hAnsi="Times New Roman"/>
          <w:b/>
          <w:sz w:val="26"/>
          <w:szCs w:val="26"/>
        </w:rPr>
        <w:t>FERC Form Nos. 1</w:t>
      </w:r>
      <w:r w:rsidR="00C632FE">
        <w:rPr>
          <w:rFonts w:ascii="Times New Roman" w:hAnsi="Times New Roman"/>
          <w:b/>
          <w:sz w:val="26"/>
          <w:szCs w:val="26"/>
        </w:rPr>
        <w:t>,</w:t>
      </w:r>
      <w:r w:rsidRPr="0073506C">
        <w:rPr>
          <w:rFonts w:ascii="Times New Roman" w:hAnsi="Times New Roman"/>
          <w:b/>
          <w:sz w:val="26"/>
          <w:szCs w:val="26"/>
        </w:rPr>
        <w:t xml:space="preserve"> 1-</w:t>
      </w:r>
      <w:r w:rsidR="00FC3AB3">
        <w:rPr>
          <w:rFonts w:ascii="Times New Roman" w:hAnsi="Times New Roman"/>
          <w:b/>
          <w:sz w:val="26"/>
          <w:szCs w:val="26"/>
        </w:rPr>
        <w:t>F</w:t>
      </w:r>
      <w:r w:rsidR="00C632FE">
        <w:rPr>
          <w:rFonts w:ascii="Times New Roman" w:hAnsi="Times New Roman"/>
          <w:b/>
          <w:sz w:val="26"/>
          <w:szCs w:val="26"/>
        </w:rPr>
        <w:t>,</w:t>
      </w:r>
      <w:r w:rsidR="0058372E">
        <w:rPr>
          <w:rFonts w:ascii="Times New Roman" w:hAnsi="Times New Roman"/>
          <w:b/>
          <w:sz w:val="26"/>
          <w:szCs w:val="26"/>
        </w:rPr>
        <w:t xml:space="preserve"> </w:t>
      </w:r>
      <w:r w:rsidRPr="0073506C">
        <w:rPr>
          <w:rFonts w:ascii="Times New Roman" w:hAnsi="Times New Roman"/>
          <w:b/>
          <w:sz w:val="26"/>
          <w:szCs w:val="26"/>
        </w:rPr>
        <w:t>3-Q</w:t>
      </w:r>
      <w:r w:rsidR="00C632FE">
        <w:rPr>
          <w:rFonts w:ascii="Times New Roman" w:hAnsi="Times New Roman"/>
          <w:b/>
          <w:sz w:val="26"/>
          <w:szCs w:val="26"/>
        </w:rPr>
        <w:t xml:space="preserve"> </w:t>
      </w:r>
      <w:r w:rsidRPr="0073506C">
        <w:rPr>
          <w:rFonts w:ascii="Times New Roman" w:hAnsi="Times New Roman"/>
          <w:b/>
          <w:sz w:val="26"/>
          <w:szCs w:val="26"/>
        </w:rPr>
        <w:t>(electric)</w:t>
      </w:r>
      <w:r w:rsidR="00C90390">
        <w:rPr>
          <w:rFonts w:ascii="Times New Roman" w:hAnsi="Times New Roman"/>
          <w:b/>
          <w:sz w:val="26"/>
          <w:szCs w:val="26"/>
        </w:rPr>
        <w:t>, and 60</w:t>
      </w:r>
      <w:r w:rsidR="00DF0BBE">
        <w:rPr>
          <w:rFonts w:ascii="Times New Roman" w:hAnsi="Times New Roman"/>
          <w:b/>
          <w:sz w:val="26"/>
          <w:szCs w:val="26"/>
        </w:rPr>
        <w:t xml:space="preserve"> as modified by RM21-11-000</w:t>
      </w:r>
    </w:p>
    <w:p w:rsidR="009D3942" w:rsidRPr="0073506C" w:rsidP="00BD0F89" w14:paraId="1C13F22C" w14:textId="77777777">
      <w:pPr>
        <w:spacing w:after="0" w:line="240" w:lineRule="auto"/>
        <w:jc w:val="center"/>
        <w:rPr>
          <w:rFonts w:ascii="Times New Roman" w:hAnsi="Times New Roman"/>
          <w:b/>
          <w:sz w:val="26"/>
          <w:szCs w:val="26"/>
        </w:rPr>
      </w:pPr>
    </w:p>
    <w:p w:rsidR="009D4944" w14:paraId="7E3C0548" w14:textId="699C6E28">
      <w:pPr>
        <w:spacing w:after="0" w:line="240" w:lineRule="auto"/>
        <w:rPr>
          <w:rFonts w:ascii="Times New Roman" w:hAnsi="Times New Roman"/>
          <w:sz w:val="26"/>
          <w:szCs w:val="26"/>
          <w:vertAlign w:val="superscript"/>
        </w:rPr>
      </w:pPr>
      <w:r w:rsidRPr="0073506C">
        <w:rPr>
          <w:rFonts w:ascii="Times New Roman" w:hAnsi="Times New Roman"/>
          <w:sz w:val="26"/>
          <w:szCs w:val="26"/>
        </w:rPr>
        <w:t>The Federal Energy Regulatory Commission (</w:t>
      </w:r>
      <w:r w:rsidRPr="0073506C" w:rsidR="00D13613">
        <w:rPr>
          <w:rFonts w:ascii="Times New Roman" w:hAnsi="Times New Roman"/>
          <w:sz w:val="26"/>
          <w:szCs w:val="26"/>
        </w:rPr>
        <w:t xml:space="preserve">Commission or </w:t>
      </w:r>
      <w:r w:rsidRPr="0073506C">
        <w:rPr>
          <w:rFonts w:ascii="Times New Roman" w:hAnsi="Times New Roman"/>
          <w:sz w:val="26"/>
          <w:szCs w:val="26"/>
        </w:rPr>
        <w:t xml:space="preserve">FERC) requests </w:t>
      </w:r>
      <w:r w:rsidR="004A25C1">
        <w:rPr>
          <w:rFonts w:ascii="Times New Roman" w:hAnsi="Times New Roman"/>
          <w:sz w:val="26"/>
          <w:szCs w:val="26"/>
        </w:rPr>
        <w:t xml:space="preserve">that </w:t>
      </w:r>
      <w:r w:rsidRPr="0073506C">
        <w:rPr>
          <w:rFonts w:ascii="Times New Roman" w:hAnsi="Times New Roman"/>
          <w:sz w:val="26"/>
          <w:szCs w:val="26"/>
        </w:rPr>
        <w:t>the Office of Management and Budget (OMB)</w:t>
      </w:r>
      <w:r w:rsidR="00C632FE">
        <w:rPr>
          <w:rFonts w:ascii="Times New Roman" w:hAnsi="Times New Roman"/>
          <w:sz w:val="26"/>
          <w:szCs w:val="26"/>
        </w:rPr>
        <w:t xml:space="preserve"> </w:t>
      </w:r>
      <w:r w:rsidRPr="0073506C">
        <w:rPr>
          <w:rFonts w:ascii="Times New Roman" w:hAnsi="Times New Roman"/>
          <w:sz w:val="26"/>
          <w:szCs w:val="26"/>
        </w:rPr>
        <w:t>approv</w:t>
      </w:r>
      <w:r w:rsidRPr="0073506C" w:rsidR="00EB790F">
        <w:rPr>
          <w:rFonts w:ascii="Times New Roman" w:hAnsi="Times New Roman"/>
          <w:sz w:val="26"/>
          <w:szCs w:val="26"/>
        </w:rPr>
        <w:t>e</w:t>
      </w:r>
      <w:r w:rsidRPr="0073506C">
        <w:rPr>
          <w:rFonts w:ascii="Times New Roman" w:hAnsi="Times New Roman"/>
          <w:sz w:val="26"/>
          <w:szCs w:val="26"/>
        </w:rPr>
        <w:t xml:space="preserve"> </w:t>
      </w:r>
      <w:r>
        <w:rPr>
          <w:rFonts w:ascii="Times New Roman" w:hAnsi="Times New Roman"/>
          <w:sz w:val="26"/>
          <w:szCs w:val="26"/>
        </w:rPr>
        <w:t xml:space="preserve">updates to the requirements as defined in </w:t>
      </w:r>
      <w:r w:rsidR="00DC50A0">
        <w:rPr>
          <w:rFonts w:ascii="Times New Roman" w:hAnsi="Times New Roman"/>
          <w:sz w:val="26"/>
          <w:szCs w:val="26"/>
        </w:rPr>
        <w:t>this Final Rule</w:t>
      </w:r>
      <w:r>
        <w:rPr>
          <w:rFonts w:ascii="Times New Roman" w:hAnsi="Times New Roman"/>
          <w:sz w:val="26"/>
          <w:szCs w:val="26"/>
        </w:rPr>
        <w:t xml:space="preserve"> RM21-11-000</w:t>
      </w:r>
      <w:r w:rsidR="004A25C1">
        <w:rPr>
          <w:rFonts w:ascii="Times New Roman" w:hAnsi="Times New Roman"/>
          <w:sz w:val="26"/>
          <w:szCs w:val="26"/>
        </w:rPr>
        <w:t>,</w:t>
      </w:r>
      <w:r>
        <w:rPr>
          <w:rFonts w:ascii="Times New Roman" w:hAnsi="Times New Roman"/>
          <w:sz w:val="26"/>
          <w:szCs w:val="26"/>
        </w:rPr>
        <w:t xml:space="preserve"> which update</w:t>
      </w:r>
      <w:r w:rsidR="004A25C1">
        <w:rPr>
          <w:rFonts w:ascii="Times New Roman" w:hAnsi="Times New Roman"/>
          <w:sz w:val="26"/>
          <w:szCs w:val="26"/>
        </w:rPr>
        <w:t>s</w:t>
      </w:r>
      <w:r>
        <w:rPr>
          <w:rFonts w:ascii="Times New Roman" w:hAnsi="Times New Roman"/>
          <w:sz w:val="26"/>
          <w:szCs w:val="26"/>
        </w:rPr>
        <w:t xml:space="preserve"> </w:t>
      </w:r>
      <w:r w:rsidRPr="0073506C" w:rsidR="00DC516E">
        <w:rPr>
          <w:rFonts w:ascii="Times New Roman" w:hAnsi="Times New Roman"/>
          <w:sz w:val="26"/>
          <w:szCs w:val="26"/>
        </w:rPr>
        <w:t>FERC Form Nos. 1</w:t>
      </w:r>
      <w:r w:rsidR="00C632FE">
        <w:rPr>
          <w:rFonts w:ascii="Times New Roman" w:hAnsi="Times New Roman"/>
          <w:sz w:val="26"/>
          <w:szCs w:val="26"/>
        </w:rPr>
        <w:t>,</w:t>
      </w:r>
      <w:r w:rsidRPr="0073506C" w:rsidR="00DC516E">
        <w:rPr>
          <w:rFonts w:ascii="Times New Roman" w:hAnsi="Times New Roman"/>
          <w:sz w:val="26"/>
          <w:szCs w:val="26"/>
        </w:rPr>
        <w:t xml:space="preserve"> 1-F</w:t>
      </w:r>
      <w:r w:rsidR="00C632FE">
        <w:rPr>
          <w:rFonts w:ascii="Times New Roman" w:hAnsi="Times New Roman"/>
          <w:sz w:val="26"/>
          <w:szCs w:val="26"/>
        </w:rPr>
        <w:t>,</w:t>
      </w:r>
      <w:r w:rsidR="004B30DA">
        <w:rPr>
          <w:rFonts w:ascii="Times New Roman" w:hAnsi="Times New Roman"/>
          <w:sz w:val="26"/>
          <w:szCs w:val="26"/>
        </w:rPr>
        <w:t xml:space="preserve"> </w:t>
      </w:r>
      <w:r w:rsidRPr="0073506C" w:rsidR="00DC516E">
        <w:rPr>
          <w:rFonts w:ascii="Times New Roman" w:hAnsi="Times New Roman"/>
          <w:sz w:val="26"/>
          <w:szCs w:val="26"/>
        </w:rPr>
        <w:t>3-</w:t>
      </w:r>
      <w:r w:rsidRPr="0073506C" w:rsidR="00AE4AE7">
        <w:rPr>
          <w:rFonts w:ascii="Times New Roman" w:hAnsi="Times New Roman"/>
          <w:sz w:val="26"/>
          <w:szCs w:val="26"/>
        </w:rPr>
        <w:t>Q</w:t>
      </w:r>
      <w:r w:rsidR="004B30DA">
        <w:rPr>
          <w:rFonts w:ascii="Times New Roman" w:hAnsi="Times New Roman"/>
          <w:sz w:val="26"/>
          <w:szCs w:val="26"/>
        </w:rPr>
        <w:t xml:space="preserve"> </w:t>
      </w:r>
      <w:r w:rsidR="00641282">
        <w:rPr>
          <w:rFonts w:ascii="Times New Roman" w:hAnsi="Times New Roman"/>
          <w:sz w:val="26"/>
          <w:szCs w:val="26"/>
        </w:rPr>
        <w:t>(electric)</w:t>
      </w:r>
      <w:r w:rsidR="009441C7">
        <w:rPr>
          <w:rFonts w:ascii="Times New Roman" w:hAnsi="Times New Roman"/>
          <w:sz w:val="26"/>
          <w:szCs w:val="26"/>
        </w:rPr>
        <w:t>,</w:t>
      </w:r>
      <w:r w:rsidR="00C90390">
        <w:rPr>
          <w:rFonts w:ascii="Times New Roman" w:hAnsi="Times New Roman"/>
          <w:sz w:val="26"/>
          <w:szCs w:val="26"/>
        </w:rPr>
        <w:t xml:space="preserve"> and 60</w:t>
      </w:r>
      <w:r w:rsidRPr="0073506C" w:rsidR="00DC516E">
        <w:rPr>
          <w:rFonts w:ascii="Times New Roman" w:hAnsi="Times New Roman"/>
          <w:sz w:val="26"/>
          <w:szCs w:val="26"/>
        </w:rPr>
        <w:t>.</w:t>
      </w:r>
      <w:r>
        <w:rPr>
          <w:rStyle w:val="FootnoteReference"/>
          <w:rFonts w:ascii="Times New Roman" w:hAnsi="Times New Roman"/>
          <w:sz w:val="26"/>
          <w:szCs w:val="26"/>
          <w:vertAlign w:val="superscript"/>
        </w:rPr>
        <w:footnoteReference w:id="3"/>
      </w:r>
      <w:r w:rsidRPr="0073506C" w:rsidR="00DC516E">
        <w:rPr>
          <w:rFonts w:ascii="Times New Roman" w:hAnsi="Times New Roman"/>
          <w:sz w:val="26"/>
          <w:szCs w:val="26"/>
          <w:vertAlign w:val="superscript"/>
        </w:rPr>
        <w:t xml:space="preserve"> </w:t>
      </w:r>
      <w:r w:rsidR="001E47A0">
        <w:rPr>
          <w:rFonts w:ascii="Times New Roman" w:hAnsi="Times New Roman"/>
          <w:sz w:val="26"/>
          <w:szCs w:val="26"/>
          <w:vertAlign w:val="superscript"/>
        </w:rPr>
        <w:t xml:space="preserve"> </w:t>
      </w:r>
    </w:p>
    <w:p w:rsidR="001E47A0" w14:paraId="104CAE1E" w14:textId="77777777">
      <w:pPr>
        <w:spacing w:after="0" w:line="240" w:lineRule="auto"/>
        <w:rPr>
          <w:rFonts w:ascii="Times New Roman" w:hAnsi="Times New Roman"/>
          <w:sz w:val="26"/>
          <w:szCs w:val="26"/>
          <w:vertAlign w:val="superscript"/>
        </w:rPr>
      </w:pPr>
    </w:p>
    <w:p w:rsidR="0023006B" w:rsidP="00FC3CA9" w14:paraId="0EFB6998" w14:textId="076471C4">
      <w:pPr>
        <w:spacing w:line="240" w:lineRule="auto"/>
        <w:rPr>
          <w:rFonts w:ascii="Times New Roman" w:hAnsi="Times New Roman"/>
          <w:iCs/>
          <w:sz w:val="26"/>
          <w:szCs w:val="26"/>
        </w:rPr>
      </w:pPr>
      <w:r>
        <w:rPr>
          <w:rFonts w:ascii="Times New Roman" w:hAnsi="Times New Roman"/>
          <w:iCs/>
          <w:sz w:val="26"/>
          <w:szCs w:val="26"/>
        </w:rPr>
        <w:t xml:space="preserve">The </w:t>
      </w:r>
      <w:r w:rsidR="00DC50A0">
        <w:rPr>
          <w:rFonts w:ascii="Times New Roman" w:hAnsi="Times New Roman"/>
          <w:iCs/>
          <w:sz w:val="26"/>
          <w:szCs w:val="26"/>
        </w:rPr>
        <w:t>Final Rule</w:t>
      </w:r>
      <w:r>
        <w:rPr>
          <w:rFonts w:ascii="Times New Roman" w:hAnsi="Times New Roman"/>
          <w:iCs/>
          <w:sz w:val="26"/>
          <w:szCs w:val="26"/>
        </w:rPr>
        <w:t xml:space="preserve"> (RM21-11-000) </w:t>
      </w:r>
      <w:r w:rsidR="00DC50A0">
        <w:rPr>
          <w:rFonts w:ascii="Times New Roman" w:hAnsi="Times New Roman"/>
          <w:iCs/>
          <w:sz w:val="26"/>
          <w:szCs w:val="26"/>
        </w:rPr>
        <w:t>will</w:t>
      </w:r>
      <w:r>
        <w:rPr>
          <w:rFonts w:ascii="Times New Roman" w:hAnsi="Times New Roman"/>
          <w:iCs/>
          <w:sz w:val="26"/>
          <w:szCs w:val="26"/>
        </w:rPr>
        <w:t xml:space="preserve"> </w:t>
      </w:r>
      <w:r w:rsidR="00BD0368">
        <w:rPr>
          <w:rFonts w:ascii="Times New Roman" w:hAnsi="Times New Roman"/>
          <w:iCs/>
          <w:sz w:val="26"/>
          <w:szCs w:val="26"/>
        </w:rPr>
        <w:t xml:space="preserve">revise the </w:t>
      </w:r>
      <w:r>
        <w:rPr>
          <w:rFonts w:ascii="Times New Roman" w:hAnsi="Times New Roman"/>
          <w:iCs/>
          <w:sz w:val="26"/>
          <w:szCs w:val="26"/>
        </w:rPr>
        <w:t>Uniform System of Account</w:t>
      </w:r>
      <w:r w:rsidR="004D0087">
        <w:rPr>
          <w:rFonts w:ascii="Times New Roman" w:hAnsi="Times New Roman"/>
          <w:iCs/>
          <w:sz w:val="26"/>
          <w:szCs w:val="26"/>
        </w:rPr>
        <w:t>s</w:t>
      </w:r>
      <w:r>
        <w:rPr>
          <w:rFonts w:ascii="Times New Roman" w:hAnsi="Times New Roman"/>
          <w:iCs/>
          <w:sz w:val="26"/>
          <w:szCs w:val="26"/>
        </w:rPr>
        <w:t xml:space="preserve"> (USofA)</w:t>
      </w:r>
      <w:r>
        <w:rPr>
          <w:rStyle w:val="FootnoteReference"/>
          <w:rFonts w:ascii="Times New Roman" w:hAnsi="Times New Roman"/>
          <w:sz w:val="26"/>
          <w:szCs w:val="26"/>
          <w:vertAlign w:val="superscript"/>
        </w:rPr>
        <w:footnoteReference w:id="4"/>
      </w:r>
      <w:r>
        <w:rPr>
          <w:rFonts w:ascii="Times New Roman" w:hAnsi="Times New Roman"/>
          <w:iCs/>
          <w:sz w:val="26"/>
          <w:szCs w:val="26"/>
        </w:rPr>
        <w:t xml:space="preserve"> to </w:t>
      </w:r>
      <w:r w:rsidR="001936D1">
        <w:rPr>
          <w:rFonts w:ascii="Times New Roman" w:hAnsi="Times New Roman"/>
          <w:iCs/>
          <w:sz w:val="26"/>
          <w:szCs w:val="26"/>
        </w:rPr>
        <w:t>update accounting treatment</w:t>
      </w:r>
      <w:r>
        <w:rPr>
          <w:rFonts w:ascii="Times New Roman" w:hAnsi="Times New Roman"/>
          <w:iCs/>
          <w:sz w:val="26"/>
          <w:szCs w:val="26"/>
        </w:rPr>
        <w:t xml:space="preserve"> for </w:t>
      </w:r>
      <w:r w:rsidRPr="00C040B5" w:rsidR="001936D1">
        <w:rPr>
          <w:rFonts w:ascii="Times New Roman" w:hAnsi="Times New Roman"/>
          <w:iCs/>
          <w:sz w:val="26"/>
          <w:szCs w:val="26"/>
        </w:rPr>
        <w:t xml:space="preserve">wind, solar, and other </w:t>
      </w:r>
      <w:r>
        <w:rPr>
          <w:rFonts w:ascii="Times New Roman" w:hAnsi="Times New Roman"/>
          <w:iCs/>
          <w:sz w:val="26"/>
          <w:szCs w:val="26"/>
        </w:rPr>
        <w:t>renewable energy generatin</w:t>
      </w:r>
      <w:r w:rsidR="00682842">
        <w:rPr>
          <w:rFonts w:ascii="Times New Roman" w:hAnsi="Times New Roman"/>
          <w:iCs/>
          <w:sz w:val="26"/>
          <w:szCs w:val="26"/>
        </w:rPr>
        <w:t>g</w:t>
      </w:r>
      <w:r w:rsidR="00C040B5">
        <w:rPr>
          <w:rFonts w:ascii="Times New Roman" w:hAnsi="Times New Roman"/>
          <w:iCs/>
          <w:sz w:val="26"/>
          <w:szCs w:val="26"/>
        </w:rPr>
        <w:t xml:space="preserve"> assets</w:t>
      </w:r>
      <w:r w:rsidR="00B81796">
        <w:rPr>
          <w:rFonts w:ascii="Times New Roman" w:hAnsi="Times New Roman"/>
          <w:iCs/>
          <w:sz w:val="26"/>
          <w:szCs w:val="26"/>
        </w:rPr>
        <w:t xml:space="preserve">, </w:t>
      </w:r>
      <w:r>
        <w:rPr>
          <w:rFonts w:ascii="Times New Roman" w:hAnsi="Times New Roman"/>
          <w:iCs/>
          <w:sz w:val="26"/>
          <w:szCs w:val="26"/>
        </w:rPr>
        <w:t>energy storage</w:t>
      </w:r>
      <w:r w:rsidR="00682842">
        <w:rPr>
          <w:rFonts w:ascii="Times New Roman" w:hAnsi="Times New Roman"/>
          <w:iCs/>
          <w:sz w:val="26"/>
          <w:szCs w:val="26"/>
        </w:rPr>
        <w:t xml:space="preserve"> assets</w:t>
      </w:r>
      <w:r w:rsidR="00B81796">
        <w:rPr>
          <w:rFonts w:ascii="Times New Roman" w:hAnsi="Times New Roman"/>
          <w:iCs/>
          <w:sz w:val="26"/>
          <w:szCs w:val="26"/>
        </w:rPr>
        <w:t xml:space="preserve">, </w:t>
      </w:r>
      <w:r w:rsidR="004A25C1">
        <w:rPr>
          <w:rFonts w:ascii="Times New Roman" w:hAnsi="Times New Roman"/>
          <w:iCs/>
          <w:sz w:val="26"/>
          <w:szCs w:val="26"/>
        </w:rPr>
        <w:t>environmental</w:t>
      </w:r>
      <w:r w:rsidR="00877E6E">
        <w:rPr>
          <w:rFonts w:ascii="Times New Roman" w:hAnsi="Times New Roman"/>
          <w:iCs/>
          <w:sz w:val="26"/>
          <w:szCs w:val="26"/>
        </w:rPr>
        <w:t xml:space="preserve"> credits, </w:t>
      </w:r>
      <w:r w:rsidR="00B81796">
        <w:rPr>
          <w:rFonts w:ascii="Times New Roman" w:hAnsi="Times New Roman"/>
          <w:iCs/>
          <w:sz w:val="26"/>
          <w:szCs w:val="26"/>
        </w:rPr>
        <w:t xml:space="preserve">and </w:t>
      </w:r>
      <w:r w:rsidRPr="5CC46D22" w:rsidR="00B81796">
        <w:rPr>
          <w:rFonts w:ascii="Times New Roman" w:hAnsi="Times New Roman"/>
          <w:sz w:val="26"/>
          <w:szCs w:val="26"/>
        </w:rPr>
        <w:t>computer hardware</w:t>
      </w:r>
      <w:r w:rsidR="009F721D">
        <w:rPr>
          <w:rFonts w:ascii="Times New Roman" w:hAnsi="Times New Roman"/>
          <w:iCs/>
          <w:sz w:val="26"/>
          <w:szCs w:val="26"/>
        </w:rPr>
        <w:t>,</w:t>
      </w:r>
      <w:r w:rsidR="00B81796">
        <w:rPr>
          <w:rFonts w:ascii="Times New Roman" w:hAnsi="Times New Roman"/>
          <w:iCs/>
          <w:sz w:val="26"/>
          <w:szCs w:val="26"/>
        </w:rPr>
        <w:t xml:space="preserve"> software</w:t>
      </w:r>
      <w:r w:rsidR="009F721D">
        <w:rPr>
          <w:rFonts w:ascii="Times New Roman" w:hAnsi="Times New Roman"/>
          <w:iCs/>
          <w:sz w:val="26"/>
          <w:szCs w:val="26"/>
        </w:rPr>
        <w:t>, and communication equipment</w:t>
      </w:r>
      <w:r w:rsidR="00B81796">
        <w:rPr>
          <w:rFonts w:ascii="Times New Roman" w:hAnsi="Times New Roman"/>
          <w:iCs/>
          <w:sz w:val="26"/>
          <w:szCs w:val="26"/>
        </w:rPr>
        <w:t xml:space="preserve">.  </w:t>
      </w:r>
      <w:r w:rsidR="00692311">
        <w:rPr>
          <w:rFonts w:ascii="Times New Roman" w:hAnsi="Times New Roman"/>
          <w:iCs/>
          <w:sz w:val="26"/>
          <w:szCs w:val="26"/>
        </w:rPr>
        <w:t>T</w:t>
      </w:r>
      <w:r w:rsidRPr="00692311" w:rsidR="00692311">
        <w:rPr>
          <w:rFonts w:ascii="Times New Roman" w:hAnsi="Times New Roman"/>
          <w:iCs/>
          <w:sz w:val="26"/>
          <w:szCs w:val="26"/>
        </w:rPr>
        <w:t>he USofA has not been significantly modified since 2013 and does not provide clear accounting treatment for activities related to many technological and economic developments in the U.S. energy industry of recent decades.  By adding functional detail to the USofA, these reforms will provide uniformity, consistency, and transparency in accounting and reporting for investments into these assets, and assist the Commission in fulfilling its responsibilities under the F</w:t>
      </w:r>
      <w:r w:rsidR="00692311">
        <w:rPr>
          <w:rFonts w:ascii="Times New Roman" w:hAnsi="Times New Roman"/>
          <w:iCs/>
          <w:sz w:val="26"/>
          <w:szCs w:val="26"/>
        </w:rPr>
        <w:t xml:space="preserve">ederal </w:t>
      </w:r>
      <w:r w:rsidRPr="00692311" w:rsidR="00692311">
        <w:rPr>
          <w:rFonts w:ascii="Times New Roman" w:hAnsi="Times New Roman"/>
          <w:iCs/>
          <w:sz w:val="26"/>
          <w:szCs w:val="26"/>
        </w:rPr>
        <w:t>P</w:t>
      </w:r>
      <w:r w:rsidR="00692311">
        <w:rPr>
          <w:rFonts w:ascii="Times New Roman" w:hAnsi="Times New Roman"/>
          <w:iCs/>
          <w:sz w:val="26"/>
          <w:szCs w:val="26"/>
        </w:rPr>
        <w:t xml:space="preserve">ower </w:t>
      </w:r>
      <w:r w:rsidRPr="00692311" w:rsidR="00692311">
        <w:rPr>
          <w:rFonts w:ascii="Times New Roman" w:hAnsi="Times New Roman"/>
          <w:iCs/>
          <w:sz w:val="26"/>
          <w:szCs w:val="26"/>
        </w:rPr>
        <w:t>A</w:t>
      </w:r>
      <w:r w:rsidR="00692311">
        <w:rPr>
          <w:rFonts w:ascii="Times New Roman" w:hAnsi="Times New Roman"/>
          <w:iCs/>
          <w:sz w:val="26"/>
          <w:szCs w:val="26"/>
        </w:rPr>
        <w:t>ct</w:t>
      </w:r>
      <w:r w:rsidRPr="00692311" w:rsidR="00692311">
        <w:rPr>
          <w:rFonts w:ascii="Times New Roman" w:hAnsi="Times New Roman"/>
          <w:iCs/>
          <w:sz w:val="26"/>
          <w:szCs w:val="26"/>
        </w:rPr>
        <w:t xml:space="preserve"> </w:t>
      </w:r>
      <w:r w:rsidR="00536175">
        <w:rPr>
          <w:rFonts w:ascii="Times New Roman" w:hAnsi="Times New Roman"/>
          <w:iCs/>
          <w:sz w:val="26"/>
          <w:szCs w:val="26"/>
        </w:rPr>
        <w:t xml:space="preserve">(FPA) </w:t>
      </w:r>
      <w:r w:rsidRPr="00692311" w:rsidR="00692311">
        <w:rPr>
          <w:rFonts w:ascii="Times New Roman" w:hAnsi="Times New Roman"/>
          <w:iCs/>
          <w:sz w:val="26"/>
          <w:szCs w:val="26"/>
        </w:rPr>
        <w:t>to ensure that rates remain just and reasonable.</w:t>
      </w:r>
      <w:r>
        <w:rPr>
          <w:rFonts w:ascii="Times New Roman" w:hAnsi="Times New Roman"/>
          <w:iCs/>
          <w:sz w:val="26"/>
          <w:szCs w:val="26"/>
        </w:rPr>
        <w:t xml:space="preserve"> </w:t>
      </w:r>
    </w:p>
    <w:p w:rsidR="00B81796" w:rsidRPr="00505D03" w:rsidP="00FC3CA9" w14:paraId="2EF0C54A" w14:textId="1C265FBA">
      <w:pPr>
        <w:spacing w:line="240" w:lineRule="auto"/>
        <w:rPr>
          <w:rFonts w:ascii="Times New Roman" w:hAnsi="Times New Roman"/>
          <w:iCs/>
          <w:sz w:val="26"/>
          <w:szCs w:val="26"/>
        </w:rPr>
      </w:pPr>
      <w:r>
        <w:rPr>
          <w:rFonts w:ascii="Times New Roman" w:hAnsi="Times New Roman"/>
          <w:iCs/>
          <w:sz w:val="26"/>
          <w:szCs w:val="26"/>
        </w:rPr>
        <w:t xml:space="preserve">The </w:t>
      </w:r>
      <w:r w:rsidR="00DC50A0">
        <w:rPr>
          <w:rFonts w:ascii="Times New Roman" w:hAnsi="Times New Roman"/>
          <w:iCs/>
          <w:sz w:val="26"/>
          <w:szCs w:val="26"/>
        </w:rPr>
        <w:t>Final Rule</w:t>
      </w:r>
      <w:r>
        <w:rPr>
          <w:rFonts w:ascii="Times New Roman" w:hAnsi="Times New Roman"/>
          <w:iCs/>
          <w:sz w:val="26"/>
          <w:szCs w:val="26"/>
        </w:rPr>
        <w:t xml:space="preserve"> only applies to </w:t>
      </w:r>
      <w:r w:rsidR="001B3255">
        <w:rPr>
          <w:rFonts w:ascii="Times New Roman" w:hAnsi="Times New Roman"/>
          <w:iCs/>
          <w:sz w:val="26"/>
          <w:szCs w:val="26"/>
        </w:rPr>
        <w:t>public utilities and licensees</w:t>
      </w:r>
      <w:r w:rsidR="002743E7">
        <w:rPr>
          <w:rFonts w:ascii="Times New Roman" w:hAnsi="Times New Roman"/>
          <w:iCs/>
          <w:sz w:val="26"/>
          <w:szCs w:val="26"/>
        </w:rPr>
        <w:t xml:space="preserve"> – i.e., </w:t>
      </w:r>
      <w:r>
        <w:rPr>
          <w:rFonts w:ascii="Times New Roman" w:hAnsi="Times New Roman"/>
          <w:iCs/>
          <w:sz w:val="26"/>
          <w:szCs w:val="26"/>
        </w:rPr>
        <w:t xml:space="preserve">electric entities </w:t>
      </w:r>
      <w:r w:rsidR="002743E7">
        <w:rPr>
          <w:rFonts w:ascii="Times New Roman" w:hAnsi="Times New Roman"/>
          <w:iCs/>
          <w:sz w:val="26"/>
          <w:szCs w:val="26"/>
        </w:rPr>
        <w:t xml:space="preserve">– </w:t>
      </w:r>
      <w:r>
        <w:rPr>
          <w:rFonts w:ascii="Times New Roman" w:hAnsi="Times New Roman"/>
          <w:iCs/>
          <w:sz w:val="26"/>
          <w:szCs w:val="26"/>
        </w:rPr>
        <w:t xml:space="preserve">and </w:t>
      </w:r>
      <w:r w:rsidRPr="00505D03">
        <w:rPr>
          <w:rFonts w:ascii="Times New Roman" w:hAnsi="Times New Roman"/>
          <w:iCs/>
          <w:sz w:val="26"/>
          <w:szCs w:val="26"/>
        </w:rPr>
        <w:t>does not impact the 3-Q (gas) (OMB Control No. 1902-0205) filers.</w:t>
      </w:r>
      <w:r w:rsidRPr="00505D03" w:rsidR="000A58EA">
        <w:rPr>
          <w:rFonts w:ascii="Times New Roman" w:hAnsi="Times New Roman"/>
          <w:iCs/>
          <w:sz w:val="26"/>
          <w:szCs w:val="26"/>
        </w:rPr>
        <w:t xml:space="preserve"> </w:t>
      </w:r>
    </w:p>
    <w:p w:rsidR="009C7F55" w:rsidRPr="0073506C" w:rsidP="00BD0F89" w14:paraId="41D5B9C4"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 xml:space="preserve">CIRCUMSTANCES THAT MAKE THE COLLECTION OF INFORMATION NECESSARY </w:t>
      </w:r>
    </w:p>
    <w:p w:rsidR="0058372E" w:rsidRPr="0073506C" w14:paraId="7404A7AA" w14:textId="7D28578D">
      <w:pPr>
        <w:spacing w:after="0" w:line="240" w:lineRule="auto"/>
        <w:rPr>
          <w:rFonts w:ascii="Times New Roman" w:hAnsi="Times New Roman"/>
          <w:sz w:val="26"/>
          <w:szCs w:val="26"/>
        </w:rPr>
      </w:pPr>
    </w:p>
    <w:p w:rsidR="00CC72A5" w:rsidRPr="0073506C" w14:paraId="4185F36A" w14:textId="1808D140">
      <w:pPr>
        <w:spacing w:after="0" w:line="240" w:lineRule="auto"/>
        <w:rPr>
          <w:rFonts w:ascii="Times New Roman" w:eastAsia="Times New Roman" w:hAnsi="Times New Roman"/>
          <w:sz w:val="26"/>
          <w:szCs w:val="26"/>
        </w:rPr>
      </w:pPr>
      <w:r w:rsidRPr="279A6072">
        <w:rPr>
          <w:rFonts w:ascii="Times New Roman" w:eastAsia="Times New Roman" w:hAnsi="Times New Roman"/>
          <w:b/>
          <w:bCs/>
          <w:sz w:val="26"/>
          <w:szCs w:val="26"/>
        </w:rPr>
        <w:t>FERC</w:t>
      </w:r>
      <w:r w:rsidRPr="279A6072" w:rsidR="002123B8">
        <w:rPr>
          <w:rFonts w:ascii="Times New Roman" w:eastAsia="Times New Roman" w:hAnsi="Times New Roman"/>
          <w:b/>
          <w:bCs/>
          <w:sz w:val="26"/>
          <w:szCs w:val="26"/>
        </w:rPr>
        <w:t xml:space="preserve"> Form Nos. </w:t>
      </w:r>
      <w:r w:rsidRPr="279A6072">
        <w:rPr>
          <w:rFonts w:ascii="Times New Roman" w:eastAsia="Times New Roman" w:hAnsi="Times New Roman"/>
          <w:b/>
          <w:bCs/>
          <w:sz w:val="26"/>
          <w:szCs w:val="26"/>
        </w:rPr>
        <w:t xml:space="preserve">1, </w:t>
      </w:r>
      <w:r w:rsidRPr="279A6072" w:rsidR="00D24757">
        <w:rPr>
          <w:rFonts w:ascii="Times New Roman" w:eastAsia="Times New Roman" w:hAnsi="Times New Roman"/>
          <w:b/>
          <w:bCs/>
          <w:sz w:val="26"/>
          <w:szCs w:val="26"/>
        </w:rPr>
        <w:t>1-F</w:t>
      </w:r>
      <w:r w:rsidRPr="279A6072">
        <w:rPr>
          <w:rFonts w:ascii="Times New Roman" w:eastAsia="Times New Roman" w:hAnsi="Times New Roman"/>
          <w:b/>
          <w:bCs/>
          <w:sz w:val="26"/>
          <w:szCs w:val="26"/>
        </w:rPr>
        <w:t xml:space="preserve">,  </w:t>
      </w:r>
      <w:r w:rsidRPr="279A6072" w:rsidR="00D24757">
        <w:rPr>
          <w:rFonts w:ascii="Times New Roman" w:eastAsia="Times New Roman" w:hAnsi="Times New Roman"/>
          <w:b/>
          <w:bCs/>
          <w:sz w:val="26"/>
          <w:szCs w:val="26"/>
        </w:rPr>
        <w:t>3-Q</w:t>
      </w:r>
      <w:r w:rsidRPr="279A6072" w:rsidR="00AF5436">
        <w:rPr>
          <w:rFonts w:ascii="Times New Roman" w:eastAsia="Times New Roman" w:hAnsi="Times New Roman"/>
          <w:b/>
          <w:bCs/>
          <w:sz w:val="26"/>
          <w:szCs w:val="26"/>
        </w:rPr>
        <w:t xml:space="preserve"> (electric)</w:t>
      </w:r>
      <w:r w:rsidR="000A58EA">
        <w:rPr>
          <w:rFonts w:ascii="Times New Roman" w:eastAsia="Times New Roman" w:hAnsi="Times New Roman"/>
          <w:b/>
          <w:bCs/>
          <w:sz w:val="26"/>
          <w:szCs w:val="26"/>
        </w:rPr>
        <w:t>, and 60</w:t>
      </w:r>
      <w:r w:rsidRPr="279A6072">
        <w:rPr>
          <w:rFonts w:ascii="Times New Roman" w:eastAsia="Times New Roman" w:hAnsi="Times New Roman"/>
          <w:b/>
          <w:bCs/>
          <w:sz w:val="26"/>
          <w:szCs w:val="26"/>
        </w:rPr>
        <w:t xml:space="preserve">.  </w:t>
      </w:r>
      <w:bookmarkStart w:id="1" w:name="_Hlk109673801"/>
      <w:r w:rsidRPr="279A6072">
        <w:rPr>
          <w:rFonts w:ascii="Times New Roman" w:eastAsia="Times New Roman" w:hAnsi="Times New Roman"/>
          <w:sz w:val="26"/>
          <w:szCs w:val="26"/>
        </w:rPr>
        <w:t>I</w:t>
      </w:r>
      <w:r w:rsidRPr="279A6072">
        <w:rPr>
          <w:rFonts w:ascii="Times New Roman" w:eastAsia="Times New Roman" w:hAnsi="Times New Roman"/>
          <w:sz w:val="26"/>
          <w:szCs w:val="26"/>
        </w:rPr>
        <w:t xml:space="preserve">n accordance with sections 304 and 309 of the </w:t>
      </w:r>
      <w:r w:rsidRPr="279A6072" w:rsidR="00375F0B">
        <w:rPr>
          <w:rFonts w:ascii="Times New Roman" w:eastAsia="Times New Roman" w:hAnsi="Times New Roman"/>
          <w:sz w:val="26"/>
          <w:szCs w:val="26"/>
        </w:rPr>
        <w:t>FPA</w:t>
      </w:r>
      <w:bookmarkEnd w:id="1"/>
      <w:r w:rsidR="000A58EA">
        <w:rPr>
          <w:rFonts w:ascii="Times New Roman" w:eastAsia="Times New Roman" w:hAnsi="Times New Roman"/>
          <w:sz w:val="26"/>
          <w:szCs w:val="26"/>
        </w:rPr>
        <w:t xml:space="preserve"> and </w:t>
      </w:r>
      <w:r w:rsidR="00062D93">
        <w:rPr>
          <w:rFonts w:ascii="Times New Roman" w:eastAsia="Times New Roman" w:hAnsi="Times New Roman"/>
          <w:sz w:val="26"/>
          <w:szCs w:val="26"/>
        </w:rPr>
        <w:t>T</w:t>
      </w:r>
      <w:r w:rsidR="003B5869">
        <w:rPr>
          <w:rFonts w:ascii="Times New Roman" w:eastAsia="Times New Roman" w:hAnsi="Times New Roman"/>
          <w:sz w:val="26"/>
          <w:szCs w:val="26"/>
        </w:rPr>
        <w:t xml:space="preserve">itle XII of </w:t>
      </w:r>
      <w:r w:rsidR="000A58EA">
        <w:rPr>
          <w:rFonts w:ascii="Times New Roman" w:eastAsia="Times New Roman" w:hAnsi="Times New Roman"/>
          <w:sz w:val="26"/>
          <w:szCs w:val="26"/>
        </w:rPr>
        <w:t>the Energy Policy Act of 2005</w:t>
      </w:r>
      <w:r w:rsidR="000A58EA">
        <w:rPr>
          <w:rFonts w:ascii="Times New Roman" w:eastAsia="Times New Roman" w:hAnsi="Times New Roman"/>
          <w:sz w:val="26"/>
          <w:szCs w:val="26"/>
        </w:rPr>
        <w:t xml:space="preserve">, </w:t>
      </w:r>
      <w:r w:rsidR="000A58EA">
        <w:rPr>
          <w:rFonts w:ascii="Times New Roman" w:eastAsia="Times New Roman" w:hAnsi="Times New Roman"/>
          <w:sz w:val="26"/>
          <w:szCs w:val="26"/>
        </w:rPr>
        <w:t xml:space="preserve">which </w:t>
      </w:r>
      <w:r w:rsidR="480B1EAD">
        <w:rPr>
          <w:rFonts w:ascii="Times New Roman" w:eastAsia="Times New Roman" w:hAnsi="Times New Roman"/>
          <w:sz w:val="26"/>
          <w:szCs w:val="26"/>
        </w:rPr>
        <w:t>enacted</w:t>
      </w:r>
      <w:r w:rsidR="000A58EA">
        <w:rPr>
          <w:rFonts w:ascii="Times New Roman" w:eastAsia="Times New Roman" w:hAnsi="Times New Roman"/>
          <w:sz w:val="26"/>
          <w:szCs w:val="26"/>
        </w:rPr>
        <w:t xml:space="preserve"> the Public Utility Holding Company Act of 2005 (PUHCA</w:t>
      </w:r>
      <w:r w:rsidR="00C12EF0">
        <w:rPr>
          <w:rFonts w:ascii="Times New Roman" w:eastAsia="Times New Roman" w:hAnsi="Times New Roman"/>
          <w:sz w:val="26"/>
          <w:szCs w:val="26"/>
        </w:rPr>
        <w:t xml:space="preserve"> 2005</w:t>
      </w:r>
      <w:r w:rsidR="000A58EA">
        <w:rPr>
          <w:rFonts w:ascii="Times New Roman" w:eastAsia="Times New Roman" w:hAnsi="Times New Roman"/>
          <w:sz w:val="26"/>
          <w:szCs w:val="26"/>
        </w:rPr>
        <w:t>)</w:t>
      </w:r>
      <w:r w:rsidR="000A58EA">
        <w:rPr>
          <w:rFonts w:ascii="Times New Roman" w:eastAsia="Times New Roman" w:hAnsi="Times New Roman"/>
          <w:sz w:val="26"/>
          <w:szCs w:val="26"/>
        </w:rPr>
        <w:t>,</w:t>
      </w:r>
      <w:r>
        <w:rPr>
          <w:rStyle w:val="FootnoteReference"/>
          <w:rFonts w:ascii="Times New Roman" w:eastAsia="Times New Roman" w:hAnsi="Times New Roman"/>
          <w:sz w:val="26"/>
          <w:szCs w:val="26"/>
          <w:vertAlign w:val="superscript"/>
        </w:rPr>
        <w:footnoteReference w:id="5"/>
      </w:r>
      <w:r w:rsidRPr="279A6072">
        <w:rPr>
          <w:rFonts w:ascii="Times New Roman" w:eastAsia="Times New Roman" w:hAnsi="Times New Roman"/>
          <w:sz w:val="26"/>
          <w:szCs w:val="26"/>
        </w:rPr>
        <w:t xml:space="preserve"> FERC is authorized to prescribe rules and regulations concerning account</w:t>
      </w:r>
      <w:r w:rsidR="00DC1BBA">
        <w:rPr>
          <w:rFonts w:ascii="Times New Roman" w:eastAsia="Times New Roman" w:hAnsi="Times New Roman"/>
          <w:sz w:val="26"/>
          <w:szCs w:val="26"/>
        </w:rPr>
        <w:t>ing</w:t>
      </w:r>
      <w:r w:rsidR="000E76BD">
        <w:rPr>
          <w:rFonts w:ascii="Times New Roman" w:eastAsia="Times New Roman" w:hAnsi="Times New Roman"/>
          <w:sz w:val="26"/>
          <w:szCs w:val="26"/>
        </w:rPr>
        <w:t xml:space="preserve"> and recordkeeping</w:t>
      </w:r>
      <w:r w:rsidRPr="279A6072">
        <w:rPr>
          <w:rFonts w:ascii="Times New Roman" w:eastAsia="Times New Roman" w:hAnsi="Times New Roman"/>
          <w:sz w:val="26"/>
          <w:szCs w:val="26"/>
        </w:rPr>
        <w:t xml:space="preserve"> and </w:t>
      </w:r>
      <w:r w:rsidR="000E76BD">
        <w:rPr>
          <w:rFonts w:ascii="Times New Roman" w:eastAsia="Times New Roman" w:hAnsi="Times New Roman"/>
          <w:sz w:val="26"/>
          <w:szCs w:val="26"/>
        </w:rPr>
        <w:t xml:space="preserve">to require public utilities and licensees to file </w:t>
      </w:r>
      <w:r w:rsidR="00DC1BBA">
        <w:rPr>
          <w:rFonts w:ascii="Times New Roman" w:eastAsia="Times New Roman" w:hAnsi="Times New Roman"/>
          <w:sz w:val="26"/>
          <w:szCs w:val="26"/>
        </w:rPr>
        <w:t>reports</w:t>
      </w:r>
      <w:r w:rsidRPr="279A6072">
        <w:rPr>
          <w:rFonts w:ascii="Times New Roman" w:eastAsia="Times New Roman" w:hAnsi="Times New Roman"/>
          <w:sz w:val="26"/>
          <w:szCs w:val="26"/>
        </w:rPr>
        <w:t xml:space="preserve">. </w:t>
      </w:r>
      <w:r w:rsidRPr="279A6072">
        <w:rPr>
          <w:rFonts w:ascii="Times New Roman" w:eastAsia="Times New Roman" w:hAnsi="Times New Roman"/>
          <w:sz w:val="26"/>
          <w:szCs w:val="26"/>
        </w:rPr>
        <w:t xml:space="preserve"> </w:t>
      </w:r>
    </w:p>
    <w:p w:rsidR="0058372E" w:rsidP="00BD0F89" w14:paraId="1235837D" w14:textId="77777777">
      <w:pPr>
        <w:spacing w:after="0" w:line="240" w:lineRule="auto"/>
        <w:rPr>
          <w:rFonts w:ascii="Times New Roman" w:eastAsia="Times New Roman" w:hAnsi="Times New Roman"/>
          <w:sz w:val="26"/>
          <w:szCs w:val="26"/>
        </w:rPr>
      </w:pPr>
    </w:p>
    <w:p w:rsidR="00876A9C" w:rsidP="00BD0F89" w14:paraId="286FFAFD" w14:textId="6F543D46">
      <w:pPr>
        <w:spacing w:after="0" w:line="240" w:lineRule="auto"/>
        <w:rPr>
          <w:rFonts w:ascii="Times New Roman" w:eastAsia="Times New Roman" w:hAnsi="Times New Roman"/>
          <w:sz w:val="26"/>
          <w:szCs w:val="26"/>
        </w:rPr>
      </w:pPr>
      <w:r>
        <w:rPr>
          <w:rFonts w:ascii="Times New Roman" w:eastAsia="Times New Roman" w:hAnsi="Times New Roman"/>
          <w:sz w:val="26"/>
          <w:szCs w:val="26"/>
        </w:rPr>
        <w:t>U</w:t>
      </w:r>
      <w:r w:rsidRPr="0073506C" w:rsidR="00CC72A5">
        <w:rPr>
          <w:rFonts w:ascii="Times New Roman" w:eastAsia="Times New Roman" w:hAnsi="Times New Roman"/>
          <w:sz w:val="26"/>
          <w:szCs w:val="26"/>
        </w:rPr>
        <w:t xml:space="preserve">nder the </w:t>
      </w:r>
      <w:r w:rsidR="00133C20">
        <w:rPr>
          <w:rFonts w:ascii="Times New Roman" w:eastAsia="Times New Roman" w:hAnsi="Times New Roman"/>
          <w:sz w:val="26"/>
          <w:szCs w:val="26"/>
        </w:rPr>
        <w:t>previous</w:t>
      </w:r>
      <w:r w:rsidR="001F170D">
        <w:rPr>
          <w:rFonts w:ascii="Times New Roman" w:eastAsia="Times New Roman" w:hAnsi="Times New Roman"/>
          <w:sz w:val="26"/>
          <w:szCs w:val="26"/>
        </w:rPr>
        <w:t xml:space="preserve"> and continuing </w:t>
      </w:r>
      <w:r w:rsidRPr="0073506C" w:rsidR="00CC72A5">
        <w:rPr>
          <w:rFonts w:ascii="Times New Roman" w:eastAsia="Times New Roman" w:hAnsi="Times New Roman"/>
          <w:sz w:val="26"/>
          <w:szCs w:val="26"/>
        </w:rPr>
        <w:t xml:space="preserve">regulations, FERC jurisdictional entities subject to its </w:t>
      </w:r>
      <w:r w:rsidRPr="0073506C" w:rsidR="0092238A">
        <w:rPr>
          <w:rFonts w:ascii="Times New Roman" w:eastAsia="Times New Roman" w:hAnsi="Times New Roman"/>
          <w:sz w:val="26"/>
          <w:szCs w:val="26"/>
        </w:rPr>
        <w:t xml:space="preserve">USofA </w:t>
      </w:r>
      <w:r w:rsidRPr="0073506C" w:rsidR="00CC72A5">
        <w:rPr>
          <w:rFonts w:ascii="Times New Roman" w:eastAsia="Times New Roman" w:hAnsi="Times New Roman"/>
          <w:sz w:val="26"/>
          <w:szCs w:val="26"/>
        </w:rPr>
        <w:t xml:space="preserve">must annually file with the Commission a complete set of financial statements, along with other selected financial and non-financial data through the submission of FERC Form </w:t>
      </w:r>
      <w:r w:rsidRPr="0073506C" w:rsidR="009F6CFB">
        <w:rPr>
          <w:rFonts w:ascii="Times New Roman" w:eastAsia="Times New Roman" w:hAnsi="Times New Roman"/>
          <w:sz w:val="26"/>
          <w:szCs w:val="26"/>
        </w:rPr>
        <w:t>No</w:t>
      </w:r>
      <w:r w:rsidRPr="0073506C" w:rsidR="00FD1DA6">
        <w:rPr>
          <w:rFonts w:ascii="Times New Roman" w:eastAsia="Times New Roman" w:hAnsi="Times New Roman"/>
          <w:sz w:val="26"/>
          <w:szCs w:val="26"/>
        </w:rPr>
        <w:t>s</w:t>
      </w:r>
      <w:r w:rsidRPr="0073506C" w:rsidR="009F6CFB">
        <w:rPr>
          <w:rFonts w:ascii="Times New Roman" w:eastAsia="Times New Roman" w:hAnsi="Times New Roman"/>
          <w:sz w:val="26"/>
          <w:szCs w:val="26"/>
        </w:rPr>
        <w:t xml:space="preserve">. </w:t>
      </w:r>
      <w:r w:rsidRPr="0073506C" w:rsidR="00CC72A5">
        <w:rPr>
          <w:rFonts w:ascii="Times New Roman" w:eastAsia="Times New Roman" w:hAnsi="Times New Roman"/>
          <w:sz w:val="26"/>
          <w:szCs w:val="26"/>
        </w:rPr>
        <w:t xml:space="preserve">1 and 1-F.  </w:t>
      </w:r>
      <w:r w:rsidRPr="0073506C" w:rsidR="00817365">
        <w:rPr>
          <w:rFonts w:ascii="Times New Roman" w:eastAsia="Times New Roman" w:hAnsi="Times New Roman"/>
          <w:sz w:val="26"/>
          <w:szCs w:val="26"/>
        </w:rPr>
        <w:t xml:space="preserve">FERC </w:t>
      </w:r>
      <w:r w:rsidRPr="0073506C" w:rsidR="00CC72A5">
        <w:rPr>
          <w:rFonts w:ascii="Times New Roman" w:eastAsia="Times New Roman" w:hAnsi="Times New Roman"/>
          <w:sz w:val="26"/>
          <w:szCs w:val="26"/>
        </w:rPr>
        <w:t xml:space="preserve">Form </w:t>
      </w:r>
      <w:r w:rsidRPr="0073506C" w:rsidR="00FD1DA6">
        <w:rPr>
          <w:rFonts w:ascii="Times New Roman" w:eastAsia="Times New Roman" w:hAnsi="Times New Roman"/>
          <w:sz w:val="26"/>
          <w:szCs w:val="26"/>
        </w:rPr>
        <w:t xml:space="preserve">No. </w:t>
      </w:r>
      <w:r w:rsidRPr="0073506C" w:rsidR="00CC72A5">
        <w:rPr>
          <w:rFonts w:ascii="Times New Roman" w:eastAsia="Times New Roman" w:hAnsi="Times New Roman"/>
          <w:sz w:val="26"/>
          <w:szCs w:val="26"/>
        </w:rPr>
        <w:t>1 is a comprehensive financial and operating report submitted for electric rate regulation, market oversight analysis, and financial audits</w:t>
      </w:r>
      <w:r w:rsidRPr="0073506C" w:rsidR="00817365">
        <w:rPr>
          <w:rFonts w:ascii="Times New Roman" w:eastAsia="Times New Roman" w:hAnsi="Times New Roman"/>
          <w:sz w:val="26"/>
          <w:szCs w:val="26"/>
        </w:rPr>
        <w:t xml:space="preserve"> by Major electric utilities, licensees</w:t>
      </w:r>
      <w:r w:rsidR="00AC5D8A">
        <w:rPr>
          <w:rFonts w:ascii="Times New Roman" w:eastAsia="Times New Roman" w:hAnsi="Times New Roman"/>
          <w:sz w:val="26"/>
          <w:szCs w:val="26"/>
        </w:rPr>
        <w:t>,</w:t>
      </w:r>
      <w:r w:rsidRPr="0073506C" w:rsidR="00817365">
        <w:rPr>
          <w:rFonts w:ascii="Times New Roman" w:eastAsia="Times New Roman" w:hAnsi="Times New Roman"/>
          <w:sz w:val="26"/>
          <w:szCs w:val="26"/>
        </w:rPr>
        <w:t xml:space="preserve"> and others</w:t>
      </w:r>
      <w:r w:rsidRPr="0073506C" w:rsidR="00CC72A5">
        <w:rPr>
          <w:rFonts w:ascii="Times New Roman" w:eastAsia="Times New Roman" w:hAnsi="Times New Roman"/>
          <w:sz w:val="26"/>
          <w:szCs w:val="26"/>
        </w:rPr>
        <w:t xml:space="preserve">.  </w:t>
      </w:r>
      <w:r w:rsidR="000E2E26">
        <w:rPr>
          <w:rFonts w:ascii="Times New Roman" w:eastAsia="Times New Roman" w:hAnsi="Times New Roman"/>
          <w:sz w:val="26"/>
          <w:szCs w:val="26"/>
        </w:rPr>
        <w:t>“</w:t>
      </w:r>
      <w:r w:rsidRPr="0073506C" w:rsidR="00CC72A5">
        <w:rPr>
          <w:rFonts w:ascii="Times New Roman" w:eastAsia="Times New Roman" w:hAnsi="Times New Roman"/>
          <w:sz w:val="26"/>
          <w:szCs w:val="26"/>
        </w:rPr>
        <w:t xml:space="preserve">Major </w:t>
      </w:r>
      <w:r w:rsidR="00895940">
        <w:rPr>
          <w:rFonts w:ascii="Times New Roman" w:eastAsia="Times New Roman" w:hAnsi="Times New Roman"/>
          <w:sz w:val="26"/>
          <w:szCs w:val="26"/>
        </w:rPr>
        <w:t>electric utilities</w:t>
      </w:r>
      <w:r w:rsidR="00E66A2C">
        <w:rPr>
          <w:rFonts w:ascii="Times New Roman" w:eastAsia="Times New Roman" w:hAnsi="Times New Roman"/>
          <w:sz w:val="26"/>
          <w:szCs w:val="26"/>
        </w:rPr>
        <w:t xml:space="preserve"> and licensees</w:t>
      </w:r>
      <w:r w:rsidR="000E2E26">
        <w:rPr>
          <w:rFonts w:ascii="Times New Roman" w:eastAsia="Times New Roman" w:hAnsi="Times New Roman"/>
          <w:sz w:val="26"/>
          <w:szCs w:val="26"/>
        </w:rPr>
        <w:t>”</w:t>
      </w:r>
      <w:r w:rsidR="00895940">
        <w:rPr>
          <w:rFonts w:ascii="Times New Roman" w:eastAsia="Times New Roman" w:hAnsi="Times New Roman"/>
          <w:sz w:val="26"/>
          <w:szCs w:val="26"/>
        </w:rPr>
        <w:t xml:space="preserve"> </w:t>
      </w:r>
      <w:r w:rsidR="000E2E26">
        <w:rPr>
          <w:rFonts w:ascii="Times New Roman" w:eastAsia="Times New Roman" w:hAnsi="Times New Roman"/>
          <w:sz w:val="26"/>
          <w:szCs w:val="26"/>
        </w:rPr>
        <w:t>means</w:t>
      </w:r>
      <w:r w:rsidRPr="0073506C" w:rsidR="00CC72A5">
        <w:rPr>
          <w:rFonts w:ascii="Times New Roman" w:eastAsia="Times New Roman" w:hAnsi="Times New Roman"/>
          <w:sz w:val="26"/>
          <w:szCs w:val="26"/>
        </w:rPr>
        <w:t xml:space="preserve"> utilities and licensees that have, in each of the </w:t>
      </w:r>
      <w:r w:rsidRPr="0073506C" w:rsidR="00817365">
        <w:rPr>
          <w:rFonts w:ascii="Times New Roman" w:eastAsia="Times New Roman" w:hAnsi="Times New Roman"/>
          <w:sz w:val="26"/>
          <w:szCs w:val="26"/>
        </w:rPr>
        <w:t xml:space="preserve">last </w:t>
      </w:r>
      <w:r w:rsidRPr="0073506C" w:rsidR="00CC72A5">
        <w:rPr>
          <w:rFonts w:ascii="Times New Roman" w:eastAsia="Times New Roman" w:hAnsi="Times New Roman"/>
          <w:sz w:val="26"/>
          <w:szCs w:val="26"/>
        </w:rPr>
        <w:t xml:space="preserve">three </w:t>
      </w:r>
      <w:r w:rsidRPr="0073506C" w:rsidR="00817365">
        <w:rPr>
          <w:rFonts w:ascii="Times New Roman" w:eastAsia="Times New Roman" w:hAnsi="Times New Roman"/>
          <w:sz w:val="26"/>
          <w:szCs w:val="26"/>
        </w:rPr>
        <w:t>consecutive</w:t>
      </w:r>
      <w:r w:rsidRPr="0073506C" w:rsidR="00CC72A5">
        <w:rPr>
          <w:rFonts w:ascii="Times New Roman" w:eastAsia="Times New Roman" w:hAnsi="Times New Roman"/>
          <w:sz w:val="26"/>
          <w:szCs w:val="26"/>
        </w:rPr>
        <w:t xml:space="preserve"> calendar years, sales or transmission services that exceed one of the following: (1) one million megawatt hours of total sales; (2) 100 megawatt hours of sales for resale; (3) 500 megawatt hours of power exchanges delivered; or (4) 500 megawatt hours of wheeling for others (deliveries plus losses).</w:t>
      </w:r>
      <w:r>
        <w:rPr>
          <w:rFonts w:ascii="Times New Roman" w:eastAsia="Times New Roman" w:hAnsi="Times New Roman"/>
          <w:b/>
          <w:sz w:val="26"/>
          <w:szCs w:val="26"/>
          <w:vertAlign w:val="superscript"/>
        </w:rPr>
        <w:footnoteReference w:id="6"/>
      </w:r>
      <w:r w:rsidRPr="0073506C" w:rsidR="00CC72A5">
        <w:rPr>
          <w:rFonts w:ascii="Times New Roman" w:eastAsia="Times New Roman" w:hAnsi="Times New Roman"/>
          <w:sz w:val="26"/>
          <w:szCs w:val="26"/>
        </w:rPr>
        <w:t xml:space="preserve">  </w:t>
      </w:r>
    </w:p>
    <w:p w:rsidR="0058372E" w14:paraId="1F4B4712" w14:textId="77777777">
      <w:pPr>
        <w:spacing w:after="0" w:line="240" w:lineRule="auto"/>
        <w:ind w:firstLine="720"/>
        <w:rPr>
          <w:rFonts w:ascii="Times New Roman" w:eastAsia="Times New Roman" w:hAnsi="Times New Roman"/>
          <w:sz w:val="26"/>
          <w:szCs w:val="26"/>
        </w:rPr>
      </w:pPr>
    </w:p>
    <w:p w:rsidR="00CC72A5" w:rsidRPr="0073506C" w14:paraId="5D1092FA" w14:textId="25DEA415">
      <w:pPr>
        <w:spacing w:after="0" w:line="240" w:lineRule="auto"/>
        <w:rPr>
          <w:rFonts w:ascii="Times New Roman" w:eastAsia="Times New Roman" w:hAnsi="Times New Roman"/>
          <w:sz w:val="26"/>
          <w:szCs w:val="26"/>
        </w:rPr>
      </w:pPr>
      <w:r w:rsidRPr="0073506C">
        <w:rPr>
          <w:rFonts w:ascii="Times New Roman" w:eastAsia="Times New Roman" w:hAnsi="Times New Roman"/>
          <w:sz w:val="26"/>
          <w:szCs w:val="26"/>
        </w:rPr>
        <w:t xml:space="preserve">FERC Form </w:t>
      </w:r>
      <w:r w:rsidRPr="0073506C" w:rsidR="00FD1DA6">
        <w:rPr>
          <w:rFonts w:ascii="Times New Roman" w:eastAsia="Times New Roman" w:hAnsi="Times New Roman"/>
          <w:sz w:val="26"/>
          <w:szCs w:val="26"/>
        </w:rPr>
        <w:t xml:space="preserve">No. </w:t>
      </w:r>
      <w:r w:rsidRPr="0073506C">
        <w:rPr>
          <w:rFonts w:ascii="Times New Roman" w:eastAsia="Times New Roman" w:hAnsi="Times New Roman"/>
          <w:sz w:val="26"/>
          <w:szCs w:val="26"/>
        </w:rPr>
        <w:t xml:space="preserve">1-F is designed to collect financial and operational information from Nonmajor electric utilities and licensees.  </w:t>
      </w:r>
      <w:r w:rsidR="00E66A2C">
        <w:rPr>
          <w:rFonts w:ascii="Times New Roman" w:eastAsia="Times New Roman" w:hAnsi="Times New Roman"/>
          <w:sz w:val="26"/>
          <w:szCs w:val="26"/>
        </w:rPr>
        <w:t>“</w:t>
      </w:r>
      <w:r w:rsidRPr="0073506C">
        <w:rPr>
          <w:rFonts w:ascii="Times New Roman" w:eastAsia="Times New Roman" w:hAnsi="Times New Roman"/>
          <w:sz w:val="26"/>
          <w:szCs w:val="26"/>
        </w:rPr>
        <w:t xml:space="preserve">Nonmajor </w:t>
      </w:r>
      <w:r w:rsidR="00E66A2C">
        <w:rPr>
          <w:rFonts w:ascii="Times New Roman" w:eastAsia="Times New Roman" w:hAnsi="Times New Roman"/>
          <w:sz w:val="26"/>
          <w:szCs w:val="26"/>
        </w:rPr>
        <w:t xml:space="preserve">electric utilities and licensees” means </w:t>
      </w:r>
      <w:r w:rsidRPr="0073506C">
        <w:rPr>
          <w:rFonts w:ascii="Times New Roman" w:eastAsia="Times New Roman" w:hAnsi="Times New Roman"/>
          <w:sz w:val="26"/>
          <w:szCs w:val="26"/>
        </w:rPr>
        <w:t xml:space="preserve">utilities and licensees that have total annual sales of 10,000 megawatt-hours or more in </w:t>
      </w:r>
      <w:r w:rsidRPr="0073506C" w:rsidR="00015810">
        <w:rPr>
          <w:rFonts w:ascii="Times New Roman" w:eastAsia="Times New Roman" w:hAnsi="Times New Roman"/>
          <w:sz w:val="26"/>
          <w:szCs w:val="26"/>
        </w:rPr>
        <w:t xml:space="preserve">each of </w:t>
      </w:r>
      <w:r w:rsidRPr="0073506C">
        <w:rPr>
          <w:rFonts w:ascii="Times New Roman" w:eastAsia="Times New Roman" w:hAnsi="Times New Roman"/>
          <w:sz w:val="26"/>
          <w:szCs w:val="26"/>
        </w:rPr>
        <w:t xml:space="preserve">the </w:t>
      </w:r>
      <w:r w:rsidRPr="0073506C" w:rsidR="00015810">
        <w:rPr>
          <w:rFonts w:ascii="Times New Roman" w:eastAsia="Times New Roman" w:hAnsi="Times New Roman"/>
          <w:sz w:val="26"/>
          <w:szCs w:val="26"/>
        </w:rPr>
        <w:t xml:space="preserve">last three consecutive </w:t>
      </w:r>
      <w:r w:rsidRPr="0073506C">
        <w:rPr>
          <w:rFonts w:ascii="Times New Roman" w:eastAsia="Times New Roman" w:hAnsi="Times New Roman"/>
          <w:sz w:val="26"/>
          <w:szCs w:val="26"/>
        </w:rPr>
        <w:t>year</w:t>
      </w:r>
      <w:r w:rsidRPr="0073506C" w:rsidR="00015810">
        <w:rPr>
          <w:rFonts w:ascii="Times New Roman" w:eastAsia="Times New Roman" w:hAnsi="Times New Roman"/>
          <w:sz w:val="26"/>
          <w:szCs w:val="26"/>
        </w:rPr>
        <w:t>s</w:t>
      </w:r>
      <w:r w:rsidRPr="0073506C">
        <w:rPr>
          <w:rFonts w:ascii="Times New Roman" w:eastAsia="Times New Roman" w:hAnsi="Times New Roman"/>
          <w:sz w:val="26"/>
          <w:szCs w:val="26"/>
        </w:rPr>
        <w:t xml:space="preserve"> and that are not classified as Major.</w:t>
      </w:r>
      <w:r>
        <w:rPr>
          <w:rFonts w:ascii="Times New Roman" w:eastAsia="Times New Roman" w:hAnsi="Times New Roman"/>
          <w:b/>
          <w:sz w:val="26"/>
          <w:szCs w:val="26"/>
          <w:vertAlign w:val="superscript"/>
        </w:rPr>
        <w:footnoteReference w:id="7"/>
      </w:r>
    </w:p>
    <w:p w:rsidR="0058372E" w:rsidRPr="0073506C" w:rsidP="00BD0F89" w14:paraId="6E2590BB" w14:textId="669DFDFD">
      <w:pPr>
        <w:spacing w:after="0" w:line="240" w:lineRule="auto"/>
        <w:rPr>
          <w:rFonts w:ascii="Times New Roman" w:eastAsia="Times New Roman" w:hAnsi="Times New Roman"/>
          <w:sz w:val="26"/>
          <w:szCs w:val="26"/>
        </w:rPr>
      </w:pPr>
      <w:r w:rsidRPr="0073506C">
        <w:rPr>
          <w:rFonts w:ascii="Times New Roman" w:eastAsia="Times New Roman" w:hAnsi="Times New Roman"/>
          <w:sz w:val="26"/>
          <w:szCs w:val="26"/>
        </w:rPr>
        <w:t xml:space="preserve">  </w:t>
      </w:r>
      <w:r w:rsidR="00577119">
        <w:rPr>
          <w:rFonts w:ascii="Times New Roman" w:eastAsia="Times New Roman" w:hAnsi="Times New Roman"/>
          <w:sz w:val="26"/>
          <w:szCs w:val="26"/>
        </w:rPr>
        <w:tab/>
      </w:r>
    </w:p>
    <w:p w:rsidR="00CC72A5" w:rsidP="00BD0F89" w14:paraId="3016F732" w14:textId="4665972D">
      <w:pPr>
        <w:spacing w:after="0" w:line="240" w:lineRule="auto"/>
        <w:rPr>
          <w:rFonts w:ascii="Times New Roman" w:eastAsia="Times New Roman" w:hAnsi="Times New Roman"/>
          <w:sz w:val="26"/>
          <w:szCs w:val="26"/>
        </w:rPr>
      </w:pPr>
      <w:r w:rsidRPr="0073506C">
        <w:rPr>
          <w:rFonts w:ascii="Times New Roman" w:eastAsia="Times New Roman" w:hAnsi="Times New Roman"/>
          <w:sz w:val="26"/>
          <w:szCs w:val="26"/>
        </w:rPr>
        <w:t xml:space="preserve">FERC Form </w:t>
      </w:r>
      <w:r w:rsidRPr="0073506C" w:rsidR="00FD1DA6">
        <w:rPr>
          <w:rFonts w:ascii="Times New Roman" w:eastAsia="Times New Roman" w:hAnsi="Times New Roman"/>
          <w:sz w:val="26"/>
          <w:szCs w:val="26"/>
        </w:rPr>
        <w:t xml:space="preserve">No. </w:t>
      </w:r>
      <w:r w:rsidRPr="0073506C">
        <w:rPr>
          <w:rFonts w:ascii="Times New Roman" w:eastAsia="Times New Roman" w:hAnsi="Times New Roman"/>
          <w:sz w:val="26"/>
          <w:szCs w:val="26"/>
        </w:rPr>
        <w:t>3-Q</w:t>
      </w:r>
      <w:r w:rsidR="00D57062">
        <w:rPr>
          <w:rFonts w:ascii="Times New Roman" w:eastAsia="Times New Roman" w:hAnsi="Times New Roman"/>
          <w:sz w:val="26"/>
          <w:szCs w:val="26"/>
        </w:rPr>
        <w:t xml:space="preserve"> (electric)</w:t>
      </w:r>
      <w:r w:rsidRPr="0073506C">
        <w:rPr>
          <w:rFonts w:ascii="Times New Roman" w:eastAsia="Times New Roman" w:hAnsi="Times New Roman"/>
          <w:sz w:val="26"/>
          <w:szCs w:val="26"/>
        </w:rPr>
        <w:t xml:space="preserve"> is a quarterly financial and operating report for rate regulation, market oversight analysis, and financial audits which supplements the  </w:t>
      </w:r>
      <w:r w:rsidRPr="0073506C" w:rsidR="00487C6B">
        <w:rPr>
          <w:rFonts w:ascii="Times New Roman" w:eastAsia="Times New Roman" w:hAnsi="Times New Roman"/>
          <w:sz w:val="26"/>
          <w:szCs w:val="26"/>
        </w:rPr>
        <w:t xml:space="preserve">FERC </w:t>
      </w:r>
      <w:r w:rsidRPr="0073506C">
        <w:rPr>
          <w:rFonts w:ascii="Times New Roman" w:eastAsia="Times New Roman" w:hAnsi="Times New Roman"/>
          <w:sz w:val="26"/>
          <w:szCs w:val="26"/>
        </w:rPr>
        <w:t>Form</w:t>
      </w:r>
      <w:r w:rsidRPr="0073506C" w:rsidR="00FD1DA6">
        <w:rPr>
          <w:rFonts w:ascii="Times New Roman" w:eastAsia="Times New Roman" w:hAnsi="Times New Roman"/>
          <w:sz w:val="26"/>
          <w:szCs w:val="26"/>
        </w:rPr>
        <w:t xml:space="preserve"> Nos. </w:t>
      </w:r>
      <w:r w:rsidRPr="0073506C">
        <w:rPr>
          <w:rFonts w:ascii="Times New Roman" w:eastAsia="Times New Roman" w:hAnsi="Times New Roman"/>
          <w:sz w:val="26"/>
          <w:szCs w:val="26"/>
        </w:rPr>
        <w:t>1 and 1-F for the electric industry</w:t>
      </w:r>
      <w:r w:rsidR="00D57062">
        <w:rPr>
          <w:rFonts w:ascii="Times New Roman" w:eastAsia="Times New Roman" w:hAnsi="Times New Roman"/>
          <w:sz w:val="26"/>
          <w:szCs w:val="26"/>
        </w:rPr>
        <w:t xml:space="preserve">.  </w:t>
      </w:r>
      <w:r w:rsidRPr="0073506C">
        <w:rPr>
          <w:rFonts w:ascii="Times New Roman" w:eastAsia="Times New Roman" w:hAnsi="Times New Roman"/>
          <w:sz w:val="26"/>
          <w:szCs w:val="26"/>
        </w:rPr>
        <w:t>FERC</w:t>
      </w:r>
      <w:r w:rsidRPr="0073506C" w:rsidR="009F6CFB">
        <w:rPr>
          <w:rFonts w:ascii="Times New Roman" w:eastAsia="Times New Roman" w:hAnsi="Times New Roman"/>
          <w:sz w:val="26"/>
          <w:szCs w:val="26"/>
        </w:rPr>
        <w:t xml:space="preserve"> Form</w:t>
      </w:r>
      <w:r w:rsidRPr="0073506C" w:rsidR="000076FA">
        <w:rPr>
          <w:rFonts w:ascii="Times New Roman" w:eastAsia="Times New Roman" w:hAnsi="Times New Roman"/>
          <w:sz w:val="26"/>
          <w:szCs w:val="26"/>
        </w:rPr>
        <w:t xml:space="preserve"> </w:t>
      </w:r>
      <w:r w:rsidRPr="0073506C" w:rsidR="009852B7">
        <w:rPr>
          <w:rFonts w:ascii="Times New Roman" w:eastAsia="Times New Roman" w:hAnsi="Times New Roman"/>
          <w:sz w:val="26"/>
          <w:szCs w:val="26"/>
        </w:rPr>
        <w:t>No.</w:t>
      </w:r>
      <w:r w:rsidRPr="0073506C" w:rsidR="009F6CFB">
        <w:rPr>
          <w:rFonts w:ascii="Times New Roman" w:eastAsia="Times New Roman" w:hAnsi="Times New Roman"/>
          <w:sz w:val="26"/>
          <w:szCs w:val="26"/>
        </w:rPr>
        <w:t xml:space="preserve"> </w:t>
      </w:r>
      <w:r w:rsidRPr="0073506C">
        <w:rPr>
          <w:rFonts w:ascii="Times New Roman" w:eastAsia="Times New Roman" w:hAnsi="Times New Roman"/>
          <w:sz w:val="26"/>
          <w:szCs w:val="26"/>
        </w:rPr>
        <w:t xml:space="preserve">3-Q is submitted for electric utilities and licensees reporting </w:t>
      </w:r>
      <w:r w:rsidR="00AC5D8A">
        <w:rPr>
          <w:rFonts w:ascii="Times New Roman" w:eastAsia="Times New Roman" w:hAnsi="Times New Roman"/>
          <w:sz w:val="26"/>
          <w:szCs w:val="26"/>
        </w:rPr>
        <w:t xml:space="preserve">FERC </w:t>
      </w:r>
      <w:r w:rsidRPr="0073506C">
        <w:rPr>
          <w:rFonts w:ascii="Times New Roman" w:eastAsia="Times New Roman" w:hAnsi="Times New Roman"/>
          <w:sz w:val="26"/>
          <w:szCs w:val="26"/>
        </w:rPr>
        <w:t xml:space="preserve">Form </w:t>
      </w:r>
      <w:r w:rsidRPr="0073506C" w:rsidR="009852B7">
        <w:rPr>
          <w:rFonts w:ascii="Times New Roman" w:eastAsia="Times New Roman" w:hAnsi="Times New Roman"/>
          <w:sz w:val="26"/>
          <w:szCs w:val="26"/>
        </w:rPr>
        <w:t>No</w:t>
      </w:r>
      <w:r w:rsidR="00145B05">
        <w:rPr>
          <w:rFonts w:ascii="Times New Roman" w:eastAsia="Times New Roman" w:hAnsi="Times New Roman"/>
          <w:sz w:val="26"/>
          <w:szCs w:val="26"/>
        </w:rPr>
        <w:t>s</w:t>
      </w:r>
      <w:r w:rsidRPr="0073506C" w:rsidR="009852B7">
        <w:rPr>
          <w:rFonts w:ascii="Times New Roman" w:eastAsia="Times New Roman" w:hAnsi="Times New Roman"/>
          <w:sz w:val="26"/>
          <w:szCs w:val="26"/>
        </w:rPr>
        <w:t xml:space="preserve">. </w:t>
      </w:r>
      <w:r w:rsidRPr="0073506C">
        <w:rPr>
          <w:rFonts w:ascii="Times New Roman" w:eastAsia="Times New Roman" w:hAnsi="Times New Roman"/>
          <w:sz w:val="26"/>
          <w:szCs w:val="26"/>
        </w:rPr>
        <w:t>1 or 1-F</w:t>
      </w:r>
      <w:r w:rsidR="00D57062">
        <w:rPr>
          <w:rFonts w:ascii="Times New Roman" w:eastAsia="Times New Roman" w:hAnsi="Times New Roman"/>
          <w:sz w:val="26"/>
          <w:szCs w:val="26"/>
        </w:rPr>
        <w:t>.</w:t>
      </w:r>
    </w:p>
    <w:p w:rsidR="000A58EA" w:rsidP="00BD0F89" w14:paraId="6FD6CA2F" w14:textId="1E175201">
      <w:pPr>
        <w:spacing w:after="0" w:line="240" w:lineRule="auto"/>
        <w:rPr>
          <w:rFonts w:ascii="Times New Roman" w:eastAsia="Times New Roman" w:hAnsi="Times New Roman"/>
          <w:sz w:val="26"/>
          <w:szCs w:val="26"/>
        </w:rPr>
      </w:pPr>
    </w:p>
    <w:p w:rsidR="000A58EA" w:rsidP="00BD0F89" w14:paraId="7FB1BD9C" w14:textId="3169F95C">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FERC Form No. 60 </w:t>
      </w:r>
      <w:r w:rsidRPr="000A58EA">
        <w:rPr>
          <w:rFonts w:ascii="Times New Roman" w:eastAsia="Times New Roman" w:hAnsi="Times New Roman"/>
          <w:sz w:val="26"/>
          <w:szCs w:val="26"/>
        </w:rPr>
        <w:t>is an annual reporting requirement for centralized service companies.  The report’s function is to collect financial information (including balance sheet, assets, liabilities, and billing and charges for associated and non-associated companies) from centralized service companies subject to the Commission’s jurisdiction.</w:t>
      </w:r>
    </w:p>
    <w:p w:rsidR="0058372E" w:rsidRPr="0073506C" w:rsidP="00BD0F89" w14:paraId="57718582" w14:textId="74EFC94C">
      <w:pPr>
        <w:spacing w:after="0" w:line="240" w:lineRule="auto"/>
        <w:rPr>
          <w:rFonts w:ascii="Times New Roman" w:eastAsia="Times New Roman" w:hAnsi="Times New Roman"/>
          <w:sz w:val="26"/>
          <w:szCs w:val="26"/>
        </w:rPr>
      </w:pPr>
      <w:r>
        <w:rPr>
          <w:rFonts w:ascii="Times New Roman" w:eastAsia="Times New Roman" w:hAnsi="Times New Roman"/>
          <w:sz w:val="26"/>
          <w:szCs w:val="26"/>
        </w:rPr>
        <w:tab/>
      </w:r>
    </w:p>
    <w:p w:rsidR="00CC72A5" w:rsidP="00BD0F89" w14:paraId="7670B8B2" w14:textId="1A2F94F1">
      <w:pPr>
        <w:spacing w:after="0" w:line="240" w:lineRule="auto"/>
        <w:rPr>
          <w:rFonts w:ascii="Times New Roman" w:eastAsia="Times New Roman" w:hAnsi="Times New Roman"/>
          <w:sz w:val="26"/>
          <w:szCs w:val="26"/>
        </w:rPr>
      </w:pPr>
      <w:r w:rsidRPr="0073506C">
        <w:rPr>
          <w:rFonts w:ascii="Times New Roman" w:eastAsia="Times New Roman" w:hAnsi="Times New Roman"/>
          <w:sz w:val="26"/>
          <w:szCs w:val="26"/>
        </w:rPr>
        <w:t xml:space="preserve">The Commission collects </w:t>
      </w:r>
      <w:r w:rsidRPr="0073506C" w:rsidR="00487C6B">
        <w:rPr>
          <w:rFonts w:ascii="Times New Roman" w:eastAsia="Times New Roman" w:hAnsi="Times New Roman"/>
          <w:sz w:val="26"/>
          <w:szCs w:val="26"/>
        </w:rPr>
        <w:t xml:space="preserve">FERC </w:t>
      </w:r>
      <w:r w:rsidRPr="0073506C">
        <w:rPr>
          <w:rFonts w:ascii="Times New Roman" w:eastAsia="Times New Roman" w:hAnsi="Times New Roman"/>
          <w:sz w:val="26"/>
          <w:szCs w:val="26"/>
        </w:rPr>
        <w:t xml:space="preserve">Form </w:t>
      </w:r>
      <w:r w:rsidRPr="0073506C" w:rsidR="00FD1DA6">
        <w:rPr>
          <w:rFonts w:ascii="Times New Roman" w:eastAsia="Times New Roman" w:hAnsi="Times New Roman"/>
          <w:sz w:val="26"/>
          <w:szCs w:val="26"/>
        </w:rPr>
        <w:t xml:space="preserve">Nos. </w:t>
      </w:r>
      <w:r w:rsidRPr="0073506C">
        <w:rPr>
          <w:rFonts w:ascii="Times New Roman" w:eastAsia="Times New Roman" w:hAnsi="Times New Roman"/>
          <w:sz w:val="26"/>
          <w:szCs w:val="26"/>
        </w:rPr>
        <w:t>1, 1-F, and 3-Q as prescribed in Title 18 C</w:t>
      </w:r>
      <w:r w:rsidR="00E71334">
        <w:rPr>
          <w:rFonts w:ascii="Times New Roman" w:eastAsia="Times New Roman" w:hAnsi="Times New Roman"/>
          <w:sz w:val="26"/>
          <w:szCs w:val="26"/>
        </w:rPr>
        <w:t>.</w:t>
      </w:r>
      <w:r w:rsidRPr="0073506C">
        <w:rPr>
          <w:rFonts w:ascii="Times New Roman" w:eastAsia="Times New Roman" w:hAnsi="Times New Roman"/>
          <w:sz w:val="26"/>
          <w:szCs w:val="26"/>
        </w:rPr>
        <w:t>F</w:t>
      </w:r>
      <w:r w:rsidR="00E71334">
        <w:rPr>
          <w:rFonts w:ascii="Times New Roman" w:eastAsia="Times New Roman" w:hAnsi="Times New Roman"/>
          <w:sz w:val="26"/>
          <w:szCs w:val="26"/>
        </w:rPr>
        <w:t>.</w:t>
      </w:r>
      <w:r w:rsidRPr="0073506C">
        <w:rPr>
          <w:rFonts w:ascii="Times New Roman" w:eastAsia="Times New Roman" w:hAnsi="Times New Roman"/>
          <w:sz w:val="26"/>
          <w:szCs w:val="26"/>
        </w:rPr>
        <w:t>R</w:t>
      </w:r>
      <w:r w:rsidR="00E71334">
        <w:rPr>
          <w:rFonts w:ascii="Times New Roman" w:eastAsia="Times New Roman" w:hAnsi="Times New Roman"/>
          <w:sz w:val="26"/>
          <w:szCs w:val="26"/>
        </w:rPr>
        <w:t>.</w:t>
      </w:r>
      <w:r w:rsidRPr="0073506C">
        <w:rPr>
          <w:rFonts w:ascii="Times New Roman" w:eastAsia="Times New Roman" w:hAnsi="Times New Roman"/>
          <w:sz w:val="26"/>
          <w:szCs w:val="26"/>
        </w:rPr>
        <w:t xml:space="preserve"> (Code of Federal Regulations) Parts 141.1, 141.2, 141.400</w:t>
      </w:r>
      <w:r w:rsidR="00E71334">
        <w:rPr>
          <w:rFonts w:ascii="Times New Roman" w:eastAsia="Times New Roman" w:hAnsi="Times New Roman"/>
          <w:sz w:val="26"/>
          <w:szCs w:val="26"/>
        </w:rPr>
        <w:t>,</w:t>
      </w:r>
      <w:r w:rsidRPr="0073506C">
        <w:rPr>
          <w:rFonts w:ascii="Times New Roman" w:eastAsia="Times New Roman" w:hAnsi="Times New Roman"/>
          <w:sz w:val="26"/>
          <w:szCs w:val="26"/>
        </w:rPr>
        <w:t xml:space="preserve"> and 260.300.  FERC Forms </w:t>
      </w:r>
      <w:r w:rsidRPr="0073506C" w:rsidR="00FD1DA6">
        <w:rPr>
          <w:rFonts w:ascii="Times New Roman" w:eastAsia="Times New Roman" w:hAnsi="Times New Roman"/>
          <w:sz w:val="26"/>
          <w:szCs w:val="26"/>
        </w:rPr>
        <w:t xml:space="preserve">Nos. </w:t>
      </w:r>
      <w:r w:rsidRPr="0073506C">
        <w:rPr>
          <w:rFonts w:ascii="Times New Roman" w:eastAsia="Times New Roman" w:hAnsi="Times New Roman"/>
          <w:sz w:val="26"/>
          <w:szCs w:val="26"/>
        </w:rPr>
        <w:t xml:space="preserve">1, 1-F, and 3-Q provide an informative picture of the jurisdictional entities’ financial conditions and other relevant data that are used by </w:t>
      </w:r>
      <w:r w:rsidRPr="0073506C" w:rsidR="00487C6B">
        <w:rPr>
          <w:rFonts w:ascii="Times New Roman" w:eastAsia="Times New Roman" w:hAnsi="Times New Roman"/>
          <w:sz w:val="26"/>
          <w:szCs w:val="26"/>
        </w:rPr>
        <w:t>the Commission</w:t>
      </w:r>
      <w:r w:rsidRPr="0073506C">
        <w:rPr>
          <w:rFonts w:ascii="Times New Roman" w:eastAsia="Times New Roman" w:hAnsi="Times New Roman"/>
          <w:sz w:val="26"/>
          <w:szCs w:val="26"/>
        </w:rPr>
        <w:t xml:space="preserve"> and </w:t>
      </w:r>
      <w:r w:rsidRPr="0073506C" w:rsidR="00487C6B">
        <w:rPr>
          <w:rFonts w:ascii="Times New Roman" w:eastAsia="Times New Roman" w:hAnsi="Times New Roman"/>
          <w:sz w:val="26"/>
          <w:szCs w:val="26"/>
        </w:rPr>
        <w:t>the public</w:t>
      </w:r>
      <w:r w:rsidRPr="0073506C">
        <w:rPr>
          <w:rFonts w:ascii="Times New Roman" w:eastAsia="Times New Roman" w:hAnsi="Times New Roman"/>
          <w:sz w:val="26"/>
          <w:szCs w:val="26"/>
        </w:rPr>
        <w:t xml:space="preserve"> in making economic judgments about the entity or its industry. </w:t>
      </w:r>
      <w:r w:rsidR="00C748C1">
        <w:rPr>
          <w:rFonts w:ascii="Times New Roman" w:eastAsia="Times New Roman" w:hAnsi="Times New Roman"/>
          <w:sz w:val="26"/>
          <w:szCs w:val="26"/>
        </w:rPr>
        <w:t xml:space="preserve"> </w:t>
      </w:r>
      <w:r w:rsidR="000A58EA">
        <w:rPr>
          <w:rFonts w:ascii="Times New Roman" w:eastAsia="Times New Roman" w:hAnsi="Times New Roman"/>
          <w:sz w:val="26"/>
          <w:szCs w:val="26"/>
        </w:rPr>
        <w:t xml:space="preserve">The Commission also collects FERC Form </w:t>
      </w:r>
      <w:r w:rsidR="00A14857">
        <w:rPr>
          <w:rFonts w:ascii="Times New Roman" w:eastAsia="Times New Roman" w:hAnsi="Times New Roman"/>
          <w:sz w:val="26"/>
          <w:szCs w:val="26"/>
        </w:rPr>
        <w:t>No.</w:t>
      </w:r>
      <w:r w:rsidR="000A58EA">
        <w:rPr>
          <w:rFonts w:ascii="Times New Roman" w:eastAsia="Times New Roman" w:hAnsi="Times New Roman"/>
          <w:sz w:val="26"/>
          <w:szCs w:val="26"/>
        </w:rPr>
        <w:t xml:space="preserve"> 60 as prescribed in </w:t>
      </w:r>
      <w:r w:rsidR="00AF4CFE">
        <w:rPr>
          <w:rFonts w:ascii="Times New Roman" w:eastAsia="Times New Roman" w:hAnsi="Times New Roman"/>
          <w:sz w:val="26"/>
          <w:szCs w:val="26"/>
        </w:rPr>
        <w:t>18 C.F.R. 260.300.</w:t>
      </w:r>
      <w:r w:rsidR="000A58EA">
        <w:rPr>
          <w:rFonts w:ascii="Times New Roman" w:eastAsia="Times New Roman" w:hAnsi="Times New Roman"/>
          <w:sz w:val="26"/>
          <w:szCs w:val="26"/>
        </w:rPr>
        <w:t xml:space="preserve"> </w:t>
      </w:r>
    </w:p>
    <w:p w:rsidR="00000F93" w:rsidP="00BD0F89" w14:paraId="219870F9" w14:textId="7032BAAC">
      <w:pPr>
        <w:spacing w:after="0" w:line="240" w:lineRule="auto"/>
        <w:rPr>
          <w:rFonts w:ascii="Times New Roman" w:eastAsia="Times New Roman" w:hAnsi="Times New Roman"/>
          <w:sz w:val="26"/>
          <w:szCs w:val="26"/>
        </w:rPr>
      </w:pPr>
    </w:p>
    <w:p w:rsidR="00000F93" w:rsidRPr="00000F93" w:rsidP="00BD0F89" w14:paraId="65305DDB" w14:textId="1DB86781">
      <w:pPr>
        <w:spacing w:after="0" w:line="240" w:lineRule="auto"/>
        <w:rPr>
          <w:rFonts w:ascii="Times New Roman" w:eastAsia="Times New Roman" w:hAnsi="Times New Roman"/>
          <w:b/>
          <w:bCs/>
          <w:sz w:val="26"/>
          <w:szCs w:val="26"/>
        </w:rPr>
      </w:pPr>
      <w:r w:rsidRPr="4860888C">
        <w:rPr>
          <w:rFonts w:ascii="Times New Roman" w:eastAsia="Times New Roman" w:hAnsi="Times New Roman"/>
          <w:b/>
          <w:bCs/>
          <w:sz w:val="26"/>
          <w:szCs w:val="26"/>
        </w:rPr>
        <w:t>C</w:t>
      </w:r>
      <w:r w:rsidRPr="4860888C" w:rsidR="00505D03">
        <w:rPr>
          <w:rFonts w:ascii="Times New Roman" w:eastAsia="Times New Roman" w:hAnsi="Times New Roman"/>
          <w:b/>
          <w:bCs/>
          <w:sz w:val="26"/>
          <w:szCs w:val="26"/>
        </w:rPr>
        <w:t xml:space="preserve">hanges in </w:t>
      </w:r>
      <w:r w:rsidRPr="4860888C" w:rsidR="007554CF">
        <w:rPr>
          <w:rFonts w:ascii="Times New Roman" w:eastAsia="Times New Roman" w:hAnsi="Times New Roman"/>
          <w:b/>
          <w:bCs/>
          <w:sz w:val="26"/>
          <w:szCs w:val="26"/>
        </w:rPr>
        <w:t>RM21-11</w:t>
      </w:r>
      <w:r w:rsidRPr="4860888C" w:rsidR="00505D03">
        <w:rPr>
          <w:rFonts w:ascii="Times New Roman" w:eastAsia="Times New Roman" w:hAnsi="Times New Roman"/>
          <w:b/>
          <w:bCs/>
          <w:sz w:val="26"/>
          <w:szCs w:val="26"/>
        </w:rPr>
        <w:t>-000</w:t>
      </w:r>
    </w:p>
    <w:p w:rsidR="006E5D79" w:rsidP="00BD0F89" w14:paraId="5D6A7A60" w14:textId="0D994195">
      <w:pPr>
        <w:spacing w:after="0" w:line="240" w:lineRule="auto"/>
        <w:rPr>
          <w:rFonts w:ascii="Times New Roman" w:eastAsia="Times New Roman" w:hAnsi="Times New Roman"/>
          <w:b/>
          <w:sz w:val="26"/>
          <w:szCs w:val="26"/>
        </w:rPr>
      </w:pPr>
    </w:p>
    <w:p w:rsidR="00000F93" w:rsidRPr="00000F93" w:rsidP="1316CCC4" w14:paraId="4B75AF05" w14:textId="3D2688DE">
      <w:pPr>
        <w:spacing w:after="0" w:line="240" w:lineRule="auto"/>
        <w:rPr>
          <w:rFonts w:ascii="Times New Roman" w:eastAsia="Times New Roman" w:hAnsi="Times New Roman"/>
          <w:sz w:val="26"/>
          <w:szCs w:val="26"/>
        </w:rPr>
      </w:pPr>
      <w:r w:rsidRPr="1316CCC4">
        <w:rPr>
          <w:rFonts w:ascii="Times New Roman" w:eastAsia="Times New Roman" w:hAnsi="Times New Roman"/>
          <w:sz w:val="26"/>
          <w:szCs w:val="26"/>
        </w:rPr>
        <w:t xml:space="preserve">The </w:t>
      </w:r>
      <w:r w:rsidR="00DC50A0">
        <w:rPr>
          <w:rFonts w:ascii="Times New Roman" w:eastAsia="Times New Roman" w:hAnsi="Times New Roman"/>
          <w:sz w:val="26"/>
          <w:szCs w:val="26"/>
        </w:rPr>
        <w:t>Final Rule</w:t>
      </w:r>
      <w:r w:rsidRPr="1316CCC4">
        <w:rPr>
          <w:rFonts w:ascii="Times New Roman" w:eastAsia="Times New Roman" w:hAnsi="Times New Roman"/>
          <w:sz w:val="26"/>
          <w:szCs w:val="26"/>
        </w:rPr>
        <w:t xml:space="preserve">, </w:t>
      </w:r>
      <w:r w:rsidR="007554CF">
        <w:rPr>
          <w:rFonts w:ascii="Times New Roman" w:eastAsia="Times New Roman" w:hAnsi="Times New Roman"/>
          <w:sz w:val="26"/>
          <w:szCs w:val="26"/>
        </w:rPr>
        <w:t>RM21-11</w:t>
      </w:r>
      <w:r w:rsidRPr="1316CCC4">
        <w:rPr>
          <w:rFonts w:ascii="Times New Roman" w:eastAsia="Times New Roman" w:hAnsi="Times New Roman"/>
          <w:sz w:val="26"/>
          <w:szCs w:val="26"/>
        </w:rPr>
        <w:t>-000</w:t>
      </w:r>
      <w:r w:rsidR="00380BA3">
        <w:rPr>
          <w:rFonts w:ascii="Times New Roman" w:eastAsia="Times New Roman" w:hAnsi="Times New Roman"/>
          <w:sz w:val="26"/>
          <w:szCs w:val="26"/>
        </w:rPr>
        <w:t>,</w:t>
      </w:r>
      <w:r w:rsidRPr="1316CCC4">
        <w:rPr>
          <w:rFonts w:ascii="Times New Roman" w:eastAsia="Times New Roman" w:hAnsi="Times New Roman"/>
          <w:sz w:val="26"/>
          <w:szCs w:val="26"/>
        </w:rPr>
        <w:t xml:space="preserve"> </w:t>
      </w:r>
      <w:r w:rsidR="00847546">
        <w:rPr>
          <w:rFonts w:ascii="Times New Roman" w:eastAsia="Times New Roman" w:hAnsi="Times New Roman"/>
          <w:sz w:val="26"/>
          <w:szCs w:val="26"/>
        </w:rPr>
        <w:t>implements needed reforms identified by</w:t>
      </w:r>
      <w:r w:rsidRPr="1316CCC4">
        <w:rPr>
          <w:rFonts w:ascii="Times New Roman" w:eastAsia="Times New Roman" w:hAnsi="Times New Roman"/>
          <w:sz w:val="26"/>
          <w:szCs w:val="26"/>
        </w:rPr>
        <w:t xml:space="preserve"> public comments</w:t>
      </w:r>
      <w:r w:rsidRPr="1316CCC4" w:rsidR="000E4E87">
        <w:rPr>
          <w:rFonts w:ascii="Times New Roman" w:eastAsia="Times New Roman" w:hAnsi="Times New Roman"/>
          <w:sz w:val="26"/>
          <w:szCs w:val="26"/>
        </w:rPr>
        <w:t xml:space="preserve"> </w:t>
      </w:r>
      <w:r w:rsidR="00847546">
        <w:rPr>
          <w:rFonts w:ascii="Times New Roman" w:eastAsia="Times New Roman" w:hAnsi="Times New Roman"/>
          <w:sz w:val="26"/>
          <w:szCs w:val="26"/>
        </w:rPr>
        <w:t xml:space="preserve">on </w:t>
      </w:r>
      <w:r w:rsidRPr="1316CCC4" w:rsidR="000E4E87">
        <w:rPr>
          <w:rFonts w:ascii="Times New Roman" w:eastAsia="Times New Roman" w:hAnsi="Times New Roman"/>
          <w:sz w:val="26"/>
          <w:szCs w:val="26"/>
        </w:rPr>
        <w:t>the Commissions’ Notice of Inquiry</w:t>
      </w:r>
      <w:r>
        <w:rPr>
          <w:rFonts w:ascii="Times New Roman" w:hAnsi="Times New Roman"/>
          <w:b/>
          <w:color w:val="2B579A"/>
          <w:sz w:val="26"/>
          <w:szCs w:val="26"/>
          <w:shd w:val="clear" w:color="auto" w:fill="E6E6E6"/>
          <w:vertAlign w:val="superscript"/>
        </w:rPr>
        <w:footnoteReference w:id="8"/>
      </w:r>
      <w:r w:rsidRPr="00B930D3">
        <w:rPr>
          <w:rFonts w:ascii="Times New Roman" w:eastAsia="Times New Roman" w:hAnsi="Times New Roman"/>
          <w:b/>
          <w:bCs/>
          <w:sz w:val="26"/>
          <w:szCs w:val="26"/>
          <w:vertAlign w:val="superscript"/>
        </w:rPr>
        <w:t xml:space="preserve"> </w:t>
      </w:r>
      <w:r w:rsidR="00847546">
        <w:rPr>
          <w:rFonts w:ascii="Times New Roman" w:eastAsia="Times New Roman" w:hAnsi="Times New Roman"/>
          <w:sz w:val="26"/>
          <w:szCs w:val="26"/>
        </w:rPr>
        <w:t>and Notice of Proposed Rulemaking</w:t>
      </w:r>
      <w:r>
        <w:rPr>
          <w:b/>
          <w:color w:val="2B579A"/>
          <w:shd w:val="clear" w:color="auto" w:fill="E6E6E6"/>
          <w:vertAlign w:val="superscript"/>
        </w:rPr>
        <w:footnoteReference w:id="9"/>
      </w:r>
      <w:r w:rsidR="00847546">
        <w:rPr>
          <w:rFonts w:ascii="Times New Roman" w:eastAsia="Times New Roman" w:hAnsi="Times New Roman"/>
          <w:sz w:val="26"/>
          <w:szCs w:val="26"/>
        </w:rPr>
        <w:t xml:space="preserve"> in this docket</w:t>
      </w:r>
      <w:r w:rsidRPr="1316CCC4">
        <w:rPr>
          <w:rFonts w:ascii="Times New Roman" w:eastAsia="Times New Roman" w:hAnsi="Times New Roman"/>
          <w:sz w:val="26"/>
          <w:szCs w:val="26"/>
        </w:rPr>
        <w:t>.  The proposed rule updates the USofA</w:t>
      </w:r>
      <w:r w:rsidR="00DF4996">
        <w:rPr>
          <w:rFonts w:ascii="Times New Roman" w:eastAsia="Times New Roman" w:hAnsi="Times New Roman"/>
          <w:sz w:val="26"/>
          <w:szCs w:val="26"/>
        </w:rPr>
        <w:t>’s accounting and reporting treatment</w:t>
      </w:r>
      <w:r w:rsidRPr="1316CCC4">
        <w:rPr>
          <w:rFonts w:ascii="Times New Roman" w:eastAsia="Times New Roman" w:hAnsi="Times New Roman"/>
          <w:sz w:val="26"/>
          <w:szCs w:val="26"/>
        </w:rPr>
        <w:t xml:space="preserve"> for renewable energy </w:t>
      </w:r>
      <w:r w:rsidR="005F0217">
        <w:rPr>
          <w:rFonts w:ascii="Times New Roman" w:eastAsia="Times New Roman" w:hAnsi="Times New Roman"/>
          <w:sz w:val="26"/>
          <w:szCs w:val="26"/>
        </w:rPr>
        <w:t xml:space="preserve">generating </w:t>
      </w:r>
      <w:r w:rsidRPr="1316CCC4" w:rsidR="00FE3265">
        <w:rPr>
          <w:rFonts w:ascii="Times New Roman" w:eastAsia="Times New Roman" w:hAnsi="Times New Roman"/>
          <w:sz w:val="26"/>
          <w:szCs w:val="26"/>
        </w:rPr>
        <w:t>assets</w:t>
      </w:r>
      <w:r w:rsidR="005F0217">
        <w:rPr>
          <w:rFonts w:ascii="Times New Roman" w:eastAsia="Times New Roman" w:hAnsi="Times New Roman"/>
          <w:sz w:val="26"/>
          <w:szCs w:val="26"/>
        </w:rPr>
        <w:t>,</w:t>
      </w:r>
      <w:r w:rsidRPr="1316CCC4" w:rsidR="00FE3265">
        <w:rPr>
          <w:rFonts w:ascii="Times New Roman" w:eastAsia="Times New Roman" w:hAnsi="Times New Roman"/>
          <w:sz w:val="26"/>
          <w:szCs w:val="26"/>
        </w:rPr>
        <w:t xml:space="preserve"> energy storage, </w:t>
      </w:r>
      <w:r w:rsidR="005F0217">
        <w:rPr>
          <w:rFonts w:ascii="Times New Roman" w:eastAsia="Times New Roman" w:hAnsi="Times New Roman"/>
          <w:sz w:val="26"/>
          <w:szCs w:val="26"/>
        </w:rPr>
        <w:t xml:space="preserve">environmental credits, and </w:t>
      </w:r>
      <w:r w:rsidRPr="569586B3" w:rsidR="00FE3265">
        <w:rPr>
          <w:rFonts w:ascii="Times New Roman" w:eastAsia="Times New Roman" w:hAnsi="Times New Roman"/>
          <w:sz w:val="26"/>
          <w:szCs w:val="26"/>
        </w:rPr>
        <w:t xml:space="preserve">computer </w:t>
      </w:r>
      <w:r w:rsidRPr="1316CCC4" w:rsidR="00FE3265">
        <w:rPr>
          <w:rFonts w:ascii="Times New Roman" w:eastAsia="Times New Roman" w:hAnsi="Times New Roman"/>
          <w:sz w:val="26"/>
          <w:szCs w:val="26"/>
        </w:rPr>
        <w:t>hardware, software, and communication equipment</w:t>
      </w:r>
      <w:r w:rsidRPr="1316CCC4">
        <w:rPr>
          <w:rFonts w:ascii="Times New Roman" w:eastAsia="Times New Roman" w:hAnsi="Times New Roman"/>
          <w:sz w:val="26"/>
          <w:szCs w:val="26"/>
        </w:rPr>
        <w:t xml:space="preserve">.  </w:t>
      </w:r>
      <w:r w:rsidR="005373CC">
        <w:rPr>
          <w:rFonts w:ascii="Times New Roman" w:eastAsia="Times New Roman" w:hAnsi="Times New Roman"/>
          <w:sz w:val="26"/>
          <w:szCs w:val="26"/>
        </w:rPr>
        <w:t>By clarifying and streamlining accounting treatment for these assets</w:t>
      </w:r>
      <w:r w:rsidRPr="00692311" w:rsidR="00FF11CD">
        <w:rPr>
          <w:rFonts w:ascii="Times New Roman" w:hAnsi="Times New Roman"/>
          <w:iCs/>
          <w:sz w:val="26"/>
          <w:szCs w:val="26"/>
        </w:rPr>
        <w:t xml:space="preserve">, these reforms will provide uniformity, consistency, and transparency in accounting and reporting for investments into these assets, and </w:t>
      </w:r>
      <w:r w:rsidR="00B02EDB">
        <w:rPr>
          <w:rFonts w:ascii="Times New Roman" w:hAnsi="Times New Roman"/>
          <w:iCs/>
          <w:sz w:val="26"/>
          <w:szCs w:val="26"/>
        </w:rPr>
        <w:t xml:space="preserve">reduce </w:t>
      </w:r>
      <w:r w:rsidR="00E64CA6">
        <w:rPr>
          <w:rFonts w:ascii="Times New Roman" w:hAnsi="Times New Roman"/>
          <w:iCs/>
          <w:sz w:val="26"/>
          <w:szCs w:val="26"/>
        </w:rPr>
        <w:t>uncertainty and administrative burden</w:t>
      </w:r>
      <w:r w:rsidRPr="1316CCC4" w:rsidR="001C7BE9">
        <w:rPr>
          <w:rFonts w:ascii="Times New Roman" w:eastAsia="Times New Roman" w:hAnsi="Times New Roman"/>
          <w:sz w:val="26"/>
          <w:szCs w:val="26"/>
        </w:rPr>
        <w:t xml:space="preserve">. </w:t>
      </w:r>
    </w:p>
    <w:p w:rsidR="00000F93" w:rsidRPr="0073506C" w:rsidP="00BD0F89" w14:paraId="2699B861" w14:textId="77777777">
      <w:pPr>
        <w:spacing w:after="0" w:line="240" w:lineRule="auto"/>
        <w:rPr>
          <w:rFonts w:ascii="Times New Roman" w:eastAsia="Times New Roman" w:hAnsi="Times New Roman"/>
          <w:b/>
          <w:sz w:val="26"/>
          <w:szCs w:val="26"/>
        </w:rPr>
      </w:pPr>
    </w:p>
    <w:p w:rsidR="00471F97" w:rsidRPr="0073506C" w:rsidP="00BD0F89" w14:paraId="025D3203"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HOW, BY WHOM, AND FOR WHAT PURPOSE THE INFORMATION IS TO BE USED AND THE CONSEQUENCES OF NOT COLLECTING THE INFORMATION</w:t>
      </w:r>
    </w:p>
    <w:p w:rsidR="007445A8" w:rsidRPr="0073506C" w:rsidP="00BD0F89" w14:paraId="4C545E0D" w14:textId="77777777">
      <w:pPr>
        <w:spacing w:after="0" w:line="240" w:lineRule="auto"/>
        <w:rPr>
          <w:rFonts w:ascii="Times New Roman" w:hAnsi="Times New Roman"/>
          <w:sz w:val="26"/>
          <w:szCs w:val="26"/>
        </w:rPr>
      </w:pPr>
    </w:p>
    <w:p w:rsidR="00CC72A5" w:rsidRPr="0073506C" w14:paraId="62912085" w14:textId="03738111">
      <w:pPr>
        <w:spacing w:after="0" w:line="240" w:lineRule="auto"/>
        <w:rPr>
          <w:rFonts w:ascii="Times New Roman" w:hAnsi="Times New Roman"/>
          <w:sz w:val="26"/>
          <w:szCs w:val="26"/>
        </w:rPr>
      </w:pPr>
      <w:r w:rsidRPr="0073506C">
        <w:rPr>
          <w:rFonts w:ascii="Times New Roman" w:hAnsi="Times New Roman"/>
          <w:b/>
          <w:sz w:val="26"/>
          <w:szCs w:val="26"/>
        </w:rPr>
        <w:t>F</w:t>
      </w:r>
      <w:r w:rsidRPr="0073506C" w:rsidR="009E14B3">
        <w:rPr>
          <w:rFonts w:ascii="Times New Roman" w:hAnsi="Times New Roman"/>
          <w:b/>
          <w:sz w:val="26"/>
          <w:szCs w:val="26"/>
        </w:rPr>
        <w:t>ERC</w:t>
      </w:r>
      <w:r w:rsidRPr="0073506C" w:rsidR="002123B8">
        <w:rPr>
          <w:rFonts w:ascii="Times New Roman" w:hAnsi="Times New Roman"/>
          <w:b/>
          <w:sz w:val="26"/>
          <w:szCs w:val="26"/>
        </w:rPr>
        <w:t xml:space="preserve"> Form Nos. </w:t>
      </w:r>
      <w:r w:rsidRPr="0073506C">
        <w:rPr>
          <w:rFonts w:ascii="Times New Roman" w:hAnsi="Times New Roman"/>
          <w:b/>
          <w:sz w:val="26"/>
          <w:szCs w:val="26"/>
        </w:rPr>
        <w:t>1, 1-F, and 3-Q</w:t>
      </w:r>
      <w:r w:rsidRPr="0073506C" w:rsidR="00FE4084">
        <w:rPr>
          <w:rFonts w:ascii="Times New Roman" w:hAnsi="Times New Roman"/>
          <w:b/>
          <w:sz w:val="26"/>
          <w:szCs w:val="26"/>
        </w:rPr>
        <w:t xml:space="preserve"> (electric)</w:t>
      </w:r>
      <w:r w:rsidRPr="0073506C">
        <w:rPr>
          <w:rFonts w:ascii="Times New Roman" w:hAnsi="Times New Roman"/>
          <w:b/>
          <w:sz w:val="26"/>
          <w:szCs w:val="26"/>
        </w:rPr>
        <w:t xml:space="preserve">.  </w:t>
      </w:r>
      <w:r w:rsidRPr="0073506C">
        <w:rPr>
          <w:rFonts w:ascii="Times New Roman" w:hAnsi="Times New Roman"/>
          <w:sz w:val="26"/>
          <w:szCs w:val="26"/>
        </w:rPr>
        <w:t>These forms provide information concerning a company’s current performance, compiled using the Commission’s USofA.</w:t>
      </w:r>
      <w:r>
        <w:rPr>
          <w:rFonts w:ascii="Times New Roman" w:hAnsi="Times New Roman"/>
          <w:b/>
          <w:sz w:val="26"/>
          <w:szCs w:val="26"/>
          <w:vertAlign w:val="superscript"/>
        </w:rPr>
        <w:footnoteReference w:id="10"/>
      </w:r>
      <w:r w:rsidRPr="0073506C">
        <w:rPr>
          <w:rFonts w:ascii="Times New Roman" w:hAnsi="Times New Roman"/>
          <w:sz w:val="26"/>
          <w:szCs w:val="26"/>
        </w:rPr>
        <w:t xml:space="preserve">  The forms include a basic set of financial statements: </w:t>
      </w:r>
      <w:r w:rsidR="004D25D2">
        <w:rPr>
          <w:rFonts w:ascii="Times New Roman" w:hAnsi="Times New Roman"/>
          <w:sz w:val="26"/>
          <w:szCs w:val="26"/>
        </w:rPr>
        <w:t xml:space="preserve"> </w:t>
      </w:r>
      <w:r w:rsidRPr="0073506C">
        <w:rPr>
          <w:rFonts w:ascii="Times New Roman" w:hAnsi="Times New Roman"/>
          <w:sz w:val="26"/>
          <w:szCs w:val="26"/>
        </w:rPr>
        <w:t>Comparative Balance Sheet, Statement of Income</w:t>
      </w:r>
      <w:r w:rsidR="001A7950">
        <w:rPr>
          <w:rFonts w:ascii="Times New Roman" w:hAnsi="Times New Roman"/>
          <w:sz w:val="26"/>
          <w:szCs w:val="26"/>
        </w:rPr>
        <w:t>,</w:t>
      </w:r>
      <w:r w:rsidRPr="0073506C">
        <w:rPr>
          <w:rFonts w:ascii="Times New Roman" w:hAnsi="Times New Roman"/>
          <w:sz w:val="26"/>
          <w:szCs w:val="26"/>
        </w:rPr>
        <w:t xml:space="preserve"> Statement of Retained Earnings, Statement of Cash Flows, and the Statement of Comprehensive Income and Hedging Activities and supporting schedules containing supplementary information.  Electric respondents report revenues and the related quantities of electric sales and electricity transmitted</w:t>
      </w:r>
      <w:r w:rsidR="00722F21">
        <w:rPr>
          <w:rFonts w:ascii="Times New Roman" w:hAnsi="Times New Roman"/>
          <w:sz w:val="26"/>
          <w:szCs w:val="26"/>
        </w:rPr>
        <w:t>,</w:t>
      </w:r>
      <w:r w:rsidRPr="0073506C">
        <w:rPr>
          <w:rFonts w:ascii="Times New Roman" w:hAnsi="Times New Roman"/>
          <w:sz w:val="26"/>
          <w:szCs w:val="26"/>
        </w:rPr>
        <w:t xml:space="preserve"> account balances for all electric operation and maintenance expenses</w:t>
      </w:r>
      <w:r w:rsidR="00722F21">
        <w:rPr>
          <w:rFonts w:ascii="Times New Roman" w:hAnsi="Times New Roman"/>
          <w:sz w:val="26"/>
          <w:szCs w:val="26"/>
        </w:rPr>
        <w:t>,</w:t>
      </w:r>
      <w:r w:rsidRPr="0073506C">
        <w:rPr>
          <w:rFonts w:ascii="Times New Roman" w:hAnsi="Times New Roman"/>
          <w:sz w:val="26"/>
          <w:szCs w:val="26"/>
        </w:rPr>
        <w:t xml:space="preserve"> selected plant cost data</w:t>
      </w:r>
      <w:r w:rsidR="00722F21">
        <w:rPr>
          <w:rFonts w:ascii="Times New Roman" w:hAnsi="Times New Roman"/>
          <w:sz w:val="26"/>
          <w:szCs w:val="26"/>
        </w:rPr>
        <w:t>,</w:t>
      </w:r>
      <w:r w:rsidRPr="0073506C">
        <w:rPr>
          <w:rFonts w:ascii="Times New Roman" w:hAnsi="Times New Roman"/>
          <w:sz w:val="26"/>
          <w:szCs w:val="26"/>
        </w:rPr>
        <w:t xml:space="preserve"> and other statistical information.  </w:t>
      </w:r>
    </w:p>
    <w:p w:rsidR="0058372E" w:rsidRPr="0073506C" w:rsidP="00BD0F89" w14:paraId="3FC78B7E" w14:textId="77777777">
      <w:pPr>
        <w:spacing w:after="0" w:line="240" w:lineRule="auto"/>
        <w:rPr>
          <w:rFonts w:ascii="Times New Roman" w:hAnsi="Times New Roman"/>
          <w:sz w:val="26"/>
          <w:szCs w:val="26"/>
        </w:rPr>
      </w:pPr>
    </w:p>
    <w:p w:rsidR="0058372E" w:rsidP="00BD0F89" w14:paraId="31FA0FA1" w14:textId="3AC015B1">
      <w:pPr>
        <w:spacing w:after="0" w:line="240" w:lineRule="auto"/>
        <w:rPr>
          <w:rFonts w:ascii="Times New Roman" w:hAnsi="Times New Roman"/>
          <w:sz w:val="26"/>
          <w:szCs w:val="26"/>
        </w:rPr>
      </w:pPr>
      <w:r w:rsidRPr="0073506C">
        <w:rPr>
          <w:rFonts w:ascii="Times New Roman" w:hAnsi="Times New Roman"/>
          <w:sz w:val="26"/>
          <w:szCs w:val="26"/>
        </w:rPr>
        <w:t xml:space="preserve">Information in the forms is used by </w:t>
      </w:r>
      <w:r w:rsidRPr="0073506C" w:rsidR="00156589">
        <w:rPr>
          <w:rFonts w:ascii="Times New Roman" w:hAnsi="Times New Roman"/>
          <w:sz w:val="26"/>
          <w:szCs w:val="26"/>
        </w:rPr>
        <w:t>the Commission,</w:t>
      </w:r>
      <w:r w:rsidRPr="0073506C">
        <w:rPr>
          <w:rFonts w:ascii="Times New Roman" w:hAnsi="Times New Roman"/>
          <w:sz w:val="26"/>
          <w:szCs w:val="26"/>
        </w:rPr>
        <w:t xml:space="preserve"> state regulatory agencies</w:t>
      </w:r>
      <w:r w:rsidRPr="0073506C" w:rsidR="00A326E2">
        <w:rPr>
          <w:rFonts w:ascii="Times New Roman" w:hAnsi="Times New Roman"/>
          <w:sz w:val="26"/>
          <w:szCs w:val="26"/>
        </w:rPr>
        <w:t>,</w:t>
      </w:r>
      <w:r w:rsidRPr="0073506C">
        <w:rPr>
          <w:rFonts w:ascii="Times New Roman" w:hAnsi="Times New Roman"/>
          <w:sz w:val="26"/>
          <w:szCs w:val="26"/>
        </w:rPr>
        <w:t xml:space="preserve"> and others </w:t>
      </w:r>
      <w:r w:rsidR="005C48B9">
        <w:rPr>
          <w:rFonts w:ascii="Times New Roman" w:hAnsi="Times New Roman"/>
          <w:sz w:val="26"/>
          <w:szCs w:val="26"/>
        </w:rPr>
        <w:t>to</w:t>
      </w:r>
      <w:r w:rsidRPr="0073506C">
        <w:rPr>
          <w:rFonts w:ascii="Times New Roman" w:hAnsi="Times New Roman"/>
          <w:sz w:val="26"/>
          <w:szCs w:val="26"/>
        </w:rPr>
        <w:t xml:space="preserve"> review the financial condition of regulated companies.  </w:t>
      </w:r>
      <w:r w:rsidRPr="00542F3A" w:rsidR="00542F3A">
        <w:rPr>
          <w:rFonts w:ascii="Times New Roman" w:hAnsi="Times New Roman"/>
          <w:sz w:val="26"/>
          <w:szCs w:val="26"/>
        </w:rPr>
        <w:t xml:space="preserve">FERC Form Nos. 1 and 1-F provide data that enables the Commission to develop and monitor cost-based rates, analyze costs of different services and classes of assets, and compare costs across lines of business.  The </w:t>
      </w:r>
      <w:r w:rsidR="00F4274D">
        <w:rPr>
          <w:rFonts w:ascii="Times New Roman" w:hAnsi="Times New Roman"/>
          <w:sz w:val="26"/>
          <w:szCs w:val="26"/>
        </w:rPr>
        <w:t>USofA</w:t>
      </w:r>
      <w:r w:rsidRPr="00542F3A" w:rsidR="00542F3A">
        <w:rPr>
          <w:rFonts w:ascii="Times New Roman" w:hAnsi="Times New Roman"/>
          <w:sz w:val="26"/>
          <w:szCs w:val="26"/>
        </w:rPr>
        <w:t xml:space="preserve"> permits companies to account for similar transactions and events in a consistent manner </w:t>
      </w:r>
      <w:r w:rsidR="00391797">
        <w:rPr>
          <w:rFonts w:ascii="Times New Roman" w:hAnsi="Times New Roman"/>
          <w:sz w:val="26"/>
          <w:szCs w:val="26"/>
        </w:rPr>
        <w:t>across the</w:t>
      </w:r>
      <w:r w:rsidRPr="00542F3A" w:rsidR="00542F3A">
        <w:rPr>
          <w:rFonts w:ascii="Times New Roman" w:hAnsi="Times New Roman"/>
          <w:sz w:val="26"/>
          <w:szCs w:val="26"/>
        </w:rPr>
        <w:t xml:space="preserve"> industry, and communicate those results to the Commission on a periodic basis.  </w:t>
      </w:r>
      <w:r w:rsidRPr="0073506C">
        <w:rPr>
          <w:rFonts w:ascii="Times New Roman" w:hAnsi="Times New Roman"/>
          <w:sz w:val="26"/>
          <w:szCs w:val="26"/>
        </w:rPr>
        <w:t>The information is also used in market oversight</w:t>
      </w:r>
      <w:r w:rsidR="008F28F7">
        <w:rPr>
          <w:rFonts w:ascii="Times New Roman" w:hAnsi="Times New Roman"/>
          <w:sz w:val="26"/>
          <w:szCs w:val="26"/>
        </w:rPr>
        <w:t xml:space="preserve"> and</w:t>
      </w:r>
      <w:r w:rsidRPr="0073506C" w:rsidR="008E6E94">
        <w:rPr>
          <w:rFonts w:ascii="Times New Roman" w:hAnsi="Times New Roman"/>
          <w:sz w:val="26"/>
          <w:szCs w:val="26"/>
        </w:rPr>
        <w:t xml:space="preserve"> </w:t>
      </w:r>
      <w:r w:rsidRPr="0073506C" w:rsidR="00156589">
        <w:rPr>
          <w:rFonts w:ascii="Times New Roman" w:hAnsi="Times New Roman"/>
          <w:sz w:val="26"/>
          <w:szCs w:val="26"/>
        </w:rPr>
        <w:t>the Commission’s</w:t>
      </w:r>
      <w:r w:rsidRPr="0073506C">
        <w:rPr>
          <w:rFonts w:ascii="Times New Roman" w:hAnsi="Times New Roman"/>
          <w:sz w:val="26"/>
          <w:szCs w:val="26"/>
        </w:rPr>
        <w:t xml:space="preserve"> audit programs based on certain schedules contained </w:t>
      </w:r>
      <w:r w:rsidR="004D25D2">
        <w:rPr>
          <w:rFonts w:ascii="Times New Roman" w:hAnsi="Times New Roman"/>
          <w:sz w:val="26"/>
          <w:szCs w:val="26"/>
        </w:rPr>
        <w:t>i</w:t>
      </w:r>
      <w:r w:rsidRPr="0073506C" w:rsidR="004D25D2">
        <w:rPr>
          <w:rFonts w:ascii="Times New Roman" w:hAnsi="Times New Roman"/>
          <w:sz w:val="26"/>
          <w:szCs w:val="26"/>
        </w:rPr>
        <w:t xml:space="preserve">n </w:t>
      </w:r>
      <w:r w:rsidRPr="0073506C">
        <w:rPr>
          <w:rFonts w:ascii="Times New Roman" w:hAnsi="Times New Roman"/>
          <w:sz w:val="26"/>
          <w:szCs w:val="26"/>
        </w:rPr>
        <w:t xml:space="preserve">the forms. </w:t>
      </w:r>
      <w:r w:rsidR="00577119">
        <w:rPr>
          <w:rFonts w:ascii="Times New Roman" w:hAnsi="Times New Roman"/>
          <w:sz w:val="26"/>
          <w:szCs w:val="26"/>
        </w:rPr>
        <w:tab/>
      </w:r>
    </w:p>
    <w:p w:rsidR="00542F3A" w:rsidRPr="00542F3A" w:rsidP="00542F3A" w14:paraId="448356C9" w14:textId="4D140C35">
      <w:pPr>
        <w:spacing w:after="0" w:line="240" w:lineRule="auto"/>
        <w:rPr>
          <w:rFonts w:ascii="Times New Roman" w:hAnsi="Times New Roman"/>
          <w:sz w:val="26"/>
          <w:szCs w:val="26"/>
        </w:rPr>
      </w:pPr>
      <w:r w:rsidRPr="00542F3A">
        <w:rPr>
          <w:rFonts w:ascii="Times New Roman" w:hAnsi="Times New Roman"/>
          <w:sz w:val="26"/>
          <w:szCs w:val="26"/>
        </w:rPr>
        <w:tab/>
      </w:r>
    </w:p>
    <w:p w:rsidR="00542F3A" w:rsidP="00542F3A" w14:paraId="4A891F32" w14:textId="5D36E4B3">
      <w:pPr>
        <w:spacing w:after="0" w:line="240" w:lineRule="auto"/>
        <w:rPr>
          <w:rFonts w:ascii="Times New Roman" w:hAnsi="Times New Roman"/>
          <w:sz w:val="26"/>
          <w:szCs w:val="26"/>
        </w:rPr>
      </w:pPr>
      <w:r w:rsidRPr="00542F3A">
        <w:rPr>
          <w:rFonts w:ascii="Times New Roman" w:hAnsi="Times New Roman"/>
          <w:sz w:val="26"/>
          <w:szCs w:val="26"/>
        </w:rPr>
        <w:t>Additionally, the uniformity helps accurately present the entity's financial condition and produces comprehensive data related to the entity's financial history</w:t>
      </w:r>
      <w:r w:rsidR="00CA1FED">
        <w:rPr>
          <w:rFonts w:ascii="Times New Roman" w:hAnsi="Times New Roman"/>
          <w:sz w:val="26"/>
          <w:szCs w:val="26"/>
        </w:rPr>
        <w:t>,</w:t>
      </w:r>
      <w:r w:rsidRPr="00542F3A">
        <w:rPr>
          <w:rFonts w:ascii="Times New Roman" w:hAnsi="Times New Roman"/>
          <w:sz w:val="26"/>
          <w:szCs w:val="26"/>
        </w:rPr>
        <w:t xml:space="preserve"> which guide</w:t>
      </w:r>
      <w:r w:rsidR="00CA1FED">
        <w:rPr>
          <w:rFonts w:ascii="Times New Roman" w:hAnsi="Times New Roman"/>
          <w:sz w:val="26"/>
          <w:szCs w:val="26"/>
        </w:rPr>
        <w:t>s</w:t>
      </w:r>
      <w:r w:rsidRPr="00542F3A">
        <w:rPr>
          <w:rFonts w:ascii="Times New Roman" w:hAnsi="Times New Roman"/>
          <w:sz w:val="26"/>
          <w:szCs w:val="26"/>
        </w:rPr>
        <w:t xml:space="preserve"> future </w:t>
      </w:r>
      <w:r w:rsidRPr="00542F3A">
        <w:rPr>
          <w:rFonts w:ascii="Times New Roman" w:hAnsi="Times New Roman"/>
          <w:sz w:val="26"/>
          <w:szCs w:val="26"/>
        </w:rPr>
        <w:t>action.  The uniformity provided by the Commission's USofA and related accounting instructions permits compar</w:t>
      </w:r>
      <w:r w:rsidR="00BC21C6">
        <w:rPr>
          <w:rFonts w:ascii="Times New Roman" w:hAnsi="Times New Roman"/>
          <w:sz w:val="26"/>
          <w:szCs w:val="26"/>
        </w:rPr>
        <w:t>ison</w:t>
      </w:r>
      <w:r w:rsidRPr="00542F3A">
        <w:rPr>
          <w:rFonts w:ascii="Times New Roman" w:hAnsi="Times New Roman"/>
          <w:sz w:val="26"/>
          <w:szCs w:val="26"/>
        </w:rPr>
        <w:t xml:space="preserve"> and financial statement analysis of jurisdictional entit</w:t>
      </w:r>
      <w:r w:rsidR="00BC21C6">
        <w:rPr>
          <w:rFonts w:ascii="Times New Roman" w:hAnsi="Times New Roman"/>
          <w:sz w:val="26"/>
          <w:szCs w:val="26"/>
        </w:rPr>
        <w:t>y data</w:t>
      </w:r>
      <w:r w:rsidRPr="00542F3A">
        <w:rPr>
          <w:rFonts w:ascii="Times New Roman" w:hAnsi="Times New Roman"/>
          <w:sz w:val="26"/>
          <w:szCs w:val="26"/>
        </w:rPr>
        <w:t xml:space="preserve">.  </w:t>
      </w:r>
      <w:r w:rsidR="0033348C">
        <w:rPr>
          <w:rFonts w:ascii="Times New Roman" w:hAnsi="Times New Roman"/>
          <w:sz w:val="26"/>
          <w:szCs w:val="26"/>
        </w:rPr>
        <w:t xml:space="preserve">Absent </w:t>
      </w:r>
      <w:r w:rsidR="006115F3">
        <w:rPr>
          <w:rFonts w:ascii="Times New Roman" w:hAnsi="Times New Roman"/>
          <w:sz w:val="26"/>
          <w:szCs w:val="26"/>
        </w:rPr>
        <w:t>the uniformity provided by the USofA</w:t>
      </w:r>
      <w:r w:rsidR="003076AC">
        <w:rPr>
          <w:rFonts w:ascii="Times New Roman" w:hAnsi="Times New Roman"/>
          <w:sz w:val="26"/>
          <w:szCs w:val="26"/>
        </w:rPr>
        <w:t>,</w:t>
      </w:r>
      <w:r w:rsidR="006115F3">
        <w:rPr>
          <w:rFonts w:ascii="Times New Roman" w:hAnsi="Times New Roman"/>
          <w:sz w:val="26"/>
          <w:szCs w:val="26"/>
        </w:rPr>
        <w:t xml:space="preserve"> it would be difficult </w:t>
      </w:r>
      <w:r w:rsidR="00C01C81">
        <w:rPr>
          <w:rFonts w:ascii="Times New Roman" w:hAnsi="Times New Roman"/>
          <w:sz w:val="26"/>
          <w:szCs w:val="26"/>
        </w:rPr>
        <w:t>to c</w:t>
      </w:r>
      <w:r w:rsidRPr="00542F3A">
        <w:rPr>
          <w:rFonts w:ascii="Times New Roman" w:hAnsi="Times New Roman"/>
          <w:sz w:val="26"/>
          <w:szCs w:val="26"/>
        </w:rPr>
        <w:t>ompar</w:t>
      </w:r>
      <w:r w:rsidR="00C01C81">
        <w:rPr>
          <w:rFonts w:ascii="Times New Roman" w:hAnsi="Times New Roman"/>
          <w:sz w:val="26"/>
          <w:szCs w:val="26"/>
        </w:rPr>
        <w:t>e</w:t>
      </w:r>
      <w:r w:rsidRPr="00542F3A">
        <w:rPr>
          <w:rFonts w:ascii="Times New Roman" w:hAnsi="Times New Roman"/>
          <w:sz w:val="26"/>
          <w:szCs w:val="26"/>
        </w:rPr>
        <w:t xml:space="preserve"> data and</w:t>
      </w:r>
      <w:r w:rsidR="00C01C81">
        <w:rPr>
          <w:rFonts w:ascii="Times New Roman" w:hAnsi="Times New Roman"/>
          <w:sz w:val="26"/>
          <w:szCs w:val="26"/>
        </w:rPr>
        <w:t xml:space="preserve"> analyze</w:t>
      </w:r>
      <w:r w:rsidRPr="00542F3A">
        <w:rPr>
          <w:rFonts w:ascii="Times New Roman" w:hAnsi="Times New Roman"/>
          <w:sz w:val="26"/>
          <w:szCs w:val="26"/>
        </w:rPr>
        <w:t xml:space="preserve"> financial statement</w:t>
      </w:r>
      <w:r w:rsidR="00C01C81">
        <w:rPr>
          <w:rFonts w:ascii="Times New Roman" w:hAnsi="Times New Roman"/>
          <w:sz w:val="26"/>
          <w:szCs w:val="26"/>
        </w:rPr>
        <w:t>s</w:t>
      </w:r>
      <w:r w:rsidRPr="00542F3A">
        <w:rPr>
          <w:rFonts w:ascii="Times New Roman" w:hAnsi="Times New Roman"/>
          <w:sz w:val="26"/>
          <w:szCs w:val="26"/>
        </w:rPr>
        <w:t xml:space="preserve"> for a particular entity from one period to the next, or between entities within the same industry.</w:t>
      </w:r>
    </w:p>
    <w:p w:rsidR="00542F3A" w:rsidRPr="0073506C" w:rsidP="00542F3A" w14:paraId="4292877A" w14:textId="77777777">
      <w:pPr>
        <w:spacing w:after="0" w:line="240" w:lineRule="auto"/>
        <w:rPr>
          <w:rFonts w:ascii="Times New Roman" w:hAnsi="Times New Roman"/>
          <w:sz w:val="26"/>
          <w:szCs w:val="26"/>
        </w:rPr>
      </w:pPr>
    </w:p>
    <w:p w:rsidR="00CE3060" w:rsidRPr="00CE3060" w:rsidP="00CE3060" w14:paraId="072074C9" w14:textId="2E9535EF">
      <w:pPr>
        <w:tabs>
          <w:tab w:val="num" w:pos="1080"/>
        </w:tabs>
        <w:spacing w:after="0" w:line="240" w:lineRule="auto"/>
        <w:rPr>
          <w:rFonts w:ascii="Times New Roman" w:hAnsi="Times New Roman"/>
          <w:b/>
          <w:sz w:val="26"/>
          <w:szCs w:val="26"/>
        </w:rPr>
      </w:pPr>
      <w:r w:rsidRPr="0073506C">
        <w:rPr>
          <w:rFonts w:ascii="Times New Roman" w:hAnsi="Times New Roman"/>
          <w:b/>
          <w:sz w:val="26"/>
          <w:szCs w:val="26"/>
        </w:rPr>
        <w:t>FERC</w:t>
      </w:r>
      <w:r w:rsidRPr="0073506C" w:rsidR="002123B8">
        <w:rPr>
          <w:rFonts w:ascii="Times New Roman" w:hAnsi="Times New Roman"/>
          <w:b/>
          <w:sz w:val="26"/>
          <w:szCs w:val="26"/>
        </w:rPr>
        <w:t xml:space="preserve"> Form No. </w:t>
      </w:r>
      <w:r w:rsidR="00B04E52">
        <w:rPr>
          <w:rFonts w:ascii="Times New Roman" w:hAnsi="Times New Roman"/>
          <w:b/>
          <w:sz w:val="26"/>
          <w:szCs w:val="26"/>
        </w:rPr>
        <w:t xml:space="preserve">60. </w:t>
      </w:r>
      <w:r w:rsidR="0058588E">
        <w:rPr>
          <w:rFonts w:ascii="Times New Roman" w:hAnsi="Times New Roman"/>
          <w:b/>
          <w:sz w:val="26"/>
          <w:szCs w:val="26"/>
        </w:rPr>
        <w:t xml:space="preserve"> </w:t>
      </w:r>
      <w:r w:rsidRPr="00CE3060">
        <w:rPr>
          <w:rFonts w:ascii="Times New Roman" w:hAnsi="Times New Roman"/>
          <w:bCs/>
          <w:sz w:val="26"/>
          <w:szCs w:val="26"/>
        </w:rPr>
        <w:t>FERC Form No. 60 is an annual reporting requirement for centralized service companies.  The report’s function is to collect financial information (including balance sheet, assets, liabilities, and billing and charges for associated and non-associated companies) from centralized service companies subject to the Commission’s jurisdiction.  Unless Commission rule exempts or grants a waiver pursuant to 18 C.F.R. §§ 366.3 and 366.4 to the holding company system, every centralized service company in a holding company system must prepare and file electronically with the Commission the FERC Form No. 60 pursuant to the General Instructions in the form.</w:t>
      </w:r>
      <w:r w:rsidRPr="00CE3060">
        <w:rPr>
          <w:rFonts w:ascii="Times New Roman" w:hAnsi="Times New Roman"/>
          <w:b/>
          <w:sz w:val="26"/>
          <w:szCs w:val="26"/>
        </w:rPr>
        <w:t xml:space="preserve"> </w:t>
      </w:r>
    </w:p>
    <w:p w:rsidR="00B04E52" w:rsidP="00B04E52" w14:paraId="62F14146" w14:textId="77777777">
      <w:pPr>
        <w:tabs>
          <w:tab w:val="num" w:pos="1080"/>
        </w:tabs>
        <w:spacing w:after="0" w:line="240" w:lineRule="auto"/>
        <w:rPr>
          <w:rFonts w:ascii="Times New Roman" w:hAnsi="Times New Roman"/>
          <w:sz w:val="26"/>
          <w:szCs w:val="26"/>
        </w:rPr>
      </w:pPr>
    </w:p>
    <w:p w:rsidR="00CE3060" w:rsidP="00CE3060" w14:paraId="75C28B5D" w14:textId="4D9DFE21">
      <w:pPr>
        <w:spacing w:after="0" w:line="240" w:lineRule="auto"/>
        <w:rPr>
          <w:rFonts w:ascii="Times New Roman" w:hAnsi="Times New Roman"/>
          <w:sz w:val="26"/>
          <w:szCs w:val="26"/>
        </w:rPr>
      </w:pPr>
      <w:r>
        <w:rPr>
          <w:rFonts w:ascii="Times New Roman" w:hAnsi="Times New Roman"/>
          <w:sz w:val="26"/>
          <w:szCs w:val="26"/>
        </w:rPr>
        <w:t>Without the</w:t>
      </w:r>
      <w:r w:rsidRPr="00542F3A">
        <w:rPr>
          <w:rFonts w:ascii="Times New Roman" w:hAnsi="Times New Roman"/>
          <w:sz w:val="26"/>
          <w:szCs w:val="26"/>
        </w:rPr>
        <w:t xml:space="preserve"> </w:t>
      </w:r>
      <w:r w:rsidRPr="00542F3A" w:rsidR="00453885">
        <w:rPr>
          <w:rFonts w:ascii="Times New Roman" w:hAnsi="Times New Roman"/>
          <w:sz w:val="26"/>
          <w:szCs w:val="26"/>
        </w:rPr>
        <w:t>data from the FERC Form Nos. 1, 1-F</w:t>
      </w:r>
      <w:r w:rsidR="00453885">
        <w:rPr>
          <w:rFonts w:ascii="Times New Roman" w:hAnsi="Times New Roman"/>
          <w:sz w:val="26"/>
          <w:szCs w:val="26"/>
        </w:rPr>
        <w:t>,</w:t>
      </w:r>
      <w:r w:rsidRPr="00542F3A" w:rsidR="00453885">
        <w:rPr>
          <w:rFonts w:ascii="Times New Roman" w:hAnsi="Times New Roman"/>
          <w:sz w:val="26"/>
          <w:szCs w:val="26"/>
        </w:rPr>
        <w:t xml:space="preserve"> 3-Q (electric)</w:t>
      </w:r>
      <w:r w:rsidR="00453885">
        <w:rPr>
          <w:rFonts w:ascii="Times New Roman" w:hAnsi="Times New Roman"/>
          <w:sz w:val="26"/>
          <w:szCs w:val="26"/>
        </w:rPr>
        <w:t>, and 60</w:t>
      </w:r>
      <w:r w:rsidRPr="00542F3A" w:rsidR="00453885">
        <w:rPr>
          <w:rFonts w:ascii="Times New Roman" w:hAnsi="Times New Roman"/>
          <w:sz w:val="26"/>
          <w:szCs w:val="26"/>
        </w:rPr>
        <w:t>, the Commission would have fewer regulatory mechanisms to ensure transparency and protect ratepayers</w:t>
      </w:r>
      <w:r w:rsidR="004547FE">
        <w:rPr>
          <w:rFonts w:ascii="Times New Roman" w:hAnsi="Times New Roman"/>
          <w:sz w:val="26"/>
          <w:szCs w:val="26"/>
        </w:rPr>
        <w:t xml:space="preserve"> in fulfilling its </w:t>
      </w:r>
      <w:r w:rsidR="00C82822">
        <w:rPr>
          <w:rFonts w:ascii="Times New Roman" w:hAnsi="Times New Roman"/>
          <w:sz w:val="26"/>
          <w:szCs w:val="26"/>
        </w:rPr>
        <w:t>statutory review responsibilities</w:t>
      </w:r>
      <w:r w:rsidRPr="00542F3A" w:rsidR="00453885">
        <w:rPr>
          <w:rFonts w:ascii="Times New Roman" w:hAnsi="Times New Roman"/>
          <w:sz w:val="26"/>
          <w:szCs w:val="26"/>
        </w:rPr>
        <w:t>.</w:t>
      </w:r>
    </w:p>
    <w:p w:rsidR="00232129" w:rsidP="00BD0F89" w14:paraId="14FC9C33" w14:textId="3A00FDEF">
      <w:pPr>
        <w:spacing w:after="0" w:line="240" w:lineRule="auto"/>
        <w:rPr>
          <w:rFonts w:ascii="Times New Roman" w:hAnsi="Times New Roman"/>
          <w:sz w:val="26"/>
          <w:szCs w:val="26"/>
        </w:rPr>
      </w:pPr>
    </w:p>
    <w:p w:rsidR="00232129" w:rsidRPr="00232129" w:rsidP="00BD0F89" w14:paraId="70596225" w14:textId="79FB2754">
      <w:pPr>
        <w:spacing w:after="0" w:line="240" w:lineRule="auto"/>
        <w:rPr>
          <w:rFonts w:ascii="Times New Roman" w:hAnsi="Times New Roman"/>
          <w:b/>
          <w:bCs/>
          <w:sz w:val="26"/>
          <w:szCs w:val="26"/>
        </w:rPr>
      </w:pPr>
      <w:r>
        <w:rPr>
          <w:rFonts w:ascii="Times New Roman" w:hAnsi="Times New Roman"/>
          <w:b/>
          <w:bCs/>
          <w:sz w:val="26"/>
          <w:szCs w:val="26"/>
        </w:rPr>
        <w:t>Changes in the Final Rule</w:t>
      </w:r>
      <w:r w:rsidRPr="00232129" w:rsidR="00453885">
        <w:rPr>
          <w:rFonts w:ascii="Times New Roman" w:hAnsi="Times New Roman"/>
          <w:b/>
          <w:bCs/>
          <w:sz w:val="26"/>
          <w:szCs w:val="26"/>
        </w:rPr>
        <w:t xml:space="preserve"> </w:t>
      </w:r>
      <w:r w:rsidR="007554CF">
        <w:rPr>
          <w:rFonts w:ascii="Times New Roman" w:hAnsi="Times New Roman"/>
          <w:b/>
          <w:bCs/>
          <w:sz w:val="26"/>
          <w:szCs w:val="26"/>
        </w:rPr>
        <w:t>RM21-11</w:t>
      </w:r>
      <w:r w:rsidRPr="00232129" w:rsidR="00453885">
        <w:rPr>
          <w:rFonts w:ascii="Times New Roman" w:hAnsi="Times New Roman"/>
          <w:b/>
          <w:bCs/>
          <w:sz w:val="26"/>
          <w:szCs w:val="26"/>
        </w:rPr>
        <w:t>-000</w:t>
      </w:r>
    </w:p>
    <w:p w:rsidR="00BA412D" w:rsidP="00BD0F89" w14:paraId="020B1BA7" w14:textId="325DC1CC">
      <w:pPr>
        <w:spacing w:after="0" w:line="240" w:lineRule="auto"/>
        <w:rPr>
          <w:rFonts w:ascii="Times New Roman" w:hAnsi="Times New Roman"/>
          <w:sz w:val="26"/>
          <w:szCs w:val="26"/>
        </w:rPr>
      </w:pPr>
    </w:p>
    <w:p w:rsidR="00232129" w:rsidP="00BD0F89" w14:paraId="51E0801B" w14:textId="45C01A3F">
      <w:pPr>
        <w:spacing w:after="0" w:line="240" w:lineRule="auto"/>
        <w:rPr>
          <w:rFonts w:ascii="Times New Roman" w:hAnsi="Times New Roman"/>
          <w:sz w:val="26"/>
          <w:szCs w:val="26"/>
        </w:rPr>
      </w:pPr>
      <w:r w:rsidRPr="569586B3">
        <w:rPr>
          <w:rFonts w:ascii="Times New Roman" w:hAnsi="Times New Roman"/>
          <w:sz w:val="26"/>
          <w:szCs w:val="26"/>
        </w:rPr>
        <w:t xml:space="preserve">The </w:t>
      </w:r>
      <w:r w:rsidR="00DC50A0">
        <w:rPr>
          <w:rFonts w:ascii="Times New Roman" w:hAnsi="Times New Roman"/>
          <w:sz w:val="26"/>
          <w:szCs w:val="26"/>
        </w:rPr>
        <w:t>Final Rule</w:t>
      </w:r>
      <w:r w:rsidRPr="569586B3">
        <w:rPr>
          <w:rFonts w:ascii="Times New Roman" w:hAnsi="Times New Roman"/>
          <w:sz w:val="26"/>
          <w:szCs w:val="26"/>
        </w:rPr>
        <w:t xml:space="preserve"> (</w:t>
      </w:r>
      <w:r w:rsidR="007554CF">
        <w:rPr>
          <w:rFonts w:ascii="Times New Roman" w:hAnsi="Times New Roman"/>
          <w:sz w:val="26"/>
          <w:szCs w:val="26"/>
        </w:rPr>
        <w:t>RM21-11</w:t>
      </w:r>
      <w:r w:rsidRPr="569586B3">
        <w:rPr>
          <w:rFonts w:ascii="Times New Roman" w:hAnsi="Times New Roman"/>
          <w:sz w:val="26"/>
          <w:szCs w:val="26"/>
        </w:rPr>
        <w:t xml:space="preserve">-000) does not impact the purpose or use of the data collected in the FERC Form No. 1, 1-F, or 3-Q.  However, the </w:t>
      </w:r>
      <w:r w:rsidR="00DC50A0">
        <w:rPr>
          <w:rFonts w:ascii="Times New Roman" w:hAnsi="Times New Roman"/>
          <w:sz w:val="26"/>
          <w:szCs w:val="26"/>
        </w:rPr>
        <w:t>Final Rule</w:t>
      </w:r>
      <w:r w:rsidRPr="569586B3">
        <w:rPr>
          <w:rFonts w:ascii="Times New Roman" w:hAnsi="Times New Roman"/>
          <w:sz w:val="26"/>
          <w:szCs w:val="26"/>
        </w:rPr>
        <w:t xml:space="preserve"> distinguishes new and modified accounts within the accounting standards.  Specifically, the </w:t>
      </w:r>
      <w:r w:rsidR="00DC50A0">
        <w:rPr>
          <w:rFonts w:ascii="Times New Roman" w:hAnsi="Times New Roman"/>
          <w:sz w:val="26"/>
          <w:szCs w:val="26"/>
        </w:rPr>
        <w:t>Final Rule</w:t>
      </w:r>
      <w:r w:rsidRPr="569586B3">
        <w:rPr>
          <w:rFonts w:ascii="Times New Roman" w:hAnsi="Times New Roman"/>
          <w:sz w:val="26"/>
          <w:szCs w:val="26"/>
        </w:rPr>
        <w:t xml:space="preserve"> does not require additional information to be collected</w:t>
      </w:r>
      <w:r w:rsidR="00BC73A4">
        <w:rPr>
          <w:rFonts w:ascii="Times New Roman" w:hAnsi="Times New Roman"/>
          <w:sz w:val="26"/>
          <w:szCs w:val="26"/>
        </w:rPr>
        <w:t>;</w:t>
      </w:r>
      <w:r w:rsidRPr="569586B3">
        <w:rPr>
          <w:rFonts w:ascii="Times New Roman" w:hAnsi="Times New Roman"/>
          <w:sz w:val="26"/>
          <w:szCs w:val="26"/>
        </w:rPr>
        <w:t xml:space="preserve"> rather</w:t>
      </w:r>
      <w:r w:rsidR="00BC73A4">
        <w:rPr>
          <w:rFonts w:ascii="Times New Roman" w:hAnsi="Times New Roman"/>
          <w:sz w:val="26"/>
          <w:szCs w:val="26"/>
        </w:rPr>
        <w:t>,</w:t>
      </w:r>
      <w:r w:rsidRPr="569586B3">
        <w:rPr>
          <w:rFonts w:ascii="Times New Roman" w:hAnsi="Times New Roman"/>
          <w:sz w:val="26"/>
          <w:szCs w:val="26"/>
        </w:rPr>
        <w:t xml:space="preserve"> it changes how </w:t>
      </w:r>
      <w:r w:rsidR="007469CF">
        <w:rPr>
          <w:rFonts w:ascii="Times New Roman" w:hAnsi="Times New Roman"/>
          <w:sz w:val="26"/>
          <w:szCs w:val="26"/>
        </w:rPr>
        <w:t>already reported</w:t>
      </w:r>
      <w:r w:rsidRPr="569586B3" w:rsidR="007469CF">
        <w:rPr>
          <w:rFonts w:ascii="Times New Roman" w:hAnsi="Times New Roman"/>
          <w:sz w:val="26"/>
          <w:szCs w:val="26"/>
        </w:rPr>
        <w:t xml:space="preserve"> </w:t>
      </w:r>
      <w:r w:rsidRPr="569586B3">
        <w:rPr>
          <w:rFonts w:ascii="Times New Roman" w:hAnsi="Times New Roman"/>
          <w:sz w:val="26"/>
          <w:szCs w:val="26"/>
        </w:rPr>
        <w:t xml:space="preserve">information </w:t>
      </w:r>
      <w:r w:rsidR="007469CF">
        <w:rPr>
          <w:rFonts w:ascii="Times New Roman" w:hAnsi="Times New Roman"/>
          <w:sz w:val="26"/>
          <w:szCs w:val="26"/>
        </w:rPr>
        <w:t>will be</w:t>
      </w:r>
      <w:r w:rsidRPr="569586B3" w:rsidR="007469CF">
        <w:rPr>
          <w:rFonts w:ascii="Times New Roman" w:hAnsi="Times New Roman"/>
          <w:sz w:val="26"/>
          <w:szCs w:val="26"/>
        </w:rPr>
        <w:t xml:space="preserve"> </w:t>
      </w:r>
      <w:r w:rsidRPr="569586B3">
        <w:rPr>
          <w:rFonts w:ascii="Times New Roman" w:hAnsi="Times New Roman"/>
          <w:sz w:val="26"/>
          <w:szCs w:val="26"/>
        </w:rPr>
        <w:t>recorded in</w:t>
      </w:r>
      <w:r w:rsidRPr="569586B3" w:rsidR="004977E2">
        <w:rPr>
          <w:rFonts w:ascii="Times New Roman" w:hAnsi="Times New Roman"/>
          <w:sz w:val="26"/>
          <w:szCs w:val="26"/>
        </w:rPr>
        <w:t xml:space="preserve"> </w:t>
      </w:r>
      <w:r w:rsidRPr="569586B3">
        <w:rPr>
          <w:rFonts w:ascii="Times New Roman" w:hAnsi="Times New Roman"/>
          <w:sz w:val="26"/>
          <w:szCs w:val="26"/>
        </w:rPr>
        <w:t>existing, modified</w:t>
      </w:r>
      <w:r w:rsidR="007469CF">
        <w:rPr>
          <w:rFonts w:ascii="Times New Roman" w:hAnsi="Times New Roman"/>
          <w:sz w:val="26"/>
          <w:szCs w:val="26"/>
        </w:rPr>
        <w:t>,</w:t>
      </w:r>
      <w:r w:rsidRPr="569586B3">
        <w:rPr>
          <w:rFonts w:ascii="Times New Roman" w:hAnsi="Times New Roman"/>
          <w:sz w:val="26"/>
          <w:szCs w:val="26"/>
        </w:rPr>
        <w:t xml:space="preserve"> and new accounts related to </w:t>
      </w:r>
      <w:r w:rsidRPr="00C040B5" w:rsidR="0091222D">
        <w:rPr>
          <w:rFonts w:ascii="Times New Roman" w:hAnsi="Times New Roman"/>
          <w:iCs/>
          <w:sz w:val="26"/>
          <w:szCs w:val="26"/>
        </w:rPr>
        <w:t xml:space="preserve">wind, solar, and other </w:t>
      </w:r>
      <w:r w:rsidRPr="569586B3">
        <w:rPr>
          <w:rFonts w:ascii="Times New Roman" w:hAnsi="Times New Roman"/>
          <w:sz w:val="26"/>
          <w:szCs w:val="26"/>
        </w:rPr>
        <w:t>renewable</w:t>
      </w:r>
      <w:r w:rsidR="0091222D">
        <w:rPr>
          <w:rFonts w:ascii="Times New Roman" w:hAnsi="Times New Roman"/>
          <w:sz w:val="26"/>
          <w:szCs w:val="26"/>
        </w:rPr>
        <w:t xml:space="preserve"> generating assets</w:t>
      </w:r>
      <w:r w:rsidRPr="569586B3" w:rsidR="003F7BF5">
        <w:rPr>
          <w:rFonts w:ascii="Times New Roman" w:hAnsi="Times New Roman"/>
          <w:sz w:val="26"/>
          <w:szCs w:val="26"/>
        </w:rPr>
        <w:t xml:space="preserve">, energy storage, </w:t>
      </w:r>
      <w:r w:rsidR="0091222D">
        <w:rPr>
          <w:rFonts w:ascii="Times New Roman" w:hAnsi="Times New Roman"/>
          <w:sz w:val="26"/>
          <w:szCs w:val="26"/>
        </w:rPr>
        <w:t>environmental credits</w:t>
      </w:r>
      <w:r w:rsidRPr="569586B3" w:rsidR="003F7BF5">
        <w:rPr>
          <w:rFonts w:ascii="Times New Roman" w:hAnsi="Times New Roman"/>
          <w:sz w:val="26"/>
          <w:szCs w:val="26"/>
        </w:rPr>
        <w:t>, and computer hardware, software, and communication equipment</w:t>
      </w:r>
      <w:r w:rsidRPr="569586B3">
        <w:rPr>
          <w:rFonts w:ascii="Times New Roman" w:hAnsi="Times New Roman"/>
          <w:sz w:val="26"/>
          <w:szCs w:val="26"/>
        </w:rPr>
        <w:t xml:space="preserve">. </w:t>
      </w:r>
    </w:p>
    <w:p w:rsidR="00232129" w:rsidP="00BD0F89" w14:paraId="7B2D1F02" w14:textId="0D0B76E9">
      <w:pPr>
        <w:spacing w:after="0" w:line="240" w:lineRule="auto"/>
        <w:rPr>
          <w:rFonts w:ascii="Times New Roman" w:hAnsi="Times New Roman"/>
          <w:sz w:val="26"/>
          <w:szCs w:val="26"/>
        </w:rPr>
      </w:pPr>
    </w:p>
    <w:p w:rsidR="00232129" w:rsidRPr="0073506C" w:rsidP="00BD0F89" w14:paraId="0BDD7156" w14:textId="77777777">
      <w:pPr>
        <w:spacing w:after="0" w:line="240" w:lineRule="auto"/>
        <w:rPr>
          <w:rFonts w:ascii="Times New Roman" w:hAnsi="Times New Roman"/>
          <w:sz w:val="26"/>
          <w:szCs w:val="26"/>
        </w:rPr>
      </w:pPr>
    </w:p>
    <w:p w:rsidR="00471F97" w:rsidRPr="0073506C" w:rsidP="00BD0F89" w14:paraId="5FCC3BB8"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DESCRIBE ANY CONSIDERATION OF THE USE OF IMPROVED INFORMATION TECHNOLOGY TO REDUCE THE BURDEN AND TECHNICAL OR LEGAL OBSTACLES TO REDUCING BURDEN</w:t>
      </w:r>
    </w:p>
    <w:p w:rsidR="00471F97" w:rsidRPr="0073506C" w:rsidP="00BD0F89" w14:paraId="391BE832" w14:textId="77777777">
      <w:pPr>
        <w:spacing w:after="0" w:line="240" w:lineRule="auto"/>
        <w:ind w:left="360" w:hanging="360"/>
        <w:rPr>
          <w:rFonts w:ascii="Times New Roman" w:hAnsi="Times New Roman"/>
          <w:sz w:val="26"/>
          <w:szCs w:val="26"/>
        </w:rPr>
      </w:pPr>
    </w:p>
    <w:p w:rsidR="00271EF4" w14:paraId="5047DE1A" w14:textId="3F96AFAD">
      <w:pPr>
        <w:spacing w:after="0" w:line="240" w:lineRule="auto"/>
        <w:rPr>
          <w:rFonts w:ascii="Times New Roman" w:hAnsi="Times New Roman"/>
          <w:sz w:val="26"/>
          <w:szCs w:val="26"/>
        </w:rPr>
      </w:pPr>
      <w:r w:rsidRPr="0073506C">
        <w:rPr>
          <w:rFonts w:ascii="Times New Roman" w:hAnsi="Times New Roman"/>
          <w:sz w:val="26"/>
          <w:szCs w:val="26"/>
        </w:rPr>
        <w:t>The forms are filed electronically</w:t>
      </w:r>
      <w:r w:rsidR="00563359">
        <w:rPr>
          <w:rFonts w:ascii="Times New Roman" w:hAnsi="Times New Roman"/>
          <w:sz w:val="26"/>
          <w:szCs w:val="26"/>
        </w:rPr>
        <w:t xml:space="preserve"> in XBRL </w:t>
      </w:r>
      <w:r w:rsidRPr="005B41CA" w:rsidR="005B41CA">
        <w:rPr>
          <w:rFonts w:ascii="Times New Roman" w:hAnsi="Times New Roman"/>
          <w:sz w:val="26"/>
          <w:szCs w:val="26"/>
        </w:rPr>
        <w:t xml:space="preserve">pursuant to the requirements of Order </w:t>
      </w:r>
      <w:r w:rsidR="005B41CA">
        <w:rPr>
          <w:rFonts w:ascii="Times New Roman" w:hAnsi="Times New Roman"/>
          <w:sz w:val="26"/>
          <w:szCs w:val="26"/>
        </w:rPr>
        <w:t xml:space="preserve">No. </w:t>
      </w:r>
      <w:r w:rsidRPr="005B41CA" w:rsidR="005B41CA">
        <w:rPr>
          <w:rFonts w:ascii="Times New Roman" w:hAnsi="Times New Roman"/>
          <w:sz w:val="26"/>
          <w:szCs w:val="26"/>
        </w:rPr>
        <w:t>859</w:t>
      </w:r>
      <w:r w:rsidR="00C514A7">
        <w:rPr>
          <w:rFonts w:ascii="Times New Roman" w:hAnsi="Times New Roman"/>
          <w:sz w:val="26"/>
          <w:szCs w:val="26"/>
        </w:rPr>
        <w:t>.</w:t>
      </w:r>
    </w:p>
    <w:p w:rsidR="00B65D79" w:rsidRPr="0073506C" w:rsidP="00B65D79" w14:paraId="6100A309" w14:textId="77777777">
      <w:pPr>
        <w:spacing w:after="0" w:line="240" w:lineRule="auto"/>
        <w:rPr>
          <w:rFonts w:ascii="Times New Roman" w:hAnsi="Times New Roman"/>
          <w:sz w:val="26"/>
          <w:szCs w:val="26"/>
        </w:rPr>
      </w:pPr>
    </w:p>
    <w:p w:rsidR="00F0627E" w:rsidRPr="0073506C" w:rsidP="00BD0F89" w14:paraId="235E8FE2"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DESCRIBE EFFORTS TO IDENTIFY DUPLICATION AND SHOW SPECIFICALLY WHY ANY SIMILAR INFORMATION ALREADY AVAILABLE CANNOT BE USED OR MODIFIED FOR USE FOR THE PURPOSE(S) DESCRIBED IN INSTRUCTION NO. 2</w:t>
      </w:r>
    </w:p>
    <w:p w:rsidR="00F0627E" w:rsidRPr="0073506C" w:rsidP="00BD0F89" w14:paraId="7DC29030" w14:textId="77777777">
      <w:pPr>
        <w:spacing w:after="0" w:line="240" w:lineRule="auto"/>
        <w:ind w:left="360" w:hanging="360"/>
        <w:rPr>
          <w:rFonts w:ascii="Times New Roman" w:hAnsi="Times New Roman"/>
          <w:sz w:val="26"/>
          <w:szCs w:val="26"/>
        </w:rPr>
      </w:pPr>
    </w:p>
    <w:p w:rsidR="00CE2887" w:rsidRPr="0073506C" w14:paraId="0FA05911" w14:textId="670AC4BC">
      <w:pPr>
        <w:spacing w:after="0" w:line="240" w:lineRule="auto"/>
        <w:rPr>
          <w:rFonts w:ascii="Times New Roman" w:eastAsia="Times New Roman" w:hAnsi="Times New Roman"/>
          <w:sz w:val="26"/>
          <w:szCs w:val="26"/>
        </w:rPr>
      </w:pPr>
      <w:r w:rsidRPr="00641282">
        <w:rPr>
          <w:rFonts w:ascii="Times New Roman" w:eastAsia="Times New Roman" w:hAnsi="Times New Roman"/>
          <w:sz w:val="26"/>
          <w:szCs w:val="26"/>
        </w:rPr>
        <w:t>The Commission's filings and data requirements are periodically reviewed in conjunction with OMB clearance expirat</w:t>
      </w:r>
      <w:r w:rsidRPr="001D3353">
        <w:rPr>
          <w:rFonts w:ascii="Times New Roman" w:eastAsia="Times New Roman" w:hAnsi="Times New Roman"/>
          <w:sz w:val="26"/>
          <w:szCs w:val="26"/>
        </w:rPr>
        <w:t>ion dates.</w:t>
      </w:r>
    </w:p>
    <w:p w:rsidR="0058372E" w:rsidRPr="0073506C" w:rsidP="00CE2887" w14:paraId="2A5B33C6" w14:textId="77777777">
      <w:pPr>
        <w:spacing w:after="0" w:line="240" w:lineRule="auto"/>
        <w:rPr>
          <w:rFonts w:ascii="Times New Roman" w:eastAsia="Times New Roman" w:hAnsi="Times New Roman"/>
          <w:sz w:val="26"/>
          <w:szCs w:val="26"/>
        </w:rPr>
      </w:pPr>
    </w:p>
    <w:p w:rsidR="007F298D" w:rsidRPr="0073506C" w:rsidP="007F298D" w14:paraId="50696163" w14:textId="5A369827">
      <w:pPr>
        <w:spacing w:after="0" w:line="240" w:lineRule="auto"/>
        <w:rPr>
          <w:rFonts w:ascii="Times New Roman" w:eastAsia="Times New Roman" w:hAnsi="Times New Roman"/>
          <w:sz w:val="26"/>
          <w:szCs w:val="26"/>
        </w:rPr>
      </w:pPr>
      <w:r w:rsidRPr="000F07BD">
        <w:rPr>
          <w:rFonts w:ascii="Times New Roman" w:eastAsia="Times New Roman" w:hAnsi="Times New Roman"/>
          <w:b/>
          <w:sz w:val="26"/>
          <w:szCs w:val="26"/>
        </w:rPr>
        <w:t xml:space="preserve">FERC Form Nos. 1, 1-F, </w:t>
      </w:r>
      <w:r w:rsidR="00B6586C">
        <w:rPr>
          <w:rFonts w:ascii="Times New Roman" w:eastAsia="Times New Roman" w:hAnsi="Times New Roman"/>
          <w:b/>
          <w:sz w:val="26"/>
          <w:szCs w:val="26"/>
        </w:rPr>
        <w:t>3-Q</w:t>
      </w:r>
      <w:r w:rsidR="00FD25F7">
        <w:rPr>
          <w:rFonts w:ascii="Times New Roman" w:eastAsia="Times New Roman" w:hAnsi="Times New Roman"/>
          <w:b/>
          <w:sz w:val="26"/>
          <w:szCs w:val="26"/>
        </w:rPr>
        <w:t xml:space="preserve"> (electric)</w:t>
      </w:r>
      <w:r w:rsidR="00B6586C">
        <w:rPr>
          <w:rFonts w:ascii="Times New Roman" w:eastAsia="Times New Roman" w:hAnsi="Times New Roman"/>
          <w:b/>
          <w:sz w:val="26"/>
          <w:szCs w:val="26"/>
        </w:rPr>
        <w:t>, and 60</w:t>
      </w:r>
      <w:r w:rsidRPr="000F07BD">
        <w:rPr>
          <w:rFonts w:ascii="Times New Roman" w:eastAsia="Times New Roman" w:hAnsi="Times New Roman"/>
          <w:b/>
          <w:sz w:val="26"/>
          <w:szCs w:val="26"/>
        </w:rPr>
        <w:t xml:space="preserve">.  </w:t>
      </w:r>
      <w:r w:rsidRPr="000F07BD">
        <w:rPr>
          <w:rFonts w:ascii="Times New Roman" w:eastAsia="Times New Roman" w:hAnsi="Times New Roman"/>
          <w:sz w:val="26"/>
          <w:szCs w:val="26"/>
        </w:rPr>
        <w:t xml:space="preserve">While some jurisdictional entities may file similar </w:t>
      </w:r>
      <w:r>
        <w:rPr>
          <w:rFonts w:ascii="Times New Roman" w:eastAsia="Times New Roman" w:hAnsi="Times New Roman"/>
          <w:sz w:val="26"/>
          <w:szCs w:val="26"/>
        </w:rPr>
        <w:t xml:space="preserve">financial </w:t>
      </w:r>
      <w:r w:rsidRPr="000F07BD">
        <w:rPr>
          <w:rFonts w:ascii="Times New Roman" w:eastAsia="Times New Roman" w:hAnsi="Times New Roman"/>
          <w:sz w:val="26"/>
          <w:szCs w:val="26"/>
        </w:rPr>
        <w:t>information with the Securities and Exchange Commission (SEC), the level of detail concerning assets</w:t>
      </w:r>
      <w:r w:rsidRPr="001D3353">
        <w:rPr>
          <w:rFonts w:ascii="Times New Roman" w:eastAsia="Times New Roman" w:hAnsi="Times New Roman"/>
          <w:sz w:val="26"/>
          <w:szCs w:val="26"/>
        </w:rPr>
        <w:t>, liabilities, stockholders' equity</w:t>
      </w:r>
      <w:r>
        <w:rPr>
          <w:rFonts w:ascii="Times New Roman" w:eastAsia="Times New Roman" w:hAnsi="Times New Roman"/>
          <w:sz w:val="26"/>
          <w:szCs w:val="26"/>
        </w:rPr>
        <w:t>,</w:t>
      </w:r>
      <w:r w:rsidRPr="001D3353">
        <w:rPr>
          <w:rFonts w:ascii="Times New Roman" w:eastAsia="Times New Roman" w:hAnsi="Times New Roman"/>
          <w:sz w:val="26"/>
          <w:szCs w:val="26"/>
        </w:rPr>
        <w:t xml:space="preserve"> along with the revenues, expenses, gains, and losses differ</w:t>
      </w:r>
      <w:r w:rsidR="00FD1F27">
        <w:rPr>
          <w:rFonts w:ascii="Times New Roman" w:eastAsia="Times New Roman" w:hAnsi="Times New Roman"/>
          <w:sz w:val="26"/>
          <w:szCs w:val="26"/>
        </w:rPr>
        <w:t>s between</w:t>
      </w:r>
      <w:r w:rsidRPr="001D3353">
        <w:rPr>
          <w:rFonts w:ascii="Times New Roman" w:eastAsia="Times New Roman" w:hAnsi="Times New Roman"/>
          <w:sz w:val="26"/>
          <w:szCs w:val="26"/>
        </w:rPr>
        <w:t xml:space="preserve"> the Commission and the SEC.  The financial statements filed with the SEC are on a consolidated, or parent company</w:t>
      </w:r>
      <w:r w:rsidR="00FD1F27">
        <w:rPr>
          <w:rFonts w:ascii="Times New Roman" w:eastAsia="Times New Roman" w:hAnsi="Times New Roman"/>
          <w:sz w:val="26"/>
          <w:szCs w:val="26"/>
        </w:rPr>
        <w:t>,</w:t>
      </w:r>
      <w:r w:rsidRPr="001D3353">
        <w:rPr>
          <w:rFonts w:ascii="Times New Roman" w:eastAsia="Times New Roman" w:hAnsi="Times New Roman"/>
          <w:sz w:val="26"/>
          <w:szCs w:val="26"/>
        </w:rPr>
        <w:t xml:space="preserve"> basis.  The Commission notes that </w:t>
      </w:r>
      <w:r w:rsidRPr="001D3353" w:rsidR="00CE3CE1">
        <w:rPr>
          <w:rFonts w:ascii="Times New Roman" w:eastAsia="Times New Roman" w:hAnsi="Times New Roman"/>
          <w:sz w:val="26"/>
          <w:szCs w:val="26"/>
        </w:rPr>
        <w:t>most of</w:t>
      </w:r>
      <w:r w:rsidRPr="001D3353">
        <w:rPr>
          <w:rFonts w:ascii="Times New Roman" w:eastAsia="Times New Roman" w:hAnsi="Times New Roman"/>
          <w:sz w:val="26"/>
          <w:szCs w:val="26"/>
        </w:rPr>
        <w:t xml:space="preserve"> the jurisdictional entities that it</w:t>
      </w:r>
      <w:r w:rsidRPr="0073506C">
        <w:rPr>
          <w:rFonts w:ascii="Times New Roman" w:eastAsia="Times New Roman" w:hAnsi="Times New Roman"/>
          <w:sz w:val="26"/>
          <w:szCs w:val="26"/>
        </w:rPr>
        <w:t xml:space="preserve"> regulates consolidate their assets, liabilities</w:t>
      </w:r>
      <w:r>
        <w:rPr>
          <w:rFonts w:ascii="Times New Roman" w:eastAsia="Times New Roman" w:hAnsi="Times New Roman"/>
          <w:sz w:val="26"/>
          <w:szCs w:val="26"/>
        </w:rPr>
        <w:t>,</w:t>
      </w:r>
      <w:r w:rsidRPr="0073506C">
        <w:rPr>
          <w:rFonts w:ascii="Times New Roman" w:eastAsia="Times New Roman" w:hAnsi="Times New Roman"/>
          <w:sz w:val="26"/>
          <w:szCs w:val="26"/>
        </w:rPr>
        <w:t xml:space="preserve"> and profits with their parent company or combine regulated and unregulated operations in </w:t>
      </w:r>
      <w:r w:rsidR="00733713">
        <w:rPr>
          <w:rFonts w:ascii="Times New Roman" w:eastAsia="Times New Roman" w:hAnsi="Times New Roman"/>
          <w:sz w:val="26"/>
          <w:szCs w:val="26"/>
        </w:rPr>
        <w:t xml:space="preserve">financial </w:t>
      </w:r>
      <w:r w:rsidRPr="0073506C">
        <w:rPr>
          <w:rFonts w:ascii="Times New Roman" w:eastAsia="Times New Roman" w:hAnsi="Times New Roman"/>
          <w:sz w:val="26"/>
          <w:szCs w:val="26"/>
        </w:rPr>
        <w:t xml:space="preserve">reports to the SEC.  While consolidation is appropriate for SEC reporting, the Commission requires more detailed information concerning the results of operations and the financial position of each jurisdictional entity </w:t>
      </w:r>
      <w:r w:rsidRPr="0073506C" w:rsidR="00CE3CE1">
        <w:rPr>
          <w:rFonts w:ascii="Times New Roman" w:eastAsia="Times New Roman" w:hAnsi="Times New Roman"/>
          <w:sz w:val="26"/>
          <w:szCs w:val="26"/>
        </w:rPr>
        <w:t>to</w:t>
      </w:r>
      <w:r w:rsidRPr="0073506C">
        <w:rPr>
          <w:rFonts w:ascii="Times New Roman" w:eastAsia="Times New Roman" w:hAnsi="Times New Roman"/>
          <w:sz w:val="26"/>
          <w:szCs w:val="26"/>
        </w:rPr>
        <w:t xml:space="preserve"> meet its </w:t>
      </w:r>
      <w:r w:rsidR="00F92CE0">
        <w:rPr>
          <w:rFonts w:ascii="Times New Roman" w:eastAsia="Times New Roman" w:hAnsi="Times New Roman"/>
          <w:sz w:val="26"/>
          <w:szCs w:val="26"/>
        </w:rPr>
        <w:t>statutory duties</w:t>
      </w:r>
      <w:r w:rsidRPr="0073506C">
        <w:rPr>
          <w:rFonts w:ascii="Times New Roman" w:eastAsia="Times New Roman" w:hAnsi="Times New Roman"/>
          <w:sz w:val="26"/>
          <w:szCs w:val="26"/>
        </w:rPr>
        <w:t xml:space="preserve">.  </w:t>
      </w:r>
      <w:r>
        <w:rPr>
          <w:rFonts w:ascii="Times New Roman" w:eastAsia="Times New Roman" w:hAnsi="Times New Roman"/>
          <w:sz w:val="26"/>
          <w:szCs w:val="26"/>
        </w:rPr>
        <w:t xml:space="preserve">Pursuant to the FPA, the Commission regulates the rates, terms, and conditions of each jurisdictional entity.  Accordingly, entity-specific financial and operational information is </w:t>
      </w:r>
      <w:r w:rsidR="00FE5E3A">
        <w:rPr>
          <w:rFonts w:ascii="Times New Roman" w:eastAsia="Times New Roman" w:hAnsi="Times New Roman"/>
          <w:sz w:val="26"/>
          <w:szCs w:val="26"/>
        </w:rPr>
        <w:t>needed to</w:t>
      </w:r>
      <w:r>
        <w:rPr>
          <w:rFonts w:ascii="Times New Roman" w:eastAsia="Times New Roman" w:hAnsi="Times New Roman"/>
          <w:sz w:val="26"/>
          <w:szCs w:val="26"/>
        </w:rPr>
        <w:t xml:space="preserve"> provide detailed components of an entity’s approved rate on file with </w:t>
      </w:r>
      <w:r w:rsidR="0050565E">
        <w:rPr>
          <w:rFonts w:ascii="Times New Roman" w:eastAsia="Times New Roman" w:hAnsi="Times New Roman"/>
          <w:sz w:val="26"/>
          <w:szCs w:val="26"/>
        </w:rPr>
        <w:t>the Commission</w:t>
      </w:r>
      <w:r>
        <w:rPr>
          <w:rFonts w:ascii="Times New Roman" w:eastAsia="Times New Roman" w:hAnsi="Times New Roman"/>
          <w:sz w:val="26"/>
          <w:szCs w:val="26"/>
        </w:rPr>
        <w:t xml:space="preserve">.  For this reason, </w:t>
      </w:r>
      <w:r w:rsidRPr="0073506C">
        <w:rPr>
          <w:rFonts w:ascii="Times New Roman" w:eastAsia="Times New Roman" w:hAnsi="Times New Roman"/>
          <w:sz w:val="26"/>
          <w:szCs w:val="26"/>
        </w:rPr>
        <w:t>the Commission require</w:t>
      </w:r>
      <w:r>
        <w:rPr>
          <w:rFonts w:ascii="Times New Roman" w:eastAsia="Times New Roman" w:hAnsi="Times New Roman"/>
          <w:sz w:val="26"/>
          <w:szCs w:val="26"/>
        </w:rPr>
        <w:t>s</w:t>
      </w:r>
      <w:r w:rsidRPr="0073506C">
        <w:rPr>
          <w:rFonts w:ascii="Times New Roman" w:eastAsia="Times New Roman" w:hAnsi="Times New Roman"/>
          <w:sz w:val="26"/>
          <w:szCs w:val="26"/>
        </w:rPr>
        <w:t xml:space="preserve"> jurisdictional entities to file financial information on a jurisdictional entity level basis using a </w:t>
      </w:r>
      <w:r w:rsidR="00D648B1">
        <w:rPr>
          <w:rFonts w:ascii="Times New Roman" w:eastAsia="Times New Roman" w:hAnsi="Times New Roman"/>
          <w:sz w:val="26"/>
          <w:szCs w:val="26"/>
        </w:rPr>
        <w:t>USofA</w:t>
      </w:r>
      <w:r w:rsidRPr="0073506C">
        <w:rPr>
          <w:rFonts w:ascii="Times New Roman" w:eastAsia="Times New Roman" w:hAnsi="Times New Roman"/>
          <w:sz w:val="26"/>
          <w:szCs w:val="26"/>
        </w:rPr>
        <w:t>.</w:t>
      </w:r>
      <w:r>
        <w:rPr>
          <w:rFonts w:ascii="Times New Roman" w:eastAsia="Times New Roman" w:hAnsi="Times New Roman"/>
          <w:sz w:val="26"/>
          <w:szCs w:val="26"/>
        </w:rPr>
        <w:t xml:space="preserve">  </w:t>
      </w:r>
      <w:r w:rsidRPr="00187445">
        <w:rPr>
          <w:rFonts w:ascii="Times New Roman" w:eastAsia="Times New Roman" w:hAnsi="Times New Roman"/>
          <w:sz w:val="26"/>
          <w:szCs w:val="26"/>
        </w:rPr>
        <w:t xml:space="preserve">Additionally, </w:t>
      </w:r>
      <w:r w:rsidRPr="0073506C" w:rsidR="0058588E">
        <w:rPr>
          <w:rFonts w:ascii="Times New Roman" w:eastAsia="Times New Roman" w:hAnsi="Times New Roman"/>
          <w:sz w:val="26"/>
          <w:szCs w:val="26"/>
        </w:rPr>
        <w:t xml:space="preserve">the Commission </w:t>
      </w:r>
      <w:r w:rsidRPr="00187445">
        <w:rPr>
          <w:rFonts w:ascii="Times New Roman" w:eastAsia="Times New Roman" w:hAnsi="Times New Roman"/>
          <w:sz w:val="26"/>
          <w:szCs w:val="26"/>
        </w:rPr>
        <w:t>regulates several private companies, cooperatives, and governmental entities at various levels that are not required to file financial statements with the SEC.</w:t>
      </w:r>
    </w:p>
    <w:p w:rsidR="00494814" w:rsidRPr="0073506C" w:rsidP="00BD0F89" w14:paraId="2C904CCD" w14:textId="17255E53">
      <w:pPr>
        <w:spacing w:after="0" w:line="240" w:lineRule="auto"/>
        <w:rPr>
          <w:rFonts w:ascii="Times New Roman" w:hAnsi="Times New Roman"/>
          <w:sz w:val="26"/>
          <w:szCs w:val="26"/>
        </w:rPr>
      </w:pPr>
    </w:p>
    <w:p w:rsidR="00F0627E" w:rsidRPr="0073506C" w:rsidP="00BD0F89" w14:paraId="1043320F"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METHODS USED TO MINIMIZE THE BURDEN IN COLLECTION OF INFORMATION INVOLVING SMALL ENTITIES</w:t>
      </w:r>
    </w:p>
    <w:p w:rsidR="00F0627E" w:rsidRPr="0073506C" w:rsidP="00BD0F89" w14:paraId="7CE41F3F" w14:textId="77777777">
      <w:pPr>
        <w:spacing w:after="0" w:line="240" w:lineRule="auto"/>
        <w:rPr>
          <w:rFonts w:ascii="Times New Roman" w:hAnsi="Times New Roman"/>
          <w:sz w:val="26"/>
          <w:szCs w:val="26"/>
        </w:rPr>
      </w:pPr>
    </w:p>
    <w:p w:rsidR="00F003F8" w14:paraId="75AAD113" w14:textId="78ACF8CA">
      <w:pPr>
        <w:spacing w:after="0" w:line="240" w:lineRule="auto"/>
        <w:rPr>
          <w:rFonts w:ascii="Times New Roman" w:eastAsia="Times New Roman" w:hAnsi="Times New Roman"/>
          <w:sz w:val="26"/>
          <w:szCs w:val="26"/>
        </w:rPr>
      </w:pPr>
      <w:r w:rsidRPr="0073506C">
        <w:rPr>
          <w:rFonts w:ascii="Times New Roman" w:eastAsia="Times New Roman" w:hAnsi="Times New Roman"/>
          <w:b/>
          <w:sz w:val="26"/>
          <w:szCs w:val="26"/>
        </w:rPr>
        <w:t xml:space="preserve">FERC </w:t>
      </w:r>
      <w:r w:rsidRPr="0073506C" w:rsidR="007D436E">
        <w:rPr>
          <w:rFonts w:ascii="Times New Roman" w:eastAsia="Times New Roman" w:hAnsi="Times New Roman"/>
          <w:b/>
          <w:sz w:val="26"/>
          <w:szCs w:val="26"/>
        </w:rPr>
        <w:t>Form</w:t>
      </w:r>
      <w:r w:rsidRPr="0073506C">
        <w:rPr>
          <w:rFonts w:ascii="Times New Roman" w:eastAsia="Times New Roman" w:hAnsi="Times New Roman"/>
          <w:b/>
          <w:sz w:val="26"/>
          <w:szCs w:val="26"/>
        </w:rPr>
        <w:t xml:space="preserve"> No</w:t>
      </w:r>
      <w:r w:rsidRPr="0073506C" w:rsidR="007D436E">
        <w:rPr>
          <w:rFonts w:ascii="Times New Roman" w:eastAsia="Times New Roman" w:hAnsi="Times New Roman"/>
          <w:b/>
          <w:sz w:val="26"/>
          <w:szCs w:val="26"/>
        </w:rPr>
        <w:t>s</w:t>
      </w:r>
      <w:r w:rsidRPr="0073506C">
        <w:rPr>
          <w:rFonts w:ascii="Times New Roman" w:eastAsia="Times New Roman" w:hAnsi="Times New Roman"/>
          <w:b/>
          <w:sz w:val="26"/>
          <w:szCs w:val="26"/>
        </w:rPr>
        <w:t>.</w:t>
      </w:r>
      <w:r w:rsidRPr="0073506C" w:rsidR="007D436E">
        <w:rPr>
          <w:rFonts w:ascii="Times New Roman" w:eastAsia="Times New Roman" w:hAnsi="Times New Roman"/>
          <w:b/>
          <w:sz w:val="26"/>
          <w:szCs w:val="26"/>
        </w:rPr>
        <w:t xml:space="preserve"> 1, 1-F,</w:t>
      </w:r>
      <w:r w:rsidRPr="0073506C" w:rsidR="00584669">
        <w:rPr>
          <w:rFonts w:ascii="Times New Roman" w:eastAsia="Times New Roman" w:hAnsi="Times New Roman"/>
          <w:b/>
          <w:sz w:val="26"/>
          <w:szCs w:val="26"/>
        </w:rPr>
        <w:t xml:space="preserve"> </w:t>
      </w:r>
      <w:r w:rsidRPr="0073506C" w:rsidR="007D436E">
        <w:rPr>
          <w:rFonts w:ascii="Times New Roman" w:eastAsia="Times New Roman" w:hAnsi="Times New Roman"/>
          <w:b/>
          <w:sz w:val="26"/>
          <w:szCs w:val="26"/>
        </w:rPr>
        <w:t>3-Q</w:t>
      </w:r>
      <w:r w:rsidR="00807476">
        <w:rPr>
          <w:rFonts w:ascii="Times New Roman" w:eastAsia="Times New Roman" w:hAnsi="Times New Roman"/>
          <w:b/>
          <w:sz w:val="26"/>
          <w:szCs w:val="26"/>
        </w:rPr>
        <w:t xml:space="preserve"> (electric), and 6</w:t>
      </w:r>
      <w:r w:rsidR="00DF00CC">
        <w:rPr>
          <w:rFonts w:ascii="Times New Roman" w:eastAsia="Times New Roman" w:hAnsi="Times New Roman"/>
          <w:b/>
          <w:sz w:val="26"/>
          <w:szCs w:val="26"/>
        </w:rPr>
        <w:t>0</w:t>
      </w:r>
      <w:r w:rsidRPr="0073506C" w:rsidR="007D436E">
        <w:rPr>
          <w:rFonts w:ascii="Times New Roman" w:eastAsia="Times New Roman" w:hAnsi="Times New Roman"/>
          <w:b/>
          <w:sz w:val="26"/>
          <w:szCs w:val="26"/>
        </w:rPr>
        <w:t>.</w:t>
      </w:r>
      <w:r w:rsidRPr="0073506C" w:rsidR="00C42E58">
        <w:rPr>
          <w:rFonts w:ascii="Times New Roman" w:eastAsia="Times New Roman" w:hAnsi="Times New Roman"/>
          <w:sz w:val="26"/>
          <w:szCs w:val="26"/>
        </w:rPr>
        <w:t xml:space="preserve">  As noted previously, FERC</w:t>
      </w:r>
      <w:r w:rsidRPr="0073506C" w:rsidR="007D436E">
        <w:rPr>
          <w:rFonts w:ascii="Times New Roman" w:eastAsia="Times New Roman" w:hAnsi="Times New Roman"/>
          <w:sz w:val="26"/>
          <w:szCs w:val="26"/>
        </w:rPr>
        <w:t xml:space="preserve"> Form </w:t>
      </w:r>
      <w:r w:rsidRPr="0073506C" w:rsidR="00456A2B">
        <w:rPr>
          <w:rFonts w:ascii="Times New Roman" w:eastAsia="Times New Roman" w:hAnsi="Times New Roman"/>
          <w:sz w:val="26"/>
          <w:szCs w:val="26"/>
        </w:rPr>
        <w:t xml:space="preserve">No. </w:t>
      </w:r>
      <w:r w:rsidRPr="0073506C" w:rsidR="007D436E">
        <w:rPr>
          <w:rFonts w:ascii="Times New Roman" w:eastAsia="Times New Roman" w:hAnsi="Times New Roman"/>
          <w:sz w:val="26"/>
          <w:szCs w:val="26"/>
        </w:rPr>
        <w:t>1 is filed by major utilities or licensees</w:t>
      </w:r>
      <w:r w:rsidR="00AD7202">
        <w:rPr>
          <w:rFonts w:ascii="Times New Roman" w:eastAsia="Times New Roman" w:hAnsi="Times New Roman"/>
          <w:sz w:val="26"/>
          <w:szCs w:val="26"/>
        </w:rPr>
        <w:t>,</w:t>
      </w:r>
      <w:r w:rsidRPr="0073506C" w:rsidR="007D436E">
        <w:rPr>
          <w:rFonts w:ascii="Times New Roman" w:eastAsia="Times New Roman" w:hAnsi="Times New Roman"/>
          <w:sz w:val="26"/>
          <w:szCs w:val="26"/>
        </w:rPr>
        <w:t xml:space="preserve"> and as such does no</w:t>
      </w:r>
      <w:r w:rsidRPr="0073506C" w:rsidR="00C42E58">
        <w:rPr>
          <w:rFonts w:ascii="Times New Roman" w:eastAsia="Times New Roman" w:hAnsi="Times New Roman"/>
          <w:sz w:val="26"/>
          <w:szCs w:val="26"/>
        </w:rPr>
        <w:t xml:space="preserve">t apply to small entities.  FERC </w:t>
      </w:r>
      <w:r w:rsidRPr="0073506C" w:rsidR="007D436E">
        <w:rPr>
          <w:rFonts w:ascii="Times New Roman" w:eastAsia="Times New Roman" w:hAnsi="Times New Roman"/>
          <w:sz w:val="26"/>
          <w:szCs w:val="26"/>
        </w:rPr>
        <w:t xml:space="preserve">Form </w:t>
      </w:r>
      <w:r w:rsidRPr="0073506C" w:rsidR="00456A2B">
        <w:rPr>
          <w:rFonts w:ascii="Times New Roman" w:eastAsia="Times New Roman" w:hAnsi="Times New Roman"/>
          <w:sz w:val="26"/>
          <w:szCs w:val="26"/>
        </w:rPr>
        <w:t xml:space="preserve">No. </w:t>
      </w:r>
      <w:r w:rsidRPr="0073506C" w:rsidR="007D436E">
        <w:rPr>
          <w:rFonts w:ascii="Times New Roman" w:eastAsia="Times New Roman" w:hAnsi="Times New Roman"/>
          <w:sz w:val="26"/>
          <w:szCs w:val="26"/>
        </w:rPr>
        <w:t xml:space="preserve">1-F is filed by </w:t>
      </w:r>
      <w:r w:rsidR="00FF53AC">
        <w:rPr>
          <w:rFonts w:ascii="Times New Roman" w:eastAsia="Times New Roman" w:hAnsi="Times New Roman"/>
          <w:sz w:val="26"/>
          <w:szCs w:val="26"/>
        </w:rPr>
        <w:t xml:space="preserve">nonmajor </w:t>
      </w:r>
      <w:r w:rsidRPr="0073506C" w:rsidR="007D436E">
        <w:rPr>
          <w:rFonts w:ascii="Times New Roman" w:eastAsia="Times New Roman" w:hAnsi="Times New Roman"/>
          <w:sz w:val="26"/>
          <w:szCs w:val="26"/>
        </w:rPr>
        <w:t xml:space="preserve">public utilities with total sales of 10,000 megawatt-hours or </w:t>
      </w:r>
      <w:r w:rsidR="00FF53AC">
        <w:rPr>
          <w:rFonts w:ascii="Times New Roman" w:eastAsia="Times New Roman" w:hAnsi="Times New Roman"/>
          <w:sz w:val="26"/>
          <w:szCs w:val="26"/>
        </w:rPr>
        <w:t>less</w:t>
      </w:r>
      <w:r w:rsidRPr="0073506C" w:rsidR="007D436E">
        <w:rPr>
          <w:rFonts w:ascii="Times New Roman" w:eastAsia="Times New Roman" w:hAnsi="Times New Roman"/>
          <w:sz w:val="26"/>
          <w:szCs w:val="26"/>
        </w:rPr>
        <w:t xml:space="preserve">.  The </w:t>
      </w:r>
      <w:r w:rsidR="00856605">
        <w:rPr>
          <w:rFonts w:ascii="Times New Roman" w:eastAsia="Times New Roman" w:hAnsi="Times New Roman"/>
          <w:sz w:val="26"/>
          <w:szCs w:val="26"/>
        </w:rPr>
        <w:t xml:space="preserve">FERC </w:t>
      </w:r>
      <w:r w:rsidRPr="0073506C" w:rsidR="007D436E">
        <w:rPr>
          <w:rFonts w:ascii="Times New Roman" w:eastAsia="Times New Roman" w:hAnsi="Times New Roman"/>
          <w:sz w:val="26"/>
          <w:szCs w:val="26"/>
        </w:rPr>
        <w:t xml:space="preserve">Form </w:t>
      </w:r>
      <w:r w:rsidRPr="0073506C" w:rsidR="00456A2B">
        <w:rPr>
          <w:rFonts w:ascii="Times New Roman" w:eastAsia="Times New Roman" w:hAnsi="Times New Roman"/>
          <w:sz w:val="26"/>
          <w:szCs w:val="26"/>
        </w:rPr>
        <w:t xml:space="preserve">No. </w:t>
      </w:r>
      <w:r w:rsidRPr="0073506C" w:rsidR="007D436E">
        <w:rPr>
          <w:rFonts w:ascii="Times New Roman" w:eastAsia="Times New Roman" w:hAnsi="Times New Roman"/>
          <w:sz w:val="26"/>
          <w:szCs w:val="26"/>
        </w:rPr>
        <w:t>3-Q</w:t>
      </w:r>
      <w:r w:rsidR="00CE3060">
        <w:rPr>
          <w:rFonts w:ascii="Times New Roman" w:eastAsia="Times New Roman" w:hAnsi="Times New Roman"/>
          <w:sz w:val="26"/>
          <w:szCs w:val="26"/>
        </w:rPr>
        <w:t xml:space="preserve"> (electric)</w:t>
      </w:r>
      <w:r w:rsidRPr="0073506C" w:rsidR="007D436E">
        <w:rPr>
          <w:rFonts w:ascii="Times New Roman" w:eastAsia="Times New Roman" w:hAnsi="Times New Roman"/>
          <w:sz w:val="26"/>
          <w:szCs w:val="26"/>
        </w:rPr>
        <w:t xml:space="preserve"> is filed only by electric companies that file Forms </w:t>
      </w:r>
      <w:r w:rsidRPr="0073506C" w:rsidR="00456A2B">
        <w:rPr>
          <w:rFonts w:ascii="Times New Roman" w:eastAsia="Times New Roman" w:hAnsi="Times New Roman"/>
          <w:sz w:val="26"/>
          <w:szCs w:val="26"/>
        </w:rPr>
        <w:t xml:space="preserve">Nos. </w:t>
      </w:r>
      <w:r w:rsidRPr="0073506C" w:rsidR="007D436E">
        <w:rPr>
          <w:rFonts w:ascii="Times New Roman" w:eastAsia="Times New Roman" w:hAnsi="Times New Roman"/>
          <w:sz w:val="26"/>
          <w:szCs w:val="26"/>
        </w:rPr>
        <w:t>1</w:t>
      </w:r>
      <w:r w:rsidR="00CE3060">
        <w:rPr>
          <w:rFonts w:ascii="Times New Roman" w:eastAsia="Times New Roman" w:hAnsi="Times New Roman"/>
          <w:sz w:val="26"/>
          <w:szCs w:val="26"/>
        </w:rPr>
        <w:t xml:space="preserve"> or</w:t>
      </w:r>
      <w:r w:rsidRPr="0073506C" w:rsidR="007D436E">
        <w:rPr>
          <w:rFonts w:ascii="Times New Roman" w:eastAsia="Times New Roman" w:hAnsi="Times New Roman"/>
          <w:sz w:val="26"/>
          <w:szCs w:val="26"/>
        </w:rPr>
        <w:t xml:space="preserve"> 1-F,</w:t>
      </w:r>
      <w:r w:rsidRPr="0073506C" w:rsidR="00444280">
        <w:rPr>
          <w:rFonts w:ascii="Times New Roman" w:eastAsia="Times New Roman" w:hAnsi="Times New Roman"/>
          <w:sz w:val="26"/>
          <w:szCs w:val="26"/>
        </w:rPr>
        <w:t xml:space="preserve"> </w:t>
      </w:r>
      <w:r w:rsidRPr="0073506C" w:rsidR="007D436E">
        <w:rPr>
          <w:rFonts w:ascii="Times New Roman" w:eastAsia="Times New Roman" w:hAnsi="Times New Roman"/>
          <w:sz w:val="26"/>
          <w:szCs w:val="26"/>
        </w:rPr>
        <w:t>and therefore excludes companies that do not qualify as Major or Nonmajor.</w:t>
      </w:r>
      <w:r w:rsidR="00CE3060">
        <w:rPr>
          <w:rFonts w:ascii="Times New Roman" w:eastAsia="Times New Roman" w:hAnsi="Times New Roman"/>
          <w:sz w:val="26"/>
          <w:szCs w:val="26"/>
        </w:rPr>
        <w:t xml:space="preserve">  </w:t>
      </w:r>
      <w:r w:rsidR="00E75FDA">
        <w:rPr>
          <w:rFonts w:ascii="Times New Roman" w:eastAsia="Times New Roman" w:hAnsi="Times New Roman"/>
          <w:sz w:val="26"/>
          <w:szCs w:val="26"/>
        </w:rPr>
        <w:t xml:space="preserve">FERC </w:t>
      </w:r>
      <w:r w:rsidR="00CE3060">
        <w:rPr>
          <w:rFonts w:ascii="Times New Roman" w:eastAsia="Times New Roman" w:hAnsi="Times New Roman"/>
          <w:sz w:val="26"/>
          <w:szCs w:val="26"/>
        </w:rPr>
        <w:t>Form No. 60 only applies to jurisdictional entities (centralized service companies)</w:t>
      </w:r>
      <w:r w:rsidR="00BD39C2">
        <w:rPr>
          <w:rFonts w:ascii="Times New Roman" w:eastAsia="Times New Roman" w:hAnsi="Times New Roman"/>
          <w:sz w:val="26"/>
          <w:szCs w:val="26"/>
        </w:rPr>
        <w:t>, which generally are not small entities.</w:t>
      </w:r>
    </w:p>
    <w:p w:rsidR="00807476" w14:paraId="7D67C399" w14:textId="77777777">
      <w:pPr>
        <w:spacing w:after="0" w:line="240" w:lineRule="auto"/>
        <w:rPr>
          <w:rFonts w:ascii="Times New Roman" w:eastAsia="Times New Roman" w:hAnsi="Times New Roman"/>
          <w:sz w:val="26"/>
          <w:szCs w:val="26"/>
        </w:rPr>
      </w:pPr>
    </w:p>
    <w:p w:rsidR="007D436E" w14:paraId="568F9DC2" w14:textId="282EC127">
      <w:pPr>
        <w:spacing w:after="0" w:line="240" w:lineRule="auto"/>
        <w:rPr>
          <w:rFonts w:ascii="Times New Roman" w:eastAsia="Times New Roman" w:hAnsi="Times New Roman"/>
          <w:sz w:val="26"/>
          <w:szCs w:val="26"/>
        </w:rPr>
      </w:pPr>
      <w:r w:rsidRPr="0073506C">
        <w:rPr>
          <w:rFonts w:ascii="Times New Roman" w:eastAsia="Times New Roman" w:hAnsi="Times New Roman"/>
          <w:sz w:val="26"/>
          <w:szCs w:val="26"/>
        </w:rPr>
        <w:t xml:space="preserve">If the reporting requirements represent an undue burden on small businesses, </w:t>
      </w:r>
      <w:r w:rsidR="008B4440">
        <w:rPr>
          <w:rFonts w:ascii="Times New Roman" w:eastAsia="Times New Roman" w:hAnsi="Times New Roman"/>
          <w:sz w:val="26"/>
          <w:szCs w:val="26"/>
        </w:rPr>
        <w:t>they</w:t>
      </w:r>
      <w:r w:rsidRPr="0073506C">
        <w:rPr>
          <w:rFonts w:ascii="Times New Roman" w:eastAsia="Times New Roman" w:hAnsi="Times New Roman"/>
          <w:sz w:val="26"/>
          <w:szCs w:val="26"/>
        </w:rPr>
        <w:t xml:space="preserve"> may seek waiver</w:t>
      </w:r>
      <w:r w:rsidR="008B4440">
        <w:rPr>
          <w:rFonts w:ascii="Times New Roman" w:eastAsia="Times New Roman" w:hAnsi="Times New Roman"/>
          <w:sz w:val="26"/>
          <w:szCs w:val="26"/>
        </w:rPr>
        <w:t>s</w:t>
      </w:r>
      <w:r w:rsidRPr="0073506C">
        <w:rPr>
          <w:rFonts w:ascii="Times New Roman" w:eastAsia="Times New Roman" w:hAnsi="Times New Roman"/>
          <w:sz w:val="26"/>
          <w:szCs w:val="26"/>
        </w:rPr>
        <w:t xml:space="preserve"> of the disclosure requirements from the Commission.  However, the Commission believes that the information collected on these forms is the minimum necessary to provide a meaningful review of financial conditions and would impose the least possible burden on entities.  </w:t>
      </w:r>
    </w:p>
    <w:p w:rsidR="00CE3060" w14:paraId="2E40A4A0" w14:textId="2531251E">
      <w:pPr>
        <w:spacing w:after="0" w:line="240" w:lineRule="auto"/>
        <w:rPr>
          <w:rFonts w:ascii="Times New Roman" w:eastAsia="Times New Roman" w:hAnsi="Times New Roman"/>
          <w:sz w:val="26"/>
          <w:szCs w:val="26"/>
        </w:rPr>
      </w:pPr>
    </w:p>
    <w:p w:rsidR="00F003F8" w:rsidP="00F003F8" w14:paraId="15C43F01" w14:textId="3EA89B38">
      <w:pPr>
        <w:spacing w:after="0" w:line="240" w:lineRule="auto"/>
        <w:rPr>
          <w:rFonts w:ascii="Times New Roman" w:eastAsia="Times New Roman" w:hAnsi="Times New Roman"/>
          <w:sz w:val="26"/>
          <w:szCs w:val="26"/>
        </w:rPr>
      </w:pPr>
      <w:r w:rsidRPr="00F003F8">
        <w:rPr>
          <w:rFonts w:ascii="Times New Roman" w:eastAsia="Times New Roman" w:hAnsi="Times New Roman"/>
          <w:b/>
          <w:bCs/>
          <w:sz w:val="26"/>
          <w:szCs w:val="26"/>
        </w:rPr>
        <w:t>Note:</w:t>
      </w:r>
      <w:r>
        <w:rPr>
          <w:rFonts w:ascii="Times New Roman" w:eastAsia="Times New Roman" w:hAnsi="Times New Roman"/>
          <w:sz w:val="26"/>
          <w:szCs w:val="26"/>
        </w:rPr>
        <w:t xml:space="preserve"> </w:t>
      </w:r>
      <w:r w:rsidR="0039091C">
        <w:rPr>
          <w:rFonts w:ascii="Times New Roman" w:eastAsia="Times New Roman" w:hAnsi="Times New Roman"/>
          <w:sz w:val="26"/>
          <w:szCs w:val="26"/>
        </w:rPr>
        <w:t xml:space="preserve"> </w:t>
      </w:r>
      <w:r>
        <w:rPr>
          <w:rFonts w:ascii="Times New Roman" w:eastAsia="Times New Roman" w:hAnsi="Times New Roman"/>
          <w:sz w:val="26"/>
          <w:szCs w:val="26"/>
        </w:rPr>
        <w:t xml:space="preserve">If the entity does not meet the requirements for </w:t>
      </w:r>
      <w:r w:rsidR="005F6F5D">
        <w:rPr>
          <w:rFonts w:ascii="Times New Roman" w:eastAsia="Times New Roman" w:hAnsi="Times New Roman"/>
          <w:sz w:val="26"/>
          <w:szCs w:val="26"/>
        </w:rPr>
        <w:t xml:space="preserve">FERC </w:t>
      </w:r>
      <w:r>
        <w:rPr>
          <w:rFonts w:ascii="Times New Roman" w:eastAsia="Times New Roman" w:hAnsi="Times New Roman"/>
          <w:sz w:val="26"/>
          <w:szCs w:val="26"/>
        </w:rPr>
        <w:t xml:space="preserve">Form No. 60, they may complete the FERC Form No. 61.  However, the </w:t>
      </w:r>
      <w:r w:rsidR="005F6F5D">
        <w:rPr>
          <w:rFonts w:ascii="Times New Roman" w:eastAsia="Times New Roman" w:hAnsi="Times New Roman"/>
          <w:sz w:val="26"/>
          <w:szCs w:val="26"/>
        </w:rPr>
        <w:t xml:space="preserve">FERC </w:t>
      </w:r>
      <w:r>
        <w:rPr>
          <w:rFonts w:ascii="Times New Roman" w:eastAsia="Times New Roman" w:hAnsi="Times New Roman"/>
          <w:sz w:val="26"/>
          <w:szCs w:val="26"/>
        </w:rPr>
        <w:t xml:space="preserve">Form </w:t>
      </w:r>
      <w:r w:rsidR="003E5CC1">
        <w:rPr>
          <w:rFonts w:ascii="Times New Roman" w:eastAsia="Times New Roman" w:hAnsi="Times New Roman"/>
          <w:sz w:val="26"/>
          <w:szCs w:val="26"/>
        </w:rPr>
        <w:t xml:space="preserve">No. </w:t>
      </w:r>
      <w:r>
        <w:rPr>
          <w:rFonts w:ascii="Times New Roman" w:eastAsia="Times New Roman" w:hAnsi="Times New Roman"/>
          <w:sz w:val="26"/>
          <w:szCs w:val="26"/>
        </w:rPr>
        <w:t xml:space="preserve">61 is not impacted </w:t>
      </w:r>
      <w:r w:rsidR="003E5CC1">
        <w:rPr>
          <w:rFonts w:ascii="Times New Roman" w:eastAsia="Times New Roman" w:hAnsi="Times New Roman"/>
          <w:sz w:val="26"/>
          <w:szCs w:val="26"/>
        </w:rPr>
        <w:t xml:space="preserve">by </w:t>
      </w:r>
      <w:r w:rsidR="003E5CC1">
        <w:rPr>
          <w:rFonts w:ascii="Times New Roman" w:eastAsia="Times New Roman" w:hAnsi="Times New Roman"/>
          <w:sz w:val="26"/>
          <w:szCs w:val="26"/>
        </w:rPr>
        <w:t xml:space="preserve">the Final Rule (Docket No. RM21-11-000) </w:t>
      </w:r>
      <w:r>
        <w:rPr>
          <w:rFonts w:ascii="Times New Roman" w:eastAsia="Times New Roman" w:hAnsi="Times New Roman"/>
          <w:sz w:val="26"/>
          <w:szCs w:val="26"/>
        </w:rPr>
        <w:t xml:space="preserve">since it is a </w:t>
      </w:r>
      <w:r w:rsidRPr="00F003F8">
        <w:rPr>
          <w:rFonts w:ascii="Times New Roman" w:eastAsia="Times New Roman" w:hAnsi="Times New Roman"/>
          <w:i/>
          <w:iCs/>
          <w:sz w:val="26"/>
          <w:szCs w:val="26"/>
        </w:rPr>
        <w:t>narrative description</w:t>
      </w:r>
      <w:r>
        <w:rPr>
          <w:rFonts w:ascii="Times New Roman" w:eastAsia="Times New Roman" w:hAnsi="Times New Roman"/>
          <w:sz w:val="26"/>
          <w:szCs w:val="26"/>
        </w:rPr>
        <w:t xml:space="preserve"> of the companies, which remain unaffected by this rulemaking</w:t>
      </w:r>
      <w:r w:rsidR="00807476">
        <w:rPr>
          <w:rFonts w:ascii="Times New Roman" w:eastAsia="Times New Roman" w:hAnsi="Times New Roman"/>
          <w:sz w:val="26"/>
          <w:szCs w:val="26"/>
        </w:rPr>
        <w:t xml:space="preserve">. </w:t>
      </w:r>
    </w:p>
    <w:p w:rsidR="00F003F8" w14:paraId="6969AAA4" w14:textId="77777777">
      <w:pPr>
        <w:spacing w:after="0" w:line="240" w:lineRule="auto"/>
        <w:rPr>
          <w:rFonts w:ascii="Times New Roman" w:eastAsia="Times New Roman" w:hAnsi="Times New Roman"/>
          <w:sz w:val="26"/>
          <w:szCs w:val="26"/>
        </w:rPr>
      </w:pPr>
    </w:p>
    <w:p w:rsidR="00B65D79" w:rsidRPr="0073506C" w:rsidP="00BD0F89" w14:paraId="76823E50" w14:textId="19F5B9D3">
      <w:pPr>
        <w:spacing w:after="0" w:line="240" w:lineRule="auto"/>
        <w:rPr>
          <w:rFonts w:ascii="Times New Roman" w:eastAsia="Times New Roman" w:hAnsi="Times New Roman"/>
          <w:sz w:val="26"/>
          <w:szCs w:val="26"/>
        </w:rPr>
      </w:pPr>
    </w:p>
    <w:p w:rsidR="00F0627E" w:rsidRPr="0073506C" w:rsidP="00BD0F89" w14:paraId="26442DFE"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CONSEQUENCE TO FEDERAL PROGRAM IF COLLECTION WERE CONDUCTED LESS FREQUENTLY</w:t>
      </w:r>
    </w:p>
    <w:p w:rsidR="00F0627E" w:rsidRPr="0073506C" w:rsidP="00BD0F89" w14:paraId="20A53002" w14:textId="77777777">
      <w:pPr>
        <w:spacing w:after="0" w:line="240" w:lineRule="auto"/>
        <w:rPr>
          <w:rFonts w:ascii="Times New Roman" w:hAnsi="Times New Roman"/>
          <w:sz w:val="26"/>
          <w:szCs w:val="26"/>
        </w:rPr>
      </w:pPr>
    </w:p>
    <w:p w:rsidR="00B705E5" w:rsidRPr="0073506C" w14:paraId="4CC98597" w14:textId="65577A86">
      <w:pPr>
        <w:spacing w:after="0" w:line="240" w:lineRule="auto"/>
        <w:rPr>
          <w:rFonts w:ascii="Times New Roman" w:hAnsi="Times New Roman"/>
          <w:sz w:val="26"/>
          <w:szCs w:val="26"/>
        </w:rPr>
      </w:pPr>
      <w:r w:rsidRPr="0073506C">
        <w:rPr>
          <w:rFonts w:ascii="Times New Roman" w:hAnsi="Times New Roman"/>
          <w:b/>
          <w:sz w:val="26"/>
          <w:szCs w:val="26"/>
        </w:rPr>
        <w:t xml:space="preserve">FERC </w:t>
      </w:r>
      <w:r w:rsidRPr="0073506C" w:rsidR="007D436E">
        <w:rPr>
          <w:rFonts w:ascii="Times New Roman" w:hAnsi="Times New Roman"/>
          <w:b/>
          <w:sz w:val="26"/>
          <w:szCs w:val="26"/>
        </w:rPr>
        <w:t>Form</w:t>
      </w:r>
      <w:r w:rsidRPr="0073506C" w:rsidR="00295EB7">
        <w:rPr>
          <w:rFonts w:ascii="Times New Roman" w:hAnsi="Times New Roman"/>
          <w:b/>
          <w:sz w:val="26"/>
          <w:szCs w:val="26"/>
        </w:rPr>
        <w:t xml:space="preserve"> Nos.</w:t>
      </w:r>
      <w:r w:rsidRPr="0073506C" w:rsidR="007D436E">
        <w:rPr>
          <w:rFonts w:ascii="Times New Roman" w:hAnsi="Times New Roman"/>
          <w:b/>
          <w:sz w:val="26"/>
          <w:szCs w:val="26"/>
        </w:rPr>
        <w:t xml:space="preserve"> 1, 1-F, and 3-Q</w:t>
      </w:r>
      <w:r w:rsidRPr="0073506C" w:rsidR="007D436E">
        <w:rPr>
          <w:rFonts w:ascii="Times New Roman" w:hAnsi="Times New Roman"/>
          <w:sz w:val="26"/>
          <w:szCs w:val="26"/>
        </w:rPr>
        <w:t xml:space="preserve">.  </w:t>
      </w:r>
      <w:r w:rsidRPr="0073506C" w:rsidR="00F74D83">
        <w:rPr>
          <w:rFonts w:ascii="Times New Roman" w:hAnsi="Times New Roman"/>
          <w:sz w:val="26"/>
          <w:szCs w:val="26"/>
        </w:rPr>
        <w:t xml:space="preserve">The existing </w:t>
      </w:r>
      <w:r w:rsidR="00F1585D">
        <w:rPr>
          <w:rFonts w:ascii="Times New Roman" w:hAnsi="Times New Roman"/>
          <w:sz w:val="26"/>
          <w:szCs w:val="26"/>
        </w:rPr>
        <w:t xml:space="preserve">FERC </w:t>
      </w:r>
      <w:r w:rsidRPr="0073506C" w:rsidR="00F74D83">
        <w:rPr>
          <w:rFonts w:ascii="Times New Roman" w:hAnsi="Times New Roman"/>
          <w:sz w:val="26"/>
          <w:szCs w:val="26"/>
        </w:rPr>
        <w:t xml:space="preserve">Form Nos. 1 and 1-F are required by the Commission to be submitted annually.  Annual reporting is consistent with reporting to the companies' own management, the Internal Revenue Service, </w:t>
      </w:r>
      <w:r w:rsidR="002545FF">
        <w:rPr>
          <w:rFonts w:ascii="Times New Roman" w:hAnsi="Times New Roman"/>
          <w:sz w:val="26"/>
          <w:szCs w:val="26"/>
        </w:rPr>
        <w:t xml:space="preserve">and </w:t>
      </w:r>
      <w:r w:rsidRPr="0073506C" w:rsidR="00F74D83">
        <w:rPr>
          <w:rFonts w:ascii="Times New Roman" w:hAnsi="Times New Roman"/>
          <w:sz w:val="26"/>
          <w:szCs w:val="26"/>
        </w:rPr>
        <w:t xml:space="preserve">state and other Federal agencies' requirements. </w:t>
      </w:r>
      <w:r w:rsidRPr="0073506C">
        <w:rPr>
          <w:rFonts w:ascii="Times New Roman" w:hAnsi="Times New Roman"/>
          <w:sz w:val="26"/>
          <w:szCs w:val="26"/>
        </w:rPr>
        <w:t xml:space="preserve"> </w:t>
      </w:r>
      <w:r w:rsidRPr="0073506C" w:rsidR="00C42E58">
        <w:rPr>
          <w:rFonts w:ascii="Times New Roman" w:hAnsi="Times New Roman"/>
          <w:sz w:val="26"/>
          <w:szCs w:val="26"/>
        </w:rPr>
        <w:t xml:space="preserve">FERC </w:t>
      </w:r>
      <w:r w:rsidRPr="0073506C" w:rsidR="00F74D83">
        <w:rPr>
          <w:rFonts w:ascii="Times New Roman" w:hAnsi="Times New Roman"/>
          <w:sz w:val="26"/>
          <w:szCs w:val="26"/>
        </w:rPr>
        <w:t xml:space="preserve">Form No. 3-Q filings provide quarterly updates to supplement the </w:t>
      </w:r>
      <w:r w:rsidR="00F1585D">
        <w:rPr>
          <w:rFonts w:ascii="Times New Roman" w:hAnsi="Times New Roman"/>
          <w:sz w:val="26"/>
          <w:szCs w:val="26"/>
        </w:rPr>
        <w:t xml:space="preserve">FERC </w:t>
      </w:r>
      <w:r w:rsidRPr="0073506C" w:rsidR="00F74D83">
        <w:rPr>
          <w:rFonts w:ascii="Times New Roman" w:hAnsi="Times New Roman"/>
          <w:sz w:val="26"/>
          <w:szCs w:val="26"/>
        </w:rPr>
        <w:t>Form Nos 1, 1-F, 2, and 2A</w:t>
      </w:r>
      <w:r w:rsidR="002A37EE">
        <w:rPr>
          <w:rFonts w:ascii="Times New Roman" w:hAnsi="Times New Roman"/>
          <w:sz w:val="26"/>
          <w:szCs w:val="26"/>
        </w:rPr>
        <w:t xml:space="preserve"> (2 and 2A are not impacted by RM21-11-000)</w:t>
      </w:r>
      <w:r w:rsidRPr="0073506C" w:rsidR="00F74D83">
        <w:rPr>
          <w:rFonts w:ascii="Times New Roman" w:hAnsi="Times New Roman"/>
          <w:sz w:val="26"/>
          <w:szCs w:val="26"/>
        </w:rPr>
        <w:t xml:space="preserve">.  This quarterly information provides the Commission and the public with updated and timely information regarding a company’s financial and operational status.  </w:t>
      </w:r>
    </w:p>
    <w:p w:rsidR="007F298D" w:rsidP="007F298D" w14:paraId="366A66A0" w14:textId="77777777">
      <w:pPr>
        <w:spacing w:after="0" w:line="240" w:lineRule="auto"/>
        <w:rPr>
          <w:rFonts w:ascii="Times New Roman" w:hAnsi="Times New Roman"/>
          <w:sz w:val="26"/>
          <w:szCs w:val="26"/>
        </w:rPr>
      </w:pPr>
    </w:p>
    <w:p w:rsidR="007F298D" w:rsidRPr="007F298D" w:rsidP="007F298D" w14:paraId="2BCE358A" w14:textId="13B2B308">
      <w:pPr>
        <w:spacing w:after="0" w:line="240" w:lineRule="auto"/>
        <w:rPr>
          <w:rFonts w:ascii="Times New Roman" w:hAnsi="Times New Roman"/>
          <w:sz w:val="26"/>
          <w:szCs w:val="26"/>
        </w:rPr>
      </w:pPr>
      <w:r w:rsidRPr="005D2688">
        <w:rPr>
          <w:rFonts w:ascii="Times New Roman" w:hAnsi="Times New Roman"/>
          <w:b/>
          <w:bCs/>
          <w:sz w:val="26"/>
          <w:szCs w:val="26"/>
        </w:rPr>
        <w:t>FERC Form No. 60</w:t>
      </w:r>
      <w:r w:rsidRPr="007F298D">
        <w:rPr>
          <w:rFonts w:ascii="Times New Roman" w:hAnsi="Times New Roman"/>
          <w:sz w:val="26"/>
          <w:szCs w:val="26"/>
        </w:rPr>
        <w:t xml:space="preserve"> provide</w:t>
      </w:r>
      <w:r>
        <w:rPr>
          <w:rFonts w:ascii="Times New Roman" w:hAnsi="Times New Roman"/>
          <w:sz w:val="26"/>
          <w:szCs w:val="26"/>
        </w:rPr>
        <w:t>s</w:t>
      </w:r>
      <w:r w:rsidRPr="007F298D">
        <w:rPr>
          <w:rFonts w:ascii="Times New Roman" w:hAnsi="Times New Roman"/>
          <w:sz w:val="26"/>
          <w:szCs w:val="26"/>
        </w:rPr>
        <w:t xml:space="preserve"> a level of transparency that: </w:t>
      </w:r>
      <w:r w:rsidR="00922491">
        <w:rPr>
          <w:rFonts w:ascii="Times New Roman" w:hAnsi="Times New Roman"/>
          <w:sz w:val="26"/>
          <w:szCs w:val="26"/>
        </w:rPr>
        <w:t xml:space="preserve"> </w:t>
      </w:r>
      <w:r w:rsidR="00C52E5B">
        <w:rPr>
          <w:rFonts w:ascii="Times New Roman" w:hAnsi="Times New Roman"/>
          <w:sz w:val="26"/>
          <w:szCs w:val="26"/>
        </w:rPr>
        <w:t>(</w:t>
      </w:r>
      <w:r w:rsidRPr="007F298D">
        <w:rPr>
          <w:rFonts w:ascii="Times New Roman" w:hAnsi="Times New Roman"/>
          <w:sz w:val="26"/>
          <w:szCs w:val="26"/>
        </w:rPr>
        <w:t>1) helps protect ratepayers from pass-through of improper service company costs</w:t>
      </w:r>
      <w:r w:rsidR="00C52E5B">
        <w:rPr>
          <w:rFonts w:ascii="Times New Roman" w:hAnsi="Times New Roman"/>
          <w:sz w:val="26"/>
          <w:szCs w:val="26"/>
        </w:rPr>
        <w:t>;</w:t>
      </w:r>
      <w:r w:rsidRPr="007F298D">
        <w:rPr>
          <w:rFonts w:ascii="Times New Roman" w:hAnsi="Times New Roman"/>
          <w:sz w:val="26"/>
          <w:szCs w:val="26"/>
        </w:rPr>
        <w:t xml:space="preserve"> </w:t>
      </w:r>
      <w:r w:rsidR="00C52E5B">
        <w:rPr>
          <w:rFonts w:ascii="Times New Roman" w:hAnsi="Times New Roman"/>
          <w:sz w:val="26"/>
          <w:szCs w:val="26"/>
        </w:rPr>
        <w:t>(</w:t>
      </w:r>
      <w:r w:rsidRPr="007F298D">
        <w:rPr>
          <w:rFonts w:ascii="Times New Roman" w:hAnsi="Times New Roman"/>
          <w:sz w:val="26"/>
          <w:szCs w:val="26"/>
        </w:rPr>
        <w:t>2) enables the Commission to review and determine cost allocations (among holding company members) for certain non-power goods and services</w:t>
      </w:r>
      <w:r w:rsidR="00C52E5B">
        <w:rPr>
          <w:rFonts w:ascii="Times New Roman" w:hAnsi="Times New Roman"/>
          <w:sz w:val="26"/>
          <w:szCs w:val="26"/>
        </w:rPr>
        <w:t>;</w:t>
      </w:r>
      <w:r w:rsidRPr="007F298D">
        <w:rPr>
          <w:rFonts w:ascii="Times New Roman" w:hAnsi="Times New Roman"/>
          <w:sz w:val="26"/>
          <w:szCs w:val="26"/>
        </w:rPr>
        <w:t xml:space="preserve"> </w:t>
      </w:r>
      <w:r w:rsidR="00C52E5B">
        <w:rPr>
          <w:rFonts w:ascii="Times New Roman" w:hAnsi="Times New Roman"/>
          <w:sz w:val="26"/>
          <w:szCs w:val="26"/>
        </w:rPr>
        <w:t>(</w:t>
      </w:r>
      <w:r w:rsidRPr="007F298D">
        <w:rPr>
          <w:rFonts w:ascii="Times New Roman" w:hAnsi="Times New Roman"/>
          <w:sz w:val="26"/>
          <w:szCs w:val="26"/>
        </w:rPr>
        <w:t>3) aids the Commission in meeting its oversight and market monitoring obligations</w:t>
      </w:r>
      <w:r w:rsidR="00366CFE">
        <w:rPr>
          <w:rFonts w:ascii="Times New Roman" w:hAnsi="Times New Roman"/>
          <w:sz w:val="26"/>
          <w:szCs w:val="26"/>
        </w:rPr>
        <w:t>;</w:t>
      </w:r>
      <w:r w:rsidRPr="007F298D">
        <w:rPr>
          <w:rFonts w:ascii="Times New Roman" w:hAnsi="Times New Roman"/>
          <w:sz w:val="26"/>
          <w:szCs w:val="26"/>
        </w:rPr>
        <w:t xml:space="preserve"> and </w:t>
      </w:r>
      <w:r w:rsidR="00366CFE">
        <w:rPr>
          <w:rFonts w:ascii="Times New Roman" w:hAnsi="Times New Roman"/>
          <w:sz w:val="26"/>
          <w:szCs w:val="26"/>
        </w:rPr>
        <w:t>(</w:t>
      </w:r>
      <w:r w:rsidRPr="007F298D">
        <w:rPr>
          <w:rFonts w:ascii="Times New Roman" w:hAnsi="Times New Roman"/>
          <w:sz w:val="26"/>
          <w:szCs w:val="26"/>
        </w:rPr>
        <w:t xml:space="preserve">4) benefits the public, both as ratepayers and investors.  In addition, the Commission’s audit staff use these records during compliance reviews and special analyses.  </w:t>
      </w:r>
    </w:p>
    <w:p w:rsidR="0058372E" w:rsidRPr="0073506C" w:rsidP="00F74D83" w14:paraId="2AD6F552" w14:textId="585C7C2F">
      <w:pPr>
        <w:spacing w:after="0" w:line="240" w:lineRule="auto"/>
        <w:rPr>
          <w:rFonts w:ascii="Times New Roman" w:hAnsi="Times New Roman"/>
          <w:sz w:val="26"/>
          <w:szCs w:val="26"/>
        </w:rPr>
      </w:pPr>
    </w:p>
    <w:p w:rsidR="007D436E" w:rsidRPr="0073506C" w:rsidP="00C0510A" w14:paraId="38370DCD" w14:textId="2EDC0E50">
      <w:pPr>
        <w:spacing w:after="0" w:line="240" w:lineRule="auto"/>
        <w:rPr>
          <w:rFonts w:ascii="Times New Roman" w:hAnsi="Times New Roman"/>
          <w:sz w:val="26"/>
          <w:szCs w:val="26"/>
        </w:rPr>
      </w:pPr>
      <w:r w:rsidRPr="0073506C">
        <w:rPr>
          <w:rFonts w:ascii="Times New Roman" w:hAnsi="Times New Roman"/>
          <w:sz w:val="26"/>
          <w:szCs w:val="26"/>
        </w:rPr>
        <w:t xml:space="preserve">Some of the information in particular filings may change markedly from one year to the next.  </w:t>
      </w:r>
      <w:r w:rsidR="00DE1E4C">
        <w:rPr>
          <w:rFonts w:ascii="Times New Roman" w:hAnsi="Times New Roman"/>
          <w:sz w:val="26"/>
          <w:szCs w:val="26"/>
        </w:rPr>
        <w:t>L</w:t>
      </w:r>
      <w:r w:rsidRPr="0073506C">
        <w:rPr>
          <w:rFonts w:ascii="Times New Roman" w:hAnsi="Times New Roman"/>
          <w:sz w:val="26"/>
          <w:szCs w:val="26"/>
        </w:rPr>
        <w:t>ess frequent</w:t>
      </w:r>
      <w:r w:rsidR="00DE1E4C">
        <w:rPr>
          <w:rFonts w:ascii="Times New Roman" w:hAnsi="Times New Roman"/>
          <w:sz w:val="26"/>
          <w:szCs w:val="26"/>
        </w:rPr>
        <w:t xml:space="preserve"> information collection would impede</w:t>
      </w:r>
      <w:r w:rsidRPr="0073506C">
        <w:rPr>
          <w:rFonts w:ascii="Times New Roman" w:hAnsi="Times New Roman"/>
          <w:sz w:val="26"/>
          <w:szCs w:val="26"/>
        </w:rPr>
        <w:t xml:space="preserve"> the Commission</w:t>
      </w:r>
      <w:r w:rsidR="00DE1E4C">
        <w:rPr>
          <w:rFonts w:ascii="Times New Roman" w:hAnsi="Times New Roman"/>
          <w:sz w:val="26"/>
          <w:szCs w:val="26"/>
        </w:rPr>
        <w:t>’s</w:t>
      </w:r>
      <w:r w:rsidRPr="0073506C">
        <w:rPr>
          <w:rFonts w:ascii="Times New Roman" w:hAnsi="Times New Roman"/>
          <w:sz w:val="26"/>
          <w:szCs w:val="26"/>
        </w:rPr>
        <w:t xml:space="preserve"> </w:t>
      </w:r>
      <w:r w:rsidR="00E141B8">
        <w:rPr>
          <w:rFonts w:ascii="Times New Roman" w:hAnsi="Times New Roman"/>
          <w:sz w:val="26"/>
          <w:szCs w:val="26"/>
        </w:rPr>
        <w:t xml:space="preserve">timely and accurate </w:t>
      </w:r>
      <w:r w:rsidRPr="0073506C">
        <w:rPr>
          <w:rFonts w:ascii="Times New Roman" w:hAnsi="Times New Roman"/>
          <w:sz w:val="26"/>
          <w:szCs w:val="26"/>
        </w:rPr>
        <w:t>perform</w:t>
      </w:r>
      <w:r w:rsidR="00DE1E4C">
        <w:rPr>
          <w:rFonts w:ascii="Times New Roman" w:hAnsi="Times New Roman"/>
          <w:sz w:val="26"/>
          <w:szCs w:val="26"/>
        </w:rPr>
        <w:t>ance of</w:t>
      </w:r>
      <w:r w:rsidRPr="0073506C">
        <w:rPr>
          <w:rFonts w:ascii="Times New Roman" w:hAnsi="Times New Roman"/>
          <w:sz w:val="26"/>
          <w:szCs w:val="26"/>
        </w:rPr>
        <w:t xml:space="preserve"> mandated review and oversight </w:t>
      </w:r>
      <w:r w:rsidR="00E141B8">
        <w:rPr>
          <w:rFonts w:ascii="Times New Roman" w:hAnsi="Times New Roman"/>
          <w:sz w:val="26"/>
          <w:szCs w:val="26"/>
        </w:rPr>
        <w:t>responsibilities</w:t>
      </w:r>
      <w:r w:rsidRPr="0073506C">
        <w:rPr>
          <w:rFonts w:ascii="Times New Roman" w:hAnsi="Times New Roman"/>
          <w:sz w:val="26"/>
          <w:szCs w:val="26"/>
        </w:rPr>
        <w:t>.</w:t>
      </w:r>
      <w:r w:rsidRPr="0073506C" w:rsidR="00B75C18">
        <w:rPr>
          <w:rFonts w:ascii="Times New Roman" w:hAnsi="Times New Roman"/>
          <w:sz w:val="26"/>
          <w:szCs w:val="26"/>
        </w:rPr>
        <w:t xml:space="preserve">  </w:t>
      </w:r>
    </w:p>
    <w:p w:rsidR="00F0627E" w:rsidRPr="0073506C" w:rsidP="00BD0F89" w14:paraId="3319550E" w14:textId="77777777">
      <w:pPr>
        <w:spacing w:after="0" w:line="240" w:lineRule="auto"/>
        <w:rPr>
          <w:rFonts w:ascii="Times New Roman" w:hAnsi="Times New Roman"/>
          <w:sz w:val="26"/>
          <w:szCs w:val="26"/>
        </w:rPr>
      </w:pPr>
    </w:p>
    <w:p w:rsidR="00F0627E" w:rsidRPr="0073506C" w:rsidP="00BD0F89" w14:paraId="6DE0BCEB"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EXPLAIN ANY SPECIAL CIRCUMSTANCES RELATING TO THE INFORMATION COLLECTION</w:t>
      </w:r>
    </w:p>
    <w:p w:rsidR="00F0627E" w:rsidRPr="00FB4D45" w:rsidP="00BD0F89" w14:paraId="61BC8479" w14:textId="77777777">
      <w:pPr>
        <w:spacing w:after="0" w:line="240" w:lineRule="auto"/>
        <w:rPr>
          <w:rFonts w:ascii="Times New Roman" w:hAnsi="Times New Roman"/>
          <w:b/>
          <w:bCs/>
          <w:sz w:val="26"/>
          <w:szCs w:val="26"/>
        </w:rPr>
      </w:pPr>
    </w:p>
    <w:p w:rsidR="00F0627E" w:rsidRPr="0073506C" w14:paraId="1832EE9A" w14:textId="36FC2C34">
      <w:pPr>
        <w:spacing w:after="0" w:line="240" w:lineRule="auto"/>
        <w:rPr>
          <w:rFonts w:ascii="Times New Roman" w:hAnsi="Times New Roman"/>
          <w:sz w:val="26"/>
          <w:szCs w:val="26"/>
        </w:rPr>
      </w:pPr>
      <w:r w:rsidRPr="0073506C">
        <w:rPr>
          <w:rFonts w:ascii="Times New Roman" w:hAnsi="Times New Roman"/>
          <w:sz w:val="26"/>
          <w:szCs w:val="26"/>
        </w:rPr>
        <w:t>There are no special circumstances related to th</w:t>
      </w:r>
      <w:r w:rsidRPr="0073506C" w:rsidR="00EC66AC">
        <w:rPr>
          <w:rFonts w:ascii="Times New Roman" w:hAnsi="Times New Roman"/>
          <w:sz w:val="26"/>
          <w:szCs w:val="26"/>
        </w:rPr>
        <w:t>ese</w:t>
      </w:r>
      <w:r w:rsidRPr="0073506C">
        <w:rPr>
          <w:rFonts w:ascii="Times New Roman" w:hAnsi="Times New Roman"/>
          <w:sz w:val="26"/>
          <w:szCs w:val="26"/>
        </w:rPr>
        <w:t xml:space="preserve"> information collection</w:t>
      </w:r>
      <w:r w:rsidRPr="0073506C" w:rsidR="00EC66AC">
        <w:rPr>
          <w:rFonts w:ascii="Times New Roman" w:hAnsi="Times New Roman"/>
          <w:sz w:val="26"/>
          <w:szCs w:val="26"/>
        </w:rPr>
        <w:t>s</w:t>
      </w:r>
      <w:r w:rsidRPr="0073506C">
        <w:rPr>
          <w:rFonts w:ascii="Times New Roman" w:hAnsi="Times New Roman"/>
          <w:sz w:val="26"/>
          <w:szCs w:val="26"/>
        </w:rPr>
        <w:t>.</w:t>
      </w:r>
    </w:p>
    <w:p w:rsidR="00517EC0" w:rsidRPr="0073506C" w:rsidP="00BD0F89" w14:paraId="74F838D9" w14:textId="77777777">
      <w:pPr>
        <w:spacing w:after="0" w:line="240" w:lineRule="auto"/>
        <w:ind w:left="360" w:hanging="360"/>
        <w:rPr>
          <w:rFonts w:ascii="Times New Roman" w:hAnsi="Times New Roman"/>
          <w:sz w:val="26"/>
          <w:szCs w:val="26"/>
        </w:rPr>
      </w:pPr>
    </w:p>
    <w:p w:rsidR="00F0627E" w:rsidRPr="0073506C" w:rsidP="00BD0F89" w14:paraId="75DA9249"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DESCRIBE EFFORTS TO CONSULT OUTSIDE THE AGENCY: SUMMARIZE PUBLIC COMMENTS AND THE AGENCY’S RESPONSE</w:t>
      </w:r>
    </w:p>
    <w:p w:rsidR="00F0627E" w:rsidRPr="0073506C" w:rsidP="00BD0F89" w14:paraId="5D2AE01F" w14:textId="77777777">
      <w:pPr>
        <w:spacing w:after="0" w:line="240" w:lineRule="auto"/>
        <w:rPr>
          <w:rFonts w:ascii="Times New Roman" w:hAnsi="Times New Roman"/>
          <w:sz w:val="26"/>
          <w:szCs w:val="26"/>
        </w:rPr>
      </w:pPr>
    </w:p>
    <w:p w:rsidR="00FE335A" w:rsidP="00003D06" w14:paraId="2027F4A1" w14:textId="63B3D541">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Prior to the </w:t>
      </w:r>
      <w:r w:rsidR="00360DDD">
        <w:rPr>
          <w:rFonts w:ascii="Times New Roman" w:hAnsi="Times New Roman"/>
          <w:sz w:val="26"/>
          <w:szCs w:val="26"/>
        </w:rPr>
        <w:t>NOPR</w:t>
      </w:r>
      <w:r w:rsidR="00825922">
        <w:rPr>
          <w:rFonts w:ascii="Times New Roman" w:hAnsi="Times New Roman"/>
          <w:sz w:val="26"/>
          <w:szCs w:val="26"/>
        </w:rPr>
        <w:t xml:space="preserve"> </w:t>
      </w:r>
      <w:r w:rsidRPr="000A706F" w:rsidR="00B74152">
        <w:rPr>
          <w:rFonts w:ascii="Times New Roman" w:hAnsi="Times New Roman"/>
          <w:sz w:val="26"/>
          <w:szCs w:val="26"/>
        </w:rPr>
        <w:t xml:space="preserve">in Docket No. </w:t>
      </w:r>
      <w:r w:rsidR="00C571B0">
        <w:rPr>
          <w:rFonts w:ascii="Times New Roman" w:hAnsi="Times New Roman"/>
          <w:sz w:val="26"/>
          <w:szCs w:val="26"/>
        </w:rPr>
        <w:t>RM21-11-000</w:t>
      </w:r>
      <w:r>
        <w:rPr>
          <w:rFonts w:ascii="Times New Roman" w:hAnsi="Times New Roman"/>
          <w:sz w:val="26"/>
          <w:szCs w:val="26"/>
        </w:rPr>
        <w:t xml:space="preserve"> being issued, the Commission</w:t>
      </w:r>
      <w:r w:rsidR="00C571B0">
        <w:rPr>
          <w:rFonts w:ascii="Times New Roman" w:hAnsi="Times New Roman"/>
          <w:sz w:val="26"/>
          <w:szCs w:val="26"/>
        </w:rPr>
        <w:t xml:space="preserve"> </w:t>
      </w:r>
      <w:r>
        <w:rPr>
          <w:rFonts w:ascii="Times New Roman" w:hAnsi="Times New Roman"/>
          <w:sz w:val="26"/>
          <w:szCs w:val="26"/>
        </w:rPr>
        <w:t xml:space="preserve">engaged the public </w:t>
      </w:r>
      <w:r w:rsidR="008318BC">
        <w:rPr>
          <w:rFonts w:ascii="Times New Roman" w:hAnsi="Times New Roman"/>
          <w:sz w:val="26"/>
          <w:szCs w:val="26"/>
        </w:rPr>
        <w:t>by issuing a</w:t>
      </w:r>
      <w:r w:rsidR="00CE193E">
        <w:rPr>
          <w:rFonts w:ascii="Times New Roman" w:hAnsi="Times New Roman"/>
          <w:sz w:val="26"/>
          <w:szCs w:val="26"/>
        </w:rPr>
        <w:t>n</w:t>
      </w:r>
      <w:r w:rsidR="008318BC">
        <w:rPr>
          <w:rFonts w:ascii="Times New Roman" w:hAnsi="Times New Roman"/>
          <w:sz w:val="26"/>
          <w:szCs w:val="26"/>
        </w:rPr>
        <w:t xml:space="preserve"> </w:t>
      </w:r>
      <w:r w:rsidR="00CE193E">
        <w:rPr>
          <w:rFonts w:ascii="Times New Roman" w:hAnsi="Times New Roman"/>
          <w:sz w:val="26"/>
          <w:szCs w:val="26"/>
        </w:rPr>
        <w:t>NOI</w:t>
      </w:r>
      <w:r>
        <w:rPr>
          <w:b/>
          <w:bCs/>
          <w:vertAlign w:val="superscript"/>
        </w:rPr>
        <w:footnoteReference w:id="11"/>
      </w:r>
      <w:r w:rsidR="00FF5B01">
        <w:rPr>
          <w:rFonts w:ascii="Times New Roman" w:hAnsi="Times New Roman"/>
          <w:sz w:val="26"/>
          <w:szCs w:val="26"/>
        </w:rPr>
        <w:t xml:space="preserve"> </w:t>
      </w:r>
      <w:r w:rsidR="000677D6">
        <w:rPr>
          <w:rFonts w:ascii="Times New Roman" w:hAnsi="Times New Roman"/>
          <w:sz w:val="26"/>
          <w:szCs w:val="26"/>
        </w:rPr>
        <w:t xml:space="preserve">on January 19, 2021 on </w:t>
      </w:r>
      <w:r w:rsidR="003E4D39">
        <w:rPr>
          <w:rFonts w:ascii="Times New Roman" w:hAnsi="Times New Roman"/>
          <w:sz w:val="26"/>
          <w:szCs w:val="26"/>
        </w:rPr>
        <w:t xml:space="preserve">the appropriate accounting treatment of </w:t>
      </w:r>
      <w:r w:rsidR="00576235">
        <w:rPr>
          <w:rFonts w:ascii="Times New Roman" w:hAnsi="Times New Roman"/>
          <w:sz w:val="26"/>
          <w:szCs w:val="26"/>
        </w:rPr>
        <w:t xml:space="preserve">renewable energy assets. </w:t>
      </w:r>
      <w:r w:rsidR="00B27030">
        <w:rPr>
          <w:rFonts w:ascii="Times New Roman" w:hAnsi="Times New Roman"/>
          <w:sz w:val="26"/>
          <w:szCs w:val="26"/>
        </w:rPr>
        <w:t xml:space="preserve"> </w:t>
      </w:r>
      <w:r w:rsidR="00D56C74">
        <w:rPr>
          <w:rFonts w:ascii="Times New Roman" w:hAnsi="Times New Roman"/>
          <w:sz w:val="26"/>
          <w:szCs w:val="26"/>
        </w:rPr>
        <w:t xml:space="preserve">The Commission received four comments and three reply comments expressing </w:t>
      </w:r>
      <w:r w:rsidRPr="569586B3" w:rsidR="00D56C74">
        <w:rPr>
          <w:rFonts w:ascii="Times New Roman" w:hAnsi="Times New Roman"/>
          <w:sz w:val="26"/>
          <w:szCs w:val="26"/>
        </w:rPr>
        <w:t xml:space="preserve">the need for </w:t>
      </w:r>
      <w:r w:rsidR="00D56C74">
        <w:rPr>
          <w:rFonts w:ascii="Times New Roman" w:hAnsi="Times New Roman"/>
          <w:sz w:val="26"/>
          <w:szCs w:val="26"/>
        </w:rPr>
        <w:t xml:space="preserve">Commission guidance on </w:t>
      </w:r>
      <w:r w:rsidR="00893F1D">
        <w:rPr>
          <w:rFonts w:ascii="Times New Roman" w:hAnsi="Times New Roman"/>
          <w:sz w:val="26"/>
          <w:szCs w:val="26"/>
        </w:rPr>
        <w:t xml:space="preserve">accounting for </w:t>
      </w:r>
      <w:r w:rsidR="00893F1D">
        <w:rPr>
          <w:rFonts w:ascii="Times New Roman" w:hAnsi="Times New Roman"/>
          <w:sz w:val="26"/>
          <w:szCs w:val="26"/>
        </w:rPr>
        <w:t>the shifting</w:t>
      </w:r>
      <w:r w:rsidR="004355FC">
        <w:rPr>
          <w:rFonts w:ascii="Times New Roman" w:hAnsi="Times New Roman"/>
          <w:sz w:val="26"/>
          <w:szCs w:val="26"/>
        </w:rPr>
        <w:t xml:space="preserve"> energy generation mix. </w:t>
      </w:r>
      <w:r w:rsidRPr="569586B3" w:rsidR="00ED2293">
        <w:rPr>
          <w:rFonts w:ascii="Times New Roman" w:hAnsi="Times New Roman"/>
          <w:sz w:val="26"/>
          <w:szCs w:val="26"/>
        </w:rPr>
        <w:t xml:space="preserve"> </w:t>
      </w:r>
      <w:r w:rsidR="007E1F76">
        <w:rPr>
          <w:rFonts w:ascii="Times New Roman" w:hAnsi="Times New Roman"/>
          <w:sz w:val="26"/>
          <w:szCs w:val="26"/>
        </w:rPr>
        <w:t>The c</w:t>
      </w:r>
      <w:r w:rsidRPr="569586B3" w:rsidR="00ED2293">
        <w:rPr>
          <w:rFonts w:ascii="Times New Roman" w:hAnsi="Times New Roman"/>
          <w:sz w:val="26"/>
          <w:szCs w:val="26"/>
        </w:rPr>
        <w:t>ommentors generally agree</w:t>
      </w:r>
      <w:r w:rsidR="00AC19A4">
        <w:rPr>
          <w:rFonts w:ascii="Times New Roman" w:hAnsi="Times New Roman"/>
          <w:sz w:val="26"/>
          <w:szCs w:val="26"/>
        </w:rPr>
        <w:t>d</w:t>
      </w:r>
      <w:r w:rsidRPr="569586B3" w:rsidR="00ED2293">
        <w:rPr>
          <w:rFonts w:ascii="Times New Roman" w:hAnsi="Times New Roman"/>
          <w:sz w:val="26"/>
          <w:szCs w:val="26"/>
        </w:rPr>
        <w:t xml:space="preserve"> </w:t>
      </w:r>
      <w:r w:rsidR="007E1F76">
        <w:rPr>
          <w:rFonts w:ascii="Times New Roman" w:hAnsi="Times New Roman"/>
          <w:sz w:val="26"/>
          <w:szCs w:val="26"/>
        </w:rPr>
        <w:t>that</w:t>
      </w:r>
      <w:r w:rsidRPr="569586B3" w:rsidR="00ED2293">
        <w:rPr>
          <w:rFonts w:ascii="Times New Roman" w:hAnsi="Times New Roman"/>
          <w:sz w:val="26"/>
          <w:szCs w:val="26"/>
        </w:rPr>
        <w:t xml:space="preserve"> Commission accounting guidance on </w:t>
      </w:r>
      <w:r w:rsidR="007E1F76">
        <w:rPr>
          <w:rFonts w:ascii="Times New Roman" w:hAnsi="Times New Roman"/>
          <w:sz w:val="26"/>
          <w:szCs w:val="26"/>
        </w:rPr>
        <w:t xml:space="preserve">recording </w:t>
      </w:r>
      <w:r w:rsidRPr="569586B3" w:rsidR="00ED2293">
        <w:rPr>
          <w:rFonts w:ascii="Times New Roman" w:hAnsi="Times New Roman"/>
          <w:sz w:val="26"/>
          <w:szCs w:val="26"/>
        </w:rPr>
        <w:t xml:space="preserve">non-hydro renewable energy </w:t>
      </w:r>
      <w:r w:rsidR="007E1F76">
        <w:rPr>
          <w:rFonts w:ascii="Times New Roman" w:hAnsi="Times New Roman"/>
          <w:sz w:val="26"/>
          <w:szCs w:val="26"/>
        </w:rPr>
        <w:t>generating assets is needed</w:t>
      </w:r>
      <w:r w:rsidRPr="569586B3" w:rsidR="00ED2293">
        <w:rPr>
          <w:rFonts w:ascii="Times New Roman" w:hAnsi="Times New Roman"/>
          <w:sz w:val="26"/>
          <w:szCs w:val="26"/>
        </w:rPr>
        <w:t xml:space="preserve">; however, some </w:t>
      </w:r>
      <w:r w:rsidRPr="569586B3" w:rsidR="00020470">
        <w:rPr>
          <w:rFonts w:ascii="Times New Roman" w:hAnsi="Times New Roman"/>
          <w:sz w:val="26"/>
          <w:szCs w:val="26"/>
        </w:rPr>
        <w:t xml:space="preserve">commentors </w:t>
      </w:r>
      <w:r w:rsidR="000E47FC">
        <w:rPr>
          <w:rFonts w:ascii="Times New Roman" w:hAnsi="Times New Roman"/>
          <w:sz w:val="26"/>
          <w:szCs w:val="26"/>
        </w:rPr>
        <w:t>suggest</w:t>
      </w:r>
      <w:r w:rsidR="00AC19A4">
        <w:rPr>
          <w:rFonts w:ascii="Times New Roman" w:hAnsi="Times New Roman"/>
          <w:sz w:val="26"/>
          <w:szCs w:val="26"/>
        </w:rPr>
        <w:t>ed</w:t>
      </w:r>
      <w:r w:rsidRPr="569586B3" w:rsidR="000E47FC">
        <w:rPr>
          <w:rFonts w:ascii="Times New Roman" w:hAnsi="Times New Roman"/>
          <w:sz w:val="26"/>
          <w:szCs w:val="26"/>
        </w:rPr>
        <w:t xml:space="preserve"> </w:t>
      </w:r>
      <w:r w:rsidRPr="569586B3" w:rsidR="00ED2293">
        <w:rPr>
          <w:rFonts w:ascii="Times New Roman" w:hAnsi="Times New Roman"/>
          <w:sz w:val="26"/>
          <w:szCs w:val="26"/>
        </w:rPr>
        <w:t xml:space="preserve">that </w:t>
      </w:r>
      <w:r w:rsidRPr="569586B3" w:rsidR="00020470">
        <w:rPr>
          <w:rFonts w:ascii="Times New Roman" w:hAnsi="Times New Roman"/>
          <w:sz w:val="26"/>
          <w:szCs w:val="26"/>
        </w:rPr>
        <w:t xml:space="preserve">new accounts are needed while others </w:t>
      </w:r>
      <w:r w:rsidR="00AC19A4">
        <w:rPr>
          <w:rFonts w:ascii="Times New Roman" w:hAnsi="Times New Roman"/>
          <w:sz w:val="26"/>
          <w:szCs w:val="26"/>
        </w:rPr>
        <w:t>maintained that</w:t>
      </w:r>
      <w:r w:rsidRPr="569586B3" w:rsidR="00AC19A4">
        <w:rPr>
          <w:rFonts w:ascii="Times New Roman" w:hAnsi="Times New Roman"/>
          <w:sz w:val="26"/>
          <w:szCs w:val="26"/>
        </w:rPr>
        <w:t xml:space="preserve"> </w:t>
      </w:r>
      <w:r w:rsidRPr="569586B3" w:rsidR="00020470">
        <w:rPr>
          <w:rFonts w:ascii="Times New Roman" w:hAnsi="Times New Roman"/>
          <w:sz w:val="26"/>
          <w:szCs w:val="26"/>
        </w:rPr>
        <w:t xml:space="preserve">existing accounts could be used with additional Commission clarification.  Commentors </w:t>
      </w:r>
      <w:r w:rsidR="008903CA">
        <w:rPr>
          <w:rFonts w:ascii="Times New Roman" w:hAnsi="Times New Roman"/>
          <w:sz w:val="26"/>
          <w:szCs w:val="26"/>
        </w:rPr>
        <w:t xml:space="preserve">also </w:t>
      </w:r>
      <w:r w:rsidRPr="569586B3" w:rsidR="00020470">
        <w:rPr>
          <w:rFonts w:ascii="Times New Roman" w:hAnsi="Times New Roman"/>
          <w:sz w:val="26"/>
          <w:szCs w:val="26"/>
        </w:rPr>
        <w:t xml:space="preserve">agreed that </w:t>
      </w:r>
      <w:r w:rsidR="008903CA">
        <w:rPr>
          <w:rFonts w:ascii="Times New Roman" w:hAnsi="Times New Roman"/>
          <w:sz w:val="26"/>
          <w:szCs w:val="26"/>
        </w:rPr>
        <w:t>accounting treatment for</w:t>
      </w:r>
      <w:r w:rsidRPr="569586B3" w:rsidR="008903CA">
        <w:rPr>
          <w:rFonts w:ascii="Times New Roman" w:hAnsi="Times New Roman"/>
          <w:sz w:val="26"/>
          <w:szCs w:val="26"/>
        </w:rPr>
        <w:t xml:space="preserve"> </w:t>
      </w:r>
      <w:r w:rsidRPr="569586B3" w:rsidR="00020470">
        <w:rPr>
          <w:rFonts w:ascii="Times New Roman" w:hAnsi="Times New Roman"/>
          <w:sz w:val="26"/>
          <w:szCs w:val="26"/>
        </w:rPr>
        <w:t xml:space="preserve">renewable energy credits (RECs) should be codified in the USofA </w:t>
      </w:r>
      <w:r w:rsidR="008903CA">
        <w:rPr>
          <w:rFonts w:ascii="Times New Roman" w:hAnsi="Times New Roman"/>
          <w:sz w:val="26"/>
          <w:szCs w:val="26"/>
        </w:rPr>
        <w:t>to increase</w:t>
      </w:r>
      <w:r w:rsidRPr="569586B3" w:rsidR="008903CA">
        <w:rPr>
          <w:rFonts w:ascii="Times New Roman" w:hAnsi="Times New Roman"/>
          <w:sz w:val="26"/>
          <w:szCs w:val="26"/>
        </w:rPr>
        <w:t xml:space="preserve"> </w:t>
      </w:r>
      <w:r w:rsidRPr="569586B3" w:rsidR="00020470">
        <w:rPr>
          <w:rFonts w:ascii="Times New Roman" w:hAnsi="Times New Roman"/>
          <w:sz w:val="26"/>
          <w:szCs w:val="26"/>
        </w:rPr>
        <w:t xml:space="preserve">transparency.  </w:t>
      </w:r>
      <w:r w:rsidRPr="569586B3" w:rsidR="006B1512">
        <w:rPr>
          <w:rFonts w:ascii="Times New Roman" w:hAnsi="Times New Roman"/>
          <w:sz w:val="26"/>
          <w:szCs w:val="26"/>
        </w:rPr>
        <w:t>A commentor</w:t>
      </w:r>
      <w:r w:rsidRPr="569586B3" w:rsidR="00020470">
        <w:rPr>
          <w:rFonts w:ascii="Times New Roman" w:hAnsi="Times New Roman"/>
          <w:sz w:val="26"/>
          <w:szCs w:val="26"/>
        </w:rPr>
        <w:t xml:space="preserve"> also suggested that the current </w:t>
      </w:r>
      <w:r w:rsidR="00137958">
        <w:rPr>
          <w:rFonts w:ascii="Times New Roman" w:hAnsi="Times New Roman"/>
          <w:sz w:val="26"/>
          <w:szCs w:val="26"/>
        </w:rPr>
        <w:t>USofA’s accounting treatment for</w:t>
      </w:r>
      <w:r w:rsidRPr="569586B3" w:rsidR="00020470">
        <w:rPr>
          <w:rFonts w:ascii="Times New Roman" w:hAnsi="Times New Roman"/>
          <w:sz w:val="26"/>
          <w:szCs w:val="26"/>
        </w:rPr>
        <w:t xml:space="preserve"> energy storage </w:t>
      </w:r>
      <w:r w:rsidRPr="569586B3" w:rsidR="005C2270">
        <w:rPr>
          <w:rFonts w:ascii="Times New Roman" w:hAnsi="Times New Roman"/>
          <w:sz w:val="26"/>
          <w:szCs w:val="26"/>
        </w:rPr>
        <w:t>assets</w:t>
      </w:r>
      <w:r w:rsidRPr="569586B3" w:rsidR="00E8125F">
        <w:rPr>
          <w:rFonts w:ascii="Times New Roman" w:hAnsi="Times New Roman"/>
          <w:sz w:val="26"/>
          <w:szCs w:val="26"/>
        </w:rPr>
        <w:t xml:space="preserve"> </w:t>
      </w:r>
      <w:r w:rsidRPr="569586B3" w:rsidR="00020470">
        <w:rPr>
          <w:rFonts w:ascii="Times New Roman" w:hAnsi="Times New Roman"/>
          <w:sz w:val="26"/>
          <w:szCs w:val="26"/>
        </w:rPr>
        <w:t>subject</w:t>
      </w:r>
      <w:r w:rsidRPr="569586B3" w:rsidR="005C2270">
        <w:rPr>
          <w:rFonts w:ascii="Times New Roman" w:hAnsi="Times New Roman"/>
          <w:sz w:val="26"/>
          <w:szCs w:val="26"/>
        </w:rPr>
        <w:t>s</w:t>
      </w:r>
      <w:r w:rsidRPr="569586B3" w:rsidR="00020470">
        <w:rPr>
          <w:rFonts w:ascii="Times New Roman" w:hAnsi="Times New Roman"/>
          <w:sz w:val="26"/>
          <w:szCs w:val="26"/>
        </w:rPr>
        <w:t xml:space="preserve"> </w:t>
      </w:r>
      <w:r w:rsidRPr="569586B3" w:rsidR="00284E19">
        <w:rPr>
          <w:rFonts w:ascii="Times New Roman" w:hAnsi="Times New Roman"/>
          <w:sz w:val="26"/>
          <w:szCs w:val="26"/>
        </w:rPr>
        <w:t xml:space="preserve">utilities to significant </w:t>
      </w:r>
      <w:r w:rsidRPr="569586B3" w:rsidR="00891F8C">
        <w:rPr>
          <w:rFonts w:ascii="Times New Roman" w:hAnsi="Times New Roman"/>
          <w:sz w:val="26"/>
          <w:szCs w:val="26"/>
        </w:rPr>
        <w:t xml:space="preserve">administrative </w:t>
      </w:r>
      <w:r w:rsidRPr="569586B3" w:rsidR="00284E19">
        <w:rPr>
          <w:rFonts w:ascii="Times New Roman" w:hAnsi="Times New Roman"/>
          <w:sz w:val="26"/>
          <w:szCs w:val="26"/>
        </w:rPr>
        <w:t>burden</w:t>
      </w:r>
      <w:r w:rsidR="00137958">
        <w:rPr>
          <w:rFonts w:ascii="Times New Roman" w:hAnsi="Times New Roman"/>
          <w:sz w:val="26"/>
          <w:szCs w:val="26"/>
        </w:rPr>
        <w:t>,</w:t>
      </w:r>
      <w:r w:rsidRPr="569586B3" w:rsidR="00284E19">
        <w:rPr>
          <w:rFonts w:ascii="Times New Roman" w:hAnsi="Times New Roman"/>
          <w:sz w:val="26"/>
          <w:szCs w:val="26"/>
        </w:rPr>
        <w:t xml:space="preserve"> and that creating </w:t>
      </w:r>
      <w:r w:rsidR="00137958">
        <w:rPr>
          <w:rFonts w:ascii="Times New Roman" w:hAnsi="Times New Roman"/>
          <w:sz w:val="26"/>
          <w:szCs w:val="26"/>
        </w:rPr>
        <w:t>a</w:t>
      </w:r>
      <w:r w:rsidRPr="569586B3" w:rsidR="00137958">
        <w:rPr>
          <w:rFonts w:ascii="Times New Roman" w:hAnsi="Times New Roman"/>
          <w:sz w:val="26"/>
          <w:szCs w:val="26"/>
        </w:rPr>
        <w:t xml:space="preserve"> </w:t>
      </w:r>
      <w:r w:rsidRPr="569586B3" w:rsidR="00284E19">
        <w:rPr>
          <w:rFonts w:ascii="Times New Roman" w:hAnsi="Times New Roman"/>
          <w:sz w:val="26"/>
          <w:szCs w:val="26"/>
        </w:rPr>
        <w:t xml:space="preserve">separate </w:t>
      </w:r>
      <w:r w:rsidR="00137958">
        <w:rPr>
          <w:rFonts w:ascii="Times New Roman" w:hAnsi="Times New Roman"/>
          <w:sz w:val="26"/>
          <w:szCs w:val="26"/>
        </w:rPr>
        <w:t xml:space="preserve">energy storage </w:t>
      </w:r>
      <w:r w:rsidRPr="569586B3" w:rsidR="00284E19">
        <w:rPr>
          <w:rFonts w:ascii="Times New Roman" w:hAnsi="Times New Roman"/>
          <w:sz w:val="26"/>
          <w:szCs w:val="26"/>
        </w:rPr>
        <w:t xml:space="preserve">function would </w:t>
      </w:r>
      <w:r w:rsidR="00137958">
        <w:rPr>
          <w:rFonts w:ascii="Times New Roman" w:hAnsi="Times New Roman"/>
          <w:sz w:val="26"/>
          <w:szCs w:val="26"/>
        </w:rPr>
        <w:t>improve</w:t>
      </w:r>
      <w:r w:rsidRPr="569586B3" w:rsidR="00284E19">
        <w:rPr>
          <w:rFonts w:ascii="Times New Roman" w:hAnsi="Times New Roman"/>
          <w:sz w:val="26"/>
          <w:szCs w:val="26"/>
        </w:rPr>
        <w:t xml:space="preserve"> rate allocation practices</w:t>
      </w:r>
      <w:r w:rsidRPr="569586B3" w:rsidR="00E8125F">
        <w:rPr>
          <w:rFonts w:ascii="Times New Roman" w:hAnsi="Times New Roman"/>
          <w:sz w:val="26"/>
          <w:szCs w:val="26"/>
        </w:rPr>
        <w:t xml:space="preserve">.  </w:t>
      </w:r>
      <w:r w:rsidRPr="569586B3" w:rsidR="0080189E">
        <w:rPr>
          <w:rFonts w:ascii="Times New Roman" w:hAnsi="Times New Roman"/>
          <w:sz w:val="26"/>
          <w:szCs w:val="26"/>
        </w:rPr>
        <w:t xml:space="preserve">Commentors also recognized the need for the Commission to update FERC Forms to correspond with </w:t>
      </w:r>
      <w:r w:rsidRPr="569586B3" w:rsidR="005365A6">
        <w:rPr>
          <w:rFonts w:ascii="Times New Roman" w:hAnsi="Times New Roman"/>
          <w:sz w:val="26"/>
          <w:szCs w:val="26"/>
        </w:rPr>
        <w:t xml:space="preserve">any </w:t>
      </w:r>
      <w:r w:rsidRPr="569586B3" w:rsidR="0080189E">
        <w:rPr>
          <w:rFonts w:ascii="Times New Roman" w:hAnsi="Times New Roman"/>
          <w:sz w:val="26"/>
          <w:szCs w:val="26"/>
        </w:rPr>
        <w:t>changes made in the USofA.</w:t>
      </w:r>
    </w:p>
    <w:p w:rsidR="00FE335A" w:rsidP="00003D06" w14:paraId="39898EDA" w14:textId="77777777">
      <w:pPr>
        <w:pStyle w:val="ListParagraph"/>
        <w:spacing w:after="0" w:line="240" w:lineRule="auto"/>
        <w:ind w:left="0"/>
        <w:rPr>
          <w:rFonts w:ascii="Times New Roman" w:hAnsi="Times New Roman"/>
          <w:sz w:val="26"/>
          <w:szCs w:val="26"/>
        </w:rPr>
      </w:pPr>
    </w:p>
    <w:p w:rsidR="00453885" w:rsidP="00003D06" w14:paraId="1D45D9B1" w14:textId="1ED688FD">
      <w:pPr>
        <w:pStyle w:val="ListParagraph"/>
        <w:spacing w:after="0" w:line="240" w:lineRule="auto"/>
        <w:ind w:left="0"/>
        <w:rPr>
          <w:rFonts w:ascii="Times New Roman" w:hAnsi="Times New Roman"/>
          <w:sz w:val="26"/>
          <w:szCs w:val="26"/>
        </w:rPr>
      </w:pPr>
      <w:r w:rsidRPr="00FE335A">
        <w:rPr>
          <w:rFonts w:ascii="Times New Roman" w:hAnsi="Times New Roman"/>
          <w:sz w:val="26"/>
          <w:szCs w:val="26"/>
        </w:rPr>
        <w:t>The Commission</w:t>
      </w:r>
      <w:r w:rsidR="00F05D2B">
        <w:rPr>
          <w:rFonts w:ascii="Times New Roman" w:hAnsi="Times New Roman"/>
          <w:sz w:val="26"/>
          <w:szCs w:val="26"/>
        </w:rPr>
        <w:t xml:space="preserve"> issued </w:t>
      </w:r>
      <w:r w:rsidRPr="00FE335A" w:rsidR="00003D06">
        <w:rPr>
          <w:rFonts w:ascii="Times New Roman" w:hAnsi="Times New Roman"/>
          <w:sz w:val="26"/>
          <w:szCs w:val="26"/>
        </w:rPr>
        <w:t xml:space="preserve">the NOPR </w:t>
      </w:r>
      <w:r w:rsidRPr="000A706F" w:rsidR="00B74152">
        <w:rPr>
          <w:rFonts w:ascii="Times New Roman" w:hAnsi="Times New Roman"/>
          <w:sz w:val="26"/>
          <w:szCs w:val="26"/>
        </w:rPr>
        <w:t xml:space="preserve">in Docket No. </w:t>
      </w:r>
      <w:r w:rsidRPr="00FE335A" w:rsidR="00003D06">
        <w:rPr>
          <w:rFonts w:ascii="Times New Roman" w:hAnsi="Times New Roman"/>
          <w:sz w:val="26"/>
          <w:szCs w:val="26"/>
        </w:rPr>
        <w:t xml:space="preserve">RM21-11-000 </w:t>
      </w:r>
      <w:r w:rsidRPr="000C393C" w:rsidR="00003D06">
        <w:rPr>
          <w:rFonts w:ascii="Times New Roman" w:hAnsi="Times New Roman"/>
          <w:sz w:val="26"/>
          <w:szCs w:val="26"/>
        </w:rPr>
        <w:t xml:space="preserve">on </w:t>
      </w:r>
      <w:r w:rsidR="008014AE">
        <w:rPr>
          <w:rFonts w:ascii="Times New Roman" w:hAnsi="Times New Roman"/>
          <w:sz w:val="26"/>
          <w:szCs w:val="26"/>
        </w:rPr>
        <w:t xml:space="preserve">July </w:t>
      </w:r>
      <w:r w:rsidRPr="001432A0" w:rsidR="005D2688">
        <w:rPr>
          <w:rFonts w:ascii="Times New Roman" w:hAnsi="Times New Roman"/>
          <w:sz w:val="26"/>
          <w:szCs w:val="26"/>
        </w:rPr>
        <w:t>28</w:t>
      </w:r>
      <w:r w:rsidR="008014AE">
        <w:rPr>
          <w:rFonts w:ascii="Times New Roman" w:hAnsi="Times New Roman"/>
          <w:sz w:val="26"/>
          <w:szCs w:val="26"/>
        </w:rPr>
        <w:t xml:space="preserve">, </w:t>
      </w:r>
      <w:r w:rsidRPr="001432A0" w:rsidR="00003D06">
        <w:rPr>
          <w:rFonts w:ascii="Times New Roman" w:hAnsi="Times New Roman"/>
          <w:sz w:val="26"/>
          <w:szCs w:val="26"/>
        </w:rPr>
        <w:t>2022</w:t>
      </w:r>
      <w:r w:rsidRPr="000C393C" w:rsidR="00003D06">
        <w:rPr>
          <w:rFonts w:ascii="Times New Roman" w:hAnsi="Times New Roman"/>
          <w:sz w:val="26"/>
          <w:szCs w:val="26"/>
        </w:rPr>
        <w:t xml:space="preserve">. </w:t>
      </w:r>
      <w:r w:rsidR="00F05D2B">
        <w:rPr>
          <w:rFonts w:ascii="Times New Roman" w:hAnsi="Times New Roman"/>
          <w:sz w:val="26"/>
          <w:szCs w:val="26"/>
        </w:rPr>
        <w:t xml:space="preserve"> The Federal Register published the NOPR on October 3, 2022.</w:t>
      </w:r>
      <w:r w:rsidRPr="000C393C" w:rsidR="00003D06">
        <w:rPr>
          <w:rFonts w:ascii="Times New Roman" w:hAnsi="Times New Roman"/>
          <w:sz w:val="26"/>
          <w:szCs w:val="26"/>
        </w:rPr>
        <w:t xml:space="preserve">  </w:t>
      </w:r>
      <w:r w:rsidRPr="00FE335A" w:rsidR="00003D06">
        <w:rPr>
          <w:rFonts w:ascii="Times New Roman" w:hAnsi="Times New Roman"/>
          <w:sz w:val="26"/>
          <w:szCs w:val="26"/>
        </w:rPr>
        <w:t xml:space="preserve">The public was given 45 days to </w:t>
      </w:r>
      <w:r w:rsidRPr="00FE335A" w:rsidR="00FE335A">
        <w:rPr>
          <w:rFonts w:ascii="Times New Roman" w:hAnsi="Times New Roman"/>
          <w:sz w:val="26"/>
          <w:szCs w:val="26"/>
        </w:rPr>
        <w:t>provide comments on the NOPR</w:t>
      </w:r>
      <w:r w:rsidR="00F05D2B">
        <w:rPr>
          <w:rFonts w:ascii="Times New Roman" w:hAnsi="Times New Roman"/>
          <w:sz w:val="26"/>
          <w:szCs w:val="26"/>
        </w:rPr>
        <w:t xml:space="preserve"> following the publication in the Federal Register.</w:t>
      </w:r>
      <w:r w:rsidR="0050069B">
        <w:rPr>
          <w:rFonts w:ascii="Times New Roman" w:hAnsi="Times New Roman"/>
          <w:sz w:val="26"/>
          <w:szCs w:val="26"/>
        </w:rPr>
        <w:t xml:space="preserve"> </w:t>
      </w:r>
      <w:r w:rsidR="00F05D2B">
        <w:rPr>
          <w:rFonts w:ascii="Times New Roman" w:hAnsi="Times New Roman"/>
          <w:sz w:val="26"/>
          <w:szCs w:val="26"/>
        </w:rPr>
        <w:t xml:space="preserve"> </w:t>
      </w:r>
      <w:r w:rsidRPr="00D414C1" w:rsidR="00D414C1">
        <w:rPr>
          <w:rFonts w:ascii="Times New Roman" w:hAnsi="Times New Roman"/>
          <w:sz w:val="26"/>
          <w:szCs w:val="26"/>
        </w:rPr>
        <w:t>The Commission received seven comments from a diverse set of stakeholders.</w:t>
      </w:r>
      <w:r w:rsidR="001D1B4E">
        <w:rPr>
          <w:rFonts w:ascii="Times New Roman" w:hAnsi="Times New Roman"/>
          <w:sz w:val="26"/>
          <w:szCs w:val="26"/>
        </w:rPr>
        <w:t xml:space="preserve">  The commenters generally supported the NOPR’s proposals</w:t>
      </w:r>
      <w:r w:rsidR="004604BA">
        <w:rPr>
          <w:rFonts w:ascii="Times New Roman" w:hAnsi="Times New Roman"/>
          <w:sz w:val="26"/>
          <w:szCs w:val="26"/>
        </w:rPr>
        <w:t xml:space="preserve"> </w:t>
      </w:r>
      <w:r w:rsidRPr="00F539A5" w:rsidR="00F539A5">
        <w:rPr>
          <w:rFonts w:ascii="Times New Roman" w:hAnsi="Times New Roman"/>
          <w:sz w:val="26"/>
          <w:szCs w:val="26"/>
        </w:rPr>
        <w:t>to:</w:t>
      </w:r>
      <w:r w:rsidR="00922491">
        <w:rPr>
          <w:rFonts w:ascii="Times New Roman" w:hAnsi="Times New Roman"/>
          <w:sz w:val="26"/>
          <w:szCs w:val="26"/>
        </w:rPr>
        <w:t xml:space="preserve"> </w:t>
      </w:r>
      <w:r w:rsidRPr="00F539A5" w:rsidR="00F539A5">
        <w:rPr>
          <w:rFonts w:ascii="Times New Roman" w:hAnsi="Times New Roman"/>
          <w:sz w:val="26"/>
          <w:szCs w:val="26"/>
        </w:rPr>
        <w:t xml:space="preserve"> (1) create new subfunctions and accounts for wind, solar, and other non-hydro renewable generating assets; (2) establish a new functional class and accounts for energy storage accounts; (3) create new accounts and codify the accounting treatment of RECs; and (4) create new accounts for computer hardware, software, and communication equipment within existing functions that do not already include them</w:t>
      </w:r>
      <w:r w:rsidR="00CD7236">
        <w:rPr>
          <w:rFonts w:ascii="Times New Roman" w:hAnsi="Times New Roman"/>
          <w:sz w:val="26"/>
          <w:szCs w:val="26"/>
        </w:rPr>
        <w:t xml:space="preserve">.  </w:t>
      </w:r>
      <w:r w:rsidR="00CE7A34">
        <w:rPr>
          <w:rFonts w:ascii="Times New Roman" w:hAnsi="Times New Roman"/>
          <w:sz w:val="26"/>
          <w:szCs w:val="26"/>
        </w:rPr>
        <w:t>However,</w:t>
      </w:r>
      <w:r w:rsidR="001D1B4E">
        <w:rPr>
          <w:rFonts w:ascii="Times New Roman" w:hAnsi="Times New Roman"/>
          <w:sz w:val="26"/>
          <w:szCs w:val="26"/>
        </w:rPr>
        <w:t xml:space="preserve"> </w:t>
      </w:r>
      <w:r w:rsidR="00D16328">
        <w:rPr>
          <w:rFonts w:ascii="Times New Roman" w:hAnsi="Times New Roman"/>
          <w:sz w:val="26"/>
          <w:szCs w:val="26"/>
        </w:rPr>
        <w:t xml:space="preserve">one commenter suggested that </w:t>
      </w:r>
      <w:r w:rsidR="00D379B3">
        <w:rPr>
          <w:rFonts w:ascii="Times New Roman" w:hAnsi="Times New Roman"/>
          <w:sz w:val="26"/>
          <w:szCs w:val="26"/>
        </w:rPr>
        <w:t xml:space="preserve">the Commission could clarify </w:t>
      </w:r>
      <w:r w:rsidR="00414BC7">
        <w:rPr>
          <w:rFonts w:ascii="Times New Roman" w:hAnsi="Times New Roman"/>
          <w:sz w:val="26"/>
          <w:szCs w:val="26"/>
        </w:rPr>
        <w:t xml:space="preserve">accounting treatment for renewable generating assets at lesser </w:t>
      </w:r>
      <w:r w:rsidRPr="0022155D" w:rsidR="0022155D">
        <w:rPr>
          <w:rFonts w:ascii="Times New Roman" w:hAnsi="Times New Roman"/>
          <w:sz w:val="26"/>
          <w:szCs w:val="26"/>
        </w:rPr>
        <w:t xml:space="preserve">cost by </w:t>
      </w:r>
      <w:r w:rsidR="0022155D">
        <w:rPr>
          <w:rFonts w:ascii="Times New Roman" w:hAnsi="Times New Roman"/>
          <w:sz w:val="26"/>
          <w:szCs w:val="26"/>
        </w:rPr>
        <w:t>instructing use of</w:t>
      </w:r>
      <w:r w:rsidRPr="0022155D" w:rsidR="0022155D">
        <w:rPr>
          <w:rFonts w:ascii="Times New Roman" w:hAnsi="Times New Roman"/>
          <w:sz w:val="26"/>
          <w:szCs w:val="26"/>
        </w:rPr>
        <w:t xml:space="preserve"> specific existing USofA accounts</w:t>
      </w:r>
      <w:r w:rsidR="0022155D">
        <w:rPr>
          <w:rFonts w:ascii="Times New Roman" w:hAnsi="Times New Roman"/>
          <w:sz w:val="26"/>
          <w:szCs w:val="26"/>
        </w:rPr>
        <w:t xml:space="preserve">.  </w:t>
      </w:r>
      <w:r w:rsidR="00CE7A34">
        <w:rPr>
          <w:rFonts w:ascii="Times New Roman" w:hAnsi="Times New Roman"/>
          <w:sz w:val="26"/>
          <w:szCs w:val="26"/>
        </w:rPr>
        <w:t xml:space="preserve">In addition, several commenters </w:t>
      </w:r>
      <w:r w:rsidR="00141EF9">
        <w:rPr>
          <w:rFonts w:ascii="Times New Roman" w:hAnsi="Times New Roman"/>
          <w:sz w:val="26"/>
          <w:szCs w:val="26"/>
        </w:rPr>
        <w:t xml:space="preserve">commented on the NOPR’s REC accounting proposals, including to </w:t>
      </w:r>
      <w:r w:rsidR="00984BAE">
        <w:rPr>
          <w:rFonts w:ascii="Times New Roman" w:hAnsi="Times New Roman"/>
          <w:sz w:val="26"/>
          <w:szCs w:val="26"/>
        </w:rPr>
        <w:t xml:space="preserve">request that the accounts cover a broader </w:t>
      </w:r>
      <w:r w:rsidR="006D522A">
        <w:rPr>
          <w:rFonts w:ascii="Times New Roman" w:hAnsi="Times New Roman"/>
          <w:sz w:val="26"/>
          <w:szCs w:val="26"/>
        </w:rPr>
        <w:t xml:space="preserve">range of environmental credits and </w:t>
      </w:r>
      <w:r w:rsidR="006E72E7">
        <w:rPr>
          <w:rFonts w:ascii="Times New Roman" w:hAnsi="Times New Roman"/>
          <w:sz w:val="26"/>
          <w:szCs w:val="26"/>
        </w:rPr>
        <w:t xml:space="preserve">to </w:t>
      </w:r>
      <w:r w:rsidR="009D260D">
        <w:rPr>
          <w:rFonts w:ascii="Times New Roman" w:hAnsi="Times New Roman"/>
          <w:sz w:val="26"/>
          <w:szCs w:val="26"/>
        </w:rPr>
        <w:t>raise concerns about alignment with</w:t>
      </w:r>
      <w:r w:rsidR="0069191C">
        <w:rPr>
          <w:rFonts w:ascii="Times New Roman" w:hAnsi="Times New Roman"/>
          <w:sz w:val="26"/>
          <w:szCs w:val="26"/>
        </w:rPr>
        <w:t xml:space="preserve"> other regulatory bodies’</w:t>
      </w:r>
      <w:r w:rsidR="009D260D">
        <w:rPr>
          <w:rFonts w:ascii="Times New Roman" w:hAnsi="Times New Roman"/>
          <w:sz w:val="26"/>
          <w:szCs w:val="26"/>
        </w:rPr>
        <w:t xml:space="preserve"> </w:t>
      </w:r>
      <w:r w:rsidR="0069191C">
        <w:rPr>
          <w:rFonts w:ascii="Times New Roman" w:hAnsi="Times New Roman"/>
          <w:sz w:val="26"/>
          <w:szCs w:val="26"/>
        </w:rPr>
        <w:t xml:space="preserve">REC accounting </w:t>
      </w:r>
      <w:r w:rsidR="00FC0054">
        <w:rPr>
          <w:rFonts w:ascii="Times New Roman" w:hAnsi="Times New Roman"/>
          <w:sz w:val="26"/>
          <w:szCs w:val="26"/>
        </w:rPr>
        <w:t>treatment</w:t>
      </w:r>
      <w:r w:rsidR="0069191C">
        <w:rPr>
          <w:rFonts w:ascii="Times New Roman" w:hAnsi="Times New Roman"/>
          <w:sz w:val="26"/>
          <w:szCs w:val="26"/>
        </w:rPr>
        <w:t>.</w:t>
      </w:r>
      <w:r w:rsidR="00360789">
        <w:rPr>
          <w:rFonts w:ascii="Times New Roman" w:hAnsi="Times New Roman"/>
          <w:sz w:val="26"/>
          <w:szCs w:val="26"/>
        </w:rPr>
        <w:t xml:space="preserve">  </w:t>
      </w:r>
      <w:r w:rsidR="00686B53">
        <w:rPr>
          <w:rFonts w:ascii="Times New Roman" w:hAnsi="Times New Roman"/>
          <w:sz w:val="26"/>
          <w:szCs w:val="26"/>
        </w:rPr>
        <w:t>One commenter also questioned the need for new computer hardware, software, and communication equipment accounts</w:t>
      </w:r>
      <w:r w:rsidR="00F05D2B">
        <w:rPr>
          <w:rFonts w:ascii="Times New Roman" w:hAnsi="Times New Roman"/>
          <w:sz w:val="26"/>
          <w:szCs w:val="26"/>
        </w:rPr>
        <w:t xml:space="preserve">. </w:t>
      </w:r>
    </w:p>
    <w:p w:rsidR="00E45220" w:rsidP="00003D06" w14:paraId="27521C3E" w14:textId="14123132">
      <w:pPr>
        <w:pStyle w:val="ListParagraph"/>
        <w:spacing w:after="0" w:line="240" w:lineRule="auto"/>
        <w:ind w:left="0"/>
        <w:rPr>
          <w:rFonts w:ascii="Times New Roman" w:hAnsi="Times New Roman"/>
          <w:sz w:val="26"/>
          <w:szCs w:val="26"/>
        </w:rPr>
      </w:pPr>
    </w:p>
    <w:p w:rsidR="00E45220" w:rsidP="00003D06" w14:paraId="18F60742" w14:textId="4FB99D0E">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The Final Rule </w:t>
      </w:r>
      <w:r w:rsidR="00850FDE">
        <w:rPr>
          <w:rFonts w:ascii="Times New Roman" w:hAnsi="Times New Roman"/>
          <w:sz w:val="26"/>
          <w:szCs w:val="26"/>
        </w:rPr>
        <w:t>was p</w:t>
      </w:r>
      <w:r>
        <w:rPr>
          <w:rFonts w:ascii="Times New Roman" w:hAnsi="Times New Roman"/>
          <w:sz w:val="26"/>
          <w:szCs w:val="26"/>
        </w:rPr>
        <w:t xml:space="preserve">ublished on October 5, 2023 </w:t>
      </w:r>
      <w:r w:rsidR="004F0B4D">
        <w:rPr>
          <w:rFonts w:ascii="Times New Roman" w:hAnsi="Times New Roman"/>
          <w:sz w:val="26"/>
          <w:szCs w:val="26"/>
        </w:rPr>
        <w:t xml:space="preserve">(88 FR 69294) </w:t>
      </w:r>
      <w:r>
        <w:rPr>
          <w:rFonts w:ascii="Times New Roman" w:hAnsi="Times New Roman"/>
          <w:sz w:val="26"/>
          <w:szCs w:val="26"/>
        </w:rPr>
        <w:t>with a more detailed description of what is required by the one-time implementation.</w:t>
      </w:r>
    </w:p>
    <w:p w:rsidR="009C451A" w:rsidRPr="0073506C" w:rsidP="00BD0F89" w14:paraId="1F5BA73E" w14:textId="078EEF55">
      <w:pPr>
        <w:pStyle w:val="ListParagraph"/>
        <w:spacing w:after="0" w:line="240" w:lineRule="auto"/>
        <w:ind w:left="0"/>
        <w:rPr>
          <w:rFonts w:ascii="Times New Roman" w:hAnsi="Times New Roman"/>
          <w:b/>
          <w:sz w:val="26"/>
          <w:szCs w:val="26"/>
        </w:rPr>
      </w:pPr>
      <w:r>
        <w:rPr>
          <w:rFonts w:ascii="Times New Roman" w:hAnsi="Times New Roman"/>
          <w:sz w:val="26"/>
          <w:szCs w:val="26"/>
        </w:rPr>
        <w:tab/>
      </w:r>
    </w:p>
    <w:p w:rsidR="00F0627E" w:rsidRPr="0073506C" w:rsidP="00BD0F89" w14:paraId="1A2BC3FA"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EXPLAIN ANY PAYMENT OR GIFTS TO RESPONDENTS</w:t>
      </w:r>
    </w:p>
    <w:p w:rsidR="00F0627E" w:rsidRPr="0073506C" w:rsidP="00BD0F89" w14:paraId="1C0A081E" w14:textId="77777777">
      <w:pPr>
        <w:spacing w:after="0" w:line="240" w:lineRule="auto"/>
        <w:rPr>
          <w:rFonts w:ascii="Times New Roman" w:hAnsi="Times New Roman"/>
          <w:sz w:val="26"/>
          <w:szCs w:val="26"/>
        </w:rPr>
      </w:pPr>
    </w:p>
    <w:p w:rsidR="00F0627E" w:rsidRPr="0073506C" w14:paraId="47E62683" w14:textId="1B78BE97">
      <w:pPr>
        <w:spacing w:after="0" w:line="240" w:lineRule="auto"/>
        <w:rPr>
          <w:rFonts w:ascii="Times New Roman" w:hAnsi="Times New Roman"/>
          <w:sz w:val="26"/>
          <w:szCs w:val="26"/>
        </w:rPr>
      </w:pPr>
      <w:r w:rsidRPr="00872C51">
        <w:rPr>
          <w:rFonts w:ascii="Times New Roman" w:hAnsi="Times New Roman"/>
          <w:sz w:val="26"/>
          <w:szCs w:val="26"/>
        </w:rPr>
        <w:t>The Commission does not mak</w:t>
      </w:r>
      <w:r>
        <w:rPr>
          <w:rFonts w:ascii="Times New Roman" w:hAnsi="Times New Roman"/>
          <w:sz w:val="26"/>
          <w:szCs w:val="26"/>
        </w:rPr>
        <w:t>e</w:t>
      </w:r>
      <w:r w:rsidR="008E3C4F">
        <w:rPr>
          <w:rFonts w:ascii="Times New Roman" w:hAnsi="Times New Roman"/>
          <w:sz w:val="26"/>
          <w:szCs w:val="26"/>
        </w:rPr>
        <w:t xml:space="preserve"> </w:t>
      </w:r>
      <w:r w:rsidRPr="0073506C">
        <w:rPr>
          <w:rFonts w:ascii="Times New Roman" w:hAnsi="Times New Roman"/>
          <w:sz w:val="26"/>
          <w:szCs w:val="26"/>
        </w:rPr>
        <w:t>payments or gifts to respondents</w:t>
      </w:r>
      <w:r>
        <w:rPr>
          <w:rFonts w:ascii="Times New Roman" w:hAnsi="Times New Roman"/>
          <w:sz w:val="26"/>
          <w:szCs w:val="26"/>
        </w:rPr>
        <w:t xml:space="preserve"> </w:t>
      </w:r>
      <w:r w:rsidRPr="00872C51">
        <w:rPr>
          <w:rFonts w:ascii="Times New Roman" w:hAnsi="Times New Roman"/>
          <w:sz w:val="26"/>
          <w:szCs w:val="26"/>
        </w:rPr>
        <w:t>related to these collections</w:t>
      </w:r>
      <w:r w:rsidRPr="0073506C">
        <w:rPr>
          <w:rFonts w:ascii="Times New Roman" w:hAnsi="Times New Roman"/>
          <w:sz w:val="26"/>
          <w:szCs w:val="26"/>
        </w:rPr>
        <w:t>.</w:t>
      </w:r>
    </w:p>
    <w:p w:rsidR="00F0627E" w:rsidRPr="0073506C" w:rsidP="00BD0F89" w14:paraId="63605198" w14:textId="77777777">
      <w:pPr>
        <w:spacing w:after="0" w:line="240" w:lineRule="auto"/>
        <w:rPr>
          <w:rFonts w:ascii="Times New Roman" w:hAnsi="Times New Roman"/>
          <w:sz w:val="26"/>
          <w:szCs w:val="26"/>
        </w:rPr>
      </w:pPr>
    </w:p>
    <w:p w:rsidR="00F0627E" w:rsidRPr="0073506C" w:rsidP="00BD0F89" w14:paraId="0127248A"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DESCRIBE ANY ASSURANCE OF CONFIDENTIALITY PROVIDED TO RESPONDENTS</w:t>
      </w:r>
    </w:p>
    <w:p w:rsidR="00F0627E" w:rsidRPr="0073506C" w:rsidP="00BD0F89" w14:paraId="55B18053" w14:textId="77777777">
      <w:pPr>
        <w:spacing w:after="0" w:line="240" w:lineRule="auto"/>
        <w:rPr>
          <w:rFonts w:ascii="Times New Roman" w:hAnsi="Times New Roman"/>
          <w:sz w:val="26"/>
          <w:szCs w:val="26"/>
        </w:rPr>
      </w:pPr>
    </w:p>
    <w:p w:rsidR="00F0627E" w:rsidRPr="0073506C" w14:paraId="1594C0DB" w14:textId="6481823C">
      <w:pPr>
        <w:spacing w:after="0" w:line="240" w:lineRule="auto"/>
        <w:rPr>
          <w:rFonts w:ascii="Times New Roman" w:hAnsi="Times New Roman"/>
          <w:sz w:val="26"/>
          <w:szCs w:val="26"/>
        </w:rPr>
      </w:pPr>
      <w:r w:rsidRPr="0073506C">
        <w:rPr>
          <w:rFonts w:ascii="Times New Roman" w:hAnsi="Times New Roman"/>
          <w:sz w:val="26"/>
          <w:szCs w:val="26"/>
        </w:rPr>
        <w:t xml:space="preserve">The information collected in </w:t>
      </w:r>
      <w:r w:rsidR="003633BE">
        <w:rPr>
          <w:rFonts w:ascii="Times New Roman" w:hAnsi="Times New Roman"/>
          <w:sz w:val="26"/>
          <w:szCs w:val="26"/>
        </w:rPr>
        <w:t>FERC Form Nos. 1, 1-F, and 3-Q is publicly available</w:t>
      </w:r>
      <w:r w:rsidRPr="0073506C">
        <w:rPr>
          <w:rFonts w:ascii="Times New Roman" w:hAnsi="Times New Roman"/>
          <w:sz w:val="26"/>
          <w:szCs w:val="26"/>
        </w:rPr>
        <w:t>.  However, the Commission will consider specific requests for confidential treatment (e.g.</w:t>
      </w:r>
      <w:r w:rsidR="00FA7EDE">
        <w:rPr>
          <w:rFonts w:ascii="Times New Roman" w:hAnsi="Times New Roman"/>
          <w:sz w:val="26"/>
          <w:szCs w:val="26"/>
        </w:rPr>
        <w:t>,</w:t>
      </w:r>
      <w:r w:rsidRPr="0073506C">
        <w:rPr>
          <w:rFonts w:ascii="Times New Roman" w:hAnsi="Times New Roman"/>
          <w:sz w:val="26"/>
          <w:szCs w:val="26"/>
        </w:rPr>
        <w:t xml:space="preserve"> Critical </w:t>
      </w:r>
      <w:r w:rsidRPr="0073506C" w:rsidR="00084A7F">
        <w:rPr>
          <w:rFonts w:ascii="Times New Roman" w:hAnsi="Times New Roman"/>
          <w:sz w:val="26"/>
          <w:szCs w:val="26"/>
        </w:rPr>
        <w:t>Energy/Electric</w:t>
      </w:r>
      <w:r w:rsidRPr="0073506C">
        <w:rPr>
          <w:rFonts w:ascii="Times New Roman" w:hAnsi="Times New Roman"/>
          <w:sz w:val="26"/>
          <w:szCs w:val="26"/>
        </w:rPr>
        <w:t xml:space="preserve"> Infrastructure Information [CEII] or non-public) to the extent permitted by law.</w:t>
      </w:r>
      <w:r>
        <w:rPr>
          <w:rFonts w:ascii="Times New Roman" w:hAnsi="Times New Roman"/>
          <w:b/>
          <w:sz w:val="26"/>
          <w:szCs w:val="26"/>
          <w:vertAlign w:val="superscript"/>
        </w:rPr>
        <w:footnoteReference w:id="12"/>
      </w:r>
      <w:r w:rsidRPr="0073506C">
        <w:rPr>
          <w:rFonts w:ascii="Times New Roman" w:hAnsi="Times New Roman"/>
          <w:sz w:val="26"/>
          <w:szCs w:val="26"/>
        </w:rPr>
        <w:t xml:space="preserve">  The Commission will review each request for confidential treatment on a case-by-case basis.</w:t>
      </w:r>
      <w:r w:rsidRPr="0073506C" w:rsidR="00084A7F">
        <w:rPr>
          <w:rFonts w:ascii="Times New Roman" w:hAnsi="Times New Roman"/>
          <w:sz w:val="26"/>
          <w:szCs w:val="26"/>
        </w:rPr>
        <w:t xml:space="preserve"> </w:t>
      </w:r>
    </w:p>
    <w:p w:rsidR="00F0627E" w:rsidRPr="0073506C" w:rsidP="00BD0F89" w14:paraId="06B74231" w14:textId="77777777">
      <w:pPr>
        <w:spacing w:after="0" w:line="240" w:lineRule="auto"/>
        <w:rPr>
          <w:rFonts w:ascii="Times New Roman" w:hAnsi="Times New Roman"/>
          <w:sz w:val="26"/>
          <w:szCs w:val="26"/>
        </w:rPr>
      </w:pPr>
    </w:p>
    <w:p w:rsidR="00F0627E" w:rsidRPr="0073506C" w:rsidP="00BD0F89" w14:paraId="3F7300DB"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PROVIDE ADDITIONAL JUSTIFICATION FOR ANY QUESTIONS OF A SENSITIVE NATURE, SUCH AS SEXUAL BEHAVIOR AND ATTITUDES, RELIGIOUS BELIEFS, AND OTHER MATTERS THAT ARE COMMONLY CONSIDERED PRIVATE.</w:t>
      </w:r>
    </w:p>
    <w:p w:rsidR="00F0627E" w:rsidRPr="0073506C" w:rsidP="00BD0F89" w14:paraId="39F4AE19" w14:textId="77777777">
      <w:pPr>
        <w:spacing w:after="0" w:line="240" w:lineRule="auto"/>
        <w:rPr>
          <w:rFonts w:ascii="Times New Roman" w:hAnsi="Times New Roman"/>
          <w:sz w:val="26"/>
          <w:szCs w:val="26"/>
        </w:rPr>
      </w:pPr>
    </w:p>
    <w:p w:rsidR="009E73C6" w:rsidRPr="009E73C6" w:rsidP="009E73C6" w14:paraId="0EA84BAB" w14:textId="77777777">
      <w:pPr>
        <w:spacing w:after="0" w:line="240" w:lineRule="auto"/>
        <w:rPr>
          <w:rFonts w:ascii="Times New Roman" w:hAnsi="Times New Roman"/>
          <w:sz w:val="26"/>
          <w:szCs w:val="26"/>
        </w:rPr>
      </w:pPr>
      <w:r w:rsidRPr="009E73C6">
        <w:rPr>
          <w:rFonts w:ascii="Times New Roman" w:hAnsi="Times New Roman"/>
          <w:sz w:val="26"/>
          <w:szCs w:val="26"/>
        </w:rPr>
        <w:t xml:space="preserve">The </w:t>
      </w:r>
      <w:r w:rsidRPr="009E73C6" w:rsidR="00FE35A9">
        <w:rPr>
          <w:rFonts w:ascii="Times New Roman" w:hAnsi="Times New Roman"/>
          <w:sz w:val="26"/>
          <w:szCs w:val="26"/>
        </w:rPr>
        <w:t>forms do not contain</w:t>
      </w:r>
      <w:r w:rsidRPr="009E73C6">
        <w:rPr>
          <w:rFonts w:ascii="Times New Roman" w:hAnsi="Times New Roman"/>
          <w:sz w:val="26"/>
          <w:szCs w:val="26"/>
        </w:rPr>
        <w:t xml:space="preserve"> questions of a sensitive nature.</w:t>
      </w:r>
    </w:p>
    <w:p w:rsidR="009E73C6" w:rsidRPr="009E73C6" w:rsidP="009E73C6" w14:paraId="696B8EC6" w14:textId="77777777">
      <w:pPr>
        <w:pStyle w:val="ListParagraph"/>
        <w:rPr>
          <w:rFonts w:ascii="Times New Roman" w:hAnsi="Times New Roman"/>
          <w:sz w:val="26"/>
          <w:szCs w:val="26"/>
        </w:rPr>
      </w:pPr>
    </w:p>
    <w:p w:rsidR="00F0627E" w:rsidRPr="0073506C" w:rsidP="00BD0F89" w14:paraId="21A98BF8" w14:textId="3FFAAC14">
      <w:pPr>
        <w:pStyle w:val="ListParagraph"/>
        <w:numPr>
          <w:ilvl w:val="0"/>
          <w:numId w:val="14"/>
        </w:numPr>
        <w:spacing w:after="0" w:line="240" w:lineRule="auto"/>
        <w:rPr>
          <w:rFonts w:ascii="Times New Roman" w:hAnsi="Times New Roman"/>
          <w:sz w:val="26"/>
          <w:szCs w:val="26"/>
        </w:rPr>
      </w:pPr>
      <w:r w:rsidRPr="0073506C">
        <w:rPr>
          <w:rFonts w:ascii="Times New Roman" w:hAnsi="Times New Roman"/>
          <w:sz w:val="26"/>
          <w:szCs w:val="26"/>
        </w:rPr>
        <w:t xml:space="preserve"> </w:t>
      </w:r>
      <w:r w:rsidRPr="0073506C">
        <w:rPr>
          <w:rFonts w:ascii="Times New Roman" w:hAnsi="Times New Roman"/>
          <w:b/>
          <w:sz w:val="26"/>
          <w:szCs w:val="26"/>
        </w:rPr>
        <w:t>ESTIMATED BURDEN OF COLLECTION OF INFORMATION</w:t>
      </w:r>
    </w:p>
    <w:p w:rsidR="00AD2C01" w:rsidRPr="0073506C" w:rsidP="00BD0F89" w14:paraId="006B7021" w14:textId="77777777">
      <w:pPr>
        <w:spacing w:after="0" w:line="240" w:lineRule="auto"/>
        <w:rPr>
          <w:rFonts w:ascii="Times New Roman" w:hAnsi="Times New Roman"/>
          <w:sz w:val="26"/>
          <w:szCs w:val="26"/>
        </w:rPr>
      </w:pPr>
      <w:r w:rsidRPr="0073506C">
        <w:rPr>
          <w:rFonts w:ascii="Times New Roman" w:hAnsi="Times New Roman"/>
          <w:sz w:val="26"/>
          <w:szCs w:val="26"/>
        </w:rPr>
        <w:t xml:space="preserve"> </w:t>
      </w:r>
    </w:p>
    <w:p w:rsidR="003F749E" w14:paraId="0F499151" w14:textId="47FD7634">
      <w:pPr>
        <w:spacing w:after="0" w:line="240" w:lineRule="auto"/>
        <w:rPr>
          <w:rFonts w:ascii="Times New Roman" w:hAnsi="Times New Roman"/>
          <w:sz w:val="26"/>
          <w:szCs w:val="26"/>
        </w:rPr>
      </w:pPr>
      <w:r>
        <w:rPr>
          <w:rFonts w:ascii="Times New Roman" w:hAnsi="Times New Roman"/>
          <w:sz w:val="26"/>
          <w:szCs w:val="26"/>
        </w:rPr>
        <w:t xml:space="preserve">The </w:t>
      </w:r>
      <w:r w:rsidR="00DC50A0">
        <w:rPr>
          <w:rFonts w:ascii="Times New Roman" w:hAnsi="Times New Roman"/>
          <w:sz w:val="26"/>
          <w:szCs w:val="26"/>
        </w:rPr>
        <w:t>Final Rule</w:t>
      </w:r>
      <w:r>
        <w:rPr>
          <w:rFonts w:ascii="Times New Roman" w:hAnsi="Times New Roman"/>
          <w:sz w:val="26"/>
          <w:szCs w:val="26"/>
        </w:rPr>
        <w:t xml:space="preserve"> </w:t>
      </w:r>
      <w:r w:rsidRPr="000A706F" w:rsidR="0019752D">
        <w:rPr>
          <w:rFonts w:ascii="Times New Roman" w:hAnsi="Times New Roman"/>
          <w:sz w:val="26"/>
          <w:szCs w:val="26"/>
        </w:rPr>
        <w:t xml:space="preserve">in Docket No. </w:t>
      </w:r>
      <w:r>
        <w:rPr>
          <w:rFonts w:ascii="Times New Roman" w:hAnsi="Times New Roman"/>
          <w:sz w:val="26"/>
          <w:szCs w:val="26"/>
        </w:rPr>
        <w:t xml:space="preserve">RM21-11-000 includes </w:t>
      </w:r>
      <w:r w:rsidR="00CB0D43">
        <w:rPr>
          <w:rFonts w:ascii="Times New Roman" w:hAnsi="Times New Roman"/>
          <w:sz w:val="26"/>
          <w:szCs w:val="26"/>
        </w:rPr>
        <w:t>both a one</w:t>
      </w:r>
      <w:r w:rsidR="00D17B10">
        <w:rPr>
          <w:rFonts w:ascii="Times New Roman" w:hAnsi="Times New Roman"/>
          <w:sz w:val="26"/>
          <w:szCs w:val="26"/>
        </w:rPr>
        <w:t>-</w:t>
      </w:r>
      <w:r w:rsidR="00CB0D43">
        <w:rPr>
          <w:rFonts w:ascii="Times New Roman" w:hAnsi="Times New Roman"/>
          <w:sz w:val="26"/>
          <w:szCs w:val="26"/>
        </w:rPr>
        <w:t xml:space="preserve">time </w:t>
      </w:r>
      <w:r w:rsidR="00717126">
        <w:rPr>
          <w:rFonts w:ascii="Times New Roman" w:hAnsi="Times New Roman"/>
          <w:sz w:val="26"/>
          <w:szCs w:val="26"/>
        </w:rPr>
        <w:t xml:space="preserve">burden and continued burden. </w:t>
      </w:r>
      <w:r w:rsidR="0019752D">
        <w:rPr>
          <w:rFonts w:ascii="Times New Roman" w:hAnsi="Times New Roman"/>
          <w:sz w:val="26"/>
          <w:szCs w:val="26"/>
        </w:rPr>
        <w:t xml:space="preserve"> </w:t>
      </w:r>
      <w:r w:rsidRPr="000A706F" w:rsidR="000A706F">
        <w:rPr>
          <w:rFonts w:ascii="Times New Roman" w:hAnsi="Times New Roman"/>
          <w:sz w:val="26"/>
          <w:szCs w:val="26"/>
        </w:rPr>
        <w:t xml:space="preserve">The one-time implementation burden includes updating, adding, and modifying accounts to be compliant with the </w:t>
      </w:r>
      <w:r w:rsidR="00DC50A0">
        <w:rPr>
          <w:rFonts w:ascii="Times New Roman" w:hAnsi="Times New Roman"/>
          <w:sz w:val="26"/>
          <w:szCs w:val="26"/>
        </w:rPr>
        <w:t>Final Rule</w:t>
      </w:r>
      <w:r w:rsidRPr="000A706F" w:rsidR="000A706F">
        <w:rPr>
          <w:rFonts w:ascii="Times New Roman" w:hAnsi="Times New Roman"/>
          <w:sz w:val="26"/>
          <w:szCs w:val="26"/>
        </w:rPr>
        <w:t xml:space="preserve"> in Docket No. RM21-11-000.  This includes updates to the </w:t>
      </w:r>
      <w:r w:rsidR="00CF25C3">
        <w:rPr>
          <w:rFonts w:ascii="Times New Roman" w:hAnsi="Times New Roman"/>
          <w:sz w:val="26"/>
          <w:szCs w:val="26"/>
        </w:rPr>
        <w:t xml:space="preserve">FERC </w:t>
      </w:r>
      <w:r w:rsidRPr="000A706F" w:rsidR="000A706F">
        <w:rPr>
          <w:rFonts w:ascii="Times New Roman" w:hAnsi="Times New Roman"/>
          <w:sz w:val="26"/>
          <w:szCs w:val="26"/>
        </w:rPr>
        <w:t xml:space="preserve">Form Nos. 1, 1-F, 3-Q (electric), and 60 for the creation of new accounts and production subfunctions for wind, solar, and other renewable </w:t>
      </w:r>
      <w:r w:rsidR="00E61314">
        <w:rPr>
          <w:rFonts w:ascii="Times New Roman" w:hAnsi="Times New Roman"/>
          <w:sz w:val="26"/>
          <w:szCs w:val="26"/>
        </w:rPr>
        <w:t xml:space="preserve">generating </w:t>
      </w:r>
      <w:r w:rsidRPr="000A706F" w:rsidR="000A706F">
        <w:rPr>
          <w:rFonts w:ascii="Times New Roman" w:hAnsi="Times New Roman"/>
          <w:sz w:val="26"/>
          <w:szCs w:val="26"/>
        </w:rPr>
        <w:t xml:space="preserve">assets; establishing a new functional class for energy storage accounts; codifying the accounting treatment of </w:t>
      </w:r>
      <w:r w:rsidR="00B56079">
        <w:rPr>
          <w:rFonts w:ascii="Times New Roman" w:hAnsi="Times New Roman"/>
          <w:sz w:val="26"/>
          <w:szCs w:val="26"/>
        </w:rPr>
        <w:t>environmental credits;</w:t>
      </w:r>
      <w:r w:rsidRPr="000A706F" w:rsidR="000A706F">
        <w:rPr>
          <w:rFonts w:ascii="Times New Roman" w:hAnsi="Times New Roman"/>
          <w:sz w:val="26"/>
          <w:szCs w:val="26"/>
        </w:rPr>
        <w:t xml:space="preserve"> and creation of new accounts within existing functions for </w:t>
      </w:r>
      <w:r w:rsidRPr="22C0BD99" w:rsidR="000A706F">
        <w:rPr>
          <w:rFonts w:ascii="Times New Roman" w:hAnsi="Times New Roman"/>
          <w:sz w:val="26"/>
          <w:szCs w:val="26"/>
        </w:rPr>
        <w:t>computer hardware</w:t>
      </w:r>
      <w:r w:rsidRPr="000A706F" w:rsidR="000A706F">
        <w:rPr>
          <w:rFonts w:ascii="Times New Roman" w:hAnsi="Times New Roman"/>
          <w:sz w:val="26"/>
          <w:szCs w:val="26"/>
        </w:rPr>
        <w:t>, software, and communication equipment.</w:t>
      </w:r>
      <w:r w:rsidR="000A706F">
        <w:rPr>
          <w:rFonts w:ascii="Times New Roman" w:hAnsi="Times New Roman"/>
          <w:sz w:val="26"/>
          <w:szCs w:val="26"/>
        </w:rPr>
        <w:t xml:space="preserve"> </w:t>
      </w:r>
      <w:r w:rsidR="00025A95">
        <w:rPr>
          <w:rFonts w:ascii="Times New Roman" w:hAnsi="Times New Roman"/>
          <w:sz w:val="26"/>
          <w:szCs w:val="26"/>
        </w:rPr>
        <w:t xml:space="preserve"> </w:t>
      </w:r>
      <w:r w:rsidR="000A706F">
        <w:rPr>
          <w:rFonts w:ascii="Times New Roman" w:hAnsi="Times New Roman"/>
          <w:sz w:val="26"/>
          <w:szCs w:val="26"/>
        </w:rPr>
        <w:t xml:space="preserve">The Commission further estimates that the ongoing, continued burden will be comparable to the current OMB approved </w:t>
      </w:r>
      <w:r w:rsidR="003E3380">
        <w:rPr>
          <w:rFonts w:ascii="Times New Roman" w:hAnsi="Times New Roman"/>
          <w:sz w:val="26"/>
          <w:szCs w:val="26"/>
        </w:rPr>
        <w:t xml:space="preserve">estimates for each of the forms. </w:t>
      </w:r>
    </w:p>
    <w:p w:rsidR="00025A95" w14:paraId="75E84443" w14:textId="77777777">
      <w:pPr>
        <w:spacing w:after="0" w:line="240" w:lineRule="auto"/>
        <w:rPr>
          <w:rFonts w:ascii="Times New Roman" w:hAnsi="Times New Roman"/>
          <w:sz w:val="26"/>
          <w:szCs w:val="26"/>
        </w:rPr>
      </w:pPr>
    </w:p>
    <w:p w:rsidR="00AB5F37" w14:paraId="4C962CF6" w14:textId="61AC86D0">
      <w:pPr>
        <w:spacing w:after="0" w:line="240" w:lineRule="auto"/>
        <w:rPr>
          <w:rFonts w:ascii="Times New Roman" w:hAnsi="Times New Roman"/>
          <w:sz w:val="26"/>
          <w:szCs w:val="26"/>
        </w:rPr>
      </w:pPr>
      <w:r>
        <w:rPr>
          <w:rFonts w:ascii="Times New Roman" w:hAnsi="Times New Roman"/>
          <w:sz w:val="26"/>
          <w:szCs w:val="26"/>
        </w:rPr>
        <w:t>The one</w:t>
      </w:r>
      <w:r w:rsidR="00E646F3">
        <w:rPr>
          <w:rFonts w:ascii="Times New Roman" w:hAnsi="Times New Roman"/>
          <w:sz w:val="26"/>
          <w:szCs w:val="26"/>
        </w:rPr>
        <w:t>-</w:t>
      </w:r>
      <w:r>
        <w:rPr>
          <w:rFonts w:ascii="Times New Roman" w:hAnsi="Times New Roman"/>
          <w:sz w:val="26"/>
          <w:szCs w:val="26"/>
        </w:rPr>
        <w:t xml:space="preserve">time burden and </w:t>
      </w:r>
      <w:r w:rsidRPr="0073506C">
        <w:rPr>
          <w:rFonts w:ascii="Times New Roman" w:hAnsi="Times New Roman"/>
          <w:sz w:val="26"/>
          <w:szCs w:val="26"/>
        </w:rPr>
        <w:t>cost</w:t>
      </w:r>
      <w:r>
        <w:rPr>
          <w:rStyle w:val="FootnoteReference"/>
          <w:rFonts w:ascii="Times New Roman" w:hAnsi="Times New Roman"/>
          <w:sz w:val="26"/>
          <w:szCs w:val="26"/>
          <w:vertAlign w:val="superscript"/>
        </w:rPr>
        <w:footnoteReference w:id="13"/>
      </w:r>
      <w:r w:rsidRPr="0073506C">
        <w:rPr>
          <w:rFonts w:ascii="Times New Roman" w:hAnsi="Times New Roman"/>
          <w:sz w:val="26"/>
          <w:szCs w:val="26"/>
          <w:vertAlign w:val="superscript"/>
        </w:rPr>
        <w:t xml:space="preserve"> </w:t>
      </w:r>
      <w:r>
        <w:rPr>
          <w:rFonts w:ascii="Times New Roman" w:hAnsi="Times New Roman"/>
          <w:sz w:val="26"/>
          <w:szCs w:val="26"/>
        </w:rPr>
        <w:t>of the information collections follow.</w:t>
      </w:r>
    </w:p>
    <w:p w:rsidR="00AB5F37" w14:paraId="0ED34C46" w14:textId="3E902C00">
      <w:pPr>
        <w:spacing w:after="0" w:line="240" w:lineRule="auto"/>
        <w:rPr>
          <w:rFonts w:ascii="Times New Roman" w:hAnsi="Times New Roman"/>
          <w:sz w:val="26"/>
          <w:szCs w:val="26"/>
        </w:rPr>
      </w:pPr>
    </w:p>
    <w:tbl>
      <w:tblPr>
        <w:tblStyle w:val="TableGrid1"/>
        <w:tblW w:w="9610" w:type="dxa"/>
        <w:tblLook w:val="04A0"/>
      </w:tblPr>
      <w:tblGrid>
        <w:gridCol w:w="1555"/>
        <w:gridCol w:w="1284"/>
        <w:gridCol w:w="1447"/>
        <w:gridCol w:w="1108"/>
        <w:gridCol w:w="1387"/>
        <w:gridCol w:w="1344"/>
        <w:gridCol w:w="1485"/>
      </w:tblGrid>
      <w:tr w14:paraId="032AB263" w14:textId="77777777" w:rsidTr="00780A75">
        <w:tblPrEx>
          <w:tblW w:w="9610" w:type="dxa"/>
          <w:tblLook w:val="04A0"/>
        </w:tblPrEx>
        <w:tc>
          <w:tcPr>
            <w:tcW w:w="9610" w:type="dxa"/>
            <w:gridSpan w:val="7"/>
            <w:shd w:val="clear" w:color="auto" w:fill="D9D9D9" w:themeFill="background1" w:themeFillShade="D9"/>
          </w:tcPr>
          <w:p w:rsidR="00DB63AB" w:rsidRPr="00DB63AB" w:rsidP="00DB63AB" w14:paraId="5AFF397B" w14:textId="32BCBA85">
            <w:pPr>
              <w:spacing w:after="0" w:line="210" w:lineRule="exact"/>
              <w:ind w:left="2395" w:right="2381"/>
              <w:jc w:val="center"/>
              <w:rPr>
                <w:rFonts w:ascii="Times New Roman" w:eastAsia="Arial" w:hAnsi="Arial" w:cs="Arial"/>
                <w:b/>
              </w:rPr>
            </w:pPr>
            <w:r w:rsidRPr="00DB63AB">
              <w:rPr>
                <w:rFonts w:ascii="Times New Roman" w:eastAsia="Arial" w:hAnsi="Arial" w:cs="Arial"/>
                <w:b/>
              </w:rPr>
              <w:t xml:space="preserve">Table 1: RM21-11-000 </w:t>
            </w:r>
            <w:r w:rsidRPr="00D04549" w:rsidR="00D04549">
              <w:rPr>
                <w:rFonts w:ascii="Times New Roman" w:eastAsia="Arial" w:hAnsi="Arial" w:cs="Arial"/>
                <w:b/>
              </w:rPr>
              <w:t>Final Rule</w:t>
            </w:r>
          </w:p>
          <w:p w:rsidR="00DB63AB" w:rsidRPr="00DB63AB" w:rsidP="00DB63AB" w14:paraId="0C4D0E4F" w14:textId="77777777">
            <w:pPr>
              <w:spacing w:after="0" w:line="210" w:lineRule="exact"/>
              <w:ind w:left="2395" w:right="2381"/>
              <w:jc w:val="center"/>
              <w:rPr>
                <w:rFonts w:ascii="Arial" w:eastAsia="Arial" w:hAnsi="Arial" w:cs="Arial"/>
              </w:rPr>
            </w:pPr>
            <w:r w:rsidRPr="00DB63AB">
              <w:rPr>
                <w:rFonts w:ascii="Times New Roman" w:eastAsia="Arial" w:hAnsi="Arial" w:cs="Arial"/>
                <w:b/>
              </w:rPr>
              <w:t>One-Time Implementation Burden, in Year 1</w:t>
            </w:r>
          </w:p>
        </w:tc>
      </w:tr>
      <w:tr w14:paraId="1CB19880" w14:textId="77777777" w:rsidTr="00780A75">
        <w:tblPrEx>
          <w:tblW w:w="9610" w:type="dxa"/>
          <w:tblLook w:val="04A0"/>
        </w:tblPrEx>
        <w:trPr>
          <w:trHeight w:val="100"/>
        </w:trPr>
        <w:tc>
          <w:tcPr>
            <w:tcW w:w="1555" w:type="dxa"/>
            <w:shd w:val="clear" w:color="auto" w:fill="D9D9D9" w:themeFill="background1" w:themeFillShade="D9"/>
          </w:tcPr>
          <w:p w:rsidR="00DB63AB" w:rsidRPr="00DB63AB" w:rsidP="00DB63AB" w14:paraId="180A3099" w14:textId="77777777">
            <w:pPr>
              <w:spacing w:after="0" w:line="240" w:lineRule="auto"/>
              <w:jc w:val="center"/>
              <w:rPr>
                <w:rFonts w:ascii="Times New Roman" w:eastAsia="Arial" w:hAnsi="Arial" w:cs="Arial"/>
              </w:rPr>
            </w:pPr>
          </w:p>
          <w:p w:rsidR="00DB63AB" w:rsidRPr="00DB63AB" w:rsidP="00DB63AB" w14:paraId="59F70CA3" w14:textId="77777777">
            <w:pPr>
              <w:spacing w:after="0" w:line="240" w:lineRule="auto"/>
              <w:jc w:val="center"/>
              <w:rPr>
                <w:rFonts w:ascii="Times New Roman" w:eastAsia="Arial" w:hAnsi="Arial" w:cs="Arial"/>
              </w:rPr>
            </w:pPr>
          </w:p>
          <w:p w:rsidR="00DB63AB" w:rsidRPr="00DB63AB" w:rsidP="00DB63AB" w14:paraId="75ACBCC0" w14:textId="77777777">
            <w:pPr>
              <w:spacing w:after="0" w:line="240" w:lineRule="auto"/>
              <w:jc w:val="center"/>
              <w:rPr>
                <w:rFonts w:ascii="Times New Roman" w:eastAsia="Arial" w:hAnsi="Arial" w:cs="Arial"/>
              </w:rPr>
            </w:pPr>
          </w:p>
          <w:p w:rsidR="00DB63AB" w:rsidRPr="00DB63AB" w:rsidP="00DB63AB" w14:paraId="7ED21565" w14:textId="77777777">
            <w:pPr>
              <w:spacing w:after="0" w:line="240" w:lineRule="auto"/>
              <w:jc w:val="center"/>
              <w:rPr>
                <w:rFonts w:ascii="Times New Roman" w:eastAsia="Arial" w:hAnsi="Arial" w:cs="Arial"/>
              </w:rPr>
            </w:pPr>
          </w:p>
          <w:p w:rsidR="00DB63AB" w:rsidRPr="00DB63AB" w:rsidP="00DB63AB" w14:paraId="5C8BC970" w14:textId="77777777">
            <w:pPr>
              <w:spacing w:after="0" w:line="240" w:lineRule="auto"/>
              <w:jc w:val="center"/>
              <w:rPr>
                <w:rFonts w:ascii="Times New Roman" w:eastAsia="Arial" w:hAnsi="Arial" w:cs="Arial"/>
                <w:sz w:val="18"/>
              </w:rPr>
            </w:pPr>
          </w:p>
          <w:p w:rsidR="00DB63AB" w:rsidRPr="00DB63AB" w:rsidP="00DB63AB" w14:paraId="79BBB05D" w14:textId="77777777">
            <w:pPr>
              <w:spacing w:after="0" w:line="240" w:lineRule="auto"/>
              <w:jc w:val="center"/>
              <w:rPr>
                <w:rFonts w:ascii="Times New Roman" w:hAnsi="Times New Roman" w:eastAsiaTheme="minorHAnsi"/>
                <w:sz w:val="26"/>
              </w:rPr>
            </w:pPr>
            <w:r w:rsidRPr="00DB63AB">
              <w:rPr>
                <w:rFonts w:ascii="Times New Roman" w:hAnsi="Times New Roman" w:eastAsiaTheme="minorHAnsi"/>
                <w:b/>
                <w:spacing w:val="-2"/>
              </w:rPr>
              <w:t>Requirement</w:t>
            </w:r>
          </w:p>
        </w:tc>
        <w:tc>
          <w:tcPr>
            <w:tcW w:w="1284" w:type="dxa"/>
            <w:shd w:val="clear" w:color="auto" w:fill="D9D9D9" w:themeFill="background1" w:themeFillShade="D9"/>
          </w:tcPr>
          <w:p w:rsidR="00DB63AB" w:rsidRPr="00DB63AB" w:rsidP="00DB63AB" w14:paraId="3069E875" w14:textId="77777777">
            <w:pPr>
              <w:spacing w:after="0" w:line="240" w:lineRule="auto"/>
              <w:jc w:val="center"/>
              <w:rPr>
                <w:rFonts w:ascii="Times New Roman" w:eastAsia="Arial" w:hAnsi="Arial" w:cs="Arial"/>
              </w:rPr>
            </w:pPr>
          </w:p>
          <w:p w:rsidR="00DB63AB" w:rsidRPr="00DB63AB" w:rsidP="00DB63AB" w14:paraId="6A078FF7" w14:textId="77777777">
            <w:pPr>
              <w:spacing w:after="0" w:line="240" w:lineRule="auto"/>
              <w:jc w:val="center"/>
              <w:rPr>
                <w:rFonts w:ascii="Times New Roman" w:eastAsia="Arial" w:hAnsi="Arial" w:cs="Arial"/>
              </w:rPr>
            </w:pPr>
          </w:p>
          <w:p w:rsidR="00DB63AB" w:rsidRPr="00DB63AB" w:rsidP="00DB63AB" w14:paraId="3F2AF12A" w14:textId="77777777">
            <w:pPr>
              <w:spacing w:before="3" w:after="0" w:line="240" w:lineRule="auto"/>
              <w:jc w:val="center"/>
              <w:rPr>
                <w:rFonts w:ascii="Times New Roman" w:eastAsia="Arial" w:hAnsi="Arial" w:cs="Arial"/>
              </w:rPr>
            </w:pPr>
          </w:p>
          <w:p w:rsidR="00DB63AB" w:rsidRPr="00DB63AB" w:rsidP="00DB63AB" w14:paraId="6D72AA74" w14:textId="77777777">
            <w:pPr>
              <w:spacing w:after="0" w:line="240" w:lineRule="auto"/>
              <w:jc w:val="center"/>
              <w:rPr>
                <w:rFonts w:ascii="Times New Roman" w:hAnsi="Times New Roman" w:eastAsiaTheme="minorHAnsi"/>
                <w:sz w:val="26"/>
              </w:rPr>
            </w:pPr>
            <w:r w:rsidRPr="00DB63AB">
              <w:rPr>
                <w:rFonts w:ascii="Times New Roman" w:hAnsi="Times New Roman" w:eastAsiaTheme="minorHAnsi"/>
                <w:b/>
              </w:rPr>
              <w:t xml:space="preserve">Number of </w:t>
            </w:r>
            <w:r w:rsidRPr="00DB63AB">
              <w:rPr>
                <w:rFonts w:ascii="Times New Roman" w:hAnsi="Times New Roman" w:eastAsiaTheme="minorHAnsi"/>
                <w:b/>
                <w:spacing w:val="-2"/>
              </w:rPr>
              <w:t xml:space="preserve">Respondents </w:t>
            </w:r>
            <w:r w:rsidRPr="00DB63AB">
              <w:rPr>
                <w:rFonts w:ascii="Times New Roman" w:hAnsi="Times New Roman" w:eastAsiaTheme="minorHAnsi"/>
                <w:b/>
                <w:spacing w:val="-4"/>
              </w:rPr>
              <w:t>(1)</w:t>
            </w:r>
          </w:p>
        </w:tc>
        <w:tc>
          <w:tcPr>
            <w:tcW w:w="1447" w:type="dxa"/>
            <w:shd w:val="clear" w:color="auto" w:fill="D9D9D9" w:themeFill="background1" w:themeFillShade="D9"/>
          </w:tcPr>
          <w:p w:rsidR="00DB63AB" w:rsidRPr="00DB63AB" w:rsidP="00DB63AB" w14:paraId="630207F1" w14:textId="77777777">
            <w:pPr>
              <w:spacing w:before="72" w:after="0" w:line="240" w:lineRule="auto"/>
              <w:ind w:left="119" w:right="120" w:firstLine="1"/>
              <w:jc w:val="center"/>
              <w:rPr>
                <w:rFonts w:ascii="Times New Roman" w:eastAsia="Arial" w:hAnsi="Arial" w:cs="Arial"/>
                <w:b/>
              </w:rPr>
            </w:pPr>
            <w:r w:rsidRPr="00DB63AB">
              <w:rPr>
                <w:rFonts w:ascii="Times New Roman" w:eastAsia="Arial" w:hAnsi="Arial" w:cs="Arial"/>
                <w:b/>
                <w:spacing w:val="-2"/>
              </w:rPr>
              <w:t xml:space="preserve">Annual </w:t>
            </w:r>
            <w:r w:rsidRPr="00DB63AB">
              <w:rPr>
                <w:rFonts w:ascii="Times New Roman" w:eastAsia="Arial" w:hAnsi="Arial" w:cs="Arial"/>
                <w:b/>
              </w:rPr>
              <w:t xml:space="preserve">Number of </w:t>
            </w:r>
            <w:r w:rsidRPr="00DB63AB">
              <w:rPr>
                <w:rFonts w:ascii="Times New Roman" w:eastAsia="Arial" w:hAnsi="Arial" w:cs="Arial"/>
                <w:b/>
                <w:spacing w:val="-2"/>
              </w:rPr>
              <w:t xml:space="preserve">Responses </w:t>
            </w:r>
            <w:r w:rsidRPr="00DB63AB">
              <w:rPr>
                <w:rFonts w:ascii="Times New Roman" w:eastAsia="Arial" w:hAnsi="Arial" w:cs="Arial"/>
                <w:b/>
                <w:spacing w:val="-4"/>
              </w:rPr>
              <w:t xml:space="preserve">per </w:t>
            </w:r>
            <w:r w:rsidRPr="00DB63AB">
              <w:rPr>
                <w:rFonts w:ascii="Times New Roman" w:eastAsia="Arial" w:hAnsi="Arial" w:cs="Arial"/>
                <w:b/>
                <w:spacing w:val="-2"/>
              </w:rPr>
              <w:t>Respondent</w:t>
            </w:r>
          </w:p>
          <w:p w:rsidR="00DB63AB" w:rsidRPr="00DB63AB" w:rsidP="00DB63AB" w14:paraId="5FF7A6A7" w14:textId="77777777">
            <w:pPr>
              <w:spacing w:after="0" w:line="240" w:lineRule="auto"/>
              <w:jc w:val="center"/>
              <w:rPr>
                <w:rFonts w:ascii="Times New Roman" w:hAnsi="Times New Roman" w:eastAsiaTheme="minorHAnsi"/>
                <w:sz w:val="26"/>
              </w:rPr>
            </w:pPr>
            <w:r w:rsidRPr="00DB63AB">
              <w:rPr>
                <w:rFonts w:ascii="Times New Roman" w:hAnsi="Times New Roman" w:eastAsiaTheme="minorHAnsi"/>
                <w:b/>
                <w:spacing w:val="-5"/>
              </w:rPr>
              <w:t>(2)</w:t>
            </w:r>
          </w:p>
        </w:tc>
        <w:tc>
          <w:tcPr>
            <w:tcW w:w="1108" w:type="dxa"/>
            <w:shd w:val="clear" w:color="auto" w:fill="D9D9D9" w:themeFill="background1" w:themeFillShade="D9"/>
          </w:tcPr>
          <w:p w:rsidR="00DB63AB" w:rsidRPr="00DB63AB" w:rsidP="00DB63AB" w14:paraId="3AC14968" w14:textId="77777777">
            <w:pPr>
              <w:spacing w:after="0" w:line="240" w:lineRule="auto"/>
              <w:jc w:val="center"/>
              <w:rPr>
                <w:rFonts w:ascii="Times New Roman" w:eastAsia="Arial" w:hAnsi="Arial" w:cs="Arial"/>
              </w:rPr>
            </w:pPr>
          </w:p>
          <w:p w:rsidR="00DB63AB" w:rsidRPr="00DB63AB" w:rsidP="00DB63AB" w14:paraId="2429F479" w14:textId="77777777">
            <w:pPr>
              <w:spacing w:before="3" w:after="0" w:line="240" w:lineRule="auto"/>
              <w:jc w:val="center"/>
              <w:rPr>
                <w:rFonts w:ascii="Times New Roman" w:eastAsia="Arial" w:hAnsi="Arial" w:cs="Arial"/>
              </w:rPr>
            </w:pPr>
          </w:p>
          <w:p w:rsidR="00DB63AB" w:rsidRPr="00DB63AB" w:rsidP="00DB63AB" w14:paraId="789489B0" w14:textId="77777777">
            <w:pPr>
              <w:spacing w:after="0" w:line="240" w:lineRule="auto"/>
              <w:jc w:val="center"/>
              <w:rPr>
                <w:rFonts w:ascii="Times New Roman" w:hAnsi="Times New Roman" w:eastAsiaTheme="minorHAnsi"/>
                <w:sz w:val="26"/>
              </w:rPr>
            </w:pPr>
            <w:r w:rsidRPr="00DB63AB">
              <w:rPr>
                <w:rFonts w:ascii="Times New Roman" w:hAnsi="Times New Roman" w:eastAsiaTheme="minorHAnsi"/>
                <w:b/>
                <w:spacing w:val="-2"/>
              </w:rPr>
              <w:t xml:space="preserve">Total </w:t>
            </w:r>
            <w:r w:rsidRPr="00DB63AB">
              <w:rPr>
                <w:rFonts w:ascii="Times New Roman" w:hAnsi="Times New Roman" w:eastAsiaTheme="minorHAnsi"/>
                <w:b/>
              </w:rPr>
              <w:t>Number</w:t>
            </w:r>
            <w:r w:rsidRPr="00DB63AB">
              <w:rPr>
                <w:rFonts w:ascii="Times New Roman" w:hAnsi="Times New Roman" w:eastAsiaTheme="minorHAnsi"/>
                <w:b/>
                <w:spacing w:val="-13"/>
              </w:rPr>
              <w:t xml:space="preserve"> </w:t>
            </w:r>
            <w:r w:rsidRPr="00DB63AB">
              <w:rPr>
                <w:rFonts w:ascii="Times New Roman" w:hAnsi="Times New Roman" w:eastAsiaTheme="minorHAnsi"/>
                <w:b/>
              </w:rPr>
              <w:t xml:space="preserve">of </w:t>
            </w:r>
            <w:r w:rsidRPr="00DB63AB">
              <w:rPr>
                <w:rFonts w:ascii="Times New Roman" w:hAnsi="Times New Roman" w:eastAsiaTheme="minorHAnsi"/>
                <w:b/>
                <w:spacing w:val="-2"/>
              </w:rPr>
              <w:t>Responses (1)*(2)=(3)</w:t>
            </w:r>
          </w:p>
        </w:tc>
        <w:tc>
          <w:tcPr>
            <w:tcW w:w="1387" w:type="dxa"/>
            <w:shd w:val="clear" w:color="auto" w:fill="D9D9D9" w:themeFill="background1" w:themeFillShade="D9"/>
          </w:tcPr>
          <w:p w:rsidR="00DB63AB" w:rsidRPr="00DB63AB" w:rsidP="00DB63AB" w14:paraId="75732CEE" w14:textId="77777777">
            <w:pPr>
              <w:spacing w:before="4" w:after="0" w:line="240" w:lineRule="auto"/>
              <w:ind w:left="194" w:right="192" w:hanging="1"/>
              <w:jc w:val="center"/>
              <w:rPr>
                <w:rFonts w:ascii="Times New Roman" w:eastAsia="Arial" w:hAnsi="Arial" w:cs="Arial"/>
                <w:b/>
                <w:sz w:val="17"/>
              </w:rPr>
            </w:pPr>
            <w:r w:rsidRPr="00DB63AB">
              <w:rPr>
                <w:rFonts w:ascii="Times New Roman" w:eastAsia="Arial" w:hAnsi="Arial" w:cs="Arial"/>
                <w:b/>
                <w:spacing w:val="-2"/>
              </w:rPr>
              <w:t xml:space="preserve">Average </w:t>
            </w:r>
            <w:r w:rsidRPr="00DB63AB">
              <w:rPr>
                <w:rFonts w:ascii="Times New Roman" w:eastAsia="Arial" w:hAnsi="Arial" w:cs="Arial"/>
                <w:b/>
              </w:rPr>
              <w:t>Burden</w:t>
            </w:r>
            <w:r w:rsidRPr="00DB63AB">
              <w:rPr>
                <w:rFonts w:ascii="Times New Roman" w:eastAsia="Arial" w:hAnsi="Arial" w:cs="Arial"/>
                <w:b/>
                <w:spacing w:val="-13"/>
              </w:rPr>
              <w:t xml:space="preserve"> </w:t>
            </w:r>
            <w:r w:rsidRPr="00DB63AB">
              <w:rPr>
                <w:rFonts w:ascii="Times New Roman" w:eastAsia="Arial" w:hAnsi="Arial" w:cs="Arial"/>
                <w:b/>
              </w:rPr>
              <w:t xml:space="preserve">&amp; Cost Per </w:t>
            </w:r>
            <w:r w:rsidRPr="00DB63AB">
              <w:rPr>
                <w:rFonts w:ascii="Times New Roman" w:eastAsia="Arial" w:hAnsi="Arial" w:cs="Arial"/>
                <w:b/>
                <w:spacing w:val="-2"/>
              </w:rPr>
              <w:t xml:space="preserve">Response </w:t>
            </w:r>
            <w:r>
              <w:rPr>
                <w:rFonts w:ascii="Times New Roman" w:eastAsia="Arial" w:hAnsi="Times New Roman"/>
                <w:b/>
                <w:bCs/>
                <w:spacing w:val="-2"/>
                <w:sz w:val="26"/>
                <w:vertAlign w:val="superscript"/>
              </w:rPr>
              <w:footnoteReference w:id="14"/>
            </w:r>
          </w:p>
          <w:p w:rsidR="00DB63AB" w:rsidRPr="00DB63AB" w:rsidP="00DB63AB" w14:paraId="5E8F9A60" w14:textId="77777777">
            <w:pPr>
              <w:spacing w:after="0" w:line="240" w:lineRule="auto"/>
              <w:jc w:val="center"/>
              <w:rPr>
                <w:rFonts w:ascii="Times New Roman" w:hAnsi="Times New Roman" w:eastAsiaTheme="minorHAnsi"/>
                <w:sz w:val="26"/>
              </w:rPr>
            </w:pPr>
            <w:r w:rsidRPr="00DB63AB">
              <w:rPr>
                <w:rFonts w:ascii="Times New Roman" w:hAnsi="Times New Roman" w:eastAsiaTheme="minorHAnsi"/>
                <w:b/>
                <w:spacing w:val="-5"/>
              </w:rPr>
              <w:t>(4)</w:t>
            </w:r>
          </w:p>
        </w:tc>
        <w:tc>
          <w:tcPr>
            <w:tcW w:w="1344" w:type="dxa"/>
            <w:shd w:val="clear" w:color="auto" w:fill="D9D9D9" w:themeFill="background1" w:themeFillShade="D9"/>
          </w:tcPr>
          <w:p w:rsidR="00DB63AB" w:rsidRPr="00DB63AB" w:rsidP="00DB63AB" w14:paraId="46222EB7" w14:textId="77777777">
            <w:pPr>
              <w:spacing w:before="72" w:after="0" w:line="240" w:lineRule="auto"/>
              <w:ind w:left="247" w:right="248" w:firstLine="3"/>
              <w:jc w:val="center"/>
              <w:rPr>
                <w:rFonts w:ascii="Times New Roman" w:eastAsia="Arial" w:hAnsi="Arial" w:cs="Arial"/>
                <w:b/>
              </w:rPr>
            </w:pPr>
            <w:r w:rsidRPr="00DB63AB">
              <w:rPr>
                <w:rFonts w:ascii="Times New Roman" w:eastAsia="Arial" w:hAnsi="Arial" w:cs="Arial"/>
                <w:b/>
                <w:spacing w:val="-2"/>
              </w:rPr>
              <w:t xml:space="preserve">Total Annual Burden </w:t>
            </w:r>
            <w:r w:rsidRPr="00DB63AB">
              <w:rPr>
                <w:rFonts w:ascii="Times New Roman" w:eastAsia="Arial" w:hAnsi="Arial" w:cs="Arial"/>
                <w:b/>
              </w:rPr>
              <w:t>Hours</w:t>
            </w:r>
            <w:r w:rsidRPr="00DB63AB">
              <w:rPr>
                <w:rFonts w:ascii="Times New Roman" w:eastAsia="Arial" w:hAnsi="Arial" w:cs="Arial"/>
                <w:b/>
                <w:spacing w:val="-13"/>
              </w:rPr>
              <w:t xml:space="preserve"> </w:t>
            </w:r>
            <w:r w:rsidRPr="00DB63AB">
              <w:rPr>
                <w:rFonts w:ascii="Times New Roman" w:eastAsia="Arial" w:hAnsi="Arial" w:cs="Arial"/>
                <w:b/>
              </w:rPr>
              <w:t xml:space="preserve">&amp; </w:t>
            </w:r>
            <w:r w:rsidRPr="00DB63AB">
              <w:rPr>
                <w:rFonts w:ascii="Times New Roman" w:eastAsia="Arial" w:hAnsi="Arial" w:cs="Arial"/>
                <w:b/>
                <w:spacing w:val="-4"/>
              </w:rPr>
              <w:t>Cost</w:t>
            </w:r>
          </w:p>
          <w:p w:rsidR="00DB63AB" w:rsidRPr="00DB63AB" w:rsidP="00DB63AB" w14:paraId="2866F427" w14:textId="77777777">
            <w:pPr>
              <w:spacing w:after="0" w:line="240" w:lineRule="auto"/>
              <w:jc w:val="center"/>
              <w:rPr>
                <w:rFonts w:ascii="Times New Roman" w:hAnsi="Times New Roman" w:eastAsiaTheme="minorHAnsi"/>
                <w:sz w:val="26"/>
              </w:rPr>
            </w:pPr>
            <w:r w:rsidRPr="00DB63AB">
              <w:rPr>
                <w:rFonts w:ascii="Times New Roman" w:hAnsi="Times New Roman" w:eastAsiaTheme="minorHAnsi"/>
                <w:b/>
                <w:spacing w:val="-2"/>
              </w:rPr>
              <w:t>(3)*(4)=(5)</w:t>
            </w:r>
          </w:p>
        </w:tc>
        <w:tc>
          <w:tcPr>
            <w:tcW w:w="1485" w:type="dxa"/>
            <w:shd w:val="clear" w:color="auto" w:fill="D9D9D9" w:themeFill="background1" w:themeFillShade="D9"/>
          </w:tcPr>
          <w:p w:rsidR="00DB63AB" w:rsidRPr="00DB63AB" w:rsidP="00DB63AB" w14:paraId="10B15590" w14:textId="77777777">
            <w:pPr>
              <w:spacing w:before="5" w:after="0" w:line="240" w:lineRule="auto"/>
              <w:jc w:val="center"/>
              <w:rPr>
                <w:rFonts w:ascii="Times New Roman" w:eastAsia="Arial" w:hAnsi="Arial" w:cs="Arial"/>
                <w:sz w:val="26"/>
              </w:rPr>
            </w:pPr>
          </w:p>
          <w:p w:rsidR="00DB63AB" w:rsidRPr="00DB63AB" w:rsidP="00DB63AB" w14:paraId="7E2C1D2C" w14:textId="77777777">
            <w:pPr>
              <w:spacing w:after="0" w:line="240" w:lineRule="auto"/>
              <w:ind w:left="141" w:right="136"/>
              <w:jc w:val="center"/>
              <w:rPr>
                <w:rFonts w:ascii="Times New Roman" w:eastAsia="Arial" w:hAnsi="Arial" w:cs="Arial"/>
                <w:b/>
              </w:rPr>
            </w:pPr>
            <w:r w:rsidRPr="00DB63AB">
              <w:rPr>
                <w:rFonts w:ascii="Times New Roman" w:eastAsia="Arial" w:hAnsi="Arial" w:cs="Arial"/>
                <w:b/>
              </w:rPr>
              <w:t>Annual</w:t>
            </w:r>
            <w:r w:rsidRPr="00DB63AB">
              <w:rPr>
                <w:rFonts w:ascii="Times New Roman" w:eastAsia="Arial" w:hAnsi="Arial" w:cs="Arial"/>
                <w:b/>
                <w:spacing w:val="-13"/>
              </w:rPr>
              <w:t xml:space="preserve"> </w:t>
            </w:r>
            <w:r w:rsidRPr="00DB63AB">
              <w:rPr>
                <w:rFonts w:ascii="Times New Roman" w:eastAsia="Arial" w:hAnsi="Arial" w:cs="Arial"/>
                <w:b/>
              </w:rPr>
              <w:t xml:space="preserve">Cost </w:t>
            </w:r>
            <w:r w:rsidRPr="00DB63AB">
              <w:rPr>
                <w:rFonts w:ascii="Times New Roman" w:eastAsia="Arial" w:hAnsi="Arial" w:cs="Arial"/>
                <w:b/>
                <w:spacing w:val="-4"/>
              </w:rPr>
              <w:t xml:space="preserve">per </w:t>
            </w:r>
            <w:r w:rsidRPr="00DB63AB">
              <w:rPr>
                <w:rFonts w:ascii="Times New Roman" w:eastAsia="Arial" w:hAnsi="Arial" w:cs="Arial"/>
                <w:b/>
                <w:spacing w:val="-2"/>
              </w:rPr>
              <w:t xml:space="preserve">Respondent </w:t>
            </w:r>
            <w:r w:rsidRPr="00DB63AB">
              <w:rPr>
                <w:rFonts w:ascii="Times New Roman" w:eastAsia="Arial" w:hAnsi="Arial" w:cs="Arial"/>
                <w:b/>
                <w:spacing w:val="-4"/>
              </w:rPr>
              <w:t>($)</w:t>
            </w:r>
          </w:p>
          <w:p w:rsidR="00DB63AB" w:rsidRPr="00DB63AB" w:rsidP="00DB63AB" w14:paraId="7D681319" w14:textId="77777777">
            <w:pPr>
              <w:spacing w:after="0" w:line="240" w:lineRule="auto"/>
              <w:jc w:val="center"/>
              <w:rPr>
                <w:rFonts w:ascii="Times New Roman" w:hAnsi="Times New Roman" w:eastAsiaTheme="minorHAnsi"/>
                <w:sz w:val="26"/>
              </w:rPr>
            </w:pPr>
            <w:r w:rsidRPr="00DB63AB">
              <w:rPr>
                <w:rFonts w:ascii="Times New Roman" w:hAnsi="Times New Roman" w:eastAsiaTheme="minorHAnsi"/>
                <w:b/>
                <w:spacing w:val="-2"/>
              </w:rPr>
              <w:t>(5)÷(1)</w:t>
            </w:r>
          </w:p>
        </w:tc>
      </w:tr>
      <w:tr w14:paraId="10572E50" w14:textId="77777777" w:rsidTr="00780A75">
        <w:tblPrEx>
          <w:tblW w:w="9610" w:type="dxa"/>
          <w:tblLook w:val="04A0"/>
        </w:tblPrEx>
        <w:trPr>
          <w:trHeight w:val="100"/>
        </w:trPr>
        <w:tc>
          <w:tcPr>
            <w:tcW w:w="1555" w:type="dxa"/>
          </w:tcPr>
          <w:p w:rsidR="00DB63AB" w:rsidRPr="00DB63AB" w:rsidP="00DB63AB" w14:paraId="6434280F" w14:textId="77777777">
            <w:pPr>
              <w:spacing w:after="0" w:line="240" w:lineRule="auto"/>
              <w:rPr>
                <w:rFonts w:ascii="Times New Roman" w:hAnsi="Times New Roman" w:eastAsiaTheme="minorHAnsi"/>
                <w:sz w:val="26"/>
              </w:rPr>
            </w:pPr>
            <w:r w:rsidRPr="00DB63AB">
              <w:rPr>
                <w:rFonts w:ascii="Times New Roman" w:hAnsi="Times New Roman" w:eastAsiaTheme="minorHAnsi"/>
              </w:rPr>
              <w:t>Form</w:t>
            </w:r>
            <w:r w:rsidRPr="00DB63AB">
              <w:rPr>
                <w:rFonts w:ascii="Times New Roman" w:hAnsi="Times New Roman" w:eastAsiaTheme="minorHAnsi"/>
                <w:spacing w:val="-4"/>
              </w:rPr>
              <w:t xml:space="preserve"> </w:t>
            </w:r>
            <w:r w:rsidRPr="00DB63AB">
              <w:rPr>
                <w:rFonts w:ascii="Times New Roman" w:hAnsi="Times New Roman" w:eastAsiaTheme="minorHAnsi"/>
              </w:rPr>
              <w:t>No.</w:t>
            </w:r>
            <w:r w:rsidRPr="00DB63AB">
              <w:rPr>
                <w:rFonts w:ascii="Times New Roman" w:hAnsi="Times New Roman" w:eastAsiaTheme="minorHAnsi"/>
                <w:spacing w:val="-3"/>
              </w:rPr>
              <w:t xml:space="preserve"> </w:t>
            </w:r>
            <w:r w:rsidRPr="00DB63AB">
              <w:rPr>
                <w:rFonts w:ascii="Times New Roman" w:hAnsi="Times New Roman" w:eastAsiaTheme="minorHAnsi"/>
                <w:spacing w:val="-10"/>
              </w:rPr>
              <w:t>1</w:t>
            </w:r>
          </w:p>
        </w:tc>
        <w:tc>
          <w:tcPr>
            <w:tcW w:w="1284" w:type="dxa"/>
          </w:tcPr>
          <w:p w:rsidR="00DB63AB" w:rsidRPr="00DB63AB" w:rsidP="00DB63AB" w14:paraId="3FF1C52E" w14:textId="77777777">
            <w:pPr>
              <w:spacing w:after="0" w:line="240" w:lineRule="auto"/>
              <w:jc w:val="right"/>
              <w:rPr>
                <w:rFonts w:ascii="Times New Roman" w:eastAsia="Arial" w:hAnsi="Arial" w:cs="Arial"/>
              </w:rPr>
            </w:pPr>
          </w:p>
          <w:p w:rsidR="00DB63AB" w:rsidRPr="00DB63AB" w:rsidP="00DB63AB" w14:paraId="0C95F39B" w14:textId="77777777">
            <w:pPr>
              <w:spacing w:after="0" w:line="240" w:lineRule="auto"/>
              <w:jc w:val="right"/>
              <w:rPr>
                <w:rFonts w:ascii="Times New Roman" w:hAnsi="Times New Roman" w:eastAsiaTheme="minorHAnsi"/>
                <w:sz w:val="26"/>
              </w:rPr>
            </w:pPr>
            <w:r w:rsidRPr="00DB63AB">
              <w:rPr>
                <w:rFonts w:ascii="Times New Roman" w:hAnsi="Times New Roman" w:eastAsiaTheme="minorHAnsi"/>
                <w:spacing w:val="-5"/>
              </w:rPr>
              <w:t>217</w:t>
            </w:r>
          </w:p>
        </w:tc>
        <w:tc>
          <w:tcPr>
            <w:tcW w:w="1447" w:type="dxa"/>
          </w:tcPr>
          <w:p w:rsidR="00DB63AB" w:rsidRPr="00DB63AB" w:rsidP="00DB63AB" w14:paraId="31B0BBDD" w14:textId="77777777">
            <w:pPr>
              <w:spacing w:before="7" w:after="0" w:line="240" w:lineRule="auto"/>
              <w:jc w:val="right"/>
              <w:rPr>
                <w:rFonts w:ascii="Times New Roman" w:eastAsia="Arial" w:hAnsi="Arial" w:cs="Arial"/>
                <w:sz w:val="17"/>
              </w:rPr>
            </w:pPr>
          </w:p>
          <w:p w:rsidR="00DB63AB" w:rsidRPr="00DB63AB" w:rsidP="00DB63AB" w14:paraId="6423CED8" w14:textId="77777777">
            <w:pPr>
              <w:spacing w:after="0" w:line="240" w:lineRule="auto"/>
              <w:jc w:val="right"/>
              <w:rPr>
                <w:rFonts w:ascii="Times New Roman" w:hAnsi="Times New Roman" w:eastAsiaTheme="minorHAnsi"/>
                <w:sz w:val="26"/>
              </w:rPr>
            </w:pPr>
            <w:r w:rsidRPr="00DB63AB">
              <w:rPr>
                <w:rFonts w:ascii="Times New Roman" w:hAnsi="Times New Roman" w:eastAsiaTheme="minorHAnsi"/>
              </w:rPr>
              <w:t>1</w:t>
            </w:r>
          </w:p>
        </w:tc>
        <w:tc>
          <w:tcPr>
            <w:tcW w:w="1108" w:type="dxa"/>
          </w:tcPr>
          <w:p w:rsidR="00DB63AB" w:rsidRPr="00DB63AB" w:rsidP="00DB63AB" w14:paraId="7769A06C" w14:textId="77777777">
            <w:pPr>
              <w:spacing w:before="7" w:after="0" w:line="240" w:lineRule="auto"/>
              <w:jc w:val="right"/>
              <w:rPr>
                <w:rFonts w:ascii="Times New Roman" w:eastAsia="Arial" w:hAnsi="Arial" w:cs="Arial"/>
                <w:sz w:val="17"/>
              </w:rPr>
            </w:pPr>
          </w:p>
          <w:p w:rsidR="00DB63AB" w:rsidRPr="00DB63AB" w:rsidP="00DB63AB" w14:paraId="2A3C3D88" w14:textId="77777777">
            <w:pPr>
              <w:spacing w:after="0" w:line="240" w:lineRule="auto"/>
              <w:jc w:val="right"/>
              <w:rPr>
                <w:rFonts w:ascii="Times New Roman" w:hAnsi="Times New Roman" w:eastAsiaTheme="minorHAnsi"/>
                <w:sz w:val="26"/>
              </w:rPr>
            </w:pPr>
            <w:r w:rsidRPr="00DB63AB">
              <w:rPr>
                <w:rFonts w:ascii="Times New Roman" w:hAnsi="Times New Roman" w:eastAsiaTheme="minorHAnsi"/>
                <w:spacing w:val="-5"/>
              </w:rPr>
              <w:t>217</w:t>
            </w:r>
          </w:p>
        </w:tc>
        <w:tc>
          <w:tcPr>
            <w:tcW w:w="1387" w:type="dxa"/>
          </w:tcPr>
          <w:p w:rsidR="00DB63AB" w:rsidRPr="00DB63AB" w:rsidP="00DB63AB" w14:paraId="06A7BFF2" w14:textId="77777777">
            <w:pPr>
              <w:spacing w:after="0" w:line="240" w:lineRule="auto"/>
              <w:ind w:right="101"/>
              <w:jc w:val="right"/>
              <w:rPr>
                <w:rFonts w:ascii="Times New Roman" w:eastAsia="Arial" w:hAnsi="Arial" w:cs="Arial"/>
              </w:rPr>
            </w:pPr>
            <w:r w:rsidRPr="00DB63AB">
              <w:rPr>
                <w:rFonts w:ascii="Times New Roman" w:eastAsia="Arial" w:hAnsi="Arial" w:cs="Arial"/>
              </w:rPr>
              <w:t>44</w:t>
            </w:r>
            <w:r w:rsidRPr="00DB63AB">
              <w:rPr>
                <w:rFonts w:ascii="Times New Roman" w:eastAsia="Arial" w:hAnsi="Arial" w:cs="Arial"/>
                <w:spacing w:val="-5"/>
              </w:rPr>
              <w:t xml:space="preserve"> </w:t>
            </w:r>
            <w:r w:rsidRPr="00DB63AB">
              <w:rPr>
                <w:rFonts w:ascii="Times New Roman" w:eastAsia="Arial" w:hAnsi="Arial" w:cs="Arial"/>
                <w:spacing w:val="-2"/>
              </w:rPr>
              <w:t>hrs.;</w:t>
            </w:r>
          </w:p>
          <w:p w:rsidR="00DB63AB" w:rsidRPr="00DB63AB" w:rsidP="00DB63AB" w14:paraId="6C7B6853" w14:textId="77777777">
            <w:pPr>
              <w:spacing w:after="0" w:line="240" w:lineRule="auto"/>
              <w:jc w:val="right"/>
              <w:rPr>
                <w:rFonts w:ascii="Times New Roman" w:hAnsi="Times New Roman" w:eastAsiaTheme="minorHAnsi"/>
                <w:sz w:val="26"/>
              </w:rPr>
            </w:pPr>
            <w:r w:rsidRPr="00DB63AB">
              <w:rPr>
                <w:rFonts w:ascii="Times New Roman" w:hAnsi="Times New Roman" w:eastAsiaTheme="minorHAnsi"/>
                <w:spacing w:val="-2"/>
              </w:rPr>
              <w:t>$4,004</w:t>
            </w:r>
          </w:p>
        </w:tc>
        <w:tc>
          <w:tcPr>
            <w:tcW w:w="1344" w:type="dxa"/>
          </w:tcPr>
          <w:p w:rsidR="00DB63AB" w:rsidRPr="00DB63AB" w14:paraId="182F490E" w14:textId="0D4C5BCF">
            <w:pPr>
              <w:spacing w:after="0" w:line="240" w:lineRule="auto"/>
              <w:ind w:right="101"/>
              <w:jc w:val="right"/>
              <w:rPr>
                <w:rFonts w:ascii="Times New Roman" w:eastAsia="Arial" w:hAnsi="Arial" w:cs="Arial"/>
              </w:rPr>
            </w:pPr>
            <w:r w:rsidRPr="00DB63AB">
              <w:rPr>
                <w:rFonts w:ascii="Times New Roman" w:eastAsia="Arial" w:hAnsi="Arial" w:cs="Arial"/>
                <w:spacing w:val="-2"/>
              </w:rPr>
              <w:t>9,548</w:t>
            </w:r>
            <w:r w:rsidR="003D4AE3">
              <w:rPr>
                <w:rFonts w:ascii="Times New Roman" w:eastAsia="Arial" w:hAnsi="Arial" w:cs="Arial"/>
                <w:spacing w:val="-2"/>
              </w:rPr>
              <w:t xml:space="preserve"> </w:t>
            </w:r>
            <w:r w:rsidRPr="00DB63AB">
              <w:rPr>
                <w:rFonts w:ascii="Times New Roman" w:eastAsia="Arial" w:hAnsi="Arial" w:cs="Arial"/>
                <w:spacing w:val="-2"/>
              </w:rPr>
              <w:t>hrs.;</w:t>
            </w:r>
          </w:p>
          <w:p w:rsidR="00DB63AB" w:rsidRPr="00DB63AB" w:rsidP="00DB63AB" w14:paraId="69126544" w14:textId="77777777">
            <w:pPr>
              <w:spacing w:after="0" w:line="240" w:lineRule="auto"/>
              <w:jc w:val="right"/>
              <w:rPr>
                <w:rFonts w:ascii="Times New Roman" w:hAnsi="Times New Roman" w:eastAsiaTheme="minorHAnsi"/>
                <w:sz w:val="26"/>
              </w:rPr>
            </w:pPr>
            <w:r w:rsidRPr="00DB63AB">
              <w:rPr>
                <w:rFonts w:ascii="Times New Roman" w:hAnsi="Times New Roman" w:eastAsiaTheme="minorHAnsi"/>
                <w:spacing w:val="-2"/>
              </w:rPr>
              <w:t>$868,868</w:t>
            </w:r>
          </w:p>
        </w:tc>
        <w:tc>
          <w:tcPr>
            <w:tcW w:w="1485" w:type="dxa"/>
          </w:tcPr>
          <w:p w:rsidR="00DB63AB" w:rsidRPr="00DB63AB" w:rsidP="00DB63AB" w14:paraId="01C3D0FA" w14:textId="77777777">
            <w:pPr>
              <w:spacing w:after="0" w:line="240" w:lineRule="auto"/>
              <w:jc w:val="right"/>
              <w:rPr>
                <w:rFonts w:ascii="Times New Roman" w:eastAsia="Arial" w:hAnsi="Arial" w:cs="Arial"/>
              </w:rPr>
            </w:pPr>
          </w:p>
          <w:p w:rsidR="00DB63AB" w:rsidRPr="00DB63AB" w:rsidP="00DB63AB" w14:paraId="1057B8BF" w14:textId="77777777">
            <w:pPr>
              <w:spacing w:after="0" w:line="240" w:lineRule="auto"/>
              <w:jc w:val="right"/>
              <w:rPr>
                <w:rFonts w:ascii="Times New Roman" w:hAnsi="Times New Roman" w:eastAsiaTheme="minorHAnsi"/>
                <w:sz w:val="26"/>
              </w:rPr>
            </w:pPr>
            <w:r w:rsidRPr="00DB63AB">
              <w:rPr>
                <w:rFonts w:ascii="Times New Roman" w:hAnsi="Times New Roman" w:eastAsiaTheme="minorHAnsi"/>
                <w:spacing w:val="-2"/>
              </w:rPr>
              <w:t>$4,004</w:t>
            </w:r>
          </w:p>
        </w:tc>
      </w:tr>
      <w:tr w14:paraId="0232A568" w14:textId="77777777" w:rsidTr="00780A75">
        <w:tblPrEx>
          <w:tblW w:w="9610" w:type="dxa"/>
          <w:tblLook w:val="04A0"/>
        </w:tblPrEx>
        <w:trPr>
          <w:trHeight w:val="100"/>
        </w:trPr>
        <w:tc>
          <w:tcPr>
            <w:tcW w:w="1555" w:type="dxa"/>
          </w:tcPr>
          <w:p w:rsidR="00DB63AB" w:rsidRPr="00DB63AB" w:rsidP="00DB63AB" w14:paraId="7B986C01" w14:textId="77777777">
            <w:pPr>
              <w:spacing w:after="0" w:line="240" w:lineRule="auto"/>
              <w:rPr>
                <w:rFonts w:ascii="Times New Roman" w:hAnsi="Times New Roman" w:eastAsiaTheme="minorHAnsi"/>
                <w:sz w:val="26"/>
              </w:rPr>
            </w:pPr>
            <w:r w:rsidRPr="00DB63AB">
              <w:rPr>
                <w:rFonts w:ascii="Times New Roman" w:hAnsi="Times New Roman" w:eastAsiaTheme="minorHAnsi"/>
              </w:rPr>
              <w:t>Form</w:t>
            </w:r>
            <w:r w:rsidRPr="00DB63AB">
              <w:rPr>
                <w:rFonts w:ascii="Times New Roman" w:hAnsi="Times New Roman" w:eastAsiaTheme="minorHAnsi"/>
                <w:spacing w:val="-6"/>
              </w:rPr>
              <w:t xml:space="preserve"> </w:t>
            </w:r>
            <w:r w:rsidRPr="00DB63AB">
              <w:rPr>
                <w:rFonts w:ascii="Times New Roman" w:hAnsi="Times New Roman" w:eastAsiaTheme="minorHAnsi"/>
              </w:rPr>
              <w:t>No.1-</w:t>
            </w:r>
            <w:r w:rsidRPr="00DB63AB">
              <w:rPr>
                <w:rFonts w:ascii="Times New Roman" w:hAnsi="Times New Roman" w:eastAsiaTheme="minorHAnsi"/>
                <w:spacing w:val="-10"/>
              </w:rPr>
              <w:t>F</w:t>
            </w:r>
          </w:p>
        </w:tc>
        <w:tc>
          <w:tcPr>
            <w:tcW w:w="1284" w:type="dxa"/>
          </w:tcPr>
          <w:p w:rsidR="00DB63AB" w:rsidRPr="00DB63AB" w:rsidP="00DB63AB" w14:paraId="2174645E" w14:textId="77777777">
            <w:pPr>
              <w:spacing w:before="7" w:after="0" w:line="240" w:lineRule="auto"/>
              <w:jc w:val="right"/>
              <w:rPr>
                <w:rFonts w:ascii="Times New Roman" w:eastAsia="Arial" w:hAnsi="Arial" w:cs="Arial"/>
                <w:sz w:val="19"/>
              </w:rPr>
            </w:pPr>
          </w:p>
          <w:p w:rsidR="00DB63AB" w:rsidRPr="00DB63AB" w:rsidP="00DB63AB" w14:paraId="093B2353" w14:textId="77777777">
            <w:pPr>
              <w:spacing w:after="0" w:line="240" w:lineRule="auto"/>
              <w:jc w:val="right"/>
              <w:rPr>
                <w:rFonts w:ascii="Times New Roman" w:hAnsi="Times New Roman" w:eastAsiaTheme="minorHAnsi"/>
                <w:sz w:val="26"/>
              </w:rPr>
            </w:pPr>
            <w:r w:rsidRPr="00DB63AB">
              <w:rPr>
                <w:rFonts w:ascii="Times New Roman" w:hAnsi="Times New Roman" w:eastAsiaTheme="minorHAnsi"/>
              </w:rPr>
              <w:t>2</w:t>
            </w:r>
          </w:p>
        </w:tc>
        <w:tc>
          <w:tcPr>
            <w:tcW w:w="1447" w:type="dxa"/>
          </w:tcPr>
          <w:p w:rsidR="00DB63AB" w:rsidRPr="00DB63AB" w:rsidP="00DB63AB" w14:paraId="3CC6CAF8" w14:textId="77777777">
            <w:pPr>
              <w:spacing w:before="7" w:after="0" w:line="240" w:lineRule="auto"/>
              <w:jc w:val="right"/>
              <w:rPr>
                <w:rFonts w:ascii="Times New Roman" w:eastAsia="Arial" w:hAnsi="Arial" w:cs="Arial"/>
                <w:sz w:val="19"/>
              </w:rPr>
            </w:pPr>
          </w:p>
          <w:p w:rsidR="00DB63AB" w:rsidRPr="00DB63AB" w:rsidP="00DB63AB" w14:paraId="31655F31" w14:textId="77777777">
            <w:pPr>
              <w:spacing w:after="0" w:line="240" w:lineRule="auto"/>
              <w:jc w:val="right"/>
              <w:rPr>
                <w:rFonts w:ascii="Times New Roman" w:hAnsi="Times New Roman" w:eastAsiaTheme="minorHAnsi"/>
                <w:sz w:val="26"/>
              </w:rPr>
            </w:pPr>
            <w:r w:rsidRPr="00DB63AB">
              <w:rPr>
                <w:rFonts w:ascii="Times New Roman" w:hAnsi="Times New Roman" w:eastAsiaTheme="minorHAnsi"/>
              </w:rPr>
              <w:t>1</w:t>
            </w:r>
          </w:p>
        </w:tc>
        <w:tc>
          <w:tcPr>
            <w:tcW w:w="1108" w:type="dxa"/>
          </w:tcPr>
          <w:p w:rsidR="00DB63AB" w:rsidRPr="00DB63AB" w:rsidP="00DB63AB" w14:paraId="19019F23" w14:textId="77777777">
            <w:pPr>
              <w:spacing w:before="7" w:after="0" w:line="240" w:lineRule="auto"/>
              <w:jc w:val="right"/>
              <w:rPr>
                <w:rFonts w:ascii="Times New Roman" w:eastAsia="Arial" w:hAnsi="Arial" w:cs="Arial"/>
                <w:sz w:val="19"/>
              </w:rPr>
            </w:pPr>
          </w:p>
          <w:p w:rsidR="00DB63AB" w:rsidRPr="00DB63AB" w:rsidP="00DB63AB" w14:paraId="6E42CE5D" w14:textId="77777777">
            <w:pPr>
              <w:spacing w:after="0" w:line="240" w:lineRule="auto"/>
              <w:jc w:val="right"/>
              <w:rPr>
                <w:rFonts w:ascii="Times New Roman" w:hAnsi="Times New Roman" w:eastAsiaTheme="minorHAnsi"/>
                <w:sz w:val="26"/>
              </w:rPr>
            </w:pPr>
            <w:r w:rsidRPr="00DB63AB">
              <w:rPr>
                <w:rFonts w:ascii="Times New Roman" w:hAnsi="Times New Roman" w:eastAsiaTheme="minorHAnsi"/>
              </w:rPr>
              <w:t>2</w:t>
            </w:r>
          </w:p>
        </w:tc>
        <w:tc>
          <w:tcPr>
            <w:tcW w:w="1387" w:type="dxa"/>
          </w:tcPr>
          <w:p w:rsidR="00DB63AB" w:rsidRPr="00DB63AB" w:rsidP="00DB63AB" w14:paraId="13F3BF06" w14:textId="77777777">
            <w:pPr>
              <w:spacing w:after="0" w:line="240" w:lineRule="auto"/>
              <w:ind w:right="101"/>
              <w:jc w:val="right"/>
              <w:rPr>
                <w:rFonts w:ascii="Times New Roman" w:eastAsia="Arial" w:hAnsi="Arial" w:cs="Arial"/>
              </w:rPr>
            </w:pPr>
            <w:r w:rsidRPr="00DB63AB">
              <w:rPr>
                <w:rFonts w:ascii="Times New Roman" w:eastAsia="Arial" w:hAnsi="Arial" w:cs="Arial"/>
              </w:rPr>
              <w:t>44</w:t>
            </w:r>
            <w:r w:rsidRPr="00DB63AB">
              <w:rPr>
                <w:rFonts w:ascii="Times New Roman" w:eastAsia="Arial" w:hAnsi="Arial" w:cs="Arial"/>
                <w:spacing w:val="-5"/>
              </w:rPr>
              <w:t xml:space="preserve"> </w:t>
            </w:r>
            <w:r w:rsidRPr="00DB63AB">
              <w:rPr>
                <w:rFonts w:ascii="Times New Roman" w:eastAsia="Arial" w:hAnsi="Arial" w:cs="Arial"/>
                <w:spacing w:val="-2"/>
              </w:rPr>
              <w:t>hrs.;</w:t>
            </w:r>
          </w:p>
          <w:p w:rsidR="00DB63AB" w:rsidRPr="00DB63AB" w:rsidP="00DB63AB" w14:paraId="08F3F8C3" w14:textId="77777777">
            <w:pPr>
              <w:spacing w:after="0" w:line="240" w:lineRule="auto"/>
              <w:jc w:val="right"/>
              <w:rPr>
                <w:rFonts w:ascii="Times New Roman" w:hAnsi="Times New Roman" w:eastAsiaTheme="minorHAnsi"/>
                <w:sz w:val="26"/>
              </w:rPr>
            </w:pPr>
            <w:r w:rsidRPr="00DB63AB">
              <w:rPr>
                <w:rFonts w:ascii="Times New Roman" w:hAnsi="Times New Roman" w:eastAsiaTheme="minorHAnsi"/>
                <w:spacing w:val="-2"/>
              </w:rPr>
              <w:t>$4,004</w:t>
            </w:r>
          </w:p>
        </w:tc>
        <w:tc>
          <w:tcPr>
            <w:tcW w:w="1344" w:type="dxa"/>
          </w:tcPr>
          <w:p w:rsidR="00DB63AB" w:rsidRPr="00DB63AB" w:rsidP="00DB63AB" w14:paraId="129B116E" w14:textId="77777777">
            <w:pPr>
              <w:spacing w:after="0" w:line="240" w:lineRule="auto"/>
              <w:ind w:right="101"/>
              <w:jc w:val="right"/>
              <w:rPr>
                <w:rFonts w:ascii="Times New Roman" w:eastAsia="Arial" w:hAnsi="Arial" w:cs="Arial"/>
              </w:rPr>
            </w:pPr>
            <w:r w:rsidRPr="00DB63AB">
              <w:rPr>
                <w:rFonts w:ascii="Times New Roman" w:eastAsia="Arial" w:hAnsi="Arial" w:cs="Arial"/>
              </w:rPr>
              <w:t>88</w:t>
            </w:r>
            <w:r w:rsidRPr="00DB63AB">
              <w:rPr>
                <w:rFonts w:ascii="Times New Roman" w:eastAsia="Arial" w:hAnsi="Arial" w:cs="Arial"/>
                <w:spacing w:val="-5"/>
              </w:rPr>
              <w:t xml:space="preserve"> </w:t>
            </w:r>
            <w:r w:rsidRPr="00DB63AB">
              <w:rPr>
                <w:rFonts w:ascii="Times New Roman" w:eastAsia="Arial" w:hAnsi="Arial" w:cs="Arial"/>
                <w:spacing w:val="-2"/>
              </w:rPr>
              <w:t>hrs.;</w:t>
            </w:r>
          </w:p>
          <w:p w:rsidR="00DB63AB" w:rsidRPr="00DB63AB" w:rsidP="00DB63AB" w14:paraId="61F87277" w14:textId="77777777">
            <w:pPr>
              <w:spacing w:after="0" w:line="240" w:lineRule="auto"/>
              <w:jc w:val="right"/>
              <w:rPr>
                <w:rFonts w:ascii="Times New Roman" w:hAnsi="Times New Roman" w:eastAsiaTheme="minorHAnsi"/>
                <w:sz w:val="26"/>
              </w:rPr>
            </w:pPr>
            <w:r w:rsidRPr="00DB63AB">
              <w:rPr>
                <w:rFonts w:ascii="Times New Roman" w:hAnsi="Times New Roman" w:eastAsiaTheme="minorHAnsi"/>
                <w:spacing w:val="-2"/>
              </w:rPr>
              <w:t>$8,008</w:t>
            </w:r>
          </w:p>
        </w:tc>
        <w:tc>
          <w:tcPr>
            <w:tcW w:w="1485" w:type="dxa"/>
          </w:tcPr>
          <w:p w:rsidR="00DB63AB" w:rsidRPr="00DB63AB" w:rsidP="00DB63AB" w14:paraId="134C2057" w14:textId="77777777">
            <w:pPr>
              <w:spacing w:before="7" w:after="0" w:line="240" w:lineRule="auto"/>
              <w:jc w:val="right"/>
              <w:rPr>
                <w:rFonts w:ascii="Times New Roman" w:eastAsia="Arial" w:hAnsi="Arial" w:cs="Arial"/>
                <w:sz w:val="19"/>
              </w:rPr>
            </w:pPr>
          </w:p>
          <w:p w:rsidR="00DB63AB" w:rsidRPr="00DB63AB" w:rsidP="00DB63AB" w14:paraId="6A816CAA" w14:textId="77777777">
            <w:pPr>
              <w:spacing w:after="0" w:line="240" w:lineRule="auto"/>
              <w:jc w:val="right"/>
              <w:rPr>
                <w:rFonts w:ascii="Times New Roman" w:hAnsi="Times New Roman" w:eastAsiaTheme="minorHAnsi"/>
                <w:sz w:val="26"/>
              </w:rPr>
            </w:pPr>
            <w:r w:rsidRPr="00DB63AB">
              <w:rPr>
                <w:rFonts w:ascii="Times New Roman" w:hAnsi="Times New Roman" w:eastAsiaTheme="minorHAnsi"/>
                <w:spacing w:val="-2"/>
              </w:rPr>
              <w:t>$4,004</w:t>
            </w:r>
          </w:p>
        </w:tc>
      </w:tr>
      <w:tr w14:paraId="7454F074" w14:textId="77777777" w:rsidTr="00780A75">
        <w:tblPrEx>
          <w:tblW w:w="9610" w:type="dxa"/>
          <w:tblLook w:val="04A0"/>
        </w:tblPrEx>
        <w:trPr>
          <w:trHeight w:val="100"/>
        </w:trPr>
        <w:tc>
          <w:tcPr>
            <w:tcW w:w="1555" w:type="dxa"/>
          </w:tcPr>
          <w:p w:rsidR="00DB63AB" w:rsidRPr="00DB63AB" w:rsidP="00DB63AB" w14:paraId="6C002C9E" w14:textId="4B4E1222">
            <w:pPr>
              <w:spacing w:after="0" w:line="240" w:lineRule="auto"/>
              <w:rPr>
                <w:rFonts w:ascii="Times New Roman" w:eastAsia="Arial" w:hAnsi="Arial" w:cs="Arial"/>
              </w:rPr>
            </w:pPr>
            <w:r w:rsidRPr="00DB63AB">
              <w:rPr>
                <w:rFonts w:ascii="Times New Roman" w:eastAsia="Arial" w:hAnsi="Arial" w:cs="Arial"/>
              </w:rPr>
              <w:t>Form</w:t>
            </w:r>
            <w:r w:rsidRPr="00DB63AB">
              <w:rPr>
                <w:rFonts w:ascii="Times New Roman" w:eastAsia="Arial" w:hAnsi="Arial" w:cs="Arial"/>
                <w:spacing w:val="-4"/>
              </w:rPr>
              <w:t xml:space="preserve"> </w:t>
            </w:r>
            <w:r w:rsidRPr="00DB63AB">
              <w:rPr>
                <w:rFonts w:ascii="Times New Roman" w:eastAsia="Arial" w:hAnsi="Arial" w:cs="Arial"/>
              </w:rPr>
              <w:t>No.</w:t>
            </w:r>
            <w:r w:rsidRPr="00DB63AB">
              <w:rPr>
                <w:rFonts w:ascii="Times New Roman" w:eastAsia="Arial" w:hAnsi="Arial" w:cs="Arial"/>
                <w:spacing w:val="-3"/>
              </w:rPr>
              <w:t xml:space="preserve"> </w:t>
            </w:r>
            <w:r w:rsidRPr="00DB63AB">
              <w:rPr>
                <w:rFonts w:ascii="Times New Roman" w:eastAsia="Arial" w:hAnsi="Arial" w:cs="Arial"/>
              </w:rPr>
              <w:t>3-</w:t>
            </w:r>
            <w:r w:rsidRPr="00DB63AB">
              <w:rPr>
                <w:rFonts w:ascii="Times New Roman" w:eastAsia="Arial" w:hAnsi="Arial" w:cs="Arial"/>
                <w:spacing w:val="-10"/>
              </w:rPr>
              <w:t>Q</w:t>
            </w:r>
          </w:p>
          <w:p w:rsidR="00DB63AB" w:rsidRPr="00DB63AB" w:rsidP="00DB63AB" w14:paraId="5DBC9F30" w14:textId="77777777">
            <w:pPr>
              <w:spacing w:after="0" w:line="240" w:lineRule="auto"/>
              <w:rPr>
                <w:rFonts w:ascii="Times New Roman" w:hAnsi="Times New Roman" w:eastAsiaTheme="minorHAnsi"/>
                <w:sz w:val="26"/>
              </w:rPr>
            </w:pPr>
            <w:r w:rsidRPr="00DB63AB">
              <w:rPr>
                <w:rFonts w:ascii="Times New Roman" w:hAnsi="Times New Roman" w:eastAsiaTheme="minorHAnsi"/>
                <w:spacing w:val="-2"/>
              </w:rPr>
              <w:t>electric</w:t>
            </w:r>
            <w:r>
              <w:rPr>
                <w:rFonts w:ascii="Times New Roman" w:hAnsi="Times New Roman" w:eastAsiaTheme="minorHAnsi"/>
                <w:b/>
                <w:spacing w:val="-2"/>
                <w:sz w:val="26"/>
                <w:vertAlign w:val="superscript"/>
              </w:rPr>
              <w:footnoteReference w:id="15"/>
            </w:r>
          </w:p>
        </w:tc>
        <w:tc>
          <w:tcPr>
            <w:tcW w:w="1284" w:type="dxa"/>
          </w:tcPr>
          <w:p w:rsidR="00DB63AB" w:rsidRPr="00DB63AB" w:rsidP="00DB63AB" w14:paraId="2833D3AC" w14:textId="77777777">
            <w:pPr>
              <w:spacing w:before="5" w:after="0" w:line="240" w:lineRule="auto"/>
              <w:jc w:val="right"/>
              <w:rPr>
                <w:rFonts w:ascii="Times New Roman" w:eastAsia="Arial" w:hAnsi="Arial" w:cs="Arial"/>
                <w:sz w:val="25"/>
              </w:rPr>
            </w:pPr>
          </w:p>
          <w:p w:rsidR="00DB63AB" w:rsidRPr="00DB63AB" w:rsidP="00DB63AB" w14:paraId="674C4227" w14:textId="77777777">
            <w:pPr>
              <w:spacing w:after="0" w:line="240" w:lineRule="auto"/>
              <w:jc w:val="right"/>
              <w:rPr>
                <w:rFonts w:ascii="Times New Roman" w:hAnsi="Times New Roman" w:eastAsiaTheme="minorHAnsi"/>
                <w:sz w:val="26"/>
              </w:rPr>
            </w:pPr>
            <w:r w:rsidRPr="00DB63AB">
              <w:rPr>
                <w:rFonts w:ascii="Times New Roman" w:hAnsi="Times New Roman" w:eastAsiaTheme="minorHAnsi"/>
                <w:spacing w:val="-5"/>
              </w:rPr>
              <w:t>221</w:t>
            </w:r>
          </w:p>
        </w:tc>
        <w:tc>
          <w:tcPr>
            <w:tcW w:w="1447" w:type="dxa"/>
          </w:tcPr>
          <w:p w:rsidR="00DB63AB" w:rsidRPr="00DB63AB" w:rsidP="00DB63AB" w14:paraId="7392B5BF" w14:textId="77777777">
            <w:pPr>
              <w:spacing w:before="5" w:after="0" w:line="240" w:lineRule="auto"/>
              <w:jc w:val="right"/>
              <w:rPr>
                <w:rFonts w:ascii="Times New Roman" w:eastAsia="Arial" w:hAnsi="Arial" w:cs="Arial"/>
                <w:sz w:val="25"/>
              </w:rPr>
            </w:pPr>
          </w:p>
          <w:p w:rsidR="00DB63AB" w:rsidRPr="00DB63AB" w:rsidP="00DB63AB" w14:paraId="5E534996" w14:textId="77777777">
            <w:pPr>
              <w:spacing w:after="0" w:line="240" w:lineRule="auto"/>
              <w:jc w:val="right"/>
              <w:rPr>
                <w:rFonts w:ascii="Times New Roman" w:hAnsi="Times New Roman" w:eastAsiaTheme="minorHAnsi"/>
                <w:sz w:val="26"/>
              </w:rPr>
            </w:pPr>
            <w:r w:rsidRPr="00DB63AB">
              <w:rPr>
                <w:rFonts w:ascii="Times New Roman" w:hAnsi="Times New Roman" w:eastAsiaTheme="minorHAnsi"/>
              </w:rPr>
              <w:t>3</w:t>
            </w:r>
          </w:p>
        </w:tc>
        <w:tc>
          <w:tcPr>
            <w:tcW w:w="1108" w:type="dxa"/>
          </w:tcPr>
          <w:p w:rsidR="00DB63AB" w:rsidRPr="00DB63AB" w:rsidP="00DB63AB" w14:paraId="3C3ADA3B" w14:textId="77777777">
            <w:pPr>
              <w:spacing w:before="5" w:after="0" w:line="240" w:lineRule="auto"/>
              <w:jc w:val="right"/>
              <w:rPr>
                <w:rFonts w:ascii="Times New Roman" w:eastAsia="Arial" w:hAnsi="Arial" w:cs="Arial"/>
                <w:sz w:val="25"/>
              </w:rPr>
            </w:pPr>
          </w:p>
          <w:p w:rsidR="00DB63AB" w:rsidRPr="00DB63AB" w:rsidP="00DB63AB" w14:paraId="38D2E200" w14:textId="77777777">
            <w:pPr>
              <w:spacing w:after="0" w:line="240" w:lineRule="auto"/>
              <w:jc w:val="right"/>
              <w:rPr>
                <w:rFonts w:ascii="Times New Roman" w:hAnsi="Times New Roman" w:eastAsiaTheme="minorHAnsi"/>
                <w:sz w:val="26"/>
              </w:rPr>
            </w:pPr>
            <w:r w:rsidRPr="00DB63AB">
              <w:rPr>
                <w:rFonts w:ascii="Times New Roman" w:hAnsi="Times New Roman" w:eastAsiaTheme="minorHAnsi"/>
                <w:spacing w:val="-5"/>
              </w:rPr>
              <w:t>663</w:t>
            </w:r>
          </w:p>
        </w:tc>
        <w:tc>
          <w:tcPr>
            <w:tcW w:w="1387" w:type="dxa"/>
          </w:tcPr>
          <w:p w:rsidR="00DB63AB" w:rsidRPr="00DB63AB" w:rsidP="00DB63AB" w14:paraId="0D34E84E" w14:textId="5AC9CCFE">
            <w:pPr>
              <w:spacing w:before="62" w:after="0" w:line="240" w:lineRule="auto"/>
              <w:ind w:right="98"/>
              <w:jc w:val="right"/>
              <w:rPr>
                <w:rFonts w:ascii="Times New Roman" w:eastAsia="Arial" w:hAnsi="Arial" w:cs="Arial"/>
              </w:rPr>
            </w:pPr>
            <w:r w:rsidRPr="00DB63AB">
              <w:rPr>
                <w:rFonts w:ascii="Times New Roman" w:eastAsia="Arial" w:hAnsi="Arial" w:cs="Arial"/>
              </w:rPr>
              <w:t xml:space="preserve">0 </w:t>
            </w:r>
            <w:r w:rsidRPr="00DB63AB">
              <w:rPr>
                <w:rFonts w:ascii="Times New Roman" w:eastAsia="Arial" w:hAnsi="Arial" w:cs="Arial"/>
                <w:spacing w:val="-4"/>
              </w:rPr>
              <w:t>hrs.</w:t>
            </w:r>
            <w:r w:rsidR="00750374">
              <w:rPr>
                <w:rFonts w:ascii="Times New Roman" w:eastAsia="Arial" w:hAnsi="Arial" w:cs="Arial"/>
                <w:spacing w:val="-4"/>
              </w:rPr>
              <w:t>;</w:t>
            </w:r>
          </w:p>
          <w:p w:rsidR="00DB63AB" w:rsidRPr="00DB63AB" w:rsidP="00DB63AB" w14:paraId="41C0A4B2" w14:textId="77777777">
            <w:pPr>
              <w:spacing w:after="0" w:line="240" w:lineRule="auto"/>
              <w:jc w:val="right"/>
              <w:rPr>
                <w:rFonts w:ascii="Times New Roman" w:hAnsi="Times New Roman" w:eastAsiaTheme="minorHAnsi"/>
                <w:sz w:val="26"/>
              </w:rPr>
            </w:pPr>
            <w:r w:rsidRPr="00DB63AB">
              <w:rPr>
                <w:rFonts w:ascii="Times New Roman" w:hAnsi="Times New Roman" w:eastAsiaTheme="minorHAnsi"/>
                <w:spacing w:val="-5"/>
              </w:rPr>
              <w:t>$0</w:t>
            </w:r>
          </w:p>
        </w:tc>
        <w:tc>
          <w:tcPr>
            <w:tcW w:w="1344" w:type="dxa"/>
          </w:tcPr>
          <w:p w:rsidR="00DB63AB" w:rsidRPr="00DB63AB" w:rsidP="00DB63AB" w14:paraId="167B0886" w14:textId="1CB8DE79">
            <w:pPr>
              <w:spacing w:before="62" w:after="0" w:line="240" w:lineRule="auto"/>
              <w:ind w:right="98"/>
              <w:jc w:val="right"/>
              <w:rPr>
                <w:rFonts w:ascii="Times New Roman" w:eastAsia="Arial" w:hAnsi="Arial" w:cs="Arial"/>
              </w:rPr>
            </w:pPr>
            <w:r w:rsidRPr="00DB63AB">
              <w:rPr>
                <w:rFonts w:ascii="Times New Roman" w:eastAsia="Arial" w:hAnsi="Arial" w:cs="Arial"/>
              </w:rPr>
              <w:t xml:space="preserve">0 </w:t>
            </w:r>
            <w:r w:rsidRPr="00DB63AB">
              <w:rPr>
                <w:rFonts w:ascii="Times New Roman" w:eastAsia="Arial" w:hAnsi="Arial" w:cs="Arial"/>
                <w:spacing w:val="-4"/>
              </w:rPr>
              <w:t>hrs.</w:t>
            </w:r>
            <w:r w:rsidR="00750374">
              <w:rPr>
                <w:rFonts w:ascii="Times New Roman" w:eastAsia="Arial" w:hAnsi="Arial" w:cs="Arial"/>
                <w:spacing w:val="-4"/>
              </w:rPr>
              <w:t>;</w:t>
            </w:r>
          </w:p>
          <w:p w:rsidR="00DB63AB" w:rsidRPr="00DB63AB" w:rsidP="00DB63AB" w14:paraId="0902B794" w14:textId="77777777">
            <w:pPr>
              <w:spacing w:after="0" w:line="240" w:lineRule="auto"/>
              <w:jc w:val="right"/>
              <w:rPr>
                <w:rFonts w:ascii="Times New Roman" w:hAnsi="Times New Roman" w:eastAsiaTheme="minorHAnsi"/>
                <w:sz w:val="26"/>
              </w:rPr>
            </w:pPr>
            <w:r w:rsidRPr="00DB63AB">
              <w:rPr>
                <w:rFonts w:ascii="Times New Roman" w:hAnsi="Times New Roman" w:eastAsiaTheme="minorHAnsi"/>
                <w:spacing w:val="-5"/>
              </w:rPr>
              <w:t>$0</w:t>
            </w:r>
          </w:p>
        </w:tc>
        <w:tc>
          <w:tcPr>
            <w:tcW w:w="1485" w:type="dxa"/>
          </w:tcPr>
          <w:p w:rsidR="00DB63AB" w:rsidRPr="00DB63AB" w:rsidP="00DB63AB" w14:paraId="48495366" w14:textId="77777777">
            <w:pPr>
              <w:spacing w:before="5" w:after="0" w:line="240" w:lineRule="auto"/>
              <w:jc w:val="right"/>
              <w:rPr>
                <w:rFonts w:ascii="Times New Roman" w:eastAsia="Arial" w:hAnsi="Arial" w:cs="Arial"/>
                <w:sz w:val="25"/>
              </w:rPr>
            </w:pPr>
          </w:p>
          <w:p w:rsidR="00DB63AB" w:rsidRPr="00DB63AB" w:rsidP="00DB63AB" w14:paraId="40115775" w14:textId="77777777">
            <w:pPr>
              <w:spacing w:after="0" w:line="240" w:lineRule="auto"/>
              <w:jc w:val="right"/>
              <w:rPr>
                <w:rFonts w:ascii="Times New Roman" w:hAnsi="Times New Roman" w:eastAsiaTheme="minorHAnsi"/>
                <w:sz w:val="26"/>
              </w:rPr>
            </w:pPr>
            <w:r w:rsidRPr="00DB63AB">
              <w:rPr>
                <w:rFonts w:ascii="Times New Roman" w:hAnsi="Times New Roman" w:eastAsiaTheme="minorHAnsi"/>
                <w:spacing w:val="-5"/>
              </w:rPr>
              <w:t>$0</w:t>
            </w:r>
          </w:p>
        </w:tc>
      </w:tr>
      <w:tr w14:paraId="6BA25155" w14:textId="77777777" w:rsidTr="00780A75">
        <w:tblPrEx>
          <w:tblW w:w="9610" w:type="dxa"/>
          <w:tblLook w:val="04A0"/>
        </w:tblPrEx>
        <w:trPr>
          <w:trHeight w:val="100"/>
        </w:trPr>
        <w:tc>
          <w:tcPr>
            <w:tcW w:w="1555" w:type="dxa"/>
          </w:tcPr>
          <w:p w:rsidR="00DB63AB" w:rsidRPr="00DB63AB" w:rsidP="00DB63AB" w14:paraId="799980E2" w14:textId="77777777">
            <w:pPr>
              <w:spacing w:after="0" w:line="240" w:lineRule="auto"/>
              <w:rPr>
                <w:rFonts w:ascii="Times New Roman" w:hAnsi="Times New Roman" w:eastAsiaTheme="minorHAnsi"/>
                <w:sz w:val="26"/>
              </w:rPr>
            </w:pPr>
            <w:r w:rsidRPr="00DB63AB">
              <w:rPr>
                <w:rFonts w:ascii="Times New Roman" w:hAnsi="Times New Roman" w:eastAsiaTheme="minorHAnsi"/>
              </w:rPr>
              <w:t>Form</w:t>
            </w:r>
            <w:r w:rsidRPr="00DB63AB">
              <w:rPr>
                <w:rFonts w:ascii="Times New Roman" w:hAnsi="Times New Roman" w:eastAsiaTheme="minorHAnsi"/>
                <w:spacing w:val="-4"/>
              </w:rPr>
              <w:t xml:space="preserve"> </w:t>
            </w:r>
            <w:r w:rsidRPr="00DB63AB">
              <w:rPr>
                <w:rFonts w:ascii="Times New Roman" w:hAnsi="Times New Roman" w:eastAsiaTheme="minorHAnsi"/>
              </w:rPr>
              <w:t>No.</w:t>
            </w:r>
            <w:r w:rsidRPr="00DB63AB">
              <w:rPr>
                <w:rFonts w:ascii="Times New Roman" w:hAnsi="Times New Roman" w:eastAsiaTheme="minorHAnsi"/>
                <w:spacing w:val="-3"/>
              </w:rPr>
              <w:t xml:space="preserve"> </w:t>
            </w:r>
            <w:r w:rsidRPr="00DB63AB">
              <w:rPr>
                <w:rFonts w:ascii="Times New Roman" w:hAnsi="Times New Roman" w:eastAsiaTheme="minorHAnsi"/>
                <w:spacing w:val="-5"/>
              </w:rPr>
              <w:t>60</w:t>
            </w:r>
          </w:p>
        </w:tc>
        <w:tc>
          <w:tcPr>
            <w:tcW w:w="1284" w:type="dxa"/>
          </w:tcPr>
          <w:p w:rsidR="00DB63AB" w:rsidRPr="00DB63AB" w:rsidP="00DB63AB" w14:paraId="10F249ED" w14:textId="77777777">
            <w:pPr>
              <w:spacing w:before="7" w:after="0" w:line="240" w:lineRule="auto"/>
              <w:jc w:val="right"/>
              <w:rPr>
                <w:rFonts w:ascii="Times New Roman" w:eastAsia="Arial" w:hAnsi="Arial" w:cs="Arial"/>
                <w:sz w:val="19"/>
              </w:rPr>
            </w:pPr>
          </w:p>
          <w:p w:rsidR="00DB63AB" w:rsidRPr="00DB63AB" w:rsidP="00DB63AB" w14:paraId="3A0ACB43" w14:textId="77777777">
            <w:pPr>
              <w:spacing w:after="0" w:line="240" w:lineRule="auto"/>
              <w:jc w:val="right"/>
              <w:rPr>
                <w:rFonts w:ascii="Times New Roman" w:hAnsi="Times New Roman" w:eastAsiaTheme="minorHAnsi"/>
                <w:sz w:val="26"/>
              </w:rPr>
            </w:pPr>
            <w:r w:rsidRPr="00DB63AB">
              <w:rPr>
                <w:rFonts w:ascii="Times New Roman" w:hAnsi="Times New Roman" w:eastAsiaTheme="minorHAnsi"/>
                <w:spacing w:val="-5"/>
              </w:rPr>
              <w:t>42</w:t>
            </w:r>
          </w:p>
        </w:tc>
        <w:tc>
          <w:tcPr>
            <w:tcW w:w="1447" w:type="dxa"/>
          </w:tcPr>
          <w:p w:rsidR="00DB63AB" w:rsidRPr="00DB63AB" w:rsidP="00DB63AB" w14:paraId="4B248BBA" w14:textId="77777777">
            <w:pPr>
              <w:spacing w:before="7" w:after="0" w:line="240" w:lineRule="auto"/>
              <w:jc w:val="right"/>
              <w:rPr>
                <w:rFonts w:ascii="Times New Roman" w:eastAsia="Arial" w:hAnsi="Arial" w:cs="Arial"/>
                <w:sz w:val="19"/>
              </w:rPr>
            </w:pPr>
          </w:p>
          <w:p w:rsidR="00DB63AB" w:rsidRPr="00DB63AB" w:rsidP="00DB63AB" w14:paraId="541135DC" w14:textId="77777777">
            <w:pPr>
              <w:spacing w:after="0" w:line="240" w:lineRule="auto"/>
              <w:jc w:val="right"/>
              <w:rPr>
                <w:rFonts w:ascii="Times New Roman" w:hAnsi="Times New Roman" w:eastAsiaTheme="minorHAnsi"/>
                <w:sz w:val="26"/>
              </w:rPr>
            </w:pPr>
            <w:r w:rsidRPr="00DB63AB">
              <w:rPr>
                <w:rFonts w:ascii="Times New Roman" w:hAnsi="Times New Roman" w:eastAsiaTheme="minorHAnsi"/>
              </w:rPr>
              <w:t>1</w:t>
            </w:r>
          </w:p>
        </w:tc>
        <w:tc>
          <w:tcPr>
            <w:tcW w:w="1108" w:type="dxa"/>
          </w:tcPr>
          <w:p w:rsidR="00DB63AB" w:rsidRPr="00DB63AB" w:rsidP="00DB63AB" w14:paraId="334C2A37" w14:textId="77777777">
            <w:pPr>
              <w:spacing w:before="7" w:after="0" w:line="240" w:lineRule="auto"/>
              <w:jc w:val="right"/>
              <w:rPr>
                <w:rFonts w:ascii="Times New Roman" w:eastAsia="Arial" w:hAnsi="Arial" w:cs="Arial"/>
                <w:sz w:val="19"/>
              </w:rPr>
            </w:pPr>
          </w:p>
          <w:p w:rsidR="00DB63AB" w:rsidRPr="00DB63AB" w:rsidP="00DB63AB" w14:paraId="0BFC4C09" w14:textId="77777777">
            <w:pPr>
              <w:spacing w:after="0" w:line="240" w:lineRule="auto"/>
              <w:jc w:val="right"/>
              <w:rPr>
                <w:rFonts w:ascii="Times New Roman" w:hAnsi="Times New Roman" w:eastAsiaTheme="minorHAnsi"/>
                <w:sz w:val="26"/>
              </w:rPr>
            </w:pPr>
            <w:r w:rsidRPr="00DB63AB">
              <w:rPr>
                <w:rFonts w:ascii="Times New Roman" w:hAnsi="Times New Roman" w:eastAsiaTheme="minorHAnsi"/>
                <w:spacing w:val="-5"/>
              </w:rPr>
              <w:t>42</w:t>
            </w:r>
          </w:p>
        </w:tc>
        <w:tc>
          <w:tcPr>
            <w:tcW w:w="1387" w:type="dxa"/>
          </w:tcPr>
          <w:p w:rsidR="00DB63AB" w:rsidRPr="00DB63AB" w:rsidP="00DB63AB" w14:paraId="68FDB6C1" w14:textId="77777777">
            <w:pPr>
              <w:spacing w:after="0" w:line="240" w:lineRule="auto"/>
              <w:ind w:right="101"/>
              <w:jc w:val="right"/>
              <w:rPr>
                <w:rFonts w:ascii="Times New Roman" w:eastAsia="Arial" w:hAnsi="Arial" w:cs="Arial"/>
              </w:rPr>
            </w:pPr>
            <w:r w:rsidRPr="00DB63AB">
              <w:rPr>
                <w:rFonts w:ascii="Times New Roman" w:eastAsia="Arial" w:hAnsi="Arial" w:cs="Arial"/>
              </w:rPr>
              <w:t>3.7</w:t>
            </w:r>
            <w:r w:rsidRPr="00DB63AB">
              <w:rPr>
                <w:rFonts w:ascii="Times New Roman" w:eastAsia="Arial" w:hAnsi="Arial" w:cs="Arial"/>
                <w:spacing w:val="-5"/>
              </w:rPr>
              <w:t xml:space="preserve"> </w:t>
            </w:r>
            <w:r w:rsidRPr="00DB63AB">
              <w:rPr>
                <w:rFonts w:ascii="Times New Roman" w:eastAsia="Arial" w:hAnsi="Arial" w:cs="Arial"/>
                <w:spacing w:val="-2"/>
              </w:rPr>
              <w:t>hrs.;</w:t>
            </w:r>
          </w:p>
          <w:p w:rsidR="00DB63AB" w:rsidRPr="00DB63AB" w:rsidP="00DB63AB" w14:paraId="685900DF" w14:textId="77777777">
            <w:pPr>
              <w:spacing w:after="0" w:line="240" w:lineRule="auto"/>
              <w:jc w:val="right"/>
              <w:rPr>
                <w:rFonts w:ascii="Times New Roman" w:hAnsi="Times New Roman" w:eastAsiaTheme="minorHAnsi"/>
                <w:sz w:val="26"/>
              </w:rPr>
            </w:pPr>
            <w:r w:rsidRPr="00DB63AB">
              <w:rPr>
                <w:rFonts w:ascii="Times New Roman" w:hAnsi="Times New Roman" w:eastAsiaTheme="minorHAnsi"/>
                <w:spacing w:val="-4"/>
              </w:rPr>
              <w:t>$336.70</w:t>
            </w:r>
          </w:p>
        </w:tc>
        <w:tc>
          <w:tcPr>
            <w:tcW w:w="1344" w:type="dxa"/>
          </w:tcPr>
          <w:p w:rsidR="00DB63AB" w:rsidRPr="00DB63AB" w:rsidP="00DB63AB" w14:paraId="39836765" w14:textId="77777777">
            <w:pPr>
              <w:spacing w:after="0" w:line="240" w:lineRule="auto"/>
              <w:ind w:right="101"/>
              <w:jc w:val="right"/>
              <w:rPr>
                <w:rFonts w:ascii="Times New Roman" w:eastAsia="Arial" w:hAnsi="Arial" w:cs="Arial"/>
              </w:rPr>
            </w:pPr>
            <w:r w:rsidRPr="00DB63AB">
              <w:rPr>
                <w:rFonts w:ascii="Times New Roman" w:eastAsia="Arial" w:hAnsi="Arial" w:cs="Arial"/>
              </w:rPr>
              <w:t>155.4</w:t>
            </w:r>
            <w:r w:rsidRPr="00DB63AB">
              <w:rPr>
                <w:rFonts w:ascii="Times New Roman" w:eastAsia="Arial" w:hAnsi="Arial" w:cs="Arial"/>
                <w:spacing w:val="-7"/>
              </w:rPr>
              <w:t xml:space="preserve"> </w:t>
            </w:r>
            <w:r w:rsidRPr="00DB63AB">
              <w:rPr>
                <w:rFonts w:ascii="Times New Roman" w:eastAsia="Arial" w:hAnsi="Arial" w:cs="Arial"/>
                <w:spacing w:val="-2"/>
              </w:rPr>
              <w:t>hrs.;</w:t>
            </w:r>
          </w:p>
          <w:p w:rsidR="00DB63AB" w:rsidRPr="00DB63AB" w:rsidP="00DB63AB" w14:paraId="01225541" w14:textId="77777777">
            <w:pPr>
              <w:spacing w:after="0" w:line="240" w:lineRule="auto"/>
              <w:jc w:val="right"/>
              <w:rPr>
                <w:rFonts w:ascii="Times New Roman" w:hAnsi="Times New Roman" w:eastAsiaTheme="minorHAnsi"/>
                <w:sz w:val="26"/>
              </w:rPr>
            </w:pPr>
            <w:r w:rsidRPr="00DB63AB">
              <w:rPr>
                <w:rFonts w:ascii="Times New Roman" w:hAnsi="Times New Roman" w:eastAsiaTheme="minorHAnsi"/>
                <w:spacing w:val="-2"/>
              </w:rPr>
              <w:t>$14,141.40</w:t>
            </w:r>
          </w:p>
        </w:tc>
        <w:tc>
          <w:tcPr>
            <w:tcW w:w="1485" w:type="dxa"/>
          </w:tcPr>
          <w:p w:rsidR="00DB63AB" w:rsidRPr="00DB63AB" w:rsidP="00DB63AB" w14:paraId="1D2D3DA3" w14:textId="77777777">
            <w:pPr>
              <w:spacing w:after="0" w:line="240" w:lineRule="auto"/>
              <w:jc w:val="right"/>
              <w:rPr>
                <w:rFonts w:ascii="Times New Roman" w:hAnsi="Times New Roman" w:eastAsiaTheme="minorHAnsi"/>
                <w:sz w:val="26"/>
              </w:rPr>
            </w:pPr>
            <w:r w:rsidRPr="00DB63AB">
              <w:rPr>
                <w:rFonts w:ascii="Times New Roman" w:hAnsi="Times New Roman" w:eastAsiaTheme="minorHAnsi"/>
                <w:spacing w:val="-4"/>
              </w:rPr>
              <w:t>$336.70</w:t>
            </w:r>
          </w:p>
        </w:tc>
      </w:tr>
      <w:tr w14:paraId="0B5E37FA" w14:textId="77777777" w:rsidTr="00780A75">
        <w:tblPrEx>
          <w:tblW w:w="9610" w:type="dxa"/>
          <w:tblLook w:val="04A0"/>
        </w:tblPrEx>
        <w:trPr>
          <w:trHeight w:val="100"/>
        </w:trPr>
        <w:tc>
          <w:tcPr>
            <w:tcW w:w="1555" w:type="dxa"/>
          </w:tcPr>
          <w:p w:rsidR="00DB63AB" w:rsidRPr="00DB63AB" w:rsidP="00DB63AB" w14:paraId="4D171B48" w14:textId="77777777">
            <w:pPr>
              <w:spacing w:after="0" w:line="240" w:lineRule="auto"/>
              <w:rPr>
                <w:rFonts w:ascii="Times New Roman" w:hAnsi="Times New Roman" w:eastAsiaTheme="minorHAnsi"/>
                <w:sz w:val="26"/>
              </w:rPr>
            </w:pPr>
            <w:r w:rsidRPr="00DB63AB">
              <w:rPr>
                <w:rFonts w:ascii="Times New Roman" w:hAnsi="Times New Roman" w:eastAsiaTheme="minorHAnsi"/>
                <w:b/>
              </w:rPr>
              <w:t xml:space="preserve">Total for </w:t>
            </w:r>
            <w:r w:rsidRPr="00DB63AB">
              <w:rPr>
                <w:rFonts w:ascii="Times New Roman" w:hAnsi="Times New Roman" w:eastAsiaTheme="minorHAnsi"/>
                <w:b/>
                <w:spacing w:val="-2"/>
              </w:rPr>
              <w:t>Implementation Burden</w:t>
            </w:r>
          </w:p>
        </w:tc>
        <w:tc>
          <w:tcPr>
            <w:tcW w:w="2731" w:type="dxa"/>
            <w:gridSpan w:val="2"/>
            <w:shd w:val="clear" w:color="auto" w:fill="D9D9D9" w:themeFill="background1" w:themeFillShade="D9"/>
          </w:tcPr>
          <w:p w:rsidR="00DB63AB" w:rsidRPr="00DB63AB" w:rsidP="00DB63AB" w14:paraId="0A7E82E2" w14:textId="77777777">
            <w:pPr>
              <w:spacing w:after="0" w:line="240" w:lineRule="auto"/>
              <w:jc w:val="right"/>
              <w:rPr>
                <w:rFonts w:ascii="Times New Roman" w:hAnsi="Times New Roman" w:eastAsiaTheme="minorHAnsi"/>
                <w:sz w:val="26"/>
              </w:rPr>
            </w:pPr>
          </w:p>
        </w:tc>
        <w:tc>
          <w:tcPr>
            <w:tcW w:w="1108" w:type="dxa"/>
          </w:tcPr>
          <w:p w:rsidR="00DB63AB" w:rsidRPr="00DB63AB" w:rsidP="00DB63AB" w14:paraId="326FD6E5" w14:textId="77777777">
            <w:pPr>
              <w:spacing w:after="0" w:line="240" w:lineRule="auto"/>
              <w:jc w:val="right"/>
              <w:rPr>
                <w:rFonts w:ascii="Times New Roman" w:hAnsi="Times New Roman" w:eastAsiaTheme="minorHAnsi"/>
                <w:spacing w:val="-5"/>
              </w:rPr>
            </w:pPr>
          </w:p>
          <w:p w:rsidR="00DB63AB" w:rsidRPr="00DB63AB" w:rsidP="00DB63AB" w14:paraId="0793CAEA" w14:textId="77777777">
            <w:pPr>
              <w:spacing w:after="0" w:line="240" w:lineRule="auto"/>
              <w:jc w:val="right"/>
              <w:rPr>
                <w:rFonts w:ascii="Times New Roman" w:hAnsi="Times New Roman" w:eastAsiaTheme="minorHAnsi"/>
                <w:spacing w:val="-5"/>
              </w:rPr>
            </w:pPr>
          </w:p>
          <w:p w:rsidR="00DB63AB" w:rsidRPr="00DB63AB" w:rsidP="00DB63AB" w14:paraId="4BDC1D91" w14:textId="77777777">
            <w:pPr>
              <w:spacing w:after="0" w:line="240" w:lineRule="auto"/>
              <w:jc w:val="right"/>
              <w:rPr>
                <w:rFonts w:ascii="Times New Roman" w:hAnsi="Times New Roman" w:eastAsiaTheme="minorHAnsi"/>
                <w:sz w:val="26"/>
              </w:rPr>
            </w:pPr>
            <w:r w:rsidRPr="00DB63AB">
              <w:rPr>
                <w:rFonts w:ascii="Times New Roman" w:hAnsi="Times New Roman" w:eastAsiaTheme="minorHAnsi"/>
                <w:spacing w:val="-5"/>
              </w:rPr>
              <w:t>924</w:t>
            </w:r>
          </w:p>
        </w:tc>
        <w:tc>
          <w:tcPr>
            <w:tcW w:w="1387" w:type="dxa"/>
            <w:shd w:val="clear" w:color="auto" w:fill="D9D9D9" w:themeFill="background1" w:themeFillShade="D9"/>
          </w:tcPr>
          <w:p w:rsidR="00DB63AB" w:rsidRPr="00DB63AB" w:rsidP="00DB63AB" w14:paraId="5667241C" w14:textId="77777777">
            <w:pPr>
              <w:spacing w:after="0" w:line="240" w:lineRule="auto"/>
              <w:jc w:val="right"/>
              <w:rPr>
                <w:rFonts w:ascii="Times New Roman" w:hAnsi="Times New Roman" w:eastAsiaTheme="minorHAnsi"/>
                <w:sz w:val="26"/>
              </w:rPr>
            </w:pPr>
          </w:p>
        </w:tc>
        <w:tc>
          <w:tcPr>
            <w:tcW w:w="1344" w:type="dxa"/>
          </w:tcPr>
          <w:p w:rsidR="00FF30A3" w:rsidP="00FF30A3" w14:paraId="0976A250" w14:textId="77777777">
            <w:pPr>
              <w:spacing w:after="0" w:line="240" w:lineRule="auto"/>
              <w:jc w:val="center"/>
              <w:rPr>
                <w:rFonts w:ascii="Times New Roman" w:hAnsi="Times New Roman" w:eastAsiaTheme="minorHAnsi"/>
                <w:spacing w:val="-2"/>
              </w:rPr>
            </w:pPr>
          </w:p>
          <w:p w:rsidR="00DB63AB" w:rsidRPr="00DB63AB" w14:paraId="4F4593E4" w14:textId="456ABF5C">
            <w:pPr>
              <w:spacing w:after="0" w:line="240" w:lineRule="auto"/>
              <w:jc w:val="right"/>
              <w:rPr>
                <w:rFonts w:ascii="Times New Roman" w:hAnsi="Times New Roman" w:eastAsiaTheme="minorHAnsi"/>
                <w:spacing w:val="-2"/>
              </w:rPr>
            </w:pPr>
            <w:r w:rsidRPr="00DB63AB">
              <w:rPr>
                <w:rFonts w:ascii="Times New Roman" w:hAnsi="Times New Roman" w:eastAsiaTheme="minorHAnsi"/>
                <w:spacing w:val="-2"/>
              </w:rPr>
              <w:t>9,791.4</w:t>
            </w:r>
            <w:r w:rsidR="00FF30A3">
              <w:rPr>
                <w:rFonts w:ascii="Times New Roman" w:hAnsi="Times New Roman" w:eastAsiaTheme="minorHAnsi"/>
                <w:spacing w:val="-2"/>
              </w:rPr>
              <w:t xml:space="preserve"> </w:t>
            </w:r>
            <w:r w:rsidRPr="00DB63AB">
              <w:rPr>
                <w:rFonts w:ascii="Times New Roman" w:hAnsi="Times New Roman" w:eastAsiaTheme="minorHAnsi"/>
                <w:spacing w:val="-2"/>
              </w:rPr>
              <w:t>hrs.;</w:t>
            </w:r>
          </w:p>
          <w:p w:rsidR="00DB63AB" w:rsidRPr="00DB63AB" w:rsidP="00DB63AB" w14:paraId="3B478106" w14:textId="77777777">
            <w:pPr>
              <w:spacing w:after="0" w:line="240" w:lineRule="auto"/>
              <w:jc w:val="right"/>
              <w:rPr>
                <w:rFonts w:ascii="Times New Roman" w:hAnsi="Times New Roman" w:eastAsiaTheme="minorHAnsi"/>
                <w:spacing w:val="-2"/>
              </w:rPr>
            </w:pPr>
            <w:r w:rsidRPr="00DB63AB">
              <w:rPr>
                <w:rFonts w:ascii="Times New Roman" w:hAnsi="Times New Roman" w:eastAsiaTheme="minorHAnsi"/>
                <w:spacing w:val="-2"/>
              </w:rPr>
              <w:t>$891,017.40</w:t>
            </w:r>
          </w:p>
        </w:tc>
        <w:tc>
          <w:tcPr>
            <w:tcW w:w="1485" w:type="dxa"/>
            <w:shd w:val="clear" w:color="auto" w:fill="D9D9D9" w:themeFill="background1" w:themeFillShade="D9"/>
          </w:tcPr>
          <w:p w:rsidR="00DB63AB" w:rsidRPr="00DB63AB" w:rsidP="00DB63AB" w14:paraId="412D8BEF" w14:textId="77777777">
            <w:pPr>
              <w:spacing w:after="0" w:line="240" w:lineRule="auto"/>
              <w:jc w:val="right"/>
              <w:rPr>
                <w:rFonts w:ascii="Times New Roman" w:hAnsi="Times New Roman" w:eastAsiaTheme="minorHAnsi"/>
                <w:sz w:val="26"/>
              </w:rPr>
            </w:pPr>
          </w:p>
        </w:tc>
      </w:tr>
    </w:tbl>
    <w:p w:rsidR="00A14BA2" w14:paraId="263972AC" w14:textId="77777777">
      <w:pPr>
        <w:spacing w:after="0" w:line="240" w:lineRule="auto"/>
        <w:rPr>
          <w:rFonts w:ascii="Times New Roman" w:hAnsi="Times New Roman"/>
          <w:sz w:val="26"/>
          <w:szCs w:val="26"/>
        </w:rPr>
      </w:pPr>
    </w:p>
    <w:p w:rsidR="00ED6497" w:rsidRPr="0073506C" w14:paraId="34B95CF5" w14:textId="36A122D8">
      <w:pPr>
        <w:spacing w:after="0" w:line="240" w:lineRule="auto"/>
        <w:rPr>
          <w:rFonts w:ascii="Times New Roman" w:hAnsi="Times New Roman"/>
          <w:sz w:val="26"/>
          <w:szCs w:val="26"/>
        </w:rPr>
      </w:pPr>
      <w:r w:rsidRPr="0073506C">
        <w:rPr>
          <w:rFonts w:ascii="Times New Roman" w:hAnsi="Times New Roman"/>
          <w:sz w:val="26"/>
          <w:szCs w:val="26"/>
        </w:rPr>
        <w:t>The</w:t>
      </w:r>
      <w:r>
        <w:rPr>
          <w:rFonts w:ascii="Times New Roman" w:hAnsi="Times New Roman"/>
          <w:sz w:val="26"/>
          <w:szCs w:val="26"/>
        </w:rPr>
        <w:t xml:space="preserve"> ongoing</w:t>
      </w:r>
      <w:r w:rsidRPr="0073506C">
        <w:rPr>
          <w:rFonts w:ascii="Times New Roman" w:hAnsi="Times New Roman"/>
          <w:sz w:val="26"/>
          <w:szCs w:val="26"/>
        </w:rPr>
        <w:t xml:space="preserve"> estimated burden and</w:t>
      </w:r>
      <w:r>
        <w:rPr>
          <w:rFonts w:ascii="Times New Roman" w:hAnsi="Times New Roman"/>
          <w:sz w:val="26"/>
          <w:szCs w:val="26"/>
        </w:rPr>
        <w:t xml:space="preserve"> cost</w:t>
      </w:r>
      <w:r w:rsidRPr="0073506C">
        <w:rPr>
          <w:rFonts w:ascii="Times New Roman" w:hAnsi="Times New Roman"/>
          <w:sz w:val="26"/>
          <w:szCs w:val="26"/>
        </w:rPr>
        <w:t xml:space="preserve"> of the information collections follow.  </w:t>
      </w:r>
    </w:p>
    <w:p w:rsidR="00ED6497" w:rsidP="00BD0F89" w14:paraId="462FFAF9" w14:textId="304BE2DF">
      <w:pPr>
        <w:spacing w:after="0" w:line="240" w:lineRule="auto"/>
        <w:rPr>
          <w:rFonts w:ascii="Times New Roman" w:hAnsi="Times New Roman"/>
          <w:sz w:val="26"/>
          <w:szCs w:val="26"/>
        </w:rPr>
      </w:pPr>
      <w:r>
        <w:rPr>
          <w:rFonts w:ascii="Times New Roman" w:hAnsi="Times New Roman"/>
          <w:sz w:val="26"/>
          <w:szCs w:val="26"/>
        </w:rPr>
        <w:tab/>
      </w:r>
    </w:p>
    <w:tbl>
      <w:tblPr>
        <w:tblStyle w:val="TableGrid2"/>
        <w:tblW w:w="9610" w:type="dxa"/>
        <w:tblLook w:val="04A0"/>
      </w:tblPr>
      <w:tblGrid>
        <w:gridCol w:w="1403"/>
        <w:gridCol w:w="1284"/>
        <w:gridCol w:w="1447"/>
        <w:gridCol w:w="1108"/>
        <w:gridCol w:w="1387"/>
        <w:gridCol w:w="1496"/>
        <w:gridCol w:w="1485"/>
      </w:tblGrid>
      <w:tr w14:paraId="56016A0D" w14:textId="77777777" w:rsidTr="00780A75">
        <w:tblPrEx>
          <w:tblW w:w="9610" w:type="dxa"/>
          <w:tblLook w:val="04A0"/>
        </w:tblPrEx>
        <w:tc>
          <w:tcPr>
            <w:tcW w:w="9610" w:type="dxa"/>
            <w:gridSpan w:val="7"/>
            <w:shd w:val="clear" w:color="auto" w:fill="D9D9D9" w:themeFill="background1" w:themeFillShade="D9"/>
          </w:tcPr>
          <w:p w:rsidR="00491568" w:rsidRPr="00491568" w:rsidP="00491568" w14:paraId="3AC76DEC" w14:textId="5EC28378">
            <w:pPr>
              <w:spacing w:after="0" w:line="210" w:lineRule="exact"/>
              <w:ind w:left="2395" w:right="2381"/>
              <w:jc w:val="center"/>
              <w:rPr>
                <w:rFonts w:ascii="Times New Roman" w:eastAsia="Arial" w:hAnsi="Arial" w:cs="Arial"/>
                <w:b/>
              </w:rPr>
            </w:pPr>
            <w:r w:rsidRPr="00491568">
              <w:rPr>
                <w:rFonts w:ascii="Times New Roman" w:eastAsia="Arial" w:hAnsi="Arial" w:cs="Arial"/>
                <w:b/>
              </w:rPr>
              <w:t xml:space="preserve">Table 2: RM21-11-000 </w:t>
            </w:r>
            <w:r w:rsidRPr="00D04549" w:rsidR="00D04549">
              <w:rPr>
                <w:rFonts w:ascii="Times New Roman" w:eastAsia="Arial" w:hAnsi="Arial" w:cs="Arial"/>
                <w:b/>
              </w:rPr>
              <w:t>Final Rule</w:t>
            </w:r>
          </w:p>
          <w:p w:rsidR="00491568" w:rsidRPr="00491568" w:rsidP="00491568" w14:paraId="0FD0BD78" w14:textId="77777777">
            <w:pPr>
              <w:spacing w:after="0" w:line="210" w:lineRule="exact"/>
              <w:ind w:left="2395" w:right="2381"/>
              <w:jc w:val="center"/>
              <w:rPr>
                <w:rFonts w:ascii="Arial" w:eastAsia="Arial" w:hAnsi="Arial" w:cs="Arial"/>
              </w:rPr>
            </w:pPr>
            <w:r w:rsidRPr="00491568">
              <w:rPr>
                <w:rFonts w:ascii="Times New Roman" w:eastAsia="Arial" w:hAnsi="Arial" w:cs="Arial"/>
                <w:b/>
              </w:rPr>
              <w:t>Annual Ongoing Burden (current), Starting in Year 2</w:t>
            </w:r>
          </w:p>
        </w:tc>
      </w:tr>
      <w:tr w14:paraId="2AAF6812" w14:textId="77777777" w:rsidTr="00780A75">
        <w:tblPrEx>
          <w:tblW w:w="9610" w:type="dxa"/>
          <w:tblLook w:val="04A0"/>
        </w:tblPrEx>
        <w:trPr>
          <w:trHeight w:val="100"/>
        </w:trPr>
        <w:tc>
          <w:tcPr>
            <w:tcW w:w="1555" w:type="dxa"/>
            <w:shd w:val="clear" w:color="auto" w:fill="D9D9D9" w:themeFill="background1" w:themeFillShade="D9"/>
          </w:tcPr>
          <w:p w:rsidR="00491568" w:rsidRPr="00491568" w:rsidP="00491568" w14:paraId="0F4E5D2D" w14:textId="77777777">
            <w:pPr>
              <w:spacing w:after="0" w:line="240" w:lineRule="auto"/>
              <w:jc w:val="center"/>
              <w:rPr>
                <w:rFonts w:ascii="Times New Roman" w:eastAsia="Arial" w:hAnsi="Arial" w:cs="Arial"/>
              </w:rPr>
            </w:pPr>
          </w:p>
          <w:p w:rsidR="00491568" w:rsidRPr="00491568" w:rsidP="00491568" w14:paraId="4C5942C4" w14:textId="77777777">
            <w:pPr>
              <w:spacing w:after="0" w:line="240" w:lineRule="auto"/>
              <w:jc w:val="center"/>
              <w:rPr>
                <w:rFonts w:ascii="Times New Roman" w:eastAsia="Arial" w:hAnsi="Arial" w:cs="Arial"/>
              </w:rPr>
            </w:pPr>
          </w:p>
          <w:p w:rsidR="00491568" w:rsidRPr="00491568" w:rsidP="00491568" w14:paraId="1763349E" w14:textId="77777777">
            <w:pPr>
              <w:spacing w:after="0" w:line="240" w:lineRule="auto"/>
              <w:jc w:val="center"/>
              <w:rPr>
                <w:rFonts w:ascii="Times New Roman" w:eastAsia="Arial" w:hAnsi="Arial" w:cs="Arial"/>
              </w:rPr>
            </w:pPr>
          </w:p>
          <w:p w:rsidR="00491568" w:rsidRPr="00491568" w:rsidP="00491568" w14:paraId="53E65BF4" w14:textId="77777777">
            <w:pPr>
              <w:spacing w:after="0" w:line="240" w:lineRule="auto"/>
              <w:jc w:val="center"/>
              <w:rPr>
                <w:rFonts w:ascii="Times New Roman" w:eastAsia="Arial" w:hAnsi="Arial" w:cs="Arial"/>
              </w:rPr>
            </w:pPr>
          </w:p>
          <w:p w:rsidR="00491568" w:rsidRPr="00491568" w:rsidP="00491568" w14:paraId="47626F37" w14:textId="77777777">
            <w:pPr>
              <w:spacing w:after="0" w:line="240" w:lineRule="auto"/>
              <w:jc w:val="center"/>
              <w:rPr>
                <w:rFonts w:ascii="Times New Roman" w:eastAsia="Arial" w:hAnsi="Arial" w:cs="Arial"/>
                <w:sz w:val="18"/>
              </w:rPr>
            </w:pPr>
          </w:p>
          <w:p w:rsidR="00491568" w:rsidRPr="00491568" w:rsidP="00491568" w14:paraId="26516713" w14:textId="77777777">
            <w:pPr>
              <w:spacing w:after="0" w:line="240" w:lineRule="auto"/>
              <w:jc w:val="center"/>
              <w:rPr>
                <w:rFonts w:ascii="Times New Roman" w:eastAsia="Times New Roman" w:hAnsi="Times New Roman"/>
                <w:sz w:val="26"/>
              </w:rPr>
            </w:pPr>
            <w:r w:rsidRPr="00491568">
              <w:rPr>
                <w:rFonts w:ascii="Times New Roman" w:eastAsia="Times New Roman" w:hAnsi="Times New Roman"/>
                <w:b/>
                <w:spacing w:val="-2"/>
              </w:rPr>
              <w:t>Requirement</w:t>
            </w:r>
          </w:p>
        </w:tc>
        <w:tc>
          <w:tcPr>
            <w:tcW w:w="1284" w:type="dxa"/>
            <w:shd w:val="clear" w:color="auto" w:fill="D9D9D9" w:themeFill="background1" w:themeFillShade="D9"/>
          </w:tcPr>
          <w:p w:rsidR="00491568" w:rsidRPr="00491568" w:rsidP="00491568" w14:paraId="1BEC126E" w14:textId="77777777">
            <w:pPr>
              <w:spacing w:after="0" w:line="240" w:lineRule="auto"/>
              <w:jc w:val="center"/>
              <w:rPr>
                <w:rFonts w:ascii="Times New Roman" w:eastAsia="Arial" w:hAnsi="Arial" w:cs="Arial"/>
              </w:rPr>
            </w:pPr>
          </w:p>
          <w:p w:rsidR="00491568" w:rsidRPr="00491568" w:rsidP="00491568" w14:paraId="4A8BC739" w14:textId="77777777">
            <w:pPr>
              <w:spacing w:after="0" w:line="240" w:lineRule="auto"/>
              <w:jc w:val="center"/>
              <w:rPr>
                <w:rFonts w:ascii="Times New Roman" w:eastAsia="Arial" w:hAnsi="Arial" w:cs="Arial"/>
              </w:rPr>
            </w:pPr>
          </w:p>
          <w:p w:rsidR="00491568" w:rsidRPr="00491568" w:rsidP="00491568" w14:paraId="6F66B790" w14:textId="77777777">
            <w:pPr>
              <w:spacing w:before="3" w:after="0" w:line="240" w:lineRule="auto"/>
              <w:jc w:val="center"/>
              <w:rPr>
                <w:rFonts w:ascii="Times New Roman" w:eastAsia="Arial" w:hAnsi="Arial" w:cs="Arial"/>
              </w:rPr>
            </w:pPr>
          </w:p>
          <w:p w:rsidR="00491568" w:rsidRPr="00491568" w:rsidP="00491568" w14:paraId="529CF1B1" w14:textId="77777777">
            <w:pPr>
              <w:spacing w:after="0" w:line="240" w:lineRule="auto"/>
              <w:jc w:val="center"/>
              <w:rPr>
                <w:rFonts w:ascii="Times New Roman" w:eastAsia="Times New Roman" w:hAnsi="Times New Roman"/>
                <w:sz w:val="26"/>
              </w:rPr>
            </w:pPr>
            <w:r w:rsidRPr="00491568">
              <w:rPr>
                <w:rFonts w:ascii="Times New Roman" w:eastAsia="Times New Roman" w:hAnsi="Times New Roman"/>
                <w:b/>
              </w:rPr>
              <w:t xml:space="preserve">Number of </w:t>
            </w:r>
            <w:r w:rsidRPr="00491568">
              <w:rPr>
                <w:rFonts w:ascii="Times New Roman" w:eastAsia="Times New Roman" w:hAnsi="Times New Roman"/>
                <w:b/>
                <w:spacing w:val="-2"/>
              </w:rPr>
              <w:t xml:space="preserve">Respondents </w:t>
            </w:r>
            <w:r w:rsidRPr="00491568">
              <w:rPr>
                <w:rFonts w:ascii="Times New Roman" w:eastAsia="Times New Roman" w:hAnsi="Times New Roman"/>
                <w:b/>
                <w:spacing w:val="-4"/>
              </w:rPr>
              <w:t>(1)</w:t>
            </w:r>
          </w:p>
        </w:tc>
        <w:tc>
          <w:tcPr>
            <w:tcW w:w="1447" w:type="dxa"/>
            <w:shd w:val="clear" w:color="auto" w:fill="D9D9D9" w:themeFill="background1" w:themeFillShade="D9"/>
          </w:tcPr>
          <w:p w:rsidR="00491568" w:rsidRPr="00491568" w:rsidP="00491568" w14:paraId="69F1002B" w14:textId="77777777">
            <w:pPr>
              <w:spacing w:before="72" w:after="0" w:line="240" w:lineRule="auto"/>
              <w:ind w:left="119" w:right="120" w:firstLine="1"/>
              <w:jc w:val="center"/>
              <w:rPr>
                <w:rFonts w:ascii="Times New Roman" w:eastAsia="Arial" w:hAnsi="Arial" w:cs="Arial"/>
                <w:b/>
              </w:rPr>
            </w:pPr>
            <w:r w:rsidRPr="00491568">
              <w:rPr>
                <w:rFonts w:ascii="Times New Roman" w:eastAsia="Arial" w:hAnsi="Arial" w:cs="Arial"/>
                <w:b/>
                <w:spacing w:val="-2"/>
              </w:rPr>
              <w:t xml:space="preserve">Annual </w:t>
            </w:r>
            <w:r w:rsidRPr="00491568">
              <w:rPr>
                <w:rFonts w:ascii="Times New Roman" w:eastAsia="Arial" w:hAnsi="Arial" w:cs="Arial"/>
                <w:b/>
              </w:rPr>
              <w:t xml:space="preserve">Number of </w:t>
            </w:r>
            <w:r w:rsidRPr="00491568">
              <w:rPr>
                <w:rFonts w:ascii="Times New Roman" w:eastAsia="Arial" w:hAnsi="Arial" w:cs="Arial"/>
                <w:b/>
                <w:spacing w:val="-2"/>
              </w:rPr>
              <w:t xml:space="preserve">Responses </w:t>
            </w:r>
            <w:r w:rsidRPr="00491568">
              <w:rPr>
                <w:rFonts w:ascii="Times New Roman" w:eastAsia="Arial" w:hAnsi="Arial" w:cs="Arial"/>
                <w:b/>
                <w:spacing w:val="-4"/>
              </w:rPr>
              <w:t xml:space="preserve">per </w:t>
            </w:r>
            <w:r w:rsidRPr="00491568">
              <w:rPr>
                <w:rFonts w:ascii="Times New Roman" w:eastAsia="Arial" w:hAnsi="Arial" w:cs="Arial"/>
                <w:b/>
                <w:spacing w:val="-2"/>
              </w:rPr>
              <w:t>Respondent</w:t>
            </w:r>
          </w:p>
          <w:p w:rsidR="00491568" w:rsidRPr="00491568" w:rsidP="00491568" w14:paraId="5DA06EE6" w14:textId="77777777">
            <w:pPr>
              <w:spacing w:after="0" w:line="240" w:lineRule="auto"/>
              <w:jc w:val="center"/>
              <w:rPr>
                <w:rFonts w:ascii="Times New Roman" w:eastAsia="Times New Roman" w:hAnsi="Times New Roman"/>
                <w:sz w:val="26"/>
              </w:rPr>
            </w:pPr>
            <w:r w:rsidRPr="00491568">
              <w:rPr>
                <w:rFonts w:ascii="Times New Roman" w:eastAsia="Times New Roman" w:hAnsi="Times New Roman"/>
                <w:b/>
                <w:spacing w:val="-5"/>
              </w:rPr>
              <w:t>(2)</w:t>
            </w:r>
          </w:p>
        </w:tc>
        <w:tc>
          <w:tcPr>
            <w:tcW w:w="1108" w:type="dxa"/>
            <w:shd w:val="clear" w:color="auto" w:fill="D9D9D9" w:themeFill="background1" w:themeFillShade="D9"/>
          </w:tcPr>
          <w:p w:rsidR="00491568" w:rsidRPr="00491568" w:rsidP="00491568" w14:paraId="6ECB625E" w14:textId="77777777">
            <w:pPr>
              <w:spacing w:after="0" w:line="240" w:lineRule="auto"/>
              <w:jc w:val="center"/>
              <w:rPr>
                <w:rFonts w:ascii="Times New Roman" w:eastAsia="Arial" w:hAnsi="Arial" w:cs="Arial"/>
              </w:rPr>
            </w:pPr>
          </w:p>
          <w:p w:rsidR="00491568" w:rsidRPr="00491568" w:rsidP="00491568" w14:paraId="0B8990CF" w14:textId="77777777">
            <w:pPr>
              <w:spacing w:before="3" w:after="0" w:line="240" w:lineRule="auto"/>
              <w:jc w:val="center"/>
              <w:rPr>
                <w:rFonts w:ascii="Times New Roman" w:eastAsia="Arial" w:hAnsi="Arial" w:cs="Arial"/>
              </w:rPr>
            </w:pPr>
          </w:p>
          <w:p w:rsidR="00491568" w:rsidRPr="00491568" w:rsidP="00491568" w14:paraId="378514F7" w14:textId="77777777">
            <w:pPr>
              <w:spacing w:after="0" w:line="240" w:lineRule="auto"/>
              <w:jc w:val="center"/>
              <w:rPr>
                <w:rFonts w:ascii="Times New Roman" w:eastAsia="Times New Roman" w:hAnsi="Times New Roman"/>
                <w:sz w:val="26"/>
              </w:rPr>
            </w:pPr>
            <w:r w:rsidRPr="00491568">
              <w:rPr>
                <w:rFonts w:ascii="Times New Roman" w:eastAsia="Times New Roman" w:hAnsi="Times New Roman"/>
                <w:b/>
                <w:spacing w:val="-2"/>
              </w:rPr>
              <w:t xml:space="preserve">Total </w:t>
            </w:r>
            <w:r w:rsidRPr="00491568">
              <w:rPr>
                <w:rFonts w:ascii="Times New Roman" w:eastAsia="Times New Roman" w:hAnsi="Times New Roman"/>
                <w:b/>
              </w:rPr>
              <w:t>Number</w:t>
            </w:r>
            <w:r w:rsidRPr="00491568">
              <w:rPr>
                <w:rFonts w:ascii="Times New Roman" w:eastAsia="Times New Roman" w:hAnsi="Times New Roman"/>
                <w:b/>
                <w:spacing w:val="-13"/>
              </w:rPr>
              <w:t xml:space="preserve"> </w:t>
            </w:r>
            <w:r w:rsidRPr="00491568">
              <w:rPr>
                <w:rFonts w:ascii="Times New Roman" w:eastAsia="Times New Roman" w:hAnsi="Times New Roman"/>
                <w:b/>
              </w:rPr>
              <w:t xml:space="preserve">of </w:t>
            </w:r>
            <w:r w:rsidRPr="00491568">
              <w:rPr>
                <w:rFonts w:ascii="Times New Roman" w:eastAsia="Times New Roman" w:hAnsi="Times New Roman"/>
                <w:b/>
                <w:spacing w:val="-2"/>
              </w:rPr>
              <w:t>Responses (1)*(2)=(3)</w:t>
            </w:r>
          </w:p>
        </w:tc>
        <w:tc>
          <w:tcPr>
            <w:tcW w:w="1387" w:type="dxa"/>
            <w:shd w:val="clear" w:color="auto" w:fill="D9D9D9" w:themeFill="background1" w:themeFillShade="D9"/>
          </w:tcPr>
          <w:p w:rsidR="00491568" w:rsidRPr="00491568" w:rsidP="00491568" w14:paraId="07821150" w14:textId="77777777">
            <w:pPr>
              <w:spacing w:before="4" w:after="0" w:line="240" w:lineRule="auto"/>
              <w:ind w:left="194" w:right="192" w:hanging="1"/>
              <w:jc w:val="center"/>
              <w:rPr>
                <w:rFonts w:ascii="Times New Roman" w:eastAsia="Arial" w:hAnsi="Arial" w:cs="Arial"/>
                <w:b/>
                <w:sz w:val="17"/>
              </w:rPr>
            </w:pPr>
            <w:r w:rsidRPr="00491568">
              <w:rPr>
                <w:rFonts w:ascii="Times New Roman" w:eastAsia="Arial" w:hAnsi="Arial" w:cs="Arial"/>
                <w:b/>
                <w:spacing w:val="-2"/>
              </w:rPr>
              <w:t xml:space="preserve">Average </w:t>
            </w:r>
            <w:r w:rsidRPr="00491568">
              <w:rPr>
                <w:rFonts w:ascii="Times New Roman" w:eastAsia="Arial" w:hAnsi="Arial" w:cs="Arial"/>
                <w:b/>
              </w:rPr>
              <w:t>Burden</w:t>
            </w:r>
            <w:r w:rsidRPr="00491568">
              <w:rPr>
                <w:rFonts w:ascii="Times New Roman" w:eastAsia="Arial" w:hAnsi="Arial" w:cs="Arial"/>
                <w:b/>
                <w:spacing w:val="-13"/>
              </w:rPr>
              <w:t xml:space="preserve"> </w:t>
            </w:r>
            <w:r w:rsidRPr="00491568">
              <w:rPr>
                <w:rFonts w:ascii="Times New Roman" w:eastAsia="Arial" w:hAnsi="Arial" w:cs="Arial"/>
                <w:b/>
              </w:rPr>
              <w:t xml:space="preserve">&amp; Cost Per </w:t>
            </w:r>
            <w:r w:rsidRPr="00491568">
              <w:rPr>
                <w:rFonts w:ascii="Times New Roman" w:eastAsia="Arial" w:hAnsi="Arial" w:cs="Arial"/>
                <w:b/>
                <w:spacing w:val="-2"/>
              </w:rPr>
              <w:t xml:space="preserve">Response </w:t>
            </w:r>
            <w:r>
              <w:rPr>
                <w:rFonts w:ascii="Times New Roman" w:eastAsia="Arial" w:hAnsi="Times New Roman"/>
                <w:b/>
                <w:bCs/>
                <w:spacing w:val="-2"/>
                <w:sz w:val="26"/>
                <w:vertAlign w:val="superscript"/>
              </w:rPr>
              <w:footnoteReference w:id="16"/>
            </w:r>
          </w:p>
          <w:p w:rsidR="00491568" w:rsidRPr="00491568" w:rsidP="00491568" w14:paraId="23DEEBC7" w14:textId="77777777">
            <w:pPr>
              <w:spacing w:after="0" w:line="240" w:lineRule="auto"/>
              <w:jc w:val="center"/>
              <w:rPr>
                <w:rFonts w:ascii="Times New Roman" w:eastAsia="Times New Roman" w:hAnsi="Times New Roman"/>
                <w:sz w:val="26"/>
              </w:rPr>
            </w:pPr>
            <w:r w:rsidRPr="00491568">
              <w:rPr>
                <w:rFonts w:ascii="Times New Roman" w:eastAsia="Times New Roman" w:hAnsi="Times New Roman"/>
                <w:b/>
                <w:spacing w:val="-5"/>
              </w:rPr>
              <w:t>(4)</w:t>
            </w:r>
          </w:p>
        </w:tc>
        <w:tc>
          <w:tcPr>
            <w:tcW w:w="1764" w:type="dxa"/>
            <w:shd w:val="clear" w:color="auto" w:fill="D9D9D9" w:themeFill="background1" w:themeFillShade="D9"/>
          </w:tcPr>
          <w:p w:rsidR="00491568" w:rsidRPr="00491568" w:rsidP="00491568" w14:paraId="3A07F03C" w14:textId="77777777">
            <w:pPr>
              <w:spacing w:before="72" w:after="0" w:line="240" w:lineRule="auto"/>
              <w:ind w:left="247" w:right="248" w:firstLine="3"/>
              <w:jc w:val="center"/>
              <w:rPr>
                <w:rFonts w:ascii="Times New Roman" w:eastAsia="Arial" w:hAnsi="Arial" w:cs="Arial"/>
                <w:b/>
              </w:rPr>
            </w:pPr>
            <w:r w:rsidRPr="00491568">
              <w:rPr>
                <w:rFonts w:ascii="Times New Roman" w:eastAsia="Arial" w:hAnsi="Arial" w:cs="Arial"/>
                <w:b/>
                <w:spacing w:val="-2"/>
              </w:rPr>
              <w:t xml:space="preserve">Total Annual Burden </w:t>
            </w:r>
            <w:r w:rsidRPr="00491568">
              <w:rPr>
                <w:rFonts w:ascii="Times New Roman" w:eastAsia="Arial" w:hAnsi="Arial" w:cs="Arial"/>
                <w:b/>
              </w:rPr>
              <w:t>Hours</w:t>
            </w:r>
            <w:r w:rsidRPr="00491568">
              <w:rPr>
                <w:rFonts w:ascii="Times New Roman" w:eastAsia="Arial" w:hAnsi="Arial" w:cs="Arial"/>
                <w:b/>
                <w:spacing w:val="-13"/>
              </w:rPr>
              <w:t xml:space="preserve"> </w:t>
            </w:r>
            <w:r w:rsidRPr="00491568">
              <w:rPr>
                <w:rFonts w:ascii="Times New Roman" w:eastAsia="Arial" w:hAnsi="Arial" w:cs="Arial"/>
                <w:b/>
              </w:rPr>
              <w:t xml:space="preserve">&amp; </w:t>
            </w:r>
            <w:r w:rsidRPr="00491568">
              <w:rPr>
                <w:rFonts w:ascii="Times New Roman" w:eastAsia="Arial" w:hAnsi="Arial" w:cs="Arial"/>
                <w:b/>
                <w:spacing w:val="-4"/>
              </w:rPr>
              <w:t>Cost</w:t>
            </w:r>
          </w:p>
          <w:p w:rsidR="00491568" w:rsidRPr="00491568" w:rsidP="00491568" w14:paraId="5D97F773" w14:textId="77777777">
            <w:pPr>
              <w:spacing w:after="0" w:line="240" w:lineRule="auto"/>
              <w:jc w:val="center"/>
              <w:rPr>
                <w:rFonts w:ascii="Times New Roman" w:eastAsia="Times New Roman" w:hAnsi="Times New Roman"/>
                <w:sz w:val="26"/>
              </w:rPr>
            </w:pPr>
            <w:r w:rsidRPr="00491568">
              <w:rPr>
                <w:rFonts w:ascii="Times New Roman" w:eastAsia="Times New Roman" w:hAnsi="Times New Roman"/>
                <w:b/>
                <w:spacing w:val="-2"/>
              </w:rPr>
              <w:t>(3)*(4)=(5)</w:t>
            </w:r>
          </w:p>
        </w:tc>
        <w:tc>
          <w:tcPr>
            <w:tcW w:w="1065" w:type="dxa"/>
            <w:shd w:val="clear" w:color="auto" w:fill="D9D9D9" w:themeFill="background1" w:themeFillShade="D9"/>
          </w:tcPr>
          <w:p w:rsidR="00491568" w:rsidRPr="00491568" w:rsidP="00491568" w14:paraId="29FCE5D3" w14:textId="77777777">
            <w:pPr>
              <w:spacing w:before="5" w:after="0" w:line="240" w:lineRule="auto"/>
              <w:jc w:val="center"/>
              <w:rPr>
                <w:rFonts w:ascii="Times New Roman" w:eastAsia="Arial" w:hAnsi="Arial" w:cs="Arial"/>
                <w:sz w:val="26"/>
              </w:rPr>
            </w:pPr>
          </w:p>
          <w:p w:rsidR="00491568" w:rsidRPr="00491568" w:rsidP="00491568" w14:paraId="66098A78" w14:textId="77777777">
            <w:pPr>
              <w:spacing w:after="0" w:line="240" w:lineRule="auto"/>
              <w:ind w:left="141" w:right="136"/>
              <w:jc w:val="center"/>
              <w:rPr>
                <w:rFonts w:ascii="Times New Roman" w:eastAsia="Arial" w:hAnsi="Arial" w:cs="Arial"/>
                <w:b/>
              </w:rPr>
            </w:pPr>
            <w:r w:rsidRPr="00491568">
              <w:rPr>
                <w:rFonts w:ascii="Times New Roman" w:eastAsia="Arial" w:hAnsi="Arial" w:cs="Arial"/>
                <w:b/>
              </w:rPr>
              <w:t>Annual</w:t>
            </w:r>
            <w:r w:rsidRPr="00491568">
              <w:rPr>
                <w:rFonts w:ascii="Times New Roman" w:eastAsia="Arial" w:hAnsi="Arial" w:cs="Arial"/>
                <w:b/>
                <w:spacing w:val="-13"/>
              </w:rPr>
              <w:t xml:space="preserve"> </w:t>
            </w:r>
            <w:r w:rsidRPr="00491568">
              <w:rPr>
                <w:rFonts w:ascii="Times New Roman" w:eastAsia="Arial" w:hAnsi="Arial" w:cs="Arial"/>
                <w:b/>
              </w:rPr>
              <w:t xml:space="preserve">Cost </w:t>
            </w:r>
            <w:r w:rsidRPr="00491568">
              <w:rPr>
                <w:rFonts w:ascii="Times New Roman" w:eastAsia="Arial" w:hAnsi="Arial" w:cs="Arial"/>
                <w:b/>
                <w:spacing w:val="-4"/>
              </w:rPr>
              <w:t xml:space="preserve">per </w:t>
            </w:r>
            <w:r w:rsidRPr="00491568">
              <w:rPr>
                <w:rFonts w:ascii="Times New Roman" w:eastAsia="Arial" w:hAnsi="Arial" w:cs="Arial"/>
                <w:b/>
                <w:spacing w:val="-2"/>
              </w:rPr>
              <w:t xml:space="preserve">Respondent </w:t>
            </w:r>
            <w:r w:rsidRPr="00491568">
              <w:rPr>
                <w:rFonts w:ascii="Times New Roman" w:eastAsia="Arial" w:hAnsi="Arial" w:cs="Arial"/>
                <w:b/>
                <w:spacing w:val="-4"/>
              </w:rPr>
              <w:t>($)</w:t>
            </w:r>
          </w:p>
          <w:p w:rsidR="00491568" w:rsidRPr="00491568" w:rsidP="00491568" w14:paraId="17120DFD" w14:textId="77777777">
            <w:pPr>
              <w:spacing w:after="0" w:line="240" w:lineRule="auto"/>
              <w:jc w:val="center"/>
              <w:rPr>
                <w:rFonts w:ascii="Times New Roman" w:eastAsia="Times New Roman" w:hAnsi="Times New Roman"/>
                <w:sz w:val="26"/>
              </w:rPr>
            </w:pPr>
            <w:r w:rsidRPr="00491568">
              <w:rPr>
                <w:rFonts w:ascii="Times New Roman" w:eastAsia="Times New Roman" w:hAnsi="Times New Roman"/>
                <w:b/>
                <w:spacing w:val="-2"/>
              </w:rPr>
              <w:t>(5)÷(1)</w:t>
            </w:r>
          </w:p>
        </w:tc>
      </w:tr>
      <w:tr w14:paraId="731DF348" w14:textId="77777777" w:rsidTr="00DA7BE8">
        <w:tblPrEx>
          <w:tblW w:w="9610" w:type="dxa"/>
          <w:tblLook w:val="04A0"/>
        </w:tblPrEx>
        <w:trPr>
          <w:trHeight w:val="503"/>
        </w:trPr>
        <w:tc>
          <w:tcPr>
            <w:tcW w:w="1555" w:type="dxa"/>
          </w:tcPr>
          <w:p w:rsidR="00491568" w:rsidRPr="00491568" w:rsidP="00DA7BE8" w14:paraId="580D15CD" w14:textId="7C89ACBD">
            <w:pPr>
              <w:spacing w:after="0" w:line="240" w:lineRule="auto"/>
              <w:ind w:left="110"/>
              <w:rPr>
                <w:rFonts w:ascii="Times New Roman" w:eastAsia="Times New Roman" w:hAnsi="Times New Roman"/>
                <w:sz w:val="26"/>
              </w:rPr>
            </w:pPr>
            <w:r w:rsidRPr="00491568">
              <w:rPr>
                <w:rFonts w:ascii="Times New Roman" w:eastAsia="Arial" w:hAnsi="Arial" w:cs="Arial"/>
              </w:rPr>
              <w:t xml:space="preserve">Form No. </w:t>
            </w:r>
            <w:r w:rsidRPr="00491568">
              <w:rPr>
                <w:rFonts w:ascii="Times New Roman" w:eastAsia="Arial" w:hAnsi="Arial" w:cs="Arial"/>
                <w:spacing w:val="-2"/>
              </w:rPr>
              <w:t>1</w:t>
            </w:r>
          </w:p>
        </w:tc>
        <w:tc>
          <w:tcPr>
            <w:tcW w:w="1284" w:type="dxa"/>
          </w:tcPr>
          <w:p w:rsidR="00491568" w:rsidRPr="00491568" w:rsidP="00491568" w14:paraId="3DAF5094" w14:textId="77777777">
            <w:pPr>
              <w:spacing w:before="7" w:after="0" w:line="240" w:lineRule="auto"/>
              <w:rPr>
                <w:rFonts w:ascii="Times New Roman" w:eastAsia="Arial" w:hAnsi="Arial" w:cs="Arial"/>
                <w:sz w:val="17"/>
              </w:rPr>
            </w:pPr>
          </w:p>
          <w:p w:rsidR="00491568" w:rsidRPr="00491568" w:rsidP="00491568" w14:paraId="09B30C5E" w14:textId="77777777">
            <w:pPr>
              <w:spacing w:after="0" w:line="240" w:lineRule="auto"/>
              <w:jc w:val="right"/>
              <w:rPr>
                <w:rFonts w:ascii="Times New Roman" w:eastAsia="Times New Roman" w:hAnsi="Times New Roman"/>
                <w:sz w:val="26"/>
              </w:rPr>
            </w:pPr>
            <w:r w:rsidRPr="00491568">
              <w:rPr>
                <w:rFonts w:ascii="Times New Roman" w:eastAsia="Times New Roman" w:hAnsi="Times New Roman"/>
                <w:spacing w:val="-5"/>
              </w:rPr>
              <w:t>217</w:t>
            </w:r>
          </w:p>
        </w:tc>
        <w:tc>
          <w:tcPr>
            <w:tcW w:w="1447" w:type="dxa"/>
          </w:tcPr>
          <w:p w:rsidR="00491568" w:rsidRPr="00491568" w:rsidP="00491568" w14:paraId="34EE3A61" w14:textId="77777777">
            <w:pPr>
              <w:spacing w:after="0" w:line="240" w:lineRule="auto"/>
              <w:jc w:val="right"/>
              <w:rPr>
                <w:rFonts w:ascii="Times New Roman" w:eastAsia="Arial" w:hAnsi="Arial" w:cs="Arial"/>
              </w:rPr>
            </w:pPr>
          </w:p>
          <w:p w:rsidR="00491568" w:rsidRPr="00491568" w:rsidP="00491568" w14:paraId="00ABBFE5" w14:textId="77777777">
            <w:pPr>
              <w:spacing w:after="0" w:line="240" w:lineRule="auto"/>
              <w:jc w:val="right"/>
              <w:rPr>
                <w:rFonts w:ascii="Times New Roman" w:eastAsia="Times New Roman" w:hAnsi="Times New Roman"/>
                <w:sz w:val="26"/>
              </w:rPr>
            </w:pPr>
            <w:r w:rsidRPr="00491568">
              <w:rPr>
                <w:rFonts w:ascii="Times New Roman" w:eastAsia="Times New Roman" w:hAnsi="Times New Roman"/>
              </w:rPr>
              <w:t>1</w:t>
            </w:r>
          </w:p>
        </w:tc>
        <w:tc>
          <w:tcPr>
            <w:tcW w:w="1108" w:type="dxa"/>
          </w:tcPr>
          <w:p w:rsidR="00491568" w:rsidRPr="00491568" w:rsidP="00491568" w14:paraId="57ED6F89" w14:textId="77777777">
            <w:pPr>
              <w:spacing w:after="0" w:line="240" w:lineRule="auto"/>
              <w:jc w:val="right"/>
              <w:rPr>
                <w:rFonts w:ascii="Times New Roman" w:eastAsia="Arial" w:hAnsi="Arial" w:cs="Arial"/>
              </w:rPr>
            </w:pPr>
          </w:p>
          <w:p w:rsidR="00491568" w:rsidRPr="00491568" w:rsidP="00491568" w14:paraId="58C38B71" w14:textId="77777777">
            <w:pPr>
              <w:spacing w:after="0" w:line="240" w:lineRule="auto"/>
              <w:jc w:val="right"/>
              <w:rPr>
                <w:rFonts w:ascii="Times New Roman" w:eastAsia="Times New Roman" w:hAnsi="Times New Roman"/>
                <w:sz w:val="26"/>
              </w:rPr>
            </w:pPr>
            <w:r w:rsidRPr="00491568">
              <w:rPr>
                <w:rFonts w:ascii="Times New Roman" w:eastAsia="Times New Roman" w:hAnsi="Times New Roman"/>
                <w:spacing w:val="-5"/>
              </w:rPr>
              <w:t>217</w:t>
            </w:r>
          </w:p>
        </w:tc>
        <w:tc>
          <w:tcPr>
            <w:tcW w:w="1387" w:type="dxa"/>
          </w:tcPr>
          <w:p w:rsidR="00491568" w:rsidRPr="00491568" w:rsidP="00491568" w14:paraId="37B79F9F" w14:textId="77777777">
            <w:pPr>
              <w:spacing w:after="0" w:line="240" w:lineRule="auto"/>
              <w:ind w:left="300"/>
              <w:jc w:val="right"/>
              <w:rPr>
                <w:rFonts w:ascii="Times New Roman" w:eastAsia="Arial" w:hAnsi="Arial" w:cs="Arial"/>
              </w:rPr>
            </w:pPr>
            <w:r w:rsidRPr="00491568">
              <w:rPr>
                <w:rFonts w:ascii="Times New Roman" w:eastAsia="Arial" w:hAnsi="Arial" w:cs="Arial"/>
              </w:rPr>
              <w:t>1,182</w:t>
            </w:r>
            <w:r w:rsidRPr="00491568">
              <w:rPr>
                <w:rFonts w:ascii="Times New Roman" w:eastAsia="Arial" w:hAnsi="Arial" w:cs="Arial"/>
                <w:spacing w:val="-5"/>
              </w:rPr>
              <w:t xml:space="preserve"> </w:t>
            </w:r>
            <w:r w:rsidRPr="00491568">
              <w:rPr>
                <w:rFonts w:ascii="Times New Roman" w:eastAsia="Arial" w:hAnsi="Arial" w:cs="Arial"/>
                <w:spacing w:val="-2"/>
              </w:rPr>
              <w:t>hrs.;</w:t>
            </w:r>
          </w:p>
          <w:p w:rsidR="00491568" w:rsidRPr="00491568" w:rsidP="00491568" w14:paraId="1A735D0C" w14:textId="77777777">
            <w:pPr>
              <w:spacing w:after="0" w:line="240" w:lineRule="auto"/>
              <w:ind w:left="271"/>
              <w:jc w:val="right"/>
              <w:rPr>
                <w:rFonts w:ascii="Arial" w:eastAsia="Arial" w:hAnsi="Arial" w:cs="Arial"/>
                <w:spacing w:val="-2"/>
              </w:rPr>
            </w:pPr>
            <w:r w:rsidRPr="00491568">
              <w:rPr>
                <w:rFonts w:ascii="Times New Roman" w:eastAsia="Arial" w:hAnsi="Arial" w:cs="Arial"/>
                <w:spacing w:val="-2"/>
              </w:rPr>
              <w:t>$107,562</w:t>
            </w:r>
          </w:p>
        </w:tc>
        <w:tc>
          <w:tcPr>
            <w:tcW w:w="1764" w:type="dxa"/>
          </w:tcPr>
          <w:p w:rsidR="00491568" w:rsidRPr="00491568" w:rsidP="00DA7BE8" w14:paraId="6BB5B253" w14:textId="11720C6C">
            <w:pPr>
              <w:spacing w:after="0" w:line="240" w:lineRule="auto"/>
              <w:ind w:left="190"/>
              <w:jc w:val="right"/>
              <w:rPr>
                <w:rFonts w:ascii="Times New Roman" w:eastAsia="Arial" w:hAnsi="Arial" w:cs="Arial"/>
              </w:rPr>
            </w:pPr>
            <w:r w:rsidRPr="00491568">
              <w:rPr>
                <w:rFonts w:ascii="Times New Roman" w:eastAsia="Arial" w:hAnsi="Arial" w:cs="Arial"/>
              </w:rPr>
              <w:t>256,494</w:t>
            </w:r>
            <w:r w:rsidRPr="00491568">
              <w:rPr>
                <w:rFonts w:ascii="Times New Roman" w:eastAsia="Arial" w:hAnsi="Arial" w:cs="Arial"/>
                <w:spacing w:val="-5"/>
              </w:rPr>
              <w:t xml:space="preserve"> </w:t>
            </w:r>
            <w:r w:rsidRPr="00491568">
              <w:rPr>
                <w:rFonts w:ascii="Times New Roman" w:eastAsia="Arial" w:hAnsi="Arial" w:cs="Arial"/>
                <w:spacing w:val="-2"/>
              </w:rPr>
              <w:t>hrs.;</w:t>
            </w:r>
          </w:p>
          <w:p w:rsidR="00491568" w:rsidRPr="00491568" w:rsidP="00491568" w14:paraId="3486F9B0" w14:textId="77777777">
            <w:pPr>
              <w:spacing w:after="0" w:line="240" w:lineRule="auto"/>
              <w:jc w:val="right"/>
              <w:rPr>
                <w:rFonts w:ascii="Times New Roman" w:eastAsia="Times New Roman" w:hAnsi="Times New Roman"/>
                <w:sz w:val="26"/>
              </w:rPr>
            </w:pPr>
            <w:r w:rsidRPr="00491568">
              <w:rPr>
                <w:rFonts w:ascii="Times New Roman" w:eastAsia="Times New Roman" w:hAnsi="Times New Roman"/>
                <w:spacing w:val="-2"/>
              </w:rPr>
              <w:t>$23,340,954</w:t>
            </w:r>
          </w:p>
        </w:tc>
        <w:tc>
          <w:tcPr>
            <w:tcW w:w="1065" w:type="dxa"/>
          </w:tcPr>
          <w:p w:rsidR="00491568" w:rsidRPr="00491568" w:rsidP="00491568" w14:paraId="39259F31" w14:textId="77777777">
            <w:pPr>
              <w:spacing w:after="0" w:line="240" w:lineRule="auto"/>
              <w:jc w:val="right"/>
              <w:rPr>
                <w:rFonts w:ascii="Times New Roman" w:eastAsia="Arial" w:hAnsi="Arial" w:cs="Arial"/>
              </w:rPr>
            </w:pPr>
          </w:p>
          <w:p w:rsidR="00491568" w:rsidRPr="00491568" w:rsidP="00491568" w14:paraId="1878F364" w14:textId="77777777">
            <w:pPr>
              <w:spacing w:after="0" w:line="240" w:lineRule="auto"/>
              <w:jc w:val="right"/>
              <w:rPr>
                <w:rFonts w:ascii="Times New Roman" w:eastAsia="Times New Roman" w:hAnsi="Times New Roman"/>
                <w:sz w:val="26"/>
              </w:rPr>
            </w:pPr>
            <w:r w:rsidRPr="00491568">
              <w:rPr>
                <w:rFonts w:ascii="Times New Roman" w:eastAsia="Times New Roman" w:hAnsi="Times New Roman"/>
                <w:spacing w:val="-2"/>
              </w:rPr>
              <w:t>$107,562</w:t>
            </w:r>
          </w:p>
        </w:tc>
      </w:tr>
      <w:tr w14:paraId="429075E6" w14:textId="77777777" w:rsidTr="00780A75">
        <w:tblPrEx>
          <w:tblW w:w="9610" w:type="dxa"/>
          <w:tblLook w:val="04A0"/>
        </w:tblPrEx>
        <w:trPr>
          <w:trHeight w:val="100"/>
        </w:trPr>
        <w:tc>
          <w:tcPr>
            <w:tcW w:w="1555" w:type="dxa"/>
          </w:tcPr>
          <w:p w:rsidR="00491568" w:rsidRPr="00491568" w:rsidP="00491568" w14:paraId="5F0AF496" w14:textId="77777777">
            <w:pPr>
              <w:spacing w:after="0" w:line="240" w:lineRule="auto"/>
              <w:ind w:left="110"/>
              <w:rPr>
                <w:rFonts w:ascii="Times New Roman" w:eastAsia="Arial" w:hAnsi="Arial" w:cs="Arial"/>
              </w:rPr>
            </w:pPr>
            <w:r w:rsidRPr="00491568">
              <w:rPr>
                <w:rFonts w:ascii="Times New Roman" w:eastAsia="Arial" w:hAnsi="Arial" w:cs="Arial"/>
              </w:rPr>
              <w:t>Form</w:t>
            </w:r>
            <w:r w:rsidRPr="00491568">
              <w:rPr>
                <w:rFonts w:ascii="Times New Roman" w:eastAsia="Arial" w:hAnsi="Arial" w:cs="Arial"/>
                <w:spacing w:val="-6"/>
              </w:rPr>
              <w:t xml:space="preserve"> </w:t>
            </w:r>
            <w:r w:rsidRPr="00491568">
              <w:rPr>
                <w:rFonts w:ascii="Times New Roman" w:eastAsia="Arial" w:hAnsi="Arial" w:cs="Arial"/>
              </w:rPr>
              <w:t>No.1-</w:t>
            </w:r>
            <w:r w:rsidRPr="00491568">
              <w:rPr>
                <w:rFonts w:ascii="Times New Roman" w:eastAsia="Arial" w:hAnsi="Arial" w:cs="Arial"/>
                <w:spacing w:val="-10"/>
              </w:rPr>
              <w:t>F</w:t>
            </w:r>
          </w:p>
          <w:p w:rsidR="00491568" w:rsidRPr="00491568" w:rsidP="00491568" w14:paraId="4255F9D4" w14:textId="43D6DD80">
            <w:pPr>
              <w:spacing w:after="0" w:line="240" w:lineRule="auto"/>
              <w:rPr>
                <w:rFonts w:ascii="Times New Roman" w:eastAsia="Times New Roman" w:hAnsi="Times New Roman"/>
                <w:sz w:val="26"/>
              </w:rPr>
            </w:pPr>
          </w:p>
        </w:tc>
        <w:tc>
          <w:tcPr>
            <w:tcW w:w="1284" w:type="dxa"/>
          </w:tcPr>
          <w:p w:rsidR="00491568" w:rsidRPr="00491568" w:rsidP="00491568" w14:paraId="71968E6C" w14:textId="77777777">
            <w:pPr>
              <w:spacing w:before="7" w:after="0" w:line="240" w:lineRule="auto"/>
              <w:jc w:val="right"/>
              <w:rPr>
                <w:rFonts w:ascii="Times New Roman" w:eastAsia="Arial" w:hAnsi="Arial" w:cs="Arial"/>
                <w:sz w:val="17"/>
              </w:rPr>
            </w:pPr>
          </w:p>
          <w:p w:rsidR="00491568" w:rsidRPr="00491568" w:rsidP="00491568" w14:paraId="37E2C164" w14:textId="77777777">
            <w:pPr>
              <w:spacing w:after="0" w:line="240" w:lineRule="auto"/>
              <w:jc w:val="right"/>
              <w:rPr>
                <w:rFonts w:ascii="Times New Roman" w:eastAsia="Times New Roman" w:hAnsi="Times New Roman"/>
                <w:sz w:val="26"/>
              </w:rPr>
            </w:pPr>
            <w:r w:rsidRPr="00491568">
              <w:rPr>
                <w:rFonts w:ascii="Times New Roman" w:eastAsia="Times New Roman" w:hAnsi="Times New Roman"/>
              </w:rPr>
              <w:t>2</w:t>
            </w:r>
          </w:p>
        </w:tc>
        <w:tc>
          <w:tcPr>
            <w:tcW w:w="1447" w:type="dxa"/>
          </w:tcPr>
          <w:p w:rsidR="00491568" w:rsidRPr="00491568" w:rsidP="00491568" w14:paraId="5E5DCB96" w14:textId="77777777">
            <w:pPr>
              <w:spacing w:before="7" w:after="0" w:line="240" w:lineRule="auto"/>
              <w:jc w:val="right"/>
              <w:rPr>
                <w:rFonts w:ascii="Times New Roman" w:eastAsia="Arial" w:hAnsi="Arial" w:cs="Arial"/>
                <w:sz w:val="17"/>
              </w:rPr>
            </w:pPr>
          </w:p>
          <w:p w:rsidR="00491568" w:rsidRPr="00491568" w:rsidP="00491568" w14:paraId="4F5815BA" w14:textId="77777777">
            <w:pPr>
              <w:spacing w:after="0" w:line="240" w:lineRule="auto"/>
              <w:jc w:val="right"/>
              <w:rPr>
                <w:rFonts w:ascii="Times New Roman" w:eastAsia="Times New Roman" w:hAnsi="Times New Roman"/>
                <w:sz w:val="26"/>
              </w:rPr>
            </w:pPr>
            <w:r w:rsidRPr="00491568">
              <w:rPr>
                <w:rFonts w:ascii="Times New Roman" w:eastAsia="Times New Roman" w:hAnsi="Times New Roman"/>
              </w:rPr>
              <w:t>1</w:t>
            </w:r>
          </w:p>
        </w:tc>
        <w:tc>
          <w:tcPr>
            <w:tcW w:w="1108" w:type="dxa"/>
          </w:tcPr>
          <w:p w:rsidR="00491568" w:rsidRPr="00491568" w:rsidP="00491568" w14:paraId="0679B81E" w14:textId="77777777">
            <w:pPr>
              <w:spacing w:before="7" w:after="0" w:line="240" w:lineRule="auto"/>
              <w:jc w:val="right"/>
              <w:rPr>
                <w:rFonts w:ascii="Times New Roman" w:eastAsia="Arial" w:hAnsi="Arial" w:cs="Arial"/>
                <w:sz w:val="17"/>
              </w:rPr>
            </w:pPr>
          </w:p>
          <w:p w:rsidR="00491568" w:rsidRPr="00491568" w:rsidP="00491568" w14:paraId="06990AC1" w14:textId="77777777">
            <w:pPr>
              <w:spacing w:after="0" w:line="240" w:lineRule="auto"/>
              <w:jc w:val="right"/>
              <w:rPr>
                <w:rFonts w:ascii="Times New Roman" w:eastAsia="Times New Roman" w:hAnsi="Times New Roman"/>
                <w:sz w:val="26"/>
              </w:rPr>
            </w:pPr>
            <w:r w:rsidRPr="00491568">
              <w:rPr>
                <w:rFonts w:ascii="Times New Roman" w:eastAsia="Times New Roman" w:hAnsi="Times New Roman"/>
              </w:rPr>
              <w:t>2</w:t>
            </w:r>
          </w:p>
        </w:tc>
        <w:tc>
          <w:tcPr>
            <w:tcW w:w="1387" w:type="dxa"/>
          </w:tcPr>
          <w:p w:rsidR="00491568" w:rsidRPr="00491568" w:rsidP="00491568" w14:paraId="475FB1DC" w14:textId="77777777">
            <w:pPr>
              <w:spacing w:after="0" w:line="240" w:lineRule="auto"/>
              <w:ind w:left="449"/>
              <w:jc w:val="right"/>
              <w:rPr>
                <w:rFonts w:ascii="Times New Roman" w:eastAsia="Arial" w:hAnsi="Arial" w:cs="Arial"/>
              </w:rPr>
            </w:pPr>
            <w:r w:rsidRPr="00491568">
              <w:rPr>
                <w:rFonts w:ascii="Times New Roman" w:eastAsia="Arial" w:hAnsi="Arial" w:cs="Arial"/>
              </w:rPr>
              <w:t>136</w:t>
            </w:r>
            <w:r w:rsidRPr="00491568">
              <w:rPr>
                <w:rFonts w:ascii="Times New Roman" w:eastAsia="Arial" w:hAnsi="Arial" w:cs="Arial"/>
                <w:spacing w:val="-3"/>
              </w:rPr>
              <w:t xml:space="preserve"> </w:t>
            </w:r>
            <w:r w:rsidRPr="00491568">
              <w:rPr>
                <w:rFonts w:ascii="Times New Roman" w:eastAsia="Arial" w:hAnsi="Arial" w:cs="Arial"/>
                <w:spacing w:val="-2"/>
              </w:rPr>
              <w:t>hrs.;</w:t>
            </w:r>
          </w:p>
          <w:p w:rsidR="00491568" w:rsidRPr="00491568" w:rsidP="00491568" w14:paraId="3D371818" w14:textId="77777777">
            <w:pPr>
              <w:spacing w:after="0" w:line="240" w:lineRule="auto"/>
              <w:jc w:val="right"/>
              <w:rPr>
                <w:rFonts w:ascii="Times New Roman" w:eastAsia="Times New Roman" w:hAnsi="Times New Roman"/>
                <w:sz w:val="26"/>
              </w:rPr>
            </w:pPr>
            <w:r w:rsidRPr="00491568">
              <w:rPr>
                <w:rFonts w:ascii="Times New Roman" w:eastAsia="Times New Roman" w:hAnsi="Times New Roman"/>
                <w:spacing w:val="-2"/>
              </w:rPr>
              <w:t>$12,376</w:t>
            </w:r>
          </w:p>
        </w:tc>
        <w:tc>
          <w:tcPr>
            <w:tcW w:w="1764" w:type="dxa"/>
          </w:tcPr>
          <w:p w:rsidR="00491568" w:rsidRPr="00491568" w:rsidP="00491568" w14:paraId="03D3DAB7" w14:textId="77777777">
            <w:pPr>
              <w:spacing w:after="0" w:line="240" w:lineRule="auto"/>
              <w:jc w:val="right"/>
              <w:rPr>
                <w:rFonts w:ascii="Times New Roman" w:eastAsia="Arial" w:hAnsi="Arial" w:cs="Arial"/>
              </w:rPr>
            </w:pPr>
            <w:r w:rsidRPr="00491568">
              <w:rPr>
                <w:rFonts w:ascii="Times New Roman" w:eastAsia="Arial" w:hAnsi="Arial" w:cs="Arial"/>
              </w:rPr>
              <w:t>272</w:t>
            </w:r>
            <w:r w:rsidRPr="00491568">
              <w:rPr>
                <w:rFonts w:ascii="Times New Roman" w:eastAsia="Arial" w:hAnsi="Arial" w:cs="Arial"/>
                <w:spacing w:val="-2"/>
              </w:rPr>
              <w:t xml:space="preserve"> </w:t>
            </w:r>
            <w:r w:rsidRPr="00491568">
              <w:rPr>
                <w:rFonts w:ascii="Times New Roman" w:eastAsia="Arial" w:hAnsi="Arial" w:cs="Arial"/>
                <w:spacing w:val="-4"/>
              </w:rPr>
              <w:t>hrs.;</w:t>
            </w:r>
          </w:p>
          <w:p w:rsidR="00491568" w:rsidRPr="00491568" w:rsidP="00491568" w14:paraId="717A4B5C" w14:textId="77777777">
            <w:pPr>
              <w:spacing w:after="0" w:line="240" w:lineRule="auto"/>
              <w:jc w:val="right"/>
              <w:rPr>
                <w:rFonts w:ascii="Times New Roman" w:eastAsia="Times New Roman" w:hAnsi="Times New Roman"/>
                <w:sz w:val="26"/>
              </w:rPr>
            </w:pPr>
            <w:r w:rsidRPr="00491568">
              <w:rPr>
                <w:rFonts w:ascii="Times New Roman" w:eastAsia="Times New Roman" w:hAnsi="Times New Roman"/>
                <w:spacing w:val="-2"/>
              </w:rPr>
              <w:t>$24,752</w:t>
            </w:r>
          </w:p>
        </w:tc>
        <w:tc>
          <w:tcPr>
            <w:tcW w:w="1065" w:type="dxa"/>
          </w:tcPr>
          <w:p w:rsidR="00491568" w:rsidRPr="00491568" w:rsidP="00491568" w14:paraId="43F76102" w14:textId="77777777">
            <w:pPr>
              <w:spacing w:before="7" w:after="0" w:line="240" w:lineRule="auto"/>
              <w:jc w:val="right"/>
              <w:rPr>
                <w:rFonts w:ascii="Times New Roman" w:eastAsia="Arial" w:hAnsi="Arial" w:cs="Arial"/>
                <w:sz w:val="17"/>
              </w:rPr>
            </w:pPr>
          </w:p>
          <w:p w:rsidR="00491568" w:rsidRPr="00491568" w:rsidP="00491568" w14:paraId="04516B5D" w14:textId="77777777">
            <w:pPr>
              <w:spacing w:after="0" w:line="240" w:lineRule="auto"/>
              <w:jc w:val="right"/>
              <w:rPr>
                <w:rFonts w:ascii="Times New Roman" w:eastAsia="Times New Roman" w:hAnsi="Times New Roman"/>
                <w:sz w:val="26"/>
              </w:rPr>
            </w:pPr>
            <w:r w:rsidRPr="00491568">
              <w:rPr>
                <w:rFonts w:ascii="Times New Roman" w:eastAsia="Times New Roman" w:hAnsi="Times New Roman"/>
                <w:spacing w:val="-2"/>
              </w:rPr>
              <w:t>$12,376</w:t>
            </w:r>
          </w:p>
        </w:tc>
      </w:tr>
      <w:tr w14:paraId="150E4558" w14:textId="77777777" w:rsidTr="00DA7BE8">
        <w:tblPrEx>
          <w:tblW w:w="9610" w:type="dxa"/>
          <w:tblLook w:val="04A0"/>
        </w:tblPrEx>
        <w:trPr>
          <w:trHeight w:val="566"/>
        </w:trPr>
        <w:tc>
          <w:tcPr>
            <w:tcW w:w="1555" w:type="dxa"/>
          </w:tcPr>
          <w:p w:rsidR="00491568" w:rsidRPr="00491568" w14:paraId="35110A85" w14:textId="074DC57A">
            <w:pPr>
              <w:spacing w:after="0" w:line="240" w:lineRule="auto"/>
              <w:ind w:left="110"/>
              <w:rPr>
                <w:rFonts w:ascii="Arial" w:eastAsia="Arial" w:hAnsi="Arial" w:cs="Arial"/>
              </w:rPr>
            </w:pPr>
            <w:r w:rsidRPr="00491568">
              <w:rPr>
                <w:rFonts w:ascii="Times New Roman" w:eastAsia="Arial" w:hAnsi="Arial" w:cs="Arial"/>
              </w:rPr>
              <w:t>Form No. 3-Q electric</w:t>
            </w:r>
          </w:p>
        </w:tc>
        <w:tc>
          <w:tcPr>
            <w:tcW w:w="1284" w:type="dxa"/>
          </w:tcPr>
          <w:p w:rsidR="00491568" w:rsidRPr="00491568" w:rsidP="00491568" w14:paraId="08ECCC84" w14:textId="77777777">
            <w:pPr>
              <w:spacing w:after="0" w:line="240" w:lineRule="auto"/>
              <w:jc w:val="right"/>
              <w:rPr>
                <w:rFonts w:ascii="Times New Roman" w:eastAsia="Arial" w:hAnsi="Arial" w:cs="Arial"/>
              </w:rPr>
            </w:pPr>
          </w:p>
          <w:p w:rsidR="00491568" w:rsidRPr="00491568" w:rsidP="00491568" w14:paraId="5235574D" w14:textId="77777777">
            <w:pPr>
              <w:spacing w:after="0" w:line="240" w:lineRule="auto"/>
              <w:jc w:val="right"/>
              <w:rPr>
                <w:rFonts w:ascii="Times New Roman" w:eastAsia="Times New Roman" w:hAnsi="Times New Roman"/>
                <w:sz w:val="26"/>
              </w:rPr>
            </w:pPr>
            <w:r w:rsidRPr="00491568">
              <w:rPr>
                <w:rFonts w:ascii="Times New Roman" w:eastAsia="Times New Roman" w:hAnsi="Times New Roman"/>
                <w:spacing w:val="-5"/>
              </w:rPr>
              <w:t>221</w:t>
            </w:r>
          </w:p>
        </w:tc>
        <w:tc>
          <w:tcPr>
            <w:tcW w:w="1447" w:type="dxa"/>
          </w:tcPr>
          <w:p w:rsidR="00491568" w:rsidRPr="00491568" w:rsidP="00491568" w14:paraId="157BECF3" w14:textId="77777777">
            <w:pPr>
              <w:spacing w:after="0" w:line="240" w:lineRule="auto"/>
              <w:jc w:val="right"/>
              <w:rPr>
                <w:rFonts w:ascii="Times New Roman" w:eastAsia="Arial" w:hAnsi="Arial" w:cs="Arial"/>
              </w:rPr>
            </w:pPr>
          </w:p>
          <w:p w:rsidR="00491568" w:rsidRPr="00491568" w:rsidP="00491568" w14:paraId="4E3DF361" w14:textId="77777777">
            <w:pPr>
              <w:spacing w:after="0" w:line="240" w:lineRule="auto"/>
              <w:jc w:val="right"/>
              <w:rPr>
                <w:rFonts w:ascii="Times New Roman" w:eastAsia="Times New Roman" w:hAnsi="Times New Roman"/>
                <w:sz w:val="26"/>
              </w:rPr>
            </w:pPr>
            <w:r w:rsidRPr="00491568">
              <w:rPr>
                <w:rFonts w:ascii="Times New Roman" w:eastAsia="Times New Roman" w:hAnsi="Times New Roman"/>
              </w:rPr>
              <w:t>3</w:t>
            </w:r>
          </w:p>
        </w:tc>
        <w:tc>
          <w:tcPr>
            <w:tcW w:w="1108" w:type="dxa"/>
          </w:tcPr>
          <w:p w:rsidR="00491568" w:rsidRPr="00491568" w:rsidP="00491568" w14:paraId="1D8769B8" w14:textId="77777777">
            <w:pPr>
              <w:spacing w:after="0" w:line="240" w:lineRule="auto"/>
              <w:jc w:val="right"/>
              <w:rPr>
                <w:rFonts w:ascii="Times New Roman" w:eastAsia="Arial" w:hAnsi="Arial" w:cs="Arial"/>
              </w:rPr>
            </w:pPr>
          </w:p>
          <w:p w:rsidR="00491568" w:rsidRPr="00491568" w:rsidP="00491568" w14:paraId="6EEF749C" w14:textId="77777777">
            <w:pPr>
              <w:spacing w:after="0" w:line="240" w:lineRule="auto"/>
              <w:jc w:val="right"/>
              <w:rPr>
                <w:rFonts w:ascii="Times New Roman" w:eastAsia="Times New Roman" w:hAnsi="Times New Roman"/>
                <w:sz w:val="26"/>
              </w:rPr>
            </w:pPr>
            <w:r w:rsidRPr="00491568">
              <w:rPr>
                <w:rFonts w:ascii="Times New Roman" w:eastAsia="Times New Roman" w:hAnsi="Times New Roman"/>
                <w:spacing w:val="-5"/>
              </w:rPr>
              <w:t>663</w:t>
            </w:r>
          </w:p>
        </w:tc>
        <w:tc>
          <w:tcPr>
            <w:tcW w:w="1387" w:type="dxa"/>
          </w:tcPr>
          <w:p w:rsidR="00491568" w:rsidRPr="00491568" w:rsidP="00DA7BE8" w14:paraId="5BB0F00D" w14:textId="49D41A03">
            <w:pPr>
              <w:spacing w:before="1" w:after="0" w:line="240" w:lineRule="auto"/>
              <w:ind w:left="400"/>
              <w:jc w:val="right"/>
              <w:rPr>
                <w:rFonts w:ascii="Times New Roman" w:eastAsia="Arial" w:hAnsi="Arial" w:cs="Arial"/>
              </w:rPr>
            </w:pPr>
            <w:r w:rsidRPr="00491568">
              <w:rPr>
                <w:rFonts w:ascii="Times New Roman" w:eastAsia="Arial" w:hAnsi="Arial" w:cs="Arial"/>
              </w:rPr>
              <w:t>168</w:t>
            </w:r>
            <w:r w:rsidRPr="00491568">
              <w:rPr>
                <w:rFonts w:ascii="Times New Roman" w:eastAsia="Arial" w:hAnsi="Arial" w:cs="Arial"/>
                <w:spacing w:val="-3"/>
              </w:rPr>
              <w:t xml:space="preserve"> </w:t>
            </w:r>
            <w:r w:rsidRPr="00491568">
              <w:rPr>
                <w:rFonts w:ascii="Times New Roman" w:eastAsia="Arial" w:hAnsi="Arial" w:cs="Arial"/>
                <w:spacing w:val="-4"/>
              </w:rPr>
              <w:t>hrs.</w:t>
            </w:r>
            <w:r w:rsidR="00F25DC6">
              <w:rPr>
                <w:rFonts w:ascii="Times New Roman" w:eastAsia="Arial" w:hAnsi="Arial" w:cs="Arial"/>
                <w:spacing w:val="-4"/>
              </w:rPr>
              <w:t>;</w:t>
            </w:r>
          </w:p>
          <w:p w:rsidR="00491568" w:rsidRPr="00491568" w:rsidP="00491568" w14:paraId="2DF5FAC4" w14:textId="77777777">
            <w:pPr>
              <w:spacing w:after="0" w:line="240" w:lineRule="auto"/>
              <w:jc w:val="right"/>
              <w:rPr>
                <w:rFonts w:ascii="Times New Roman" w:eastAsia="Times New Roman" w:hAnsi="Times New Roman"/>
                <w:sz w:val="26"/>
              </w:rPr>
            </w:pPr>
            <w:r w:rsidRPr="00491568">
              <w:rPr>
                <w:rFonts w:ascii="Times New Roman" w:eastAsia="Times New Roman" w:hAnsi="Times New Roman"/>
                <w:spacing w:val="-2"/>
              </w:rPr>
              <w:t>$15,288</w:t>
            </w:r>
          </w:p>
        </w:tc>
        <w:tc>
          <w:tcPr>
            <w:tcW w:w="1764" w:type="dxa"/>
          </w:tcPr>
          <w:p w:rsidR="00491568" w:rsidRPr="00491568" w:rsidP="00DA7BE8" w14:paraId="04D4258D" w14:textId="03B48BB1">
            <w:pPr>
              <w:spacing w:before="1" w:after="0" w:line="240" w:lineRule="auto"/>
              <w:ind w:left="190"/>
              <w:jc w:val="right"/>
              <w:rPr>
                <w:rFonts w:ascii="Times New Roman" w:eastAsia="Arial" w:hAnsi="Arial" w:cs="Arial"/>
              </w:rPr>
            </w:pPr>
            <w:r w:rsidRPr="00491568">
              <w:rPr>
                <w:rFonts w:ascii="Times New Roman" w:eastAsia="Arial" w:hAnsi="Arial" w:cs="Arial"/>
              </w:rPr>
              <w:t>111,384</w:t>
            </w:r>
            <w:r w:rsidRPr="00491568">
              <w:rPr>
                <w:rFonts w:ascii="Times New Roman" w:eastAsia="Arial" w:hAnsi="Arial" w:cs="Arial"/>
                <w:spacing w:val="-7"/>
              </w:rPr>
              <w:t xml:space="preserve"> </w:t>
            </w:r>
            <w:r w:rsidRPr="00491568">
              <w:rPr>
                <w:rFonts w:ascii="Times New Roman" w:eastAsia="Arial" w:hAnsi="Arial" w:cs="Arial"/>
                <w:spacing w:val="-4"/>
              </w:rPr>
              <w:t>hrs.</w:t>
            </w:r>
            <w:r w:rsidR="005748BB">
              <w:rPr>
                <w:rFonts w:ascii="Times New Roman" w:eastAsia="Arial" w:hAnsi="Arial" w:cs="Arial"/>
                <w:spacing w:val="-4"/>
              </w:rPr>
              <w:t>;</w:t>
            </w:r>
          </w:p>
          <w:p w:rsidR="00491568" w:rsidRPr="00491568" w:rsidP="00491568" w14:paraId="59B13F67" w14:textId="77777777">
            <w:pPr>
              <w:spacing w:after="0" w:line="240" w:lineRule="auto"/>
              <w:jc w:val="right"/>
              <w:rPr>
                <w:rFonts w:ascii="Times New Roman" w:eastAsia="Times New Roman" w:hAnsi="Times New Roman"/>
                <w:sz w:val="26"/>
              </w:rPr>
            </w:pPr>
            <w:r w:rsidRPr="00491568">
              <w:rPr>
                <w:rFonts w:ascii="Times New Roman" w:eastAsia="Times New Roman" w:hAnsi="Times New Roman"/>
                <w:spacing w:val="-2"/>
              </w:rPr>
              <w:t>$10,135,944</w:t>
            </w:r>
          </w:p>
        </w:tc>
        <w:tc>
          <w:tcPr>
            <w:tcW w:w="1065" w:type="dxa"/>
          </w:tcPr>
          <w:p w:rsidR="00491568" w:rsidRPr="00491568" w:rsidP="00491568" w14:paraId="7FDA408F" w14:textId="77777777">
            <w:pPr>
              <w:spacing w:after="0" w:line="240" w:lineRule="auto"/>
              <w:jc w:val="right"/>
              <w:rPr>
                <w:rFonts w:ascii="Times New Roman" w:eastAsia="Arial" w:hAnsi="Arial" w:cs="Arial"/>
              </w:rPr>
            </w:pPr>
          </w:p>
          <w:p w:rsidR="00491568" w:rsidRPr="00491568" w:rsidP="00491568" w14:paraId="58356FC9" w14:textId="77777777">
            <w:pPr>
              <w:spacing w:after="0" w:line="240" w:lineRule="auto"/>
              <w:jc w:val="right"/>
              <w:rPr>
                <w:rFonts w:ascii="Times New Roman" w:eastAsia="Times New Roman" w:hAnsi="Times New Roman"/>
                <w:sz w:val="26"/>
              </w:rPr>
            </w:pPr>
            <w:r w:rsidRPr="00491568">
              <w:rPr>
                <w:rFonts w:ascii="Times New Roman" w:eastAsia="Times New Roman" w:hAnsi="Times New Roman"/>
                <w:spacing w:val="-2"/>
              </w:rPr>
              <w:t>$45,864</w:t>
            </w:r>
          </w:p>
        </w:tc>
      </w:tr>
      <w:tr w14:paraId="239F9014" w14:textId="77777777" w:rsidTr="00780A75">
        <w:tblPrEx>
          <w:tblW w:w="9610" w:type="dxa"/>
          <w:tblLook w:val="04A0"/>
        </w:tblPrEx>
        <w:trPr>
          <w:trHeight w:val="100"/>
        </w:trPr>
        <w:tc>
          <w:tcPr>
            <w:tcW w:w="1555" w:type="dxa"/>
          </w:tcPr>
          <w:p w:rsidR="00491568" w:rsidRPr="00491568" w:rsidP="00491568" w14:paraId="5F86F3D8" w14:textId="77777777">
            <w:pPr>
              <w:spacing w:after="0" w:line="240" w:lineRule="auto"/>
              <w:ind w:left="110"/>
              <w:rPr>
                <w:rFonts w:ascii="Times New Roman" w:eastAsia="Arial" w:hAnsi="Arial" w:cs="Arial"/>
              </w:rPr>
            </w:pPr>
            <w:r w:rsidRPr="00491568">
              <w:rPr>
                <w:rFonts w:ascii="Times New Roman" w:eastAsia="Arial" w:hAnsi="Arial" w:cs="Arial"/>
              </w:rPr>
              <w:t>Form</w:t>
            </w:r>
            <w:r w:rsidRPr="00491568">
              <w:rPr>
                <w:rFonts w:ascii="Times New Roman" w:eastAsia="Arial" w:hAnsi="Arial" w:cs="Arial"/>
                <w:spacing w:val="-4"/>
              </w:rPr>
              <w:t xml:space="preserve"> </w:t>
            </w:r>
            <w:r w:rsidRPr="00491568">
              <w:rPr>
                <w:rFonts w:ascii="Times New Roman" w:eastAsia="Arial" w:hAnsi="Arial" w:cs="Arial"/>
              </w:rPr>
              <w:t>No.</w:t>
            </w:r>
            <w:r w:rsidRPr="00491568">
              <w:rPr>
                <w:rFonts w:ascii="Times New Roman" w:eastAsia="Arial" w:hAnsi="Arial" w:cs="Arial"/>
                <w:spacing w:val="-3"/>
              </w:rPr>
              <w:t xml:space="preserve"> </w:t>
            </w:r>
            <w:r w:rsidRPr="00491568">
              <w:rPr>
                <w:rFonts w:ascii="Times New Roman" w:eastAsia="Arial" w:hAnsi="Arial" w:cs="Arial"/>
                <w:spacing w:val="-5"/>
              </w:rPr>
              <w:t>60</w:t>
            </w:r>
          </w:p>
          <w:p w:rsidR="00491568" w:rsidRPr="00491568" w:rsidP="00491568" w14:paraId="57458C1F" w14:textId="7E5A00E6">
            <w:pPr>
              <w:spacing w:after="0" w:line="240" w:lineRule="auto"/>
              <w:rPr>
                <w:rFonts w:ascii="Times New Roman" w:eastAsia="Times New Roman" w:hAnsi="Times New Roman"/>
                <w:sz w:val="26"/>
              </w:rPr>
            </w:pPr>
          </w:p>
        </w:tc>
        <w:tc>
          <w:tcPr>
            <w:tcW w:w="1284" w:type="dxa"/>
          </w:tcPr>
          <w:p w:rsidR="00491568" w:rsidRPr="00491568" w:rsidP="00491568" w14:paraId="221D5542" w14:textId="77777777">
            <w:pPr>
              <w:spacing w:after="0" w:line="240" w:lineRule="auto"/>
              <w:jc w:val="right"/>
              <w:rPr>
                <w:rFonts w:ascii="Times New Roman" w:eastAsia="Arial" w:hAnsi="Arial" w:cs="Arial"/>
              </w:rPr>
            </w:pPr>
          </w:p>
          <w:p w:rsidR="00491568" w:rsidRPr="00491568" w:rsidP="00491568" w14:paraId="2C1502D1" w14:textId="77777777">
            <w:pPr>
              <w:spacing w:after="0" w:line="240" w:lineRule="auto"/>
              <w:jc w:val="right"/>
              <w:rPr>
                <w:rFonts w:ascii="Times New Roman" w:eastAsia="Times New Roman" w:hAnsi="Times New Roman"/>
                <w:sz w:val="26"/>
              </w:rPr>
            </w:pPr>
            <w:r w:rsidRPr="00491568">
              <w:rPr>
                <w:rFonts w:ascii="Times New Roman" w:eastAsia="Times New Roman" w:hAnsi="Times New Roman"/>
                <w:spacing w:val="-5"/>
              </w:rPr>
              <w:t>42</w:t>
            </w:r>
          </w:p>
        </w:tc>
        <w:tc>
          <w:tcPr>
            <w:tcW w:w="1447" w:type="dxa"/>
          </w:tcPr>
          <w:p w:rsidR="00491568" w:rsidRPr="00491568" w:rsidP="00491568" w14:paraId="25318625" w14:textId="77777777">
            <w:pPr>
              <w:spacing w:before="3" w:after="0" w:line="240" w:lineRule="auto"/>
              <w:jc w:val="right"/>
              <w:rPr>
                <w:rFonts w:ascii="Times New Roman" w:eastAsia="Arial" w:hAnsi="Arial" w:cs="Arial"/>
                <w:sz w:val="17"/>
              </w:rPr>
            </w:pPr>
          </w:p>
          <w:p w:rsidR="00491568" w:rsidRPr="00491568" w:rsidP="00491568" w14:paraId="77F4015F" w14:textId="77777777">
            <w:pPr>
              <w:spacing w:after="0" w:line="240" w:lineRule="auto"/>
              <w:jc w:val="right"/>
              <w:rPr>
                <w:rFonts w:ascii="Times New Roman" w:eastAsia="Times New Roman" w:hAnsi="Times New Roman"/>
                <w:sz w:val="26"/>
              </w:rPr>
            </w:pPr>
            <w:r w:rsidRPr="00491568">
              <w:rPr>
                <w:rFonts w:ascii="Times New Roman" w:eastAsia="Times New Roman" w:hAnsi="Times New Roman"/>
              </w:rPr>
              <w:t>1</w:t>
            </w:r>
          </w:p>
        </w:tc>
        <w:tc>
          <w:tcPr>
            <w:tcW w:w="1108" w:type="dxa"/>
          </w:tcPr>
          <w:p w:rsidR="00491568" w:rsidRPr="00491568" w:rsidP="00491568" w14:paraId="0DAEFC9D" w14:textId="77777777">
            <w:pPr>
              <w:spacing w:before="3" w:after="0" w:line="240" w:lineRule="auto"/>
              <w:jc w:val="right"/>
              <w:rPr>
                <w:rFonts w:ascii="Times New Roman" w:eastAsia="Arial" w:hAnsi="Arial" w:cs="Arial"/>
                <w:sz w:val="17"/>
              </w:rPr>
            </w:pPr>
          </w:p>
          <w:p w:rsidR="00491568" w:rsidRPr="00491568" w:rsidP="00491568" w14:paraId="0D1DDB6B" w14:textId="77777777">
            <w:pPr>
              <w:spacing w:after="0" w:line="240" w:lineRule="auto"/>
              <w:jc w:val="right"/>
              <w:rPr>
                <w:rFonts w:ascii="Times New Roman" w:eastAsia="Times New Roman" w:hAnsi="Times New Roman"/>
                <w:sz w:val="26"/>
              </w:rPr>
            </w:pPr>
            <w:r w:rsidRPr="00491568">
              <w:rPr>
                <w:rFonts w:ascii="Times New Roman" w:eastAsia="Times New Roman" w:hAnsi="Times New Roman"/>
                <w:spacing w:val="-5"/>
              </w:rPr>
              <w:t>42</w:t>
            </w:r>
          </w:p>
        </w:tc>
        <w:tc>
          <w:tcPr>
            <w:tcW w:w="1387" w:type="dxa"/>
          </w:tcPr>
          <w:p w:rsidR="00491568" w:rsidRPr="00491568" w:rsidP="00491568" w14:paraId="773E8839" w14:textId="77777777">
            <w:pPr>
              <w:spacing w:after="0" w:line="240" w:lineRule="auto"/>
              <w:ind w:left="550"/>
              <w:jc w:val="right"/>
              <w:rPr>
                <w:rFonts w:ascii="Times New Roman" w:eastAsia="Arial" w:hAnsi="Arial" w:cs="Arial"/>
              </w:rPr>
            </w:pPr>
            <w:r w:rsidRPr="00491568">
              <w:rPr>
                <w:rFonts w:ascii="Times New Roman" w:eastAsia="Arial" w:hAnsi="Arial" w:cs="Arial"/>
              </w:rPr>
              <w:t>78</w:t>
            </w:r>
            <w:r w:rsidRPr="00491568">
              <w:rPr>
                <w:rFonts w:ascii="Times New Roman" w:eastAsia="Arial" w:hAnsi="Arial" w:cs="Arial"/>
                <w:spacing w:val="-2"/>
              </w:rPr>
              <w:t xml:space="preserve"> hrs.;</w:t>
            </w:r>
          </w:p>
          <w:p w:rsidR="00491568" w:rsidRPr="00491568" w:rsidP="00491568" w14:paraId="34FCDCBB" w14:textId="77777777">
            <w:pPr>
              <w:spacing w:after="0" w:line="240" w:lineRule="auto"/>
              <w:jc w:val="right"/>
              <w:rPr>
                <w:rFonts w:ascii="Times New Roman" w:eastAsia="Times New Roman" w:hAnsi="Times New Roman"/>
                <w:sz w:val="26"/>
              </w:rPr>
            </w:pPr>
            <w:r w:rsidRPr="00491568">
              <w:rPr>
                <w:rFonts w:ascii="Times New Roman" w:eastAsia="Times New Roman" w:hAnsi="Times New Roman"/>
                <w:spacing w:val="-2"/>
              </w:rPr>
              <w:t>$7,098</w:t>
            </w:r>
          </w:p>
        </w:tc>
        <w:tc>
          <w:tcPr>
            <w:tcW w:w="1764" w:type="dxa"/>
          </w:tcPr>
          <w:p w:rsidR="00491568" w:rsidRPr="00491568" w:rsidP="00DA7BE8" w14:paraId="63ACCCAB" w14:textId="5DE1694B">
            <w:pPr>
              <w:spacing w:after="0" w:line="240" w:lineRule="auto"/>
              <w:ind w:left="365"/>
              <w:jc w:val="right"/>
              <w:rPr>
                <w:rFonts w:ascii="Times New Roman" w:eastAsia="Arial" w:hAnsi="Arial" w:cs="Arial"/>
              </w:rPr>
            </w:pPr>
            <w:r w:rsidRPr="00491568">
              <w:rPr>
                <w:rFonts w:ascii="Times New Roman" w:eastAsia="Arial" w:hAnsi="Arial" w:cs="Arial"/>
              </w:rPr>
              <w:t>3,276</w:t>
            </w:r>
            <w:r w:rsidR="002B419F">
              <w:rPr>
                <w:rFonts w:ascii="Times New Roman" w:eastAsia="Arial" w:hAnsi="Arial" w:cs="Arial"/>
              </w:rPr>
              <w:t xml:space="preserve"> </w:t>
            </w:r>
            <w:r w:rsidRPr="00491568">
              <w:rPr>
                <w:rFonts w:ascii="Times New Roman" w:eastAsia="Arial" w:hAnsi="Arial" w:cs="Arial"/>
                <w:spacing w:val="-4"/>
              </w:rPr>
              <w:t>hrs.;</w:t>
            </w:r>
          </w:p>
          <w:p w:rsidR="00491568" w:rsidRPr="00491568" w:rsidP="00491568" w14:paraId="7734BB0C" w14:textId="77777777">
            <w:pPr>
              <w:spacing w:after="0" w:line="240" w:lineRule="auto"/>
              <w:jc w:val="right"/>
              <w:rPr>
                <w:rFonts w:ascii="Times New Roman" w:eastAsia="Times New Roman" w:hAnsi="Times New Roman"/>
                <w:sz w:val="26"/>
              </w:rPr>
            </w:pPr>
            <w:r w:rsidRPr="00491568">
              <w:rPr>
                <w:rFonts w:ascii="Times New Roman" w:eastAsia="Times New Roman" w:hAnsi="Times New Roman"/>
                <w:spacing w:val="-2"/>
              </w:rPr>
              <w:t>$298,116</w:t>
            </w:r>
          </w:p>
        </w:tc>
        <w:tc>
          <w:tcPr>
            <w:tcW w:w="1065" w:type="dxa"/>
          </w:tcPr>
          <w:p w:rsidR="00491568" w:rsidRPr="00491568" w:rsidP="00491568" w14:paraId="3CF8B006" w14:textId="77777777">
            <w:pPr>
              <w:spacing w:after="0" w:line="240" w:lineRule="auto"/>
              <w:jc w:val="right"/>
              <w:rPr>
                <w:rFonts w:ascii="Times New Roman" w:eastAsia="Times New Roman" w:hAnsi="Times New Roman"/>
                <w:spacing w:val="-2"/>
              </w:rPr>
            </w:pPr>
          </w:p>
          <w:p w:rsidR="00491568" w:rsidRPr="00491568" w:rsidP="00491568" w14:paraId="41B04DA5" w14:textId="77777777">
            <w:pPr>
              <w:spacing w:after="0" w:line="240" w:lineRule="auto"/>
              <w:jc w:val="right"/>
              <w:rPr>
                <w:rFonts w:ascii="Times New Roman" w:eastAsia="Times New Roman" w:hAnsi="Times New Roman"/>
                <w:sz w:val="26"/>
              </w:rPr>
            </w:pPr>
            <w:r w:rsidRPr="00491568">
              <w:rPr>
                <w:rFonts w:ascii="Times New Roman" w:eastAsia="Times New Roman" w:hAnsi="Times New Roman"/>
                <w:spacing w:val="-2"/>
              </w:rPr>
              <w:t>$7,098</w:t>
            </w:r>
          </w:p>
        </w:tc>
      </w:tr>
      <w:tr w14:paraId="72DF0AAD" w14:textId="77777777" w:rsidTr="00780A75">
        <w:tblPrEx>
          <w:tblW w:w="9610" w:type="dxa"/>
          <w:tblLook w:val="04A0"/>
        </w:tblPrEx>
        <w:trPr>
          <w:trHeight w:val="413"/>
        </w:trPr>
        <w:tc>
          <w:tcPr>
            <w:tcW w:w="1555" w:type="dxa"/>
          </w:tcPr>
          <w:p w:rsidR="00491568" w:rsidRPr="00491568" w:rsidP="00491568" w14:paraId="3B6720A3" w14:textId="77777777">
            <w:pPr>
              <w:spacing w:after="0" w:line="240" w:lineRule="auto"/>
              <w:rPr>
                <w:rFonts w:ascii="Times New Roman" w:eastAsia="Times New Roman" w:hAnsi="Times New Roman"/>
                <w:sz w:val="26"/>
              </w:rPr>
            </w:pPr>
            <w:r w:rsidRPr="00491568">
              <w:rPr>
                <w:rFonts w:ascii="Times New Roman" w:eastAsia="Times New Roman" w:hAnsi="Times New Roman"/>
                <w:b/>
              </w:rPr>
              <w:t>Total</w:t>
            </w:r>
            <w:r w:rsidRPr="00491568">
              <w:rPr>
                <w:rFonts w:ascii="Times New Roman" w:eastAsia="Times New Roman" w:hAnsi="Times New Roman"/>
                <w:b/>
                <w:spacing w:val="-13"/>
              </w:rPr>
              <w:t xml:space="preserve"> </w:t>
            </w:r>
            <w:r w:rsidRPr="00491568">
              <w:rPr>
                <w:rFonts w:ascii="Times New Roman" w:eastAsia="Times New Roman" w:hAnsi="Times New Roman"/>
                <w:b/>
              </w:rPr>
              <w:t xml:space="preserve">Ongoing </w:t>
            </w:r>
            <w:r w:rsidRPr="00491568">
              <w:rPr>
                <w:rFonts w:ascii="Times New Roman" w:eastAsia="Times New Roman" w:hAnsi="Times New Roman"/>
                <w:b/>
                <w:spacing w:val="-2"/>
              </w:rPr>
              <w:t>Burden (current)</w:t>
            </w:r>
          </w:p>
        </w:tc>
        <w:tc>
          <w:tcPr>
            <w:tcW w:w="2731" w:type="dxa"/>
            <w:gridSpan w:val="2"/>
            <w:shd w:val="clear" w:color="auto" w:fill="D9D9D9" w:themeFill="background1" w:themeFillShade="D9"/>
          </w:tcPr>
          <w:p w:rsidR="00491568" w:rsidRPr="00491568" w:rsidP="00491568" w14:paraId="7E5BF117" w14:textId="77777777">
            <w:pPr>
              <w:spacing w:after="0" w:line="240" w:lineRule="auto"/>
              <w:jc w:val="right"/>
              <w:rPr>
                <w:rFonts w:ascii="Times New Roman" w:eastAsia="Times New Roman" w:hAnsi="Times New Roman"/>
                <w:sz w:val="26"/>
              </w:rPr>
            </w:pPr>
          </w:p>
        </w:tc>
        <w:tc>
          <w:tcPr>
            <w:tcW w:w="1108" w:type="dxa"/>
          </w:tcPr>
          <w:p w:rsidR="00491568" w:rsidRPr="00491568" w:rsidP="00491568" w14:paraId="283D046E" w14:textId="77777777">
            <w:pPr>
              <w:spacing w:after="0" w:line="240" w:lineRule="auto"/>
              <w:rPr>
                <w:rFonts w:ascii="Times New Roman" w:eastAsia="Arial" w:hAnsi="Arial" w:cs="Arial"/>
              </w:rPr>
            </w:pPr>
          </w:p>
          <w:p w:rsidR="00491568" w:rsidRPr="00DA7BE8" w:rsidP="00DA7BE8" w14:paraId="47DFBA37" w14:textId="31AB0516">
            <w:pPr>
              <w:spacing w:after="0" w:line="240" w:lineRule="auto"/>
              <w:jc w:val="right"/>
              <w:rPr>
                <w:rFonts w:ascii="Times New Roman" w:eastAsia="Times New Roman" w:hAnsi="Times New Roman"/>
                <w:spacing w:val="-5"/>
              </w:rPr>
            </w:pPr>
            <w:r w:rsidRPr="00DA7BE8">
              <w:rPr>
                <w:rFonts w:ascii="Times New Roman" w:eastAsia="Times New Roman" w:hAnsi="Times New Roman"/>
                <w:spacing w:val="-5"/>
                <w:sz w:val="22"/>
              </w:rPr>
              <w:t>924</w:t>
            </w:r>
          </w:p>
          <w:p w:rsidR="00491568" w:rsidRPr="00491568" w:rsidP="00491568" w14:paraId="6CF7AA0B" w14:textId="77777777">
            <w:pPr>
              <w:spacing w:before="7" w:after="0" w:line="240" w:lineRule="auto"/>
              <w:rPr>
                <w:rFonts w:ascii="Times New Roman" w:eastAsia="Arial" w:hAnsi="Arial" w:cs="Arial"/>
                <w:sz w:val="17"/>
              </w:rPr>
            </w:pPr>
          </w:p>
          <w:p w:rsidR="00491568" w:rsidRPr="00491568" w:rsidP="00491568" w14:paraId="74434E92" w14:textId="77777777">
            <w:pPr>
              <w:spacing w:after="0" w:line="240" w:lineRule="auto"/>
              <w:jc w:val="right"/>
              <w:rPr>
                <w:rFonts w:ascii="Times New Roman" w:eastAsia="Times New Roman" w:hAnsi="Times New Roman"/>
                <w:sz w:val="26"/>
              </w:rPr>
            </w:pPr>
            <w:r w:rsidRPr="00491568">
              <w:rPr>
                <w:rFonts w:ascii="Times New Roman" w:eastAsia="Times New Roman" w:hAnsi="Times New Roman"/>
                <w:spacing w:val="-5"/>
              </w:rPr>
              <w:t>924</w:t>
            </w:r>
          </w:p>
        </w:tc>
        <w:tc>
          <w:tcPr>
            <w:tcW w:w="1387" w:type="dxa"/>
            <w:shd w:val="clear" w:color="auto" w:fill="D9D9D9" w:themeFill="background1" w:themeFillShade="D9"/>
          </w:tcPr>
          <w:p w:rsidR="00491568" w:rsidRPr="00491568" w:rsidP="00491568" w14:paraId="552A2A81" w14:textId="77777777">
            <w:pPr>
              <w:spacing w:after="0" w:line="240" w:lineRule="auto"/>
              <w:jc w:val="right"/>
              <w:rPr>
                <w:rFonts w:ascii="Times New Roman" w:eastAsia="Times New Roman" w:hAnsi="Times New Roman"/>
                <w:sz w:val="26"/>
              </w:rPr>
            </w:pPr>
          </w:p>
        </w:tc>
        <w:tc>
          <w:tcPr>
            <w:tcW w:w="1764" w:type="dxa"/>
          </w:tcPr>
          <w:p w:rsidR="00491568" w:rsidRPr="00491568" w:rsidP="00491568" w14:paraId="4DAD6D41" w14:textId="77777777">
            <w:pPr>
              <w:spacing w:before="7" w:after="0" w:line="240" w:lineRule="auto"/>
              <w:jc w:val="right"/>
              <w:rPr>
                <w:rFonts w:ascii="Times New Roman" w:eastAsia="Arial" w:hAnsi="Arial" w:cs="Arial"/>
                <w:sz w:val="19"/>
              </w:rPr>
            </w:pPr>
          </w:p>
          <w:p w:rsidR="00491568" w:rsidRPr="00491568" w:rsidP="00DA7BE8" w14:paraId="11454104" w14:textId="77777777">
            <w:pPr>
              <w:spacing w:after="0" w:line="240" w:lineRule="auto"/>
              <w:ind w:left="95"/>
              <w:jc w:val="right"/>
              <w:rPr>
                <w:rFonts w:ascii="Times New Roman" w:eastAsia="Arial" w:hAnsi="Arial" w:cs="Arial"/>
              </w:rPr>
            </w:pPr>
            <w:r w:rsidRPr="00491568">
              <w:rPr>
                <w:rFonts w:ascii="Times New Roman" w:eastAsia="Arial" w:hAnsi="Arial" w:cs="Arial"/>
              </w:rPr>
              <w:t xml:space="preserve">371,426 </w:t>
            </w:r>
            <w:r w:rsidRPr="00491568">
              <w:rPr>
                <w:rFonts w:ascii="Times New Roman" w:eastAsia="Arial" w:hAnsi="Arial" w:cs="Arial"/>
                <w:spacing w:val="-2"/>
              </w:rPr>
              <w:t>hrs.;</w:t>
            </w:r>
          </w:p>
          <w:p w:rsidR="00BD1797" w:rsidP="00491568" w14:paraId="08EED23A" w14:textId="77777777">
            <w:pPr>
              <w:spacing w:after="0" w:line="240" w:lineRule="auto"/>
              <w:jc w:val="right"/>
              <w:rPr>
                <w:rFonts w:ascii="Times New Roman" w:eastAsia="Times New Roman" w:hAnsi="Times New Roman"/>
                <w:spacing w:val="-2"/>
              </w:rPr>
            </w:pPr>
          </w:p>
          <w:p w:rsidR="00491568" w:rsidRPr="00491568" w:rsidP="00491568" w14:paraId="28DBE73C" w14:textId="3FE9D721">
            <w:pPr>
              <w:spacing w:after="0" w:line="240" w:lineRule="auto"/>
              <w:jc w:val="right"/>
              <w:rPr>
                <w:rFonts w:ascii="Times New Roman" w:eastAsia="Times New Roman" w:hAnsi="Times New Roman"/>
                <w:spacing w:val="-2"/>
              </w:rPr>
            </w:pPr>
            <w:r w:rsidRPr="00491568">
              <w:rPr>
                <w:rFonts w:ascii="Times New Roman" w:eastAsia="Times New Roman" w:hAnsi="Times New Roman"/>
                <w:spacing w:val="-2"/>
              </w:rPr>
              <w:t>$33,799,766</w:t>
            </w:r>
          </w:p>
        </w:tc>
        <w:tc>
          <w:tcPr>
            <w:tcW w:w="1065" w:type="dxa"/>
            <w:shd w:val="clear" w:color="auto" w:fill="D9D9D9" w:themeFill="background1" w:themeFillShade="D9"/>
          </w:tcPr>
          <w:p w:rsidR="00491568" w:rsidRPr="00491568" w:rsidP="00491568" w14:paraId="1742A5CB" w14:textId="77777777">
            <w:pPr>
              <w:spacing w:after="0" w:line="240" w:lineRule="auto"/>
              <w:jc w:val="right"/>
              <w:rPr>
                <w:rFonts w:ascii="Times New Roman" w:eastAsia="Times New Roman" w:hAnsi="Times New Roman"/>
                <w:sz w:val="26"/>
              </w:rPr>
            </w:pPr>
          </w:p>
        </w:tc>
      </w:tr>
    </w:tbl>
    <w:p w:rsidR="002E44FB" w:rsidRPr="0073506C" w:rsidP="00BD0F89" w14:paraId="138B7815" w14:textId="77777777">
      <w:pPr>
        <w:spacing w:after="0" w:line="240" w:lineRule="auto"/>
        <w:rPr>
          <w:rFonts w:ascii="Times New Roman" w:hAnsi="Times New Roman"/>
          <w:sz w:val="26"/>
          <w:szCs w:val="26"/>
        </w:rPr>
      </w:pPr>
    </w:p>
    <w:p w:rsidR="00974AFC" w:rsidRPr="0073506C" w:rsidP="00BD0F89" w14:paraId="09148C17" w14:textId="53F661F7">
      <w:pPr>
        <w:spacing w:after="0" w:line="240" w:lineRule="auto"/>
        <w:rPr>
          <w:rFonts w:ascii="Times New Roman" w:hAnsi="Times New Roman"/>
          <w:b/>
          <w:sz w:val="26"/>
          <w:szCs w:val="26"/>
        </w:rPr>
      </w:pPr>
      <w:r w:rsidRPr="0073506C">
        <w:rPr>
          <w:rFonts w:ascii="Times New Roman" w:hAnsi="Times New Roman"/>
          <w:b/>
          <w:sz w:val="26"/>
          <w:szCs w:val="26"/>
        </w:rPr>
        <w:t>13.</w:t>
      </w:r>
      <w:r w:rsidRPr="0073506C" w:rsidR="00BF3095">
        <w:rPr>
          <w:rFonts w:ascii="Times New Roman" w:hAnsi="Times New Roman"/>
          <w:b/>
          <w:sz w:val="26"/>
          <w:szCs w:val="26"/>
        </w:rPr>
        <w:t xml:space="preserve">  ESTIMATE OF THE TOTAL ANNUAL COST BURDEN TO </w:t>
      </w:r>
      <w:r w:rsidRPr="0073506C" w:rsidR="00F1537F">
        <w:rPr>
          <w:rFonts w:ascii="Times New Roman" w:hAnsi="Times New Roman"/>
          <w:b/>
          <w:sz w:val="26"/>
          <w:szCs w:val="26"/>
        </w:rPr>
        <w:t>RESPONDENTS</w:t>
      </w:r>
      <w:r w:rsidRPr="0073506C" w:rsidR="00BF3095">
        <w:rPr>
          <w:rFonts w:ascii="Times New Roman" w:hAnsi="Times New Roman"/>
          <w:b/>
          <w:sz w:val="26"/>
          <w:szCs w:val="26"/>
        </w:rPr>
        <w:t xml:space="preserve"> </w:t>
      </w:r>
    </w:p>
    <w:p w:rsidR="00974AFC" w:rsidRPr="0073506C" w:rsidP="00BD0F89" w14:paraId="744F03A0" w14:textId="77777777">
      <w:pPr>
        <w:spacing w:after="0" w:line="240" w:lineRule="auto"/>
        <w:rPr>
          <w:rFonts w:ascii="Times New Roman" w:hAnsi="Times New Roman"/>
          <w:sz w:val="26"/>
          <w:szCs w:val="26"/>
        </w:rPr>
      </w:pPr>
    </w:p>
    <w:p w:rsidR="00F0627E" w:rsidRPr="0073506C" w14:paraId="691BA5A9" w14:textId="0EF35816">
      <w:pPr>
        <w:spacing w:after="0" w:line="240" w:lineRule="auto"/>
        <w:rPr>
          <w:rFonts w:ascii="Times New Roman" w:hAnsi="Times New Roman"/>
          <w:sz w:val="26"/>
          <w:szCs w:val="26"/>
        </w:rPr>
      </w:pPr>
      <w:r w:rsidRPr="0073506C">
        <w:rPr>
          <w:rFonts w:ascii="Times New Roman" w:hAnsi="Times New Roman"/>
          <w:sz w:val="26"/>
          <w:szCs w:val="26"/>
        </w:rPr>
        <w:t xml:space="preserve">All costs are related to burden hours and are discussed in Questions 12 and 15. </w:t>
      </w:r>
      <w:r w:rsidR="00D04549">
        <w:rPr>
          <w:rFonts w:ascii="Times New Roman" w:hAnsi="Times New Roman"/>
          <w:sz w:val="26"/>
          <w:szCs w:val="26"/>
        </w:rPr>
        <w:t xml:space="preserve"> </w:t>
      </w:r>
      <w:r w:rsidRPr="0073506C">
        <w:rPr>
          <w:rFonts w:ascii="Times New Roman" w:hAnsi="Times New Roman"/>
          <w:sz w:val="26"/>
          <w:szCs w:val="26"/>
        </w:rPr>
        <w:t>There are no capital costs.</w:t>
      </w:r>
    </w:p>
    <w:p w:rsidR="005B4F28" w:rsidRPr="0073506C" w:rsidP="00BD0F89" w14:paraId="4A8C8E33" w14:textId="77777777">
      <w:pPr>
        <w:spacing w:after="0" w:line="240" w:lineRule="auto"/>
        <w:rPr>
          <w:rFonts w:ascii="Times New Roman" w:hAnsi="Times New Roman"/>
          <w:sz w:val="26"/>
          <w:szCs w:val="26"/>
        </w:rPr>
      </w:pPr>
    </w:p>
    <w:p w:rsidR="00F0627E" w:rsidRPr="0073506C" w:rsidP="00BD0F89" w14:paraId="64AF384F" w14:textId="77777777">
      <w:pPr>
        <w:pStyle w:val="ListParagraph"/>
        <w:spacing w:after="0" w:line="240" w:lineRule="auto"/>
        <w:ind w:left="0"/>
        <w:rPr>
          <w:rFonts w:ascii="Times New Roman" w:hAnsi="Times New Roman"/>
          <w:sz w:val="26"/>
          <w:szCs w:val="26"/>
        </w:rPr>
      </w:pPr>
      <w:r w:rsidRPr="0073506C">
        <w:rPr>
          <w:rFonts w:ascii="Times New Roman" w:hAnsi="Times New Roman"/>
          <w:b/>
          <w:sz w:val="26"/>
          <w:szCs w:val="26"/>
        </w:rPr>
        <w:t xml:space="preserve">14.  </w:t>
      </w:r>
      <w:r w:rsidRPr="0073506C" w:rsidR="00BF3095">
        <w:rPr>
          <w:rFonts w:ascii="Times New Roman" w:hAnsi="Times New Roman"/>
          <w:b/>
          <w:sz w:val="26"/>
          <w:szCs w:val="26"/>
        </w:rPr>
        <w:t>ESTIMATED ANNUALIZED COST TO FEDERAL GOVERNMENT</w:t>
      </w:r>
    </w:p>
    <w:p w:rsidR="00BF3095" w:rsidRPr="0073506C" w:rsidP="00BD0F89" w14:paraId="31100877" w14:textId="77777777">
      <w:pPr>
        <w:pStyle w:val="ListParagraph"/>
        <w:spacing w:after="0" w:line="240" w:lineRule="auto"/>
        <w:ind w:left="0"/>
        <w:rPr>
          <w:rFonts w:ascii="Times New Roman" w:hAnsi="Times New Roman"/>
          <w:sz w:val="26"/>
          <w:szCs w:val="26"/>
        </w:rPr>
      </w:pPr>
    </w:p>
    <w:p w:rsidR="00244BC9" w:rsidRPr="0073506C" w14:paraId="4F2187EF" w14:textId="7E0E7F08">
      <w:pPr>
        <w:spacing w:after="0" w:line="240" w:lineRule="auto"/>
        <w:rPr>
          <w:rFonts w:ascii="Times New Roman" w:hAnsi="Times New Roman"/>
          <w:sz w:val="26"/>
          <w:szCs w:val="26"/>
        </w:rPr>
      </w:pPr>
      <w:r w:rsidRPr="0073506C">
        <w:rPr>
          <w:rFonts w:ascii="Times New Roman" w:hAnsi="Times New Roman"/>
          <w:sz w:val="26"/>
          <w:szCs w:val="26"/>
        </w:rPr>
        <w:t xml:space="preserve">The estimate of the cost for </w:t>
      </w:r>
      <w:r w:rsidR="00D04549">
        <w:rPr>
          <w:rFonts w:ascii="Times New Roman" w:hAnsi="Times New Roman"/>
          <w:sz w:val="26"/>
          <w:szCs w:val="26"/>
        </w:rPr>
        <w:t>“</w:t>
      </w:r>
      <w:r w:rsidRPr="0073506C">
        <w:rPr>
          <w:rFonts w:ascii="Times New Roman" w:hAnsi="Times New Roman"/>
          <w:sz w:val="26"/>
          <w:szCs w:val="26"/>
        </w:rPr>
        <w:t>analysis and processing of filings</w:t>
      </w:r>
      <w:r w:rsidR="00D04549">
        <w:rPr>
          <w:rFonts w:ascii="Times New Roman" w:hAnsi="Times New Roman"/>
          <w:sz w:val="26"/>
          <w:szCs w:val="26"/>
        </w:rPr>
        <w:t>”</w:t>
      </w:r>
      <w:r>
        <w:rPr>
          <w:rStyle w:val="FootnoteReference"/>
          <w:rFonts w:ascii="Times New Roman" w:hAnsi="Times New Roman"/>
          <w:sz w:val="26"/>
          <w:szCs w:val="26"/>
          <w:vertAlign w:val="superscript"/>
        </w:rPr>
        <w:footnoteReference w:id="17"/>
      </w:r>
      <w:r w:rsidRPr="0073506C">
        <w:rPr>
          <w:rFonts w:ascii="Times New Roman" w:hAnsi="Times New Roman"/>
          <w:sz w:val="26"/>
          <w:szCs w:val="26"/>
          <w:vertAlign w:val="superscript"/>
        </w:rPr>
        <w:t xml:space="preserve"> </w:t>
      </w:r>
      <w:r w:rsidRPr="0073506C">
        <w:rPr>
          <w:rFonts w:ascii="Times New Roman" w:hAnsi="Times New Roman"/>
          <w:sz w:val="26"/>
          <w:szCs w:val="26"/>
        </w:rPr>
        <w:t>is based on salaries and benefits for professional and clerical support.  This estimated cost represents staff analysis, decision-making, and review of any actual filings submitted in response to the information collection</w:t>
      </w:r>
      <w:r w:rsidRPr="0073506C" w:rsidR="00946E0D">
        <w:rPr>
          <w:rFonts w:ascii="Times New Roman" w:hAnsi="Times New Roman"/>
          <w:sz w:val="26"/>
          <w:szCs w:val="26"/>
        </w:rPr>
        <w:t>s</w:t>
      </w:r>
      <w:r w:rsidRPr="0073506C">
        <w:rPr>
          <w:rFonts w:ascii="Times New Roman" w:hAnsi="Times New Roman"/>
          <w:sz w:val="26"/>
          <w:szCs w:val="26"/>
        </w:rPr>
        <w:t>.</w:t>
      </w:r>
      <w:r w:rsidRPr="0073506C" w:rsidR="00247EBC">
        <w:rPr>
          <w:rFonts w:ascii="Times New Roman" w:hAnsi="Times New Roman"/>
          <w:sz w:val="26"/>
          <w:szCs w:val="26"/>
        </w:rPr>
        <w:t xml:space="preserve">  </w:t>
      </w:r>
      <w:r w:rsidRPr="0073506C" w:rsidR="00A27235">
        <w:rPr>
          <w:rFonts w:ascii="Times New Roman" w:hAnsi="Times New Roman"/>
          <w:sz w:val="26"/>
          <w:szCs w:val="26"/>
        </w:rPr>
        <w:t>(The corresponding annual and hourly FERC costs use the figures for 20</w:t>
      </w:r>
      <w:r w:rsidR="002E44FB">
        <w:rPr>
          <w:rFonts w:ascii="Times New Roman" w:hAnsi="Times New Roman"/>
          <w:sz w:val="26"/>
          <w:szCs w:val="26"/>
        </w:rPr>
        <w:t>21</w:t>
      </w:r>
      <w:r w:rsidRPr="0073506C" w:rsidR="00A27235">
        <w:rPr>
          <w:rFonts w:ascii="Times New Roman" w:hAnsi="Times New Roman"/>
          <w:sz w:val="26"/>
          <w:szCs w:val="26"/>
        </w:rPr>
        <w:t>, as noted.)</w:t>
      </w:r>
      <w:r w:rsidR="009F5AD3">
        <w:rPr>
          <w:rFonts w:ascii="Times New Roman" w:hAnsi="Times New Roman"/>
          <w:sz w:val="26"/>
          <w:szCs w:val="26"/>
        </w:rPr>
        <w:t xml:space="preserve">  The estimated costs are divided equally by three in ROCIS. </w:t>
      </w:r>
    </w:p>
    <w:p w:rsidR="0058372E" w:rsidRPr="0073506C" w:rsidP="00BD0F89" w14:paraId="23AB8541" w14:textId="783BB121">
      <w:pPr>
        <w:spacing w:after="0" w:line="240" w:lineRule="auto"/>
        <w:rPr>
          <w:rFonts w:ascii="Times New Roman" w:hAnsi="Times New Roman"/>
          <w:sz w:val="26"/>
          <w:szCs w:val="26"/>
        </w:rPr>
      </w:pPr>
      <w:r>
        <w:rPr>
          <w:rFonts w:ascii="Times New Roman" w:hAnsi="Times New Roman"/>
          <w:sz w:val="26"/>
          <w:szCs w:val="26"/>
        </w:rPr>
        <w:tab/>
      </w:r>
    </w:p>
    <w:p w:rsidR="00244BC9" w:rsidP="00BD0F89" w14:paraId="509AE618" w14:textId="77777777">
      <w:pPr>
        <w:spacing w:after="0" w:line="240" w:lineRule="auto"/>
        <w:rPr>
          <w:rFonts w:ascii="Times New Roman" w:hAnsi="Times New Roman"/>
          <w:sz w:val="26"/>
          <w:szCs w:val="26"/>
        </w:rPr>
      </w:pPr>
      <w:r w:rsidRPr="0073506C">
        <w:rPr>
          <w:rFonts w:ascii="Times New Roman" w:hAnsi="Times New Roman"/>
          <w:sz w:val="26"/>
          <w:szCs w:val="26"/>
        </w:rPr>
        <w:t>The Paperwork Reduction Act (PRA) Administrative Cost</w:t>
      </w:r>
      <w:r>
        <w:rPr>
          <w:rStyle w:val="FootnoteReference"/>
          <w:rFonts w:ascii="Times New Roman" w:hAnsi="Times New Roman"/>
          <w:sz w:val="26"/>
          <w:szCs w:val="26"/>
          <w:vertAlign w:val="superscript"/>
        </w:rPr>
        <w:footnoteReference w:id="18"/>
      </w:r>
      <w:r w:rsidRPr="0073506C">
        <w:rPr>
          <w:rFonts w:ascii="Times New Roman" w:hAnsi="Times New Roman"/>
          <w:sz w:val="26"/>
          <w:szCs w:val="26"/>
        </w:rPr>
        <w:t xml:space="preserve">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386869" w:rsidP="00BD0F89" w14:paraId="028C7170" w14:textId="77777777">
      <w:pPr>
        <w:spacing w:after="0" w:line="240" w:lineRule="auto"/>
        <w:rPr>
          <w:rFonts w:ascii="Times New Roman" w:hAnsi="Times New Roman"/>
          <w:sz w:val="26"/>
          <w:szCs w:val="26"/>
        </w:rPr>
      </w:pPr>
    </w:p>
    <w:p w:rsidR="00386869" w:rsidRPr="0073506C" w:rsidP="00BD0F89" w14:paraId="304A14A2" w14:textId="54C4762B">
      <w:pPr>
        <w:spacing w:after="0" w:line="240" w:lineRule="auto"/>
        <w:rPr>
          <w:rFonts w:ascii="Times New Roman" w:hAnsi="Times New Roman"/>
          <w:sz w:val="26"/>
          <w:szCs w:val="26"/>
        </w:rPr>
      </w:pPr>
      <w:r>
        <w:rPr>
          <w:rFonts w:ascii="Times New Roman" w:hAnsi="Times New Roman"/>
          <w:sz w:val="26"/>
          <w:szCs w:val="26"/>
        </w:rPr>
        <w:t>In addition to the analysis and PRA costs, the Commission also will</w:t>
      </w:r>
      <w:r w:rsidR="0060379C">
        <w:rPr>
          <w:rFonts w:ascii="Times New Roman" w:hAnsi="Times New Roman"/>
          <w:sz w:val="26"/>
          <w:szCs w:val="26"/>
        </w:rPr>
        <w:t xml:space="preserve"> need to update its filing forms and related IT systems </w:t>
      </w:r>
      <w:r w:rsidR="003072DA">
        <w:rPr>
          <w:rFonts w:ascii="Times New Roman" w:hAnsi="Times New Roman"/>
          <w:sz w:val="26"/>
          <w:szCs w:val="26"/>
        </w:rPr>
        <w:t>including</w:t>
      </w:r>
      <w:r w:rsidR="0060379C">
        <w:rPr>
          <w:rFonts w:ascii="Times New Roman" w:hAnsi="Times New Roman"/>
          <w:sz w:val="26"/>
          <w:szCs w:val="26"/>
        </w:rPr>
        <w:t xml:space="preserve"> </w:t>
      </w:r>
      <w:r w:rsidR="00632EA1">
        <w:rPr>
          <w:rFonts w:ascii="Times New Roman" w:hAnsi="Times New Roman"/>
          <w:sz w:val="26"/>
          <w:szCs w:val="26"/>
        </w:rPr>
        <w:t>updating the XBRL taxonomies for FERC Form</w:t>
      </w:r>
      <w:r w:rsidR="00FA72AA">
        <w:rPr>
          <w:rFonts w:ascii="Times New Roman" w:hAnsi="Times New Roman"/>
          <w:sz w:val="26"/>
          <w:szCs w:val="26"/>
        </w:rPr>
        <w:t xml:space="preserve"> No</w:t>
      </w:r>
      <w:r w:rsidR="00632EA1">
        <w:rPr>
          <w:rFonts w:ascii="Times New Roman" w:hAnsi="Times New Roman"/>
          <w:sz w:val="26"/>
          <w:szCs w:val="26"/>
        </w:rPr>
        <w:t>s</w:t>
      </w:r>
      <w:r w:rsidR="00D8026F">
        <w:rPr>
          <w:rFonts w:ascii="Times New Roman" w:hAnsi="Times New Roman"/>
          <w:sz w:val="26"/>
          <w:szCs w:val="26"/>
        </w:rPr>
        <w:t>.</w:t>
      </w:r>
      <w:r w:rsidR="00632EA1">
        <w:rPr>
          <w:rFonts w:ascii="Times New Roman" w:hAnsi="Times New Roman"/>
          <w:sz w:val="26"/>
          <w:szCs w:val="26"/>
        </w:rPr>
        <w:t xml:space="preserve"> 1, 1-F, 3-Q, and 60</w:t>
      </w:r>
      <w:r w:rsidR="006C7AB8">
        <w:rPr>
          <w:rFonts w:ascii="Times New Roman" w:hAnsi="Times New Roman"/>
          <w:sz w:val="26"/>
          <w:szCs w:val="26"/>
        </w:rPr>
        <w:t>.  Th</w:t>
      </w:r>
      <w:r w:rsidR="005E05F6">
        <w:rPr>
          <w:rFonts w:ascii="Times New Roman" w:hAnsi="Times New Roman"/>
          <w:sz w:val="26"/>
          <w:szCs w:val="26"/>
        </w:rPr>
        <w:t>e</w:t>
      </w:r>
      <w:r w:rsidR="006C7AB8">
        <w:rPr>
          <w:rFonts w:ascii="Times New Roman" w:hAnsi="Times New Roman"/>
          <w:sz w:val="26"/>
          <w:szCs w:val="26"/>
        </w:rPr>
        <w:t xml:space="preserve"> </w:t>
      </w:r>
      <w:r w:rsidR="005E05F6">
        <w:rPr>
          <w:rFonts w:ascii="Times New Roman" w:hAnsi="Times New Roman"/>
          <w:sz w:val="26"/>
          <w:szCs w:val="26"/>
        </w:rPr>
        <w:t>cost to the</w:t>
      </w:r>
      <w:r w:rsidR="006C7AB8">
        <w:rPr>
          <w:rFonts w:ascii="Times New Roman" w:hAnsi="Times New Roman"/>
          <w:sz w:val="26"/>
          <w:szCs w:val="26"/>
        </w:rPr>
        <w:t xml:space="preserve"> Commission</w:t>
      </w:r>
      <w:r w:rsidR="006B2FA2">
        <w:rPr>
          <w:rFonts w:ascii="Times New Roman" w:hAnsi="Times New Roman"/>
          <w:sz w:val="26"/>
          <w:szCs w:val="26"/>
        </w:rPr>
        <w:t xml:space="preserve"> </w:t>
      </w:r>
      <w:r w:rsidRPr="005E05F6" w:rsidR="005E05F6">
        <w:rPr>
          <w:rFonts w:ascii="Times New Roman" w:hAnsi="Times New Roman"/>
          <w:sz w:val="26"/>
          <w:szCs w:val="26"/>
        </w:rPr>
        <w:t xml:space="preserve">is </w:t>
      </w:r>
      <w:r w:rsidR="008F5A2A">
        <w:rPr>
          <w:rFonts w:ascii="Times New Roman" w:hAnsi="Times New Roman"/>
          <w:sz w:val="26"/>
          <w:szCs w:val="26"/>
        </w:rPr>
        <w:t>p</w:t>
      </w:r>
      <w:r w:rsidRPr="005E05F6" w:rsidR="005E05F6">
        <w:rPr>
          <w:rFonts w:ascii="Times New Roman" w:hAnsi="Times New Roman"/>
          <w:sz w:val="26"/>
          <w:szCs w:val="26"/>
        </w:rPr>
        <w:t>rocurement sensitive and not available at this time.</w:t>
      </w:r>
    </w:p>
    <w:p w:rsidR="0058372E" w:rsidRPr="0073506C" w:rsidP="00BD0F89" w14:paraId="5D81E42B" w14:textId="4BE18DD1">
      <w:pPr>
        <w:spacing w:after="0" w:line="240" w:lineRule="auto"/>
        <w:rPr>
          <w:rFonts w:ascii="Times New Roman" w:hAnsi="Times New Roman"/>
          <w:sz w:val="26"/>
          <w:szCs w:val="26"/>
        </w:rPr>
      </w:pPr>
      <w:r>
        <w:rPr>
          <w:rFonts w:ascii="Times New Roman" w:hAnsi="Times New Roman"/>
          <w:sz w:val="26"/>
          <w:szCs w:val="26"/>
        </w:rPr>
        <w:tab/>
      </w:r>
    </w:p>
    <w:p w:rsidR="00F0627E" w:rsidRPr="0073506C" w:rsidP="00BD0F89" w14:paraId="1EDEF1DC" w14:textId="77777777">
      <w:pPr>
        <w:spacing w:after="0" w:line="240" w:lineRule="auto"/>
        <w:rPr>
          <w:rFonts w:ascii="Times New Roman" w:hAnsi="Times New Roman"/>
          <w:sz w:val="26"/>
          <w:szCs w:val="26"/>
        </w:rPr>
      </w:pPr>
      <w:r w:rsidRPr="0073506C">
        <w:rPr>
          <w:rFonts w:ascii="Times New Roman" w:hAnsi="Times New Roman"/>
          <w:sz w:val="26"/>
          <w:szCs w:val="26"/>
        </w:rPr>
        <w:t xml:space="preserve">The estimated </w:t>
      </w:r>
      <w:r w:rsidRPr="0073506C" w:rsidR="00F20B97">
        <w:rPr>
          <w:rFonts w:ascii="Times New Roman" w:hAnsi="Times New Roman"/>
          <w:sz w:val="26"/>
          <w:szCs w:val="26"/>
        </w:rPr>
        <w:t xml:space="preserve">annualized </w:t>
      </w:r>
      <w:r w:rsidRPr="0073506C">
        <w:rPr>
          <w:rFonts w:ascii="Times New Roman" w:hAnsi="Times New Roman"/>
          <w:sz w:val="26"/>
          <w:szCs w:val="26"/>
        </w:rPr>
        <w:t>cost</w:t>
      </w:r>
      <w:r w:rsidRPr="0073506C" w:rsidR="00F20B97">
        <w:rPr>
          <w:rFonts w:ascii="Times New Roman" w:hAnsi="Times New Roman"/>
          <w:sz w:val="26"/>
          <w:szCs w:val="26"/>
        </w:rPr>
        <w:t xml:space="preserve"> to the Federal Government</w:t>
      </w:r>
      <w:r w:rsidRPr="0073506C" w:rsidR="00247EBC">
        <w:rPr>
          <w:rFonts w:ascii="Times New Roman" w:hAnsi="Times New Roman"/>
          <w:sz w:val="26"/>
          <w:szCs w:val="26"/>
        </w:rPr>
        <w:t xml:space="preserve"> </w:t>
      </w:r>
      <w:r w:rsidRPr="0073506C" w:rsidR="00E20CEF">
        <w:rPr>
          <w:rFonts w:ascii="Times New Roman" w:hAnsi="Times New Roman"/>
          <w:sz w:val="26"/>
          <w:szCs w:val="26"/>
        </w:rPr>
        <w:t>follows.</w:t>
      </w:r>
      <w:r>
        <w:rPr>
          <w:rStyle w:val="FootnoteReference"/>
          <w:rFonts w:ascii="Times New Roman" w:hAnsi="Times New Roman"/>
          <w:sz w:val="26"/>
          <w:szCs w:val="26"/>
          <w:vertAlign w:val="superscript"/>
        </w:rPr>
        <w:footnoteReference w:id="19"/>
      </w:r>
      <w:r w:rsidRPr="0073506C">
        <w:rPr>
          <w:rFonts w:ascii="Times New Roman" w:hAnsi="Times New Roman"/>
          <w:sz w:val="26"/>
          <w:szCs w:val="26"/>
          <w:vertAlign w:val="superscript"/>
        </w:rPr>
        <w:t xml:space="preserve"> </w:t>
      </w:r>
      <w:r w:rsidRPr="0073506C" w:rsidR="00247EBC">
        <w:rPr>
          <w:rFonts w:ascii="Times New Roman" w:hAnsi="Times New Roman"/>
          <w:sz w:val="26"/>
          <w:szCs w:val="26"/>
        </w:rPr>
        <w:t xml:space="preserve"> </w:t>
      </w:r>
    </w:p>
    <w:p w:rsidR="00A116AE" w:rsidRPr="0073506C" w:rsidP="0051491B" w14:paraId="69F13D91" w14:textId="77777777">
      <w:pPr>
        <w:spacing w:after="0" w:line="240" w:lineRule="auto"/>
        <w:rPr>
          <w:rFonts w:ascii="Times New Roman" w:hAnsi="Times New Roman"/>
          <w:sz w:val="26"/>
          <w:szCs w:val="26"/>
        </w:rPr>
      </w:pP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5"/>
        <w:gridCol w:w="2022"/>
        <w:gridCol w:w="1841"/>
        <w:gridCol w:w="1892"/>
        <w:gridCol w:w="2060"/>
      </w:tblGrid>
      <w:tr w14:paraId="35AF1324" w14:textId="77777777" w:rsidTr="00DA7BE8">
        <w:tblPrEx>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1"/>
        </w:trPr>
        <w:tc>
          <w:tcPr>
            <w:tcW w:w="2185" w:type="dxa"/>
            <w:shd w:val="clear" w:color="000000" w:fill="D9D9D9"/>
            <w:vAlign w:val="bottom"/>
            <w:hideMark/>
          </w:tcPr>
          <w:p w:rsidR="00533D70" w:rsidRPr="00DA7BE8" w14:paraId="5757F6E2" w14:textId="77777777">
            <w:pPr>
              <w:spacing w:after="0" w:line="240" w:lineRule="auto"/>
              <w:jc w:val="center"/>
              <w:rPr>
                <w:rFonts w:ascii="Times New Roman" w:eastAsia="Times New Roman" w:hAnsi="Times New Roman"/>
                <w:b/>
                <w:color w:val="000000"/>
                <w:sz w:val="20"/>
                <w:szCs w:val="20"/>
              </w:rPr>
            </w:pPr>
            <w:r w:rsidRPr="00DA7BE8">
              <w:rPr>
                <w:rFonts w:ascii="Times New Roman" w:eastAsia="Times New Roman" w:hAnsi="Times New Roman"/>
                <w:b/>
                <w:color w:val="000000"/>
                <w:sz w:val="20"/>
                <w:szCs w:val="20"/>
              </w:rPr>
              <w:t>Information Collection</w:t>
            </w:r>
          </w:p>
        </w:tc>
        <w:tc>
          <w:tcPr>
            <w:tcW w:w="2022" w:type="dxa"/>
            <w:shd w:val="clear" w:color="000000" w:fill="D9D9D9"/>
            <w:vAlign w:val="bottom"/>
            <w:hideMark/>
          </w:tcPr>
          <w:p w:rsidR="00533D70" w:rsidRPr="00DA7BE8" w:rsidP="005B4F28" w14:paraId="64A70FCB" w14:textId="1DA22170">
            <w:pPr>
              <w:spacing w:after="0" w:line="240" w:lineRule="auto"/>
              <w:jc w:val="center"/>
              <w:rPr>
                <w:rFonts w:ascii="Times New Roman" w:eastAsia="Times New Roman" w:hAnsi="Times New Roman"/>
                <w:b/>
                <w:color w:val="000000"/>
                <w:sz w:val="20"/>
                <w:szCs w:val="20"/>
              </w:rPr>
            </w:pPr>
            <w:r w:rsidRPr="00DA7BE8">
              <w:rPr>
                <w:rFonts w:ascii="Times New Roman" w:eastAsia="Times New Roman" w:hAnsi="Times New Roman"/>
                <w:b/>
                <w:color w:val="000000"/>
                <w:sz w:val="20"/>
                <w:szCs w:val="20"/>
              </w:rPr>
              <w:t xml:space="preserve">Full-Time FERC Staff Equivalents (FTEs) for 'Analysis &amp; Processing of Filings' </w:t>
            </w:r>
          </w:p>
        </w:tc>
        <w:tc>
          <w:tcPr>
            <w:tcW w:w="1841" w:type="dxa"/>
            <w:shd w:val="clear" w:color="000000" w:fill="D9D9D9"/>
            <w:vAlign w:val="bottom"/>
            <w:hideMark/>
          </w:tcPr>
          <w:p w:rsidR="00533D70" w:rsidRPr="00DA7BE8" w:rsidP="00533D70" w14:paraId="7815DAD3" w14:textId="72ACE5CA">
            <w:pPr>
              <w:spacing w:after="0" w:line="240" w:lineRule="auto"/>
              <w:jc w:val="center"/>
              <w:rPr>
                <w:rFonts w:ascii="Times New Roman" w:eastAsia="Times New Roman" w:hAnsi="Times New Roman"/>
                <w:b/>
                <w:color w:val="000000"/>
                <w:sz w:val="20"/>
                <w:szCs w:val="20"/>
              </w:rPr>
            </w:pPr>
            <w:r w:rsidRPr="00DA7BE8">
              <w:rPr>
                <w:rFonts w:ascii="Times New Roman" w:eastAsia="Times New Roman" w:hAnsi="Times New Roman"/>
                <w:b/>
                <w:color w:val="000000"/>
                <w:sz w:val="20"/>
                <w:szCs w:val="20"/>
              </w:rPr>
              <w:t>FERC Staff Cost of Analysis &amp; Processing of Filings (FTEs * $</w:t>
            </w:r>
            <w:r w:rsidRPr="00DA7BE8" w:rsidR="00FE39EF">
              <w:rPr>
                <w:rFonts w:ascii="Times New Roman" w:eastAsia="Times New Roman" w:hAnsi="Times New Roman"/>
                <w:b/>
                <w:color w:val="000000"/>
                <w:sz w:val="20"/>
                <w:szCs w:val="20"/>
              </w:rPr>
              <w:t>18</w:t>
            </w:r>
            <w:r w:rsidRPr="00DA7BE8" w:rsidR="00DB63AB">
              <w:rPr>
                <w:rFonts w:ascii="Times New Roman" w:eastAsia="Times New Roman" w:hAnsi="Times New Roman"/>
                <w:b/>
                <w:color w:val="000000"/>
                <w:sz w:val="20"/>
                <w:szCs w:val="20"/>
              </w:rPr>
              <w:t>8</w:t>
            </w:r>
            <w:r w:rsidRPr="00DA7BE8" w:rsidR="00FE39EF">
              <w:rPr>
                <w:rFonts w:ascii="Times New Roman" w:eastAsia="Times New Roman" w:hAnsi="Times New Roman"/>
                <w:b/>
                <w:color w:val="000000"/>
                <w:sz w:val="20"/>
                <w:szCs w:val="20"/>
              </w:rPr>
              <w:t>,</w:t>
            </w:r>
            <w:r w:rsidRPr="00DA7BE8" w:rsidR="00DB63AB">
              <w:rPr>
                <w:rFonts w:ascii="Times New Roman" w:eastAsia="Times New Roman" w:hAnsi="Times New Roman"/>
                <w:b/>
                <w:color w:val="000000"/>
                <w:sz w:val="20"/>
                <w:szCs w:val="20"/>
              </w:rPr>
              <w:t>922</w:t>
            </w:r>
            <w:r w:rsidRPr="00DA7BE8">
              <w:rPr>
                <w:rFonts w:ascii="Times New Roman" w:eastAsia="Times New Roman" w:hAnsi="Times New Roman"/>
                <w:b/>
                <w:color w:val="000000"/>
                <w:sz w:val="20"/>
                <w:szCs w:val="20"/>
              </w:rPr>
              <w:t xml:space="preserve">/year) </w:t>
            </w:r>
          </w:p>
        </w:tc>
        <w:tc>
          <w:tcPr>
            <w:tcW w:w="1892" w:type="dxa"/>
            <w:shd w:val="clear" w:color="000000" w:fill="D9D9D9"/>
            <w:vAlign w:val="bottom"/>
            <w:hideMark/>
          </w:tcPr>
          <w:p w:rsidR="00533D70" w:rsidRPr="00DA7BE8" w:rsidP="00533D70" w14:paraId="7978C90F" w14:textId="36EE3A4E">
            <w:pPr>
              <w:spacing w:after="0" w:line="240" w:lineRule="auto"/>
              <w:jc w:val="center"/>
              <w:rPr>
                <w:rFonts w:ascii="Times New Roman" w:eastAsia="Times New Roman" w:hAnsi="Times New Roman"/>
                <w:b/>
                <w:color w:val="000000"/>
                <w:sz w:val="20"/>
                <w:szCs w:val="20"/>
              </w:rPr>
            </w:pPr>
            <w:r w:rsidRPr="00DA7BE8">
              <w:rPr>
                <w:rFonts w:ascii="Times New Roman" w:eastAsia="Times New Roman" w:hAnsi="Times New Roman"/>
                <w:b/>
                <w:color w:val="000000"/>
                <w:sz w:val="20"/>
                <w:szCs w:val="20"/>
              </w:rPr>
              <w:t>PRA Administrative Cost (</w:t>
            </w:r>
            <w:r w:rsidRPr="00DA7BE8" w:rsidR="00FE39EF">
              <w:rPr>
                <w:rFonts w:ascii="Times New Roman" w:eastAsia="Times New Roman" w:hAnsi="Times New Roman"/>
                <w:b/>
                <w:color w:val="000000"/>
                <w:sz w:val="20"/>
                <w:szCs w:val="20"/>
              </w:rPr>
              <w:t>$</w:t>
            </w:r>
            <w:r w:rsidRPr="00DA7BE8" w:rsidR="00DB63AB">
              <w:rPr>
                <w:rFonts w:ascii="Times New Roman" w:eastAsia="Times New Roman" w:hAnsi="Times New Roman"/>
                <w:b/>
                <w:color w:val="000000"/>
                <w:sz w:val="20"/>
                <w:szCs w:val="20"/>
              </w:rPr>
              <w:t>7,694</w:t>
            </w:r>
            <w:r w:rsidRPr="00DA7BE8" w:rsidR="00FE39EF">
              <w:rPr>
                <w:rFonts w:ascii="Times New Roman" w:eastAsia="Times New Roman" w:hAnsi="Times New Roman"/>
                <w:b/>
                <w:color w:val="000000"/>
                <w:sz w:val="20"/>
                <w:szCs w:val="20"/>
              </w:rPr>
              <w:t xml:space="preserve"> </w:t>
            </w:r>
            <w:r w:rsidRPr="00DA7BE8">
              <w:rPr>
                <w:rFonts w:ascii="Times New Roman" w:eastAsia="Times New Roman" w:hAnsi="Times New Roman"/>
                <w:b/>
                <w:color w:val="000000"/>
                <w:sz w:val="20"/>
                <w:szCs w:val="20"/>
              </w:rPr>
              <w:t>per collection)</w:t>
            </w:r>
          </w:p>
        </w:tc>
        <w:tc>
          <w:tcPr>
            <w:tcW w:w="2060" w:type="dxa"/>
            <w:shd w:val="clear" w:color="000000" w:fill="D9D9D9"/>
            <w:vAlign w:val="bottom"/>
            <w:hideMark/>
          </w:tcPr>
          <w:p w:rsidR="00533D70" w:rsidRPr="00DA7BE8" w:rsidP="00533D70" w14:paraId="29C640C2" w14:textId="77777777">
            <w:pPr>
              <w:spacing w:after="0" w:line="240" w:lineRule="auto"/>
              <w:jc w:val="center"/>
              <w:rPr>
                <w:rFonts w:ascii="Times New Roman" w:eastAsia="Times New Roman" w:hAnsi="Times New Roman"/>
                <w:b/>
                <w:color w:val="000000"/>
                <w:sz w:val="20"/>
                <w:szCs w:val="20"/>
              </w:rPr>
            </w:pPr>
            <w:r w:rsidRPr="00DA7BE8">
              <w:rPr>
                <w:rFonts w:ascii="Times New Roman" w:eastAsia="Times New Roman" w:hAnsi="Times New Roman"/>
                <w:b/>
                <w:color w:val="000000"/>
                <w:sz w:val="20"/>
                <w:szCs w:val="20"/>
              </w:rPr>
              <w:t>Estimated Annual Federal Cost (rounded)</w:t>
            </w:r>
          </w:p>
        </w:tc>
      </w:tr>
      <w:tr w14:paraId="44C8F842" w14:textId="77777777" w:rsidTr="00DA7BE8">
        <w:tblPrEx>
          <w:tblW w:w="10000" w:type="dxa"/>
          <w:tblLook w:val="04A0"/>
        </w:tblPrEx>
        <w:trPr>
          <w:trHeight w:val="800"/>
        </w:trPr>
        <w:tc>
          <w:tcPr>
            <w:tcW w:w="2185" w:type="dxa"/>
            <w:shd w:val="clear" w:color="auto" w:fill="auto"/>
            <w:vAlign w:val="center"/>
            <w:hideMark/>
          </w:tcPr>
          <w:p w:rsidR="00533D70" w:rsidRPr="00DA7BE8" w:rsidP="00533D70" w14:paraId="187E1C8E" w14:textId="5840A373">
            <w:pPr>
              <w:spacing w:after="0" w:line="240" w:lineRule="auto"/>
              <w:rPr>
                <w:rFonts w:ascii="Times New Roman" w:eastAsia="Times New Roman" w:hAnsi="Times New Roman"/>
                <w:b/>
                <w:color w:val="000000"/>
                <w:sz w:val="20"/>
                <w:szCs w:val="20"/>
              </w:rPr>
            </w:pPr>
            <w:r w:rsidRPr="00DA7BE8">
              <w:rPr>
                <w:rFonts w:ascii="Times New Roman" w:eastAsia="Times New Roman" w:hAnsi="Times New Roman"/>
                <w:b/>
                <w:color w:val="000000"/>
                <w:sz w:val="20"/>
                <w:szCs w:val="20"/>
              </w:rPr>
              <w:t>FERC</w:t>
            </w:r>
            <w:r w:rsidRPr="00DA7BE8" w:rsidR="00806836">
              <w:rPr>
                <w:rFonts w:ascii="Times New Roman" w:eastAsia="Times New Roman" w:hAnsi="Times New Roman"/>
                <w:b/>
                <w:color w:val="000000"/>
                <w:sz w:val="20"/>
                <w:szCs w:val="20"/>
              </w:rPr>
              <w:t xml:space="preserve"> Form Nos. </w:t>
            </w:r>
            <w:r w:rsidRPr="00DA7BE8">
              <w:rPr>
                <w:rFonts w:ascii="Times New Roman" w:eastAsia="Times New Roman" w:hAnsi="Times New Roman"/>
                <w:b/>
                <w:color w:val="000000"/>
                <w:sz w:val="20"/>
                <w:szCs w:val="20"/>
              </w:rPr>
              <w:t>1, 1F, &amp; 3</w:t>
            </w:r>
            <w:r w:rsidRPr="00DA7BE8" w:rsidR="00806836">
              <w:rPr>
                <w:rFonts w:ascii="Times New Roman" w:eastAsia="Times New Roman" w:hAnsi="Times New Roman"/>
                <w:b/>
                <w:color w:val="000000"/>
                <w:sz w:val="20"/>
                <w:szCs w:val="20"/>
              </w:rPr>
              <w:t>-</w:t>
            </w:r>
            <w:r w:rsidRPr="00DA7BE8">
              <w:rPr>
                <w:rFonts w:ascii="Times New Roman" w:eastAsia="Times New Roman" w:hAnsi="Times New Roman"/>
                <w:b/>
                <w:color w:val="000000"/>
                <w:sz w:val="20"/>
                <w:szCs w:val="20"/>
              </w:rPr>
              <w:t>Q (electric)</w:t>
            </w:r>
          </w:p>
        </w:tc>
        <w:tc>
          <w:tcPr>
            <w:tcW w:w="2022" w:type="dxa"/>
            <w:shd w:val="clear" w:color="auto" w:fill="auto"/>
            <w:vAlign w:val="bottom"/>
            <w:hideMark/>
          </w:tcPr>
          <w:p w:rsidR="00533D70" w:rsidRPr="00DA7BE8" w:rsidP="00E17A65" w14:paraId="391A2A36" w14:textId="218AA980">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4</w:t>
            </w:r>
          </w:p>
        </w:tc>
        <w:tc>
          <w:tcPr>
            <w:tcW w:w="1841" w:type="dxa"/>
            <w:shd w:val="clear" w:color="auto" w:fill="auto"/>
            <w:vAlign w:val="bottom"/>
            <w:hideMark/>
          </w:tcPr>
          <w:p w:rsidR="00533D70" w:rsidRPr="00DA7BE8" w:rsidP="00533D70" w14:paraId="3BD21D0E" w14:textId="1A51C86D">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w:t>
            </w:r>
            <w:r w:rsidRPr="00DA7BE8" w:rsidR="00FE39EF">
              <w:rPr>
                <w:rFonts w:ascii="Times New Roman" w:eastAsia="Times New Roman" w:hAnsi="Times New Roman"/>
                <w:color w:val="000000"/>
                <w:sz w:val="20"/>
                <w:szCs w:val="20"/>
              </w:rPr>
              <w:t>7</w:t>
            </w:r>
            <w:r w:rsidRPr="00DA7BE8" w:rsidR="00C64970">
              <w:rPr>
                <w:rFonts w:ascii="Times New Roman" w:eastAsia="Times New Roman" w:hAnsi="Times New Roman"/>
                <w:color w:val="000000"/>
                <w:sz w:val="20"/>
                <w:szCs w:val="20"/>
              </w:rPr>
              <w:t>55,688</w:t>
            </w:r>
          </w:p>
        </w:tc>
        <w:tc>
          <w:tcPr>
            <w:tcW w:w="1892" w:type="dxa"/>
            <w:shd w:val="clear" w:color="auto" w:fill="auto"/>
            <w:noWrap/>
            <w:vAlign w:val="bottom"/>
            <w:hideMark/>
          </w:tcPr>
          <w:p w:rsidR="00533D70" w:rsidRPr="00DA7BE8" w:rsidP="00E17A65" w14:paraId="06B167D9" w14:textId="0D2C6447">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w:t>
            </w:r>
            <w:r w:rsidRPr="00DA7BE8" w:rsidR="00C64970">
              <w:rPr>
                <w:rFonts w:ascii="Times New Roman" w:eastAsia="Times New Roman" w:hAnsi="Times New Roman"/>
                <w:color w:val="000000"/>
                <w:sz w:val="20"/>
                <w:szCs w:val="20"/>
              </w:rPr>
              <w:t>30,776</w:t>
            </w:r>
          </w:p>
        </w:tc>
        <w:tc>
          <w:tcPr>
            <w:tcW w:w="2060" w:type="dxa"/>
            <w:shd w:val="clear" w:color="auto" w:fill="auto"/>
            <w:noWrap/>
            <w:vAlign w:val="bottom"/>
            <w:hideMark/>
          </w:tcPr>
          <w:p w:rsidR="00533D70" w:rsidRPr="00DA7BE8" w:rsidP="00E17A65" w14:paraId="7041D5B1" w14:textId="06411E7F">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w:t>
            </w:r>
            <w:r w:rsidRPr="00DA7BE8" w:rsidR="00FE39EF">
              <w:rPr>
                <w:rFonts w:ascii="Times New Roman" w:eastAsia="Times New Roman" w:hAnsi="Times New Roman"/>
                <w:color w:val="000000"/>
                <w:sz w:val="20"/>
                <w:szCs w:val="20"/>
              </w:rPr>
              <w:t>7</w:t>
            </w:r>
            <w:r w:rsidR="00FC0233">
              <w:rPr>
                <w:rFonts w:ascii="Times New Roman" w:eastAsia="Times New Roman" w:hAnsi="Times New Roman"/>
                <w:color w:val="000000"/>
                <w:sz w:val="20"/>
                <w:szCs w:val="20"/>
              </w:rPr>
              <w:t>86,464</w:t>
            </w:r>
          </w:p>
          <w:p w:rsidR="00331936" w:rsidRPr="00DA7BE8" w:rsidP="00E17A65" w14:paraId="5EE9A76D" w14:textId="0B3B93AE">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w:t>
            </w:r>
            <w:r w:rsidRPr="00917462" w:rsidR="00917462">
              <w:rPr>
                <w:rFonts w:ascii="Times New Roman" w:eastAsia="Times New Roman" w:hAnsi="Times New Roman"/>
                <w:color w:val="000000"/>
                <w:sz w:val="20"/>
                <w:szCs w:val="20"/>
              </w:rPr>
              <w:t>196</w:t>
            </w:r>
            <w:r w:rsidR="0084652F">
              <w:rPr>
                <w:rFonts w:ascii="Times New Roman" w:eastAsia="Times New Roman" w:hAnsi="Times New Roman"/>
                <w:color w:val="000000"/>
                <w:sz w:val="20"/>
                <w:szCs w:val="20"/>
              </w:rPr>
              <w:t>,</w:t>
            </w:r>
            <w:r w:rsidRPr="00917462" w:rsidR="00917462">
              <w:rPr>
                <w:rFonts w:ascii="Times New Roman" w:eastAsia="Times New Roman" w:hAnsi="Times New Roman"/>
                <w:color w:val="000000"/>
                <w:sz w:val="20"/>
                <w:szCs w:val="20"/>
              </w:rPr>
              <w:t>616</w:t>
            </w:r>
            <w:r w:rsidRPr="00DA7BE8">
              <w:rPr>
                <w:rFonts w:ascii="Times New Roman" w:eastAsia="Times New Roman" w:hAnsi="Times New Roman"/>
                <w:color w:val="000000"/>
                <w:sz w:val="20"/>
                <w:szCs w:val="20"/>
              </w:rPr>
              <w:t xml:space="preserve"> per collection)</w:t>
            </w:r>
          </w:p>
        </w:tc>
      </w:tr>
      <w:tr w14:paraId="39E0F3E4" w14:textId="77777777" w:rsidTr="00DA7BE8">
        <w:tblPrEx>
          <w:tblW w:w="10000" w:type="dxa"/>
          <w:tblLook w:val="04A0"/>
        </w:tblPrEx>
        <w:trPr>
          <w:trHeight w:val="350"/>
        </w:trPr>
        <w:tc>
          <w:tcPr>
            <w:tcW w:w="2185" w:type="dxa"/>
            <w:shd w:val="clear" w:color="auto" w:fill="auto"/>
            <w:vAlign w:val="center"/>
          </w:tcPr>
          <w:p w:rsidR="00A528FF" w:rsidRPr="00DA7BE8" w:rsidP="00A528FF" w14:paraId="44D95020" w14:textId="5E2C3DAE">
            <w:pPr>
              <w:spacing w:after="0" w:line="240" w:lineRule="auto"/>
              <w:rPr>
                <w:rFonts w:ascii="Times New Roman" w:eastAsia="Times New Roman" w:hAnsi="Times New Roman"/>
                <w:b/>
                <w:color w:val="000000"/>
                <w:sz w:val="20"/>
                <w:szCs w:val="20"/>
              </w:rPr>
            </w:pPr>
            <w:r w:rsidRPr="00DA7BE8">
              <w:rPr>
                <w:rFonts w:ascii="Times New Roman" w:eastAsia="Times New Roman" w:hAnsi="Times New Roman"/>
                <w:b/>
                <w:color w:val="000000"/>
                <w:sz w:val="20"/>
                <w:szCs w:val="20"/>
              </w:rPr>
              <w:t xml:space="preserve">FERC Form No. 60 </w:t>
            </w:r>
          </w:p>
        </w:tc>
        <w:tc>
          <w:tcPr>
            <w:tcW w:w="2022" w:type="dxa"/>
            <w:shd w:val="clear" w:color="auto" w:fill="auto"/>
            <w:vAlign w:val="bottom"/>
          </w:tcPr>
          <w:p w:rsidR="00A528FF" w:rsidRPr="00DA7BE8" w:rsidP="00A528FF" w14:paraId="5FE3AD25" w14:textId="4441EEDD">
            <w:pPr>
              <w:spacing w:after="0" w:line="240" w:lineRule="auto"/>
              <w:jc w:val="right"/>
              <w:rPr>
                <w:rFonts w:ascii="Times New Roman" w:eastAsia="Times New Roman" w:hAnsi="Times New Roman"/>
                <w:color w:val="000000"/>
                <w:sz w:val="20"/>
                <w:szCs w:val="20"/>
              </w:rPr>
            </w:pPr>
            <w:r w:rsidRPr="00DA7BE8">
              <w:rPr>
                <w:rFonts w:ascii="Times New Roman" w:hAnsi="Times New Roman"/>
                <w:sz w:val="20"/>
                <w:szCs w:val="20"/>
              </w:rPr>
              <w:t>0.5</w:t>
            </w:r>
          </w:p>
        </w:tc>
        <w:tc>
          <w:tcPr>
            <w:tcW w:w="1841" w:type="dxa"/>
            <w:shd w:val="clear" w:color="auto" w:fill="auto"/>
            <w:vAlign w:val="bottom"/>
          </w:tcPr>
          <w:p w:rsidR="00A528FF" w:rsidRPr="00DA7BE8" w:rsidP="00A528FF" w14:paraId="3C765642" w14:textId="4F8EC5F4">
            <w:pPr>
              <w:spacing w:after="0" w:line="240" w:lineRule="auto"/>
              <w:jc w:val="right"/>
              <w:rPr>
                <w:rFonts w:ascii="Times New Roman" w:eastAsia="Times New Roman" w:hAnsi="Times New Roman"/>
                <w:color w:val="000000"/>
                <w:sz w:val="20"/>
                <w:szCs w:val="20"/>
              </w:rPr>
            </w:pPr>
            <w:r w:rsidRPr="00DA7BE8">
              <w:rPr>
                <w:rFonts w:ascii="Times New Roman" w:hAnsi="Times New Roman"/>
                <w:sz w:val="20"/>
                <w:szCs w:val="20"/>
              </w:rPr>
              <w:t>$9</w:t>
            </w:r>
            <w:r w:rsidR="00D2750E">
              <w:rPr>
                <w:rFonts w:ascii="Times New Roman" w:hAnsi="Times New Roman"/>
                <w:sz w:val="20"/>
                <w:szCs w:val="20"/>
              </w:rPr>
              <w:t>4,461</w:t>
            </w:r>
          </w:p>
        </w:tc>
        <w:tc>
          <w:tcPr>
            <w:tcW w:w="1892" w:type="dxa"/>
            <w:shd w:val="clear" w:color="auto" w:fill="auto"/>
            <w:noWrap/>
            <w:vAlign w:val="bottom"/>
          </w:tcPr>
          <w:p w:rsidR="00A528FF" w:rsidRPr="00DA7BE8" w:rsidP="00A528FF" w14:paraId="22D7F872" w14:textId="334CF03E">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w:t>
            </w:r>
            <w:r w:rsidRPr="00DA7BE8" w:rsidR="00492E54">
              <w:rPr>
                <w:rFonts w:ascii="Times New Roman" w:eastAsia="Times New Roman" w:hAnsi="Times New Roman"/>
                <w:color w:val="000000"/>
                <w:sz w:val="20"/>
                <w:szCs w:val="20"/>
              </w:rPr>
              <w:t>7,694</w:t>
            </w:r>
          </w:p>
        </w:tc>
        <w:tc>
          <w:tcPr>
            <w:tcW w:w="2060" w:type="dxa"/>
            <w:shd w:val="clear" w:color="auto" w:fill="auto"/>
            <w:noWrap/>
            <w:vAlign w:val="bottom"/>
          </w:tcPr>
          <w:p w:rsidR="00A528FF" w:rsidRPr="00DA7BE8" w:rsidP="00A528FF" w14:paraId="5262F86B" w14:textId="29A942C2">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w:t>
            </w:r>
            <w:r w:rsidRPr="00DA7BE8" w:rsidR="004124EF">
              <w:rPr>
                <w:rFonts w:ascii="Times New Roman" w:eastAsia="Times New Roman" w:hAnsi="Times New Roman"/>
                <w:color w:val="000000"/>
                <w:sz w:val="20"/>
                <w:szCs w:val="20"/>
              </w:rPr>
              <w:t>98</w:t>
            </w:r>
            <w:r w:rsidRPr="00DA7BE8">
              <w:rPr>
                <w:rFonts w:ascii="Times New Roman" w:eastAsia="Times New Roman" w:hAnsi="Times New Roman"/>
                <w:color w:val="000000"/>
                <w:sz w:val="20"/>
                <w:szCs w:val="20"/>
              </w:rPr>
              <w:t>,631</w:t>
            </w:r>
          </w:p>
        </w:tc>
      </w:tr>
    </w:tbl>
    <w:p w:rsidR="003F4A59" w:rsidRPr="0073506C" w:rsidP="00BD0F89" w14:paraId="55FC1BFA" w14:textId="77777777">
      <w:pPr>
        <w:spacing w:after="0" w:line="240" w:lineRule="auto"/>
        <w:rPr>
          <w:rFonts w:ascii="Times New Roman" w:hAnsi="Times New Roman"/>
          <w:sz w:val="26"/>
          <w:szCs w:val="26"/>
        </w:rPr>
      </w:pPr>
    </w:p>
    <w:p w:rsidR="00F20B97" w:rsidRPr="0073506C" w:rsidP="00BD0F89" w14:paraId="43CA34DD" w14:textId="77777777">
      <w:pPr>
        <w:spacing w:after="0" w:line="240" w:lineRule="auto"/>
        <w:rPr>
          <w:rFonts w:ascii="Times New Roman" w:hAnsi="Times New Roman"/>
          <w:b/>
          <w:sz w:val="26"/>
          <w:szCs w:val="26"/>
        </w:rPr>
      </w:pPr>
      <w:r w:rsidRPr="0073506C">
        <w:rPr>
          <w:rFonts w:ascii="Times New Roman" w:hAnsi="Times New Roman"/>
          <w:b/>
          <w:sz w:val="26"/>
          <w:szCs w:val="26"/>
        </w:rPr>
        <w:t>15. REASONS FOR CHANGES IN BURDEN INCLUDING THE NEED FOR ANY INCREASE</w:t>
      </w:r>
    </w:p>
    <w:p w:rsidR="00E31823" w:rsidRPr="0073506C" w:rsidP="00BD0F89" w14:paraId="3B838B49" w14:textId="77777777">
      <w:pPr>
        <w:spacing w:after="0" w:line="240" w:lineRule="auto"/>
        <w:rPr>
          <w:rFonts w:ascii="Times New Roman" w:hAnsi="Times New Roman"/>
          <w:b/>
          <w:bCs/>
          <w:sz w:val="26"/>
          <w:szCs w:val="26"/>
          <w:u w:val="single"/>
        </w:rPr>
      </w:pPr>
      <w:bookmarkStart w:id="2" w:name="_bmk1"/>
    </w:p>
    <w:p w:rsidR="00A278D6" w14:paraId="588F7CC4" w14:textId="39DD844F">
      <w:pPr>
        <w:spacing w:after="0" w:line="240" w:lineRule="auto"/>
        <w:rPr>
          <w:rFonts w:ascii="Times New Roman" w:hAnsi="Times New Roman"/>
          <w:bCs/>
          <w:sz w:val="26"/>
          <w:szCs w:val="26"/>
        </w:rPr>
      </w:pPr>
      <w:r>
        <w:rPr>
          <w:rFonts w:ascii="Times New Roman" w:hAnsi="Times New Roman"/>
          <w:bCs/>
          <w:sz w:val="26"/>
          <w:szCs w:val="26"/>
        </w:rPr>
        <w:t xml:space="preserve">Program Changes.  </w:t>
      </w:r>
    </w:p>
    <w:p w:rsidR="00971016" w14:paraId="3C3BDE17" w14:textId="77777777">
      <w:pPr>
        <w:spacing w:after="0" w:line="240" w:lineRule="auto"/>
        <w:rPr>
          <w:rFonts w:ascii="Times New Roman" w:hAnsi="Times New Roman"/>
          <w:bCs/>
          <w:sz w:val="26"/>
          <w:szCs w:val="26"/>
        </w:rPr>
      </w:pPr>
    </w:p>
    <w:p w:rsidR="004D6D5A" w:rsidRPr="0073506C" w14:paraId="5EE7844B" w14:textId="4DFDE9C4">
      <w:pPr>
        <w:spacing w:after="0" w:line="240" w:lineRule="auto"/>
        <w:rPr>
          <w:rFonts w:ascii="Times New Roman" w:hAnsi="Times New Roman"/>
          <w:bCs/>
          <w:sz w:val="26"/>
          <w:szCs w:val="26"/>
        </w:rPr>
      </w:pPr>
      <w:r>
        <w:rPr>
          <w:rFonts w:ascii="Times New Roman" w:hAnsi="Times New Roman"/>
          <w:bCs/>
          <w:sz w:val="26"/>
          <w:szCs w:val="26"/>
        </w:rPr>
        <w:t>Due to the Final Rule RM21-11-000</w:t>
      </w:r>
      <w:r w:rsidR="001D67DD">
        <w:rPr>
          <w:rFonts w:ascii="Times New Roman" w:hAnsi="Times New Roman"/>
          <w:bCs/>
          <w:sz w:val="26"/>
          <w:szCs w:val="26"/>
        </w:rPr>
        <w:t xml:space="preserve">, there is an increase in burden. </w:t>
      </w:r>
      <w:r w:rsidR="00503C59">
        <w:rPr>
          <w:rFonts w:ascii="Times New Roman" w:hAnsi="Times New Roman"/>
          <w:bCs/>
          <w:sz w:val="26"/>
          <w:szCs w:val="26"/>
        </w:rPr>
        <w:t xml:space="preserve"> </w:t>
      </w:r>
      <w:r w:rsidR="001D67DD">
        <w:rPr>
          <w:rFonts w:ascii="Times New Roman" w:hAnsi="Times New Roman"/>
          <w:bCs/>
          <w:sz w:val="26"/>
          <w:szCs w:val="26"/>
        </w:rPr>
        <w:t xml:space="preserve">The burden increase is </w:t>
      </w:r>
      <w:r w:rsidR="007767B9">
        <w:rPr>
          <w:rFonts w:ascii="Times New Roman" w:hAnsi="Times New Roman"/>
          <w:bCs/>
          <w:sz w:val="26"/>
          <w:szCs w:val="26"/>
        </w:rPr>
        <w:t>a one-time (year 1) increase</w:t>
      </w:r>
      <w:r w:rsidR="006415A9">
        <w:rPr>
          <w:rFonts w:ascii="Times New Roman" w:hAnsi="Times New Roman"/>
          <w:bCs/>
          <w:sz w:val="26"/>
          <w:szCs w:val="26"/>
        </w:rPr>
        <w:t xml:space="preserve">.  </w:t>
      </w:r>
      <w:r w:rsidR="007767B9">
        <w:rPr>
          <w:rFonts w:ascii="Times New Roman" w:hAnsi="Times New Roman"/>
          <w:bCs/>
          <w:sz w:val="26"/>
          <w:szCs w:val="26"/>
        </w:rPr>
        <w:t xml:space="preserve"> </w:t>
      </w:r>
      <w:r w:rsidR="006415A9">
        <w:rPr>
          <w:rFonts w:ascii="Times New Roman" w:hAnsi="Times New Roman"/>
          <w:bCs/>
          <w:sz w:val="26"/>
          <w:szCs w:val="26"/>
        </w:rPr>
        <w:t>T</w:t>
      </w:r>
      <w:r w:rsidR="00FF1ABE">
        <w:rPr>
          <w:rFonts w:ascii="Times New Roman" w:hAnsi="Times New Roman"/>
          <w:bCs/>
          <w:sz w:val="26"/>
          <w:szCs w:val="26"/>
        </w:rPr>
        <w:t xml:space="preserve">he Commission </w:t>
      </w:r>
      <w:r w:rsidR="006415A9">
        <w:rPr>
          <w:rFonts w:ascii="Times New Roman" w:hAnsi="Times New Roman"/>
          <w:bCs/>
          <w:sz w:val="26"/>
          <w:szCs w:val="26"/>
        </w:rPr>
        <w:t xml:space="preserve">then </w:t>
      </w:r>
      <w:r w:rsidR="00FF1ABE">
        <w:rPr>
          <w:rFonts w:ascii="Times New Roman" w:hAnsi="Times New Roman"/>
          <w:bCs/>
          <w:sz w:val="26"/>
          <w:szCs w:val="26"/>
        </w:rPr>
        <w:t xml:space="preserve">estimates that </w:t>
      </w:r>
      <w:r w:rsidR="002D33C0">
        <w:rPr>
          <w:rFonts w:ascii="Times New Roman" w:hAnsi="Times New Roman"/>
          <w:bCs/>
          <w:sz w:val="26"/>
          <w:szCs w:val="26"/>
        </w:rPr>
        <w:t xml:space="preserve">the ongoing burden (year 2 and beyond) will return to the </w:t>
      </w:r>
      <w:r w:rsidR="00A46875">
        <w:rPr>
          <w:rFonts w:ascii="Times New Roman" w:hAnsi="Times New Roman"/>
          <w:bCs/>
          <w:sz w:val="26"/>
          <w:szCs w:val="26"/>
        </w:rPr>
        <w:t xml:space="preserve">current </w:t>
      </w:r>
      <w:r w:rsidR="003C3D8F">
        <w:rPr>
          <w:rFonts w:ascii="Times New Roman" w:hAnsi="Times New Roman"/>
          <w:bCs/>
          <w:sz w:val="26"/>
          <w:szCs w:val="26"/>
        </w:rPr>
        <w:t xml:space="preserve">levels. </w:t>
      </w:r>
    </w:p>
    <w:p w:rsidR="0058372E" w:rsidRPr="0073506C" w:rsidP="00BD0F89" w14:paraId="727B2F52" w14:textId="634CEEB5">
      <w:pPr>
        <w:spacing w:after="0" w:line="240" w:lineRule="auto"/>
        <w:rPr>
          <w:rFonts w:ascii="Times New Roman" w:hAnsi="Times New Roman"/>
          <w:bCs/>
          <w:sz w:val="26"/>
          <w:szCs w:val="26"/>
        </w:rPr>
      </w:pPr>
      <w:r>
        <w:rPr>
          <w:rFonts w:ascii="Times New Roman" w:hAnsi="Times New Roman"/>
          <w:bCs/>
          <w:sz w:val="26"/>
          <w:szCs w:val="26"/>
        </w:rPr>
        <w:tab/>
      </w:r>
    </w:p>
    <w:p w:rsidR="000D1A99" w:rsidP="00BD0F89" w14:paraId="314203FD" w14:textId="6F6DF3D0">
      <w:pPr>
        <w:spacing w:after="0" w:line="240" w:lineRule="auto"/>
        <w:rPr>
          <w:rFonts w:ascii="Times New Roman" w:hAnsi="Times New Roman"/>
          <w:bCs/>
          <w:sz w:val="26"/>
          <w:szCs w:val="26"/>
        </w:rPr>
      </w:pPr>
      <w:r w:rsidRPr="0073506C">
        <w:rPr>
          <w:rFonts w:ascii="Times New Roman" w:hAnsi="Times New Roman"/>
          <w:bCs/>
          <w:sz w:val="26"/>
          <w:szCs w:val="26"/>
        </w:rPr>
        <w:t>The following table show</w:t>
      </w:r>
      <w:r w:rsidRPr="0073506C" w:rsidR="00E31823">
        <w:rPr>
          <w:rFonts w:ascii="Times New Roman" w:hAnsi="Times New Roman"/>
          <w:bCs/>
          <w:sz w:val="26"/>
          <w:szCs w:val="26"/>
        </w:rPr>
        <w:t>s</w:t>
      </w:r>
      <w:r w:rsidRPr="0073506C">
        <w:rPr>
          <w:rFonts w:ascii="Times New Roman" w:hAnsi="Times New Roman"/>
          <w:bCs/>
          <w:sz w:val="26"/>
          <w:szCs w:val="26"/>
        </w:rPr>
        <w:t xml:space="preserve"> </w:t>
      </w:r>
      <w:r>
        <w:rPr>
          <w:rFonts w:ascii="Times New Roman" w:hAnsi="Times New Roman"/>
          <w:bCs/>
          <w:sz w:val="26"/>
          <w:szCs w:val="26"/>
        </w:rPr>
        <w:t xml:space="preserve">the previously approved costs </w:t>
      </w:r>
      <w:r w:rsidR="00361A96">
        <w:rPr>
          <w:rFonts w:ascii="Times New Roman" w:hAnsi="Times New Roman"/>
          <w:bCs/>
          <w:sz w:val="26"/>
          <w:szCs w:val="26"/>
        </w:rPr>
        <w:t>reflected in the FERC metadata</w:t>
      </w:r>
      <w:r w:rsidR="00951D5A">
        <w:rPr>
          <w:rFonts w:ascii="Times New Roman" w:hAnsi="Times New Roman"/>
          <w:bCs/>
          <w:sz w:val="26"/>
          <w:szCs w:val="26"/>
        </w:rPr>
        <w:t xml:space="preserve"> and illustrates the one-time implementation costs to comply with the </w:t>
      </w:r>
      <w:r>
        <w:rPr>
          <w:rFonts w:ascii="Times New Roman" w:hAnsi="Times New Roman"/>
          <w:bCs/>
          <w:sz w:val="26"/>
          <w:szCs w:val="26"/>
        </w:rPr>
        <w:t>Final</w:t>
      </w:r>
      <w:r w:rsidR="00951D5A">
        <w:rPr>
          <w:rFonts w:ascii="Times New Roman" w:hAnsi="Times New Roman"/>
          <w:bCs/>
          <w:sz w:val="26"/>
          <w:szCs w:val="26"/>
        </w:rPr>
        <w:t xml:space="preserve"> </w:t>
      </w:r>
      <w:r>
        <w:rPr>
          <w:rFonts w:ascii="Times New Roman" w:hAnsi="Times New Roman"/>
          <w:bCs/>
          <w:sz w:val="26"/>
          <w:szCs w:val="26"/>
        </w:rPr>
        <w:t>R</w:t>
      </w:r>
      <w:r w:rsidR="00951D5A">
        <w:rPr>
          <w:rFonts w:ascii="Times New Roman" w:hAnsi="Times New Roman"/>
          <w:bCs/>
          <w:sz w:val="26"/>
          <w:szCs w:val="26"/>
        </w:rPr>
        <w:t>ule RM21-11-000.</w:t>
      </w:r>
      <w:r w:rsidR="006415A9">
        <w:rPr>
          <w:rFonts w:ascii="Times New Roman" w:hAnsi="Times New Roman"/>
          <w:bCs/>
          <w:sz w:val="26"/>
          <w:szCs w:val="26"/>
        </w:rPr>
        <w:t xml:space="preserve"> </w:t>
      </w:r>
      <w:r w:rsidR="00951D5A">
        <w:rPr>
          <w:rFonts w:ascii="Times New Roman" w:hAnsi="Times New Roman"/>
          <w:bCs/>
          <w:sz w:val="26"/>
          <w:szCs w:val="26"/>
        </w:rPr>
        <w:t xml:space="preserve"> </w:t>
      </w:r>
      <w:r w:rsidR="00D066D0">
        <w:rPr>
          <w:rFonts w:ascii="Times New Roman" w:hAnsi="Times New Roman"/>
          <w:bCs/>
          <w:sz w:val="26"/>
          <w:szCs w:val="26"/>
        </w:rPr>
        <w:t xml:space="preserve">The one-time implementation </w:t>
      </w:r>
      <w:r w:rsidR="00DF703E">
        <w:rPr>
          <w:rFonts w:ascii="Times New Roman" w:hAnsi="Times New Roman"/>
          <w:bCs/>
          <w:sz w:val="26"/>
          <w:szCs w:val="26"/>
        </w:rPr>
        <w:t xml:space="preserve">estimate includes a </w:t>
      </w:r>
      <w:r w:rsidR="00CE3CE1">
        <w:rPr>
          <w:rFonts w:ascii="Times New Roman" w:hAnsi="Times New Roman"/>
          <w:bCs/>
          <w:sz w:val="26"/>
          <w:szCs w:val="26"/>
        </w:rPr>
        <w:t>one-time</w:t>
      </w:r>
      <w:r w:rsidR="00DF703E">
        <w:rPr>
          <w:rFonts w:ascii="Times New Roman" w:hAnsi="Times New Roman"/>
          <w:bCs/>
          <w:sz w:val="26"/>
          <w:szCs w:val="26"/>
        </w:rPr>
        <w:t xml:space="preserve"> annual increase in burden hours and responses. </w:t>
      </w:r>
    </w:p>
    <w:p w:rsidR="00241CFA" w:rsidRPr="0073506C" w:rsidP="00BD0F89" w14:paraId="40833C19" w14:textId="20FDE5E9">
      <w:pPr>
        <w:spacing w:after="0" w:line="240" w:lineRule="auto"/>
        <w:rPr>
          <w:rFonts w:ascii="Times New Roman" w:hAnsi="Times New Roman"/>
          <w:bCs/>
          <w:sz w:val="26"/>
          <w:szCs w:val="26"/>
        </w:rPr>
      </w:pPr>
    </w:p>
    <w:tbl>
      <w:tblPr>
        <w:tblW w:w="9530" w:type="dxa"/>
        <w:tblInd w:w="10" w:type="dxa"/>
        <w:tblLayout w:type="fixed"/>
        <w:tblLook w:val="04A0"/>
      </w:tblPr>
      <w:tblGrid>
        <w:gridCol w:w="2250"/>
        <w:gridCol w:w="1520"/>
        <w:gridCol w:w="1530"/>
        <w:gridCol w:w="1620"/>
        <w:gridCol w:w="2610"/>
      </w:tblGrid>
      <w:tr w14:paraId="466476A3" w14:textId="77777777" w:rsidTr="00DA7BE8">
        <w:tblPrEx>
          <w:tblW w:w="9530" w:type="dxa"/>
          <w:tblInd w:w="10" w:type="dxa"/>
          <w:tblLayout w:type="fixed"/>
          <w:tblLook w:val="04A0"/>
        </w:tblPrEx>
        <w:trPr>
          <w:trHeight w:val="288"/>
        </w:trPr>
        <w:tc>
          <w:tcPr>
            <w:tcW w:w="225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7F6335" w:rsidRPr="00DA7BE8" w:rsidP="00533D70" w14:paraId="00503542" w14:textId="77777777">
            <w:pPr>
              <w:spacing w:after="0" w:line="240" w:lineRule="auto"/>
              <w:jc w:val="center"/>
              <w:rPr>
                <w:rFonts w:ascii="Times New Roman" w:eastAsia="Times New Roman" w:hAnsi="Times New Roman"/>
                <w:b/>
                <w:color w:val="000000"/>
                <w:sz w:val="20"/>
                <w:szCs w:val="20"/>
              </w:rPr>
            </w:pPr>
            <w:r w:rsidRPr="00DA7BE8">
              <w:rPr>
                <w:rFonts w:ascii="Times New Roman" w:eastAsia="Times New Roman" w:hAnsi="Times New Roman"/>
                <w:b/>
                <w:color w:val="000000"/>
                <w:sz w:val="20"/>
                <w:szCs w:val="20"/>
              </w:rPr>
              <w:t> </w:t>
            </w:r>
          </w:p>
        </w:tc>
        <w:tc>
          <w:tcPr>
            <w:tcW w:w="1520" w:type="dxa"/>
            <w:tcBorders>
              <w:top w:val="single" w:sz="4" w:space="0" w:color="auto"/>
              <w:left w:val="nil"/>
              <w:bottom w:val="single" w:sz="4" w:space="0" w:color="auto"/>
              <w:right w:val="single" w:sz="4" w:space="0" w:color="auto"/>
            </w:tcBorders>
            <w:shd w:val="clear" w:color="000000" w:fill="D9D9D9"/>
            <w:vAlign w:val="bottom"/>
            <w:hideMark/>
          </w:tcPr>
          <w:p w:rsidR="007F6335" w:rsidRPr="00DA7BE8" w:rsidP="00533D70" w14:paraId="2017E857" w14:textId="77777777">
            <w:pPr>
              <w:spacing w:after="0" w:line="240" w:lineRule="auto"/>
              <w:jc w:val="center"/>
              <w:rPr>
                <w:rFonts w:ascii="Times New Roman" w:eastAsia="Times New Roman" w:hAnsi="Times New Roman"/>
                <w:b/>
                <w:color w:val="000000"/>
                <w:sz w:val="20"/>
                <w:szCs w:val="20"/>
              </w:rPr>
            </w:pPr>
            <w:r w:rsidRPr="00DA7BE8">
              <w:rPr>
                <w:rFonts w:ascii="Times New Roman" w:eastAsia="Times New Roman" w:hAnsi="Times New Roman"/>
                <w:b/>
                <w:color w:val="000000"/>
                <w:sz w:val="20"/>
                <w:szCs w:val="20"/>
              </w:rPr>
              <w:t>Total Request</w:t>
            </w:r>
          </w:p>
        </w:tc>
        <w:tc>
          <w:tcPr>
            <w:tcW w:w="1530" w:type="dxa"/>
            <w:tcBorders>
              <w:top w:val="single" w:sz="4" w:space="0" w:color="auto"/>
              <w:left w:val="nil"/>
              <w:bottom w:val="single" w:sz="4" w:space="0" w:color="auto"/>
              <w:right w:val="single" w:sz="4" w:space="0" w:color="auto"/>
            </w:tcBorders>
            <w:shd w:val="clear" w:color="000000" w:fill="D9D9D9"/>
            <w:vAlign w:val="bottom"/>
            <w:hideMark/>
          </w:tcPr>
          <w:p w:rsidR="007F6335" w:rsidRPr="00DA7BE8" w:rsidP="00533D70" w14:paraId="50391065" w14:textId="77777777">
            <w:pPr>
              <w:spacing w:after="0" w:line="240" w:lineRule="auto"/>
              <w:jc w:val="center"/>
              <w:rPr>
                <w:rFonts w:ascii="Times New Roman" w:eastAsia="Times New Roman" w:hAnsi="Times New Roman"/>
                <w:b/>
                <w:color w:val="000000"/>
                <w:sz w:val="20"/>
                <w:szCs w:val="20"/>
              </w:rPr>
            </w:pPr>
            <w:r w:rsidRPr="00DA7BE8">
              <w:rPr>
                <w:rFonts w:ascii="Times New Roman" w:eastAsia="Times New Roman" w:hAnsi="Times New Roman"/>
                <w:b/>
                <w:color w:val="000000"/>
                <w:sz w:val="20"/>
                <w:szCs w:val="20"/>
              </w:rPr>
              <w:t>Previously Approved</w:t>
            </w:r>
          </w:p>
        </w:tc>
        <w:tc>
          <w:tcPr>
            <w:tcW w:w="1620" w:type="dxa"/>
            <w:tcBorders>
              <w:top w:val="single" w:sz="4" w:space="0" w:color="auto"/>
              <w:left w:val="nil"/>
              <w:bottom w:val="single" w:sz="4" w:space="0" w:color="auto"/>
              <w:right w:val="single" w:sz="4" w:space="0" w:color="auto"/>
            </w:tcBorders>
            <w:shd w:val="clear" w:color="000000" w:fill="D9D9D9"/>
            <w:vAlign w:val="bottom"/>
            <w:hideMark/>
          </w:tcPr>
          <w:p w:rsidR="007F6335" w:rsidRPr="00DA7BE8" w:rsidP="00533D70" w14:paraId="3836E329" w14:textId="77777777">
            <w:pPr>
              <w:spacing w:after="0" w:line="240" w:lineRule="auto"/>
              <w:jc w:val="center"/>
              <w:rPr>
                <w:rFonts w:ascii="Times New Roman" w:eastAsia="Times New Roman" w:hAnsi="Times New Roman"/>
                <w:b/>
                <w:color w:val="000000"/>
                <w:sz w:val="20"/>
                <w:szCs w:val="20"/>
              </w:rPr>
            </w:pPr>
            <w:r w:rsidRPr="00DA7BE8">
              <w:rPr>
                <w:rFonts w:ascii="Times New Roman" w:eastAsia="Times New Roman" w:hAnsi="Times New Roman"/>
                <w:b/>
                <w:color w:val="000000"/>
                <w:sz w:val="20"/>
                <w:szCs w:val="20"/>
              </w:rPr>
              <w:t>Change due to Adjustment in Estimate</w:t>
            </w:r>
          </w:p>
        </w:tc>
        <w:tc>
          <w:tcPr>
            <w:tcW w:w="2610" w:type="dxa"/>
            <w:tcBorders>
              <w:top w:val="single" w:sz="4" w:space="0" w:color="auto"/>
              <w:left w:val="nil"/>
              <w:bottom w:val="single" w:sz="4" w:space="0" w:color="auto"/>
              <w:right w:val="single" w:sz="4" w:space="0" w:color="auto"/>
            </w:tcBorders>
            <w:shd w:val="clear" w:color="000000" w:fill="D9D9D9"/>
            <w:vAlign w:val="bottom"/>
            <w:hideMark/>
          </w:tcPr>
          <w:p w:rsidR="007F6335" w:rsidRPr="00DA7BE8" w:rsidP="00E17A65" w14:paraId="2CB56806" w14:textId="1BA70B53">
            <w:pPr>
              <w:spacing w:after="0" w:line="240" w:lineRule="auto"/>
              <w:jc w:val="center"/>
              <w:rPr>
                <w:rFonts w:ascii="Times New Roman" w:eastAsia="Times New Roman" w:hAnsi="Times New Roman"/>
                <w:b/>
                <w:color w:val="000000"/>
                <w:sz w:val="20"/>
                <w:szCs w:val="20"/>
              </w:rPr>
            </w:pPr>
            <w:r w:rsidRPr="00DA7BE8">
              <w:rPr>
                <w:rFonts w:ascii="Times New Roman" w:eastAsia="Times New Roman" w:hAnsi="Times New Roman"/>
                <w:b/>
                <w:color w:val="000000"/>
                <w:sz w:val="20"/>
                <w:szCs w:val="20"/>
              </w:rPr>
              <w:t xml:space="preserve">Change Due to Agency Discretion </w:t>
            </w:r>
          </w:p>
        </w:tc>
      </w:tr>
      <w:tr w14:paraId="2675AA3D" w14:textId="77777777" w:rsidTr="00DA7BE8">
        <w:tblPrEx>
          <w:tblW w:w="9530" w:type="dxa"/>
          <w:tblInd w:w="10" w:type="dxa"/>
          <w:tblLayout w:type="fixed"/>
          <w:tblLook w:val="04A0"/>
        </w:tblPrEx>
        <w:trPr>
          <w:trHeight w:val="288"/>
        </w:trPr>
        <w:tc>
          <w:tcPr>
            <w:tcW w:w="9530" w:type="dxa"/>
            <w:gridSpan w:val="5"/>
            <w:tcBorders>
              <w:top w:val="nil"/>
              <w:left w:val="single" w:sz="4" w:space="0" w:color="auto"/>
              <w:bottom w:val="single" w:sz="4" w:space="0" w:color="auto"/>
              <w:right w:val="single" w:sz="4" w:space="0" w:color="auto"/>
            </w:tcBorders>
            <w:shd w:val="clear" w:color="auto" w:fill="F2F2F2" w:themeFill="background1" w:themeFillShade="F2"/>
            <w:vAlign w:val="center"/>
          </w:tcPr>
          <w:p w:rsidR="007F6335" w:rsidRPr="00DA7BE8" w:rsidP="00AA5A41" w14:paraId="288F8F35" w14:textId="4B27249D">
            <w:pPr>
              <w:spacing w:after="0" w:line="240" w:lineRule="auto"/>
              <w:jc w:val="center"/>
              <w:rPr>
                <w:rFonts w:ascii="Times New Roman" w:eastAsia="Times New Roman" w:hAnsi="Times New Roman"/>
                <w:color w:val="000000"/>
                <w:sz w:val="20"/>
                <w:szCs w:val="20"/>
              </w:rPr>
            </w:pPr>
            <w:r w:rsidRPr="00DA7BE8">
              <w:rPr>
                <w:rFonts w:ascii="Times New Roman" w:eastAsia="Times New Roman" w:hAnsi="Times New Roman"/>
                <w:b/>
                <w:color w:val="000000"/>
                <w:sz w:val="20"/>
                <w:szCs w:val="20"/>
              </w:rPr>
              <w:t xml:space="preserve">FERC Form </w:t>
            </w:r>
            <w:r w:rsidRPr="00DA7BE8" w:rsidR="00E94890">
              <w:rPr>
                <w:rFonts w:ascii="Times New Roman" w:eastAsia="Times New Roman" w:hAnsi="Times New Roman"/>
                <w:b/>
                <w:color w:val="000000"/>
                <w:sz w:val="20"/>
                <w:szCs w:val="20"/>
              </w:rPr>
              <w:t xml:space="preserve">No. </w:t>
            </w:r>
            <w:r w:rsidRPr="00DA7BE8">
              <w:rPr>
                <w:rFonts w:ascii="Times New Roman" w:eastAsia="Times New Roman" w:hAnsi="Times New Roman"/>
                <w:b/>
                <w:color w:val="000000"/>
                <w:sz w:val="20"/>
                <w:szCs w:val="20"/>
              </w:rPr>
              <w:t xml:space="preserve">1 </w:t>
            </w:r>
            <w:r w:rsidRPr="00DA7BE8" w:rsidR="00DF703E">
              <w:rPr>
                <w:rFonts w:ascii="Times New Roman" w:eastAsia="Times New Roman" w:hAnsi="Times New Roman"/>
                <w:b/>
                <w:color w:val="000000"/>
                <w:sz w:val="20"/>
                <w:szCs w:val="20"/>
              </w:rPr>
              <w:t xml:space="preserve">(Due to </w:t>
            </w:r>
            <w:r w:rsidRPr="00DA7BE8" w:rsidR="007554CF">
              <w:rPr>
                <w:rFonts w:ascii="Times New Roman" w:eastAsia="Times New Roman" w:hAnsi="Times New Roman"/>
                <w:b/>
                <w:color w:val="000000"/>
                <w:sz w:val="20"/>
                <w:szCs w:val="20"/>
              </w:rPr>
              <w:t>RM21-11</w:t>
            </w:r>
            <w:r w:rsidRPr="00DA7BE8" w:rsidR="00DF703E">
              <w:rPr>
                <w:rFonts w:ascii="Times New Roman" w:eastAsia="Times New Roman" w:hAnsi="Times New Roman"/>
                <w:b/>
                <w:color w:val="000000"/>
                <w:sz w:val="20"/>
                <w:szCs w:val="20"/>
              </w:rPr>
              <w:t>-000)</w:t>
            </w:r>
          </w:p>
        </w:tc>
      </w:tr>
      <w:tr w14:paraId="6F742ABA" w14:textId="77777777" w:rsidTr="00DA7BE8">
        <w:tblPrEx>
          <w:tblW w:w="9530" w:type="dxa"/>
          <w:tblInd w:w="10" w:type="dxa"/>
          <w:tblLayout w:type="fixed"/>
          <w:tblLook w:val="04A0"/>
        </w:tblPrEx>
        <w:trPr>
          <w:trHeight w:val="288"/>
        </w:trPr>
        <w:tc>
          <w:tcPr>
            <w:tcW w:w="2250" w:type="dxa"/>
            <w:tcBorders>
              <w:top w:val="nil"/>
              <w:left w:val="single" w:sz="4" w:space="0" w:color="auto"/>
              <w:bottom w:val="single" w:sz="4" w:space="0" w:color="auto"/>
              <w:right w:val="single" w:sz="4" w:space="0" w:color="auto"/>
            </w:tcBorders>
            <w:shd w:val="clear" w:color="auto" w:fill="auto"/>
            <w:vAlign w:val="center"/>
            <w:hideMark/>
          </w:tcPr>
          <w:p w:rsidR="00E80FDC" w:rsidRPr="00DA7BE8" w:rsidP="00E80FDC" w14:paraId="781A132A" w14:textId="77777777">
            <w:pPr>
              <w:spacing w:after="0" w:line="240" w:lineRule="auto"/>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Annual Number of Responses</w:t>
            </w:r>
          </w:p>
        </w:tc>
        <w:tc>
          <w:tcPr>
            <w:tcW w:w="1520" w:type="dxa"/>
            <w:tcBorders>
              <w:top w:val="nil"/>
              <w:left w:val="nil"/>
              <w:bottom w:val="single" w:sz="4" w:space="0" w:color="auto"/>
              <w:right w:val="single" w:sz="4" w:space="0" w:color="auto"/>
            </w:tcBorders>
            <w:shd w:val="clear" w:color="auto" w:fill="auto"/>
            <w:vAlign w:val="bottom"/>
          </w:tcPr>
          <w:p w:rsidR="00E80FDC" w:rsidRPr="00DA7BE8" w:rsidP="00E80FDC" w14:paraId="1B5E1CA9" w14:textId="72E6AE49">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434</w:t>
            </w:r>
          </w:p>
        </w:tc>
        <w:tc>
          <w:tcPr>
            <w:tcW w:w="1530" w:type="dxa"/>
            <w:tcBorders>
              <w:top w:val="nil"/>
              <w:left w:val="nil"/>
              <w:bottom w:val="single" w:sz="4" w:space="0" w:color="auto"/>
              <w:right w:val="single" w:sz="4" w:space="0" w:color="auto"/>
            </w:tcBorders>
            <w:shd w:val="clear" w:color="auto" w:fill="auto"/>
            <w:vAlign w:val="bottom"/>
            <w:hideMark/>
          </w:tcPr>
          <w:p w:rsidR="00E80FDC" w:rsidRPr="00DA7BE8" w:rsidP="00E80FDC" w14:paraId="047E302D" w14:textId="3E72EE26">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217</w:t>
            </w:r>
          </w:p>
        </w:tc>
        <w:tc>
          <w:tcPr>
            <w:tcW w:w="1620" w:type="dxa"/>
            <w:tcBorders>
              <w:top w:val="nil"/>
              <w:left w:val="nil"/>
              <w:bottom w:val="single" w:sz="4" w:space="0" w:color="auto"/>
              <w:right w:val="single" w:sz="4" w:space="0" w:color="auto"/>
            </w:tcBorders>
            <w:shd w:val="clear" w:color="auto" w:fill="auto"/>
            <w:vAlign w:val="bottom"/>
          </w:tcPr>
          <w:p w:rsidR="00E80FDC" w:rsidRPr="00DA7BE8" w:rsidP="00E80FDC" w14:paraId="780AEB56" w14:textId="4DFC07E8">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0</w:t>
            </w:r>
          </w:p>
        </w:tc>
        <w:tc>
          <w:tcPr>
            <w:tcW w:w="2610" w:type="dxa"/>
            <w:tcBorders>
              <w:top w:val="nil"/>
              <w:left w:val="nil"/>
              <w:bottom w:val="single" w:sz="4" w:space="0" w:color="auto"/>
              <w:right w:val="single" w:sz="4" w:space="0" w:color="auto"/>
            </w:tcBorders>
            <w:shd w:val="clear" w:color="auto" w:fill="auto"/>
            <w:vAlign w:val="bottom"/>
            <w:hideMark/>
          </w:tcPr>
          <w:p w:rsidR="00E80FDC" w:rsidRPr="00DA7BE8" w:rsidP="00E80FDC" w14:paraId="55F33CE6" w14:textId="0CAF3143">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+217</w:t>
            </w:r>
          </w:p>
        </w:tc>
      </w:tr>
      <w:tr w14:paraId="523567E5" w14:textId="77777777" w:rsidTr="00DA7BE8">
        <w:tblPrEx>
          <w:tblW w:w="9530" w:type="dxa"/>
          <w:tblInd w:w="10" w:type="dxa"/>
          <w:tblLayout w:type="fixed"/>
          <w:tblLook w:val="04A0"/>
        </w:tblPrEx>
        <w:trPr>
          <w:trHeight w:val="630"/>
        </w:trPr>
        <w:tc>
          <w:tcPr>
            <w:tcW w:w="2250" w:type="dxa"/>
            <w:tcBorders>
              <w:top w:val="nil"/>
              <w:left w:val="single" w:sz="4" w:space="0" w:color="auto"/>
              <w:bottom w:val="single" w:sz="4" w:space="0" w:color="auto"/>
              <w:right w:val="single" w:sz="4" w:space="0" w:color="auto"/>
            </w:tcBorders>
            <w:shd w:val="clear" w:color="auto" w:fill="auto"/>
            <w:vAlign w:val="center"/>
            <w:hideMark/>
          </w:tcPr>
          <w:p w:rsidR="00E80FDC" w:rsidRPr="00DA7BE8" w:rsidP="00E80FDC" w14:paraId="2603D2B7" w14:textId="77777777">
            <w:pPr>
              <w:spacing w:after="0" w:line="240" w:lineRule="auto"/>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Annual Time Burden (Hr.)</w:t>
            </w:r>
          </w:p>
        </w:tc>
        <w:tc>
          <w:tcPr>
            <w:tcW w:w="1520" w:type="dxa"/>
            <w:tcBorders>
              <w:top w:val="nil"/>
              <w:left w:val="nil"/>
              <w:bottom w:val="single" w:sz="4" w:space="0" w:color="auto"/>
              <w:right w:val="single" w:sz="4" w:space="0" w:color="auto"/>
            </w:tcBorders>
            <w:shd w:val="clear" w:color="auto" w:fill="auto"/>
            <w:vAlign w:val="bottom"/>
          </w:tcPr>
          <w:p w:rsidR="00E80FDC" w:rsidRPr="00DA7BE8" w:rsidP="00E80FDC" w14:paraId="7BB77AA9" w14:textId="3AC5586C">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2</w:t>
            </w:r>
            <w:r w:rsidRPr="00DA7BE8" w:rsidR="00DF703E">
              <w:rPr>
                <w:rFonts w:ascii="Times New Roman" w:eastAsia="Times New Roman" w:hAnsi="Times New Roman"/>
                <w:color w:val="000000"/>
                <w:sz w:val="20"/>
                <w:szCs w:val="20"/>
              </w:rPr>
              <w:t>66,</w:t>
            </w:r>
            <w:r w:rsidR="00F774D1">
              <w:rPr>
                <w:rFonts w:ascii="Times New Roman" w:eastAsia="Times New Roman" w:hAnsi="Times New Roman"/>
                <w:color w:val="000000"/>
                <w:sz w:val="20"/>
                <w:szCs w:val="20"/>
              </w:rPr>
              <w:t>042</w:t>
            </w:r>
          </w:p>
        </w:tc>
        <w:tc>
          <w:tcPr>
            <w:tcW w:w="1530" w:type="dxa"/>
            <w:tcBorders>
              <w:top w:val="nil"/>
              <w:left w:val="nil"/>
              <w:bottom w:val="single" w:sz="4" w:space="0" w:color="auto"/>
              <w:right w:val="single" w:sz="4" w:space="0" w:color="auto"/>
            </w:tcBorders>
            <w:shd w:val="clear" w:color="auto" w:fill="auto"/>
            <w:vAlign w:val="bottom"/>
            <w:hideMark/>
          </w:tcPr>
          <w:p w:rsidR="00E80FDC" w:rsidRPr="00DA7BE8" w:rsidP="00E80FDC" w14:paraId="48E9B0D6" w14:textId="268ADC33">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256,494</w:t>
            </w:r>
          </w:p>
        </w:tc>
        <w:tc>
          <w:tcPr>
            <w:tcW w:w="1620" w:type="dxa"/>
            <w:tcBorders>
              <w:top w:val="nil"/>
              <w:left w:val="nil"/>
              <w:bottom w:val="single" w:sz="4" w:space="0" w:color="auto"/>
              <w:right w:val="single" w:sz="4" w:space="0" w:color="auto"/>
            </w:tcBorders>
            <w:shd w:val="clear" w:color="auto" w:fill="auto"/>
            <w:vAlign w:val="bottom"/>
          </w:tcPr>
          <w:p w:rsidR="00E80FDC" w:rsidRPr="00DA7BE8" w:rsidP="00E80FDC" w14:paraId="4831DCEE" w14:textId="450E2B1F">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0</w:t>
            </w:r>
          </w:p>
        </w:tc>
        <w:tc>
          <w:tcPr>
            <w:tcW w:w="2610" w:type="dxa"/>
            <w:tcBorders>
              <w:top w:val="nil"/>
              <w:left w:val="nil"/>
              <w:bottom w:val="single" w:sz="4" w:space="0" w:color="auto"/>
              <w:right w:val="single" w:sz="4" w:space="0" w:color="auto"/>
            </w:tcBorders>
            <w:shd w:val="clear" w:color="auto" w:fill="auto"/>
            <w:vAlign w:val="bottom"/>
            <w:hideMark/>
          </w:tcPr>
          <w:p w:rsidR="00E80FDC" w:rsidRPr="00DA7BE8" w:rsidP="00E80FDC" w14:paraId="3BF57279" w14:textId="246E7A51">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w:t>
            </w:r>
            <w:r w:rsidRPr="00DE6E29">
              <w:rPr>
                <w:rFonts w:ascii="Times New Roman" w:eastAsia="Times New Roman" w:hAnsi="Times New Roman"/>
                <w:color w:val="000000"/>
                <w:sz w:val="20"/>
                <w:szCs w:val="20"/>
              </w:rPr>
              <w:t>9,548</w:t>
            </w:r>
          </w:p>
        </w:tc>
      </w:tr>
      <w:tr w14:paraId="48B8CEE1" w14:textId="77777777" w:rsidTr="00DA7BE8">
        <w:tblPrEx>
          <w:tblW w:w="9530" w:type="dxa"/>
          <w:tblInd w:w="10" w:type="dxa"/>
          <w:tblLayout w:type="fixed"/>
          <w:tblLook w:val="04A0"/>
        </w:tblPrEx>
        <w:trPr>
          <w:trHeight w:val="288"/>
        </w:trPr>
        <w:tc>
          <w:tcPr>
            <w:tcW w:w="2250" w:type="dxa"/>
            <w:tcBorders>
              <w:top w:val="nil"/>
              <w:left w:val="single" w:sz="4" w:space="0" w:color="auto"/>
              <w:bottom w:val="single" w:sz="4" w:space="0" w:color="auto"/>
              <w:right w:val="single" w:sz="4" w:space="0" w:color="auto"/>
            </w:tcBorders>
            <w:shd w:val="clear" w:color="auto" w:fill="auto"/>
            <w:vAlign w:val="center"/>
            <w:hideMark/>
          </w:tcPr>
          <w:p w:rsidR="00E80FDC" w:rsidRPr="00DA7BE8" w:rsidP="00E80FDC" w14:paraId="4CD0AAFC" w14:textId="77777777">
            <w:pPr>
              <w:spacing w:after="0" w:line="240" w:lineRule="auto"/>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Annual Cost Burden ($)</w:t>
            </w:r>
          </w:p>
        </w:tc>
        <w:tc>
          <w:tcPr>
            <w:tcW w:w="1520" w:type="dxa"/>
            <w:tcBorders>
              <w:top w:val="nil"/>
              <w:left w:val="nil"/>
              <w:bottom w:val="single" w:sz="4" w:space="0" w:color="auto"/>
              <w:right w:val="single" w:sz="4" w:space="0" w:color="auto"/>
            </w:tcBorders>
            <w:shd w:val="clear" w:color="auto" w:fill="auto"/>
            <w:vAlign w:val="bottom"/>
          </w:tcPr>
          <w:p w:rsidR="00E80FDC" w:rsidRPr="00DA7BE8" w:rsidP="00E80FDC" w14:paraId="7C3C5E42" w14:textId="79E9AAEA">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$0</w:t>
            </w:r>
          </w:p>
        </w:tc>
        <w:tc>
          <w:tcPr>
            <w:tcW w:w="1530" w:type="dxa"/>
            <w:tcBorders>
              <w:top w:val="nil"/>
              <w:left w:val="nil"/>
              <w:bottom w:val="single" w:sz="4" w:space="0" w:color="auto"/>
              <w:right w:val="single" w:sz="4" w:space="0" w:color="auto"/>
            </w:tcBorders>
            <w:shd w:val="clear" w:color="auto" w:fill="auto"/>
            <w:vAlign w:val="bottom"/>
          </w:tcPr>
          <w:p w:rsidR="00E80FDC" w:rsidRPr="00DA7BE8" w:rsidP="00E80FDC" w14:paraId="32F90C94" w14:textId="65D63F49">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$0</w:t>
            </w:r>
          </w:p>
        </w:tc>
        <w:tc>
          <w:tcPr>
            <w:tcW w:w="1620" w:type="dxa"/>
            <w:tcBorders>
              <w:top w:val="nil"/>
              <w:left w:val="nil"/>
              <w:bottom w:val="single" w:sz="4" w:space="0" w:color="auto"/>
              <w:right w:val="single" w:sz="4" w:space="0" w:color="auto"/>
            </w:tcBorders>
            <w:shd w:val="clear" w:color="auto" w:fill="auto"/>
            <w:vAlign w:val="bottom"/>
          </w:tcPr>
          <w:p w:rsidR="00E80FDC" w:rsidRPr="00DA7BE8" w:rsidP="00E80FDC" w14:paraId="17645452" w14:textId="72D43C9D">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$0</w:t>
            </w:r>
          </w:p>
        </w:tc>
        <w:tc>
          <w:tcPr>
            <w:tcW w:w="2610" w:type="dxa"/>
            <w:tcBorders>
              <w:top w:val="nil"/>
              <w:left w:val="nil"/>
              <w:bottom w:val="single" w:sz="4" w:space="0" w:color="auto"/>
              <w:right w:val="single" w:sz="4" w:space="0" w:color="auto"/>
            </w:tcBorders>
            <w:shd w:val="clear" w:color="auto" w:fill="auto"/>
            <w:vAlign w:val="bottom"/>
            <w:hideMark/>
          </w:tcPr>
          <w:p w:rsidR="00E80FDC" w:rsidRPr="00DA7BE8" w:rsidP="00E80FDC" w14:paraId="7F039D5C" w14:textId="11305050">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$0</w:t>
            </w:r>
          </w:p>
        </w:tc>
      </w:tr>
      <w:tr w14:paraId="335C5DB2" w14:textId="77777777" w:rsidTr="00DA7BE8">
        <w:tblPrEx>
          <w:tblW w:w="9530" w:type="dxa"/>
          <w:tblInd w:w="10" w:type="dxa"/>
          <w:tblLayout w:type="fixed"/>
          <w:tblLook w:val="04A0"/>
        </w:tblPrEx>
        <w:trPr>
          <w:trHeight w:val="288"/>
        </w:trPr>
        <w:tc>
          <w:tcPr>
            <w:tcW w:w="9530" w:type="dxa"/>
            <w:gridSpan w:val="5"/>
            <w:tcBorders>
              <w:top w:val="nil"/>
              <w:left w:val="single" w:sz="4" w:space="0" w:color="auto"/>
              <w:bottom w:val="single" w:sz="4" w:space="0" w:color="auto"/>
              <w:right w:val="single" w:sz="4" w:space="0" w:color="auto"/>
            </w:tcBorders>
            <w:shd w:val="clear" w:color="auto" w:fill="F2F2F2" w:themeFill="background1" w:themeFillShade="F2"/>
            <w:vAlign w:val="center"/>
          </w:tcPr>
          <w:p w:rsidR="00E80FDC" w:rsidRPr="00DA7BE8" w:rsidP="00E80FDC" w14:paraId="5FF0C903" w14:textId="1EE95E96">
            <w:pPr>
              <w:spacing w:after="0" w:line="240" w:lineRule="auto"/>
              <w:jc w:val="center"/>
              <w:rPr>
                <w:rFonts w:ascii="Times New Roman" w:eastAsia="Times New Roman" w:hAnsi="Times New Roman"/>
                <w:b/>
                <w:color w:val="000000"/>
                <w:sz w:val="20"/>
                <w:szCs w:val="20"/>
              </w:rPr>
            </w:pPr>
            <w:r w:rsidRPr="00DA7BE8">
              <w:rPr>
                <w:rFonts w:ascii="Times New Roman" w:eastAsia="Times New Roman" w:hAnsi="Times New Roman"/>
                <w:b/>
                <w:color w:val="000000"/>
                <w:sz w:val="20"/>
                <w:szCs w:val="20"/>
              </w:rPr>
              <w:t xml:space="preserve">FERC Form No. 1-F </w:t>
            </w:r>
            <w:r w:rsidRPr="00DA7BE8" w:rsidR="00DF703E">
              <w:rPr>
                <w:rFonts w:ascii="Times New Roman" w:eastAsia="Times New Roman" w:hAnsi="Times New Roman"/>
                <w:b/>
                <w:color w:val="000000"/>
                <w:sz w:val="20"/>
                <w:szCs w:val="20"/>
              </w:rPr>
              <w:t xml:space="preserve">(Due to </w:t>
            </w:r>
            <w:r w:rsidRPr="00DA7BE8" w:rsidR="007554CF">
              <w:rPr>
                <w:rFonts w:ascii="Times New Roman" w:eastAsia="Times New Roman" w:hAnsi="Times New Roman"/>
                <w:b/>
                <w:color w:val="000000"/>
                <w:sz w:val="20"/>
                <w:szCs w:val="20"/>
              </w:rPr>
              <w:t>RM21-11</w:t>
            </w:r>
            <w:r w:rsidRPr="00DA7BE8" w:rsidR="00DF703E">
              <w:rPr>
                <w:rFonts w:ascii="Times New Roman" w:eastAsia="Times New Roman" w:hAnsi="Times New Roman"/>
                <w:b/>
                <w:color w:val="000000"/>
                <w:sz w:val="20"/>
                <w:szCs w:val="20"/>
              </w:rPr>
              <w:t>-000)</w:t>
            </w:r>
          </w:p>
        </w:tc>
      </w:tr>
      <w:tr w14:paraId="1C1DCE88" w14:textId="77777777" w:rsidTr="00DA7BE8">
        <w:tblPrEx>
          <w:tblW w:w="9530" w:type="dxa"/>
          <w:tblInd w:w="10" w:type="dxa"/>
          <w:tblLayout w:type="fixed"/>
          <w:tblLook w:val="04A0"/>
        </w:tblPrEx>
        <w:trPr>
          <w:trHeight w:val="288"/>
        </w:trPr>
        <w:tc>
          <w:tcPr>
            <w:tcW w:w="2250" w:type="dxa"/>
            <w:tcBorders>
              <w:top w:val="nil"/>
              <w:left w:val="single" w:sz="4" w:space="0" w:color="auto"/>
              <w:bottom w:val="single" w:sz="4" w:space="0" w:color="auto"/>
              <w:right w:val="single" w:sz="4" w:space="0" w:color="auto"/>
            </w:tcBorders>
            <w:shd w:val="clear" w:color="auto" w:fill="auto"/>
            <w:vAlign w:val="center"/>
            <w:hideMark/>
          </w:tcPr>
          <w:p w:rsidR="00E80FDC" w:rsidRPr="00DA7BE8" w:rsidP="00E80FDC" w14:paraId="1E143DD7" w14:textId="2BFBF928">
            <w:pPr>
              <w:spacing w:after="0" w:line="240" w:lineRule="auto"/>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Annual Number of Responses</w:t>
            </w:r>
          </w:p>
        </w:tc>
        <w:tc>
          <w:tcPr>
            <w:tcW w:w="1520" w:type="dxa"/>
            <w:tcBorders>
              <w:top w:val="nil"/>
              <w:left w:val="nil"/>
              <w:bottom w:val="single" w:sz="4" w:space="0" w:color="auto"/>
              <w:right w:val="single" w:sz="4" w:space="0" w:color="auto"/>
            </w:tcBorders>
            <w:shd w:val="clear" w:color="auto" w:fill="auto"/>
            <w:vAlign w:val="bottom"/>
          </w:tcPr>
          <w:p w:rsidR="00E80FDC" w:rsidRPr="00DA7BE8" w:rsidP="00E80FDC" w14:paraId="0995187B" w14:textId="334BC55E">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4</w:t>
            </w:r>
          </w:p>
        </w:tc>
        <w:tc>
          <w:tcPr>
            <w:tcW w:w="1530" w:type="dxa"/>
            <w:tcBorders>
              <w:top w:val="nil"/>
              <w:left w:val="nil"/>
              <w:bottom w:val="single" w:sz="4" w:space="0" w:color="auto"/>
              <w:right w:val="single" w:sz="4" w:space="0" w:color="auto"/>
            </w:tcBorders>
            <w:shd w:val="clear" w:color="auto" w:fill="auto"/>
            <w:vAlign w:val="bottom"/>
            <w:hideMark/>
          </w:tcPr>
          <w:p w:rsidR="00E80FDC" w:rsidRPr="00DA7BE8" w:rsidP="00E80FDC" w14:paraId="37D8E314" w14:textId="4B24F453">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2</w:t>
            </w:r>
          </w:p>
        </w:tc>
        <w:tc>
          <w:tcPr>
            <w:tcW w:w="1620" w:type="dxa"/>
            <w:tcBorders>
              <w:top w:val="nil"/>
              <w:left w:val="nil"/>
              <w:bottom w:val="single" w:sz="4" w:space="0" w:color="auto"/>
              <w:right w:val="single" w:sz="4" w:space="0" w:color="auto"/>
            </w:tcBorders>
            <w:shd w:val="clear" w:color="auto" w:fill="auto"/>
            <w:vAlign w:val="bottom"/>
          </w:tcPr>
          <w:p w:rsidR="00E80FDC" w:rsidRPr="00DA7BE8" w:rsidP="00E80FDC" w14:paraId="168C392E" w14:textId="1095DA10">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0</w:t>
            </w:r>
          </w:p>
        </w:tc>
        <w:tc>
          <w:tcPr>
            <w:tcW w:w="2610" w:type="dxa"/>
            <w:tcBorders>
              <w:top w:val="nil"/>
              <w:left w:val="nil"/>
              <w:bottom w:val="single" w:sz="4" w:space="0" w:color="auto"/>
              <w:right w:val="single" w:sz="4" w:space="0" w:color="auto"/>
            </w:tcBorders>
            <w:shd w:val="clear" w:color="auto" w:fill="auto"/>
            <w:vAlign w:val="bottom"/>
            <w:hideMark/>
          </w:tcPr>
          <w:p w:rsidR="00E80FDC" w:rsidRPr="00DA7BE8" w:rsidP="00E80FDC" w14:paraId="1C7A550F" w14:textId="1D0CBCAE">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004C77D5">
              <w:rPr>
                <w:rFonts w:ascii="Times New Roman" w:eastAsia="Times New Roman" w:hAnsi="Times New Roman"/>
                <w:color w:val="000000"/>
                <w:sz w:val="20"/>
                <w:szCs w:val="20"/>
              </w:rPr>
              <w:t>2</w:t>
            </w:r>
          </w:p>
        </w:tc>
      </w:tr>
      <w:tr w14:paraId="2BE01063" w14:textId="77777777" w:rsidTr="00DA7BE8">
        <w:tblPrEx>
          <w:tblW w:w="9530" w:type="dxa"/>
          <w:tblInd w:w="10" w:type="dxa"/>
          <w:tblLayout w:type="fixed"/>
          <w:tblLook w:val="04A0"/>
        </w:tblPrEx>
        <w:trPr>
          <w:trHeight w:val="630"/>
        </w:trPr>
        <w:tc>
          <w:tcPr>
            <w:tcW w:w="2250" w:type="dxa"/>
            <w:tcBorders>
              <w:top w:val="nil"/>
              <w:left w:val="single" w:sz="4" w:space="0" w:color="auto"/>
              <w:bottom w:val="single" w:sz="4" w:space="0" w:color="auto"/>
              <w:right w:val="single" w:sz="4" w:space="0" w:color="auto"/>
            </w:tcBorders>
            <w:shd w:val="clear" w:color="auto" w:fill="auto"/>
            <w:vAlign w:val="center"/>
            <w:hideMark/>
          </w:tcPr>
          <w:p w:rsidR="00E80FDC" w:rsidRPr="00DA7BE8" w:rsidP="00E80FDC" w14:paraId="29BB22D4" w14:textId="626F81B1">
            <w:pPr>
              <w:spacing w:after="0" w:line="240" w:lineRule="auto"/>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Annual Time Burden (Hr.)</w:t>
            </w:r>
          </w:p>
        </w:tc>
        <w:tc>
          <w:tcPr>
            <w:tcW w:w="1520" w:type="dxa"/>
            <w:tcBorders>
              <w:top w:val="nil"/>
              <w:left w:val="nil"/>
              <w:bottom w:val="single" w:sz="4" w:space="0" w:color="auto"/>
              <w:right w:val="single" w:sz="4" w:space="0" w:color="auto"/>
            </w:tcBorders>
            <w:shd w:val="clear" w:color="auto" w:fill="auto"/>
            <w:vAlign w:val="bottom"/>
          </w:tcPr>
          <w:p w:rsidR="00E80FDC" w:rsidRPr="00DA7BE8" w:rsidP="00E80FDC" w14:paraId="0B33F8A2" w14:textId="65F9F21D">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36</w:t>
            </w:r>
            <w:r w:rsidR="00042FA5">
              <w:rPr>
                <w:rFonts w:ascii="Times New Roman" w:eastAsia="Times New Roman" w:hAnsi="Times New Roman"/>
                <w:color w:val="000000"/>
                <w:sz w:val="20"/>
                <w:szCs w:val="20"/>
              </w:rPr>
              <w:t>0</w:t>
            </w:r>
          </w:p>
        </w:tc>
        <w:tc>
          <w:tcPr>
            <w:tcW w:w="1530" w:type="dxa"/>
            <w:tcBorders>
              <w:top w:val="nil"/>
              <w:left w:val="nil"/>
              <w:bottom w:val="single" w:sz="4" w:space="0" w:color="auto"/>
              <w:right w:val="single" w:sz="4" w:space="0" w:color="auto"/>
            </w:tcBorders>
            <w:shd w:val="clear" w:color="auto" w:fill="auto"/>
            <w:vAlign w:val="bottom"/>
            <w:hideMark/>
          </w:tcPr>
          <w:p w:rsidR="00E80FDC" w:rsidRPr="00DA7BE8" w:rsidP="00E80FDC" w14:paraId="63D61B9E" w14:textId="0837BCC2">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272</w:t>
            </w:r>
          </w:p>
        </w:tc>
        <w:tc>
          <w:tcPr>
            <w:tcW w:w="1620" w:type="dxa"/>
            <w:tcBorders>
              <w:top w:val="nil"/>
              <w:left w:val="nil"/>
              <w:bottom w:val="single" w:sz="4" w:space="0" w:color="auto"/>
              <w:right w:val="single" w:sz="4" w:space="0" w:color="auto"/>
            </w:tcBorders>
            <w:shd w:val="clear" w:color="auto" w:fill="auto"/>
            <w:vAlign w:val="bottom"/>
          </w:tcPr>
          <w:p w:rsidR="00E80FDC" w:rsidRPr="00DA7BE8" w:rsidP="00E80FDC" w14:paraId="27EE6227" w14:textId="6252DDA6">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0</w:t>
            </w:r>
          </w:p>
        </w:tc>
        <w:tc>
          <w:tcPr>
            <w:tcW w:w="2610" w:type="dxa"/>
            <w:tcBorders>
              <w:top w:val="nil"/>
              <w:left w:val="nil"/>
              <w:bottom w:val="single" w:sz="4" w:space="0" w:color="auto"/>
              <w:right w:val="single" w:sz="4" w:space="0" w:color="auto"/>
            </w:tcBorders>
            <w:shd w:val="clear" w:color="auto" w:fill="auto"/>
            <w:vAlign w:val="bottom"/>
            <w:hideMark/>
          </w:tcPr>
          <w:p w:rsidR="00E80FDC" w:rsidRPr="00DA7BE8" w:rsidP="00E80FDC" w14:paraId="7F383F44" w14:textId="5985059E">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w:t>
            </w:r>
            <w:r w:rsidRPr="00DE6E29">
              <w:rPr>
                <w:rFonts w:ascii="Times New Roman" w:eastAsia="Times New Roman" w:hAnsi="Times New Roman"/>
                <w:color w:val="000000"/>
                <w:sz w:val="20"/>
                <w:szCs w:val="20"/>
              </w:rPr>
              <w:t>88</w:t>
            </w:r>
          </w:p>
        </w:tc>
      </w:tr>
      <w:tr w14:paraId="6D95A80C" w14:textId="77777777" w:rsidTr="00DA7BE8">
        <w:tblPrEx>
          <w:tblW w:w="9530" w:type="dxa"/>
          <w:tblInd w:w="10" w:type="dxa"/>
          <w:tblLayout w:type="fixed"/>
          <w:tblLook w:val="04A0"/>
        </w:tblPrEx>
        <w:trPr>
          <w:trHeight w:val="288"/>
        </w:trPr>
        <w:tc>
          <w:tcPr>
            <w:tcW w:w="2250" w:type="dxa"/>
            <w:tcBorders>
              <w:top w:val="nil"/>
              <w:left w:val="single" w:sz="4" w:space="0" w:color="auto"/>
              <w:bottom w:val="single" w:sz="4" w:space="0" w:color="auto"/>
              <w:right w:val="single" w:sz="4" w:space="0" w:color="auto"/>
            </w:tcBorders>
            <w:shd w:val="clear" w:color="auto" w:fill="auto"/>
            <w:vAlign w:val="center"/>
            <w:hideMark/>
          </w:tcPr>
          <w:p w:rsidR="00E80FDC" w:rsidRPr="00DA7BE8" w:rsidP="00E80FDC" w14:paraId="5AA1052B" w14:textId="434437EE">
            <w:pPr>
              <w:spacing w:after="0" w:line="240" w:lineRule="auto"/>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Annual Cost Burden ($)</w:t>
            </w:r>
          </w:p>
        </w:tc>
        <w:tc>
          <w:tcPr>
            <w:tcW w:w="1520" w:type="dxa"/>
            <w:tcBorders>
              <w:top w:val="nil"/>
              <w:left w:val="nil"/>
              <w:bottom w:val="single" w:sz="4" w:space="0" w:color="auto"/>
              <w:right w:val="single" w:sz="4" w:space="0" w:color="auto"/>
            </w:tcBorders>
            <w:shd w:val="clear" w:color="auto" w:fill="auto"/>
            <w:vAlign w:val="bottom"/>
          </w:tcPr>
          <w:p w:rsidR="00E80FDC" w:rsidRPr="00DA7BE8" w:rsidP="00DA7F49" w14:paraId="6E502599" w14:textId="6E484B29">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w:t>
            </w:r>
            <w:r w:rsidRPr="00DA7BE8" w:rsidR="00DF703E">
              <w:rPr>
                <w:rFonts w:ascii="Times New Roman" w:eastAsia="Times New Roman" w:hAnsi="Times New Roman"/>
                <w:color w:val="000000"/>
                <w:sz w:val="20"/>
                <w:szCs w:val="20"/>
              </w:rPr>
              <w:t>0</w:t>
            </w:r>
          </w:p>
        </w:tc>
        <w:tc>
          <w:tcPr>
            <w:tcW w:w="1530" w:type="dxa"/>
            <w:tcBorders>
              <w:top w:val="nil"/>
              <w:left w:val="nil"/>
              <w:bottom w:val="single" w:sz="4" w:space="0" w:color="auto"/>
              <w:right w:val="single" w:sz="4" w:space="0" w:color="auto"/>
            </w:tcBorders>
            <w:shd w:val="clear" w:color="auto" w:fill="auto"/>
            <w:vAlign w:val="bottom"/>
          </w:tcPr>
          <w:p w:rsidR="00E80FDC" w:rsidRPr="00DA7BE8" w:rsidP="00E80FDC" w14:paraId="13BF5CC4" w14:textId="5FC5C36C">
            <w:pPr>
              <w:spacing w:after="0" w:line="225" w:lineRule="atLeast"/>
              <w:jc w:val="right"/>
              <w:rPr>
                <w:rFonts w:ascii="Times New Roman" w:eastAsia="Times New Roman" w:hAnsi="Times New Roman"/>
                <w:color w:val="56606F"/>
                <w:sz w:val="20"/>
                <w:szCs w:val="20"/>
              </w:rPr>
            </w:pPr>
            <w:r w:rsidRPr="00DA7BE8">
              <w:rPr>
                <w:rFonts w:ascii="Arial" w:hAnsi="Arial" w:cs="Arial"/>
                <w:color w:val="56606F"/>
                <w:sz w:val="20"/>
                <w:szCs w:val="20"/>
              </w:rPr>
              <w:br/>
            </w:r>
            <w:r w:rsidRPr="00DA7BE8">
              <w:rPr>
                <w:rFonts w:ascii="Times New Roman" w:hAnsi="Times New Roman"/>
                <w:sz w:val="20"/>
                <w:szCs w:val="20"/>
              </w:rPr>
              <w:t xml:space="preserve">$0 </w:t>
            </w:r>
          </w:p>
        </w:tc>
        <w:tc>
          <w:tcPr>
            <w:tcW w:w="1620" w:type="dxa"/>
            <w:tcBorders>
              <w:top w:val="nil"/>
              <w:left w:val="nil"/>
              <w:bottom w:val="single" w:sz="4" w:space="0" w:color="auto"/>
              <w:right w:val="single" w:sz="4" w:space="0" w:color="auto"/>
            </w:tcBorders>
            <w:shd w:val="clear" w:color="auto" w:fill="auto"/>
            <w:vAlign w:val="bottom"/>
          </w:tcPr>
          <w:p w:rsidR="00E80FDC" w:rsidRPr="00DA7BE8" w:rsidP="00E80FDC" w14:paraId="2F567A2F" w14:textId="60B4FBCC">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$0</w:t>
            </w:r>
          </w:p>
        </w:tc>
        <w:tc>
          <w:tcPr>
            <w:tcW w:w="2610" w:type="dxa"/>
            <w:tcBorders>
              <w:top w:val="nil"/>
              <w:left w:val="nil"/>
              <w:bottom w:val="single" w:sz="4" w:space="0" w:color="auto"/>
              <w:right w:val="single" w:sz="4" w:space="0" w:color="auto"/>
            </w:tcBorders>
            <w:shd w:val="clear" w:color="auto" w:fill="auto"/>
            <w:vAlign w:val="bottom"/>
            <w:hideMark/>
          </w:tcPr>
          <w:p w:rsidR="00E80FDC" w:rsidRPr="00DA7BE8" w:rsidP="00E80FDC" w14:paraId="239A32A5" w14:textId="3262F350">
            <w:pPr>
              <w:spacing w:after="0" w:line="240" w:lineRule="auto"/>
              <w:jc w:val="right"/>
              <w:rPr>
                <w:rFonts w:ascii="Times New Roman" w:eastAsia="Times New Roman" w:hAnsi="Times New Roman"/>
                <w:color w:val="000000"/>
                <w:sz w:val="20"/>
                <w:szCs w:val="20"/>
              </w:rPr>
            </w:pPr>
            <w:r w:rsidRPr="00DA7BE8">
              <w:rPr>
                <w:rFonts w:ascii="Times New Roman" w:hAnsi="Times New Roman"/>
                <w:sz w:val="20"/>
                <w:szCs w:val="20"/>
              </w:rPr>
              <w:t>$</w:t>
            </w:r>
            <w:r w:rsidRPr="00DA7BE8" w:rsidR="00DF703E">
              <w:rPr>
                <w:rFonts w:ascii="Times New Roman" w:hAnsi="Times New Roman"/>
                <w:sz w:val="20"/>
                <w:szCs w:val="20"/>
              </w:rPr>
              <w:t>0</w:t>
            </w:r>
          </w:p>
        </w:tc>
      </w:tr>
      <w:tr w14:paraId="75C3BD5D" w14:textId="77777777" w:rsidTr="00DA7BE8">
        <w:tblPrEx>
          <w:tblW w:w="9530" w:type="dxa"/>
          <w:tblInd w:w="10" w:type="dxa"/>
          <w:tblLayout w:type="fixed"/>
          <w:tblLook w:val="04A0"/>
        </w:tblPrEx>
        <w:trPr>
          <w:trHeight w:val="288"/>
        </w:trPr>
        <w:tc>
          <w:tcPr>
            <w:tcW w:w="9530" w:type="dxa"/>
            <w:gridSpan w:val="5"/>
            <w:tcBorders>
              <w:top w:val="nil"/>
              <w:left w:val="single" w:sz="4" w:space="0" w:color="auto"/>
              <w:bottom w:val="single" w:sz="4" w:space="0" w:color="auto"/>
              <w:right w:val="single" w:sz="4" w:space="0" w:color="auto"/>
            </w:tcBorders>
            <w:shd w:val="clear" w:color="auto" w:fill="F2F2F2" w:themeFill="background1" w:themeFillShade="F2"/>
            <w:vAlign w:val="center"/>
          </w:tcPr>
          <w:p w:rsidR="00E80FDC" w:rsidRPr="00DA7BE8" w:rsidP="00E80FDC" w14:paraId="377099A9" w14:textId="089031E3">
            <w:pPr>
              <w:spacing w:after="0" w:line="240" w:lineRule="auto"/>
              <w:jc w:val="center"/>
              <w:rPr>
                <w:rFonts w:ascii="Times New Roman" w:eastAsia="Times New Roman" w:hAnsi="Times New Roman"/>
                <w:b/>
                <w:color w:val="000000"/>
                <w:sz w:val="20"/>
                <w:szCs w:val="20"/>
              </w:rPr>
            </w:pPr>
            <w:r w:rsidRPr="00DA7BE8">
              <w:rPr>
                <w:rFonts w:ascii="Times New Roman" w:eastAsia="Times New Roman" w:hAnsi="Times New Roman"/>
                <w:b/>
                <w:color w:val="000000"/>
                <w:sz w:val="20"/>
                <w:szCs w:val="20"/>
              </w:rPr>
              <w:t xml:space="preserve">FERC Form No. 3-Q </w:t>
            </w:r>
            <w:r w:rsidR="00E45220">
              <w:rPr>
                <w:rFonts w:ascii="Times New Roman" w:eastAsia="Times New Roman" w:hAnsi="Times New Roman"/>
                <w:b/>
                <w:color w:val="000000"/>
                <w:sz w:val="20"/>
                <w:szCs w:val="20"/>
              </w:rPr>
              <w:t xml:space="preserve">Electric </w:t>
            </w:r>
            <w:r w:rsidRPr="00DA7BE8" w:rsidR="00DF703E">
              <w:rPr>
                <w:rFonts w:ascii="Times New Roman" w:eastAsia="Times New Roman" w:hAnsi="Times New Roman"/>
                <w:b/>
                <w:color w:val="000000"/>
                <w:sz w:val="20"/>
                <w:szCs w:val="20"/>
              </w:rPr>
              <w:t xml:space="preserve">(Due to </w:t>
            </w:r>
            <w:r w:rsidRPr="00DA7BE8" w:rsidR="007554CF">
              <w:rPr>
                <w:rFonts w:ascii="Times New Roman" w:eastAsia="Times New Roman" w:hAnsi="Times New Roman"/>
                <w:b/>
                <w:color w:val="000000"/>
                <w:sz w:val="20"/>
                <w:szCs w:val="20"/>
              </w:rPr>
              <w:t>RM21-11</w:t>
            </w:r>
            <w:r w:rsidRPr="00DA7BE8" w:rsidR="00DF703E">
              <w:rPr>
                <w:rFonts w:ascii="Times New Roman" w:eastAsia="Times New Roman" w:hAnsi="Times New Roman"/>
                <w:b/>
                <w:color w:val="000000"/>
                <w:sz w:val="20"/>
                <w:szCs w:val="20"/>
              </w:rPr>
              <w:t>-000)</w:t>
            </w:r>
          </w:p>
        </w:tc>
      </w:tr>
      <w:tr w14:paraId="21B01E4C" w14:textId="77777777" w:rsidTr="00DA7BE8">
        <w:tblPrEx>
          <w:tblW w:w="9530" w:type="dxa"/>
          <w:tblInd w:w="10" w:type="dxa"/>
          <w:tblLayout w:type="fixed"/>
          <w:tblLook w:val="04A0"/>
        </w:tblPrEx>
        <w:trPr>
          <w:trHeight w:val="288"/>
        </w:trPr>
        <w:tc>
          <w:tcPr>
            <w:tcW w:w="2250" w:type="dxa"/>
            <w:tcBorders>
              <w:top w:val="nil"/>
              <w:left w:val="single" w:sz="4" w:space="0" w:color="auto"/>
              <w:bottom w:val="single" w:sz="4" w:space="0" w:color="auto"/>
              <w:right w:val="single" w:sz="4" w:space="0" w:color="auto"/>
            </w:tcBorders>
            <w:shd w:val="clear" w:color="auto" w:fill="auto"/>
            <w:vAlign w:val="center"/>
            <w:hideMark/>
          </w:tcPr>
          <w:p w:rsidR="004A2047" w:rsidRPr="00DA7BE8" w:rsidP="004A2047" w14:paraId="01F7429E" w14:textId="7912CFB8">
            <w:pPr>
              <w:spacing w:after="0" w:line="240" w:lineRule="auto"/>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Annual Number of Responses</w:t>
            </w:r>
          </w:p>
        </w:tc>
        <w:tc>
          <w:tcPr>
            <w:tcW w:w="1520" w:type="dxa"/>
            <w:tcBorders>
              <w:top w:val="nil"/>
              <w:left w:val="nil"/>
              <w:bottom w:val="single" w:sz="4" w:space="0" w:color="auto"/>
              <w:right w:val="single" w:sz="4" w:space="0" w:color="auto"/>
            </w:tcBorders>
            <w:shd w:val="clear" w:color="auto" w:fill="auto"/>
            <w:vAlign w:val="bottom"/>
          </w:tcPr>
          <w:p w:rsidR="004A2047" w:rsidRPr="00DA7BE8" w:rsidP="004A2047" w14:paraId="05C355B5" w14:textId="441AA8CE">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663</w:t>
            </w:r>
          </w:p>
        </w:tc>
        <w:tc>
          <w:tcPr>
            <w:tcW w:w="1530" w:type="dxa"/>
            <w:tcBorders>
              <w:top w:val="nil"/>
              <w:left w:val="nil"/>
              <w:bottom w:val="single" w:sz="4" w:space="0" w:color="auto"/>
              <w:right w:val="single" w:sz="4" w:space="0" w:color="auto"/>
            </w:tcBorders>
            <w:shd w:val="clear" w:color="auto" w:fill="auto"/>
            <w:vAlign w:val="bottom"/>
            <w:hideMark/>
          </w:tcPr>
          <w:p w:rsidR="004A2047" w:rsidRPr="00DA7BE8" w:rsidP="004A2047" w14:paraId="31BBBDF9" w14:textId="2A9E83E1">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663</w:t>
            </w:r>
          </w:p>
        </w:tc>
        <w:tc>
          <w:tcPr>
            <w:tcW w:w="1620" w:type="dxa"/>
            <w:tcBorders>
              <w:top w:val="nil"/>
              <w:left w:val="nil"/>
              <w:bottom w:val="single" w:sz="4" w:space="0" w:color="auto"/>
              <w:right w:val="single" w:sz="4" w:space="0" w:color="auto"/>
            </w:tcBorders>
            <w:shd w:val="clear" w:color="auto" w:fill="auto"/>
            <w:vAlign w:val="bottom"/>
          </w:tcPr>
          <w:p w:rsidR="004A2047" w:rsidRPr="00DA7BE8" w:rsidP="004A2047" w14:paraId="0A73D34A" w14:textId="65879621">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0</w:t>
            </w:r>
          </w:p>
        </w:tc>
        <w:tc>
          <w:tcPr>
            <w:tcW w:w="2610" w:type="dxa"/>
            <w:tcBorders>
              <w:top w:val="nil"/>
              <w:left w:val="nil"/>
              <w:bottom w:val="single" w:sz="4" w:space="0" w:color="auto"/>
              <w:right w:val="single" w:sz="4" w:space="0" w:color="auto"/>
            </w:tcBorders>
            <w:shd w:val="clear" w:color="auto" w:fill="auto"/>
            <w:vAlign w:val="bottom"/>
            <w:hideMark/>
          </w:tcPr>
          <w:p w:rsidR="004A2047" w:rsidRPr="00DA7BE8" w:rsidP="004A2047" w14:paraId="187D804F" w14:textId="5012B767">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0</w:t>
            </w:r>
          </w:p>
        </w:tc>
      </w:tr>
      <w:tr w14:paraId="39490F82" w14:textId="77777777" w:rsidTr="00DA7BE8">
        <w:tblPrEx>
          <w:tblW w:w="9530" w:type="dxa"/>
          <w:tblInd w:w="10" w:type="dxa"/>
          <w:tblLayout w:type="fixed"/>
          <w:tblLook w:val="04A0"/>
        </w:tblPrEx>
        <w:trPr>
          <w:trHeight w:val="288"/>
        </w:trPr>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2047" w:rsidRPr="00DA7BE8" w:rsidP="004A2047" w14:paraId="61FCD2D9" w14:textId="375EEF65">
            <w:pPr>
              <w:spacing w:after="0" w:line="240" w:lineRule="auto"/>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Annual Time Burden (Hr.)</w:t>
            </w:r>
          </w:p>
        </w:tc>
        <w:tc>
          <w:tcPr>
            <w:tcW w:w="1520" w:type="dxa"/>
            <w:tcBorders>
              <w:top w:val="single" w:sz="4" w:space="0" w:color="auto"/>
              <w:left w:val="nil"/>
              <w:bottom w:val="single" w:sz="4" w:space="0" w:color="auto"/>
              <w:right w:val="single" w:sz="4" w:space="0" w:color="auto"/>
            </w:tcBorders>
            <w:shd w:val="clear" w:color="auto" w:fill="auto"/>
            <w:vAlign w:val="bottom"/>
          </w:tcPr>
          <w:p w:rsidR="004A2047" w:rsidRPr="00DA7BE8" w:rsidP="004A2047" w14:paraId="3B31B4F6" w14:textId="7D394FF5">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111,384</w:t>
            </w:r>
            <w:r>
              <w:rPr>
                <w:rStyle w:val="FootnoteReference"/>
                <w:rFonts w:ascii="Times New Roman" w:hAnsi="Times New Roman"/>
                <w:sz w:val="20"/>
                <w:szCs w:val="20"/>
                <w:vertAlign w:val="superscript"/>
              </w:rPr>
              <w:footnoteReference w:id="20"/>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4A2047" w:rsidRPr="00DA7BE8" w:rsidP="004A2047" w14:paraId="7CF80AF2" w14:textId="1BCB8974">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111,384</w:t>
            </w:r>
          </w:p>
        </w:tc>
        <w:tc>
          <w:tcPr>
            <w:tcW w:w="1620" w:type="dxa"/>
            <w:tcBorders>
              <w:top w:val="single" w:sz="4" w:space="0" w:color="auto"/>
              <w:left w:val="nil"/>
              <w:bottom w:val="single" w:sz="4" w:space="0" w:color="auto"/>
              <w:right w:val="single" w:sz="4" w:space="0" w:color="auto"/>
            </w:tcBorders>
            <w:shd w:val="clear" w:color="auto" w:fill="auto"/>
            <w:vAlign w:val="bottom"/>
          </w:tcPr>
          <w:p w:rsidR="004A2047" w:rsidRPr="00DA7BE8" w:rsidP="004A2047" w14:paraId="52C8CDFD" w14:textId="700745E9">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0</w:t>
            </w:r>
          </w:p>
        </w:tc>
        <w:tc>
          <w:tcPr>
            <w:tcW w:w="2610" w:type="dxa"/>
            <w:tcBorders>
              <w:top w:val="single" w:sz="4" w:space="0" w:color="auto"/>
              <w:left w:val="nil"/>
              <w:bottom w:val="single" w:sz="4" w:space="0" w:color="auto"/>
              <w:right w:val="single" w:sz="4" w:space="0" w:color="auto"/>
            </w:tcBorders>
            <w:shd w:val="clear" w:color="auto" w:fill="auto"/>
            <w:vAlign w:val="bottom"/>
            <w:hideMark/>
          </w:tcPr>
          <w:p w:rsidR="004A2047" w:rsidRPr="00DA7BE8" w:rsidP="004A2047" w14:paraId="7C934849" w14:textId="3112C010">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0</w:t>
            </w:r>
          </w:p>
        </w:tc>
      </w:tr>
      <w:tr w14:paraId="0888360B" w14:textId="77777777" w:rsidTr="00DA7BE8">
        <w:tblPrEx>
          <w:tblW w:w="9530" w:type="dxa"/>
          <w:tblInd w:w="10" w:type="dxa"/>
          <w:tblLayout w:type="fixed"/>
          <w:tblLook w:val="04A0"/>
        </w:tblPrEx>
        <w:trPr>
          <w:trHeight w:val="288"/>
        </w:trPr>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FDC" w:rsidRPr="00DA7BE8" w:rsidP="00E80FDC" w14:paraId="5AABAA93" w14:textId="28CBE4BC">
            <w:pPr>
              <w:spacing w:after="0" w:line="240" w:lineRule="auto"/>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Annual Cost Burden ($)</w:t>
            </w:r>
          </w:p>
        </w:tc>
        <w:tc>
          <w:tcPr>
            <w:tcW w:w="1520" w:type="dxa"/>
            <w:tcBorders>
              <w:top w:val="single" w:sz="4" w:space="0" w:color="auto"/>
              <w:left w:val="nil"/>
              <w:bottom w:val="single" w:sz="4" w:space="0" w:color="auto"/>
              <w:right w:val="single" w:sz="4" w:space="0" w:color="auto"/>
            </w:tcBorders>
            <w:shd w:val="clear" w:color="auto" w:fill="auto"/>
            <w:vAlign w:val="bottom"/>
          </w:tcPr>
          <w:p w:rsidR="00E80FDC" w:rsidRPr="00DA7BE8" w:rsidP="00812729" w14:paraId="06BBB647" w14:textId="191D259F">
            <w:pPr>
              <w:spacing w:after="0" w:line="240" w:lineRule="auto"/>
              <w:jc w:val="right"/>
              <w:rPr>
                <w:rStyle w:val="FootnoteReference"/>
                <w:sz w:val="20"/>
                <w:szCs w:val="20"/>
                <w:vertAlign w:val="superscript"/>
              </w:rPr>
            </w:pPr>
            <w:r w:rsidRPr="00DA7BE8">
              <w:rPr>
                <w:rFonts w:ascii="Times New Roman" w:eastAsia="Times New Roman" w:hAnsi="Times New Roman"/>
                <w:color w:val="000000"/>
                <w:sz w:val="20"/>
                <w:szCs w:val="20"/>
              </w:rPr>
              <w:t>$0</w:t>
            </w:r>
          </w:p>
        </w:tc>
        <w:tc>
          <w:tcPr>
            <w:tcW w:w="1530" w:type="dxa"/>
            <w:tcBorders>
              <w:top w:val="single" w:sz="4" w:space="0" w:color="auto"/>
              <w:left w:val="nil"/>
              <w:bottom w:val="single" w:sz="4" w:space="0" w:color="auto"/>
              <w:right w:val="single" w:sz="4" w:space="0" w:color="auto"/>
            </w:tcBorders>
            <w:shd w:val="clear" w:color="auto" w:fill="auto"/>
            <w:vAlign w:val="bottom"/>
          </w:tcPr>
          <w:p w:rsidR="00E80FDC" w:rsidRPr="00DA7BE8" w:rsidP="00E80FDC" w14:paraId="6A4C7258" w14:textId="327A7A42">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$0</w:t>
            </w:r>
          </w:p>
        </w:tc>
        <w:tc>
          <w:tcPr>
            <w:tcW w:w="1620" w:type="dxa"/>
            <w:tcBorders>
              <w:top w:val="single" w:sz="4" w:space="0" w:color="auto"/>
              <w:left w:val="nil"/>
              <w:bottom w:val="single" w:sz="4" w:space="0" w:color="auto"/>
              <w:right w:val="single" w:sz="4" w:space="0" w:color="auto"/>
            </w:tcBorders>
            <w:shd w:val="clear" w:color="auto" w:fill="auto"/>
            <w:vAlign w:val="bottom"/>
          </w:tcPr>
          <w:p w:rsidR="00E80FDC" w:rsidRPr="00DA7BE8" w:rsidP="00E80FDC" w14:paraId="11CB8EC9" w14:textId="1FB0F9F0">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$0</w:t>
            </w:r>
          </w:p>
        </w:tc>
        <w:tc>
          <w:tcPr>
            <w:tcW w:w="2610" w:type="dxa"/>
            <w:tcBorders>
              <w:top w:val="single" w:sz="4" w:space="0" w:color="auto"/>
              <w:left w:val="nil"/>
              <w:bottom w:val="single" w:sz="4" w:space="0" w:color="auto"/>
              <w:right w:val="single" w:sz="4" w:space="0" w:color="auto"/>
            </w:tcBorders>
            <w:shd w:val="clear" w:color="auto" w:fill="auto"/>
            <w:vAlign w:val="bottom"/>
            <w:hideMark/>
          </w:tcPr>
          <w:p w:rsidR="00E80FDC" w:rsidRPr="00DA7BE8" w:rsidP="00E80FDC" w14:paraId="49316F50" w14:textId="125A2F0E">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$0</w:t>
            </w:r>
          </w:p>
        </w:tc>
      </w:tr>
      <w:tr w14:paraId="26ECA3EE" w14:textId="77777777" w:rsidTr="00DA7BE8">
        <w:tblPrEx>
          <w:tblW w:w="9530" w:type="dxa"/>
          <w:tblInd w:w="10" w:type="dxa"/>
          <w:tblLayout w:type="fixed"/>
          <w:tblLook w:val="04A0"/>
        </w:tblPrEx>
        <w:trPr>
          <w:trHeight w:val="288"/>
        </w:trPr>
        <w:tc>
          <w:tcPr>
            <w:tcW w:w="953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80FDC" w:rsidRPr="00DA7BE8" w:rsidP="00E80FDC" w14:paraId="77E85408" w14:textId="4CD2D726">
            <w:pPr>
              <w:spacing w:after="0" w:line="240" w:lineRule="auto"/>
              <w:jc w:val="center"/>
              <w:rPr>
                <w:rFonts w:ascii="Times New Roman" w:eastAsia="Times New Roman" w:hAnsi="Times New Roman"/>
                <w:color w:val="000000"/>
                <w:sz w:val="20"/>
                <w:szCs w:val="20"/>
              </w:rPr>
            </w:pPr>
            <w:r w:rsidRPr="00DA7BE8">
              <w:rPr>
                <w:rFonts w:ascii="Times New Roman" w:eastAsia="Times New Roman" w:hAnsi="Times New Roman"/>
                <w:b/>
                <w:color w:val="000000"/>
                <w:sz w:val="20"/>
                <w:szCs w:val="20"/>
              </w:rPr>
              <w:t xml:space="preserve">FERC Form No. 60 </w:t>
            </w:r>
            <w:r w:rsidRPr="00DA7BE8" w:rsidR="00DF703E">
              <w:rPr>
                <w:rFonts w:ascii="Times New Roman" w:eastAsia="Times New Roman" w:hAnsi="Times New Roman"/>
                <w:b/>
                <w:color w:val="000000"/>
                <w:sz w:val="20"/>
                <w:szCs w:val="20"/>
              </w:rPr>
              <w:t xml:space="preserve">(Due to </w:t>
            </w:r>
            <w:r w:rsidRPr="00DA7BE8" w:rsidR="007554CF">
              <w:rPr>
                <w:rFonts w:ascii="Times New Roman" w:eastAsia="Times New Roman" w:hAnsi="Times New Roman"/>
                <w:b/>
                <w:color w:val="000000"/>
                <w:sz w:val="20"/>
                <w:szCs w:val="20"/>
              </w:rPr>
              <w:t>RM21-11</w:t>
            </w:r>
            <w:r w:rsidRPr="00DA7BE8" w:rsidR="00DF703E">
              <w:rPr>
                <w:rFonts w:ascii="Times New Roman" w:eastAsia="Times New Roman" w:hAnsi="Times New Roman"/>
                <w:b/>
                <w:color w:val="000000"/>
                <w:sz w:val="20"/>
                <w:szCs w:val="20"/>
              </w:rPr>
              <w:t>-000)</w:t>
            </w:r>
          </w:p>
        </w:tc>
      </w:tr>
      <w:tr w14:paraId="462ED2F2" w14:textId="77777777" w:rsidTr="00DA7BE8">
        <w:tblPrEx>
          <w:tblW w:w="9530" w:type="dxa"/>
          <w:tblInd w:w="10" w:type="dxa"/>
          <w:tblLayout w:type="fixed"/>
          <w:tblLook w:val="04A0"/>
        </w:tblPrEx>
        <w:trPr>
          <w:trHeight w:val="288"/>
        </w:trPr>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4A2047" w:rsidRPr="00DA7BE8" w:rsidP="004A2047" w14:paraId="3D2BF723" w14:textId="73388F8F">
            <w:pPr>
              <w:spacing w:after="0" w:line="240" w:lineRule="auto"/>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Annual Number of Responses</w:t>
            </w:r>
          </w:p>
        </w:tc>
        <w:tc>
          <w:tcPr>
            <w:tcW w:w="1520" w:type="dxa"/>
            <w:tcBorders>
              <w:top w:val="single" w:sz="4" w:space="0" w:color="auto"/>
              <w:left w:val="nil"/>
              <w:bottom w:val="single" w:sz="4" w:space="0" w:color="auto"/>
              <w:right w:val="single" w:sz="4" w:space="0" w:color="auto"/>
            </w:tcBorders>
            <w:shd w:val="clear" w:color="auto" w:fill="auto"/>
            <w:vAlign w:val="bottom"/>
          </w:tcPr>
          <w:p w:rsidR="004A2047" w:rsidRPr="00DA7BE8" w:rsidP="004A2047" w14:paraId="5AB4DE91" w14:textId="4E61AEEC">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00B77D36">
              <w:rPr>
                <w:rFonts w:ascii="Times New Roman" w:eastAsia="Times New Roman" w:hAnsi="Times New Roman"/>
                <w:color w:val="000000"/>
                <w:sz w:val="20"/>
                <w:szCs w:val="20"/>
              </w:rPr>
              <w:t>84</w:t>
            </w:r>
          </w:p>
        </w:tc>
        <w:tc>
          <w:tcPr>
            <w:tcW w:w="1530" w:type="dxa"/>
            <w:tcBorders>
              <w:top w:val="single" w:sz="4" w:space="0" w:color="auto"/>
              <w:left w:val="nil"/>
              <w:bottom w:val="single" w:sz="4" w:space="0" w:color="auto"/>
              <w:right w:val="single" w:sz="4" w:space="0" w:color="auto"/>
            </w:tcBorders>
            <w:shd w:val="clear" w:color="auto" w:fill="auto"/>
            <w:vAlign w:val="bottom"/>
          </w:tcPr>
          <w:p w:rsidR="004A2047" w:rsidRPr="00DA7BE8" w:rsidP="004A2047" w14:paraId="67CB4D3F" w14:textId="1A4CA642">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42</w:t>
            </w:r>
          </w:p>
        </w:tc>
        <w:tc>
          <w:tcPr>
            <w:tcW w:w="1620" w:type="dxa"/>
            <w:tcBorders>
              <w:top w:val="single" w:sz="4" w:space="0" w:color="auto"/>
              <w:left w:val="nil"/>
              <w:bottom w:val="single" w:sz="4" w:space="0" w:color="auto"/>
              <w:right w:val="single" w:sz="4" w:space="0" w:color="auto"/>
            </w:tcBorders>
            <w:shd w:val="clear" w:color="auto" w:fill="auto"/>
            <w:vAlign w:val="bottom"/>
          </w:tcPr>
          <w:p w:rsidR="004A2047" w:rsidRPr="00DA7BE8" w:rsidP="004A2047" w14:paraId="7D5F4B4A" w14:textId="3BA4ED01">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0</w:t>
            </w:r>
          </w:p>
        </w:tc>
        <w:tc>
          <w:tcPr>
            <w:tcW w:w="2610" w:type="dxa"/>
            <w:tcBorders>
              <w:top w:val="single" w:sz="4" w:space="0" w:color="auto"/>
              <w:left w:val="nil"/>
              <w:bottom w:val="single" w:sz="4" w:space="0" w:color="auto"/>
              <w:right w:val="single" w:sz="4" w:space="0" w:color="auto"/>
            </w:tcBorders>
            <w:shd w:val="clear" w:color="auto" w:fill="auto"/>
            <w:vAlign w:val="bottom"/>
          </w:tcPr>
          <w:p w:rsidR="004A2047" w:rsidRPr="00DA7BE8" w:rsidP="004A2047" w14:paraId="79C1B31D" w14:textId="77777777">
            <w:pPr>
              <w:spacing w:after="0" w:line="240" w:lineRule="auto"/>
              <w:jc w:val="right"/>
              <w:rPr>
                <w:rFonts w:ascii="Times New Roman" w:eastAsia="Times New Roman" w:hAnsi="Times New Roman"/>
                <w:color w:val="000000"/>
                <w:sz w:val="20"/>
                <w:szCs w:val="20"/>
              </w:rPr>
            </w:pPr>
          </w:p>
          <w:p w:rsidR="004A2047" w:rsidRPr="00DA7BE8" w:rsidP="004A2047" w14:paraId="4BD85B2E" w14:textId="1480676F">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+42</w:t>
            </w:r>
          </w:p>
        </w:tc>
      </w:tr>
      <w:tr w14:paraId="051E2F71" w14:textId="77777777" w:rsidTr="00DA7BE8">
        <w:tblPrEx>
          <w:tblW w:w="9530" w:type="dxa"/>
          <w:tblInd w:w="10" w:type="dxa"/>
          <w:tblLayout w:type="fixed"/>
          <w:tblLook w:val="04A0"/>
        </w:tblPrEx>
        <w:trPr>
          <w:trHeight w:val="288"/>
        </w:trPr>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4A2047" w:rsidRPr="00DA7BE8" w:rsidP="004A2047" w14:paraId="1F55D1B6" w14:textId="4BE654D6">
            <w:pPr>
              <w:spacing w:after="0" w:line="240" w:lineRule="auto"/>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Annual Time Burden (Hr.)</w:t>
            </w:r>
          </w:p>
        </w:tc>
        <w:tc>
          <w:tcPr>
            <w:tcW w:w="1520" w:type="dxa"/>
            <w:tcBorders>
              <w:top w:val="single" w:sz="4" w:space="0" w:color="auto"/>
              <w:left w:val="nil"/>
              <w:bottom w:val="single" w:sz="4" w:space="0" w:color="auto"/>
              <w:right w:val="single" w:sz="4" w:space="0" w:color="auto"/>
            </w:tcBorders>
            <w:shd w:val="clear" w:color="auto" w:fill="auto"/>
            <w:vAlign w:val="bottom"/>
          </w:tcPr>
          <w:p w:rsidR="004A2047" w:rsidRPr="00DA7BE8" w:rsidP="004A2047" w14:paraId="3A5AF5F4" w14:textId="265AC6C3">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3,</w:t>
            </w:r>
            <w:r w:rsidR="00B77D36">
              <w:rPr>
                <w:rFonts w:ascii="Times New Roman" w:eastAsia="Times New Roman" w:hAnsi="Times New Roman"/>
                <w:color w:val="000000"/>
                <w:sz w:val="20"/>
                <w:szCs w:val="20"/>
              </w:rPr>
              <w:t>431</w:t>
            </w:r>
          </w:p>
        </w:tc>
        <w:tc>
          <w:tcPr>
            <w:tcW w:w="1530" w:type="dxa"/>
            <w:tcBorders>
              <w:top w:val="single" w:sz="4" w:space="0" w:color="auto"/>
              <w:left w:val="nil"/>
              <w:bottom w:val="single" w:sz="4" w:space="0" w:color="auto"/>
              <w:right w:val="single" w:sz="4" w:space="0" w:color="auto"/>
            </w:tcBorders>
            <w:shd w:val="clear" w:color="auto" w:fill="auto"/>
            <w:vAlign w:val="bottom"/>
          </w:tcPr>
          <w:p w:rsidR="004A2047" w:rsidRPr="00DA7BE8" w:rsidP="004A2047" w14:paraId="4E9A6C61" w14:textId="2577AA6A">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3,</w:t>
            </w:r>
            <w:r w:rsidR="00E45220">
              <w:rPr>
                <w:rFonts w:ascii="Times New Roman" w:eastAsia="Times New Roman" w:hAnsi="Times New Roman"/>
                <w:color w:val="000000"/>
                <w:sz w:val="20"/>
                <w:szCs w:val="20"/>
              </w:rPr>
              <w:t>150</w:t>
            </w:r>
          </w:p>
        </w:tc>
        <w:tc>
          <w:tcPr>
            <w:tcW w:w="1620" w:type="dxa"/>
            <w:tcBorders>
              <w:top w:val="single" w:sz="4" w:space="0" w:color="auto"/>
              <w:left w:val="nil"/>
              <w:bottom w:val="single" w:sz="4" w:space="0" w:color="auto"/>
              <w:right w:val="single" w:sz="4" w:space="0" w:color="auto"/>
            </w:tcBorders>
            <w:shd w:val="clear" w:color="auto" w:fill="auto"/>
            <w:vAlign w:val="bottom"/>
          </w:tcPr>
          <w:p w:rsidR="004A2047" w:rsidRPr="00DA7BE8" w:rsidP="004A2047" w14:paraId="153C9DCE" w14:textId="69E39030">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0</w:t>
            </w:r>
          </w:p>
        </w:tc>
        <w:tc>
          <w:tcPr>
            <w:tcW w:w="2610" w:type="dxa"/>
            <w:tcBorders>
              <w:top w:val="single" w:sz="4" w:space="0" w:color="auto"/>
              <w:left w:val="nil"/>
              <w:bottom w:val="single" w:sz="4" w:space="0" w:color="auto"/>
              <w:right w:val="single" w:sz="4" w:space="0" w:color="auto"/>
            </w:tcBorders>
            <w:shd w:val="clear" w:color="auto" w:fill="auto"/>
            <w:vAlign w:val="bottom"/>
          </w:tcPr>
          <w:p w:rsidR="004A2047" w:rsidRPr="00DA7BE8" w:rsidP="004A2047" w14:paraId="517EB623" w14:textId="09E79B8A">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w:t>
            </w:r>
            <w:r w:rsidR="00B77D36">
              <w:rPr>
                <w:rFonts w:ascii="Times New Roman" w:eastAsia="Times New Roman" w:hAnsi="Times New Roman"/>
                <w:color w:val="000000"/>
                <w:sz w:val="20"/>
                <w:szCs w:val="20"/>
              </w:rPr>
              <w:t>281</w:t>
            </w:r>
          </w:p>
        </w:tc>
      </w:tr>
      <w:tr w14:paraId="1385DF27" w14:textId="77777777" w:rsidTr="00DA7BE8">
        <w:tblPrEx>
          <w:tblW w:w="9530" w:type="dxa"/>
          <w:tblInd w:w="10" w:type="dxa"/>
          <w:tblLayout w:type="fixed"/>
          <w:tblLook w:val="04A0"/>
        </w:tblPrEx>
        <w:trPr>
          <w:trHeight w:val="288"/>
        </w:trPr>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E80FDC" w:rsidRPr="00DA7BE8" w:rsidP="00E80FDC" w14:paraId="56C34A93" w14:textId="3B8FB093">
            <w:pPr>
              <w:spacing w:after="0" w:line="240" w:lineRule="auto"/>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Annual Cost Burden ($)</w:t>
            </w:r>
          </w:p>
        </w:tc>
        <w:tc>
          <w:tcPr>
            <w:tcW w:w="1520" w:type="dxa"/>
            <w:tcBorders>
              <w:top w:val="single" w:sz="4" w:space="0" w:color="auto"/>
              <w:left w:val="nil"/>
              <w:bottom w:val="single" w:sz="4" w:space="0" w:color="auto"/>
              <w:right w:val="single" w:sz="4" w:space="0" w:color="auto"/>
            </w:tcBorders>
            <w:shd w:val="clear" w:color="auto" w:fill="auto"/>
            <w:vAlign w:val="bottom"/>
          </w:tcPr>
          <w:p w:rsidR="00E80FDC" w:rsidRPr="00DA7BE8" w:rsidP="00E80FDC" w14:paraId="1D10C232" w14:textId="0B5C7D70">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w:t>
            </w:r>
            <w:r w:rsidRPr="00DA7BE8" w:rsidR="002460B9">
              <w:rPr>
                <w:rFonts w:ascii="Times New Roman" w:eastAsia="Times New Roman" w:hAnsi="Times New Roman"/>
                <w:color w:val="000000"/>
                <w:sz w:val="20"/>
                <w:szCs w:val="20"/>
              </w:rPr>
              <w:t>49,148</w:t>
            </w:r>
            <w:r>
              <w:rPr>
                <w:rStyle w:val="FootnoteReference"/>
                <w:rFonts w:ascii="Times New Roman" w:hAnsi="Times New Roman"/>
                <w:sz w:val="20"/>
                <w:szCs w:val="20"/>
                <w:vertAlign w:val="superscript"/>
              </w:rPr>
              <w:footnoteReference w:id="21"/>
            </w:r>
          </w:p>
        </w:tc>
        <w:tc>
          <w:tcPr>
            <w:tcW w:w="1530" w:type="dxa"/>
            <w:tcBorders>
              <w:top w:val="single" w:sz="4" w:space="0" w:color="auto"/>
              <w:left w:val="nil"/>
              <w:bottom w:val="single" w:sz="4" w:space="0" w:color="auto"/>
              <w:right w:val="single" w:sz="4" w:space="0" w:color="auto"/>
            </w:tcBorders>
            <w:shd w:val="clear" w:color="auto" w:fill="auto"/>
            <w:vAlign w:val="bottom"/>
          </w:tcPr>
          <w:p w:rsidR="00E80FDC" w:rsidRPr="00DA7BE8" w:rsidP="00E80FDC" w14:paraId="26F6B502" w14:textId="7644EFE0">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w:t>
            </w:r>
            <w:r w:rsidRPr="00DA7BE8" w:rsidR="002460B9">
              <w:rPr>
                <w:rFonts w:ascii="Times New Roman" w:eastAsia="Times New Roman" w:hAnsi="Times New Roman"/>
                <w:color w:val="000000"/>
                <w:sz w:val="20"/>
                <w:szCs w:val="20"/>
              </w:rPr>
              <w:t>49,148</w:t>
            </w:r>
          </w:p>
        </w:tc>
        <w:tc>
          <w:tcPr>
            <w:tcW w:w="1620" w:type="dxa"/>
            <w:tcBorders>
              <w:top w:val="single" w:sz="4" w:space="0" w:color="auto"/>
              <w:left w:val="nil"/>
              <w:bottom w:val="single" w:sz="4" w:space="0" w:color="auto"/>
              <w:right w:val="single" w:sz="4" w:space="0" w:color="auto"/>
            </w:tcBorders>
            <w:shd w:val="clear" w:color="auto" w:fill="auto"/>
            <w:vAlign w:val="bottom"/>
          </w:tcPr>
          <w:p w:rsidR="00E80FDC" w:rsidRPr="00DA7BE8" w:rsidP="00E80FDC" w14:paraId="618AD415" w14:textId="0D43513A">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$0</w:t>
            </w:r>
          </w:p>
        </w:tc>
        <w:tc>
          <w:tcPr>
            <w:tcW w:w="2610" w:type="dxa"/>
            <w:tcBorders>
              <w:top w:val="single" w:sz="4" w:space="0" w:color="auto"/>
              <w:left w:val="nil"/>
              <w:bottom w:val="single" w:sz="4" w:space="0" w:color="auto"/>
              <w:right w:val="single" w:sz="4" w:space="0" w:color="auto"/>
            </w:tcBorders>
            <w:shd w:val="clear" w:color="auto" w:fill="auto"/>
            <w:vAlign w:val="bottom"/>
          </w:tcPr>
          <w:p w:rsidR="00E80FDC" w:rsidRPr="00DA7BE8" w:rsidP="00E80FDC" w14:paraId="25F718F9" w14:textId="332603A5">
            <w:pPr>
              <w:spacing w:after="0" w:line="240" w:lineRule="auto"/>
              <w:jc w:val="right"/>
              <w:rPr>
                <w:rFonts w:ascii="Times New Roman" w:eastAsia="Times New Roman" w:hAnsi="Times New Roman"/>
                <w:color w:val="000000"/>
                <w:sz w:val="20"/>
                <w:szCs w:val="20"/>
              </w:rPr>
            </w:pPr>
            <w:r w:rsidRPr="00DA7BE8">
              <w:rPr>
                <w:rFonts w:ascii="Times New Roman" w:eastAsia="Times New Roman" w:hAnsi="Times New Roman"/>
                <w:color w:val="000000"/>
                <w:sz w:val="20"/>
                <w:szCs w:val="20"/>
              </w:rPr>
              <w:t>$</w:t>
            </w:r>
            <w:r w:rsidRPr="00DA7BE8" w:rsidR="00DF703E">
              <w:rPr>
                <w:rFonts w:ascii="Times New Roman" w:eastAsia="Times New Roman" w:hAnsi="Times New Roman"/>
                <w:color w:val="000000"/>
                <w:sz w:val="20"/>
                <w:szCs w:val="20"/>
              </w:rPr>
              <w:t>0</w:t>
            </w:r>
          </w:p>
        </w:tc>
      </w:tr>
    </w:tbl>
    <w:p w:rsidR="005C65C3" w:rsidRPr="0073506C" w:rsidP="003A3343" w14:paraId="7B4EABF9" w14:textId="77777777">
      <w:pPr>
        <w:spacing w:after="0" w:line="259" w:lineRule="auto"/>
        <w:rPr>
          <w:rFonts w:ascii="Times New Roman" w:hAnsi="Times New Roman"/>
          <w:bCs/>
          <w:sz w:val="26"/>
          <w:szCs w:val="26"/>
        </w:rPr>
      </w:pPr>
    </w:p>
    <w:bookmarkEnd w:id="2"/>
    <w:p w:rsidR="00F0627E" w:rsidRPr="0073506C" w:rsidP="00BD0F89" w14:paraId="115E3405" w14:textId="77777777">
      <w:pPr>
        <w:spacing w:after="0" w:line="240" w:lineRule="auto"/>
        <w:rPr>
          <w:rFonts w:ascii="Times New Roman" w:hAnsi="Times New Roman"/>
          <w:b/>
          <w:sz w:val="26"/>
          <w:szCs w:val="26"/>
        </w:rPr>
      </w:pPr>
      <w:r w:rsidRPr="0073506C">
        <w:rPr>
          <w:rFonts w:ascii="Times New Roman" w:hAnsi="Times New Roman"/>
          <w:b/>
          <w:sz w:val="26"/>
          <w:szCs w:val="26"/>
        </w:rPr>
        <w:t>16. TIME SCHEDULE FOR PUBLICATION OF DATA</w:t>
      </w:r>
    </w:p>
    <w:p w:rsidR="00F0627E" w:rsidRPr="0073506C" w:rsidP="00BD0F89" w14:paraId="65FE4B4D" w14:textId="77777777">
      <w:pPr>
        <w:spacing w:after="0" w:line="240" w:lineRule="auto"/>
        <w:rPr>
          <w:rFonts w:ascii="Times New Roman" w:hAnsi="Times New Roman"/>
          <w:sz w:val="26"/>
          <w:szCs w:val="26"/>
        </w:rPr>
      </w:pPr>
    </w:p>
    <w:p w:rsidR="00105D44" w:rsidRPr="00105D44" w:rsidP="00DA7BE8" w14:paraId="0DC28BE9" w14:textId="09E753FF">
      <w:pPr>
        <w:spacing w:after="0"/>
        <w:rPr>
          <w:rFonts w:ascii="Times New Roman" w:eastAsia="Times New Roman" w:hAnsi="Times New Roman"/>
          <w:sz w:val="26"/>
          <w:szCs w:val="26"/>
        </w:rPr>
      </w:pPr>
      <w:r w:rsidRPr="00105D44">
        <w:rPr>
          <w:rFonts w:ascii="Times New Roman" w:eastAsia="Times New Roman" w:hAnsi="Times New Roman"/>
          <w:sz w:val="26"/>
          <w:szCs w:val="26"/>
        </w:rPr>
        <w:t xml:space="preserve">The information provided in FERC Form Nos. </w:t>
      </w:r>
      <w:r>
        <w:rPr>
          <w:rFonts w:ascii="Times New Roman" w:eastAsia="Times New Roman" w:hAnsi="Times New Roman"/>
          <w:sz w:val="26"/>
          <w:szCs w:val="26"/>
        </w:rPr>
        <w:t>1, 1-F</w:t>
      </w:r>
      <w:r w:rsidR="0089022F">
        <w:rPr>
          <w:rFonts w:ascii="Times New Roman" w:eastAsia="Times New Roman" w:hAnsi="Times New Roman"/>
          <w:sz w:val="26"/>
          <w:szCs w:val="26"/>
        </w:rPr>
        <w:t xml:space="preserve">, </w:t>
      </w:r>
      <w:r>
        <w:rPr>
          <w:rFonts w:ascii="Times New Roman" w:eastAsia="Times New Roman" w:hAnsi="Times New Roman"/>
          <w:sz w:val="26"/>
          <w:szCs w:val="26"/>
        </w:rPr>
        <w:t>3-Q</w:t>
      </w:r>
      <w:r w:rsidRPr="00105D44">
        <w:rPr>
          <w:rFonts w:ascii="Times New Roman" w:eastAsia="Times New Roman" w:hAnsi="Times New Roman"/>
          <w:sz w:val="26"/>
          <w:szCs w:val="26"/>
        </w:rPr>
        <w:t xml:space="preserve"> </w:t>
      </w:r>
      <w:r w:rsidR="0089022F">
        <w:rPr>
          <w:rFonts w:ascii="Times New Roman" w:eastAsia="Times New Roman" w:hAnsi="Times New Roman"/>
          <w:sz w:val="26"/>
          <w:szCs w:val="26"/>
        </w:rPr>
        <w:t>(electric), and 60</w:t>
      </w:r>
      <w:r w:rsidRPr="00105D44">
        <w:rPr>
          <w:rFonts w:ascii="Times New Roman" w:eastAsia="Times New Roman" w:hAnsi="Times New Roman"/>
          <w:sz w:val="26"/>
          <w:szCs w:val="26"/>
        </w:rPr>
        <w:t xml:space="preserve"> is available on the FERC website</w:t>
      </w:r>
      <w:r>
        <w:rPr>
          <w:rFonts w:ascii="Times New Roman" w:eastAsia="Times New Roman" w:hAnsi="Times New Roman"/>
          <w:sz w:val="26"/>
          <w:szCs w:val="26"/>
        </w:rPr>
        <w:t xml:space="preserve"> (</w:t>
      </w:r>
      <w:hyperlink r:id="rId9" w:history="1">
        <w:r w:rsidRPr="005B2FD6" w:rsidR="005B2FD6">
          <w:rPr>
            <w:rStyle w:val="Hyperlink"/>
            <w:rFonts w:ascii="Times New Roman" w:hAnsi="Times New Roman"/>
            <w:sz w:val="26"/>
            <w:szCs w:val="26"/>
          </w:rPr>
          <w:t>Electric Industry Forms | Federal Energy Regulatory Commission (ferc.gov)</w:t>
        </w:r>
      </w:hyperlink>
      <w:r>
        <w:rPr>
          <w:rFonts w:ascii="Times New Roman" w:eastAsia="Times New Roman" w:hAnsi="Times New Roman"/>
          <w:sz w:val="26"/>
          <w:szCs w:val="26"/>
        </w:rPr>
        <w:t xml:space="preserve"> and</w:t>
      </w:r>
      <w:r w:rsidRPr="00105D44">
        <w:t xml:space="preserve"> </w:t>
      </w:r>
      <w:hyperlink r:id="rId10" w:history="1">
        <w:r w:rsidRPr="00BE7305" w:rsidR="00BE7305">
          <w:rPr>
            <w:rStyle w:val="Hyperlink"/>
            <w:rFonts w:ascii="Times New Roman" w:hAnsi="Times New Roman"/>
            <w:sz w:val="26"/>
            <w:szCs w:val="26"/>
          </w:rPr>
          <w:t>Service Companies Filing Forms | Federal Energy Regulatory Commission (ferc.gov)</w:t>
        </w:r>
      </w:hyperlink>
      <w:r>
        <w:rPr>
          <w:rFonts w:ascii="Times New Roman" w:eastAsia="Times New Roman" w:hAnsi="Times New Roman"/>
          <w:sz w:val="26"/>
          <w:szCs w:val="26"/>
        </w:rPr>
        <w:t>).</w:t>
      </w:r>
      <w:r w:rsidRPr="00105D44">
        <w:rPr>
          <w:rFonts w:ascii="Times New Roman" w:eastAsia="Times New Roman" w:hAnsi="Times New Roman"/>
          <w:sz w:val="26"/>
          <w:szCs w:val="26"/>
        </w:rPr>
        <w:t xml:space="preserve"> </w:t>
      </w:r>
      <w:r w:rsidR="00222295">
        <w:t xml:space="preserve"> </w:t>
      </w:r>
      <w:r w:rsidRPr="00105D44">
        <w:rPr>
          <w:rFonts w:ascii="Times New Roman" w:eastAsia="Times New Roman" w:hAnsi="Times New Roman"/>
          <w:sz w:val="26"/>
          <w:szCs w:val="26"/>
        </w:rPr>
        <w:t xml:space="preserve">The data </w:t>
      </w:r>
      <w:r>
        <w:rPr>
          <w:rFonts w:ascii="Times New Roman" w:eastAsia="Times New Roman" w:hAnsi="Times New Roman"/>
          <w:sz w:val="26"/>
          <w:szCs w:val="26"/>
        </w:rPr>
        <w:t>is</w:t>
      </w:r>
      <w:r w:rsidRPr="00105D44">
        <w:rPr>
          <w:rFonts w:ascii="Times New Roman" w:eastAsia="Times New Roman" w:hAnsi="Times New Roman"/>
          <w:sz w:val="26"/>
          <w:szCs w:val="26"/>
        </w:rPr>
        <w:t xml:space="preserve"> collected for regulatory purposes and not for the purposes of a publication.</w:t>
      </w:r>
    </w:p>
    <w:p w:rsidR="00F20B97" w:rsidRPr="0073506C" w:rsidP="00BD0F89" w14:paraId="5CEC4741" w14:textId="5A426C3C">
      <w:pPr>
        <w:spacing w:after="0" w:line="240" w:lineRule="auto"/>
        <w:rPr>
          <w:rFonts w:ascii="Times New Roman" w:hAnsi="Times New Roman"/>
          <w:sz w:val="26"/>
          <w:szCs w:val="26"/>
        </w:rPr>
      </w:pPr>
      <w:r w:rsidRPr="0073506C">
        <w:rPr>
          <w:rFonts w:ascii="Times New Roman" w:hAnsi="Times New Roman"/>
          <w:sz w:val="26"/>
          <w:szCs w:val="26"/>
        </w:rPr>
        <w:t xml:space="preserve"> </w:t>
      </w:r>
    </w:p>
    <w:p w:rsidR="00F0627E" w:rsidRPr="0073506C" w:rsidP="00BD0F89" w14:paraId="6F76679F" w14:textId="77777777">
      <w:pPr>
        <w:spacing w:after="0" w:line="240" w:lineRule="auto"/>
        <w:rPr>
          <w:rFonts w:ascii="Times New Roman" w:hAnsi="Times New Roman"/>
          <w:b/>
          <w:sz w:val="26"/>
          <w:szCs w:val="26"/>
        </w:rPr>
      </w:pPr>
      <w:r w:rsidRPr="0073506C">
        <w:rPr>
          <w:rFonts w:ascii="Times New Roman" w:hAnsi="Times New Roman"/>
          <w:b/>
          <w:sz w:val="26"/>
          <w:szCs w:val="26"/>
        </w:rPr>
        <w:t>17. DISPLAY OF EXPIRATION DATE</w:t>
      </w:r>
    </w:p>
    <w:p w:rsidR="00F0627E" w:rsidRPr="0073506C" w:rsidP="00BD0F89" w14:paraId="2C7224E4" w14:textId="77777777">
      <w:pPr>
        <w:spacing w:after="0" w:line="240" w:lineRule="auto"/>
        <w:rPr>
          <w:rFonts w:ascii="Times New Roman" w:hAnsi="Times New Roman"/>
          <w:sz w:val="26"/>
          <w:szCs w:val="26"/>
        </w:rPr>
      </w:pPr>
    </w:p>
    <w:p w:rsidR="008F283D" w:rsidRPr="008F283D" w:rsidP="00DA7BE8" w14:paraId="2E0405B5" w14:textId="5704D27D">
      <w:pPr>
        <w:spacing w:after="0"/>
        <w:rPr>
          <w:rFonts w:ascii="Times New Roman" w:hAnsi="Times New Roman"/>
          <w:i/>
          <w:iCs/>
          <w:sz w:val="26"/>
          <w:szCs w:val="26"/>
        </w:rPr>
      </w:pPr>
      <w:r w:rsidRPr="00DB0BB8">
        <w:rPr>
          <w:rFonts w:ascii="Times New Roman" w:hAnsi="Times New Roman"/>
          <w:sz w:val="26"/>
          <w:szCs w:val="26"/>
        </w:rPr>
        <w:t xml:space="preserve">FERC Form Nos. </w:t>
      </w:r>
      <w:r w:rsidR="00B71238">
        <w:rPr>
          <w:rFonts w:ascii="Times New Roman" w:hAnsi="Times New Roman"/>
          <w:sz w:val="26"/>
          <w:szCs w:val="26"/>
        </w:rPr>
        <w:t>1, 1-F</w:t>
      </w:r>
      <w:r w:rsidR="00877952">
        <w:rPr>
          <w:rFonts w:ascii="Times New Roman" w:hAnsi="Times New Roman"/>
          <w:sz w:val="26"/>
          <w:szCs w:val="26"/>
        </w:rPr>
        <w:t xml:space="preserve">, </w:t>
      </w:r>
      <w:r w:rsidR="00B71238">
        <w:rPr>
          <w:rFonts w:ascii="Times New Roman" w:hAnsi="Times New Roman"/>
          <w:sz w:val="26"/>
          <w:szCs w:val="26"/>
        </w:rPr>
        <w:t>3</w:t>
      </w:r>
      <w:r w:rsidRPr="00DB0BB8">
        <w:rPr>
          <w:rFonts w:ascii="Times New Roman" w:hAnsi="Times New Roman"/>
          <w:sz w:val="26"/>
          <w:szCs w:val="26"/>
        </w:rPr>
        <w:t xml:space="preserve">-Q </w:t>
      </w:r>
      <w:r w:rsidR="00877952">
        <w:rPr>
          <w:rFonts w:ascii="Times New Roman" w:hAnsi="Times New Roman"/>
          <w:sz w:val="26"/>
          <w:szCs w:val="26"/>
        </w:rPr>
        <w:t xml:space="preserve">(electric), and 60 </w:t>
      </w:r>
      <w:r w:rsidRPr="00DB0BB8">
        <w:rPr>
          <w:rFonts w:ascii="Times New Roman" w:hAnsi="Times New Roman"/>
          <w:sz w:val="26"/>
          <w:szCs w:val="26"/>
        </w:rPr>
        <w:t xml:space="preserve">display the OMB control numbers and the expiration dates.  </w:t>
      </w:r>
      <w:r w:rsidR="006415A9">
        <w:rPr>
          <w:rFonts w:ascii="Times New Roman" w:hAnsi="Times New Roman"/>
          <w:sz w:val="26"/>
          <w:szCs w:val="26"/>
        </w:rPr>
        <w:t>The Commission</w:t>
      </w:r>
      <w:r w:rsidRPr="008F283D" w:rsidR="006415A9">
        <w:rPr>
          <w:rFonts w:ascii="Times New Roman" w:hAnsi="Times New Roman"/>
          <w:sz w:val="26"/>
          <w:szCs w:val="26"/>
        </w:rPr>
        <w:t xml:space="preserve"> </w:t>
      </w:r>
      <w:r w:rsidRPr="008F283D">
        <w:rPr>
          <w:rFonts w:ascii="Times New Roman" w:hAnsi="Times New Roman"/>
          <w:sz w:val="26"/>
          <w:szCs w:val="26"/>
        </w:rPr>
        <w:t xml:space="preserve">provides the OMB Control Numbers of the information collections along with their expiration dates at </w:t>
      </w:r>
      <w:hyperlink r:id="rId11" w:tgtFrame="_blank" w:history="1">
        <w:r w:rsidRPr="008F283D">
          <w:rPr>
            <w:rStyle w:val="Hyperlink"/>
            <w:rFonts w:ascii="Times New Roman" w:hAnsi="Times New Roman"/>
            <w:sz w:val="26"/>
            <w:szCs w:val="26"/>
          </w:rPr>
          <w:t xml:space="preserve">www.ferc.gov/information-collections. </w:t>
        </w:r>
      </w:hyperlink>
    </w:p>
    <w:p w:rsidR="00027DC9" w:rsidRPr="0073506C" w:rsidP="00BD0F89" w14:paraId="799845B9" w14:textId="77777777">
      <w:pPr>
        <w:spacing w:after="0" w:line="240" w:lineRule="auto"/>
        <w:rPr>
          <w:rFonts w:ascii="Times New Roman" w:hAnsi="Times New Roman"/>
          <w:sz w:val="26"/>
          <w:szCs w:val="26"/>
        </w:rPr>
      </w:pPr>
    </w:p>
    <w:p w:rsidR="00F0627E" w:rsidRPr="0073506C" w:rsidP="00BD0F89" w14:paraId="61B7D1C0" w14:textId="77777777">
      <w:pPr>
        <w:spacing w:after="0" w:line="240" w:lineRule="auto"/>
        <w:rPr>
          <w:rFonts w:ascii="Times New Roman" w:hAnsi="Times New Roman"/>
          <w:b/>
          <w:sz w:val="26"/>
          <w:szCs w:val="26"/>
        </w:rPr>
      </w:pPr>
      <w:r w:rsidRPr="0073506C">
        <w:rPr>
          <w:rFonts w:ascii="Times New Roman" w:hAnsi="Times New Roman"/>
          <w:b/>
          <w:sz w:val="26"/>
          <w:szCs w:val="26"/>
        </w:rPr>
        <w:t>18.  EXCEPTIONS TO THE CERTIFICATION STATEMENT</w:t>
      </w:r>
    </w:p>
    <w:p w:rsidR="001D289D" w:rsidRPr="0073506C" w:rsidP="00BD0F89" w14:paraId="63F6A337" w14:textId="77777777">
      <w:pPr>
        <w:spacing w:after="0" w:line="240" w:lineRule="auto"/>
        <w:rPr>
          <w:rFonts w:ascii="Times New Roman" w:hAnsi="Times New Roman"/>
          <w:b/>
          <w:sz w:val="26"/>
          <w:szCs w:val="26"/>
        </w:rPr>
      </w:pPr>
    </w:p>
    <w:p w:rsidR="00F0627E" w:rsidRPr="0073506C" w14:paraId="07E0677A" w14:textId="77777777">
      <w:pPr>
        <w:spacing w:after="160" w:line="240" w:lineRule="auto"/>
        <w:rPr>
          <w:rFonts w:ascii="Times New Roman" w:hAnsi="Times New Roman"/>
          <w:sz w:val="26"/>
          <w:szCs w:val="26"/>
        </w:rPr>
      </w:pPr>
      <w:r w:rsidRPr="0073506C">
        <w:rPr>
          <w:rFonts w:ascii="Times New Roman" w:hAnsi="Times New Roman"/>
          <w:sz w:val="26"/>
          <w:szCs w:val="26"/>
        </w:rPr>
        <w:t>There are no exception</w:t>
      </w:r>
      <w:r w:rsidRPr="0073506C" w:rsidR="000836EF">
        <w:rPr>
          <w:rFonts w:ascii="Times New Roman" w:hAnsi="Times New Roman"/>
          <w:sz w:val="26"/>
          <w:szCs w:val="26"/>
        </w:rPr>
        <w:t>s</w:t>
      </w:r>
      <w:r w:rsidRPr="0073506C">
        <w:rPr>
          <w:rFonts w:ascii="Times New Roman" w:hAnsi="Times New Roman"/>
          <w:sz w:val="26"/>
          <w:szCs w:val="26"/>
        </w:rPr>
        <w:t xml:space="preserve">. </w:t>
      </w: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37812702"/>
      <w:docPartObj>
        <w:docPartGallery w:val="Page Numbers (Bottom of Page)"/>
        <w:docPartUnique/>
      </w:docPartObj>
    </w:sdtPr>
    <w:sdtEndPr>
      <w:rPr>
        <w:noProof/>
      </w:rPr>
    </w:sdtEndPr>
    <w:sdtContent>
      <w:p w:rsidR="008E3C4F" w14:paraId="694AABE9" w14:textId="21257982">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color w:val="2B579A"/>
            <w:shd w:val="clear" w:color="auto" w:fill="E6E6E6"/>
          </w:rPr>
          <w:fldChar w:fldCharType="end"/>
        </w:r>
      </w:p>
    </w:sdtContent>
  </w:sdt>
  <w:p w:rsidR="008E3C4F" w14:paraId="70B209D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55715" w:rsidP="009C7F55" w14:paraId="01DAC05B" w14:textId="77777777">
      <w:pPr>
        <w:spacing w:after="0" w:line="240" w:lineRule="auto"/>
      </w:pPr>
      <w:r>
        <w:separator/>
      </w:r>
    </w:p>
  </w:footnote>
  <w:footnote w:type="continuationSeparator" w:id="1">
    <w:p w:rsidR="00D55715" w:rsidP="009C7F55" w14:paraId="0E28B7C7" w14:textId="77777777">
      <w:pPr>
        <w:spacing w:after="0" w:line="240" w:lineRule="auto"/>
      </w:pPr>
      <w:r>
        <w:continuationSeparator/>
      </w:r>
    </w:p>
  </w:footnote>
  <w:footnote w:type="continuationNotice" w:id="2">
    <w:p w:rsidR="00D55715" w14:paraId="01F9D9E3" w14:textId="77777777">
      <w:pPr>
        <w:spacing w:after="0" w:line="240" w:lineRule="auto"/>
      </w:pPr>
    </w:p>
  </w:footnote>
  <w:footnote w:id="3">
    <w:p w:rsidR="008E3C4F" w:rsidRPr="0073506C" w:rsidP="00177716" w14:paraId="047688BA" w14:textId="3513C42D">
      <w:pPr>
        <w:pStyle w:val="FootnoteText"/>
        <w:ind w:firstLine="720"/>
        <w:rPr>
          <w:sz w:val="26"/>
          <w:szCs w:val="26"/>
        </w:rPr>
      </w:pPr>
      <w:r w:rsidRPr="0073506C">
        <w:rPr>
          <w:rStyle w:val="FootnoteReference"/>
          <w:sz w:val="26"/>
          <w:szCs w:val="26"/>
          <w:vertAlign w:val="superscript"/>
        </w:rPr>
        <w:footnoteRef/>
      </w:r>
      <w:r w:rsidRPr="0073506C">
        <w:rPr>
          <w:sz w:val="26"/>
          <w:szCs w:val="26"/>
          <w:vertAlign w:val="superscript"/>
        </w:rPr>
        <w:t xml:space="preserve"> </w:t>
      </w:r>
      <w:bookmarkStart w:id="0" w:name="_Hlk97887077"/>
      <w:r>
        <w:rPr>
          <w:sz w:val="26"/>
          <w:szCs w:val="26"/>
        </w:rPr>
        <w:t>For purposes of this</w:t>
      </w:r>
      <w:r w:rsidR="00C90390">
        <w:rPr>
          <w:sz w:val="26"/>
          <w:szCs w:val="26"/>
        </w:rPr>
        <w:t xml:space="preserve"> consolidated</w:t>
      </w:r>
      <w:r>
        <w:rPr>
          <w:sz w:val="26"/>
          <w:szCs w:val="26"/>
        </w:rPr>
        <w:t xml:space="preserve"> </w:t>
      </w:r>
      <w:bookmarkEnd w:id="0"/>
      <w:r w:rsidR="00C90390">
        <w:rPr>
          <w:sz w:val="26"/>
          <w:szCs w:val="26"/>
        </w:rPr>
        <w:t>notice, Form No. 60 is included as it will be impacted by RM21-11-000.  However, Form Nos. 555A and Form 61 are not impacted by the rulemaking, but will remain in the existing collection</w:t>
      </w:r>
      <w:r w:rsidR="00833FDA">
        <w:rPr>
          <w:sz w:val="26"/>
          <w:szCs w:val="26"/>
        </w:rPr>
        <w:t xml:space="preserve"> under OMB Control No. 1902-0215</w:t>
      </w:r>
      <w:r w:rsidR="00C90390">
        <w:rPr>
          <w:sz w:val="26"/>
          <w:szCs w:val="26"/>
        </w:rPr>
        <w:t xml:space="preserve"> in the future. </w:t>
      </w:r>
    </w:p>
  </w:footnote>
  <w:footnote w:id="4">
    <w:p w:rsidR="003C070E" w:rsidRPr="00DA7BE8" w:rsidP="00177716" w14:paraId="4980B939" w14:textId="38044EF4">
      <w:pPr>
        <w:pStyle w:val="FootnoteText"/>
        <w:ind w:firstLine="720"/>
        <w:rPr>
          <w:sz w:val="26"/>
          <w:szCs w:val="26"/>
        </w:rPr>
      </w:pPr>
      <w:r w:rsidRPr="00177716">
        <w:rPr>
          <w:rStyle w:val="FootnoteReference"/>
          <w:sz w:val="26"/>
          <w:szCs w:val="26"/>
          <w:vertAlign w:val="superscript"/>
        </w:rPr>
        <w:footnoteRef/>
      </w:r>
      <w:r w:rsidRPr="00177716">
        <w:rPr>
          <w:rStyle w:val="FootnoteReference"/>
          <w:sz w:val="26"/>
          <w:szCs w:val="26"/>
          <w:vertAlign w:val="superscript"/>
        </w:rPr>
        <w:t xml:space="preserve"> </w:t>
      </w:r>
      <w:r w:rsidRPr="00177716">
        <w:rPr>
          <w:sz w:val="26"/>
          <w:szCs w:val="26"/>
        </w:rPr>
        <w:t xml:space="preserve">18 </w:t>
      </w:r>
      <w:r w:rsidR="003B3352">
        <w:rPr>
          <w:sz w:val="26"/>
          <w:szCs w:val="26"/>
        </w:rPr>
        <w:t>C.F.R. pt.</w:t>
      </w:r>
      <w:r w:rsidRPr="00177716" w:rsidR="003B3352">
        <w:rPr>
          <w:sz w:val="26"/>
          <w:szCs w:val="26"/>
        </w:rPr>
        <w:t xml:space="preserve"> </w:t>
      </w:r>
      <w:r w:rsidRPr="00177716">
        <w:rPr>
          <w:sz w:val="26"/>
          <w:szCs w:val="26"/>
        </w:rPr>
        <w:t>101</w:t>
      </w:r>
      <w:r w:rsidR="00BE04D4">
        <w:rPr>
          <w:sz w:val="26"/>
          <w:szCs w:val="26"/>
        </w:rPr>
        <w:t xml:space="preserve"> (2022)</w:t>
      </w:r>
      <w:r w:rsidRPr="00DA7BE8" w:rsidR="003B3352">
        <w:rPr>
          <w:sz w:val="26"/>
          <w:szCs w:val="26"/>
        </w:rPr>
        <w:t>.</w:t>
      </w:r>
    </w:p>
  </w:footnote>
  <w:footnote w:id="5">
    <w:p w:rsidR="007F7B05" w:rsidRPr="007E6A42" w:rsidP="004F08F7" w14:paraId="219C64B9" w14:textId="5B908CD8">
      <w:pPr>
        <w:pStyle w:val="FootnoteText"/>
        <w:ind w:firstLine="720"/>
        <w:rPr>
          <w:sz w:val="26"/>
          <w:szCs w:val="26"/>
        </w:rPr>
      </w:pPr>
      <w:r w:rsidRPr="004F08F7">
        <w:rPr>
          <w:rStyle w:val="FootnoteReference"/>
          <w:sz w:val="26"/>
          <w:vertAlign w:val="superscript"/>
        </w:rPr>
        <w:footnoteRef/>
      </w:r>
      <w:r w:rsidRPr="00A210C0" w:rsidR="7FE09CA1">
        <w:rPr>
          <w:sz w:val="26"/>
          <w:szCs w:val="26"/>
        </w:rPr>
        <w:t xml:space="preserve"> </w:t>
      </w:r>
      <w:r w:rsidRPr="00A210C0" w:rsidR="7FE09CA1">
        <w:rPr>
          <w:i/>
          <w:iCs/>
          <w:sz w:val="26"/>
          <w:szCs w:val="26"/>
        </w:rPr>
        <w:t>See</w:t>
      </w:r>
      <w:r w:rsidRPr="00A210C0" w:rsidR="7FE09CA1">
        <w:rPr>
          <w:sz w:val="26"/>
          <w:szCs w:val="26"/>
        </w:rPr>
        <w:t xml:space="preserve"> Energy Policy Act of 2005, Pub.</w:t>
      </w:r>
      <w:r w:rsidR="00AC2B90">
        <w:rPr>
          <w:sz w:val="26"/>
          <w:szCs w:val="26"/>
        </w:rPr>
        <w:t xml:space="preserve"> </w:t>
      </w:r>
      <w:r w:rsidRPr="00A210C0" w:rsidR="7FE09CA1">
        <w:rPr>
          <w:sz w:val="26"/>
          <w:szCs w:val="26"/>
        </w:rPr>
        <w:t>L.</w:t>
      </w:r>
      <w:r w:rsidR="00AC2B90">
        <w:rPr>
          <w:sz w:val="26"/>
          <w:szCs w:val="26"/>
        </w:rPr>
        <w:t xml:space="preserve"> </w:t>
      </w:r>
      <w:r w:rsidRPr="00A210C0" w:rsidR="7FE09CA1">
        <w:rPr>
          <w:sz w:val="26"/>
          <w:szCs w:val="26"/>
        </w:rPr>
        <w:t>No. 109-58, Title XII, §§ 1263 through 1274 (August 8, 2005), 119 Stat. 974 through 977.  PUHCA 2005 is codified at 42 U.S.C. 1645</w:t>
      </w:r>
      <w:r w:rsidRPr="7FE09CA1" w:rsidR="7FE09CA1">
        <w:rPr>
          <w:sz w:val="26"/>
          <w:szCs w:val="26"/>
        </w:rPr>
        <w:t>2</w:t>
      </w:r>
      <w:r w:rsidRPr="007E6A42" w:rsidR="7FE09CA1">
        <w:rPr>
          <w:sz w:val="26"/>
          <w:szCs w:val="26"/>
        </w:rPr>
        <w:t xml:space="preserve"> through 16463.</w:t>
      </w:r>
    </w:p>
  </w:footnote>
  <w:footnote w:id="6">
    <w:p w:rsidR="008E3C4F" w:rsidRPr="0073506C" w:rsidP="005D2688" w14:paraId="78F70F6B" w14:textId="2EB07A74">
      <w:pPr>
        <w:pStyle w:val="FootnoteText"/>
        <w:ind w:firstLine="720"/>
        <w:rPr>
          <w:sz w:val="26"/>
          <w:szCs w:val="26"/>
        </w:rPr>
      </w:pPr>
      <w:r w:rsidRPr="0073506C">
        <w:rPr>
          <w:sz w:val="26"/>
          <w:szCs w:val="26"/>
          <w:vertAlign w:val="superscript"/>
        </w:rPr>
        <w:footnoteRef/>
      </w:r>
      <w:r w:rsidRPr="0073506C">
        <w:rPr>
          <w:sz w:val="26"/>
          <w:szCs w:val="26"/>
          <w:vertAlign w:val="superscript"/>
        </w:rPr>
        <w:t xml:space="preserve"> </w:t>
      </w:r>
      <w:r w:rsidRPr="0073506C">
        <w:rPr>
          <w:sz w:val="26"/>
          <w:szCs w:val="26"/>
        </w:rPr>
        <w:t>18 C</w:t>
      </w:r>
      <w:r>
        <w:rPr>
          <w:sz w:val="26"/>
          <w:szCs w:val="26"/>
        </w:rPr>
        <w:t>.</w:t>
      </w:r>
      <w:r w:rsidRPr="0073506C">
        <w:rPr>
          <w:sz w:val="26"/>
          <w:szCs w:val="26"/>
        </w:rPr>
        <w:t>F</w:t>
      </w:r>
      <w:r>
        <w:rPr>
          <w:sz w:val="26"/>
          <w:szCs w:val="26"/>
        </w:rPr>
        <w:t>.</w:t>
      </w:r>
      <w:r w:rsidRPr="0073506C">
        <w:rPr>
          <w:sz w:val="26"/>
          <w:szCs w:val="26"/>
        </w:rPr>
        <w:t>R</w:t>
      </w:r>
      <w:r>
        <w:rPr>
          <w:sz w:val="26"/>
          <w:szCs w:val="26"/>
        </w:rPr>
        <w:t>.</w:t>
      </w:r>
      <w:r w:rsidRPr="0073506C">
        <w:rPr>
          <w:sz w:val="26"/>
          <w:szCs w:val="26"/>
        </w:rPr>
        <w:t xml:space="preserve"> § 141.1.  Nonoperating entities formerly designated as Major and new entities that expect to be in the Major category should file as detailed in 18 C</w:t>
      </w:r>
      <w:r>
        <w:rPr>
          <w:sz w:val="26"/>
          <w:szCs w:val="26"/>
        </w:rPr>
        <w:t>.</w:t>
      </w:r>
      <w:r w:rsidRPr="0073506C">
        <w:rPr>
          <w:sz w:val="26"/>
          <w:szCs w:val="26"/>
        </w:rPr>
        <w:t>F</w:t>
      </w:r>
      <w:r>
        <w:rPr>
          <w:sz w:val="26"/>
          <w:szCs w:val="26"/>
        </w:rPr>
        <w:t>.</w:t>
      </w:r>
      <w:r w:rsidRPr="0073506C">
        <w:rPr>
          <w:sz w:val="26"/>
          <w:szCs w:val="26"/>
        </w:rPr>
        <w:t>R</w:t>
      </w:r>
      <w:r>
        <w:rPr>
          <w:sz w:val="26"/>
          <w:szCs w:val="26"/>
        </w:rPr>
        <w:t>.</w:t>
      </w:r>
      <w:r w:rsidRPr="0073506C">
        <w:rPr>
          <w:sz w:val="26"/>
          <w:szCs w:val="26"/>
        </w:rPr>
        <w:t xml:space="preserve"> § 101, General Instructions (1)(A)(3).</w:t>
      </w:r>
    </w:p>
  </w:footnote>
  <w:footnote w:id="7">
    <w:p w:rsidR="008E3C4F" w:rsidRPr="0073506C" w:rsidP="005D2688" w14:paraId="63F0FD0F" w14:textId="43566FF0">
      <w:pPr>
        <w:pStyle w:val="FootnoteText"/>
        <w:ind w:firstLine="720"/>
        <w:rPr>
          <w:sz w:val="26"/>
          <w:szCs w:val="26"/>
        </w:rPr>
      </w:pPr>
      <w:r w:rsidRPr="0073506C">
        <w:rPr>
          <w:sz w:val="26"/>
          <w:szCs w:val="26"/>
          <w:vertAlign w:val="superscript"/>
        </w:rPr>
        <w:footnoteRef/>
      </w:r>
      <w:r w:rsidRPr="0073506C">
        <w:rPr>
          <w:sz w:val="26"/>
          <w:szCs w:val="26"/>
          <w:vertAlign w:val="superscript"/>
        </w:rPr>
        <w:t xml:space="preserve"> </w:t>
      </w:r>
      <w:r w:rsidRPr="0073506C">
        <w:rPr>
          <w:sz w:val="26"/>
          <w:szCs w:val="26"/>
        </w:rPr>
        <w:t>18 C</w:t>
      </w:r>
      <w:r>
        <w:rPr>
          <w:sz w:val="26"/>
          <w:szCs w:val="26"/>
        </w:rPr>
        <w:t>.</w:t>
      </w:r>
      <w:r w:rsidRPr="0073506C">
        <w:rPr>
          <w:sz w:val="26"/>
          <w:szCs w:val="26"/>
        </w:rPr>
        <w:t>F</w:t>
      </w:r>
      <w:r>
        <w:rPr>
          <w:sz w:val="26"/>
          <w:szCs w:val="26"/>
        </w:rPr>
        <w:t>.</w:t>
      </w:r>
      <w:r w:rsidRPr="0073506C">
        <w:rPr>
          <w:sz w:val="26"/>
          <w:szCs w:val="26"/>
        </w:rPr>
        <w:t>R</w:t>
      </w:r>
      <w:r>
        <w:rPr>
          <w:sz w:val="26"/>
          <w:szCs w:val="26"/>
        </w:rPr>
        <w:t>.</w:t>
      </w:r>
      <w:r w:rsidRPr="0073506C">
        <w:rPr>
          <w:sz w:val="26"/>
          <w:szCs w:val="26"/>
        </w:rPr>
        <w:t xml:space="preserve"> § 141.2.  Nonoperating entities formerly designated as Nonmajor and new entities that expect to be in the Nonmajor category should file as detailed in 18 C</w:t>
      </w:r>
      <w:r>
        <w:rPr>
          <w:sz w:val="26"/>
          <w:szCs w:val="26"/>
        </w:rPr>
        <w:t>.</w:t>
      </w:r>
      <w:r w:rsidRPr="0073506C">
        <w:rPr>
          <w:sz w:val="26"/>
          <w:szCs w:val="26"/>
        </w:rPr>
        <w:t>F</w:t>
      </w:r>
      <w:r>
        <w:rPr>
          <w:sz w:val="26"/>
          <w:szCs w:val="26"/>
        </w:rPr>
        <w:t>.</w:t>
      </w:r>
      <w:r w:rsidRPr="0073506C">
        <w:rPr>
          <w:sz w:val="26"/>
          <w:szCs w:val="26"/>
        </w:rPr>
        <w:t>R</w:t>
      </w:r>
      <w:r>
        <w:rPr>
          <w:sz w:val="26"/>
          <w:szCs w:val="26"/>
        </w:rPr>
        <w:t>.</w:t>
      </w:r>
      <w:r w:rsidRPr="0073506C">
        <w:rPr>
          <w:sz w:val="26"/>
          <w:szCs w:val="26"/>
        </w:rPr>
        <w:t xml:space="preserve"> § 101, General Instructions (1)(A)(2).</w:t>
      </w:r>
    </w:p>
  </w:footnote>
  <w:footnote w:id="8">
    <w:p w:rsidR="000E4E87" w:rsidRPr="00DA7BE8" w:rsidP="000E4E87" w14:paraId="510C51A7" w14:textId="24EAF8E1">
      <w:pPr>
        <w:pStyle w:val="FootnoteText"/>
        <w:ind w:firstLine="720"/>
        <w:rPr>
          <w:sz w:val="26"/>
          <w:szCs w:val="26"/>
        </w:rPr>
      </w:pPr>
      <w:r w:rsidRPr="000E4E87">
        <w:rPr>
          <w:sz w:val="26"/>
          <w:szCs w:val="26"/>
          <w:vertAlign w:val="superscript"/>
        </w:rPr>
        <w:footnoteRef/>
      </w:r>
      <w:r w:rsidRPr="00DA7BE8">
        <w:rPr>
          <w:sz w:val="26"/>
          <w:szCs w:val="26"/>
        </w:rPr>
        <w:t xml:space="preserve"> </w:t>
      </w:r>
      <w:r w:rsidRPr="00DA7BE8">
        <w:rPr>
          <w:i/>
          <w:iCs/>
          <w:sz w:val="26"/>
          <w:szCs w:val="26"/>
        </w:rPr>
        <w:t>Accounting and Reporting Treatment of Certain Renewable Energy Assets</w:t>
      </w:r>
      <w:r w:rsidRPr="000E4E87">
        <w:rPr>
          <w:sz w:val="26"/>
          <w:szCs w:val="26"/>
        </w:rPr>
        <w:t>, 174 FERC ¶ 61,032 (2021) (NOI).</w:t>
      </w:r>
    </w:p>
  </w:footnote>
  <w:footnote w:id="9">
    <w:p w:rsidR="00B930D3" w:rsidRPr="00DA7BE8" w:rsidP="00DA7BE8" w14:paraId="56A8BD02" w14:textId="3185DD28">
      <w:pPr>
        <w:pStyle w:val="FootnoteText"/>
        <w:ind w:firstLine="720"/>
        <w:rPr>
          <w:sz w:val="26"/>
          <w:szCs w:val="26"/>
        </w:rPr>
      </w:pPr>
      <w:r w:rsidRPr="00DA7BE8">
        <w:rPr>
          <w:rStyle w:val="FootnoteReference"/>
          <w:sz w:val="26"/>
          <w:szCs w:val="26"/>
          <w:vertAlign w:val="superscript"/>
        </w:rPr>
        <w:footnoteRef/>
      </w:r>
      <w:r w:rsidRPr="00DA7BE8">
        <w:rPr>
          <w:sz w:val="26"/>
          <w:szCs w:val="26"/>
        </w:rPr>
        <w:t xml:space="preserve"> </w:t>
      </w:r>
      <w:r w:rsidRPr="00DA7BE8">
        <w:rPr>
          <w:i/>
          <w:iCs/>
          <w:sz w:val="26"/>
          <w:szCs w:val="26"/>
        </w:rPr>
        <w:t>Acct. &amp; Reporting Treatment of Certain Renewable Energy Assets</w:t>
      </w:r>
      <w:r w:rsidRPr="00DA7BE8">
        <w:rPr>
          <w:sz w:val="26"/>
          <w:szCs w:val="26"/>
        </w:rPr>
        <w:t xml:space="preserve">, Notice of Proposed Rulemaking, 87 FR 59870, 180 FERC ¶ 61,050, at P 28 (2022) (NOPR).  </w:t>
      </w:r>
    </w:p>
  </w:footnote>
  <w:footnote w:id="10">
    <w:p w:rsidR="008E3C4F" w:rsidRPr="0073506C" w:rsidP="00FB4D45" w14:paraId="484AE026" w14:textId="28459AF1">
      <w:pPr>
        <w:pStyle w:val="FootnoteText"/>
        <w:ind w:firstLine="720"/>
        <w:rPr>
          <w:sz w:val="26"/>
          <w:szCs w:val="26"/>
        </w:rPr>
      </w:pPr>
      <w:r w:rsidRPr="0073506C">
        <w:rPr>
          <w:rStyle w:val="FootnoteReference"/>
          <w:rFonts w:eastAsia="Calibri"/>
          <w:sz w:val="26"/>
          <w:szCs w:val="26"/>
          <w:vertAlign w:val="superscript"/>
        </w:rPr>
        <w:footnoteRef/>
      </w:r>
      <w:r w:rsidRPr="0073506C">
        <w:rPr>
          <w:sz w:val="26"/>
          <w:szCs w:val="26"/>
        </w:rPr>
        <w:t xml:space="preserve"> </w:t>
      </w:r>
      <w:r w:rsidRPr="0073506C">
        <w:rPr>
          <w:i/>
          <w:sz w:val="26"/>
          <w:szCs w:val="26"/>
        </w:rPr>
        <w:t>See</w:t>
      </w:r>
      <w:r w:rsidRPr="0073506C">
        <w:rPr>
          <w:sz w:val="26"/>
          <w:szCs w:val="26"/>
        </w:rPr>
        <w:t xml:space="preserve"> 18 C</w:t>
      </w:r>
      <w:r>
        <w:rPr>
          <w:sz w:val="26"/>
          <w:szCs w:val="26"/>
        </w:rPr>
        <w:t>.</w:t>
      </w:r>
      <w:r w:rsidRPr="0073506C">
        <w:rPr>
          <w:sz w:val="26"/>
          <w:szCs w:val="26"/>
        </w:rPr>
        <w:t>F</w:t>
      </w:r>
      <w:r>
        <w:rPr>
          <w:sz w:val="26"/>
          <w:szCs w:val="26"/>
        </w:rPr>
        <w:t>.</w:t>
      </w:r>
      <w:r w:rsidRPr="0073506C">
        <w:rPr>
          <w:sz w:val="26"/>
          <w:szCs w:val="26"/>
        </w:rPr>
        <w:t>R</w:t>
      </w:r>
      <w:r>
        <w:rPr>
          <w:sz w:val="26"/>
          <w:szCs w:val="26"/>
        </w:rPr>
        <w:t>.</w:t>
      </w:r>
      <w:r w:rsidRPr="0073506C">
        <w:rPr>
          <w:sz w:val="26"/>
          <w:szCs w:val="26"/>
        </w:rPr>
        <w:t xml:space="preserve"> Part 101 (Uniform System </w:t>
      </w:r>
      <w:r>
        <w:rPr>
          <w:sz w:val="26"/>
          <w:szCs w:val="26"/>
        </w:rPr>
        <w:t>o</w:t>
      </w:r>
      <w:r w:rsidRPr="0073506C">
        <w:rPr>
          <w:sz w:val="26"/>
          <w:szCs w:val="26"/>
        </w:rPr>
        <w:t>f Accounts Prescribed For Public Utilities And Licensees Subject To The Provisions Of The Federal Power Act).</w:t>
      </w:r>
    </w:p>
  </w:footnote>
  <w:footnote w:id="11">
    <w:p w:rsidR="00FF5B01" w:rsidRPr="00DA7BE8" w:rsidP="00FF5B01" w14:paraId="19AE4F17" w14:textId="2C5E8503">
      <w:pPr>
        <w:pStyle w:val="FootnoteText"/>
        <w:ind w:firstLine="720"/>
        <w:rPr>
          <w:sz w:val="26"/>
          <w:szCs w:val="26"/>
        </w:rPr>
      </w:pPr>
      <w:r w:rsidRPr="00FF5B01">
        <w:rPr>
          <w:rStyle w:val="FootnoteReference"/>
          <w:sz w:val="26"/>
          <w:szCs w:val="26"/>
          <w:vertAlign w:val="superscript"/>
        </w:rPr>
        <w:footnoteRef/>
      </w:r>
      <w:r w:rsidRPr="00FF5B01">
        <w:rPr>
          <w:rStyle w:val="FootnoteReference"/>
          <w:sz w:val="26"/>
          <w:szCs w:val="26"/>
          <w:vertAlign w:val="superscript"/>
        </w:rPr>
        <w:t xml:space="preserve"> </w:t>
      </w:r>
      <w:r w:rsidRPr="00DA7BE8" w:rsidR="008323D2">
        <w:rPr>
          <w:sz w:val="26"/>
          <w:szCs w:val="26"/>
        </w:rPr>
        <w:t>NOI</w:t>
      </w:r>
      <w:r w:rsidRPr="00DA7BE8">
        <w:rPr>
          <w:sz w:val="26"/>
          <w:szCs w:val="26"/>
        </w:rPr>
        <w:t>, 174 FERC ¶ 61,032</w:t>
      </w:r>
      <w:r w:rsidRPr="00DA7BE8" w:rsidR="008323D2">
        <w:rPr>
          <w:sz w:val="26"/>
          <w:szCs w:val="26"/>
        </w:rPr>
        <w:t>.</w:t>
      </w:r>
      <w:r w:rsidRPr="00DA7BE8">
        <w:rPr>
          <w:sz w:val="26"/>
          <w:szCs w:val="26"/>
        </w:rPr>
        <w:t xml:space="preserve"> </w:t>
      </w:r>
    </w:p>
  </w:footnote>
  <w:footnote w:id="12">
    <w:p w:rsidR="008E3C4F" w:rsidP="00FB4D45" w14:paraId="2236E29A" w14:textId="2D25A697">
      <w:pPr>
        <w:pStyle w:val="FootnoteText"/>
        <w:ind w:firstLine="720"/>
        <w:rPr>
          <w:sz w:val="26"/>
          <w:szCs w:val="26"/>
        </w:rPr>
      </w:pPr>
      <w:r w:rsidRPr="0073506C">
        <w:rPr>
          <w:rStyle w:val="FootnoteReference"/>
          <w:sz w:val="26"/>
          <w:szCs w:val="26"/>
          <w:vertAlign w:val="superscript"/>
        </w:rPr>
        <w:footnoteRef/>
      </w:r>
      <w:r w:rsidRPr="0073506C">
        <w:rPr>
          <w:sz w:val="26"/>
          <w:szCs w:val="26"/>
        </w:rPr>
        <w:t xml:space="preserve"> 18 C.F.R. §§ 388.112 and 388.113.  More information on the CEII definition, program and requirements is posted at </w:t>
      </w:r>
      <w:hyperlink r:id="rId1" w:history="1">
        <w:r w:rsidRPr="00DA7BE8">
          <w:rPr>
            <w:rStyle w:val="Hyperlink"/>
            <w:color w:val="auto"/>
            <w:sz w:val="26"/>
            <w:szCs w:val="26"/>
          </w:rPr>
          <w:t>http://www.ferc.gov/legal/ceii-foia/ceii.asp</w:t>
        </w:r>
      </w:hyperlink>
      <w:r w:rsidRPr="0073506C">
        <w:rPr>
          <w:sz w:val="26"/>
          <w:szCs w:val="26"/>
        </w:rPr>
        <w:t xml:space="preserve">. </w:t>
      </w:r>
    </w:p>
    <w:p w:rsidR="00281BA3" w:rsidRPr="0073506C" w:rsidP="005D2688" w14:paraId="1874BDE8" w14:textId="77777777">
      <w:pPr>
        <w:pStyle w:val="FootnoteText"/>
        <w:rPr>
          <w:sz w:val="26"/>
          <w:szCs w:val="26"/>
        </w:rPr>
      </w:pPr>
    </w:p>
  </w:footnote>
  <w:footnote w:id="13">
    <w:p w:rsidR="006500C9" w:rsidRPr="0073506C" w:rsidP="006500C9" w14:paraId="2C4FBC2C" w14:textId="73B81520">
      <w:pPr>
        <w:pStyle w:val="FootnoteText"/>
        <w:ind w:firstLine="720"/>
        <w:rPr>
          <w:sz w:val="26"/>
          <w:szCs w:val="26"/>
        </w:rPr>
      </w:pPr>
      <w:r w:rsidRPr="0073506C">
        <w:rPr>
          <w:rStyle w:val="FootnoteReference"/>
          <w:sz w:val="26"/>
          <w:szCs w:val="26"/>
          <w:vertAlign w:val="superscript"/>
        </w:rPr>
        <w:footnoteRef/>
      </w:r>
      <w:r w:rsidRPr="0073506C">
        <w:rPr>
          <w:sz w:val="26"/>
          <w:szCs w:val="26"/>
        </w:rPr>
        <w:t xml:space="preserve"> </w:t>
      </w:r>
      <w:r w:rsidRPr="00A301F9">
        <w:rPr>
          <w:sz w:val="26"/>
          <w:szCs w:val="26"/>
        </w:rPr>
        <w:t>The cost is based on FERC’s 202</w:t>
      </w:r>
      <w:r w:rsidR="00DB63AB">
        <w:rPr>
          <w:sz w:val="26"/>
          <w:szCs w:val="26"/>
        </w:rPr>
        <w:t>2</w:t>
      </w:r>
      <w:r w:rsidRPr="00A301F9">
        <w:rPr>
          <w:sz w:val="26"/>
          <w:szCs w:val="26"/>
        </w:rPr>
        <w:t xml:space="preserve"> Commission</w:t>
      </w:r>
      <w:r>
        <w:rPr>
          <w:sz w:val="26"/>
          <w:szCs w:val="26"/>
        </w:rPr>
        <w:t>-</w:t>
      </w:r>
      <w:r w:rsidRPr="00A301F9">
        <w:rPr>
          <w:sz w:val="26"/>
          <w:szCs w:val="26"/>
        </w:rPr>
        <w:t>wide average salary cost (salary plus benefits) of $</w:t>
      </w:r>
      <w:r w:rsidR="00DB63AB">
        <w:rPr>
          <w:sz w:val="26"/>
          <w:szCs w:val="26"/>
        </w:rPr>
        <w:t>91</w:t>
      </w:r>
      <w:r w:rsidRPr="00A301F9">
        <w:rPr>
          <w:sz w:val="26"/>
          <w:szCs w:val="26"/>
        </w:rPr>
        <w:t>.00/hour. The Commission staff believes the FERC FTE (full-time equivalent) average cost for wages plus benefits is representative of the corresponding cost for the industry respondents.</w:t>
      </w:r>
      <w:r w:rsidRPr="00E1426D">
        <w:rPr>
          <w:sz w:val="26"/>
          <w:szCs w:val="26"/>
        </w:rPr>
        <w:t xml:space="preserve">  </w:t>
      </w:r>
    </w:p>
  </w:footnote>
  <w:footnote w:id="14">
    <w:p w:rsidR="00DB63AB" w:rsidRPr="00DA7BE8" w:rsidP="00491568" w14:paraId="389637BB" w14:textId="77777777">
      <w:pPr>
        <w:pStyle w:val="FootnoteText"/>
        <w:ind w:firstLine="720"/>
        <w:rPr>
          <w:sz w:val="26"/>
          <w:szCs w:val="26"/>
        </w:rPr>
      </w:pPr>
      <w:r w:rsidRPr="00DA7BE8">
        <w:rPr>
          <w:rStyle w:val="FootnoteReference"/>
          <w:sz w:val="26"/>
          <w:szCs w:val="26"/>
          <w:vertAlign w:val="superscript"/>
        </w:rPr>
        <w:footnoteRef/>
      </w:r>
      <w:r w:rsidRPr="00DA7BE8">
        <w:rPr>
          <w:sz w:val="26"/>
          <w:szCs w:val="26"/>
        </w:rPr>
        <w:t xml:space="preserve"> The average burden and cost per response is calculated using the hourly wage figures for FERC staff.  The Commission estimates that the costs for the Commission are comparable to those in industry.  Commission staff average salary plus benefits totals $188,922 or $91 per hour.</w:t>
      </w:r>
    </w:p>
  </w:footnote>
  <w:footnote w:id="15">
    <w:p w:rsidR="00DB63AB" w:rsidRPr="00DA7BE8" w:rsidP="00491568" w14:paraId="75E4C677" w14:textId="77777777">
      <w:pPr>
        <w:pStyle w:val="FootnoteText"/>
        <w:ind w:firstLine="720"/>
        <w:rPr>
          <w:sz w:val="26"/>
          <w:szCs w:val="26"/>
        </w:rPr>
      </w:pPr>
      <w:r w:rsidRPr="00DA7BE8">
        <w:rPr>
          <w:rStyle w:val="FootnoteReference"/>
          <w:sz w:val="26"/>
          <w:szCs w:val="26"/>
          <w:vertAlign w:val="superscript"/>
        </w:rPr>
        <w:footnoteRef/>
      </w:r>
      <w:r w:rsidRPr="00DA7BE8">
        <w:rPr>
          <w:sz w:val="26"/>
          <w:szCs w:val="26"/>
        </w:rPr>
        <w:t xml:space="preserve"> The Commission assumes that the one-time burden for the FERC Form No. 3-Q is incorporated into the calculation of FERC Form No. 1 since quarterly filings are typically a subset of the annual filings.</w:t>
      </w:r>
    </w:p>
  </w:footnote>
  <w:footnote w:id="16">
    <w:p w:rsidR="00491568" w:rsidRPr="00DA7BE8" w:rsidP="00491568" w14:paraId="71A975F2" w14:textId="77777777">
      <w:pPr>
        <w:pStyle w:val="FootnoteText"/>
        <w:ind w:firstLine="720"/>
        <w:rPr>
          <w:sz w:val="26"/>
          <w:szCs w:val="26"/>
        </w:rPr>
      </w:pPr>
      <w:r w:rsidRPr="00DA7BE8">
        <w:rPr>
          <w:rStyle w:val="FootnoteReference"/>
          <w:sz w:val="26"/>
          <w:szCs w:val="26"/>
          <w:vertAlign w:val="superscript"/>
        </w:rPr>
        <w:footnoteRef/>
      </w:r>
      <w:r w:rsidRPr="00DA7BE8">
        <w:rPr>
          <w:sz w:val="26"/>
          <w:szCs w:val="26"/>
          <w:vertAlign w:val="superscript"/>
        </w:rPr>
        <w:t xml:space="preserve"> </w:t>
      </w:r>
      <w:r w:rsidRPr="00DA7BE8">
        <w:rPr>
          <w:sz w:val="26"/>
          <w:szCs w:val="26"/>
        </w:rPr>
        <w:t>The average burden and cost per response is calculated using the hourly wage figures for FERC staff.  The Commission estimates that the costs for the Commission are comparable to those in industry.  Commission staff average salary plus benefits totals $188,992 or $91 per hour.</w:t>
      </w:r>
    </w:p>
  </w:footnote>
  <w:footnote w:id="17">
    <w:p w:rsidR="008E3C4F" w:rsidRPr="0073506C" w:rsidP="00DA7BE8" w14:paraId="20405BFF" w14:textId="40DFCEB4">
      <w:pPr>
        <w:pStyle w:val="FootnoteText"/>
        <w:ind w:firstLine="720"/>
        <w:rPr>
          <w:sz w:val="26"/>
          <w:szCs w:val="26"/>
        </w:rPr>
      </w:pPr>
      <w:r w:rsidRPr="0073506C">
        <w:rPr>
          <w:rStyle w:val="FootnoteReference"/>
          <w:sz w:val="26"/>
          <w:szCs w:val="26"/>
          <w:vertAlign w:val="superscript"/>
        </w:rPr>
        <w:footnoteRef/>
      </w:r>
      <w:r w:rsidRPr="0073506C">
        <w:rPr>
          <w:sz w:val="26"/>
          <w:szCs w:val="26"/>
          <w:vertAlign w:val="superscript"/>
        </w:rPr>
        <w:t xml:space="preserve"> </w:t>
      </w:r>
      <w:r w:rsidRPr="0073506C">
        <w:rPr>
          <w:sz w:val="26"/>
          <w:szCs w:val="26"/>
        </w:rPr>
        <w:t>The estimate uses the FERC’s FY 20</w:t>
      </w:r>
      <w:r>
        <w:rPr>
          <w:sz w:val="26"/>
          <w:szCs w:val="26"/>
        </w:rPr>
        <w:t>2</w:t>
      </w:r>
      <w:r w:rsidR="00491568">
        <w:rPr>
          <w:sz w:val="26"/>
          <w:szCs w:val="26"/>
        </w:rPr>
        <w:t>2</w:t>
      </w:r>
      <w:r w:rsidRPr="0073506C">
        <w:rPr>
          <w:sz w:val="26"/>
          <w:szCs w:val="26"/>
        </w:rPr>
        <w:t xml:space="preserve"> average annual salary plus benefits of one FERC FTE (full-time equivalent [$1</w:t>
      </w:r>
      <w:r>
        <w:rPr>
          <w:sz w:val="26"/>
          <w:szCs w:val="26"/>
        </w:rPr>
        <w:t>8</w:t>
      </w:r>
      <w:r w:rsidR="00491568">
        <w:rPr>
          <w:sz w:val="26"/>
          <w:szCs w:val="26"/>
        </w:rPr>
        <w:t>8</w:t>
      </w:r>
      <w:r>
        <w:rPr>
          <w:sz w:val="26"/>
          <w:szCs w:val="26"/>
        </w:rPr>
        <w:t>,</w:t>
      </w:r>
      <w:r w:rsidR="00491568">
        <w:rPr>
          <w:sz w:val="26"/>
          <w:szCs w:val="26"/>
        </w:rPr>
        <w:t>922</w:t>
      </w:r>
      <w:r w:rsidRPr="0073506C">
        <w:rPr>
          <w:sz w:val="26"/>
          <w:szCs w:val="26"/>
        </w:rPr>
        <w:t xml:space="preserve"> per year or $</w:t>
      </w:r>
      <w:r w:rsidR="00491568">
        <w:rPr>
          <w:sz w:val="26"/>
          <w:szCs w:val="26"/>
        </w:rPr>
        <w:t>91</w:t>
      </w:r>
      <w:r w:rsidRPr="0073506C">
        <w:rPr>
          <w:sz w:val="26"/>
          <w:szCs w:val="26"/>
        </w:rPr>
        <w:t xml:space="preserve">.00 per hour]).  (These estimates were updated in </w:t>
      </w:r>
      <w:r>
        <w:rPr>
          <w:sz w:val="26"/>
          <w:szCs w:val="26"/>
        </w:rPr>
        <w:t>June</w:t>
      </w:r>
      <w:r w:rsidRPr="0073506C">
        <w:rPr>
          <w:sz w:val="26"/>
          <w:szCs w:val="26"/>
        </w:rPr>
        <w:t xml:space="preserve"> </w:t>
      </w:r>
      <w:r>
        <w:rPr>
          <w:sz w:val="26"/>
          <w:szCs w:val="26"/>
        </w:rPr>
        <w:t>202</w:t>
      </w:r>
      <w:r w:rsidR="00491568">
        <w:rPr>
          <w:sz w:val="26"/>
          <w:szCs w:val="26"/>
        </w:rPr>
        <w:t>2</w:t>
      </w:r>
      <w:r w:rsidRPr="00B3439D">
        <w:rPr>
          <w:sz w:val="26"/>
          <w:szCs w:val="26"/>
        </w:rPr>
        <w:t>.)</w:t>
      </w:r>
    </w:p>
  </w:footnote>
  <w:footnote w:id="18">
    <w:p w:rsidR="008E3C4F" w:rsidRPr="0073506C" w:rsidP="00DA7BE8" w14:paraId="53F288CE" w14:textId="6509A6D4">
      <w:pPr>
        <w:pStyle w:val="FootnoteText"/>
        <w:ind w:firstLine="720"/>
        <w:rPr>
          <w:sz w:val="26"/>
          <w:szCs w:val="26"/>
        </w:rPr>
      </w:pPr>
      <w:r w:rsidRPr="0073506C">
        <w:rPr>
          <w:rStyle w:val="FootnoteReference"/>
          <w:sz w:val="26"/>
          <w:szCs w:val="26"/>
          <w:vertAlign w:val="superscript"/>
        </w:rPr>
        <w:footnoteRef/>
      </w:r>
      <w:r w:rsidRPr="0073506C">
        <w:rPr>
          <w:sz w:val="26"/>
          <w:szCs w:val="26"/>
        </w:rPr>
        <w:t xml:space="preserve"> This estimate was updated </w:t>
      </w:r>
      <w:r>
        <w:rPr>
          <w:sz w:val="26"/>
          <w:szCs w:val="26"/>
        </w:rPr>
        <w:t>June</w:t>
      </w:r>
      <w:r w:rsidRPr="0073506C">
        <w:rPr>
          <w:sz w:val="26"/>
          <w:szCs w:val="26"/>
        </w:rPr>
        <w:t xml:space="preserve"> 20</w:t>
      </w:r>
      <w:r>
        <w:rPr>
          <w:sz w:val="26"/>
          <w:szCs w:val="26"/>
        </w:rPr>
        <w:t>2</w:t>
      </w:r>
      <w:r w:rsidR="00491568">
        <w:rPr>
          <w:sz w:val="26"/>
          <w:szCs w:val="26"/>
        </w:rPr>
        <w:t>2</w:t>
      </w:r>
      <w:r w:rsidRPr="0073506C">
        <w:rPr>
          <w:sz w:val="26"/>
          <w:szCs w:val="26"/>
        </w:rPr>
        <w:t>.</w:t>
      </w:r>
    </w:p>
  </w:footnote>
  <w:footnote w:id="19">
    <w:p w:rsidR="008E3C4F" w:rsidRPr="0073506C" w:rsidP="002166E8" w14:paraId="58CB363F" w14:textId="588EBAD5">
      <w:pPr>
        <w:pStyle w:val="FootnoteText"/>
        <w:ind w:firstLine="720"/>
        <w:rPr>
          <w:sz w:val="26"/>
          <w:szCs w:val="26"/>
        </w:rPr>
      </w:pPr>
      <w:r w:rsidRPr="0073506C">
        <w:rPr>
          <w:rStyle w:val="FootnoteReference"/>
          <w:sz w:val="26"/>
          <w:szCs w:val="26"/>
          <w:vertAlign w:val="superscript"/>
        </w:rPr>
        <w:footnoteRef/>
      </w:r>
      <w:r w:rsidRPr="0073506C">
        <w:rPr>
          <w:sz w:val="26"/>
          <w:szCs w:val="26"/>
          <w:vertAlign w:val="superscript"/>
        </w:rPr>
        <w:t xml:space="preserve"> </w:t>
      </w:r>
      <w:r w:rsidRPr="0073506C">
        <w:rPr>
          <w:sz w:val="26"/>
          <w:szCs w:val="26"/>
        </w:rPr>
        <w:t>The federal costs for the FERC</w:t>
      </w:r>
      <w:r>
        <w:rPr>
          <w:sz w:val="26"/>
          <w:szCs w:val="26"/>
        </w:rPr>
        <w:t xml:space="preserve"> Form Nos. </w:t>
      </w:r>
      <w:r w:rsidRPr="0073506C">
        <w:rPr>
          <w:sz w:val="26"/>
          <w:szCs w:val="26"/>
        </w:rPr>
        <w:t>1, 1-F, and 3-Q (for both electric and gas) will be included under the ICR for FERC</w:t>
      </w:r>
      <w:r>
        <w:rPr>
          <w:sz w:val="26"/>
          <w:szCs w:val="26"/>
        </w:rPr>
        <w:t xml:space="preserve"> Form No. </w:t>
      </w:r>
      <w:r w:rsidRPr="0073506C">
        <w:rPr>
          <w:sz w:val="26"/>
          <w:szCs w:val="26"/>
        </w:rPr>
        <w:t xml:space="preserve">1 in ROCIS and reginfo.gov.  </w:t>
      </w:r>
    </w:p>
  </w:footnote>
  <w:footnote w:id="20">
    <w:p w:rsidR="00DF703E" w:rsidRPr="00DA7BE8" w:rsidP="00DF703E" w14:paraId="1ABD5E4C" w14:textId="3E52123F">
      <w:pPr>
        <w:pStyle w:val="FootnoteText"/>
        <w:ind w:firstLine="720"/>
        <w:rPr>
          <w:sz w:val="26"/>
          <w:szCs w:val="26"/>
        </w:rPr>
      </w:pPr>
      <w:r w:rsidRPr="001432A0">
        <w:rPr>
          <w:rStyle w:val="FootnoteReference"/>
          <w:sz w:val="26"/>
          <w:szCs w:val="26"/>
          <w:vertAlign w:val="superscript"/>
        </w:rPr>
        <w:footnoteRef/>
      </w:r>
      <w:r w:rsidRPr="001432A0">
        <w:rPr>
          <w:rStyle w:val="FootnoteReference"/>
          <w:sz w:val="26"/>
          <w:szCs w:val="26"/>
          <w:vertAlign w:val="superscript"/>
        </w:rPr>
        <w:t xml:space="preserve"> </w:t>
      </w:r>
      <w:r w:rsidRPr="005C5D9F">
        <w:rPr>
          <w:sz w:val="26"/>
          <w:szCs w:val="26"/>
        </w:rPr>
        <w:t>The one</w:t>
      </w:r>
      <w:r w:rsidR="00B06D93">
        <w:rPr>
          <w:sz w:val="26"/>
          <w:szCs w:val="26"/>
        </w:rPr>
        <w:t>-</w:t>
      </w:r>
      <w:r w:rsidRPr="005C5D9F">
        <w:rPr>
          <w:sz w:val="26"/>
          <w:szCs w:val="26"/>
        </w:rPr>
        <w:t xml:space="preserve">time </w:t>
      </w:r>
      <w:r>
        <w:rPr>
          <w:sz w:val="26"/>
          <w:szCs w:val="26"/>
        </w:rPr>
        <w:t xml:space="preserve">burden </w:t>
      </w:r>
      <w:r w:rsidRPr="005C5D9F">
        <w:rPr>
          <w:sz w:val="26"/>
          <w:szCs w:val="26"/>
        </w:rPr>
        <w:t xml:space="preserve"> associated with the </w:t>
      </w:r>
      <w:r w:rsidR="00B06D93">
        <w:rPr>
          <w:sz w:val="26"/>
          <w:szCs w:val="26"/>
        </w:rPr>
        <w:t xml:space="preserve">Form No. </w:t>
      </w:r>
      <w:r w:rsidRPr="005C5D9F">
        <w:rPr>
          <w:sz w:val="26"/>
          <w:szCs w:val="26"/>
        </w:rPr>
        <w:t>3-Q (electric) is included in the Form No. 1 estimate because quarterly filings are typically a subset of the annual filings.</w:t>
      </w:r>
      <w:r w:rsidRPr="00DA7BE8">
        <w:rPr>
          <w:sz w:val="26"/>
          <w:szCs w:val="26"/>
        </w:rPr>
        <w:t xml:space="preserve"> </w:t>
      </w:r>
    </w:p>
  </w:footnote>
  <w:footnote w:id="21">
    <w:p w:rsidR="002460B9" w:rsidRPr="00DA7BE8" w:rsidP="006500C9" w14:paraId="3970687D" w14:textId="624E9C1F">
      <w:pPr>
        <w:pStyle w:val="FootnoteText"/>
        <w:ind w:firstLine="720"/>
        <w:rPr>
          <w:sz w:val="26"/>
          <w:szCs w:val="26"/>
        </w:rPr>
      </w:pPr>
      <w:r w:rsidRPr="006500C9">
        <w:rPr>
          <w:rStyle w:val="FootnoteReference"/>
          <w:sz w:val="26"/>
          <w:szCs w:val="26"/>
          <w:vertAlign w:val="superscript"/>
        </w:rPr>
        <w:footnoteRef/>
      </w:r>
      <w:r w:rsidRPr="006500C9">
        <w:rPr>
          <w:rStyle w:val="FootnoteReference"/>
          <w:sz w:val="26"/>
          <w:szCs w:val="26"/>
          <w:vertAlign w:val="superscript"/>
        </w:rPr>
        <w:t xml:space="preserve"> </w:t>
      </w:r>
      <w:r w:rsidRPr="00DA7BE8">
        <w:rPr>
          <w:sz w:val="26"/>
          <w:szCs w:val="26"/>
        </w:rPr>
        <w:t xml:space="preserve">The cost associated here is the costs related to FERC collection 555A, which is specific to record retention. This requirement is unchanged by </w:t>
      </w:r>
      <w:r w:rsidRPr="00DA7BE8" w:rsidR="007554CF">
        <w:rPr>
          <w:sz w:val="26"/>
          <w:szCs w:val="26"/>
        </w:rPr>
        <w:t>RM21-11</w:t>
      </w:r>
      <w:r w:rsidRPr="00DA7BE8">
        <w:rPr>
          <w:sz w:val="26"/>
          <w:szCs w:val="26"/>
        </w:rPr>
        <w:t xml:space="preserve">-000 and is not impacted. For consistency, we are keeping the costs in this table to match the ROCIS metadata, even though the costs are not directly related to the </w:t>
      </w:r>
      <w:r w:rsidRPr="00DA7BE8" w:rsidR="00DC50A0">
        <w:rPr>
          <w:sz w:val="26"/>
          <w:szCs w:val="26"/>
        </w:rPr>
        <w:t>Final Rule</w:t>
      </w:r>
      <w:r w:rsidRPr="00DA7BE8">
        <w:rPr>
          <w:sz w:val="26"/>
          <w:szCs w:val="26"/>
        </w:rPr>
        <w:t xml:space="preserve"> </w:t>
      </w:r>
      <w:r w:rsidRPr="00DA7BE8" w:rsidR="007554CF">
        <w:rPr>
          <w:sz w:val="26"/>
          <w:szCs w:val="26"/>
        </w:rPr>
        <w:t>RM21-11</w:t>
      </w:r>
      <w:r w:rsidRPr="00DA7BE8">
        <w:rPr>
          <w:sz w:val="26"/>
          <w:szCs w:val="26"/>
        </w:rPr>
        <w:t xml:space="preserve">-000.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017A" w14:paraId="1FCC2538" w14:textId="4DA35414">
    <w:pPr>
      <w:pStyle w:val="Header"/>
      <w:rPr>
        <w:rFonts w:ascii="Times New Roman" w:hAnsi="Times New Roman"/>
        <w:sz w:val="24"/>
        <w:szCs w:val="24"/>
      </w:rPr>
    </w:pPr>
    <w:r>
      <w:rPr>
        <w:rFonts w:ascii="Times New Roman" w:hAnsi="Times New Roman"/>
        <w:sz w:val="24"/>
        <w:szCs w:val="24"/>
      </w:rPr>
      <w:t>FERC Form Nos. 1, 1-F, 3-Q (electric)</w:t>
    </w:r>
    <w:r w:rsidR="00444460">
      <w:rPr>
        <w:rFonts w:ascii="Times New Roman" w:hAnsi="Times New Roman"/>
        <w:sz w:val="24"/>
        <w:szCs w:val="24"/>
      </w:rPr>
      <w:t>,</w:t>
    </w:r>
    <w:r>
      <w:rPr>
        <w:rFonts w:ascii="Times New Roman" w:hAnsi="Times New Roman"/>
        <w:sz w:val="24"/>
        <w:szCs w:val="24"/>
      </w:rPr>
      <w:t xml:space="preserve"> and </w:t>
    </w:r>
    <w:r w:rsidR="00654EFF">
      <w:rPr>
        <w:rFonts w:ascii="Times New Roman" w:hAnsi="Times New Roman"/>
        <w:sz w:val="24"/>
        <w:szCs w:val="24"/>
      </w:rPr>
      <w:t xml:space="preserve">60, </w:t>
    </w:r>
    <w:r w:rsidR="00DC50A0">
      <w:rPr>
        <w:rFonts w:ascii="Times New Roman" w:hAnsi="Times New Roman"/>
        <w:sz w:val="24"/>
        <w:szCs w:val="24"/>
      </w:rPr>
      <w:t>Final</w:t>
    </w:r>
    <w:r>
      <w:rPr>
        <w:rFonts w:ascii="Times New Roman" w:hAnsi="Times New Roman"/>
        <w:sz w:val="24"/>
        <w:szCs w:val="24"/>
      </w:rPr>
      <w:t xml:space="preserve"> Rulemakin</w:t>
    </w:r>
    <w:r w:rsidR="00444460">
      <w:rPr>
        <w:rFonts w:ascii="Times New Roman" w:hAnsi="Times New Roman"/>
        <w:sz w:val="24"/>
        <w:szCs w:val="24"/>
      </w:rPr>
      <w:t>g</w:t>
    </w:r>
    <w:r w:rsidR="009D4944">
      <w:rPr>
        <w:rFonts w:ascii="Times New Roman" w:hAnsi="Times New Roman"/>
        <w:sz w:val="24"/>
        <w:szCs w:val="24"/>
      </w:rPr>
      <w:t xml:space="preserve"> Docket No.</w:t>
    </w:r>
    <w:r>
      <w:rPr>
        <w:rFonts w:ascii="Times New Roman" w:hAnsi="Times New Roman"/>
        <w:sz w:val="24"/>
        <w:szCs w:val="24"/>
      </w:rPr>
      <w:t xml:space="preserve"> RM21-11-000.</w:t>
    </w:r>
  </w:p>
  <w:p w:rsidR="008E3C4F" w14:paraId="6A3A0E61" w14:textId="35AEB845">
    <w:pPr>
      <w:pStyle w:val="Header"/>
      <w:rPr>
        <w:rFonts w:ascii="Times New Roman" w:hAnsi="Times New Roman"/>
        <w:sz w:val="24"/>
        <w:szCs w:val="24"/>
      </w:rPr>
    </w:pPr>
    <w:r>
      <w:rPr>
        <w:rFonts w:ascii="Times New Roman" w:hAnsi="Times New Roman"/>
        <w:sz w:val="24"/>
        <w:szCs w:val="24"/>
      </w:rPr>
      <w:t xml:space="preserve">OMB Control Nos. </w:t>
    </w:r>
    <w:r w:rsidRPr="00C632FE">
      <w:rPr>
        <w:rFonts w:ascii="Times New Roman" w:hAnsi="Times New Roman"/>
        <w:sz w:val="24"/>
        <w:szCs w:val="24"/>
      </w:rPr>
      <w:t>1902-0021, 1902-0</w:t>
    </w:r>
    <w:r w:rsidR="00FC3CA9">
      <w:rPr>
        <w:rFonts w:ascii="Times New Roman" w:hAnsi="Times New Roman"/>
        <w:sz w:val="24"/>
        <w:szCs w:val="24"/>
      </w:rPr>
      <w:t>029</w:t>
    </w:r>
    <w:r>
      <w:rPr>
        <w:rFonts w:ascii="Times New Roman" w:hAnsi="Times New Roman"/>
        <w:sz w:val="24"/>
        <w:szCs w:val="24"/>
      </w:rPr>
      <w:t>, 1902-0</w:t>
    </w:r>
    <w:r w:rsidR="00FC3CA9">
      <w:rPr>
        <w:rFonts w:ascii="Times New Roman" w:hAnsi="Times New Roman"/>
        <w:sz w:val="24"/>
        <w:szCs w:val="24"/>
      </w:rPr>
      <w:t>205</w:t>
    </w:r>
    <w:r>
      <w:rPr>
        <w:rFonts w:ascii="Times New Roman" w:hAnsi="Times New Roman"/>
        <w:sz w:val="24"/>
        <w:szCs w:val="24"/>
      </w:rPr>
      <w:t>, and 1902-0</w:t>
    </w:r>
    <w:r w:rsidR="00833FDA">
      <w:rPr>
        <w:rFonts w:ascii="Times New Roman" w:hAnsi="Times New Roman"/>
        <w:sz w:val="24"/>
        <w:szCs w:val="24"/>
      </w:rPr>
      <w:t>2</w:t>
    </w:r>
    <w:r>
      <w:rPr>
        <w:rFonts w:ascii="Times New Roman" w:hAnsi="Times New Roman"/>
        <w:sz w:val="24"/>
        <w:szCs w:val="24"/>
      </w:rPr>
      <w:t>1</w:t>
    </w:r>
    <w:r w:rsidR="00833FDA">
      <w:rPr>
        <w:rFonts w:ascii="Times New Roman" w:hAnsi="Times New Roman"/>
        <w:sz w:val="24"/>
        <w:szCs w:val="24"/>
      </w:rPr>
      <w:t>5</w:t>
    </w:r>
    <w:r>
      <w:rPr>
        <w:rFonts w:ascii="Times New Roman" w:hAnsi="Times New Roman"/>
        <w:sz w:val="24"/>
        <w:szCs w:val="24"/>
      </w:rPr>
      <w:t xml:space="preserve"> </w:t>
    </w:r>
  </w:p>
  <w:p w:rsidR="000C393C" w:rsidRPr="00274467" w14:paraId="0AE0083C" w14:textId="69848B59">
    <w:pPr>
      <w:pStyle w:val="Header"/>
      <w:rPr>
        <w:rFonts w:ascii="Times New Roman" w:hAnsi="Times New Roman"/>
        <w:sz w:val="24"/>
        <w:szCs w:val="24"/>
      </w:rPr>
    </w:pPr>
    <w:r w:rsidRPr="006500C9">
      <w:rPr>
        <w:rFonts w:ascii="Times New Roman" w:hAnsi="Times New Roman"/>
        <w:sz w:val="24"/>
        <w:szCs w:val="24"/>
      </w:rPr>
      <w:t>RIN</w:t>
    </w:r>
    <w:r w:rsidRPr="007458AA" w:rsidR="007458AA">
      <w:rPr>
        <w:rFonts w:ascii="Times New Roman" w:hAnsi="Times New Roman"/>
        <w:sz w:val="24"/>
        <w:szCs w:val="24"/>
      </w:rPr>
      <w:t>: 1902-AF96</w:t>
    </w:r>
  </w:p>
  <w:p w:rsidR="008E3C4F" w:rsidRPr="002953E1" w:rsidP="00C632FE" w14:paraId="48BC8A50" w14:textId="588CFCAB">
    <w:pPr>
      <w:pStyle w:val="Header"/>
      <w:rPr>
        <w:rFonts w:ascii="Times New Roman" w:hAnsi="Times New Roman"/>
        <w:sz w:val="20"/>
        <w:szCs w:val="20"/>
      </w:rPr>
    </w:pPr>
    <w:r>
      <w:rPr>
        <w:rFonts w:ascii="Times New Roman" w:hAnsi="Times New Roman"/>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64066"/>
    <w:multiLevelType w:val="hybridMultilevel"/>
    <w:tmpl w:val="AA68E0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F50755"/>
    <w:multiLevelType w:val="hybridMultilevel"/>
    <w:tmpl w:val="EAB0F5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D17ACB"/>
    <w:multiLevelType w:val="hybridMultilevel"/>
    <w:tmpl w:val="FC34F5D8"/>
    <w:lvl w:ilvl="0">
      <w:start w:val="1"/>
      <w:numFmt w:val="bullet"/>
      <w:lvlText w:val=""/>
      <w:lvlJc w:val="left"/>
      <w:pPr>
        <w:tabs>
          <w:tab w:val="num" w:pos="1440"/>
        </w:tabs>
        <w:ind w:left="1440" w:hanging="360"/>
      </w:pPr>
      <w:rPr>
        <w:rFonts w:ascii="Symbol" w:hAnsi="Symbol" w:hint="default"/>
        <w:color w:val="auto"/>
      </w:rPr>
    </w:lvl>
    <w:lvl w:ilvl="1">
      <w:start w:val="1"/>
      <w:numFmt w:val="decimal"/>
      <w:lvlText w:val="%2."/>
      <w:lvlJc w:val="left"/>
      <w:pPr>
        <w:tabs>
          <w:tab w:val="num" w:pos="1800"/>
        </w:tabs>
        <w:ind w:left="1800" w:hanging="360"/>
      </w:pPr>
      <w:rPr>
        <w:rFonts w:cs="Times New Roman"/>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3">
    <w:nsid w:val="0F4A3048"/>
    <w:multiLevelType w:val="hybridMultilevel"/>
    <w:tmpl w:val="005E7582"/>
    <w:lvl w:ilvl="0">
      <w:start w:val="1"/>
      <w:numFmt w:val="bullet"/>
      <w:lvlText w:val=""/>
      <w:lvlJc w:val="left"/>
      <w:pPr>
        <w:tabs>
          <w:tab w:val="num" w:pos="1440"/>
        </w:tabs>
        <w:ind w:left="1440" w:hanging="360"/>
      </w:pPr>
      <w:rPr>
        <w:rFonts w:ascii="Symbol" w:hAnsi="Symbol" w:hint="default"/>
        <w:color w:val="auto"/>
      </w:rPr>
    </w:lvl>
    <w:lvl w:ilvl="1">
      <w:start w:val="1"/>
      <w:numFmt w:val="decimal"/>
      <w:lvlText w:val="%2."/>
      <w:lvlJc w:val="left"/>
      <w:pPr>
        <w:tabs>
          <w:tab w:val="num" w:pos="1800"/>
        </w:tabs>
        <w:ind w:left="1800" w:hanging="360"/>
      </w:pPr>
      <w:rPr>
        <w:rFonts w:cs="Times New Roman"/>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4">
    <w:nsid w:val="0F502655"/>
    <w:multiLevelType w:val="hybridMultilevel"/>
    <w:tmpl w:val="A182A734"/>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6C2963"/>
    <w:multiLevelType w:val="hybridMultilevel"/>
    <w:tmpl w:val="CE1A700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4113FB"/>
    <w:multiLevelType w:val="hybridMultilevel"/>
    <w:tmpl w:val="93E06B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17908C3"/>
    <w:multiLevelType w:val="multilevel"/>
    <w:tmpl w:val="09BE2CF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1118BC"/>
    <w:multiLevelType w:val="hybridMultilevel"/>
    <w:tmpl w:val="8BDAC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4B6162D"/>
    <w:multiLevelType w:val="hybridMultilevel"/>
    <w:tmpl w:val="D9DA28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0C7D1B"/>
    <w:multiLevelType w:val="hybridMultilevel"/>
    <w:tmpl w:val="ADCE66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C7C4573"/>
    <w:multiLevelType w:val="hybridMultilevel"/>
    <w:tmpl w:val="4208A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F14D98"/>
    <w:multiLevelType w:val="hybridMultilevel"/>
    <w:tmpl w:val="1438F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EF3953"/>
    <w:multiLevelType w:val="hybridMultilevel"/>
    <w:tmpl w:val="CFE886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6051A2B"/>
    <w:multiLevelType w:val="hybridMultilevel"/>
    <w:tmpl w:val="403A86EC"/>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5">
    <w:nsid w:val="376A0BBF"/>
    <w:multiLevelType w:val="hybridMultilevel"/>
    <w:tmpl w:val="BC00F5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86A02FA"/>
    <w:multiLevelType w:val="hybridMultilevel"/>
    <w:tmpl w:val="E0CCA850"/>
    <w:lvl w:ilvl="0">
      <w:start w:val="1"/>
      <w:numFmt w:val="decimal"/>
      <w:lvlText w:val="%1)"/>
      <w:lvlJc w:val="left"/>
      <w:pPr>
        <w:ind w:left="720" w:hanging="360"/>
      </w:pPr>
      <w:rPr>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2614ABA"/>
    <w:multiLevelType w:val="hybridMultilevel"/>
    <w:tmpl w:val="E314F6B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77D38C3"/>
    <w:multiLevelType w:val="hybridMultilevel"/>
    <w:tmpl w:val="B68232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C0D4B3C"/>
    <w:multiLevelType w:val="hybridMultilevel"/>
    <w:tmpl w:val="04F6BC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FCC1895"/>
    <w:multiLevelType w:val="hybridMultilevel"/>
    <w:tmpl w:val="AD6818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0D40E9F"/>
    <w:multiLevelType w:val="hybridMultilevel"/>
    <w:tmpl w:val="4DF8B6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2460FD9"/>
    <w:multiLevelType w:val="hybridMultilevel"/>
    <w:tmpl w:val="371A5118"/>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5">
    <w:nsid w:val="5BA62A20"/>
    <w:multiLevelType w:val="hybridMultilevel"/>
    <w:tmpl w:val="3A36B0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6437021"/>
    <w:multiLevelType w:val="hybridMultilevel"/>
    <w:tmpl w:val="A2BEE8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69AF1DF6"/>
    <w:multiLevelType w:val="hybridMultilevel"/>
    <w:tmpl w:val="48FE9A9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9">
    <w:nsid w:val="6D843B68"/>
    <w:multiLevelType w:val="hybridMultilevel"/>
    <w:tmpl w:val="6F9C4BE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9AF0F0F"/>
    <w:multiLevelType w:val="hybridMultilevel"/>
    <w:tmpl w:val="04BC191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F3C7DBB"/>
    <w:multiLevelType w:val="hybridMultilevel"/>
    <w:tmpl w:val="35648F04"/>
    <w:lvl w:ilvl="0">
      <w:start w:val="1"/>
      <w:numFmt w:val="decimal"/>
      <w:lvlText w:val="%1."/>
      <w:lvlJc w:val="left"/>
      <w:pPr>
        <w:ind w:left="45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50755630">
    <w:abstractNumId w:val="22"/>
  </w:num>
  <w:num w:numId="2" w16cid:durableId="2009476938">
    <w:abstractNumId w:val="28"/>
  </w:num>
  <w:num w:numId="3" w16cid:durableId="2031106488">
    <w:abstractNumId w:val="20"/>
  </w:num>
  <w:num w:numId="4" w16cid:durableId="583801337">
    <w:abstractNumId w:val="29"/>
  </w:num>
  <w:num w:numId="5" w16cid:durableId="1137063950">
    <w:abstractNumId w:val="6"/>
  </w:num>
  <w:num w:numId="6" w16cid:durableId="1104301281">
    <w:abstractNumId w:val="30"/>
  </w:num>
  <w:num w:numId="7" w16cid:durableId="1481266597">
    <w:abstractNumId w:val="7"/>
  </w:num>
  <w:num w:numId="8" w16cid:durableId="1329946152">
    <w:abstractNumId w:val="4"/>
  </w:num>
  <w:num w:numId="9" w16cid:durableId="1622684606">
    <w:abstractNumId w:val="18"/>
  </w:num>
  <w:num w:numId="10" w16cid:durableId="1219629684">
    <w:abstractNumId w:val="10"/>
  </w:num>
  <w:num w:numId="11" w16cid:durableId="410280613">
    <w:abstractNumId w:val="23"/>
  </w:num>
  <w:num w:numId="12" w16cid:durableId="1856726513">
    <w:abstractNumId w:val="17"/>
  </w:num>
  <w:num w:numId="13" w16cid:durableId="1554653809">
    <w:abstractNumId w:val="5"/>
  </w:num>
  <w:num w:numId="14" w16cid:durableId="1540164525">
    <w:abstractNumId w:val="31"/>
  </w:num>
  <w:num w:numId="15" w16cid:durableId="2049446521">
    <w:abstractNumId w:val="12"/>
  </w:num>
  <w:num w:numId="16" w16cid:durableId="877087313">
    <w:abstractNumId w:val="25"/>
  </w:num>
  <w:num w:numId="17" w16cid:durableId="154151277">
    <w:abstractNumId w:val="9"/>
  </w:num>
  <w:num w:numId="18" w16cid:durableId="693533955">
    <w:abstractNumId w:val="16"/>
  </w:num>
  <w:num w:numId="19" w16cid:durableId="1261648387">
    <w:abstractNumId w:val="21"/>
  </w:num>
  <w:num w:numId="20" w16cid:durableId="1062632958">
    <w:abstractNumId w:val="19"/>
  </w:num>
  <w:num w:numId="21" w16cid:durableId="293411349">
    <w:abstractNumId w:val="27"/>
  </w:num>
  <w:num w:numId="22" w16cid:durableId="1213811510">
    <w:abstractNumId w:val="15"/>
  </w:num>
  <w:num w:numId="23" w16cid:durableId="1497378438">
    <w:abstractNumId w:val="11"/>
  </w:num>
  <w:num w:numId="24" w16cid:durableId="17124213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1927545">
    <w:abstractNumId w:val="3"/>
    <w:lvlOverride w:ilvl="0"/>
    <w:lvlOverride w:ilvl="1">
      <w:startOverride w:val="1"/>
    </w:lvlOverride>
    <w:lvlOverride w:ilvl="2"/>
    <w:lvlOverride w:ilvl="3"/>
    <w:lvlOverride w:ilvl="4"/>
    <w:lvlOverride w:ilvl="5"/>
    <w:lvlOverride w:ilvl="6"/>
    <w:lvlOverride w:ilvl="7"/>
    <w:lvlOverride w:ilvl="8"/>
  </w:num>
  <w:num w:numId="26" w16cid:durableId="1691056734">
    <w:abstractNumId w:val="2"/>
    <w:lvlOverride w:ilvl="0"/>
    <w:lvlOverride w:ilvl="1">
      <w:startOverride w:val="1"/>
    </w:lvlOverride>
    <w:lvlOverride w:ilvl="2"/>
    <w:lvlOverride w:ilvl="3"/>
    <w:lvlOverride w:ilvl="4"/>
    <w:lvlOverride w:ilvl="5"/>
    <w:lvlOverride w:ilvl="6"/>
    <w:lvlOverride w:ilvl="7"/>
    <w:lvlOverride w:ilvl="8"/>
  </w:num>
  <w:num w:numId="27" w16cid:durableId="507256837">
    <w:abstractNumId w:val="24"/>
  </w:num>
  <w:num w:numId="28" w16cid:durableId="967128291">
    <w:abstractNumId w:val="14"/>
  </w:num>
  <w:num w:numId="29" w16cid:durableId="1723212624">
    <w:abstractNumId w:val="26"/>
  </w:num>
  <w:num w:numId="30" w16cid:durableId="1156384990">
    <w:abstractNumId w:val="2"/>
  </w:num>
  <w:num w:numId="31" w16cid:durableId="1115638972">
    <w:abstractNumId w:val="1"/>
  </w:num>
  <w:num w:numId="32" w16cid:durableId="179200410">
    <w:abstractNumId w:val="13"/>
  </w:num>
  <w:num w:numId="33" w16cid:durableId="1410269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55"/>
    <w:rsid w:val="00000F93"/>
    <w:rsid w:val="00003D06"/>
    <w:rsid w:val="0000579D"/>
    <w:rsid w:val="000076FA"/>
    <w:rsid w:val="00015810"/>
    <w:rsid w:val="000201FB"/>
    <w:rsid w:val="00020470"/>
    <w:rsid w:val="00025A95"/>
    <w:rsid w:val="00027DC9"/>
    <w:rsid w:val="00030D70"/>
    <w:rsid w:val="0003147A"/>
    <w:rsid w:val="00031C79"/>
    <w:rsid w:val="0003545C"/>
    <w:rsid w:val="00036D30"/>
    <w:rsid w:val="00037F63"/>
    <w:rsid w:val="00040F9F"/>
    <w:rsid w:val="0004170D"/>
    <w:rsid w:val="00041ECE"/>
    <w:rsid w:val="00042C21"/>
    <w:rsid w:val="00042FA5"/>
    <w:rsid w:val="00043480"/>
    <w:rsid w:val="00044A19"/>
    <w:rsid w:val="00045518"/>
    <w:rsid w:val="000457E0"/>
    <w:rsid w:val="00045EFB"/>
    <w:rsid w:val="00052172"/>
    <w:rsid w:val="000537E0"/>
    <w:rsid w:val="00062D93"/>
    <w:rsid w:val="000650FC"/>
    <w:rsid w:val="00066375"/>
    <w:rsid w:val="000677D6"/>
    <w:rsid w:val="00072071"/>
    <w:rsid w:val="0007469F"/>
    <w:rsid w:val="00075D7D"/>
    <w:rsid w:val="000762E1"/>
    <w:rsid w:val="00077B16"/>
    <w:rsid w:val="0008302B"/>
    <w:rsid w:val="0008322C"/>
    <w:rsid w:val="000836EF"/>
    <w:rsid w:val="00083A04"/>
    <w:rsid w:val="00084A7F"/>
    <w:rsid w:val="00085070"/>
    <w:rsid w:val="000855DE"/>
    <w:rsid w:val="000856A0"/>
    <w:rsid w:val="0008628B"/>
    <w:rsid w:val="000904E1"/>
    <w:rsid w:val="0009171A"/>
    <w:rsid w:val="00092424"/>
    <w:rsid w:val="000924F2"/>
    <w:rsid w:val="000930CB"/>
    <w:rsid w:val="000951BE"/>
    <w:rsid w:val="0009656C"/>
    <w:rsid w:val="000A018B"/>
    <w:rsid w:val="000A40AD"/>
    <w:rsid w:val="000A4B85"/>
    <w:rsid w:val="000A4E4C"/>
    <w:rsid w:val="000A58EA"/>
    <w:rsid w:val="000A6077"/>
    <w:rsid w:val="000A706F"/>
    <w:rsid w:val="000B0965"/>
    <w:rsid w:val="000B40D1"/>
    <w:rsid w:val="000B51EA"/>
    <w:rsid w:val="000B5CD2"/>
    <w:rsid w:val="000B72B1"/>
    <w:rsid w:val="000C0209"/>
    <w:rsid w:val="000C05E9"/>
    <w:rsid w:val="000C393C"/>
    <w:rsid w:val="000D05E9"/>
    <w:rsid w:val="000D0959"/>
    <w:rsid w:val="000D1A99"/>
    <w:rsid w:val="000D1D54"/>
    <w:rsid w:val="000D3F25"/>
    <w:rsid w:val="000D72FE"/>
    <w:rsid w:val="000E2CA4"/>
    <w:rsid w:val="000E2E26"/>
    <w:rsid w:val="000E2F0F"/>
    <w:rsid w:val="000E332B"/>
    <w:rsid w:val="000E4567"/>
    <w:rsid w:val="000E47FC"/>
    <w:rsid w:val="000E4925"/>
    <w:rsid w:val="000E4E87"/>
    <w:rsid w:val="000E76BD"/>
    <w:rsid w:val="000F07BD"/>
    <w:rsid w:val="000F1339"/>
    <w:rsid w:val="000F1377"/>
    <w:rsid w:val="000F4303"/>
    <w:rsid w:val="000F448F"/>
    <w:rsid w:val="000F49DF"/>
    <w:rsid w:val="000F619B"/>
    <w:rsid w:val="000F6ABA"/>
    <w:rsid w:val="00100E2F"/>
    <w:rsid w:val="001021F0"/>
    <w:rsid w:val="001029BE"/>
    <w:rsid w:val="00102BD6"/>
    <w:rsid w:val="0010332E"/>
    <w:rsid w:val="00104ACF"/>
    <w:rsid w:val="00104CF7"/>
    <w:rsid w:val="00105451"/>
    <w:rsid w:val="00105D44"/>
    <w:rsid w:val="001072E3"/>
    <w:rsid w:val="00107DA8"/>
    <w:rsid w:val="001114E4"/>
    <w:rsid w:val="00111642"/>
    <w:rsid w:val="00111E0C"/>
    <w:rsid w:val="001121AE"/>
    <w:rsid w:val="00112D70"/>
    <w:rsid w:val="00116509"/>
    <w:rsid w:val="00116766"/>
    <w:rsid w:val="00116CF2"/>
    <w:rsid w:val="0012028E"/>
    <w:rsid w:val="001236C8"/>
    <w:rsid w:val="001263E8"/>
    <w:rsid w:val="001265D4"/>
    <w:rsid w:val="00127815"/>
    <w:rsid w:val="00130FC3"/>
    <w:rsid w:val="00132BDA"/>
    <w:rsid w:val="00132EEB"/>
    <w:rsid w:val="00133311"/>
    <w:rsid w:val="00133C20"/>
    <w:rsid w:val="001360DE"/>
    <w:rsid w:val="0013718A"/>
    <w:rsid w:val="00137958"/>
    <w:rsid w:val="00141ED0"/>
    <w:rsid w:val="00141EF9"/>
    <w:rsid w:val="001432A0"/>
    <w:rsid w:val="00145B05"/>
    <w:rsid w:val="00147C65"/>
    <w:rsid w:val="00147FB6"/>
    <w:rsid w:val="00151068"/>
    <w:rsid w:val="00151780"/>
    <w:rsid w:val="00151D8D"/>
    <w:rsid w:val="00151E08"/>
    <w:rsid w:val="00152282"/>
    <w:rsid w:val="00156589"/>
    <w:rsid w:val="00157463"/>
    <w:rsid w:val="001636C5"/>
    <w:rsid w:val="00163942"/>
    <w:rsid w:val="001668D3"/>
    <w:rsid w:val="00167AE2"/>
    <w:rsid w:val="00172F51"/>
    <w:rsid w:val="00173D17"/>
    <w:rsid w:val="00175DD8"/>
    <w:rsid w:val="00177716"/>
    <w:rsid w:val="00183A75"/>
    <w:rsid w:val="00183B18"/>
    <w:rsid w:val="00183CBA"/>
    <w:rsid w:val="00186976"/>
    <w:rsid w:val="00186C42"/>
    <w:rsid w:val="00187445"/>
    <w:rsid w:val="00187B3E"/>
    <w:rsid w:val="00187F2E"/>
    <w:rsid w:val="001902A4"/>
    <w:rsid w:val="001936D1"/>
    <w:rsid w:val="001968EA"/>
    <w:rsid w:val="0019752D"/>
    <w:rsid w:val="001A153B"/>
    <w:rsid w:val="001A450A"/>
    <w:rsid w:val="001A5362"/>
    <w:rsid w:val="001A62D9"/>
    <w:rsid w:val="001A6AE8"/>
    <w:rsid w:val="001A7950"/>
    <w:rsid w:val="001B0A54"/>
    <w:rsid w:val="001B2309"/>
    <w:rsid w:val="001B3255"/>
    <w:rsid w:val="001B430C"/>
    <w:rsid w:val="001B5056"/>
    <w:rsid w:val="001C2900"/>
    <w:rsid w:val="001C2A53"/>
    <w:rsid w:val="001C34B8"/>
    <w:rsid w:val="001C4846"/>
    <w:rsid w:val="001C74AB"/>
    <w:rsid w:val="001C7BE9"/>
    <w:rsid w:val="001D0B5C"/>
    <w:rsid w:val="001D1B4E"/>
    <w:rsid w:val="001D289D"/>
    <w:rsid w:val="001D3353"/>
    <w:rsid w:val="001D4C72"/>
    <w:rsid w:val="001D550F"/>
    <w:rsid w:val="001D5571"/>
    <w:rsid w:val="001D5674"/>
    <w:rsid w:val="001D67DD"/>
    <w:rsid w:val="001D67EE"/>
    <w:rsid w:val="001D7B2E"/>
    <w:rsid w:val="001E139D"/>
    <w:rsid w:val="001E1528"/>
    <w:rsid w:val="001E1BBC"/>
    <w:rsid w:val="001E33A6"/>
    <w:rsid w:val="001E3E6B"/>
    <w:rsid w:val="001E42AD"/>
    <w:rsid w:val="001E47A0"/>
    <w:rsid w:val="001E55A1"/>
    <w:rsid w:val="001E5D9D"/>
    <w:rsid w:val="001E70C6"/>
    <w:rsid w:val="001F096A"/>
    <w:rsid w:val="001F0A0B"/>
    <w:rsid w:val="001F0B90"/>
    <w:rsid w:val="001F170D"/>
    <w:rsid w:val="001F18B7"/>
    <w:rsid w:val="001F2364"/>
    <w:rsid w:val="001F56F4"/>
    <w:rsid w:val="001F7477"/>
    <w:rsid w:val="00200CB5"/>
    <w:rsid w:val="00201715"/>
    <w:rsid w:val="00201EDE"/>
    <w:rsid w:val="0020207C"/>
    <w:rsid w:val="00203031"/>
    <w:rsid w:val="002123B8"/>
    <w:rsid w:val="00214C0F"/>
    <w:rsid w:val="002166E8"/>
    <w:rsid w:val="002200D8"/>
    <w:rsid w:val="002213AA"/>
    <w:rsid w:val="00221430"/>
    <w:rsid w:val="0022155D"/>
    <w:rsid w:val="00221EB9"/>
    <w:rsid w:val="00222295"/>
    <w:rsid w:val="00222BC5"/>
    <w:rsid w:val="00222DAD"/>
    <w:rsid w:val="00227E8A"/>
    <w:rsid w:val="00227F0E"/>
    <w:rsid w:val="0023006B"/>
    <w:rsid w:val="00230706"/>
    <w:rsid w:val="00231C3E"/>
    <w:rsid w:val="00232129"/>
    <w:rsid w:val="00232B1B"/>
    <w:rsid w:val="00232DF7"/>
    <w:rsid w:val="00233478"/>
    <w:rsid w:val="00233709"/>
    <w:rsid w:val="00234AC3"/>
    <w:rsid w:val="002356D9"/>
    <w:rsid w:val="00236DFB"/>
    <w:rsid w:val="002373C6"/>
    <w:rsid w:val="00241AFC"/>
    <w:rsid w:val="00241CFA"/>
    <w:rsid w:val="00244BC9"/>
    <w:rsid w:val="002460B9"/>
    <w:rsid w:val="002476F2"/>
    <w:rsid w:val="00247EBC"/>
    <w:rsid w:val="00253F79"/>
    <w:rsid w:val="002545FF"/>
    <w:rsid w:val="002570FB"/>
    <w:rsid w:val="00260AA6"/>
    <w:rsid w:val="0026269A"/>
    <w:rsid w:val="00264FED"/>
    <w:rsid w:val="002657E6"/>
    <w:rsid w:val="002665D6"/>
    <w:rsid w:val="00266990"/>
    <w:rsid w:val="00266DA7"/>
    <w:rsid w:val="0026713B"/>
    <w:rsid w:val="00271EF4"/>
    <w:rsid w:val="00272E94"/>
    <w:rsid w:val="002743E7"/>
    <w:rsid w:val="00274467"/>
    <w:rsid w:val="00276398"/>
    <w:rsid w:val="0027683E"/>
    <w:rsid w:val="0027754C"/>
    <w:rsid w:val="002801E0"/>
    <w:rsid w:val="00281BA3"/>
    <w:rsid w:val="00281E62"/>
    <w:rsid w:val="00283BFF"/>
    <w:rsid w:val="00284E19"/>
    <w:rsid w:val="00286A0D"/>
    <w:rsid w:val="002913ED"/>
    <w:rsid w:val="002920C7"/>
    <w:rsid w:val="002928D2"/>
    <w:rsid w:val="00293111"/>
    <w:rsid w:val="00293F34"/>
    <w:rsid w:val="002948FB"/>
    <w:rsid w:val="00295050"/>
    <w:rsid w:val="002953E1"/>
    <w:rsid w:val="002959EB"/>
    <w:rsid w:val="00295EB7"/>
    <w:rsid w:val="0029781A"/>
    <w:rsid w:val="002A352B"/>
    <w:rsid w:val="002A37EE"/>
    <w:rsid w:val="002A56EC"/>
    <w:rsid w:val="002A725B"/>
    <w:rsid w:val="002B093B"/>
    <w:rsid w:val="002B419F"/>
    <w:rsid w:val="002B4655"/>
    <w:rsid w:val="002B4D57"/>
    <w:rsid w:val="002B60DD"/>
    <w:rsid w:val="002B65B9"/>
    <w:rsid w:val="002B692F"/>
    <w:rsid w:val="002B6A22"/>
    <w:rsid w:val="002C04ED"/>
    <w:rsid w:val="002C0782"/>
    <w:rsid w:val="002C0DA6"/>
    <w:rsid w:val="002C248B"/>
    <w:rsid w:val="002C2F20"/>
    <w:rsid w:val="002C3322"/>
    <w:rsid w:val="002C38E8"/>
    <w:rsid w:val="002C3D5D"/>
    <w:rsid w:val="002C5E41"/>
    <w:rsid w:val="002C6711"/>
    <w:rsid w:val="002D0023"/>
    <w:rsid w:val="002D2A01"/>
    <w:rsid w:val="002D33C0"/>
    <w:rsid w:val="002D5CAD"/>
    <w:rsid w:val="002D7472"/>
    <w:rsid w:val="002E034F"/>
    <w:rsid w:val="002E1D89"/>
    <w:rsid w:val="002E36BA"/>
    <w:rsid w:val="002E3C82"/>
    <w:rsid w:val="002E4216"/>
    <w:rsid w:val="002E44FB"/>
    <w:rsid w:val="002E7379"/>
    <w:rsid w:val="002F0CAD"/>
    <w:rsid w:val="002F30F7"/>
    <w:rsid w:val="002F3E65"/>
    <w:rsid w:val="002F405E"/>
    <w:rsid w:val="002F471F"/>
    <w:rsid w:val="002F4935"/>
    <w:rsid w:val="002F5C7C"/>
    <w:rsid w:val="002F641C"/>
    <w:rsid w:val="00300112"/>
    <w:rsid w:val="003003CD"/>
    <w:rsid w:val="003023A8"/>
    <w:rsid w:val="00304F42"/>
    <w:rsid w:val="003056DE"/>
    <w:rsid w:val="00305824"/>
    <w:rsid w:val="00306736"/>
    <w:rsid w:val="003072DA"/>
    <w:rsid w:val="0030738E"/>
    <w:rsid w:val="003076AC"/>
    <w:rsid w:val="003136A8"/>
    <w:rsid w:val="003147E3"/>
    <w:rsid w:val="0031780A"/>
    <w:rsid w:val="00320FF6"/>
    <w:rsid w:val="00321BC8"/>
    <w:rsid w:val="00322F2C"/>
    <w:rsid w:val="00325916"/>
    <w:rsid w:val="0032632B"/>
    <w:rsid w:val="003310A7"/>
    <w:rsid w:val="00331936"/>
    <w:rsid w:val="00331FD7"/>
    <w:rsid w:val="0033202E"/>
    <w:rsid w:val="0033348C"/>
    <w:rsid w:val="003334C6"/>
    <w:rsid w:val="00334904"/>
    <w:rsid w:val="00335D5D"/>
    <w:rsid w:val="00337481"/>
    <w:rsid w:val="00337563"/>
    <w:rsid w:val="003376ED"/>
    <w:rsid w:val="00340184"/>
    <w:rsid w:val="0034121C"/>
    <w:rsid w:val="00343643"/>
    <w:rsid w:val="00344C60"/>
    <w:rsid w:val="00350B71"/>
    <w:rsid w:val="00353A92"/>
    <w:rsid w:val="00353E6D"/>
    <w:rsid w:val="00353FF7"/>
    <w:rsid w:val="003566C5"/>
    <w:rsid w:val="003566C8"/>
    <w:rsid w:val="003568D6"/>
    <w:rsid w:val="00357252"/>
    <w:rsid w:val="00360789"/>
    <w:rsid w:val="00360969"/>
    <w:rsid w:val="00360DDD"/>
    <w:rsid w:val="00361948"/>
    <w:rsid w:val="00361A96"/>
    <w:rsid w:val="003625D4"/>
    <w:rsid w:val="003633BE"/>
    <w:rsid w:val="00363EE5"/>
    <w:rsid w:val="00364AC2"/>
    <w:rsid w:val="00364E7B"/>
    <w:rsid w:val="003665B8"/>
    <w:rsid w:val="00366CFE"/>
    <w:rsid w:val="0037124F"/>
    <w:rsid w:val="003725EE"/>
    <w:rsid w:val="00375F0B"/>
    <w:rsid w:val="00376D8D"/>
    <w:rsid w:val="00380BA3"/>
    <w:rsid w:val="00380F3F"/>
    <w:rsid w:val="0038193A"/>
    <w:rsid w:val="003821F1"/>
    <w:rsid w:val="003856AE"/>
    <w:rsid w:val="00386869"/>
    <w:rsid w:val="0039091C"/>
    <w:rsid w:val="00390C6F"/>
    <w:rsid w:val="003911CF"/>
    <w:rsid w:val="00391707"/>
    <w:rsid w:val="00391797"/>
    <w:rsid w:val="00395C37"/>
    <w:rsid w:val="00395E45"/>
    <w:rsid w:val="00397094"/>
    <w:rsid w:val="00397505"/>
    <w:rsid w:val="003A23FA"/>
    <w:rsid w:val="003A3343"/>
    <w:rsid w:val="003A3DE2"/>
    <w:rsid w:val="003A4EF3"/>
    <w:rsid w:val="003B102E"/>
    <w:rsid w:val="003B3352"/>
    <w:rsid w:val="003B43FE"/>
    <w:rsid w:val="003B49ED"/>
    <w:rsid w:val="003B5869"/>
    <w:rsid w:val="003B6C91"/>
    <w:rsid w:val="003C070E"/>
    <w:rsid w:val="003C0E57"/>
    <w:rsid w:val="003C1A04"/>
    <w:rsid w:val="003C261F"/>
    <w:rsid w:val="003C3D8F"/>
    <w:rsid w:val="003C41CE"/>
    <w:rsid w:val="003C44ED"/>
    <w:rsid w:val="003C62D2"/>
    <w:rsid w:val="003C729F"/>
    <w:rsid w:val="003D07C5"/>
    <w:rsid w:val="003D08BB"/>
    <w:rsid w:val="003D205A"/>
    <w:rsid w:val="003D2490"/>
    <w:rsid w:val="003D430E"/>
    <w:rsid w:val="003D4AE3"/>
    <w:rsid w:val="003D668E"/>
    <w:rsid w:val="003D79BB"/>
    <w:rsid w:val="003E3380"/>
    <w:rsid w:val="003E4AD1"/>
    <w:rsid w:val="003E4D39"/>
    <w:rsid w:val="003E5CC1"/>
    <w:rsid w:val="003E6B4D"/>
    <w:rsid w:val="003E74C9"/>
    <w:rsid w:val="003F25BB"/>
    <w:rsid w:val="003F4A59"/>
    <w:rsid w:val="003F6F9B"/>
    <w:rsid w:val="003F749E"/>
    <w:rsid w:val="003F7BF5"/>
    <w:rsid w:val="0040101D"/>
    <w:rsid w:val="00403FA6"/>
    <w:rsid w:val="0040685D"/>
    <w:rsid w:val="004101B0"/>
    <w:rsid w:val="004102E6"/>
    <w:rsid w:val="00411202"/>
    <w:rsid w:val="004124EF"/>
    <w:rsid w:val="00413357"/>
    <w:rsid w:val="00413BEE"/>
    <w:rsid w:val="00413C13"/>
    <w:rsid w:val="00414464"/>
    <w:rsid w:val="00414BC7"/>
    <w:rsid w:val="00415251"/>
    <w:rsid w:val="00415856"/>
    <w:rsid w:val="00421ABB"/>
    <w:rsid w:val="004242EF"/>
    <w:rsid w:val="00425155"/>
    <w:rsid w:val="004259BE"/>
    <w:rsid w:val="00427C6E"/>
    <w:rsid w:val="00432C38"/>
    <w:rsid w:val="004345EE"/>
    <w:rsid w:val="00434D25"/>
    <w:rsid w:val="00434D67"/>
    <w:rsid w:val="004355FC"/>
    <w:rsid w:val="00436544"/>
    <w:rsid w:val="00436BC1"/>
    <w:rsid w:val="004412C2"/>
    <w:rsid w:val="004432C4"/>
    <w:rsid w:val="0044394A"/>
    <w:rsid w:val="0044420D"/>
    <w:rsid w:val="00444280"/>
    <w:rsid w:val="00444460"/>
    <w:rsid w:val="00444888"/>
    <w:rsid w:val="0044598A"/>
    <w:rsid w:val="00445DAD"/>
    <w:rsid w:val="00446E92"/>
    <w:rsid w:val="004470B4"/>
    <w:rsid w:val="0044734D"/>
    <w:rsid w:val="00450550"/>
    <w:rsid w:val="00450F57"/>
    <w:rsid w:val="00453885"/>
    <w:rsid w:val="004547FE"/>
    <w:rsid w:val="0045485B"/>
    <w:rsid w:val="00456A2B"/>
    <w:rsid w:val="00457793"/>
    <w:rsid w:val="004604BA"/>
    <w:rsid w:val="00460D05"/>
    <w:rsid w:val="004665B0"/>
    <w:rsid w:val="0047089C"/>
    <w:rsid w:val="0047172F"/>
    <w:rsid w:val="00471F97"/>
    <w:rsid w:val="004729E7"/>
    <w:rsid w:val="004733B2"/>
    <w:rsid w:val="00475233"/>
    <w:rsid w:val="0047741E"/>
    <w:rsid w:val="00480D2F"/>
    <w:rsid w:val="004830DC"/>
    <w:rsid w:val="0048721A"/>
    <w:rsid w:val="00487B87"/>
    <w:rsid w:val="00487C6B"/>
    <w:rsid w:val="00490D11"/>
    <w:rsid w:val="00491568"/>
    <w:rsid w:val="00491CB3"/>
    <w:rsid w:val="00491D03"/>
    <w:rsid w:val="00492E54"/>
    <w:rsid w:val="00493DD9"/>
    <w:rsid w:val="00494814"/>
    <w:rsid w:val="004960EB"/>
    <w:rsid w:val="004977E2"/>
    <w:rsid w:val="00497F41"/>
    <w:rsid w:val="004A2047"/>
    <w:rsid w:val="004A25C1"/>
    <w:rsid w:val="004A36E5"/>
    <w:rsid w:val="004A3B7F"/>
    <w:rsid w:val="004A524D"/>
    <w:rsid w:val="004B26EF"/>
    <w:rsid w:val="004B2E4A"/>
    <w:rsid w:val="004B30DA"/>
    <w:rsid w:val="004B31EF"/>
    <w:rsid w:val="004B5296"/>
    <w:rsid w:val="004B7E8E"/>
    <w:rsid w:val="004C3208"/>
    <w:rsid w:val="004C3C5F"/>
    <w:rsid w:val="004C5451"/>
    <w:rsid w:val="004C5C74"/>
    <w:rsid w:val="004C77D5"/>
    <w:rsid w:val="004C7946"/>
    <w:rsid w:val="004D0087"/>
    <w:rsid w:val="004D0568"/>
    <w:rsid w:val="004D07A4"/>
    <w:rsid w:val="004D22D0"/>
    <w:rsid w:val="004D25D2"/>
    <w:rsid w:val="004D5AAD"/>
    <w:rsid w:val="004D6D5A"/>
    <w:rsid w:val="004E0BBC"/>
    <w:rsid w:val="004E2A6E"/>
    <w:rsid w:val="004E614A"/>
    <w:rsid w:val="004F0530"/>
    <w:rsid w:val="004F08F7"/>
    <w:rsid w:val="004F0B4D"/>
    <w:rsid w:val="004F4BCE"/>
    <w:rsid w:val="004F5376"/>
    <w:rsid w:val="004F67F6"/>
    <w:rsid w:val="0050069B"/>
    <w:rsid w:val="00500D5E"/>
    <w:rsid w:val="0050228B"/>
    <w:rsid w:val="00503C59"/>
    <w:rsid w:val="005052A7"/>
    <w:rsid w:val="0050565E"/>
    <w:rsid w:val="00505D03"/>
    <w:rsid w:val="00510E25"/>
    <w:rsid w:val="00512214"/>
    <w:rsid w:val="00513CC8"/>
    <w:rsid w:val="0051491B"/>
    <w:rsid w:val="00515869"/>
    <w:rsid w:val="00515F5E"/>
    <w:rsid w:val="005162D1"/>
    <w:rsid w:val="00516A16"/>
    <w:rsid w:val="00517EC0"/>
    <w:rsid w:val="00522B84"/>
    <w:rsid w:val="00523EBC"/>
    <w:rsid w:val="00524C2C"/>
    <w:rsid w:val="005250E1"/>
    <w:rsid w:val="0052605E"/>
    <w:rsid w:val="00531594"/>
    <w:rsid w:val="00532A90"/>
    <w:rsid w:val="00532CEA"/>
    <w:rsid w:val="00533D70"/>
    <w:rsid w:val="00534DFB"/>
    <w:rsid w:val="00536175"/>
    <w:rsid w:val="005365A6"/>
    <w:rsid w:val="005373CC"/>
    <w:rsid w:val="0054216B"/>
    <w:rsid w:val="00542725"/>
    <w:rsid w:val="00542F3A"/>
    <w:rsid w:val="00544CF5"/>
    <w:rsid w:val="005513D0"/>
    <w:rsid w:val="00551756"/>
    <w:rsid w:val="0055244E"/>
    <w:rsid w:val="005532A7"/>
    <w:rsid w:val="00554E46"/>
    <w:rsid w:val="00554E82"/>
    <w:rsid w:val="00555470"/>
    <w:rsid w:val="00563359"/>
    <w:rsid w:val="00563FE6"/>
    <w:rsid w:val="00565432"/>
    <w:rsid w:val="00566FD5"/>
    <w:rsid w:val="005676E5"/>
    <w:rsid w:val="00570BB8"/>
    <w:rsid w:val="00570BC1"/>
    <w:rsid w:val="005748BB"/>
    <w:rsid w:val="00576235"/>
    <w:rsid w:val="00576739"/>
    <w:rsid w:val="00577119"/>
    <w:rsid w:val="00577B00"/>
    <w:rsid w:val="0058372E"/>
    <w:rsid w:val="00583991"/>
    <w:rsid w:val="00583C4B"/>
    <w:rsid w:val="00584669"/>
    <w:rsid w:val="0058588E"/>
    <w:rsid w:val="00586881"/>
    <w:rsid w:val="00587081"/>
    <w:rsid w:val="00587AD0"/>
    <w:rsid w:val="005900E2"/>
    <w:rsid w:val="00590632"/>
    <w:rsid w:val="0059069E"/>
    <w:rsid w:val="005929C3"/>
    <w:rsid w:val="005932F8"/>
    <w:rsid w:val="00594854"/>
    <w:rsid w:val="00594E71"/>
    <w:rsid w:val="00595902"/>
    <w:rsid w:val="00595F2B"/>
    <w:rsid w:val="005A007F"/>
    <w:rsid w:val="005A076F"/>
    <w:rsid w:val="005A0F1F"/>
    <w:rsid w:val="005A33F0"/>
    <w:rsid w:val="005A3D1C"/>
    <w:rsid w:val="005A6433"/>
    <w:rsid w:val="005A687C"/>
    <w:rsid w:val="005A7AF4"/>
    <w:rsid w:val="005B0185"/>
    <w:rsid w:val="005B04A8"/>
    <w:rsid w:val="005B04C3"/>
    <w:rsid w:val="005B2FD6"/>
    <w:rsid w:val="005B41CA"/>
    <w:rsid w:val="005B4F28"/>
    <w:rsid w:val="005B7BC6"/>
    <w:rsid w:val="005C2270"/>
    <w:rsid w:val="005C2389"/>
    <w:rsid w:val="005C24AF"/>
    <w:rsid w:val="005C48B9"/>
    <w:rsid w:val="005C55C8"/>
    <w:rsid w:val="005C5D9F"/>
    <w:rsid w:val="005C5DAB"/>
    <w:rsid w:val="005C5FA3"/>
    <w:rsid w:val="005C65C3"/>
    <w:rsid w:val="005D08A7"/>
    <w:rsid w:val="005D1C9E"/>
    <w:rsid w:val="005D2688"/>
    <w:rsid w:val="005D3BC2"/>
    <w:rsid w:val="005D4F8B"/>
    <w:rsid w:val="005D6962"/>
    <w:rsid w:val="005E05F6"/>
    <w:rsid w:val="005E0B91"/>
    <w:rsid w:val="005E1FE3"/>
    <w:rsid w:val="005E4F96"/>
    <w:rsid w:val="005E52B7"/>
    <w:rsid w:val="005E6661"/>
    <w:rsid w:val="005E72E2"/>
    <w:rsid w:val="005E77C1"/>
    <w:rsid w:val="005F0217"/>
    <w:rsid w:val="005F14E4"/>
    <w:rsid w:val="005F1EFB"/>
    <w:rsid w:val="005F2783"/>
    <w:rsid w:val="005F2FBA"/>
    <w:rsid w:val="005F6706"/>
    <w:rsid w:val="005F6F5D"/>
    <w:rsid w:val="005F6F6E"/>
    <w:rsid w:val="00600383"/>
    <w:rsid w:val="00600A02"/>
    <w:rsid w:val="00600BD2"/>
    <w:rsid w:val="00601689"/>
    <w:rsid w:val="0060379C"/>
    <w:rsid w:val="00610587"/>
    <w:rsid w:val="006111C4"/>
    <w:rsid w:val="006115F3"/>
    <w:rsid w:val="006128B2"/>
    <w:rsid w:val="006137F1"/>
    <w:rsid w:val="00613ECA"/>
    <w:rsid w:val="00623FDF"/>
    <w:rsid w:val="0062408D"/>
    <w:rsid w:val="006241F8"/>
    <w:rsid w:val="00624CBB"/>
    <w:rsid w:val="0062523A"/>
    <w:rsid w:val="00630B8E"/>
    <w:rsid w:val="00631DA8"/>
    <w:rsid w:val="00631FA2"/>
    <w:rsid w:val="006320F6"/>
    <w:rsid w:val="00632EA1"/>
    <w:rsid w:val="00633864"/>
    <w:rsid w:val="00635ED2"/>
    <w:rsid w:val="006377D8"/>
    <w:rsid w:val="006404D7"/>
    <w:rsid w:val="00641282"/>
    <w:rsid w:val="006415A9"/>
    <w:rsid w:val="00641955"/>
    <w:rsid w:val="0064499E"/>
    <w:rsid w:val="00647180"/>
    <w:rsid w:val="006500C9"/>
    <w:rsid w:val="006540D2"/>
    <w:rsid w:val="00654909"/>
    <w:rsid w:val="00654EFF"/>
    <w:rsid w:val="00656733"/>
    <w:rsid w:val="006605AD"/>
    <w:rsid w:val="00662A33"/>
    <w:rsid w:val="0066379F"/>
    <w:rsid w:val="00666B75"/>
    <w:rsid w:val="00666CEE"/>
    <w:rsid w:val="00670142"/>
    <w:rsid w:val="0067145A"/>
    <w:rsid w:val="00672874"/>
    <w:rsid w:val="00673209"/>
    <w:rsid w:val="00676409"/>
    <w:rsid w:val="006768A7"/>
    <w:rsid w:val="00676D8D"/>
    <w:rsid w:val="00677D55"/>
    <w:rsid w:val="00680C13"/>
    <w:rsid w:val="00682842"/>
    <w:rsid w:val="00683482"/>
    <w:rsid w:val="00686B53"/>
    <w:rsid w:val="0069191C"/>
    <w:rsid w:val="00691E04"/>
    <w:rsid w:val="00692311"/>
    <w:rsid w:val="00693A9F"/>
    <w:rsid w:val="00694C84"/>
    <w:rsid w:val="006955A3"/>
    <w:rsid w:val="006A1D54"/>
    <w:rsid w:val="006A6B45"/>
    <w:rsid w:val="006B04B4"/>
    <w:rsid w:val="006B083F"/>
    <w:rsid w:val="006B137D"/>
    <w:rsid w:val="006B1512"/>
    <w:rsid w:val="006B2D5B"/>
    <w:rsid w:val="006B2FA2"/>
    <w:rsid w:val="006B48FF"/>
    <w:rsid w:val="006C0AA8"/>
    <w:rsid w:val="006C4D26"/>
    <w:rsid w:val="006C66E8"/>
    <w:rsid w:val="006C6A37"/>
    <w:rsid w:val="006C7AB8"/>
    <w:rsid w:val="006C7CEC"/>
    <w:rsid w:val="006D079D"/>
    <w:rsid w:val="006D09AF"/>
    <w:rsid w:val="006D22CF"/>
    <w:rsid w:val="006D522A"/>
    <w:rsid w:val="006D6EBD"/>
    <w:rsid w:val="006E159B"/>
    <w:rsid w:val="006E18B4"/>
    <w:rsid w:val="006E1DFD"/>
    <w:rsid w:val="006E4613"/>
    <w:rsid w:val="006E4F89"/>
    <w:rsid w:val="006E5C21"/>
    <w:rsid w:val="006E5D79"/>
    <w:rsid w:val="006E6C88"/>
    <w:rsid w:val="006E72E7"/>
    <w:rsid w:val="006F14BF"/>
    <w:rsid w:val="006F1A5B"/>
    <w:rsid w:val="006F26C7"/>
    <w:rsid w:val="006F33DA"/>
    <w:rsid w:val="006F5CD1"/>
    <w:rsid w:val="00700D7D"/>
    <w:rsid w:val="00701724"/>
    <w:rsid w:val="007038AF"/>
    <w:rsid w:val="00705579"/>
    <w:rsid w:val="007060B2"/>
    <w:rsid w:val="00706A5E"/>
    <w:rsid w:val="007100F4"/>
    <w:rsid w:val="007163E6"/>
    <w:rsid w:val="00717126"/>
    <w:rsid w:val="00717CF4"/>
    <w:rsid w:val="00722F21"/>
    <w:rsid w:val="0072429F"/>
    <w:rsid w:val="00725B4C"/>
    <w:rsid w:val="00725E44"/>
    <w:rsid w:val="00726AC9"/>
    <w:rsid w:val="007272D1"/>
    <w:rsid w:val="0072794B"/>
    <w:rsid w:val="007300B3"/>
    <w:rsid w:val="00733713"/>
    <w:rsid w:val="007347F9"/>
    <w:rsid w:val="0073506C"/>
    <w:rsid w:val="00736C27"/>
    <w:rsid w:val="007421B8"/>
    <w:rsid w:val="00742B28"/>
    <w:rsid w:val="007445A8"/>
    <w:rsid w:val="00744B1C"/>
    <w:rsid w:val="007453F5"/>
    <w:rsid w:val="007458AA"/>
    <w:rsid w:val="007469CF"/>
    <w:rsid w:val="00746F5A"/>
    <w:rsid w:val="00747D6E"/>
    <w:rsid w:val="00750374"/>
    <w:rsid w:val="0075103B"/>
    <w:rsid w:val="00754795"/>
    <w:rsid w:val="007554CF"/>
    <w:rsid w:val="00756BE0"/>
    <w:rsid w:val="007603ED"/>
    <w:rsid w:val="007608C7"/>
    <w:rsid w:val="0076535E"/>
    <w:rsid w:val="00771626"/>
    <w:rsid w:val="007721E5"/>
    <w:rsid w:val="007747BE"/>
    <w:rsid w:val="007767B9"/>
    <w:rsid w:val="00780149"/>
    <w:rsid w:val="00780A75"/>
    <w:rsid w:val="007827A8"/>
    <w:rsid w:val="00782DCD"/>
    <w:rsid w:val="0078772D"/>
    <w:rsid w:val="00791799"/>
    <w:rsid w:val="007938DF"/>
    <w:rsid w:val="00795C5E"/>
    <w:rsid w:val="00797209"/>
    <w:rsid w:val="007A0ECA"/>
    <w:rsid w:val="007A1572"/>
    <w:rsid w:val="007A5AF7"/>
    <w:rsid w:val="007A6113"/>
    <w:rsid w:val="007A612F"/>
    <w:rsid w:val="007A6E93"/>
    <w:rsid w:val="007B529B"/>
    <w:rsid w:val="007B5C13"/>
    <w:rsid w:val="007B7820"/>
    <w:rsid w:val="007B7AC3"/>
    <w:rsid w:val="007C32BF"/>
    <w:rsid w:val="007C5E46"/>
    <w:rsid w:val="007C66F3"/>
    <w:rsid w:val="007C7A8E"/>
    <w:rsid w:val="007D00E6"/>
    <w:rsid w:val="007D04AB"/>
    <w:rsid w:val="007D0A0E"/>
    <w:rsid w:val="007D0A32"/>
    <w:rsid w:val="007D1B2F"/>
    <w:rsid w:val="007D26C3"/>
    <w:rsid w:val="007D2EF7"/>
    <w:rsid w:val="007D436E"/>
    <w:rsid w:val="007D5622"/>
    <w:rsid w:val="007D583E"/>
    <w:rsid w:val="007D5E05"/>
    <w:rsid w:val="007D5E97"/>
    <w:rsid w:val="007E0D8A"/>
    <w:rsid w:val="007E1F76"/>
    <w:rsid w:val="007E55D0"/>
    <w:rsid w:val="007E640A"/>
    <w:rsid w:val="007E6A42"/>
    <w:rsid w:val="007E7453"/>
    <w:rsid w:val="007F0BAA"/>
    <w:rsid w:val="007F1D30"/>
    <w:rsid w:val="007F298D"/>
    <w:rsid w:val="007F41F8"/>
    <w:rsid w:val="007F6335"/>
    <w:rsid w:val="007F773F"/>
    <w:rsid w:val="007F7B05"/>
    <w:rsid w:val="008014AE"/>
    <w:rsid w:val="0080189E"/>
    <w:rsid w:val="00802160"/>
    <w:rsid w:val="00803BFB"/>
    <w:rsid w:val="00804BA7"/>
    <w:rsid w:val="00804EA4"/>
    <w:rsid w:val="00806836"/>
    <w:rsid w:val="00807476"/>
    <w:rsid w:val="00810A96"/>
    <w:rsid w:val="00811E58"/>
    <w:rsid w:val="00812301"/>
    <w:rsid w:val="00812729"/>
    <w:rsid w:val="008143EC"/>
    <w:rsid w:val="0081579B"/>
    <w:rsid w:val="008168B2"/>
    <w:rsid w:val="00816A32"/>
    <w:rsid w:val="00816F96"/>
    <w:rsid w:val="00817365"/>
    <w:rsid w:val="00820173"/>
    <w:rsid w:val="0082124B"/>
    <w:rsid w:val="00821743"/>
    <w:rsid w:val="00824ED3"/>
    <w:rsid w:val="008250BA"/>
    <w:rsid w:val="00825922"/>
    <w:rsid w:val="00831518"/>
    <w:rsid w:val="0083154E"/>
    <w:rsid w:val="008318BC"/>
    <w:rsid w:val="008323D2"/>
    <w:rsid w:val="00832BBC"/>
    <w:rsid w:val="00833FDA"/>
    <w:rsid w:val="0083614A"/>
    <w:rsid w:val="00841F27"/>
    <w:rsid w:val="00842D7E"/>
    <w:rsid w:val="0084303A"/>
    <w:rsid w:val="00843B10"/>
    <w:rsid w:val="0084652F"/>
    <w:rsid w:val="0084720B"/>
    <w:rsid w:val="00847546"/>
    <w:rsid w:val="00850FDE"/>
    <w:rsid w:val="008530FC"/>
    <w:rsid w:val="00855994"/>
    <w:rsid w:val="00856605"/>
    <w:rsid w:val="00856707"/>
    <w:rsid w:val="008634BD"/>
    <w:rsid w:val="00866941"/>
    <w:rsid w:val="00867915"/>
    <w:rsid w:val="00870D54"/>
    <w:rsid w:val="00872C51"/>
    <w:rsid w:val="008758C1"/>
    <w:rsid w:val="00876084"/>
    <w:rsid w:val="00876A9C"/>
    <w:rsid w:val="00877952"/>
    <w:rsid w:val="00877E6E"/>
    <w:rsid w:val="008800DD"/>
    <w:rsid w:val="00881CBE"/>
    <w:rsid w:val="00883041"/>
    <w:rsid w:val="008830E8"/>
    <w:rsid w:val="008833AD"/>
    <w:rsid w:val="0088425D"/>
    <w:rsid w:val="00884948"/>
    <w:rsid w:val="00884E6B"/>
    <w:rsid w:val="0089022F"/>
    <w:rsid w:val="008903CA"/>
    <w:rsid w:val="00891F8C"/>
    <w:rsid w:val="00893BC7"/>
    <w:rsid w:val="00893F1D"/>
    <w:rsid w:val="00895940"/>
    <w:rsid w:val="008A4913"/>
    <w:rsid w:val="008B0A71"/>
    <w:rsid w:val="008B0CCF"/>
    <w:rsid w:val="008B1169"/>
    <w:rsid w:val="008B14CD"/>
    <w:rsid w:val="008B2A91"/>
    <w:rsid w:val="008B2EF9"/>
    <w:rsid w:val="008B4440"/>
    <w:rsid w:val="008B4AC8"/>
    <w:rsid w:val="008B6230"/>
    <w:rsid w:val="008B7DCF"/>
    <w:rsid w:val="008C00AE"/>
    <w:rsid w:val="008C1CB2"/>
    <w:rsid w:val="008C4024"/>
    <w:rsid w:val="008C6BC7"/>
    <w:rsid w:val="008D4B3A"/>
    <w:rsid w:val="008D52BD"/>
    <w:rsid w:val="008D5589"/>
    <w:rsid w:val="008E05A7"/>
    <w:rsid w:val="008E3C4F"/>
    <w:rsid w:val="008E3CB7"/>
    <w:rsid w:val="008E6E94"/>
    <w:rsid w:val="008E7655"/>
    <w:rsid w:val="008F283D"/>
    <w:rsid w:val="008F28F7"/>
    <w:rsid w:val="008F5A2A"/>
    <w:rsid w:val="008F6143"/>
    <w:rsid w:val="008F6DF1"/>
    <w:rsid w:val="008F6EF7"/>
    <w:rsid w:val="008F711B"/>
    <w:rsid w:val="008F7F17"/>
    <w:rsid w:val="00900535"/>
    <w:rsid w:val="00901A60"/>
    <w:rsid w:val="00902C25"/>
    <w:rsid w:val="00903773"/>
    <w:rsid w:val="00906819"/>
    <w:rsid w:val="0091222D"/>
    <w:rsid w:val="00913164"/>
    <w:rsid w:val="00917462"/>
    <w:rsid w:val="0092238A"/>
    <w:rsid w:val="00922491"/>
    <w:rsid w:val="00923E07"/>
    <w:rsid w:val="00924DFC"/>
    <w:rsid w:val="00925F99"/>
    <w:rsid w:val="0092686E"/>
    <w:rsid w:val="009312F1"/>
    <w:rsid w:val="0093161B"/>
    <w:rsid w:val="00932D78"/>
    <w:rsid w:val="00941811"/>
    <w:rsid w:val="0094390D"/>
    <w:rsid w:val="009441C7"/>
    <w:rsid w:val="00944F95"/>
    <w:rsid w:val="0094509B"/>
    <w:rsid w:val="0094517B"/>
    <w:rsid w:val="009457B9"/>
    <w:rsid w:val="00946E0D"/>
    <w:rsid w:val="00951D5A"/>
    <w:rsid w:val="00953EDD"/>
    <w:rsid w:val="00954D76"/>
    <w:rsid w:val="00956AF4"/>
    <w:rsid w:val="00957B46"/>
    <w:rsid w:val="00960A67"/>
    <w:rsid w:val="00963986"/>
    <w:rsid w:val="00963B50"/>
    <w:rsid w:val="00965306"/>
    <w:rsid w:val="009658D5"/>
    <w:rsid w:val="00965DC3"/>
    <w:rsid w:val="0096666B"/>
    <w:rsid w:val="00967F31"/>
    <w:rsid w:val="00971016"/>
    <w:rsid w:val="009738AE"/>
    <w:rsid w:val="00973B10"/>
    <w:rsid w:val="00973DE4"/>
    <w:rsid w:val="00973E82"/>
    <w:rsid w:val="00974AFC"/>
    <w:rsid w:val="00977DAE"/>
    <w:rsid w:val="009844B9"/>
    <w:rsid w:val="009848AA"/>
    <w:rsid w:val="00984BAE"/>
    <w:rsid w:val="009852B7"/>
    <w:rsid w:val="00995470"/>
    <w:rsid w:val="009974DA"/>
    <w:rsid w:val="009A1489"/>
    <w:rsid w:val="009A1E1A"/>
    <w:rsid w:val="009A27AC"/>
    <w:rsid w:val="009A428C"/>
    <w:rsid w:val="009A55CC"/>
    <w:rsid w:val="009B0417"/>
    <w:rsid w:val="009B11E7"/>
    <w:rsid w:val="009B15CB"/>
    <w:rsid w:val="009B3BC7"/>
    <w:rsid w:val="009B41DB"/>
    <w:rsid w:val="009B513C"/>
    <w:rsid w:val="009B56B9"/>
    <w:rsid w:val="009B6F37"/>
    <w:rsid w:val="009C017A"/>
    <w:rsid w:val="009C3462"/>
    <w:rsid w:val="009C352F"/>
    <w:rsid w:val="009C451A"/>
    <w:rsid w:val="009C7060"/>
    <w:rsid w:val="009C7F55"/>
    <w:rsid w:val="009D260D"/>
    <w:rsid w:val="009D3942"/>
    <w:rsid w:val="009D3BC7"/>
    <w:rsid w:val="009D4944"/>
    <w:rsid w:val="009D5AC4"/>
    <w:rsid w:val="009E0C70"/>
    <w:rsid w:val="009E14B3"/>
    <w:rsid w:val="009E3BA7"/>
    <w:rsid w:val="009E53EE"/>
    <w:rsid w:val="009E73C6"/>
    <w:rsid w:val="009F136F"/>
    <w:rsid w:val="009F1CCD"/>
    <w:rsid w:val="009F2120"/>
    <w:rsid w:val="009F308B"/>
    <w:rsid w:val="009F5AD3"/>
    <w:rsid w:val="009F616E"/>
    <w:rsid w:val="009F6869"/>
    <w:rsid w:val="009F6CFB"/>
    <w:rsid w:val="009F6D6D"/>
    <w:rsid w:val="009F721D"/>
    <w:rsid w:val="00A008B4"/>
    <w:rsid w:val="00A021BC"/>
    <w:rsid w:val="00A02532"/>
    <w:rsid w:val="00A03054"/>
    <w:rsid w:val="00A045E1"/>
    <w:rsid w:val="00A04665"/>
    <w:rsid w:val="00A04B1E"/>
    <w:rsid w:val="00A06351"/>
    <w:rsid w:val="00A067FA"/>
    <w:rsid w:val="00A06841"/>
    <w:rsid w:val="00A10FBC"/>
    <w:rsid w:val="00A116AE"/>
    <w:rsid w:val="00A12093"/>
    <w:rsid w:val="00A136AD"/>
    <w:rsid w:val="00A14857"/>
    <w:rsid w:val="00A14BA2"/>
    <w:rsid w:val="00A15363"/>
    <w:rsid w:val="00A15AF9"/>
    <w:rsid w:val="00A16AC8"/>
    <w:rsid w:val="00A175D6"/>
    <w:rsid w:val="00A210C0"/>
    <w:rsid w:val="00A23DF1"/>
    <w:rsid w:val="00A23F07"/>
    <w:rsid w:val="00A24B3E"/>
    <w:rsid w:val="00A25FB5"/>
    <w:rsid w:val="00A27235"/>
    <w:rsid w:val="00A27827"/>
    <w:rsid w:val="00A278D6"/>
    <w:rsid w:val="00A27B71"/>
    <w:rsid w:val="00A301F9"/>
    <w:rsid w:val="00A31CD3"/>
    <w:rsid w:val="00A326E2"/>
    <w:rsid w:val="00A32CC6"/>
    <w:rsid w:val="00A33CDF"/>
    <w:rsid w:val="00A3739B"/>
    <w:rsid w:val="00A37EC4"/>
    <w:rsid w:val="00A41B14"/>
    <w:rsid w:val="00A4362B"/>
    <w:rsid w:val="00A44A71"/>
    <w:rsid w:val="00A46875"/>
    <w:rsid w:val="00A51BC6"/>
    <w:rsid w:val="00A52612"/>
    <w:rsid w:val="00A528FF"/>
    <w:rsid w:val="00A541FD"/>
    <w:rsid w:val="00A57435"/>
    <w:rsid w:val="00A60DFC"/>
    <w:rsid w:val="00A6647B"/>
    <w:rsid w:val="00A6761F"/>
    <w:rsid w:val="00A67E5E"/>
    <w:rsid w:val="00A67EF4"/>
    <w:rsid w:val="00A67F56"/>
    <w:rsid w:val="00A71CBD"/>
    <w:rsid w:val="00A72F2A"/>
    <w:rsid w:val="00A7338F"/>
    <w:rsid w:val="00A8054E"/>
    <w:rsid w:val="00A83026"/>
    <w:rsid w:val="00A8311F"/>
    <w:rsid w:val="00A83CFF"/>
    <w:rsid w:val="00A843A4"/>
    <w:rsid w:val="00A84F60"/>
    <w:rsid w:val="00A87286"/>
    <w:rsid w:val="00A91605"/>
    <w:rsid w:val="00A92AC7"/>
    <w:rsid w:val="00A93FF1"/>
    <w:rsid w:val="00A948E3"/>
    <w:rsid w:val="00A94966"/>
    <w:rsid w:val="00A962BC"/>
    <w:rsid w:val="00A96327"/>
    <w:rsid w:val="00A9668A"/>
    <w:rsid w:val="00A97D0A"/>
    <w:rsid w:val="00AA05FF"/>
    <w:rsid w:val="00AA0765"/>
    <w:rsid w:val="00AA2BD5"/>
    <w:rsid w:val="00AA3268"/>
    <w:rsid w:val="00AA58D3"/>
    <w:rsid w:val="00AA5A41"/>
    <w:rsid w:val="00AA5D9F"/>
    <w:rsid w:val="00AA6B6F"/>
    <w:rsid w:val="00AB125E"/>
    <w:rsid w:val="00AB3680"/>
    <w:rsid w:val="00AB3926"/>
    <w:rsid w:val="00AB42C6"/>
    <w:rsid w:val="00AB5F37"/>
    <w:rsid w:val="00AB6AC1"/>
    <w:rsid w:val="00AB7A63"/>
    <w:rsid w:val="00AB7D6C"/>
    <w:rsid w:val="00AB7F2C"/>
    <w:rsid w:val="00AC19A4"/>
    <w:rsid w:val="00AC2B90"/>
    <w:rsid w:val="00AC485F"/>
    <w:rsid w:val="00AC5A6D"/>
    <w:rsid w:val="00AC5D8A"/>
    <w:rsid w:val="00AC60DF"/>
    <w:rsid w:val="00AC66B6"/>
    <w:rsid w:val="00AD01B0"/>
    <w:rsid w:val="00AD115A"/>
    <w:rsid w:val="00AD180E"/>
    <w:rsid w:val="00AD1D4C"/>
    <w:rsid w:val="00AD29A7"/>
    <w:rsid w:val="00AD2C01"/>
    <w:rsid w:val="00AD57C3"/>
    <w:rsid w:val="00AD67B6"/>
    <w:rsid w:val="00AD7202"/>
    <w:rsid w:val="00AE1B35"/>
    <w:rsid w:val="00AE214B"/>
    <w:rsid w:val="00AE4AE7"/>
    <w:rsid w:val="00AE6820"/>
    <w:rsid w:val="00AE7BA5"/>
    <w:rsid w:val="00AF2AA1"/>
    <w:rsid w:val="00AF2BF2"/>
    <w:rsid w:val="00AF3755"/>
    <w:rsid w:val="00AF4CFE"/>
    <w:rsid w:val="00AF4F3C"/>
    <w:rsid w:val="00AF5436"/>
    <w:rsid w:val="00AF7046"/>
    <w:rsid w:val="00B02EDB"/>
    <w:rsid w:val="00B03A3A"/>
    <w:rsid w:val="00B04E52"/>
    <w:rsid w:val="00B05CEF"/>
    <w:rsid w:val="00B06D93"/>
    <w:rsid w:val="00B105C7"/>
    <w:rsid w:val="00B1154D"/>
    <w:rsid w:val="00B13D59"/>
    <w:rsid w:val="00B14E3F"/>
    <w:rsid w:val="00B27030"/>
    <w:rsid w:val="00B270B9"/>
    <w:rsid w:val="00B303A5"/>
    <w:rsid w:val="00B31EEB"/>
    <w:rsid w:val="00B320CB"/>
    <w:rsid w:val="00B33512"/>
    <w:rsid w:val="00B3439D"/>
    <w:rsid w:val="00B406E6"/>
    <w:rsid w:val="00B4291E"/>
    <w:rsid w:val="00B42F06"/>
    <w:rsid w:val="00B432A6"/>
    <w:rsid w:val="00B46486"/>
    <w:rsid w:val="00B50D77"/>
    <w:rsid w:val="00B5132F"/>
    <w:rsid w:val="00B53833"/>
    <w:rsid w:val="00B559FF"/>
    <w:rsid w:val="00B56079"/>
    <w:rsid w:val="00B5758E"/>
    <w:rsid w:val="00B603B6"/>
    <w:rsid w:val="00B6311A"/>
    <w:rsid w:val="00B6477D"/>
    <w:rsid w:val="00B6586C"/>
    <w:rsid w:val="00B65D79"/>
    <w:rsid w:val="00B66C65"/>
    <w:rsid w:val="00B705E5"/>
    <w:rsid w:val="00B70E08"/>
    <w:rsid w:val="00B71238"/>
    <w:rsid w:val="00B72FC9"/>
    <w:rsid w:val="00B740A7"/>
    <w:rsid w:val="00B74152"/>
    <w:rsid w:val="00B74E8B"/>
    <w:rsid w:val="00B75C18"/>
    <w:rsid w:val="00B75FEE"/>
    <w:rsid w:val="00B770B2"/>
    <w:rsid w:val="00B77D36"/>
    <w:rsid w:val="00B81214"/>
    <w:rsid w:val="00B81796"/>
    <w:rsid w:val="00B81935"/>
    <w:rsid w:val="00B83F18"/>
    <w:rsid w:val="00B868DB"/>
    <w:rsid w:val="00B914A6"/>
    <w:rsid w:val="00B930D3"/>
    <w:rsid w:val="00B97A98"/>
    <w:rsid w:val="00BA0479"/>
    <w:rsid w:val="00BA1C67"/>
    <w:rsid w:val="00BA3BB7"/>
    <w:rsid w:val="00BA3D88"/>
    <w:rsid w:val="00BA412D"/>
    <w:rsid w:val="00BA47E0"/>
    <w:rsid w:val="00BA7959"/>
    <w:rsid w:val="00BB12DC"/>
    <w:rsid w:val="00BB3984"/>
    <w:rsid w:val="00BB4271"/>
    <w:rsid w:val="00BB5037"/>
    <w:rsid w:val="00BB5ADD"/>
    <w:rsid w:val="00BC21C6"/>
    <w:rsid w:val="00BC4342"/>
    <w:rsid w:val="00BC4F0C"/>
    <w:rsid w:val="00BC5CED"/>
    <w:rsid w:val="00BC67F3"/>
    <w:rsid w:val="00BC73A4"/>
    <w:rsid w:val="00BC7678"/>
    <w:rsid w:val="00BD0368"/>
    <w:rsid w:val="00BD0F89"/>
    <w:rsid w:val="00BD1797"/>
    <w:rsid w:val="00BD1E81"/>
    <w:rsid w:val="00BD39C2"/>
    <w:rsid w:val="00BD7398"/>
    <w:rsid w:val="00BD77BE"/>
    <w:rsid w:val="00BD7A22"/>
    <w:rsid w:val="00BE00F1"/>
    <w:rsid w:val="00BE04D4"/>
    <w:rsid w:val="00BE264B"/>
    <w:rsid w:val="00BE3C78"/>
    <w:rsid w:val="00BE6430"/>
    <w:rsid w:val="00BE7305"/>
    <w:rsid w:val="00BE75DC"/>
    <w:rsid w:val="00BF034A"/>
    <w:rsid w:val="00BF0E0C"/>
    <w:rsid w:val="00BF189C"/>
    <w:rsid w:val="00BF3095"/>
    <w:rsid w:val="00BF4790"/>
    <w:rsid w:val="00BF618E"/>
    <w:rsid w:val="00BF6341"/>
    <w:rsid w:val="00C01C81"/>
    <w:rsid w:val="00C030D2"/>
    <w:rsid w:val="00C040B5"/>
    <w:rsid w:val="00C0510A"/>
    <w:rsid w:val="00C060D2"/>
    <w:rsid w:val="00C06AF6"/>
    <w:rsid w:val="00C1079E"/>
    <w:rsid w:val="00C10D6A"/>
    <w:rsid w:val="00C110FB"/>
    <w:rsid w:val="00C117C3"/>
    <w:rsid w:val="00C128FF"/>
    <w:rsid w:val="00C12EF0"/>
    <w:rsid w:val="00C139CA"/>
    <w:rsid w:val="00C13DC0"/>
    <w:rsid w:val="00C1745B"/>
    <w:rsid w:val="00C216E4"/>
    <w:rsid w:val="00C25649"/>
    <w:rsid w:val="00C27D83"/>
    <w:rsid w:val="00C32B7D"/>
    <w:rsid w:val="00C4079D"/>
    <w:rsid w:val="00C42E58"/>
    <w:rsid w:val="00C43344"/>
    <w:rsid w:val="00C43698"/>
    <w:rsid w:val="00C443EF"/>
    <w:rsid w:val="00C45355"/>
    <w:rsid w:val="00C4624A"/>
    <w:rsid w:val="00C47938"/>
    <w:rsid w:val="00C5088F"/>
    <w:rsid w:val="00C514A7"/>
    <w:rsid w:val="00C51648"/>
    <w:rsid w:val="00C52E5B"/>
    <w:rsid w:val="00C532EB"/>
    <w:rsid w:val="00C54986"/>
    <w:rsid w:val="00C557D6"/>
    <w:rsid w:val="00C561C1"/>
    <w:rsid w:val="00C567DD"/>
    <w:rsid w:val="00C56D52"/>
    <w:rsid w:val="00C571B0"/>
    <w:rsid w:val="00C57F88"/>
    <w:rsid w:val="00C62D8F"/>
    <w:rsid w:val="00C632FE"/>
    <w:rsid w:val="00C63E0F"/>
    <w:rsid w:val="00C64970"/>
    <w:rsid w:val="00C6696E"/>
    <w:rsid w:val="00C70452"/>
    <w:rsid w:val="00C72F19"/>
    <w:rsid w:val="00C731FD"/>
    <w:rsid w:val="00C740BC"/>
    <w:rsid w:val="00C748C1"/>
    <w:rsid w:val="00C75FFF"/>
    <w:rsid w:val="00C767C3"/>
    <w:rsid w:val="00C7689A"/>
    <w:rsid w:val="00C77C2C"/>
    <w:rsid w:val="00C80888"/>
    <w:rsid w:val="00C8155F"/>
    <w:rsid w:val="00C82822"/>
    <w:rsid w:val="00C838AB"/>
    <w:rsid w:val="00C8405D"/>
    <w:rsid w:val="00C8596E"/>
    <w:rsid w:val="00C87990"/>
    <w:rsid w:val="00C90390"/>
    <w:rsid w:val="00C952C0"/>
    <w:rsid w:val="00C96383"/>
    <w:rsid w:val="00CA16B4"/>
    <w:rsid w:val="00CA1FED"/>
    <w:rsid w:val="00CA2AF6"/>
    <w:rsid w:val="00CA4364"/>
    <w:rsid w:val="00CA5934"/>
    <w:rsid w:val="00CA6D90"/>
    <w:rsid w:val="00CA7B4A"/>
    <w:rsid w:val="00CB06E1"/>
    <w:rsid w:val="00CB0D43"/>
    <w:rsid w:val="00CB1E7C"/>
    <w:rsid w:val="00CB2F25"/>
    <w:rsid w:val="00CB67E2"/>
    <w:rsid w:val="00CB6FE4"/>
    <w:rsid w:val="00CB7B5D"/>
    <w:rsid w:val="00CC16D9"/>
    <w:rsid w:val="00CC2E37"/>
    <w:rsid w:val="00CC3F8D"/>
    <w:rsid w:val="00CC52A8"/>
    <w:rsid w:val="00CC5935"/>
    <w:rsid w:val="00CC6A15"/>
    <w:rsid w:val="00CC72A5"/>
    <w:rsid w:val="00CD00E4"/>
    <w:rsid w:val="00CD113F"/>
    <w:rsid w:val="00CD146E"/>
    <w:rsid w:val="00CD2ED1"/>
    <w:rsid w:val="00CD3238"/>
    <w:rsid w:val="00CD3908"/>
    <w:rsid w:val="00CD4025"/>
    <w:rsid w:val="00CD4031"/>
    <w:rsid w:val="00CD43FF"/>
    <w:rsid w:val="00CD4F70"/>
    <w:rsid w:val="00CD4F8E"/>
    <w:rsid w:val="00CD5F6C"/>
    <w:rsid w:val="00CD7236"/>
    <w:rsid w:val="00CE193E"/>
    <w:rsid w:val="00CE2887"/>
    <w:rsid w:val="00CE3060"/>
    <w:rsid w:val="00CE3CE1"/>
    <w:rsid w:val="00CE448F"/>
    <w:rsid w:val="00CE493C"/>
    <w:rsid w:val="00CE6587"/>
    <w:rsid w:val="00CE7A34"/>
    <w:rsid w:val="00CE7B52"/>
    <w:rsid w:val="00CE7DA4"/>
    <w:rsid w:val="00CF2498"/>
    <w:rsid w:val="00CF25C3"/>
    <w:rsid w:val="00CF5D69"/>
    <w:rsid w:val="00D00D93"/>
    <w:rsid w:val="00D02B44"/>
    <w:rsid w:val="00D03BDB"/>
    <w:rsid w:val="00D042E5"/>
    <w:rsid w:val="00D04549"/>
    <w:rsid w:val="00D0497D"/>
    <w:rsid w:val="00D04D1B"/>
    <w:rsid w:val="00D066D0"/>
    <w:rsid w:val="00D07CA0"/>
    <w:rsid w:val="00D11211"/>
    <w:rsid w:val="00D12C80"/>
    <w:rsid w:val="00D13613"/>
    <w:rsid w:val="00D157FC"/>
    <w:rsid w:val="00D16328"/>
    <w:rsid w:val="00D17AA9"/>
    <w:rsid w:val="00D17B10"/>
    <w:rsid w:val="00D17E68"/>
    <w:rsid w:val="00D21E6B"/>
    <w:rsid w:val="00D2462F"/>
    <w:rsid w:val="00D24757"/>
    <w:rsid w:val="00D26A54"/>
    <w:rsid w:val="00D2750E"/>
    <w:rsid w:val="00D30CDC"/>
    <w:rsid w:val="00D32FE7"/>
    <w:rsid w:val="00D354B7"/>
    <w:rsid w:val="00D35BD6"/>
    <w:rsid w:val="00D3656D"/>
    <w:rsid w:val="00D36922"/>
    <w:rsid w:val="00D373A3"/>
    <w:rsid w:val="00D379B3"/>
    <w:rsid w:val="00D40471"/>
    <w:rsid w:val="00D414C1"/>
    <w:rsid w:val="00D4211B"/>
    <w:rsid w:val="00D44FCA"/>
    <w:rsid w:val="00D452FF"/>
    <w:rsid w:val="00D50329"/>
    <w:rsid w:val="00D522C0"/>
    <w:rsid w:val="00D52A96"/>
    <w:rsid w:val="00D52E91"/>
    <w:rsid w:val="00D53FDE"/>
    <w:rsid w:val="00D54AEE"/>
    <w:rsid w:val="00D55715"/>
    <w:rsid w:val="00D5609A"/>
    <w:rsid w:val="00D56C74"/>
    <w:rsid w:val="00D57062"/>
    <w:rsid w:val="00D6259D"/>
    <w:rsid w:val="00D62D87"/>
    <w:rsid w:val="00D631E3"/>
    <w:rsid w:val="00D64113"/>
    <w:rsid w:val="00D648B1"/>
    <w:rsid w:val="00D65269"/>
    <w:rsid w:val="00D66646"/>
    <w:rsid w:val="00D66E7C"/>
    <w:rsid w:val="00D70BE5"/>
    <w:rsid w:val="00D71F7E"/>
    <w:rsid w:val="00D7558D"/>
    <w:rsid w:val="00D75D8A"/>
    <w:rsid w:val="00D8026F"/>
    <w:rsid w:val="00D82E3C"/>
    <w:rsid w:val="00D82E93"/>
    <w:rsid w:val="00D86BF6"/>
    <w:rsid w:val="00D87ADE"/>
    <w:rsid w:val="00D90627"/>
    <w:rsid w:val="00D9245D"/>
    <w:rsid w:val="00D946D9"/>
    <w:rsid w:val="00D966A1"/>
    <w:rsid w:val="00D966B5"/>
    <w:rsid w:val="00DA1081"/>
    <w:rsid w:val="00DA303E"/>
    <w:rsid w:val="00DA4FB1"/>
    <w:rsid w:val="00DA5459"/>
    <w:rsid w:val="00DA5A5F"/>
    <w:rsid w:val="00DA5E1B"/>
    <w:rsid w:val="00DA67C7"/>
    <w:rsid w:val="00DA6E10"/>
    <w:rsid w:val="00DA7BE8"/>
    <w:rsid w:val="00DA7F49"/>
    <w:rsid w:val="00DB039F"/>
    <w:rsid w:val="00DB0BB8"/>
    <w:rsid w:val="00DB191F"/>
    <w:rsid w:val="00DB20D0"/>
    <w:rsid w:val="00DB2732"/>
    <w:rsid w:val="00DB2809"/>
    <w:rsid w:val="00DB4D60"/>
    <w:rsid w:val="00DB531F"/>
    <w:rsid w:val="00DB63AB"/>
    <w:rsid w:val="00DB684E"/>
    <w:rsid w:val="00DB7E51"/>
    <w:rsid w:val="00DC1BBA"/>
    <w:rsid w:val="00DC1E66"/>
    <w:rsid w:val="00DC2DF2"/>
    <w:rsid w:val="00DC36C0"/>
    <w:rsid w:val="00DC50A0"/>
    <w:rsid w:val="00DC516E"/>
    <w:rsid w:val="00DD2CBC"/>
    <w:rsid w:val="00DD342A"/>
    <w:rsid w:val="00DD64B9"/>
    <w:rsid w:val="00DE1E4C"/>
    <w:rsid w:val="00DE1ED3"/>
    <w:rsid w:val="00DE2213"/>
    <w:rsid w:val="00DE45F5"/>
    <w:rsid w:val="00DE55CB"/>
    <w:rsid w:val="00DE61D4"/>
    <w:rsid w:val="00DE6BAA"/>
    <w:rsid w:val="00DE6BF7"/>
    <w:rsid w:val="00DE6E29"/>
    <w:rsid w:val="00DF00CC"/>
    <w:rsid w:val="00DF015E"/>
    <w:rsid w:val="00DF0BBE"/>
    <w:rsid w:val="00DF4233"/>
    <w:rsid w:val="00DF4375"/>
    <w:rsid w:val="00DF4996"/>
    <w:rsid w:val="00DF703E"/>
    <w:rsid w:val="00E0190B"/>
    <w:rsid w:val="00E02B8A"/>
    <w:rsid w:val="00E05251"/>
    <w:rsid w:val="00E07461"/>
    <w:rsid w:val="00E12C2E"/>
    <w:rsid w:val="00E141B8"/>
    <w:rsid w:val="00E1426D"/>
    <w:rsid w:val="00E147E8"/>
    <w:rsid w:val="00E14A9B"/>
    <w:rsid w:val="00E17A65"/>
    <w:rsid w:val="00E20CEF"/>
    <w:rsid w:val="00E220E3"/>
    <w:rsid w:val="00E22761"/>
    <w:rsid w:val="00E229C1"/>
    <w:rsid w:val="00E248AE"/>
    <w:rsid w:val="00E25E23"/>
    <w:rsid w:val="00E31823"/>
    <w:rsid w:val="00E3186C"/>
    <w:rsid w:val="00E33205"/>
    <w:rsid w:val="00E33694"/>
    <w:rsid w:val="00E33D03"/>
    <w:rsid w:val="00E41507"/>
    <w:rsid w:val="00E44F78"/>
    <w:rsid w:val="00E45220"/>
    <w:rsid w:val="00E45830"/>
    <w:rsid w:val="00E45D83"/>
    <w:rsid w:val="00E47DBC"/>
    <w:rsid w:val="00E47DF9"/>
    <w:rsid w:val="00E47F59"/>
    <w:rsid w:val="00E53F53"/>
    <w:rsid w:val="00E54185"/>
    <w:rsid w:val="00E55236"/>
    <w:rsid w:val="00E5589D"/>
    <w:rsid w:val="00E55E4E"/>
    <w:rsid w:val="00E55FFB"/>
    <w:rsid w:val="00E603B8"/>
    <w:rsid w:val="00E60ABC"/>
    <w:rsid w:val="00E61314"/>
    <w:rsid w:val="00E62B7D"/>
    <w:rsid w:val="00E63F4C"/>
    <w:rsid w:val="00E646F3"/>
    <w:rsid w:val="00E64B16"/>
    <w:rsid w:val="00E64CA6"/>
    <w:rsid w:val="00E6521C"/>
    <w:rsid w:val="00E66A2C"/>
    <w:rsid w:val="00E71334"/>
    <w:rsid w:val="00E71432"/>
    <w:rsid w:val="00E72FAA"/>
    <w:rsid w:val="00E73C2D"/>
    <w:rsid w:val="00E742EF"/>
    <w:rsid w:val="00E75FDA"/>
    <w:rsid w:val="00E7664F"/>
    <w:rsid w:val="00E80FDC"/>
    <w:rsid w:val="00E8125F"/>
    <w:rsid w:val="00E83743"/>
    <w:rsid w:val="00E837F5"/>
    <w:rsid w:val="00E85160"/>
    <w:rsid w:val="00E90F63"/>
    <w:rsid w:val="00E91098"/>
    <w:rsid w:val="00E91742"/>
    <w:rsid w:val="00E91CB1"/>
    <w:rsid w:val="00E92BAE"/>
    <w:rsid w:val="00E93202"/>
    <w:rsid w:val="00E9381D"/>
    <w:rsid w:val="00E946A4"/>
    <w:rsid w:val="00E94890"/>
    <w:rsid w:val="00E96DA4"/>
    <w:rsid w:val="00E96FA8"/>
    <w:rsid w:val="00EA0F6E"/>
    <w:rsid w:val="00EA13DC"/>
    <w:rsid w:val="00EA431C"/>
    <w:rsid w:val="00EA483D"/>
    <w:rsid w:val="00EA5213"/>
    <w:rsid w:val="00EB1871"/>
    <w:rsid w:val="00EB1F54"/>
    <w:rsid w:val="00EB31AF"/>
    <w:rsid w:val="00EB39C4"/>
    <w:rsid w:val="00EB4AFD"/>
    <w:rsid w:val="00EB5542"/>
    <w:rsid w:val="00EB55B2"/>
    <w:rsid w:val="00EB790F"/>
    <w:rsid w:val="00EC03CA"/>
    <w:rsid w:val="00EC2F1A"/>
    <w:rsid w:val="00EC3D52"/>
    <w:rsid w:val="00EC66AC"/>
    <w:rsid w:val="00ED0585"/>
    <w:rsid w:val="00ED2293"/>
    <w:rsid w:val="00ED24E5"/>
    <w:rsid w:val="00ED4466"/>
    <w:rsid w:val="00ED4806"/>
    <w:rsid w:val="00ED6497"/>
    <w:rsid w:val="00ED6AC5"/>
    <w:rsid w:val="00ED6DD4"/>
    <w:rsid w:val="00EE24A8"/>
    <w:rsid w:val="00EE2A51"/>
    <w:rsid w:val="00EE3F5A"/>
    <w:rsid w:val="00EE3F87"/>
    <w:rsid w:val="00EE7D2B"/>
    <w:rsid w:val="00EF280E"/>
    <w:rsid w:val="00EF3C51"/>
    <w:rsid w:val="00EF6BC3"/>
    <w:rsid w:val="00EF7914"/>
    <w:rsid w:val="00F003F8"/>
    <w:rsid w:val="00F00BB4"/>
    <w:rsid w:val="00F03B07"/>
    <w:rsid w:val="00F04C98"/>
    <w:rsid w:val="00F05D2B"/>
    <w:rsid w:val="00F0627E"/>
    <w:rsid w:val="00F0786E"/>
    <w:rsid w:val="00F138B6"/>
    <w:rsid w:val="00F13AC2"/>
    <w:rsid w:val="00F14E3D"/>
    <w:rsid w:val="00F1537F"/>
    <w:rsid w:val="00F1585D"/>
    <w:rsid w:val="00F15D27"/>
    <w:rsid w:val="00F16E26"/>
    <w:rsid w:val="00F176BF"/>
    <w:rsid w:val="00F20B97"/>
    <w:rsid w:val="00F22B61"/>
    <w:rsid w:val="00F22C78"/>
    <w:rsid w:val="00F24648"/>
    <w:rsid w:val="00F24965"/>
    <w:rsid w:val="00F2523E"/>
    <w:rsid w:val="00F25DC6"/>
    <w:rsid w:val="00F27141"/>
    <w:rsid w:val="00F271DD"/>
    <w:rsid w:val="00F3112D"/>
    <w:rsid w:val="00F31E27"/>
    <w:rsid w:val="00F33D5A"/>
    <w:rsid w:val="00F34348"/>
    <w:rsid w:val="00F35B01"/>
    <w:rsid w:val="00F40071"/>
    <w:rsid w:val="00F4048B"/>
    <w:rsid w:val="00F4274D"/>
    <w:rsid w:val="00F42B4E"/>
    <w:rsid w:val="00F42BCC"/>
    <w:rsid w:val="00F43C6B"/>
    <w:rsid w:val="00F44E01"/>
    <w:rsid w:val="00F45526"/>
    <w:rsid w:val="00F45685"/>
    <w:rsid w:val="00F4797B"/>
    <w:rsid w:val="00F502B1"/>
    <w:rsid w:val="00F509D1"/>
    <w:rsid w:val="00F50DEC"/>
    <w:rsid w:val="00F539A5"/>
    <w:rsid w:val="00F55070"/>
    <w:rsid w:val="00F552DF"/>
    <w:rsid w:val="00F56268"/>
    <w:rsid w:val="00F56391"/>
    <w:rsid w:val="00F60F4E"/>
    <w:rsid w:val="00F63B33"/>
    <w:rsid w:val="00F656F6"/>
    <w:rsid w:val="00F65721"/>
    <w:rsid w:val="00F703E7"/>
    <w:rsid w:val="00F7235D"/>
    <w:rsid w:val="00F74D83"/>
    <w:rsid w:val="00F75CD2"/>
    <w:rsid w:val="00F774D1"/>
    <w:rsid w:val="00F8004A"/>
    <w:rsid w:val="00F8110F"/>
    <w:rsid w:val="00F830D4"/>
    <w:rsid w:val="00F83E09"/>
    <w:rsid w:val="00F84151"/>
    <w:rsid w:val="00F86665"/>
    <w:rsid w:val="00F907BC"/>
    <w:rsid w:val="00F90E4B"/>
    <w:rsid w:val="00F91316"/>
    <w:rsid w:val="00F91B63"/>
    <w:rsid w:val="00F91C76"/>
    <w:rsid w:val="00F92CE0"/>
    <w:rsid w:val="00F9337A"/>
    <w:rsid w:val="00F958BA"/>
    <w:rsid w:val="00F97AD7"/>
    <w:rsid w:val="00F97BD8"/>
    <w:rsid w:val="00FA2D8C"/>
    <w:rsid w:val="00FA72AA"/>
    <w:rsid w:val="00FA7EDE"/>
    <w:rsid w:val="00FB02BB"/>
    <w:rsid w:val="00FB3DBC"/>
    <w:rsid w:val="00FB4D45"/>
    <w:rsid w:val="00FB5639"/>
    <w:rsid w:val="00FB699F"/>
    <w:rsid w:val="00FB6E0C"/>
    <w:rsid w:val="00FB6F1D"/>
    <w:rsid w:val="00FC0054"/>
    <w:rsid w:val="00FC0233"/>
    <w:rsid w:val="00FC3AB3"/>
    <w:rsid w:val="00FC3CA9"/>
    <w:rsid w:val="00FC61F2"/>
    <w:rsid w:val="00FD1DA6"/>
    <w:rsid w:val="00FD1F27"/>
    <w:rsid w:val="00FD25F7"/>
    <w:rsid w:val="00FD2A2C"/>
    <w:rsid w:val="00FD2D5E"/>
    <w:rsid w:val="00FD484D"/>
    <w:rsid w:val="00FD48C8"/>
    <w:rsid w:val="00FD504F"/>
    <w:rsid w:val="00FD5D32"/>
    <w:rsid w:val="00FE1780"/>
    <w:rsid w:val="00FE19F4"/>
    <w:rsid w:val="00FE2B2D"/>
    <w:rsid w:val="00FE3265"/>
    <w:rsid w:val="00FE335A"/>
    <w:rsid w:val="00FE35A9"/>
    <w:rsid w:val="00FE39EF"/>
    <w:rsid w:val="00FE4084"/>
    <w:rsid w:val="00FE4B4B"/>
    <w:rsid w:val="00FE5E3A"/>
    <w:rsid w:val="00FE6D7F"/>
    <w:rsid w:val="00FF11CD"/>
    <w:rsid w:val="00FF1ABE"/>
    <w:rsid w:val="00FF30A3"/>
    <w:rsid w:val="00FF3881"/>
    <w:rsid w:val="00FF4A1B"/>
    <w:rsid w:val="00FF510F"/>
    <w:rsid w:val="00FF53AC"/>
    <w:rsid w:val="00FF5B01"/>
    <w:rsid w:val="00FF71B5"/>
    <w:rsid w:val="026CFAF0"/>
    <w:rsid w:val="0BE4177B"/>
    <w:rsid w:val="0D55F241"/>
    <w:rsid w:val="0D8DFB85"/>
    <w:rsid w:val="12BA4CA2"/>
    <w:rsid w:val="1316CCC4"/>
    <w:rsid w:val="15A4CC25"/>
    <w:rsid w:val="1B7CD5CC"/>
    <w:rsid w:val="1B8AE975"/>
    <w:rsid w:val="1B91D9E1"/>
    <w:rsid w:val="22C0BD99"/>
    <w:rsid w:val="24820398"/>
    <w:rsid w:val="24EDFB69"/>
    <w:rsid w:val="279A6072"/>
    <w:rsid w:val="2940CCFA"/>
    <w:rsid w:val="307379F0"/>
    <w:rsid w:val="37C7DB99"/>
    <w:rsid w:val="43D86DA0"/>
    <w:rsid w:val="45743E01"/>
    <w:rsid w:val="46E0623F"/>
    <w:rsid w:val="480B1EAD"/>
    <w:rsid w:val="4860888C"/>
    <w:rsid w:val="4F311887"/>
    <w:rsid w:val="50577988"/>
    <w:rsid w:val="559ED7B6"/>
    <w:rsid w:val="569586B3"/>
    <w:rsid w:val="576F9DB7"/>
    <w:rsid w:val="5C0190D5"/>
    <w:rsid w:val="5CC46D22"/>
    <w:rsid w:val="5FE1F400"/>
    <w:rsid w:val="60BBD99B"/>
    <w:rsid w:val="61330BF6"/>
    <w:rsid w:val="613C792D"/>
    <w:rsid w:val="63944007"/>
    <w:rsid w:val="6406EADB"/>
    <w:rsid w:val="689F2150"/>
    <w:rsid w:val="6D698190"/>
    <w:rsid w:val="7564D84F"/>
    <w:rsid w:val="7A943DAF"/>
    <w:rsid w:val="7FE09CA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72D17AA"/>
  <w15:docId w15:val="{8C52F5D6-4CE0-401C-8A87-8D083203F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iPriority w:val="99"/>
    <w:qFormat/>
    <w:rsid w:val="009C7F55"/>
  </w:style>
  <w:style w:type="paragraph" w:styleId="FootnoteText">
    <w:name w:val="footnote text"/>
    <w:aliases w:val="Char,Footnote Text Char Char Char Char Char,Footnote Text Char Char1 Char,Footnote Text Char1 Char Char Char,Footnote Text Char1 Char Char Char Char Char Char Char,Footnote Text Char1 Char1 Char,Footnote Text Char2 Char,f,fn,ft"/>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rsid w:val="009C7F55"/>
    <w:rPr>
      <w:rFonts w:ascii="Calibri" w:eastAsia="Calibri" w:hAnsi="Calibri" w:cs="Times New Roman"/>
      <w:sz w:val="20"/>
      <w:szCs w:val="20"/>
    </w:rPr>
  </w:style>
  <w:style w:type="character" w:customStyle="1" w:styleId="FootnoteTextChar1">
    <w:name w:val="Footnote Text Char1"/>
    <w:aliases w:val="Char Char,Footnote Text Char Char Char Char Char Char,Footnote Text Char Char1 Char Char,Footnote Text Char1 Char Char Char Char,Footnote Text Char1 Char Char Char Char Char Char Char Char,Footnote Text Char1 Char1 Char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656C"/>
    <w:rPr>
      <w:color w:val="605E5C"/>
      <w:shd w:val="clear" w:color="auto" w:fill="E1DFDD"/>
    </w:rPr>
  </w:style>
  <w:style w:type="paragraph" w:styleId="NoSpacing">
    <w:name w:val="No Spacing"/>
    <w:uiPriority w:val="1"/>
    <w:qFormat/>
    <w:rsid w:val="008F283D"/>
    <w:pPr>
      <w:spacing w:after="0" w:line="240" w:lineRule="auto"/>
    </w:pPr>
  </w:style>
  <w:style w:type="table" w:customStyle="1" w:styleId="TableGrid1">
    <w:name w:val="Table Grid1"/>
    <w:basedOn w:val="TableNormal"/>
    <w:next w:val="TableGrid"/>
    <w:rsid w:val="00DB63A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91568"/>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920C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filing-forms/service-companies-filing-forms" TargetMode="External" /><Relationship Id="rId11" Type="http://schemas.openxmlformats.org/officeDocument/2006/relationships/hyperlink" Target="https://www.ferc.gov/information-collection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general-information-0/electric-industry-form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ferc.gov/legal/ceii-foia/ceii.a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4" ma:contentTypeDescription="Create a new document." ma:contentTypeScope="" ma:versionID="d81d74a3606972d3f56b7f97619aab6c">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9ec3cde6177a7a735ddbed6e9aa1b9a2"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TaxCatchAll xmlns="5a7c6213-c3f8-4376-93f2-dc58e5c51d54" xsi:nil="tru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lcf76f155ced4ddcb4097134ff3c332f xmlns="e029e753-062b-49ce-baa7-feb352134f8f">
      <Terms xmlns="http://schemas.microsoft.com/office/infopath/2007/PartnerControls"/>
    </lcf76f155ced4ddcb4097134ff3c332f>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Props1.xml><?xml version="1.0" encoding="utf-8"?>
<ds:datastoreItem xmlns:ds="http://schemas.openxmlformats.org/officeDocument/2006/customXml" ds:itemID="{2D0448F9-BBE8-47D6-ACCE-55399A474297}">
  <ds:schemaRefs>
    <ds:schemaRef ds:uri="http://schemas.openxmlformats.org/officeDocument/2006/bibliography"/>
  </ds:schemaRefs>
</ds:datastoreItem>
</file>

<file path=customXml/itemProps2.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3.xml><?xml version="1.0" encoding="utf-8"?>
<ds:datastoreItem xmlns:ds="http://schemas.openxmlformats.org/officeDocument/2006/customXml" ds:itemID="{D57A762D-DC07-492E-9657-60502C9F1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F57017-6D35-4700-942D-9BCDC1A55FC4}">
  <ds:schemaRefs>
    <ds:schemaRef ds:uri="http://schemas.microsoft.com/office/2006/metadata/properties"/>
    <ds:schemaRef ds:uri="http://schemas.microsoft.com/office/infopath/2007/PartnerControls"/>
    <ds:schemaRef ds:uri="d6eefc7d-9817-4fa6-84d5-3bc009be21b8"/>
    <ds:schemaRef ds:uri="5a7c6213-c3f8-4376-93f2-dc58e5c51d54"/>
    <ds:schemaRef ds:uri="e029e753-062b-49ce-baa7-feb352134f8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3560</Words>
  <Characters>20297</Characters>
  <Application>Microsoft Office Word</Application>
  <DocSecurity>0</DocSecurity>
  <Lines>169</Lines>
  <Paragraphs>47</Paragraphs>
  <ScaleCrop>false</ScaleCrop>
  <Company>FERC</Company>
  <LinksUpToDate>false</LinksUpToDate>
  <CharactersWithSpaces>23810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Chambers</dc:creator>
  <cp:lastModifiedBy>Jean Sonneman</cp:lastModifiedBy>
  <cp:revision>2</cp:revision>
  <cp:lastPrinted>2022-03-23T14:24:00Z</cp:lastPrinted>
  <dcterms:created xsi:type="dcterms:W3CDTF">2023-10-24T16:46:00Z</dcterms:created>
  <dcterms:modified xsi:type="dcterms:W3CDTF">2023-10-24T16:46:00Z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6155a89b-0f08-4a93-8ea2-8a916d6643b5_ActionId">
    <vt:lpwstr>fdba46e3-3017-43b3-9178-80bf3ff81dab</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2022-04-05T16:10:44Z</vt:lpwstr>
  </property>
  <property fmtid="{D5CDD505-2E9C-101B-9397-08002B2CF9AE}" pid="10" name="MSIP_Label_6155a89b-0f08-4a93-8ea2-8a916d6643b5_SiteId">
    <vt:lpwstr>19caa9e9-04ff-43fa-885f-d77fac387903</vt:lpwstr>
  </property>
  <property fmtid="{D5CDD505-2E9C-101B-9397-08002B2CF9AE}" pid="11" name="Order">
    <vt:r8>1163400</vt:r8>
  </property>
</Properties>
</file>