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266D" w14:paraId="05ECE6CA" w14:textId="77777777">
      <w:pPr>
        <w:tabs>
          <w:tab w:val="left" w:pos="1800"/>
        </w:tabs>
        <w:spacing w:after="0"/>
        <w:jc w:val="center"/>
        <w:rPr>
          <w:rFonts w:ascii="Times New Roman" w:hAnsi="Times New Roman" w:cs="Times New Roman"/>
          <w:sz w:val="24"/>
          <w:szCs w:val="24"/>
        </w:rPr>
      </w:pPr>
      <w:r>
        <w:rPr>
          <w:rFonts w:ascii="Times New Roman" w:hAnsi="Times New Roman" w:cs="Times New Roman"/>
          <w:sz w:val="24"/>
          <w:szCs w:val="24"/>
        </w:rPr>
        <w:t>Supporting Statement for</w:t>
      </w:r>
    </w:p>
    <w:p w:rsidR="0066266D" w14:paraId="6C5E98E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FERC-516</w:t>
      </w:r>
      <w:r>
        <w:rPr>
          <w:rFonts w:ascii="Times New Roman" w:hAnsi="Times New Roman" w:cs="Times New Roman"/>
          <w:b/>
          <w:sz w:val="24"/>
          <w:szCs w:val="24"/>
        </w:rPr>
        <w:t>E(</w:t>
      </w:r>
      <w:r>
        <w:rPr>
          <w:rFonts w:ascii="Times New Roman" w:hAnsi="Times New Roman" w:cs="Times New Roman"/>
          <w:b/>
          <w:sz w:val="24"/>
          <w:szCs w:val="24"/>
        </w:rPr>
        <w:t>Electric Rate Schedules and Tariff Filings) and</w:t>
      </w:r>
    </w:p>
    <w:p w:rsidR="0066266D" w14:paraId="700A8B55" w14:textId="3B84C55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as modified by the </w:t>
      </w:r>
      <w:r w:rsidR="00B40F24">
        <w:rPr>
          <w:rFonts w:ascii="Times New Roman" w:hAnsi="Times New Roman" w:cs="Times New Roman"/>
          <w:b/>
          <w:sz w:val="24"/>
          <w:szCs w:val="24"/>
        </w:rPr>
        <w:t>NOPR</w:t>
      </w:r>
      <w:r>
        <w:rPr>
          <w:rFonts w:ascii="Times New Roman" w:hAnsi="Times New Roman" w:cs="Times New Roman"/>
          <w:b/>
          <w:sz w:val="24"/>
          <w:szCs w:val="24"/>
        </w:rPr>
        <w:t xml:space="preserve"> in Docket Nos. RM05-5-</w:t>
      </w:r>
      <w:r w:rsidR="00AB2790">
        <w:rPr>
          <w:rFonts w:ascii="Times New Roman" w:hAnsi="Times New Roman" w:cs="Times New Roman"/>
          <w:b/>
          <w:sz w:val="24"/>
          <w:szCs w:val="24"/>
        </w:rPr>
        <w:t>031</w:t>
      </w:r>
    </w:p>
    <w:p w:rsidR="0066266D" w14:paraId="5F901EA2" w14:textId="77777777">
      <w:pPr>
        <w:spacing w:after="0"/>
        <w:rPr>
          <w:rFonts w:ascii="Times New Roman" w:hAnsi="Times New Roman" w:cs="Times New Roman"/>
          <w:sz w:val="24"/>
          <w:szCs w:val="24"/>
        </w:rPr>
      </w:pPr>
    </w:p>
    <w:p w:rsidR="0066266D" w14:paraId="36F41647" w14:textId="176E379C">
      <w:pPr>
        <w:spacing w:after="0"/>
        <w:rPr>
          <w:rFonts w:ascii="Times New Roman" w:hAnsi="Times New Roman" w:cs="Times New Roman"/>
          <w:sz w:val="24"/>
          <w:szCs w:val="24"/>
        </w:rPr>
      </w:pPr>
      <w:r>
        <w:rPr>
          <w:rFonts w:ascii="Times New Roman" w:hAnsi="Times New Roman" w:cs="Times New Roman"/>
          <w:sz w:val="24"/>
          <w:szCs w:val="24"/>
        </w:rPr>
        <w:t xml:space="preserve">The Federal Energy Regulatory Commission (Commission or FERC) requests that the Office of Management and Budget (OMB) review </w:t>
      </w:r>
      <w:r w:rsidR="00861715">
        <w:rPr>
          <w:rFonts w:ascii="Times New Roman" w:hAnsi="Times New Roman" w:cs="Times New Roman"/>
          <w:sz w:val="24"/>
          <w:szCs w:val="24"/>
        </w:rPr>
        <w:t xml:space="preserve">the revision of </w:t>
      </w:r>
      <w:r>
        <w:rPr>
          <w:rFonts w:ascii="Times New Roman" w:hAnsi="Times New Roman" w:cs="Times New Roman"/>
          <w:sz w:val="24"/>
          <w:szCs w:val="24"/>
        </w:rPr>
        <w:t xml:space="preserve">FERC-516E </w:t>
      </w:r>
      <w:r w:rsidR="00861715">
        <w:rPr>
          <w:rFonts w:ascii="Times New Roman" w:hAnsi="Times New Roman" w:cs="Times New Roman"/>
          <w:sz w:val="24"/>
          <w:szCs w:val="24"/>
        </w:rPr>
        <w:t xml:space="preserve">information collection, </w:t>
      </w:r>
      <w:r>
        <w:rPr>
          <w:rFonts w:ascii="Times New Roman" w:hAnsi="Times New Roman" w:cs="Times New Roman"/>
          <w:sz w:val="24"/>
          <w:szCs w:val="24"/>
        </w:rPr>
        <w:t>Electric Rate Schedule and Tariff Filings</w:t>
      </w:r>
      <w:r w:rsidR="00861715">
        <w:rPr>
          <w:rFonts w:ascii="Times New Roman" w:hAnsi="Times New Roman" w:cs="Times New Roman"/>
          <w:sz w:val="24"/>
          <w:szCs w:val="24"/>
        </w:rPr>
        <w:t>,</w:t>
      </w:r>
      <w:r>
        <w:rPr>
          <w:rStyle w:val="FootnoteReference"/>
          <w:rFonts w:ascii="Times New Roman" w:hAnsi="Times New Roman" w:cs="Times New Roman"/>
          <w:sz w:val="24"/>
          <w:szCs w:val="24"/>
          <w:vertAlign w:val="superscript"/>
        </w:rPr>
        <w:footnoteReference w:id="2"/>
      </w:r>
      <w:r w:rsidR="00861715">
        <w:rPr>
          <w:rFonts w:ascii="Times New Roman" w:hAnsi="Times New Roman" w:cs="Times New Roman"/>
          <w:sz w:val="24"/>
          <w:szCs w:val="24"/>
        </w:rPr>
        <w:t xml:space="preserve"> OMB Control Number 1902-0290 in connection with the Notice of </w:t>
      </w:r>
      <w:r w:rsidR="00B40F24">
        <w:rPr>
          <w:rFonts w:ascii="Times New Roman" w:hAnsi="Times New Roman" w:cs="Times New Roman"/>
          <w:sz w:val="24"/>
          <w:szCs w:val="24"/>
        </w:rPr>
        <w:t>Proposed</w:t>
      </w:r>
      <w:r>
        <w:rPr>
          <w:rFonts w:ascii="Times New Roman" w:hAnsi="Times New Roman" w:cs="Times New Roman"/>
          <w:sz w:val="24"/>
          <w:szCs w:val="24"/>
        </w:rPr>
        <w:t xml:space="preserve"> Rule</w:t>
      </w:r>
      <w:r w:rsidR="00861715">
        <w:rPr>
          <w:rFonts w:ascii="Times New Roman" w:hAnsi="Times New Roman" w:cs="Times New Roman"/>
          <w:sz w:val="24"/>
          <w:szCs w:val="24"/>
        </w:rPr>
        <w:t xml:space="preserve"> (NOPR)</w:t>
      </w:r>
      <w:r>
        <w:rPr>
          <w:rFonts w:ascii="Times New Roman" w:hAnsi="Times New Roman" w:cs="Times New Roman"/>
          <w:sz w:val="24"/>
          <w:szCs w:val="24"/>
        </w:rPr>
        <w:t xml:space="preserve"> in Docket No. RM</w:t>
      </w:r>
      <w:r w:rsidR="00DD281E">
        <w:rPr>
          <w:rFonts w:ascii="Times New Roman" w:hAnsi="Times New Roman" w:cs="Times New Roman"/>
          <w:sz w:val="24"/>
          <w:szCs w:val="24"/>
        </w:rPr>
        <w:t>05</w:t>
      </w:r>
      <w:r>
        <w:rPr>
          <w:rFonts w:ascii="Times New Roman" w:hAnsi="Times New Roman" w:cs="Times New Roman"/>
          <w:sz w:val="24"/>
          <w:szCs w:val="24"/>
        </w:rPr>
        <w:t>-5</w:t>
      </w:r>
      <w:r w:rsidR="006832D2">
        <w:rPr>
          <w:rFonts w:ascii="Times New Roman" w:hAnsi="Times New Roman" w:cs="Times New Roman"/>
          <w:sz w:val="24"/>
          <w:szCs w:val="24"/>
        </w:rPr>
        <w:t xml:space="preserve">-031. </w:t>
      </w:r>
    </w:p>
    <w:p w:rsidR="0066266D" w14:paraId="4D076B13" w14:textId="77777777">
      <w:pPr>
        <w:spacing w:after="0"/>
        <w:rPr>
          <w:rFonts w:ascii="Times New Roman" w:hAnsi="Times New Roman" w:cs="Times New Roman"/>
          <w:sz w:val="24"/>
          <w:szCs w:val="24"/>
        </w:rPr>
      </w:pPr>
    </w:p>
    <w:p w:rsidR="002945B2" w:rsidRPr="002945B2" w:rsidP="002945B2" w14:paraId="0F726603" w14:textId="77777777">
      <w:pPr>
        <w:numPr>
          <w:ilvl w:val="0"/>
          <w:numId w:val="1"/>
        </w:numPr>
        <w:spacing w:after="0"/>
        <w:rPr>
          <w:rFonts w:ascii="Times New Roman" w:hAnsi="Times New Roman" w:cs="Times New Roman"/>
          <w:b/>
          <w:sz w:val="24"/>
          <w:szCs w:val="24"/>
        </w:rPr>
      </w:pPr>
      <w:r w:rsidRPr="002945B2">
        <w:rPr>
          <w:rFonts w:ascii="Times New Roman" w:hAnsi="Times New Roman" w:cs="Times New Roman"/>
          <w:b/>
          <w:sz w:val="24"/>
          <w:szCs w:val="24"/>
        </w:rPr>
        <w:t>CIRCUMSTANCES THAT MAKE THE COLLECTION OF INFORMATION NECESSARY</w:t>
      </w:r>
    </w:p>
    <w:p w:rsidR="002945B2" w:rsidRPr="002945B2" w:rsidP="002945B2" w14:paraId="32C03C5C" w14:textId="77777777">
      <w:pPr>
        <w:spacing w:after="0"/>
        <w:rPr>
          <w:rFonts w:ascii="Times New Roman" w:hAnsi="Times New Roman" w:cs="Times New Roman"/>
          <w:sz w:val="24"/>
          <w:szCs w:val="24"/>
        </w:rPr>
      </w:pPr>
    </w:p>
    <w:p w:rsidR="00861715" w14:paraId="75179FC3" w14:textId="5DDE2276">
      <w:pPr>
        <w:spacing w:after="0"/>
        <w:rPr>
          <w:rFonts w:ascii="Times New Roman" w:hAnsi="Times New Roman" w:cs="Times New Roman"/>
          <w:sz w:val="24"/>
          <w:szCs w:val="24"/>
        </w:rPr>
      </w:pPr>
      <w:r w:rsidRPr="00861715">
        <w:rPr>
          <w:rFonts w:ascii="Times New Roman" w:hAnsi="Times New Roman" w:cs="Times New Roman"/>
          <w:sz w:val="24"/>
          <w:szCs w:val="24"/>
        </w:rPr>
        <w:t>In the NOPR, the Commission proposes to amend its regulations to incorporate by reference, with certain enumerated exceptions, the latest version (Version 004) of the Standards for Business Practices and Communication Protocols for Public Utilities adopted by the Wholesale Electric Quadrant (WEQ) of the North American Energy Standards Board (NAESB)</w:t>
      </w:r>
      <w:r>
        <w:rPr>
          <w:rFonts w:ascii="Times New Roman" w:hAnsi="Times New Roman" w:cs="Times New Roman"/>
          <w:sz w:val="24"/>
          <w:szCs w:val="24"/>
          <w:vertAlign w:val="superscript"/>
        </w:rPr>
        <w:footnoteReference w:id="3"/>
      </w:r>
      <w:r w:rsidRPr="00861715">
        <w:rPr>
          <w:rFonts w:ascii="Times New Roman" w:hAnsi="Times New Roman" w:cs="Times New Roman"/>
          <w:sz w:val="24"/>
          <w:szCs w:val="24"/>
        </w:rPr>
        <w:t xml:space="preserve"> (WEQ Version 004 Standards) applicable to the wholesale electric industry.  These amendments would affect FERC-516E and FERC-717.  A separate supporting statement addresses the changes to FERC-</w:t>
      </w:r>
      <w:r>
        <w:rPr>
          <w:rFonts w:ascii="Times New Roman" w:hAnsi="Times New Roman" w:cs="Times New Roman"/>
          <w:sz w:val="24"/>
          <w:szCs w:val="24"/>
        </w:rPr>
        <w:t>717</w:t>
      </w:r>
      <w:r w:rsidRPr="00861715">
        <w:rPr>
          <w:rFonts w:ascii="Times New Roman" w:hAnsi="Times New Roman" w:cs="Times New Roman"/>
          <w:sz w:val="24"/>
          <w:szCs w:val="24"/>
        </w:rPr>
        <w:t>.</w:t>
      </w:r>
    </w:p>
    <w:p w:rsidR="00861715" w14:paraId="475B8F44" w14:textId="77777777">
      <w:pPr>
        <w:spacing w:after="0"/>
        <w:rPr>
          <w:rFonts w:ascii="Times New Roman" w:hAnsi="Times New Roman" w:cs="Times New Roman"/>
          <w:sz w:val="24"/>
          <w:szCs w:val="24"/>
        </w:rPr>
      </w:pPr>
    </w:p>
    <w:p w:rsidR="002945B2" w14:paraId="6CB941BE" w14:textId="7A582ACB">
      <w:pPr>
        <w:spacing w:after="0"/>
        <w:rPr>
          <w:rFonts w:ascii="Times New Roman" w:hAnsi="Times New Roman" w:cs="Times New Roman"/>
          <w:sz w:val="24"/>
          <w:szCs w:val="24"/>
        </w:rPr>
      </w:pPr>
      <w:r>
        <w:rPr>
          <w:rFonts w:ascii="Times New Roman" w:hAnsi="Times New Roman" w:cs="Times New Roman"/>
          <w:sz w:val="24"/>
          <w:szCs w:val="24"/>
        </w:rPr>
        <w:t>FERC-717 is involved in the Commission’s compliance with t</w:t>
      </w:r>
      <w:r w:rsidRPr="002945B2">
        <w:rPr>
          <w:rFonts w:ascii="Times New Roman" w:hAnsi="Times New Roman" w:cs="Times New Roman"/>
          <w:sz w:val="24"/>
          <w:szCs w:val="24"/>
        </w:rPr>
        <w:t>he Federal Power Act Section 205</w:t>
      </w:r>
      <w:r>
        <w:rPr>
          <w:rFonts w:ascii="Times New Roman" w:hAnsi="Times New Roman" w:cs="Times New Roman"/>
          <w:sz w:val="24"/>
          <w:szCs w:val="24"/>
          <w:vertAlign w:val="superscript"/>
        </w:rPr>
        <w:footnoteReference w:id="4"/>
      </w:r>
      <w:r>
        <w:rPr>
          <w:rFonts w:ascii="Times New Roman" w:hAnsi="Times New Roman" w:cs="Times New Roman"/>
          <w:sz w:val="24"/>
          <w:szCs w:val="24"/>
        </w:rPr>
        <w:t>, which</w:t>
      </w:r>
      <w:r w:rsidRPr="002945B2">
        <w:rPr>
          <w:rFonts w:ascii="Times New Roman" w:hAnsi="Times New Roman" w:cs="Times New Roman"/>
          <w:sz w:val="24"/>
          <w:szCs w:val="24"/>
        </w:rPr>
        <w:t xml:space="preserve"> requires the Commission to ensure that the rates and charges for the wholesale sale of electric energy are just and reasonable.  Section 205 also requires that the rules and regulations affecting or pertaining to the rates and charges for the wholesale sale of electric energy be just and reasonable.  </w:t>
      </w:r>
    </w:p>
    <w:p w:rsidR="00861715" w:rsidP="00AB2790" w14:paraId="6A5AE1B5" w14:textId="77777777">
      <w:pPr>
        <w:spacing w:after="0"/>
        <w:rPr>
          <w:rFonts w:ascii="Times New Roman" w:hAnsi="Times New Roman" w:cs="Times New Roman"/>
          <w:sz w:val="24"/>
          <w:szCs w:val="24"/>
        </w:rPr>
      </w:pPr>
    </w:p>
    <w:p w:rsidR="00861715" w:rsidP="00AB2790" w14:paraId="3BBC0931" w14:textId="236656E1">
      <w:pPr>
        <w:spacing w:after="0"/>
        <w:rPr>
          <w:rFonts w:ascii="Times New Roman" w:hAnsi="Times New Roman" w:cs="Times New Roman"/>
          <w:sz w:val="24"/>
          <w:szCs w:val="24"/>
        </w:rPr>
      </w:pPr>
      <w:bookmarkStart w:id="0" w:name="_Hlk27648573"/>
      <w:r w:rsidRPr="00AB2790">
        <w:rPr>
          <w:rFonts w:ascii="Times New Roman" w:hAnsi="Times New Roman" w:cs="Times New Roman"/>
          <w:sz w:val="24"/>
          <w:szCs w:val="24"/>
        </w:rPr>
        <w:t xml:space="preserve">On July 31, 2023, NAESB filed </w:t>
      </w:r>
      <w:r>
        <w:rPr>
          <w:rFonts w:ascii="Times New Roman" w:hAnsi="Times New Roman" w:cs="Times New Roman"/>
          <w:sz w:val="24"/>
          <w:szCs w:val="24"/>
        </w:rPr>
        <w:t xml:space="preserve">a notice that it had approved </w:t>
      </w:r>
      <w:r w:rsidRPr="00AB2790">
        <w:rPr>
          <w:rFonts w:ascii="Times New Roman" w:hAnsi="Times New Roman" w:cs="Times New Roman"/>
          <w:sz w:val="24"/>
          <w:szCs w:val="24"/>
        </w:rPr>
        <w:t>the WEQ Version 004 Standards</w:t>
      </w:r>
      <w:r>
        <w:rPr>
          <w:rFonts w:ascii="Times New Roman" w:hAnsi="Times New Roman" w:cs="Times New Roman"/>
          <w:sz w:val="24"/>
          <w:szCs w:val="24"/>
        </w:rPr>
        <w:t xml:space="preserve"> to replace the currently incorporated version (Version 003.3) of those business practice standards (Informational Report)</w:t>
      </w:r>
      <w:r w:rsidRPr="00AB2790">
        <w:rPr>
          <w:rFonts w:ascii="Times New Roman" w:hAnsi="Times New Roman" w:cs="Times New Roman"/>
          <w:sz w:val="24"/>
          <w:szCs w:val="24"/>
        </w:rPr>
        <w:t>.</w:t>
      </w:r>
      <w:r w:rsidRPr="00861715">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ootnoteReference w:id="5"/>
      </w:r>
      <w:r w:rsidRPr="00AB2790">
        <w:rPr>
          <w:rFonts w:ascii="Times New Roman" w:hAnsi="Times New Roman" w:cs="Times New Roman"/>
          <w:sz w:val="24"/>
          <w:szCs w:val="24"/>
        </w:rPr>
        <w:t xml:space="preserve"> </w:t>
      </w:r>
      <w:r w:rsidRPr="00861715">
        <w:rPr>
          <w:rFonts w:ascii="Times New Roman" w:hAnsi="Times New Roman" w:cs="Times New Roman"/>
          <w:sz w:val="24"/>
          <w:szCs w:val="24"/>
        </w:rPr>
        <w:t xml:space="preserve">The revisions made by NAESB in the WEQ Version 004 Standards are designed to aid public utilities with the consistent and uniform implementation of requirements promulgated by the Commission as part of the </w:t>
      </w:r>
      <w:r w:rsidRPr="00861715">
        <w:rPr>
          <w:rFonts w:ascii="Times New Roman" w:hAnsi="Times New Roman" w:cs="Times New Roman"/>
          <w:i/>
          <w:iCs/>
          <w:sz w:val="24"/>
          <w:szCs w:val="24"/>
        </w:rPr>
        <w:t xml:space="preserve">pro forma </w:t>
      </w:r>
      <w:r w:rsidRPr="00861715">
        <w:rPr>
          <w:rFonts w:ascii="Times New Roman" w:hAnsi="Times New Roman" w:cs="Times New Roman"/>
          <w:sz w:val="24"/>
          <w:szCs w:val="24"/>
        </w:rPr>
        <w:t>Open Access Transmission Tariff.</w:t>
      </w:r>
      <w:r w:rsidRPr="00AB2790">
        <w:rPr>
          <w:rFonts w:ascii="Times New Roman" w:hAnsi="Times New Roman" w:cs="Times New Roman"/>
          <w:sz w:val="24"/>
          <w:szCs w:val="24"/>
        </w:rPr>
        <w:t xml:space="preserve"> </w:t>
      </w:r>
    </w:p>
    <w:p w:rsidR="00861715" w:rsidP="00AB2790" w14:paraId="20365237" w14:textId="77777777">
      <w:pPr>
        <w:spacing w:after="0"/>
        <w:rPr>
          <w:rFonts w:ascii="Times New Roman" w:hAnsi="Times New Roman" w:cs="Times New Roman"/>
          <w:sz w:val="24"/>
          <w:szCs w:val="24"/>
        </w:rPr>
      </w:pPr>
    </w:p>
    <w:p w:rsidR="00F8465D" w:rsidP="00896136" w14:paraId="59F0C443" w14:textId="5C19976A">
      <w:pPr>
        <w:spacing w:after="0"/>
        <w:rPr>
          <w:rFonts w:ascii="Times New Roman" w:hAnsi="Times New Roman" w:cs="Times New Roman"/>
          <w:sz w:val="24"/>
          <w:szCs w:val="24"/>
        </w:rPr>
      </w:pPr>
      <w:r>
        <w:rPr>
          <w:rFonts w:ascii="Times New Roman" w:hAnsi="Times New Roman" w:cs="Times New Roman"/>
          <w:sz w:val="24"/>
          <w:szCs w:val="24"/>
        </w:rPr>
        <w:t>T</w:t>
      </w:r>
      <w:r w:rsidRPr="00AB2790" w:rsidR="00AB2790">
        <w:rPr>
          <w:rFonts w:ascii="Times New Roman" w:hAnsi="Times New Roman" w:cs="Times New Roman"/>
          <w:sz w:val="24"/>
          <w:szCs w:val="24"/>
        </w:rPr>
        <w:t>he WEQ Version 004 Standards include newly created standards, as well as modifications to existing standards, developed through the NAESB standards development process.  WEQ Version 004 Standards build upon WEQ Version 003.3 Standards and include standards developed in response to the directives from Order Nos. 676-I and 676-J</w:t>
      </w:r>
      <w:r w:rsidRPr="00AB2790" w:rsidR="00AB2790">
        <w:rPr>
          <w:rFonts w:ascii="Times New Roman" w:hAnsi="Times New Roman" w:cs="Times New Roman"/>
          <w:sz w:val="26"/>
        </w:rPr>
        <w:t xml:space="preserve"> </w:t>
      </w:r>
      <w:r w:rsidRPr="00AB2790" w:rsidR="00AB2790">
        <w:rPr>
          <w:rFonts w:ascii="Times New Roman" w:hAnsi="Times New Roman" w:cs="Times New Roman"/>
          <w:sz w:val="24"/>
          <w:szCs w:val="24"/>
        </w:rPr>
        <w:t>business practice standards developed to support cybersecurity for the wholesale electric industry, modifications to complement the NERC Reliability Standards, the new NAESB REC Contract, and standards to identify definitions for common grid services to support distributed energy resource interactions in response to a request submitted by the Department of Energy (DOE), Lawrence Berkeley National Laboratory (Berkeley Lab), and Pacific Northwest National Laboratory (PNNL).</w:t>
      </w:r>
      <w:r w:rsidRPr="00AB2790" w:rsidR="00AB2790">
        <w:rPr>
          <w:rFonts w:ascii="Times New Roman" w:hAnsi="Times New Roman" w:cs="Times New Roman"/>
          <w:sz w:val="26"/>
        </w:rPr>
        <w:t xml:space="preserve"> </w:t>
      </w:r>
      <w:r w:rsidR="00AB2790">
        <w:rPr>
          <w:rFonts w:ascii="Times New Roman" w:hAnsi="Times New Roman" w:cs="Times New Roman"/>
          <w:sz w:val="26"/>
        </w:rPr>
        <w:t>Additionally</w:t>
      </w:r>
      <w:r w:rsidR="00AB2790">
        <w:rPr>
          <w:rFonts w:ascii="Times New Roman" w:hAnsi="Times New Roman" w:cs="Times New Roman"/>
          <w:sz w:val="26"/>
        </w:rPr>
        <w:t xml:space="preserve"> WEQ Version 004 </w:t>
      </w:r>
      <w:r w:rsidRPr="00AB2790" w:rsidR="00AB2790">
        <w:rPr>
          <w:rFonts w:ascii="Times New Roman" w:hAnsi="Times New Roman" w:cs="Times New Roman"/>
          <w:sz w:val="24"/>
          <w:szCs w:val="24"/>
        </w:rPr>
        <w:t>Standards include modifications applied to OASIS Business Practice Standards, the Coordinate Interchange Business Practice Standards, and the Abbreviations, Acronyms, and Defined Terms.</w:t>
      </w:r>
      <w:r>
        <w:rPr>
          <w:rFonts w:ascii="Times New Roman" w:hAnsi="Times New Roman" w:cs="Times New Roman"/>
          <w:sz w:val="24"/>
          <w:szCs w:val="24"/>
        </w:rPr>
        <w:t xml:space="preserve">  </w:t>
      </w:r>
      <w:bookmarkEnd w:id="0"/>
      <w:r w:rsidR="000818F2">
        <w:rPr>
          <w:rFonts w:ascii="Times New Roman" w:hAnsi="Times New Roman" w:cs="Times New Roman"/>
          <w:sz w:val="24"/>
          <w:szCs w:val="24"/>
        </w:rPr>
        <w:t xml:space="preserve">Industry-wide business practice standards help the industry achieve increased levels of efficiency. </w:t>
      </w:r>
      <w:r>
        <w:rPr>
          <w:rFonts w:ascii="Times New Roman" w:hAnsi="Times New Roman" w:cs="Times New Roman"/>
          <w:sz w:val="24"/>
          <w:szCs w:val="24"/>
        </w:rPr>
        <w:t xml:space="preserve"> </w:t>
      </w:r>
      <w:r w:rsidRPr="00F8465D">
        <w:rPr>
          <w:rFonts w:ascii="Times New Roman" w:hAnsi="Times New Roman" w:cs="Times New Roman"/>
          <w:sz w:val="24"/>
          <w:szCs w:val="24"/>
        </w:rPr>
        <w:t>The NAESB Informational Report identifies all of the changes made to the WEQ Version 004 Standards and summarizes the deliberations that led to the changes.  It also identifies changes to the existing standards that were considered but not adopted due to a lack of consensus or other reasons.</w:t>
      </w:r>
    </w:p>
    <w:p w:rsidR="0066266D" w14:paraId="412FD3FD" w14:textId="77777777">
      <w:pPr>
        <w:spacing w:after="0"/>
        <w:rPr>
          <w:rFonts w:ascii="Times New Roman" w:hAnsi="Times New Roman" w:cs="Times New Roman"/>
          <w:sz w:val="24"/>
          <w:szCs w:val="24"/>
        </w:rPr>
      </w:pPr>
    </w:p>
    <w:p w:rsidR="0066266D" w14:paraId="1D4991D9" w14:textId="77777777">
      <w:pPr>
        <w:spacing w:after="0"/>
        <w:rPr>
          <w:rFonts w:ascii="Times New Roman" w:hAnsi="Times New Roman" w:cs="Times New Roman"/>
          <w:sz w:val="24"/>
          <w:szCs w:val="24"/>
        </w:rPr>
      </w:pPr>
      <w:bookmarkStart w:id="1" w:name="_Hlk27654878"/>
      <w:bookmarkEnd w:id="1"/>
    </w:p>
    <w:p w:rsidR="0066266D" w14:paraId="2A6CEC6D"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HOW, BY WHOM, AND FOR WHAT PURPOSE THE INFORMATION IS TO BE USED AND THE CONSEQUENCES OF NOT COLLECTING THE INFORMATION</w:t>
      </w:r>
    </w:p>
    <w:p w:rsidR="0066266D" w14:paraId="2FB6ED16" w14:textId="77777777">
      <w:pPr>
        <w:spacing w:after="0"/>
        <w:rPr>
          <w:rFonts w:ascii="Times New Roman" w:hAnsi="Times New Roman" w:cs="Times New Roman"/>
          <w:sz w:val="24"/>
          <w:szCs w:val="24"/>
        </w:rPr>
      </w:pPr>
    </w:p>
    <w:p w:rsidR="0066266D" w14:paraId="17B23684" w14:textId="0072EDFF">
      <w:pPr>
        <w:spacing w:after="0"/>
        <w:rPr>
          <w:rFonts w:ascii="Times New Roman" w:hAnsi="Times New Roman" w:cs="Times New Roman"/>
          <w:sz w:val="24"/>
          <w:szCs w:val="24"/>
        </w:rPr>
      </w:pPr>
      <w:r>
        <w:rPr>
          <w:rFonts w:ascii="Times New Roman" w:hAnsi="Times New Roman" w:cs="Times New Roman"/>
          <w:b/>
          <w:sz w:val="24"/>
          <w:szCs w:val="24"/>
        </w:rPr>
        <w:t>FERC-516E</w:t>
      </w:r>
      <w:r>
        <w:rPr>
          <w:rFonts w:ascii="Times New Roman" w:hAnsi="Times New Roman" w:cs="Times New Roman"/>
          <w:sz w:val="24"/>
          <w:szCs w:val="24"/>
        </w:rPr>
        <w:t xml:space="preserve">.  The </w:t>
      </w:r>
      <w:r w:rsidR="002945B2">
        <w:rPr>
          <w:rFonts w:ascii="Times New Roman" w:hAnsi="Times New Roman" w:cs="Times New Roman"/>
          <w:sz w:val="24"/>
          <w:szCs w:val="24"/>
        </w:rPr>
        <w:t>NOPR</w:t>
      </w:r>
      <w:r w:rsidR="00F8465D">
        <w:rPr>
          <w:rFonts w:ascii="Times New Roman" w:hAnsi="Times New Roman" w:cs="Times New Roman"/>
          <w:sz w:val="24"/>
          <w:szCs w:val="24"/>
        </w:rPr>
        <w:t xml:space="preserve"> proposes to</w:t>
      </w:r>
      <w:r>
        <w:rPr>
          <w:rFonts w:ascii="Times New Roman" w:hAnsi="Times New Roman" w:cs="Times New Roman"/>
          <w:sz w:val="24"/>
          <w:szCs w:val="24"/>
        </w:rPr>
        <w:t xml:space="preserve"> require public utilities to modify their existing tariffs to reference the standards and state that transactions made under their respective tariffs would be performed in accordance with the </w:t>
      </w:r>
      <w:r w:rsidR="00097EEC">
        <w:rPr>
          <w:rFonts w:ascii="Times New Roman" w:hAnsi="Times New Roman" w:cs="Times New Roman"/>
          <w:sz w:val="24"/>
          <w:szCs w:val="24"/>
        </w:rPr>
        <w:t xml:space="preserve">WEQ </w:t>
      </w:r>
      <w:r>
        <w:rPr>
          <w:rFonts w:ascii="Times New Roman" w:hAnsi="Times New Roman" w:cs="Times New Roman"/>
          <w:sz w:val="24"/>
          <w:szCs w:val="24"/>
        </w:rPr>
        <w:t>Version</w:t>
      </w:r>
      <w:r w:rsidR="002945B2">
        <w:rPr>
          <w:rFonts w:ascii="Times New Roman" w:hAnsi="Times New Roman" w:cs="Times New Roman"/>
          <w:sz w:val="24"/>
          <w:szCs w:val="24"/>
        </w:rPr>
        <w:t xml:space="preserve"> </w:t>
      </w:r>
      <w:r w:rsidR="00097EEC">
        <w:rPr>
          <w:rFonts w:ascii="Times New Roman" w:hAnsi="Times New Roman" w:cs="Times New Roman"/>
          <w:sz w:val="24"/>
          <w:szCs w:val="24"/>
        </w:rPr>
        <w:t>00</w:t>
      </w:r>
      <w:r w:rsidR="002945B2">
        <w:rPr>
          <w:rFonts w:ascii="Times New Roman" w:hAnsi="Times New Roman" w:cs="Times New Roman"/>
          <w:sz w:val="24"/>
          <w:szCs w:val="24"/>
        </w:rPr>
        <w:t xml:space="preserve">4 </w:t>
      </w:r>
      <w:r w:rsidR="00097EEC">
        <w:rPr>
          <w:rFonts w:ascii="Times New Roman" w:hAnsi="Times New Roman" w:cs="Times New Roman"/>
          <w:sz w:val="24"/>
          <w:szCs w:val="24"/>
        </w:rPr>
        <w:t>S</w:t>
      </w:r>
      <w:r>
        <w:rPr>
          <w:rFonts w:ascii="Times New Roman" w:hAnsi="Times New Roman" w:cs="Times New Roman"/>
          <w:sz w:val="24"/>
          <w:szCs w:val="24"/>
        </w:rPr>
        <w:t xml:space="preserve">tandards.  Tariffs provide the Commission and the public with information regarding a utility’s rates and service conditions.  Without tariffs, FERC and the public would not be able to properly evaluate rates.    </w:t>
      </w:r>
    </w:p>
    <w:p w:rsidR="0066266D" w14:paraId="65371740" w14:textId="77777777">
      <w:pPr>
        <w:spacing w:after="0"/>
        <w:rPr>
          <w:rFonts w:ascii="Times New Roman" w:hAnsi="Times New Roman" w:cs="Times New Roman"/>
          <w:sz w:val="24"/>
          <w:szCs w:val="24"/>
        </w:rPr>
      </w:pPr>
    </w:p>
    <w:p w:rsidR="0066266D" w14:paraId="0D83EBA3" w14:textId="77777777">
      <w:pPr>
        <w:spacing w:after="0"/>
        <w:rPr>
          <w:rFonts w:ascii="Times New Roman" w:hAnsi="Times New Roman" w:cs="Times New Roman"/>
          <w:sz w:val="24"/>
          <w:szCs w:val="24"/>
        </w:rPr>
      </w:pPr>
      <w:r>
        <w:rPr>
          <w:rFonts w:ascii="Times New Roman" w:hAnsi="Times New Roman" w:cs="Times New Roman"/>
          <w:sz w:val="24"/>
          <w:szCs w:val="24"/>
        </w:rPr>
        <w:t xml:space="preserve">In a previous Final Rule (Order No. 889), the Commission required public utilities to establish OASIS sites to provide transmission customers with equal and timely access to information about transmission and ancillary services provided in the tariffs.  This requirement was </w:t>
      </w:r>
      <w:r>
        <w:rPr>
          <w:rFonts w:ascii="Times New Roman" w:hAnsi="Times New Roman" w:cs="Times New Roman"/>
          <w:sz w:val="24"/>
          <w:szCs w:val="24"/>
        </w:rPr>
        <w:t>established because the Commission has determined that transmission customers must have simultaneous access to the same information available to the Transmission Provider in order to achieve nondiscriminatory transmission services.</w:t>
      </w:r>
    </w:p>
    <w:p w:rsidR="0066266D" w14:paraId="18F38995" w14:textId="77777777">
      <w:pPr>
        <w:spacing w:after="0"/>
        <w:rPr>
          <w:rFonts w:ascii="Times New Roman" w:hAnsi="Times New Roman" w:cs="Times New Roman"/>
          <w:sz w:val="24"/>
          <w:szCs w:val="24"/>
        </w:rPr>
      </w:pPr>
    </w:p>
    <w:p w:rsidR="0066266D" w14:paraId="51F1E9E7"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Commission determined that standardization of business practices and communication processes benefits the electric industry by providing uniform methods for public utilities to conduct business with different transmission providers.  Many participants in electric markets conduct business transactions involving </w:t>
      </w:r>
      <w:r>
        <w:rPr>
          <w:rFonts w:ascii="Times New Roman" w:hAnsi="Times New Roman" w:cs="Times New Roman"/>
          <w:sz w:val="24"/>
          <w:szCs w:val="24"/>
        </w:rPr>
        <w:t>a number of</w:t>
      </w:r>
      <w:r>
        <w:rPr>
          <w:rFonts w:ascii="Times New Roman" w:hAnsi="Times New Roman" w:cs="Times New Roman"/>
          <w:sz w:val="24"/>
          <w:szCs w:val="24"/>
        </w:rPr>
        <w:t xml:space="preserve"> different transmission providers. Establishing a uniform set of procedures and communication protocols increases the efficiency of such transactions.</w:t>
      </w:r>
    </w:p>
    <w:p w:rsidR="0066266D" w14:paraId="48A7156A" w14:textId="77777777">
      <w:pPr>
        <w:spacing w:after="0"/>
        <w:rPr>
          <w:rFonts w:ascii="Times New Roman" w:hAnsi="Times New Roman" w:cs="Times New Roman"/>
          <w:sz w:val="24"/>
          <w:szCs w:val="24"/>
        </w:rPr>
      </w:pPr>
    </w:p>
    <w:p w:rsidR="0066266D" w14:paraId="4CED5CD2" w14:textId="1198402D">
      <w:pPr>
        <w:spacing w:after="0"/>
        <w:rPr>
          <w:rFonts w:ascii="Times New Roman" w:hAnsi="Times New Roman" w:cs="Times New Roman"/>
          <w:sz w:val="24"/>
          <w:szCs w:val="24"/>
        </w:rPr>
      </w:pPr>
      <w:r>
        <w:rPr>
          <w:rFonts w:ascii="Times New Roman" w:hAnsi="Times New Roman" w:cs="Times New Roman"/>
          <w:sz w:val="24"/>
          <w:szCs w:val="24"/>
        </w:rPr>
        <w:t xml:space="preserve">The public utilities subject to this </w:t>
      </w:r>
      <w:r w:rsidR="002945B2">
        <w:rPr>
          <w:rFonts w:ascii="Times New Roman" w:hAnsi="Times New Roman" w:cs="Times New Roman"/>
          <w:sz w:val="24"/>
          <w:szCs w:val="24"/>
        </w:rPr>
        <w:t>NOPR</w:t>
      </w:r>
      <w:r>
        <w:rPr>
          <w:rFonts w:ascii="Times New Roman" w:hAnsi="Times New Roman" w:cs="Times New Roman"/>
          <w:sz w:val="24"/>
          <w:szCs w:val="24"/>
        </w:rPr>
        <w:t>will</w:t>
      </w:r>
      <w:r>
        <w:rPr>
          <w:rFonts w:ascii="Times New Roman" w:hAnsi="Times New Roman" w:cs="Times New Roman"/>
          <w:sz w:val="24"/>
          <w:szCs w:val="24"/>
        </w:rPr>
        <w:t xml:space="preserve"> be required to make tariff filings (FERC-516E) referencing the WEQ Version </w:t>
      </w:r>
      <w:r w:rsidR="002945B2">
        <w:rPr>
          <w:rFonts w:ascii="Times New Roman" w:hAnsi="Times New Roman" w:cs="Times New Roman"/>
          <w:sz w:val="24"/>
          <w:szCs w:val="24"/>
        </w:rPr>
        <w:t>4</w:t>
      </w:r>
      <w:r>
        <w:rPr>
          <w:rFonts w:ascii="Times New Roman" w:hAnsi="Times New Roman" w:cs="Times New Roman"/>
          <w:sz w:val="24"/>
          <w:szCs w:val="24"/>
        </w:rPr>
        <w:t xml:space="preserve"> standards and stating that they will implement their tariff in accordance with the requirements of the WEQ Version </w:t>
      </w:r>
      <w:r w:rsidR="00801FE1">
        <w:rPr>
          <w:rFonts w:ascii="Times New Roman" w:hAnsi="Times New Roman" w:cs="Times New Roman"/>
          <w:sz w:val="24"/>
          <w:szCs w:val="24"/>
        </w:rPr>
        <w:t>004</w:t>
      </w:r>
      <w:r>
        <w:rPr>
          <w:rFonts w:ascii="Times New Roman" w:hAnsi="Times New Roman" w:cs="Times New Roman"/>
          <w:sz w:val="24"/>
          <w:szCs w:val="24"/>
        </w:rPr>
        <w:t xml:space="preserve"> </w:t>
      </w:r>
      <w:r w:rsidR="00801FE1">
        <w:rPr>
          <w:rFonts w:ascii="Times New Roman" w:hAnsi="Times New Roman" w:cs="Times New Roman"/>
          <w:sz w:val="24"/>
          <w:szCs w:val="24"/>
        </w:rPr>
        <w:t>S</w:t>
      </w:r>
      <w:r>
        <w:rPr>
          <w:rFonts w:ascii="Times New Roman" w:hAnsi="Times New Roman" w:cs="Times New Roman"/>
          <w:sz w:val="24"/>
          <w:szCs w:val="24"/>
        </w:rPr>
        <w:t xml:space="preserve">tandards.  Public utilities currently collect and post information on various systems such as OASIS currently in use by the industry.  The revisions in these revised NAESB standards may adjust some of the business practices around this information but do not substantially affect the amount or content of the information.  Without these standards, the same transactions would occur.  However, the details regarding each transaction would vary from </w:t>
      </w:r>
      <w:r>
        <w:rPr>
          <w:rFonts w:ascii="Times New Roman" w:hAnsi="Times New Roman" w:cs="Times New Roman"/>
          <w:sz w:val="24"/>
          <w:szCs w:val="24"/>
        </w:rPr>
        <w:t>utility to utility</w:t>
      </w:r>
      <w:r>
        <w:rPr>
          <w:rFonts w:ascii="Times New Roman" w:hAnsi="Times New Roman" w:cs="Times New Roman"/>
          <w:sz w:val="24"/>
          <w:szCs w:val="24"/>
        </w:rPr>
        <w:t xml:space="preserve"> hindering standardization.</w:t>
      </w:r>
    </w:p>
    <w:p w:rsidR="0066266D" w14:paraId="4D0264EB" w14:textId="77777777">
      <w:pPr>
        <w:spacing w:after="0"/>
        <w:rPr>
          <w:rFonts w:ascii="Times New Roman" w:hAnsi="Times New Roman" w:cs="Times New Roman"/>
          <w:sz w:val="24"/>
          <w:szCs w:val="24"/>
        </w:rPr>
      </w:pPr>
    </w:p>
    <w:p w:rsidR="0066266D" w14:paraId="6FE66FC6"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ANY CONSIDERATION OF THE USE OF IMPROVED INFORMATION TECHNOLOGY TO REDUCE THE BURDEN AND TECHNICAL OR LEGAL OBSTACLES TO REDUCING BURDEN</w:t>
      </w:r>
    </w:p>
    <w:p w:rsidR="0066266D" w14:paraId="765AE80D" w14:textId="77777777">
      <w:pPr>
        <w:spacing w:after="0"/>
        <w:rPr>
          <w:rFonts w:ascii="Times New Roman" w:hAnsi="Times New Roman" w:cs="Times New Roman"/>
          <w:sz w:val="24"/>
          <w:szCs w:val="24"/>
        </w:rPr>
      </w:pPr>
    </w:p>
    <w:p w:rsidR="0066266D" w14:paraId="188534EF" w14:textId="567CEB8A">
      <w:pPr>
        <w:spacing w:after="0"/>
        <w:rPr>
          <w:rFonts w:ascii="Times New Roman" w:hAnsi="Times New Roman" w:cs="Times New Roman"/>
          <w:sz w:val="24"/>
          <w:szCs w:val="24"/>
        </w:rPr>
      </w:pPr>
      <w:r>
        <w:rPr>
          <w:rFonts w:ascii="Times New Roman" w:hAnsi="Times New Roman" w:cs="Times New Roman"/>
          <w:sz w:val="24"/>
          <w:szCs w:val="24"/>
        </w:rPr>
        <w:t xml:space="preserve">FERC has made no significant changes in information technology use for complying with the FERC-516E because these issues were already addressed by FERC in a rule implementing the Commission’s </w:t>
      </w:r>
      <w:r>
        <w:rPr>
          <w:rFonts w:ascii="Times New Roman" w:hAnsi="Times New Roman" w:cs="Times New Roman"/>
          <w:sz w:val="24"/>
          <w:szCs w:val="24"/>
        </w:rPr>
        <w:t>eTariff</w:t>
      </w:r>
      <w:r>
        <w:rPr>
          <w:rFonts w:ascii="Times New Roman" w:hAnsi="Times New Roman" w:cs="Times New Roman"/>
          <w:sz w:val="24"/>
          <w:szCs w:val="24"/>
        </w:rPr>
        <w:t xml:space="preserve"> system (fully implemented in 2010) for the electronic filing of tariffs.  </w:t>
      </w:r>
    </w:p>
    <w:p w:rsidR="0066266D" w14:paraId="494C7231" w14:textId="77777777">
      <w:pPr>
        <w:spacing w:after="0"/>
        <w:rPr>
          <w:rFonts w:ascii="Times New Roman" w:hAnsi="Times New Roman" w:cs="Times New Roman"/>
          <w:sz w:val="24"/>
          <w:szCs w:val="24"/>
        </w:rPr>
      </w:pPr>
    </w:p>
    <w:p w:rsidR="0066266D" w14:paraId="14C59294"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EFFORTS TO IDENTIFY DUPLICATION AND SHOW SPECIFICALLY WHY ANY SIMILAR INFORMATION ALREADY AVAILABLE CANNOT BE USED OR MODIFIED FOR USE FOR THE PURPOSE(S) DESCRIBED IN INSTRUCTION NO. 2</w:t>
      </w:r>
    </w:p>
    <w:p w:rsidR="0066266D" w14:paraId="7A94E3E5" w14:textId="77777777">
      <w:pPr>
        <w:spacing w:after="0"/>
        <w:rPr>
          <w:rFonts w:ascii="Times New Roman" w:hAnsi="Times New Roman" w:cs="Times New Roman"/>
          <w:sz w:val="24"/>
          <w:szCs w:val="24"/>
        </w:rPr>
      </w:pPr>
    </w:p>
    <w:p w:rsidR="0066266D" w14:paraId="3CF7C7DF" w14:textId="3E6B9EC5">
      <w:pPr>
        <w:spacing w:after="0"/>
        <w:rPr>
          <w:rFonts w:ascii="Times New Roman" w:hAnsi="Times New Roman" w:cs="Times New Roman"/>
          <w:sz w:val="24"/>
          <w:szCs w:val="24"/>
        </w:rPr>
      </w:pPr>
      <w:r w:rsidRPr="00801FE1">
        <w:rPr>
          <w:rFonts w:ascii="Times New Roman" w:hAnsi="Times New Roman" w:cs="Times New Roman"/>
          <w:sz w:val="24"/>
          <w:szCs w:val="24"/>
        </w:rPr>
        <w:t xml:space="preserve">Commission filings and data requirements are periodically reviewed in conjunction with OMB clearance expiration dates.  No duplication of the information collection requirements has been found. </w:t>
      </w:r>
      <w:r>
        <w:rPr>
          <w:rFonts w:ascii="Times New Roman" w:hAnsi="Times New Roman" w:cs="Times New Roman"/>
          <w:sz w:val="24"/>
          <w:szCs w:val="24"/>
        </w:rPr>
        <w:t xml:space="preserve"> </w:t>
      </w:r>
    </w:p>
    <w:p w:rsidR="0066266D" w14:paraId="08BB7D46" w14:textId="77777777">
      <w:pPr>
        <w:spacing w:after="0"/>
        <w:rPr>
          <w:rFonts w:ascii="Times New Roman" w:hAnsi="Times New Roman" w:cs="Times New Roman"/>
          <w:sz w:val="24"/>
          <w:szCs w:val="24"/>
        </w:rPr>
      </w:pPr>
    </w:p>
    <w:p w:rsidR="0066266D" w14:paraId="1BC18FF1"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METHODS USED TO MINIMIZE THE BURDEN IN COLLECTION OF INFORMATION INVOLVING SMALL ENTITIES</w:t>
      </w:r>
    </w:p>
    <w:p w:rsidR="0066266D" w14:paraId="6BBBDC27" w14:textId="77777777">
      <w:pPr>
        <w:spacing w:after="0"/>
        <w:rPr>
          <w:rFonts w:ascii="Times New Roman" w:hAnsi="Times New Roman" w:cs="Times New Roman"/>
          <w:sz w:val="24"/>
          <w:szCs w:val="24"/>
        </w:rPr>
      </w:pPr>
    </w:p>
    <w:p w:rsidR="0066266D" w14:paraId="20F9A893" w14:textId="1BD137AE">
      <w:pPr>
        <w:spacing w:after="0"/>
        <w:rPr>
          <w:rFonts w:ascii="Times New Roman" w:hAnsi="Times New Roman" w:cs="Times New Roman"/>
          <w:sz w:val="24"/>
          <w:szCs w:val="24"/>
        </w:rPr>
      </w:pPr>
      <w:r>
        <w:rPr>
          <w:rFonts w:ascii="Times New Roman" w:hAnsi="Times New Roman" w:cs="Times New Roman"/>
          <w:sz w:val="24"/>
          <w:szCs w:val="24"/>
        </w:rPr>
        <w:t>FERC estimates that these requirements apply to 2</w:t>
      </w:r>
      <w:r w:rsidR="00471305">
        <w:rPr>
          <w:rFonts w:ascii="Times New Roman" w:hAnsi="Times New Roman" w:cs="Times New Roman"/>
          <w:sz w:val="24"/>
          <w:szCs w:val="24"/>
        </w:rPr>
        <w:t>4</w:t>
      </w:r>
      <w:r>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small public utilities.  FERC considers the impact of the rule to be very minimal.  The Commission does consider waivers for small entities, which serves as an option for small entities to reduce their burden.  The Commission grants these waivers on a case-by-case basis.</w:t>
      </w:r>
    </w:p>
    <w:p w:rsidR="0066266D" w14:paraId="24C4D22A" w14:textId="77777777">
      <w:pPr>
        <w:spacing w:after="0"/>
        <w:rPr>
          <w:rFonts w:ascii="Times New Roman" w:hAnsi="Times New Roman" w:cs="Times New Roman"/>
          <w:sz w:val="24"/>
          <w:szCs w:val="24"/>
        </w:rPr>
      </w:pPr>
    </w:p>
    <w:p w:rsidR="0066266D" w14:paraId="2DBF6907"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CONSEQUENCE TO FEDERAL PROGRAM IF COLLECTION WERE CONDUCTED LESS FREQUENTLY</w:t>
      </w:r>
    </w:p>
    <w:p w:rsidR="0066266D" w14:paraId="232D0E3B" w14:textId="77777777">
      <w:pPr>
        <w:spacing w:after="0"/>
        <w:rPr>
          <w:rFonts w:ascii="Times New Roman" w:hAnsi="Times New Roman" w:cs="Times New Roman"/>
          <w:sz w:val="24"/>
          <w:szCs w:val="24"/>
        </w:rPr>
      </w:pPr>
    </w:p>
    <w:p w:rsidR="0066266D" w14:paraId="1287BB5D" w14:textId="117A37DA">
      <w:pPr>
        <w:spacing w:after="0"/>
        <w:rPr>
          <w:rFonts w:ascii="Times New Roman" w:hAnsi="Times New Roman" w:cs="Times New Roman"/>
          <w:sz w:val="24"/>
          <w:szCs w:val="24"/>
        </w:rPr>
      </w:pPr>
      <w:r>
        <w:rPr>
          <w:rFonts w:ascii="Times New Roman" w:hAnsi="Times New Roman" w:cs="Times New Roman"/>
          <w:sz w:val="24"/>
          <w:szCs w:val="24"/>
        </w:rPr>
        <w:t xml:space="preserve">The Commission promotes an open transmission system through its policies and regulations.  The WEQ Version </w:t>
      </w:r>
      <w:r w:rsidR="00573D74">
        <w:rPr>
          <w:rFonts w:ascii="Times New Roman" w:hAnsi="Times New Roman" w:cs="Times New Roman"/>
          <w:sz w:val="24"/>
          <w:szCs w:val="24"/>
        </w:rPr>
        <w:t>00</w:t>
      </w:r>
      <w:r w:rsidR="00DD281E">
        <w:rPr>
          <w:rFonts w:ascii="Times New Roman" w:hAnsi="Times New Roman" w:cs="Times New Roman"/>
          <w:sz w:val="24"/>
          <w:szCs w:val="24"/>
        </w:rPr>
        <w:t>4</w:t>
      </w:r>
      <w:r>
        <w:rPr>
          <w:rFonts w:ascii="Times New Roman" w:hAnsi="Times New Roman" w:cs="Times New Roman"/>
          <w:sz w:val="24"/>
          <w:szCs w:val="24"/>
        </w:rPr>
        <w:t xml:space="preserve"> </w:t>
      </w:r>
      <w:r w:rsidR="00573D74">
        <w:rPr>
          <w:rFonts w:ascii="Times New Roman" w:hAnsi="Times New Roman" w:cs="Times New Roman"/>
          <w:sz w:val="24"/>
          <w:szCs w:val="24"/>
        </w:rPr>
        <w:t>S</w:t>
      </w:r>
      <w:r>
        <w:rPr>
          <w:rFonts w:ascii="Times New Roman" w:hAnsi="Times New Roman" w:cs="Times New Roman"/>
          <w:sz w:val="24"/>
          <w:szCs w:val="24"/>
        </w:rPr>
        <w:t>tandards were developed and vetted through an industry consensus process.  If the information collection components of the standards were conducted less frequently, then the standards would not fully achieve their purpose of promoting efficiency in the wholesale electric industry.  Further, anything different from the standards under consideration here would not be in accordance with what the industry has already vetted and approved in an open consensus building process through NAESB.</w:t>
      </w:r>
    </w:p>
    <w:p w:rsidR="0066266D" w14:paraId="7C2B8EA9" w14:textId="77777777">
      <w:pPr>
        <w:spacing w:after="0"/>
        <w:rPr>
          <w:rFonts w:ascii="Times New Roman" w:hAnsi="Times New Roman" w:cs="Times New Roman"/>
          <w:sz w:val="24"/>
          <w:szCs w:val="24"/>
        </w:rPr>
      </w:pPr>
    </w:p>
    <w:p w:rsidR="0066266D" w14:paraId="2E0CEC3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EXPLAIN ANY SPECIAL CIRCUMSTANCES RELATING TO THE INFORMATION COLLECTION</w:t>
      </w:r>
    </w:p>
    <w:p w:rsidR="0066266D" w14:paraId="40CEFFE1" w14:textId="77777777">
      <w:pPr>
        <w:spacing w:after="0"/>
        <w:rPr>
          <w:rFonts w:ascii="Times New Roman" w:hAnsi="Times New Roman" w:cs="Times New Roman"/>
          <w:sz w:val="24"/>
          <w:szCs w:val="24"/>
        </w:rPr>
      </w:pPr>
    </w:p>
    <w:p w:rsidR="0066266D" w14:paraId="603B24EA" w14:textId="77777777">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p>
    <w:p w:rsidR="0066266D" w14:paraId="58041E77" w14:textId="77777777">
      <w:pPr>
        <w:spacing w:after="0"/>
        <w:rPr>
          <w:rFonts w:ascii="Times New Roman" w:hAnsi="Times New Roman" w:cs="Times New Roman"/>
          <w:sz w:val="24"/>
          <w:szCs w:val="24"/>
        </w:rPr>
      </w:pPr>
    </w:p>
    <w:p w:rsidR="0066266D" w14:paraId="3111A5EE"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EFFORTS TO CONSULT OUTSIDE THE AGENCY: SUMMARIZE PUBLIC COMMENTS AND THE AGENCY’S RESPONSE</w:t>
      </w:r>
    </w:p>
    <w:p w:rsidR="0066266D" w14:paraId="52F7D5A2" w14:textId="77777777">
      <w:pPr>
        <w:spacing w:after="0"/>
        <w:rPr>
          <w:rFonts w:ascii="Times New Roman" w:hAnsi="Times New Roman" w:cs="Times New Roman"/>
          <w:sz w:val="24"/>
          <w:szCs w:val="24"/>
        </w:rPr>
      </w:pPr>
    </w:p>
    <w:p w:rsidR="0066266D" w14:paraId="08CB96F9" w14:textId="23AEBD7D">
      <w:pPr>
        <w:spacing w:after="0"/>
        <w:rPr>
          <w:rFonts w:ascii="Times New Roman" w:hAnsi="Times New Roman" w:cs="Times New Roman"/>
          <w:sz w:val="24"/>
          <w:szCs w:val="24"/>
        </w:rPr>
      </w:pPr>
      <w:r>
        <w:rPr>
          <w:rFonts w:ascii="Times New Roman" w:hAnsi="Times New Roman" w:cs="Times New Roman"/>
          <w:sz w:val="24"/>
          <w:szCs w:val="24"/>
        </w:rPr>
        <w:t xml:space="preserve">Each FERC </w:t>
      </w:r>
      <w:r w:rsidR="00573D74">
        <w:rPr>
          <w:rFonts w:ascii="Times New Roman" w:hAnsi="Times New Roman" w:cs="Times New Roman"/>
          <w:sz w:val="24"/>
          <w:szCs w:val="24"/>
        </w:rPr>
        <w:t xml:space="preserve">notice of proposed </w:t>
      </w:r>
      <w:r>
        <w:rPr>
          <w:rFonts w:ascii="Times New Roman" w:hAnsi="Times New Roman" w:cs="Times New Roman"/>
          <w:sz w:val="24"/>
          <w:szCs w:val="24"/>
        </w:rPr>
        <w:t xml:space="preserve">rulemaking is published in the Federal Register thereby providing public utilities and licensees, state commissions, Federal agencies, and other interested parties an opportunity to submit data, views, comments or suggestions concerning the proposed collection of data.  The proposed rule to adopt </w:t>
      </w:r>
      <w:r w:rsidR="00573D74">
        <w:rPr>
          <w:rFonts w:ascii="Times New Roman" w:hAnsi="Times New Roman" w:cs="Times New Roman"/>
          <w:sz w:val="24"/>
          <w:szCs w:val="24"/>
        </w:rPr>
        <w:t xml:space="preserve">the WEQ </w:t>
      </w:r>
      <w:r>
        <w:rPr>
          <w:rFonts w:ascii="Times New Roman" w:hAnsi="Times New Roman" w:cs="Times New Roman"/>
          <w:sz w:val="24"/>
          <w:szCs w:val="24"/>
        </w:rPr>
        <w:t xml:space="preserve">Version </w:t>
      </w:r>
      <w:r w:rsidR="00573D74">
        <w:rPr>
          <w:rFonts w:ascii="Times New Roman" w:hAnsi="Times New Roman" w:cs="Times New Roman"/>
          <w:sz w:val="24"/>
          <w:szCs w:val="24"/>
        </w:rPr>
        <w:t>00</w:t>
      </w:r>
      <w:r w:rsidR="00791A25">
        <w:rPr>
          <w:rFonts w:ascii="Times New Roman" w:hAnsi="Times New Roman" w:cs="Times New Roman"/>
          <w:sz w:val="24"/>
          <w:szCs w:val="24"/>
        </w:rPr>
        <w:t>4</w:t>
      </w:r>
      <w:r>
        <w:rPr>
          <w:rFonts w:ascii="Times New Roman" w:hAnsi="Times New Roman" w:cs="Times New Roman"/>
          <w:sz w:val="24"/>
          <w:szCs w:val="24"/>
        </w:rPr>
        <w:t xml:space="preserve"> Standards was published in the Federal Register o</w:t>
      </w:r>
      <w:r w:rsidRPr="006F68F6">
        <w:rPr>
          <w:rFonts w:ascii="Times New Roman" w:hAnsi="Times New Roman" w:cs="Times New Roman"/>
          <w:sz w:val="24"/>
          <w:szCs w:val="24"/>
        </w:rPr>
        <w:t xml:space="preserve">n </w:t>
      </w:r>
      <w:r w:rsidRPr="00896136">
        <w:rPr>
          <w:rFonts w:ascii="Times New Roman" w:hAnsi="Times New Roman" w:cs="Times New Roman"/>
          <w:sz w:val="24"/>
          <w:szCs w:val="24"/>
        </w:rPr>
        <w:t>5/</w:t>
      </w:r>
      <w:r w:rsidRPr="00896136" w:rsidR="007D3226">
        <w:rPr>
          <w:rFonts w:ascii="Times New Roman" w:hAnsi="Times New Roman" w:cs="Times New Roman"/>
          <w:sz w:val="24"/>
          <w:szCs w:val="24"/>
        </w:rPr>
        <w:t>6</w:t>
      </w:r>
      <w:r w:rsidRPr="00896136">
        <w:rPr>
          <w:rFonts w:ascii="Times New Roman" w:hAnsi="Times New Roman" w:cs="Times New Roman"/>
          <w:sz w:val="24"/>
          <w:szCs w:val="24"/>
        </w:rPr>
        <w:t>/20</w:t>
      </w:r>
      <w:r w:rsidRPr="00896136" w:rsidR="004E6849">
        <w:rPr>
          <w:rFonts w:ascii="Times New Roman" w:hAnsi="Times New Roman" w:cs="Times New Roman"/>
          <w:sz w:val="24"/>
          <w:szCs w:val="24"/>
        </w:rPr>
        <w:t>24</w:t>
      </w:r>
      <w:r w:rsidRPr="00896136">
        <w:rPr>
          <w:rFonts w:ascii="Times New Roman" w:hAnsi="Times New Roman" w:cs="Times New Roman"/>
          <w:sz w:val="24"/>
          <w:szCs w:val="24"/>
        </w:rPr>
        <w:t xml:space="preserve"> (8</w:t>
      </w:r>
      <w:r w:rsidRPr="00896136" w:rsidR="002A315E">
        <w:rPr>
          <w:rFonts w:ascii="Times New Roman" w:hAnsi="Times New Roman" w:cs="Times New Roman"/>
          <w:sz w:val="24"/>
          <w:szCs w:val="24"/>
        </w:rPr>
        <w:t>9</w:t>
      </w:r>
      <w:r w:rsidRPr="00896136">
        <w:rPr>
          <w:rFonts w:ascii="Times New Roman" w:hAnsi="Times New Roman" w:cs="Times New Roman"/>
          <w:sz w:val="24"/>
          <w:szCs w:val="24"/>
        </w:rPr>
        <w:t xml:space="preserve"> FR </w:t>
      </w:r>
      <w:r w:rsidRPr="006F68F6" w:rsidR="006F68F6">
        <w:rPr>
          <w:rFonts w:ascii="Times New Roman" w:hAnsi="Times New Roman" w:cs="Times New Roman"/>
          <w:sz w:val="24"/>
          <w:szCs w:val="24"/>
        </w:rPr>
        <w:t>37147</w:t>
      </w:r>
      <w:r w:rsidR="002A315E">
        <w:rPr>
          <w:rFonts w:ascii="Times New Roman" w:hAnsi="Times New Roman" w:cs="Times New Roman"/>
          <w:sz w:val="24"/>
          <w:szCs w:val="24"/>
        </w:rPr>
        <w:t>)</w:t>
      </w:r>
      <w:r>
        <w:rPr>
          <w:rFonts w:ascii="Times New Roman" w:hAnsi="Times New Roman" w:cs="Times New Roman"/>
          <w:sz w:val="24"/>
          <w:szCs w:val="24"/>
        </w:rPr>
        <w:t xml:space="preserve"> </w:t>
      </w:r>
    </w:p>
    <w:p w:rsidR="0066266D" w14:paraId="30B653FF" w14:textId="2DDC3C5F">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66266D" w14:paraId="568B4616" w14:textId="77777777">
      <w:pPr>
        <w:spacing w:after="0"/>
        <w:rPr>
          <w:rFonts w:ascii="Times New Roman" w:hAnsi="Times New Roman" w:cs="Times New Roman"/>
          <w:sz w:val="24"/>
          <w:szCs w:val="24"/>
        </w:rPr>
      </w:pPr>
    </w:p>
    <w:p w:rsidR="0066266D" w14:paraId="380C9B53" w14:textId="4CADEF96">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EXPLAIN ANY PAYMENT OR GIFTS TO RESPONDENTS</w:t>
      </w:r>
    </w:p>
    <w:p w:rsidR="0066266D" w14:paraId="56AF971E" w14:textId="77777777">
      <w:pPr>
        <w:spacing w:after="0"/>
        <w:rPr>
          <w:rFonts w:ascii="Times New Roman" w:hAnsi="Times New Roman" w:cs="Times New Roman"/>
          <w:sz w:val="24"/>
          <w:szCs w:val="24"/>
        </w:rPr>
      </w:pPr>
    </w:p>
    <w:p w:rsidR="0066266D" w14:paraId="29453D2E" w14:textId="77777777">
      <w:pPr>
        <w:spacing w:after="0"/>
        <w:rPr>
          <w:rFonts w:ascii="Times New Roman" w:hAnsi="Times New Roman" w:cs="Times New Roman"/>
          <w:sz w:val="24"/>
          <w:szCs w:val="24"/>
        </w:rPr>
      </w:pPr>
      <w:r>
        <w:rPr>
          <w:rFonts w:ascii="Times New Roman" w:hAnsi="Times New Roman" w:cs="Times New Roman"/>
          <w:sz w:val="24"/>
          <w:szCs w:val="24"/>
        </w:rPr>
        <w:t>There are no payments or gifts to respondents for these collections.</w:t>
      </w:r>
    </w:p>
    <w:p w:rsidR="0066266D" w14:paraId="6048DB09" w14:textId="77777777">
      <w:pPr>
        <w:spacing w:after="0"/>
        <w:rPr>
          <w:rFonts w:ascii="Times New Roman" w:hAnsi="Times New Roman" w:cs="Times New Roman"/>
          <w:sz w:val="24"/>
          <w:szCs w:val="24"/>
        </w:rPr>
      </w:pPr>
    </w:p>
    <w:p w:rsidR="0066266D" w14:paraId="6607D37D"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DESCRIBE ANY ASSURANCE OF CONFIDENTIALITY PROVIDED TO RESPONDENTS</w:t>
      </w:r>
    </w:p>
    <w:p w:rsidR="0066266D" w14:paraId="55495FD7" w14:textId="77777777">
      <w:pPr>
        <w:spacing w:after="0"/>
        <w:rPr>
          <w:rFonts w:ascii="Times New Roman" w:hAnsi="Times New Roman" w:cs="Times New Roman"/>
          <w:sz w:val="24"/>
          <w:szCs w:val="24"/>
        </w:rPr>
      </w:pPr>
    </w:p>
    <w:p w:rsidR="0066266D" w14:paraId="7AEE977D" w14:textId="77777777">
      <w:pPr>
        <w:spacing w:after="0"/>
        <w:rPr>
          <w:rFonts w:ascii="Times New Roman" w:hAnsi="Times New Roman" w:cs="Times New Roman"/>
          <w:sz w:val="24"/>
          <w:szCs w:val="24"/>
        </w:rPr>
      </w:pPr>
      <w:r>
        <w:rPr>
          <w:rFonts w:ascii="Times New Roman" w:hAnsi="Times New Roman" w:cs="Times New Roman"/>
          <w:sz w:val="24"/>
          <w:szCs w:val="24"/>
        </w:rPr>
        <w:t>Any data filed are public information and, therefore, not confidential.  However, a company may request confidential treatment of some or all parts of the information requirement under the FERC regulations at 18 CFR 388.112.  The Commission will review each request for confidential treatment on a case-by-case basis.</w:t>
      </w:r>
    </w:p>
    <w:p w:rsidR="0066266D" w14:paraId="2E369531" w14:textId="77777777">
      <w:pPr>
        <w:spacing w:after="0"/>
        <w:rPr>
          <w:rFonts w:ascii="Times New Roman" w:hAnsi="Times New Roman" w:cs="Times New Roman"/>
          <w:sz w:val="24"/>
          <w:szCs w:val="24"/>
        </w:rPr>
      </w:pPr>
    </w:p>
    <w:p w:rsidR="0066266D" w14:paraId="7F06392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rsidR="0066266D" w14:paraId="2CCBDB39" w14:textId="77777777">
      <w:pPr>
        <w:spacing w:after="0"/>
        <w:rPr>
          <w:rFonts w:ascii="Times New Roman" w:hAnsi="Times New Roman" w:cs="Times New Roman"/>
          <w:sz w:val="24"/>
          <w:szCs w:val="24"/>
        </w:rPr>
      </w:pPr>
    </w:p>
    <w:p w:rsidR="0066266D" w14:paraId="23A5E0F7"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0066266D" w14:paraId="2DB4339B" w14:textId="77777777">
      <w:pPr>
        <w:spacing w:after="0"/>
        <w:rPr>
          <w:rFonts w:ascii="Times New Roman" w:hAnsi="Times New Roman" w:cs="Times New Roman"/>
          <w:sz w:val="24"/>
          <w:szCs w:val="24"/>
        </w:rPr>
      </w:pPr>
    </w:p>
    <w:p w:rsidR="0066266D" w14:paraId="752C8CE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ESTIMATED BURDEN OF COLLECTION OF INFORMATION</w:t>
      </w:r>
    </w:p>
    <w:p w:rsidR="0066266D" w14:paraId="4926AB0C" w14:textId="77777777">
      <w:pPr>
        <w:spacing w:after="0"/>
        <w:rPr>
          <w:rFonts w:ascii="Times New Roman" w:hAnsi="Times New Roman" w:cs="Times New Roman"/>
          <w:sz w:val="24"/>
          <w:szCs w:val="24"/>
        </w:rPr>
      </w:pPr>
    </w:p>
    <w:p w:rsidR="0066266D" w14:paraId="6B7CD47B" w14:textId="7E3FEA7E">
      <w:pPr>
        <w:spacing w:after="0"/>
        <w:rPr>
          <w:rFonts w:ascii="Times New Roman" w:hAnsi="Times New Roman" w:cs="Times New Roman"/>
          <w:sz w:val="24"/>
          <w:szCs w:val="24"/>
        </w:rPr>
      </w:pPr>
      <w:r>
        <w:rPr>
          <w:rFonts w:ascii="Times New Roman" w:hAnsi="Times New Roman" w:cs="Times New Roman"/>
          <w:sz w:val="24"/>
          <w:szCs w:val="24"/>
        </w:rPr>
        <w:t xml:space="preserve">The revisions for FERC-516E </w:t>
      </w:r>
      <w:r w:rsidR="002C1ED0">
        <w:rPr>
          <w:rFonts w:ascii="Times New Roman" w:hAnsi="Times New Roman" w:cs="Times New Roman"/>
          <w:sz w:val="24"/>
          <w:szCs w:val="24"/>
        </w:rPr>
        <w:t>is</w:t>
      </w:r>
      <w:r>
        <w:rPr>
          <w:rFonts w:ascii="Times New Roman" w:hAnsi="Times New Roman" w:cs="Times New Roman"/>
          <w:sz w:val="24"/>
          <w:szCs w:val="24"/>
        </w:rPr>
        <w:t xml:space="preserve"> expected to occur in Year 1</w:t>
      </w:r>
      <w:r w:rsidR="002945B2">
        <w:rPr>
          <w:rFonts w:ascii="Times New Roman" w:hAnsi="Times New Roman" w:cs="Times New Roman"/>
          <w:sz w:val="24"/>
          <w:szCs w:val="24"/>
        </w:rPr>
        <w:t xml:space="preserve"> and on occasion thereafter</w:t>
      </w:r>
      <w:r>
        <w:rPr>
          <w:rFonts w:ascii="Times New Roman" w:hAnsi="Times New Roman" w:cs="Times New Roman"/>
          <w:sz w:val="24"/>
          <w:szCs w:val="24"/>
        </w:rPr>
        <w:t xml:space="preserve"> after implementation of the requirements in the </w:t>
      </w:r>
      <w:r w:rsidR="002C1ED0">
        <w:rPr>
          <w:rFonts w:ascii="Times New Roman" w:hAnsi="Times New Roman" w:cs="Times New Roman"/>
          <w:sz w:val="24"/>
          <w:szCs w:val="24"/>
        </w:rPr>
        <w:t>NOPR for RM05-5-31.</w:t>
      </w:r>
      <w:r>
        <w:rPr>
          <w:rFonts w:ascii="Times New Roman" w:hAnsi="Times New Roman" w:cs="Times New Roman"/>
          <w:sz w:val="24"/>
          <w:szCs w:val="24"/>
        </w:rPr>
        <w:t xml:space="preserve">  The estimated burden and cost</w:t>
      </w:r>
      <w:r>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follow. </w:t>
      </w:r>
    </w:p>
    <w:p w:rsidR="0066266D" w14:paraId="2EF06CD1" w14:textId="77777777">
      <w:pPr>
        <w:spacing w:after="0"/>
        <w:rPr>
          <w:rFonts w:ascii="Times New Roman" w:hAnsi="Times New Roman" w:cs="Times New Roman"/>
          <w:sz w:val="24"/>
          <w:szCs w:val="24"/>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4"/>
        <w:gridCol w:w="1674"/>
        <w:gridCol w:w="1584"/>
        <w:gridCol w:w="1476"/>
        <w:gridCol w:w="1584"/>
        <w:gridCol w:w="1638"/>
      </w:tblGrid>
      <w:tr w14:paraId="17D7E983" w14:textId="77777777" w:rsidTr="00E27692">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440"/>
        </w:trPr>
        <w:tc>
          <w:tcPr>
            <w:tcW w:w="954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1A6C" w:rsidRPr="00C21A6C" w:rsidP="00C21A6C" w14:paraId="24F2F619"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Docket Nos. RM05-5-031</w:t>
            </w:r>
          </w:p>
        </w:tc>
      </w:tr>
      <w:tr w14:paraId="53A20CD0" w14:textId="77777777" w:rsidTr="00E27692">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21A6C" w:rsidRPr="00C21A6C" w:rsidP="00C21A6C" w14:paraId="5126048E" w14:textId="77777777">
            <w:pPr>
              <w:spacing w:after="0"/>
              <w:rPr>
                <w:rFonts w:ascii="Times New Roman" w:hAnsi="Times New Roman" w:cs="Times New Roman"/>
                <w:b/>
                <w:sz w:val="24"/>
                <w:szCs w:val="24"/>
              </w:rPr>
            </w:pPr>
          </w:p>
        </w:tc>
        <w:tc>
          <w:tcPr>
            <w:tcW w:w="1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3A899DBE"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 xml:space="preserve">No. of </w:t>
            </w:r>
            <w:r w:rsidRPr="00C21A6C">
              <w:rPr>
                <w:rFonts w:ascii="Times New Roman" w:hAnsi="Times New Roman" w:cs="Times New Roman"/>
                <w:b/>
                <w:sz w:val="24"/>
                <w:szCs w:val="24"/>
              </w:rPr>
              <w:t>Respondents(</w:t>
            </w:r>
            <w:r w:rsidRPr="00C21A6C">
              <w:rPr>
                <w:rFonts w:ascii="Times New Roman" w:hAnsi="Times New Roman" w:cs="Times New Roman"/>
                <w:b/>
                <w:sz w:val="24"/>
                <w:szCs w:val="24"/>
              </w:rPr>
              <w:t>1)</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4C7559EA"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 xml:space="preserve">Annual No. of Responses Per </w:t>
            </w:r>
            <w:r w:rsidRPr="00C21A6C">
              <w:rPr>
                <w:rFonts w:ascii="Times New Roman" w:hAnsi="Times New Roman" w:cs="Times New Roman"/>
                <w:b/>
                <w:sz w:val="24"/>
                <w:szCs w:val="24"/>
              </w:rPr>
              <w:t>Respondent(</w:t>
            </w:r>
            <w:r w:rsidRPr="00C21A6C">
              <w:rPr>
                <w:rFonts w:ascii="Times New Roman" w:hAnsi="Times New Roman" w:cs="Times New Roman"/>
                <w:b/>
                <w:sz w:val="24"/>
                <w:szCs w:val="24"/>
              </w:rPr>
              <w:t>2)</w:t>
            </w:r>
          </w:p>
        </w:tc>
        <w:tc>
          <w:tcPr>
            <w:tcW w:w="1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4D074252"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Total No. of Responses (</w:t>
            </w:r>
            <w:r w:rsidRPr="00C21A6C">
              <w:rPr>
                <w:rFonts w:ascii="Times New Roman" w:hAnsi="Times New Roman" w:cs="Times New Roman"/>
                <w:b/>
                <w:sz w:val="24"/>
                <w:szCs w:val="24"/>
              </w:rPr>
              <w:t>1)*</w:t>
            </w:r>
            <w:r w:rsidRPr="00C21A6C">
              <w:rPr>
                <w:rFonts w:ascii="Times New Roman" w:hAnsi="Times New Roman" w:cs="Times New Roman"/>
                <w:b/>
                <w:sz w:val="24"/>
                <w:szCs w:val="24"/>
              </w:rPr>
              <w:t>(2)=(3)</w:t>
            </w:r>
          </w:p>
        </w:tc>
        <w:tc>
          <w:tcPr>
            <w:tcW w:w="15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2A88153D"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Average Burden (Hrs.) &amp; Cost ($) Per Response</w:t>
            </w:r>
          </w:p>
          <w:p w:rsidR="00C21A6C" w:rsidRPr="00C21A6C" w:rsidP="00C21A6C" w14:paraId="41A389A5"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(4)</w:t>
            </w:r>
          </w:p>
        </w:tc>
        <w:tc>
          <w:tcPr>
            <w:tcW w:w="16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C21A6C" w:rsidRPr="00C21A6C" w:rsidP="00C21A6C" w14:paraId="39E45988"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Total Annual Burden Hrs. &amp; Total Annual Cost ($)</w:t>
            </w:r>
          </w:p>
          <w:p w:rsidR="00C21A6C" w:rsidRPr="00C21A6C" w:rsidP="00C21A6C" w14:paraId="084B810A" w14:textId="77777777">
            <w:pPr>
              <w:spacing w:after="0"/>
              <w:rPr>
                <w:rFonts w:ascii="Times New Roman" w:hAnsi="Times New Roman" w:cs="Times New Roman"/>
                <w:b/>
                <w:sz w:val="24"/>
                <w:szCs w:val="24"/>
              </w:rPr>
            </w:pPr>
            <w:r w:rsidRPr="00C21A6C">
              <w:rPr>
                <w:rFonts w:ascii="Times New Roman" w:hAnsi="Times New Roman" w:cs="Times New Roman"/>
                <w:b/>
                <w:sz w:val="24"/>
                <w:szCs w:val="24"/>
              </w:rPr>
              <w:t>(</w:t>
            </w:r>
            <w:r w:rsidRPr="00C21A6C">
              <w:rPr>
                <w:rFonts w:ascii="Times New Roman" w:hAnsi="Times New Roman" w:cs="Times New Roman"/>
                <w:b/>
                <w:sz w:val="24"/>
                <w:szCs w:val="24"/>
              </w:rPr>
              <w:t>3)*</w:t>
            </w:r>
            <w:r w:rsidRPr="00C21A6C">
              <w:rPr>
                <w:rFonts w:ascii="Times New Roman" w:hAnsi="Times New Roman" w:cs="Times New Roman"/>
                <w:b/>
                <w:sz w:val="24"/>
                <w:szCs w:val="24"/>
              </w:rPr>
              <w:t>(4)=(5)</w:t>
            </w:r>
          </w:p>
        </w:tc>
      </w:tr>
      <w:tr w14:paraId="04841753" w14:textId="77777777" w:rsidTr="00E27692">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C21A6C" w:rsidRPr="00C21A6C" w:rsidP="00C21A6C" w14:paraId="0AD2598A" w14:textId="77777777">
            <w:pPr>
              <w:spacing w:after="0"/>
              <w:rPr>
                <w:rFonts w:ascii="Times New Roman" w:hAnsi="Times New Roman" w:cs="Times New Roman"/>
                <w:sz w:val="24"/>
                <w:szCs w:val="24"/>
              </w:rPr>
            </w:pPr>
            <w:r w:rsidRPr="00C21A6C">
              <w:rPr>
                <w:rFonts w:ascii="Times New Roman" w:hAnsi="Times New Roman" w:cs="Times New Roman"/>
                <w:sz w:val="24"/>
                <w:szCs w:val="24"/>
              </w:rPr>
              <w:t xml:space="preserve">FERC-516E </w:t>
            </w:r>
          </w:p>
        </w:tc>
        <w:tc>
          <w:tcPr>
            <w:tcW w:w="1674" w:type="dxa"/>
            <w:tcBorders>
              <w:top w:val="single" w:sz="4" w:space="0" w:color="auto"/>
              <w:left w:val="single" w:sz="4" w:space="0" w:color="auto"/>
              <w:bottom w:val="single" w:sz="4" w:space="0" w:color="auto"/>
              <w:right w:val="single" w:sz="4" w:space="0" w:color="auto"/>
            </w:tcBorders>
            <w:hideMark/>
          </w:tcPr>
          <w:p w:rsidR="00C21A6C" w:rsidRPr="00C21A6C" w:rsidP="00C21A6C" w14:paraId="42C1ABAB" w14:textId="77777777">
            <w:pPr>
              <w:spacing w:after="0"/>
              <w:rPr>
                <w:rFonts w:ascii="Times New Roman" w:hAnsi="Times New Roman" w:cs="Times New Roman"/>
                <w:sz w:val="24"/>
                <w:szCs w:val="24"/>
              </w:rPr>
            </w:pPr>
            <w:r w:rsidRPr="00C21A6C">
              <w:rPr>
                <w:rFonts w:ascii="Times New Roman" w:hAnsi="Times New Roman" w:cs="Times New Roman"/>
                <w:sz w:val="24"/>
                <w:szCs w:val="24"/>
              </w:rPr>
              <w:t>216</w:t>
            </w:r>
          </w:p>
        </w:tc>
        <w:tc>
          <w:tcPr>
            <w:tcW w:w="1584" w:type="dxa"/>
            <w:tcBorders>
              <w:top w:val="single" w:sz="4" w:space="0" w:color="auto"/>
              <w:left w:val="single" w:sz="4" w:space="0" w:color="auto"/>
              <w:bottom w:val="single" w:sz="4" w:space="0" w:color="auto"/>
              <w:right w:val="single" w:sz="4" w:space="0" w:color="auto"/>
            </w:tcBorders>
            <w:hideMark/>
          </w:tcPr>
          <w:p w:rsidR="00C21A6C" w:rsidRPr="00C21A6C" w:rsidP="00C21A6C" w14:paraId="1AE3A33A" w14:textId="77777777">
            <w:pPr>
              <w:spacing w:after="0"/>
              <w:rPr>
                <w:rFonts w:ascii="Times New Roman" w:hAnsi="Times New Roman" w:cs="Times New Roman"/>
                <w:sz w:val="24"/>
                <w:szCs w:val="24"/>
              </w:rPr>
            </w:pPr>
            <w:r w:rsidRPr="00C21A6C">
              <w:rPr>
                <w:rFonts w:ascii="Times New Roman" w:hAnsi="Times New Roman" w:cs="Times New Roman"/>
                <w:sz w:val="24"/>
                <w:szCs w:val="24"/>
              </w:rPr>
              <w:t>1</w:t>
            </w:r>
          </w:p>
        </w:tc>
        <w:tc>
          <w:tcPr>
            <w:tcW w:w="1476" w:type="dxa"/>
            <w:tcBorders>
              <w:top w:val="single" w:sz="4" w:space="0" w:color="auto"/>
              <w:left w:val="single" w:sz="4" w:space="0" w:color="auto"/>
              <w:bottom w:val="single" w:sz="4" w:space="0" w:color="auto"/>
              <w:right w:val="single" w:sz="4" w:space="0" w:color="auto"/>
            </w:tcBorders>
            <w:hideMark/>
          </w:tcPr>
          <w:p w:rsidR="00C21A6C" w:rsidRPr="00C21A6C" w:rsidP="00C21A6C" w14:paraId="29F9B553" w14:textId="77777777">
            <w:pPr>
              <w:spacing w:after="0"/>
              <w:rPr>
                <w:rFonts w:ascii="Times New Roman" w:hAnsi="Times New Roman" w:cs="Times New Roman"/>
                <w:sz w:val="24"/>
                <w:szCs w:val="24"/>
              </w:rPr>
            </w:pPr>
            <w:r w:rsidRPr="00C21A6C">
              <w:rPr>
                <w:rFonts w:ascii="Times New Roman" w:hAnsi="Times New Roman" w:cs="Times New Roman"/>
                <w:sz w:val="24"/>
                <w:szCs w:val="24"/>
              </w:rPr>
              <w:t>216</w:t>
            </w:r>
          </w:p>
        </w:tc>
        <w:tc>
          <w:tcPr>
            <w:tcW w:w="1584" w:type="dxa"/>
            <w:tcBorders>
              <w:top w:val="single" w:sz="4" w:space="0" w:color="auto"/>
              <w:left w:val="single" w:sz="4" w:space="0" w:color="auto"/>
              <w:bottom w:val="single" w:sz="4" w:space="0" w:color="auto"/>
              <w:right w:val="single" w:sz="4" w:space="0" w:color="auto"/>
            </w:tcBorders>
            <w:hideMark/>
          </w:tcPr>
          <w:p w:rsidR="00C21A6C" w:rsidRPr="00C21A6C" w:rsidP="00C21A6C" w14:paraId="6BADEF0A" w14:textId="77777777">
            <w:pPr>
              <w:spacing w:after="0"/>
              <w:rPr>
                <w:rFonts w:ascii="Times New Roman" w:hAnsi="Times New Roman" w:cs="Times New Roman"/>
                <w:sz w:val="24"/>
                <w:szCs w:val="24"/>
              </w:rPr>
            </w:pPr>
            <w:r w:rsidRPr="00C21A6C">
              <w:rPr>
                <w:rFonts w:ascii="Times New Roman" w:hAnsi="Times New Roman" w:cs="Times New Roman"/>
                <w:sz w:val="24"/>
                <w:szCs w:val="24"/>
              </w:rPr>
              <w:t>6 hrs.</w:t>
            </w:r>
          </w:p>
          <w:p w:rsidR="00C21A6C" w:rsidRPr="00C21A6C" w:rsidP="00C21A6C" w14:paraId="0AB85430" w14:textId="77777777">
            <w:pPr>
              <w:spacing w:after="0"/>
              <w:rPr>
                <w:rFonts w:ascii="Times New Roman" w:hAnsi="Times New Roman" w:cs="Times New Roman"/>
                <w:sz w:val="24"/>
                <w:szCs w:val="24"/>
              </w:rPr>
            </w:pPr>
            <w:r w:rsidRPr="00C21A6C">
              <w:rPr>
                <w:rFonts w:ascii="Times New Roman" w:hAnsi="Times New Roman" w:cs="Times New Roman"/>
                <w:sz w:val="24"/>
                <w:szCs w:val="24"/>
              </w:rPr>
              <w:t>$600</w:t>
            </w:r>
          </w:p>
        </w:tc>
        <w:tc>
          <w:tcPr>
            <w:tcW w:w="1638" w:type="dxa"/>
            <w:tcBorders>
              <w:top w:val="single" w:sz="4" w:space="0" w:color="auto"/>
              <w:left w:val="single" w:sz="4" w:space="0" w:color="auto"/>
              <w:bottom w:val="single" w:sz="4" w:space="0" w:color="auto"/>
              <w:right w:val="single" w:sz="4" w:space="0" w:color="auto"/>
            </w:tcBorders>
            <w:hideMark/>
          </w:tcPr>
          <w:p w:rsidR="00C21A6C" w:rsidRPr="00C21A6C" w:rsidP="00C21A6C" w14:paraId="5C826B29" w14:textId="10C670C8">
            <w:pPr>
              <w:spacing w:after="0"/>
              <w:rPr>
                <w:rFonts w:ascii="Times New Roman" w:hAnsi="Times New Roman" w:cs="Times New Roman"/>
                <w:sz w:val="24"/>
                <w:szCs w:val="24"/>
              </w:rPr>
            </w:pPr>
            <w:r w:rsidRPr="00C21A6C">
              <w:rPr>
                <w:rFonts w:ascii="Times New Roman" w:hAnsi="Times New Roman" w:cs="Times New Roman"/>
                <w:sz w:val="24"/>
                <w:szCs w:val="24"/>
              </w:rPr>
              <w:t>1</w:t>
            </w:r>
            <w:r w:rsidR="00DD281E">
              <w:rPr>
                <w:rFonts w:ascii="Times New Roman" w:hAnsi="Times New Roman" w:cs="Times New Roman"/>
                <w:sz w:val="24"/>
                <w:szCs w:val="24"/>
              </w:rPr>
              <w:t>,</w:t>
            </w:r>
            <w:r w:rsidRPr="00C21A6C">
              <w:rPr>
                <w:rFonts w:ascii="Times New Roman" w:hAnsi="Times New Roman" w:cs="Times New Roman"/>
                <w:sz w:val="24"/>
                <w:szCs w:val="24"/>
              </w:rPr>
              <w:t>296</w:t>
            </w:r>
            <w:r w:rsidR="002C1ED0">
              <w:rPr>
                <w:rFonts w:ascii="Times New Roman" w:hAnsi="Times New Roman" w:cs="Times New Roman"/>
                <w:sz w:val="24"/>
                <w:szCs w:val="24"/>
              </w:rPr>
              <w:t xml:space="preserve"> </w:t>
            </w:r>
            <w:r w:rsidRPr="00C21A6C">
              <w:rPr>
                <w:rFonts w:ascii="Times New Roman" w:hAnsi="Times New Roman" w:cs="Times New Roman"/>
                <w:sz w:val="24"/>
                <w:szCs w:val="24"/>
              </w:rPr>
              <w:t>hrs.</w:t>
            </w:r>
          </w:p>
          <w:p w:rsidR="00C21A6C" w:rsidRPr="00C21A6C" w:rsidP="00C21A6C" w14:paraId="1255E6CE" w14:textId="77777777">
            <w:pPr>
              <w:spacing w:after="0"/>
              <w:rPr>
                <w:rFonts w:ascii="Times New Roman" w:hAnsi="Times New Roman" w:cs="Times New Roman"/>
                <w:sz w:val="24"/>
                <w:szCs w:val="24"/>
              </w:rPr>
            </w:pPr>
            <w:r w:rsidRPr="00C21A6C">
              <w:rPr>
                <w:rFonts w:ascii="Times New Roman" w:hAnsi="Times New Roman" w:cs="Times New Roman"/>
                <w:sz w:val="24"/>
                <w:szCs w:val="24"/>
              </w:rPr>
              <w:t>$129,600</w:t>
            </w:r>
          </w:p>
        </w:tc>
      </w:tr>
      <w:tr w14:paraId="774E4252" w14:textId="77777777" w:rsidTr="00E27692">
        <w:tblPrEx>
          <w:tblW w:w="9540" w:type="dxa"/>
          <w:tblLayout w:type="fixed"/>
          <w:tblLook w:val="01E0"/>
        </w:tblPrEx>
        <w:trPr>
          <w:cantSplit/>
        </w:trPr>
        <w:tc>
          <w:tcPr>
            <w:tcW w:w="1584" w:type="dxa"/>
            <w:tcBorders>
              <w:top w:val="single" w:sz="4" w:space="0" w:color="auto"/>
              <w:left w:val="single" w:sz="4" w:space="0" w:color="auto"/>
              <w:bottom w:val="single" w:sz="4" w:space="0" w:color="auto"/>
              <w:right w:val="single" w:sz="4" w:space="0" w:color="auto"/>
            </w:tcBorders>
            <w:hideMark/>
          </w:tcPr>
          <w:p w:rsidR="00C21A6C" w:rsidRPr="00C21A6C" w:rsidP="00C21A6C" w14:paraId="7CDA9A0E" w14:textId="77777777">
            <w:pPr>
              <w:spacing w:after="0"/>
              <w:rPr>
                <w:rFonts w:ascii="Times New Roman" w:hAnsi="Times New Roman" w:cs="Times New Roman"/>
                <w:sz w:val="24"/>
                <w:szCs w:val="24"/>
              </w:rPr>
            </w:pPr>
            <w:r w:rsidRPr="00C21A6C">
              <w:rPr>
                <w:rFonts w:ascii="Times New Roman" w:hAnsi="Times New Roman" w:cs="Times New Roman"/>
                <w:b/>
                <w:sz w:val="24"/>
                <w:szCs w:val="24"/>
              </w:rPr>
              <w:t>TOTAL</w:t>
            </w:r>
          </w:p>
        </w:tc>
        <w:tc>
          <w:tcPr>
            <w:tcW w:w="473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21A6C" w:rsidRPr="00C21A6C" w:rsidP="00C21A6C" w14:paraId="695505D1" w14:textId="77777777">
            <w:pPr>
              <w:spacing w:after="0"/>
              <w:rPr>
                <w:rFonts w:ascii="Times New Roman" w:hAnsi="Times New Roman" w:cs="Times New Roman"/>
                <w:sz w:val="24"/>
                <w:szCs w:val="24"/>
              </w:rPr>
            </w:pPr>
          </w:p>
        </w:tc>
        <w:tc>
          <w:tcPr>
            <w:tcW w:w="1584" w:type="dxa"/>
            <w:tcBorders>
              <w:top w:val="single" w:sz="4" w:space="0" w:color="auto"/>
              <w:left w:val="single" w:sz="4" w:space="0" w:color="auto"/>
              <w:bottom w:val="single" w:sz="4" w:space="0" w:color="auto"/>
              <w:right w:val="single" w:sz="4" w:space="0" w:color="auto"/>
            </w:tcBorders>
            <w:shd w:val="clear" w:color="auto" w:fill="FFFFFF" w:themeFill="background1"/>
          </w:tcPr>
          <w:p w:rsidR="00C21A6C" w:rsidP="00C21A6C" w14:paraId="7C28689D" w14:textId="6603BCDF">
            <w:pPr>
              <w:spacing w:after="0"/>
              <w:rPr>
                <w:rFonts w:ascii="Times New Roman" w:hAnsi="Times New Roman" w:cs="Times New Roman"/>
                <w:sz w:val="24"/>
                <w:szCs w:val="24"/>
              </w:rPr>
            </w:pPr>
            <w:r>
              <w:rPr>
                <w:rFonts w:ascii="Times New Roman" w:hAnsi="Times New Roman" w:cs="Times New Roman"/>
                <w:sz w:val="24"/>
                <w:szCs w:val="24"/>
              </w:rPr>
              <w:t>6</w:t>
            </w:r>
            <w:r w:rsidR="002C1ED0">
              <w:rPr>
                <w:rFonts w:ascii="Times New Roman" w:hAnsi="Times New Roman" w:cs="Times New Roman"/>
                <w:sz w:val="24"/>
                <w:szCs w:val="24"/>
              </w:rPr>
              <w:t xml:space="preserve"> </w:t>
            </w:r>
            <w:r>
              <w:rPr>
                <w:rFonts w:ascii="Times New Roman" w:hAnsi="Times New Roman" w:cs="Times New Roman"/>
                <w:sz w:val="24"/>
                <w:szCs w:val="24"/>
              </w:rPr>
              <w:t>hrs.</w:t>
            </w:r>
          </w:p>
          <w:p w:rsidR="002C1ED0" w:rsidRPr="00C21A6C" w:rsidP="00C21A6C" w14:paraId="7DCD1124" w14:textId="12FD9DC7">
            <w:pPr>
              <w:spacing w:after="0"/>
              <w:rPr>
                <w:rFonts w:ascii="Times New Roman" w:hAnsi="Times New Roman" w:cs="Times New Roman"/>
                <w:sz w:val="24"/>
                <w:szCs w:val="24"/>
              </w:rPr>
            </w:pPr>
            <w:r>
              <w:rPr>
                <w:rFonts w:ascii="Times New Roman" w:hAnsi="Times New Roman" w:cs="Times New Roman"/>
                <w:sz w:val="24"/>
                <w:szCs w:val="24"/>
              </w:rPr>
              <w:t>$600</w:t>
            </w:r>
          </w:p>
        </w:tc>
        <w:tc>
          <w:tcPr>
            <w:tcW w:w="1638" w:type="dxa"/>
            <w:tcBorders>
              <w:top w:val="single" w:sz="4" w:space="0" w:color="auto"/>
              <w:left w:val="single" w:sz="4" w:space="0" w:color="auto"/>
              <w:bottom w:val="single" w:sz="4" w:space="0" w:color="auto"/>
              <w:right w:val="single" w:sz="4" w:space="0" w:color="auto"/>
            </w:tcBorders>
            <w:hideMark/>
          </w:tcPr>
          <w:p w:rsidR="00C21A6C" w:rsidP="00C21A6C" w14:paraId="3F1799B3" w14:textId="6CBFAFC1">
            <w:pPr>
              <w:spacing w:after="0"/>
              <w:rPr>
                <w:rFonts w:ascii="Times New Roman" w:hAnsi="Times New Roman" w:cs="Times New Roman"/>
                <w:sz w:val="24"/>
                <w:szCs w:val="24"/>
              </w:rPr>
            </w:pPr>
            <w:r>
              <w:rPr>
                <w:rFonts w:ascii="Times New Roman" w:hAnsi="Times New Roman" w:cs="Times New Roman"/>
                <w:sz w:val="24"/>
                <w:szCs w:val="24"/>
              </w:rPr>
              <w:t>1,296</w:t>
            </w:r>
            <w:r w:rsidR="002C1ED0">
              <w:rPr>
                <w:rFonts w:ascii="Times New Roman" w:hAnsi="Times New Roman" w:cs="Times New Roman"/>
                <w:sz w:val="24"/>
                <w:szCs w:val="24"/>
              </w:rPr>
              <w:t xml:space="preserve"> hrs.</w:t>
            </w:r>
          </w:p>
          <w:p w:rsidR="002C1ED0" w:rsidRPr="00C21A6C" w:rsidP="00C21A6C" w14:paraId="581553F0" w14:textId="2901079B">
            <w:pPr>
              <w:spacing w:after="0"/>
              <w:rPr>
                <w:rFonts w:ascii="Times New Roman" w:hAnsi="Times New Roman" w:cs="Times New Roman"/>
                <w:sz w:val="24"/>
                <w:szCs w:val="24"/>
              </w:rPr>
            </w:pPr>
            <w:r>
              <w:rPr>
                <w:rFonts w:ascii="Times New Roman" w:hAnsi="Times New Roman" w:cs="Times New Roman"/>
                <w:sz w:val="24"/>
                <w:szCs w:val="24"/>
              </w:rPr>
              <w:t>$129,600</w:t>
            </w:r>
          </w:p>
          <w:p w:rsidR="00C21A6C" w:rsidRPr="00C21A6C" w:rsidP="00C21A6C" w14:paraId="0770392E" w14:textId="3A06210D">
            <w:pPr>
              <w:spacing w:after="0"/>
              <w:rPr>
                <w:rFonts w:ascii="Times New Roman" w:hAnsi="Times New Roman" w:cs="Times New Roman"/>
                <w:sz w:val="24"/>
                <w:szCs w:val="24"/>
              </w:rPr>
            </w:pPr>
          </w:p>
        </w:tc>
      </w:tr>
    </w:tbl>
    <w:p w:rsidR="0066266D" w14:paraId="1C90BA81" w14:textId="77777777">
      <w:pPr>
        <w:spacing w:after="0"/>
        <w:rPr>
          <w:rFonts w:ascii="Times New Roman" w:hAnsi="Times New Roman" w:cs="Times New Roman"/>
          <w:sz w:val="24"/>
          <w:szCs w:val="24"/>
        </w:rPr>
      </w:pPr>
    </w:p>
    <w:p w:rsidR="0066266D" w14:paraId="0CBF080B"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ESTIMATE OF THE TOTAL ANNUAL COST BURDEN TO RESPONDENTS</w:t>
      </w:r>
    </w:p>
    <w:p w:rsidR="0066266D" w14:paraId="17A43CE7" w14:textId="77777777">
      <w:pPr>
        <w:spacing w:after="0"/>
        <w:rPr>
          <w:rFonts w:ascii="Times New Roman" w:hAnsi="Times New Roman" w:cs="Times New Roman"/>
          <w:sz w:val="24"/>
          <w:szCs w:val="24"/>
        </w:rPr>
      </w:pPr>
    </w:p>
    <w:p w:rsidR="0066266D" w14:paraId="12C13885" w14:textId="56C2CFFF">
      <w:pPr>
        <w:spacing w:after="0"/>
        <w:rPr>
          <w:rFonts w:ascii="Times New Roman" w:hAnsi="Times New Roman" w:cs="Times New Roman"/>
          <w:sz w:val="24"/>
          <w:szCs w:val="24"/>
        </w:rPr>
      </w:pPr>
      <w:r>
        <w:rPr>
          <w:rFonts w:ascii="Times New Roman" w:hAnsi="Times New Roman" w:cs="Times New Roman"/>
          <w:sz w:val="24"/>
          <w:szCs w:val="24"/>
        </w:rPr>
        <w:t>There are no non-labor costs currently associated with the FERC-516E.</w:t>
      </w:r>
    </w:p>
    <w:p w:rsidR="0066266D" w14:paraId="19A20E8D" w14:textId="77777777">
      <w:pPr>
        <w:spacing w:after="0"/>
        <w:rPr>
          <w:rFonts w:ascii="Times New Roman" w:hAnsi="Times New Roman" w:cs="Times New Roman"/>
          <w:sz w:val="24"/>
          <w:szCs w:val="24"/>
        </w:rPr>
      </w:pPr>
    </w:p>
    <w:p w:rsidR="0066266D" w14:paraId="7914EE97" w14:textId="479C202F">
      <w:pPr>
        <w:spacing w:after="0"/>
        <w:rPr>
          <w:rFonts w:ascii="Times New Roman" w:hAnsi="Times New Roman" w:cs="Times New Roman"/>
          <w:sz w:val="24"/>
          <w:szCs w:val="24"/>
        </w:rPr>
      </w:pPr>
      <w:r>
        <w:rPr>
          <w:rFonts w:ascii="Times New Roman" w:hAnsi="Times New Roman" w:cs="Times New Roman"/>
          <w:sz w:val="24"/>
          <w:szCs w:val="24"/>
        </w:rPr>
        <w:t>All of</w:t>
      </w:r>
      <w:r>
        <w:rPr>
          <w:rFonts w:ascii="Times New Roman" w:hAnsi="Times New Roman" w:cs="Times New Roman"/>
          <w:sz w:val="24"/>
          <w:szCs w:val="24"/>
        </w:rPr>
        <w:t xml:space="preserve"> the costs in the </w:t>
      </w:r>
      <w:r w:rsidR="00D3172A">
        <w:rPr>
          <w:rFonts w:ascii="Times New Roman" w:hAnsi="Times New Roman" w:cs="Times New Roman"/>
          <w:sz w:val="24"/>
          <w:szCs w:val="24"/>
        </w:rPr>
        <w:t>NOPR</w:t>
      </w:r>
      <w:r>
        <w:rPr>
          <w:rFonts w:ascii="Times New Roman" w:hAnsi="Times New Roman" w:cs="Times New Roman"/>
          <w:sz w:val="24"/>
          <w:szCs w:val="24"/>
        </w:rPr>
        <w:t xml:space="preserve"> are associated with labor and are shown in</w:t>
      </w:r>
      <w:r w:rsidR="00573D74">
        <w:rPr>
          <w:rFonts w:ascii="Times New Roman" w:hAnsi="Times New Roman" w:cs="Times New Roman"/>
          <w:sz w:val="24"/>
          <w:szCs w:val="24"/>
        </w:rPr>
        <w:t xml:space="preserve"> the answers to</w:t>
      </w:r>
      <w:r>
        <w:rPr>
          <w:rFonts w:ascii="Times New Roman" w:hAnsi="Times New Roman" w:cs="Times New Roman"/>
          <w:sz w:val="24"/>
          <w:szCs w:val="24"/>
        </w:rPr>
        <w:t xml:space="preserve"> Questions #12 and </w:t>
      </w:r>
      <w:r w:rsidR="00573D74">
        <w:rPr>
          <w:rFonts w:ascii="Times New Roman" w:hAnsi="Times New Roman" w:cs="Times New Roman"/>
          <w:sz w:val="24"/>
          <w:szCs w:val="24"/>
        </w:rPr>
        <w:t>#</w:t>
      </w:r>
      <w:r>
        <w:rPr>
          <w:rFonts w:ascii="Times New Roman" w:hAnsi="Times New Roman" w:cs="Times New Roman"/>
          <w:sz w:val="24"/>
          <w:szCs w:val="24"/>
        </w:rPr>
        <w:t>15.</w:t>
      </w:r>
    </w:p>
    <w:p w:rsidR="0066266D" w14:paraId="33121FFA" w14:textId="77777777">
      <w:pPr>
        <w:spacing w:after="0"/>
        <w:rPr>
          <w:rFonts w:ascii="Times New Roman" w:hAnsi="Times New Roman" w:cs="Times New Roman"/>
          <w:sz w:val="24"/>
          <w:szCs w:val="24"/>
        </w:rPr>
      </w:pPr>
    </w:p>
    <w:p w:rsidR="0066266D" w14:paraId="59617CE1"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ESTIMATED ANNUALIZED COST TO FEDERAL GOVERNMENT</w:t>
      </w:r>
    </w:p>
    <w:p w:rsidR="0066266D" w14:paraId="0C00B363" w14:textId="77777777">
      <w:pPr>
        <w:spacing w:after="0"/>
        <w:rPr>
          <w:rFonts w:ascii="Times New Roman" w:hAnsi="Times New Roman" w:cs="Times New Roman"/>
          <w:sz w:val="24"/>
          <w:szCs w:val="24"/>
        </w:rPr>
      </w:pPr>
    </w:p>
    <w:p w:rsidR="0066266D" w14:paraId="11EE82CF" w14:textId="75B65B43">
      <w:pPr>
        <w:spacing w:after="0"/>
        <w:rPr>
          <w:rFonts w:ascii="Times New Roman" w:hAnsi="Times New Roman" w:cs="Times New Roman"/>
          <w:sz w:val="24"/>
          <w:szCs w:val="24"/>
        </w:rPr>
      </w:pPr>
      <w:r>
        <w:rPr>
          <w:rFonts w:ascii="Times New Roman" w:hAnsi="Times New Roman" w:cs="Times New Roman"/>
          <w:sz w:val="24"/>
          <w:szCs w:val="24"/>
        </w:rPr>
        <w:t>The estimated annualized cost to the Federal Government for FERC-516</w:t>
      </w:r>
      <w:r>
        <w:rPr>
          <w:rFonts w:ascii="Times New Roman" w:hAnsi="Times New Roman" w:cs="Times New Roman"/>
          <w:sz w:val="24"/>
          <w:szCs w:val="24"/>
        </w:rPr>
        <w:t xml:space="preserve">E </w:t>
      </w:r>
      <w:r w:rsidR="000627CC">
        <w:rPr>
          <w:rFonts w:ascii="Times New Roman" w:hAnsi="Times New Roman" w:cs="Times New Roman"/>
          <w:sz w:val="24"/>
          <w:szCs w:val="24"/>
        </w:rPr>
        <w:t>,</w:t>
      </w:r>
      <w:r>
        <w:rPr>
          <w:rFonts w:ascii="Times New Roman" w:hAnsi="Times New Roman" w:cs="Times New Roman"/>
          <w:sz w:val="24"/>
          <w:szCs w:val="24"/>
        </w:rPr>
        <w:t>as</w:t>
      </w:r>
      <w:r>
        <w:rPr>
          <w:rFonts w:ascii="Times New Roman" w:hAnsi="Times New Roman" w:cs="Times New Roman"/>
          <w:sz w:val="24"/>
          <w:szCs w:val="24"/>
        </w:rPr>
        <w:t xml:space="preserve"> related to the requirements in the Rule RM05-5-0</w:t>
      </w:r>
      <w:r w:rsidR="00B40F24">
        <w:rPr>
          <w:rFonts w:ascii="Times New Roman" w:hAnsi="Times New Roman" w:cs="Times New Roman"/>
          <w:sz w:val="24"/>
          <w:szCs w:val="24"/>
        </w:rPr>
        <w:t>31</w:t>
      </w:r>
      <w:r w:rsidR="00573D74">
        <w:rPr>
          <w:rFonts w:ascii="Times New Roman" w:hAnsi="Times New Roman" w:cs="Times New Roman"/>
          <w:sz w:val="24"/>
          <w:szCs w:val="24"/>
        </w:rPr>
        <w:t xml:space="preserve"> are</w:t>
      </w:r>
      <w:r w:rsidR="008E4B12">
        <w:rPr>
          <w:rFonts w:ascii="Times New Roman" w:hAnsi="Times New Roman" w:cs="Times New Roman"/>
          <w:sz w:val="24"/>
          <w:szCs w:val="24"/>
        </w:rPr>
        <w:t xml:space="preserve"> reflected in the table below</w:t>
      </w:r>
      <w:r>
        <w:rPr>
          <w:rFonts w:ascii="Times New Roman" w:hAnsi="Times New Roman" w:cs="Times New Roman"/>
          <w:sz w:val="24"/>
          <w:szCs w:val="24"/>
        </w:rPr>
        <w:t>.  Please note that the federal cost for FERC-516E is already accounted for in the FERC-516 information collection (OMB Control No. 1902-0096). In the chart below, no federal effort is cited for FERC-516E here to avoid duplicating federal effort between this temporary information collection number (FERC-516E) and FERC-516.</w:t>
      </w:r>
    </w:p>
    <w:p w:rsidR="0066266D" w14:paraId="061CE844" w14:textId="77777777">
      <w:pPr>
        <w:spacing w:after="0"/>
        <w:rPr>
          <w:rFonts w:ascii="Times New Roman" w:hAnsi="Times New Roman" w:cs="Times New Roman"/>
          <w:sz w:val="24"/>
          <w:szCs w:val="24"/>
        </w:rPr>
      </w:pPr>
    </w:p>
    <w:p w:rsidR="0066266D" w14:paraId="1E071A80" w14:textId="3A1892E7">
      <w:pPr>
        <w:spacing w:after="0"/>
        <w:rPr>
          <w:rFonts w:ascii="Times New Roman" w:hAnsi="Times New Roman" w:cs="Times New Roman"/>
          <w:sz w:val="24"/>
          <w:szCs w:val="24"/>
        </w:rPr>
      </w:pPr>
      <w:r>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Rule.  </w:t>
      </w:r>
    </w:p>
    <w:p w:rsidR="0066266D" w14:paraId="119050E8" w14:textId="77777777">
      <w:pPr>
        <w:spacing w:after="0"/>
        <w:rPr>
          <w:rFonts w:ascii="Times New Roman" w:hAnsi="Times New Roman" w:cs="Times New Roman"/>
          <w:sz w:val="24"/>
          <w:szCs w:val="24"/>
        </w:rPr>
      </w:pPr>
    </w:p>
    <w:p w:rsidR="0066266D" w14:paraId="687C94CB" w14:textId="77777777">
      <w:pPr>
        <w:spacing w:after="0"/>
        <w:rPr>
          <w:rFonts w:ascii="Times New Roman" w:hAnsi="Times New Roman" w:cs="Times New Roman"/>
          <w:sz w:val="24"/>
          <w:szCs w:val="24"/>
        </w:rPr>
      </w:pPr>
      <w:r>
        <w:rPr>
          <w:rFonts w:ascii="Times New Roman" w:hAnsi="Times New Roman" w:cs="Times New Roman"/>
          <w:sz w:val="24"/>
          <w:szCs w:val="24"/>
        </w:rPr>
        <w:t xml:space="preserve">The PRA Administrative Cost is a Federal Cost associated with preparing, issuing, and submitting materials necessary to comply with the PRA for rulemakings, orders, or any other vehicle used to create, modify, extend, or discontinue an information collection.  This average </w:t>
      </w:r>
      <w:r>
        <w:rPr>
          <w:rFonts w:ascii="Times New Roman" w:hAnsi="Times New Roman" w:cs="Times New Roman"/>
          <w:sz w:val="24"/>
          <w:szCs w:val="24"/>
        </w:rPr>
        <w:t>annual cost includes requests for extensions, all associated rulemakings and orders, other changes to the collection, and associated publications in the Federal Register.  This estimate is updated annually.</w:t>
      </w:r>
    </w:p>
    <w:p w:rsidR="0066266D" w14:paraId="0E6518A6"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9B59554" w14:textId="77777777">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6266D" w14:paraId="576F572B" w14:textId="77777777">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6266D" w14:paraId="656FF5AB"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Number of Full-Time Equivalent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6266D" w14:paraId="1330944A" w14:textId="77777777">
            <w:pPr>
              <w:spacing w:after="0"/>
              <w:jc w:val="center"/>
              <w:rPr>
                <w:rFonts w:ascii="Times New Roman" w:hAnsi="Times New Roman" w:cs="Times New Roman"/>
                <w:b/>
                <w:sz w:val="24"/>
                <w:szCs w:val="24"/>
              </w:rPr>
            </w:pPr>
            <w:r>
              <w:rPr>
                <w:rFonts w:ascii="Times New Roman" w:hAnsi="Times New Roman" w:cs="Times New Roman"/>
                <w:b/>
                <w:sz w:val="24"/>
                <w:szCs w:val="24"/>
              </w:rPr>
              <w:t>Estimated Annual Federal Cost</w:t>
            </w:r>
            <w:r>
              <w:rPr>
                <w:rStyle w:val="FootnoteReference"/>
                <w:rFonts w:ascii="Times New Roman" w:hAnsi="Times New Roman" w:cs="Times New Roman"/>
                <w:b/>
                <w:sz w:val="24"/>
                <w:szCs w:val="24"/>
                <w:vertAlign w:val="superscript"/>
              </w:rPr>
              <w:footnoteReference w:id="8"/>
            </w:r>
          </w:p>
        </w:tc>
      </w:tr>
      <w:tr w14:paraId="5BC2C91F"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6266D" w14:paraId="562E8511" w14:textId="77777777">
            <w:pPr>
              <w:spacing w:after="0"/>
              <w:rPr>
                <w:rFonts w:ascii="Times New Roman" w:hAnsi="Times New Roman" w:cs="Times New Roman"/>
                <w:sz w:val="24"/>
                <w:szCs w:val="24"/>
              </w:rPr>
            </w:pPr>
            <w:r>
              <w:rPr>
                <w:rFonts w:ascii="Times New Roman" w:hAnsi="Times New Roman" w:cs="Times New Roman"/>
                <w:sz w:val="24"/>
                <w:szCs w:val="24"/>
              </w:rPr>
              <w:t>FERC-516E, 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66266D" w14:paraId="51B3B6F0" w14:textId="77777777">
            <w:pPr>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2995" w:type="dxa"/>
            <w:tcBorders>
              <w:top w:val="single" w:sz="4" w:space="0" w:color="auto"/>
              <w:left w:val="single" w:sz="4" w:space="0" w:color="auto"/>
              <w:bottom w:val="single" w:sz="4" w:space="0" w:color="auto"/>
              <w:right w:val="single" w:sz="4" w:space="0" w:color="auto"/>
            </w:tcBorders>
            <w:vAlign w:val="bottom"/>
            <w:hideMark/>
          </w:tcPr>
          <w:p w:rsidR="0066266D" w14:paraId="767E0640" w14:textId="77777777">
            <w:pPr>
              <w:spacing w:after="0"/>
              <w:jc w:val="right"/>
              <w:rPr>
                <w:rFonts w:ascii="Times New Roman" w:hAnsi="Times New Roman" w:cs="Times New Roman"/>
                <w:sz w:val="24"/>
                <w:szCs w:val="24"/>
              </w:rPr>
            </w:pPr>
            <w:r>
              <w:rPr>
                <w:rFonts w:ascii="Times New Roman" w:hAnsi="Times New Roman" w:cs="Times New Roman"/>
                <w:sz w:val="24"/>
                <w:szCs w:val="24"/>
              </w:rPr>
              <w:t>-</w:t>
            </w:r>
          </w:p>
        </w:tc>
      </w:tr>
      <w:tr w14:paraId="43853883"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6266D" w14:paraId="5E18BFCF" w14:textId="77777777">
            <w:pPr>
              <w:spacing w:after="0"/>
              <w:rPr>
                <w:rFonts w:ascii="Times New Roman" w:hAnsi="Times New Roman" w:cs="Times New Roman"/>
                <w:sz w:val="24"/>
                <w:szCs w:val="24"/>
              </w:rPr>
            </w:pPr>
            <w:r>
              <w:rPr>
                <w:rFonts w:ascii="Times New Roman" w:hAnsi="Times New Roman" w:cs="Times New Roman"/>
                <w:sz w:val="24"/>
                <w:szCs w:val="24"/>
              </w:rPr>
              <w:t>PRA Administrative Cost (for FERC-516E)</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66266D" w14:paraId="76835837" w14:textId="77777777">
            <w:pPr>
              <w:spacing w:after="0"/>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6266D" w14:paraId="27DC2507" w14:textId="6457C8D7">
            <w:pPr>
              <w:spacing w:after="0"/>
              <w:jc w:val="right"/>
              <w:rPr>
                <w:rFonts w:ascii="Times New Roman" w:hAnsi="Times New Roman" w:cs="Times New Roman"/>
                <w:sz w:val="24"/>
                <w:szCs w:val="24"/>
              </w:rPr>
            </w:pPr>
            <w:r>
              <w:rPr>
                <w:rFonts w:ascii="Times New Roman" w:hAnsi="Times New Roman" w:cs="Times New Roman"/>
                <w:sz w:val="24"/>
                <w:szCs w:val="24"/>
              </w:rPr>
              <w:t>$</w:t>
            </w:r>
            <w:r w:rsidR="000627CC">
              <w:rPr>
                <w:rFonts w:ascii="Times New Roman" w:hAnsi="Times New Roman" w:cs="Times New Roman"/>
                <w:sz w:val="24"/>
                <w:szCs w:val="24"/>
              </w:rPr>
              <w:t>8,396</w:t>
            </w:r>
          </w:p>
        </w:tc>
      </w:tr>
      <w:tr w14:paraId="70319459" w14:textId="77777777">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6266D" w14:paraId="0E022548" w14:textId="77777777">
            <w:pPr>
              <w:spacing w:after="0"/>
              <w:rPr>
                <w:rFonts w:ascii="Times New Roman" w:hAnsi="Times New Roman" w:cs="Times New Roman"/>
                <w:b/>
                <w:sz w:val="24"/>
                <w:szCs w:val="24"/>
              </w:rPr>
            </w:pPr>
            <w:r>
              <w:rPr>
                <w:rFonts w:ascii="Times New Roman" w:hAnsi="Times New Roman" w:cs="Times New Roman"/>
                <w:b/>
                <w:sz w:val="24"/>
                <w:szCs w:val="24"/>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266D" w14:paraId="035CF12F"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6266D" w14:paraId="1F9D4A21" w14:textId="38802907">
            <w:pPr>
              <w:spacing w:after="0"/>
              <w:jc w:val="right"/>
              <w:rPr>
                <w:rFonts w:ascii="Times New Roman" w:hAnsi="Times New Roman" w:cs="Times New Roman"/>
                <w:sz w:val="24"/>
                <w:szCs w:val="24"/>
              </w:rPr>
            </w:pPr>
            <w:r>
              <w:rPr>
                <w:rFonts w:ascii="Times New Roman" w:hAnsi="Times New Roman" w:cs="Times New Roman"/>
                <w:sz w:val="24"/>
                <w:szCs w:val="24"/>
              </w:rPr>
              <w:t>$</w:t>
            </w:r>
            <w:r w:rsidR="000627CC">
              <w:rPr>
                <w:rFonts w:ascii="Times New Roman" w:hAnsi="Times New Roman" w:cs="Times New Roman"/>
                <w:sz w:val="24"/>
                <w:szCs w:val="24"/>
              </w:rPr>
              <w:t>8,396</w:t>
            </w:r>
          </w:p>
        </w:tc>
      </w:tr>
    </w:tbl>
    <w:p w:rsidR="0066266D" w14:paraId="39151BA9" w14:textId="77777777">
      <w:pPr>
        <w:spacing w:after="0"/>
        <w:rPr>
          <w:rFonts w:ascii="Times New Roman" w:hAnsi="Times New Roman" w:cs="Times New Roman"/>
          <w:sz w:val="24"/>
          <w:szCs w:val="24"/>
        </w:rPr>
      </w:pPr>
    </w:p>
    <w:p w:rsidR="0066266D" w14:paraId="79D2E9A6" w14:textId="77D58328">
      <w:pPr>
        <w:tabs>
          <w:tab w:val="left" w:pos="2430"/>
          <w:tab w:val="left" w:pos="2520"/>
        </w:tabs>
        <w:spacing w:after="0"/>
        <w:rPr>
          <w:rFonts w:ascii="Times New Roman" w:hAnsi="Times New Roman" w:cs="Times New Roman"/>
          <w:sz w:val="24"/>
          <w:szCs w:val="24"/>
        </w:rPr>
      </w:pPr>
      <w:r>
        <w:rPr>
          <w:rFonts w:ascii="Times New Roman" w:hAnsi="Times New Roman" w:cs="Times New Roman"/>
          <w:sz w:val="24"/>
          <w:szCs w:val="24"/>
        </w:rPr>
        <w:t>For FERC-516E, the federal cost will be $</w:t>
      </w:r>
      <w:r w:rsidR="000627CC">
        <w:rPr>
          <w:rFonts w:ascii="Times New Roman" w:hAnsi="Times New Roman" w:cs="Times New Roman"/>
          <w:sz w:val="24"/>
          <w:szCs w:val="24"/>
        </w:rPr>
        <w:t>8,396</w:t>
      </w:r>
      <w:r>
        <w:rPr>
          <w:rFonts w:ascii="Times New Roman" w:hAnsi="Times New Roman" w:cs="Times New Roman"/>
          <w:sz w:val="24"/>
          <w:szCs w:val="24"/>
        </w:rPr>
        <w:t xml:space="preserve">, since the rest of the federal cost is associated with FERC-516.  </w:t>
      </w:r>
    </w:p>
    <w:p w:rsidR="0066266D" w14:paraId="2B5A7B8B" w14:textId="77777777">
      <w:pPr>
        <w:spacing w:after="0"/>
        <w:rPr>
          <w:rFonts w:ascii="Times New Roman" w:hAnsi="Times New Roman" w:cs="Times New Roman"/>
          <w:sz w:val="24"/>
          <w:szCs w:val="24"/>
        </w:rPr>
      </w:pPr>
    </w:p>
    <w:p w:rsidR="0066266D" w14:paraId="49424F40"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REASONS FOR CHANGES IN BURDEN INCLUDING THE NEED FOR ANY INCREASE</w:t>
      </w:r>
    </w:p>
    <w:p w:rsidR="0066266D" w14:paraId="0FE7163B" w14:textId="77777777">
      <w:pPr>
        <w:spacing w:after="0"/>
        <w:rPr>
          <w:rFonts w:ascii="Times New Roman" w:hAnsi="Times New Roman" w:cs="Times New Roman"/>
          <w:sz w:val="24"/>
          <w:szCs w:val="24"/>
        </w:rPr>
      </w:pPr>
    </w:p>
    <w:p w:rsidR="0066266D" w14:paraId="2F4C8FF4" w14:textId="5098FF24">
      <w:pPr>
        <w:spacing w:after="0"/>
        <w:rPr>
          <w:rFonts w:ascii="Times New Roman" w:hAnsi="Times New Roman" w:cs="Times New Roman"/>
          <w:sz w:val="24"/>
          <w:szCs w:val="24"/>
        </w:rPr>
      </w:pPr>
      <w:r>
        <w:rPr>
          <w:rFonts w:ascii="Times New Roman" w:hAnsi="Times New Roman" w:cs="Times New Roman"/>
          <w:sz w:val="24"/>
          <w:szCs w:val="24"/>
        </w:rPr>
        <w:t xml:space="preserve">The burden for both the FERC-516E information collections </w:t>
      </w:r>
      <w:r w:rsidR="009069AC">
        <w:rPr>
          <w:rFonts w:ascii="Times New Roman" w:hAnsi="Times New Roman" w:cs="Times New Roman"/>
          <w:sz w:val="24"/>
          <w:szCs w:val="24"/>
        </w:rPr>
        <w:t xml:space="preserve">will not change </w:t>
      </w:r>
      <w:r w:rsidR="006268C2">
        <w:rPr>
          <w:rFonts w:ascii="Times New Roman" w:hAnsi="Times New Roman" w:cs="Times New Roman"/>
          <w:sz w:val="24"/>
          <w:szCs w:val="24"/>
        </w:rPr>
        <w:t xml:space="preserve">due to the NOPR. </w:t>
      </w:r>
      <w:r>
        <w:rPr>
          <w:rFonts w:ascii="Times New Roman" w:hAnsi="Times New Roman" w:cs="Times New Roman"/>
          <w:sz w:val="24"/>
          <w:szCs w:val="24"/>
        </w:rPr>
        <w:t xml:space="preserve"> </w:t>
      </w:r>
    </w:p>
    <w:p w:rsidR="0066266D" w14:paraId="273B5829" w14:textId="77777777">
      <w:pPr>
        <w:spacing w:after="0"/>
        <w:rPr>
          <w:rFonts w:ascii="Times New Roman" w:hAnsi="Times New Roman" w:cs="Times New Roman"/>
          <w:sz w:val="24"/>
          <w:szCs w:val="24"/>
        </w:rPr>
      </w:pPr>
    </w:p>
    <w:p w:rsidR="0066266D" w14:paraId="2AB1F28A" w14:textId="59737E11">
      <w:pPr>
        <w:spacing w:after="0"/>
        <w:rPr>
          <w:rFonts w:ascii="Times New Roman" w:hAnsi="Times New Roman" w:cs="Times New Roman"/>
          <w:sz w:val="24"/>
          <w:szCs w:val="24"/>
        </w:rPr>
      </w:pPr>
      <w:r>
        <w:rPr>
          <w:rFonts w:ascii="Times New Roman" w:hAnsi="Times New Roman" w:cs="Times New Roman"/>
          <w:sz w:val="24"/>
          <w:szCs w:val="24"/>
        </w:rPr>
        <w:t xml:space="preserve">The following tables show the estimated total burden and requested changes for the collections of information.  The format, labels, and definitions of the table follow the ROCIS submission system’s “Information Collection Request Summary of Burden” for the metadata.  (Note that the new burden is a one-time burden.  </w:t>
      </w:r>
    </w:p>
    <w:p w:rsidR="0066266D" w14:paraId="07B26337" w14:textId="77777777">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08"/>
        <w:gridCol w:w="1530"/>
        <w:gridCol w:w="1800"/>
        <w:gridCol w:w="1740"/>
      </w:tblGrid>
      <w:tr w14:paraId="54455AE0" w14:textId="77777777" w:rsidTr="00D3172A">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center"/>
          </w:tcPr>
          <w:p w:rsidR="0066266D" w14:paraId="6194E89B" w14:textId="77777777">
            <w:pPr>
              <w:spacing w:after="0"/>
              <w:rPr>
                <w:rFonts w:ascii="Times New Roman" w:hAnsi="Times New Roman" w:cs="Times New Roman"/>
                <w:b/>
                <w:sz w:val="24"/>
                <w:szCs w:val="24"/>
              </w:rPr>
            </w:pPr>
            <w:r>
              <w:rPr>
                <w:rFonts w:ascii="Times New Roman" w:hAnsi="Times New Roman" w:cs="Times New Roman"/>
                <w:b/>
                <w:sz w:val="24"/>
                <w:szCs w:val="24"/>
              </w:rPr>
              <w:t>FERC-516E</w:t>
            </w:r>
          </w:p>
        </w:tc>
        <w:tc>
          <w:tcPr>
            <w:tcW w:w="1708" w:type="dxa"/>
            <w:shd w:val="clear" w:color="auto" w:fill="D9D9D9"/>
            <w:vAlign w:val="center"/>
          </w:tcPr>
          <w:p w:rsidR="0066266D" w14:paraId="28AC61EB" w14:textId="77777777">
            <w:pPr>
              <w:spacing w:after="0"/>
              <w:rPr>
                <w:rFonts w:ascii="Times New Roman" w:hAnsi="Times New Roman" w:cs="Times New Roman"/>
                <w:b/>
                <w:sz w:val="24"/>
                <w:szCs w:val="24"/>
              </w:rPr>
            </w:pPr>
            <w:r>
              <w:rPr>
                <w:rFonts w:ascii="Times New Roman" w:hAnsi="Times New Roman" w:cs="Times New Roman"/>
                <w:b/>
                <w:sz w:val="24"/>
                <w:szCs w:val="24"/>
              </w:rPr>
              <w:t>Total Request</w:t>
            </w:r>
          </w:p>
        </w:tc>
        <w:tc>
          <w:tcPr>
            <w:tcW w:w="1530" w:type="dxa"/>
            <w:shd w:val="clear" w:color="auto" w:fill="D9D9D9"/>
            <w:vAlign w:val="center"/>
          </w:tcPr>
          <w:p w:rsidR="0066266D" w14:paraId="78354584" w14:textId="77777777">
            <w:pPr>
              <w:spacing w:after="0"/>
              <w:rPr>
                <w:rFonts w:ascii="Times New Roman" w:hAnsi="Times New Roman" w:cs="Times New Roman"/>
                <w:b/>
                <w:sz w:val="24"/>
                <w:szCs w:val="24"/>
              </w:rPr>
            </w:pPr>
            <w:r>
              <w:rPr>
                <w:rFonts w:ascii="Times New Roman" w:hAnsi="Times New Roman" w:cs="Times New Roman"/>
                <w:b/>
                <w:sz w:val="24"/>
                <w:szCs w:val="24"/>
              </w:rPr>
              <w:t>Previously Approved</w:t>
            </w:r>
          </w:p>
        </w:tc>
        <w:tc>
          <w:tcPr>
            <w:tcW w:w="1800" w:type="dxa"/>
            <w:shd w:val="clear" w:color="auto" w:fill="D9D9D9"/>
            <w:vAlign w:val="center"/>
          </w:tcPr>
          <w:p w:rsidR="0066266D" w14:paraId="2EB8CE4B" w14:textId="77777777">
            <w:pPr>
              <w:spacing w:after="0"/>
              <w:rPr>
                <w:rFonts w:ascii="Times New Roman" w:hAnsi="Times New Roman" w:cs="Times New Roman"/>
                <w:b/>
                <w:sz w:val="24"/>
                <w:szCs w:val="24"/>
              </w:rPr>
            </w:pPr>
            <w:r>
              <w:rPr>
                <w:rFonts w:ascii="Times New Roman" w:hAnsi="Times New Roman" w:cs="Times New Roman"/>
                <w:b/>
                <w:sz w:val="24"/>
                <w:szCs w:val="24"/>
              </w:rPr>
              <w:t>Change due to Adjustment in Estimate</w:t>
            </w:r>
          </w:p>
        </w:tc>
        <w:tc>
          <w:tcPr>
            <w:tcW w:w="1740" w:type="dxa"/>
            <w:shd w:val="clear" w:color="auto" w:fill="D9D9D9"/>
            <w:vAlign w:val="center"/>
          </w:tcPr>
          <w:p w:rsidR="0066266D" w14:paraId="02CED81C" w14:textId="77777777">
            <w:pPr>
              <w:spacing w:after="0"/>
              <w:rPr>
                <w:rFonts w:ascii="Times New Roman" w:hAnsi="Times New Roman" w:cs="Times New Roman"/>
                <w:b/>
                <w:sz w:val="24"/>
                <w:szCs w:val="24"/>
              </w:rPr>
            </w:pPr>
            <w:r>
              <w:rPr>
                <w:rFonts w:ascii="Times New Roman" w:hAnsi="Times New Roman" w:cs="Times New Roman"/>
                <w:b/>
                <w:sz w:val="24"/>
                <w:szCs w:val="24"/>
              </w:rPr>
              <w:t>Change Due to Agency Discretion</w:t>
            </w:r>
          </w:p>
        </w:tc>
      </w:tr>
      <w:tr w14:paraId="5AD08E06" w14:textId="77777777" w:rsidTr="00D3172A">
        <w:tblPrEx>
          <w:tblW w:w="9367" w:type="dxa"/>
          <w:tblInd w:w="108" w:type="dxa"/>
          <w:tblLook w:val="01E0"/>
        </w:tblPrEx>
        <w:trPr>
          <w:trHeight w:val="591"/>
        </w:trPr>
        <w:tc>
          <w:tcPr>
            <w:tcW w:w="2589" w:type="dxa"/>
          </w:tcPr>
          <w:p w:rsidR="0066266D" w14:paraId="03BC1FC5" w14:textId="77777777">
            <w:pPr>
              <w:spacing w:after="0"/>
              <w:rPr>
                <w:rFonts w:ascii="Times New Roman" w:hAnsi="Times New Roman" w:cs="Times New Roman"/>
                <w:sz w:val="24"/>
                <w:szCs w:val="24"/>
              </w:rPr>
            </w:pPr>
            <w:r>
              <w:rPr>
                <w:rFonts w:ascii="Times New Roman" w:hAnsi="Times New Roman" w:cs="Times New Roman"/>
                <w:sz w:val="24"/>
                <w:szCs w:val="24"/>
              </w:rPr>
              <w:t>Annual Number of Responses</w:t>
            </w:r>
          </w:p>
        </w:tc>
        <w:tc>
          <w:tcPr>
            <w:tcW w:w="1708" w:type="dxa"/>
            <w:vAlign w:val="center"/>
          </w:tcPr>
          <w:p w:rsidR="0066266D" w14:paraId="631B6B42" w14:textId="52FF3E2A">
            <w:pPr>
              <w:spacing w:after="0"/>
              <w:jc w:val="right"/>
              <w:rPr>
                <w:rFonts w:ascii="Times New Roman" w:hAnsi="Times New Roman" w:cs="Times New Roman"/>
                <w:sz w:val="24"/>
                <w:szCs w:val="24"/>
              </w:rPr>
            </w:pPr>
            <w:r>
              <w:rPr>
                <w:rFonts w:ascii="Times New Roman" w:hAnsi="Times New Roman" w:cs="Times New Roman"/>
                <w:sz w:val="24"/>
                <w:szCs w:val="24"/>
              </w:rPr>
              <w:t>216</w:t>
            </w:r>
          </w:p>
        </w:tc>
        <w:tc>
          <w:tcPr>
            <w:tcW w:w="1530" w:type="dxa"/>
            <w:vAlign w:val="center"/>
          </w:tcPr>
          <w:p w:rsidR="0066266D" w14:paraId="2DEEA0A3" w14:textId="74CA8A1E">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14:paraId="36956901"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14:paraId="1CEA1266" w14:textId="3E19C92D">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5041BAF9" w14:textId="77777777" w:rsidTr="00D3172A">
        <w:tblPrEx>
          <w:tblW w:w="9367" w:type="dxa"/>
          <w:tblInd w:w="108" w:type="dxa"/>
          <w:tblLook w:val="01E0"/>
        </w:tblPrEx>
        <w:trPr>
          <w:trHeight w:val="575"/>
        </w:trPr>
        <w:tc>
          <w:tcPr>
            <w:tcW w:w="2589" w:type="dxa"/>
          </w:tcPr>
          <w:p w:rsidR="0066266D" w14:paraId="0DE55426" w14:textId="77777777">
            <w:pPr>
              <w:spacing w:after="0"/>
              <w:rPr>
                <w:rFonts w:ascii="Times New Roman" w:hAnsi="Times New Roman" w:cs="Times New Roman"/>
                <w:sz w:val="24"/>
                <w:szCs w:val="24"/>
              </w:rPr>
            </w:pPr>
            <w:r>
              <w:rPr>
                <w:rFonts w:ascii="Times New Roman" w:hAnsi="Times New Roman" w:cs="Times New Roman"/>
                <w:sz w:val="24"/>
                <w:szCs w:val="24"/>
              </w:rPr>
              <w:t>Annual Time Burden (Hr.)</w:t>
            </w:r>
          </w:p>
        </w:tc>
        <w:tc>
          <w:tcPr>
            <w:tcW w:w="1708" w:type="dxa"/>
            <w:vAlign w:val="center"/>
          </w:tcPr>
          <w:p w:rsidR="0066266D" w14:paraId="31D9F2B9" w14:textId="42446957">
            <w:pPr>
              <w:spacing w:after="0"/>
              <w:jc w:val="right"/>
              <w:rPr>
                <w:rFonts w:ascii="Times New Roman" w:hAnsi="Times New Roman" w:cs="Times New Roman"/>
                <w:sz w:val="24"/>
                <w:szCs w:val="24"/>
              </w:rPr>
            </w:pPr>
            <w:r>
              <w:rPr>
                <w:rFonts w:ascii="Times New Roman" w:hAnsi="Times New Roman" w:cs="Times New Roman"/>
                <w:sz w:val="24"/>
                <w:szCs w:val="24"/>
              </w:rPr>
              <w:t>1,296</w:t>
            </w:r>
          </w:p>
        </w:tc>
        <w:tc>
          <w:tcPr>
            <w:tcW w:w="1530" w:type="dxa"/>
            <w:vAlign w:val="center"/>
          </w:tcPr>
          <w:p w:rsidR="0066266D" w14:paraId="11417089" w14:textId="3B5646F2">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14:paraId="1686FCA2"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14:paraId="5396838E" w14:textId="3E542B9C">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6D792024" w14:textId="77777777" w:rsidTr="00D3172A">
        <w:tblPrEx>
          <w:tblW w:w="9367" w:type="dxa"/>
          <w:tblInd w:w="108" w:type="dxa"/>
          <w:tblLook w:val="01E0"/>
        </w:tblPrEx>
        <w:trPr>
          <w:trHeight w:val="295"/>
        </w:trPr>
        <w:tc>
          <w:tcPr>
            <w:tcW w:w="2589" w:type="dxa"/>
          </w:tcPr>
          <w:p w:rsidR="0066266D" w14:paraId="04AEBAE0" w14:textId="77777777">
            <w:pPr>
              <w:spacing w:after="0"/>
              <w:rPr>
                <w:rFonts w:ascii="Times New Roman" w:hAnsi="Times New Roman" w:cs="Times New Roman"/>
                <w:sz w:val="24"/>
                <w:szCs w:val="24"/>
              </w:rPr>
            </w:pPr>
            <w:r>
              <w:rPr>
                <w:rFonts w:ascii="Times New Roman" w:hAnsi="Times New Roman" w:cs="Times New Roman"/>
                <w:sz w:val="24"/>
                <w:szCs w:val="24"/>
              </w:rPr>
              <w:t>Annual Cost Burden ($)</w:t>
            </w:r>
          </w:p>
        </w:tc>
        <w:tc>
          <w:tcPr>
            <w:tcW w:w="1708" w:type="dxa"/>
            <w:vAlign w:val="center"/>
          </w:tcPr>
          <w:p w:rsidR="0066266D" w14:paraId="3E43E3BD"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530" w:type="dxa"/>
            <w:vAlign w:val="center"/>
          </w:tcPr>
          <w:p w:rsidR="0066266D" w14:paraId="4D84A49F"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vAlign w:val="center"/>
          </w:tcPr>
          <w:p w:rsidR="0066266D" w14:paraId="74AC553B"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740" w:type="dxa"/>
            <w:vAlign w:val="center"/>
          </w:tcPr>
          <w:p w:rsidR="0066266D" w14:paraId="124EA0BD" w14:textId="77777777">
            <w:pPr>
              <w:spacing w:after="0"/>
              <w:jc w:val="right"/>
              <w:rPr>
                <w:rFonts w:ascii="Times New Roman" w:hAnsi="Times New Roman" w:cs="Times New Roman"/>
                <w:sz w:val="24"/>
                <w:szCs w:val="24"/>
              </w:rPr>
            </w:pPr>
            <w:r>
              <w:rPr>
                <w:rFonts w:ascii="Times New Roman" w:hAnsi="Times New Roman" w:cs="Times New Roman"/>
                <w:sz w:val="24"/>
                <w:szCs w:val="24"/>
              </w:rPr>
              <w:t>0</w:t>
            </w:r>
          </w:p>
        </w:tc>
      </w:tr>
    </w:tbl>
    <w:p w:rsidR="0066266D" w14:paraId="4DB0DA19" w14:textId="77777777">
      <w:pPr>
        <w:spacing w:after="0"/>
        <w:rPr>
          <w:rFonts w:ascii="Times New Roman" w:hAnsi="Times New Roman" w:cs="Times New Roman"/>
          <w:sz w:val="24"/>
          <w:szCs w:val="24"/>
        </w:rPr>
      </w:pPr>
    </w:p>
    <w:p w:rsidR="0066266D" w14:paraId="14ABDD22"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TIME SCHEDULE FOR PUBLICATION OF DATA</w:t>
      </w:r>
    </w:p>
    <w:p w:rsidR="0066266D" w14:paraId="204F11FB" w14:textId="77777777">
      <w:pPr>
        <w:spacing w:after="0"/>
        <w:rPr>
          <w:rFonts w:ascii="Times New Roman" w:hAnsi="Times New Roman" w:cs="Times New Roman"/>
          <w:sz w:val="24"/>
          <w:szCs w:val="24"/>
        </w:rPr>
      </w:pPr>
    </w:p>
    <w:p w:rsidR="0066266D" w14:paraId="14719F9B" w14:textId="77777777">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these collections.</w:t>
      </w:r>
    </w:p>
    <w:p w:rsidR="0066266D" w14:paraId="6604B37B" w14:textId="77777777">
      <w:pPr>
        <w:spacing w:after="0"/>
        <w:rPr>
          <w:rFonts w:ascii="Times New Roman" w:hAnsi="Times New Roman" w:cs="Times New Roman"/>
          <w:sz w:val="24"/>
          <w:szCs w:val="24"/>
        </w:rPr>
      </w:pPr>
    </w:p>
    <w:p w:rsidR="0066266D" w14:paraId="5D665C0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DISPLAY OF EXPIRATION DATE</w:t>
      </w:r>
    </w:p>
    <w:p w:rsidR="0066266D" w14:paraId="3AE5A3C1" w14:textId="77777777">
      <w:pPr>
        <w:spacing w:after="0"/>
        <w:rPr>
          <w:rFonts w:ascii="Times New Roman" w:hAnsi="Times New Roman" w:cs="Times New Roman"/>
          <w:sz w:val="24"/>
          <w:szCs w:val="24"/>
        </w:rPr>
      </w:pPr>
    </w:p>
    <w:p w:rsidR="0066266D" w14:paraId="1187CB15" w14:textId="43C1EA6B">
      <w:pPr>
        <w:spacing w:after="0"/>
        <w:rPr>
          <w:rFonts w:ascii="Times New Roman" w:eastAsia="Calibri" w:hAnsi="Times New Roman" w:cs="Times New Roman"/>
          <w:sz w:val="24"/>
          <w:szCs w:val="24"/>
        </w:rPr>
      </w:pPr>
      <w:r>
        <w:rPr>
          <w:rFonts w:ascii="Times New Roman" w:hAnsi="Times New Roman" w:cs="Times New Roman"/>
          <w:sz w:val="24"/>
          <w:szCs w:val="24"/>
        </w:rPr>
        <w:t xml:space="preserve">The </w:t>
      </w:r>
      <w:bookmarkStart w:id="3" w:name="_Hlk33600116"/>
      <w:r>
        <w:rPr>
          <w:rFonts w:ascii="Times New Roman" w:hAnsi="Times New Roman" w:cs="Times New Roman"/>
          <w:sz w:val="24"/>
          <w:szCs w:val="24"/>
        </w:rPr>
        <w:t xml:space="preserve">substance of the requirements is incorporated by reference into FERC’s regulations at 18 CFR (making the standards mandatory).  </w:t>
      </w:r>
      <w:r>
        <w:rPr>
          <w:rFonts w:ascii="Times New Roman" w:hAnsi="Times New Roman" w:cs="Times New Roman"/>
          <w:sz w:val="24"/>
          <w:szCs w:val="24"/>
        </w:rPr>
        <w:t>However</w:t>
      </w:r>
      <w:r>
        <w:rPr>
          <w:rFonts w:ascii="Times New Roman" w:hAnsi="Times New Roman" w:cs="Times New Roman"/>
          <w:sz w:val="24"/>
          <w:szCs w:val="24"/>
        </w:rPr>
        <w:t xml:space="preserve"> the standards themselves are copyrighted by NAESB</w:t>
      </w:r>
      <w:bookmarkEnd w:id="3"/>
      <w:r>
        <w:rPr>
          <w:rFonts w:ascii="Times New Roman" w:hAnsi="Times New Roman" w:cs="Times New Roman"/>
          <w:sz w:val="24"/>
          <w:szCs w:val="24"/>
        </w:rPr>
        <w:t>, so the OMB Control Numbers and expiration dates are not displayed in the standards.  The clearance information and expiration dates are posted at</w:t>
      </w:r>
      <w:r w:rsidR="00D3172A">
        <w:rPr>
          <w:rFonts w:ascii="Times New Roman" w:hAnsi="Times New Roman" w:cs="Times New Roman"/>
          <w:sz w:val="24"/>
          <w:szCs w:val="24"/>
        </w:rPr>
        <w:t xml:space="preserve"> </w:t>
      </w:r>
      <w:bookmarkStart w:id="4" w:name="_Hlk165472514"/>
      <w:hyperlink r:id="rId11" w:history="1">
        <w:r w:rsidRPr="007B2265" w:rsidR="00D3172A">
          <w:rPr>
            <w:rStyle w:val="Hyperlink"/>
            <w:rFonts w:ascii="Times New Roman" w:eastAsia="Calibri" w:hAnsi="Times New Roman" w:cs="Times New Roman"/>
            <w:sz w:val="24"/>
            <w:szCs w:val="24"/>
          </w:rPr>
          <w:t>https://www.reginfo.gov/public/do/PRAMain</w:t>
        </w:r>
      </w:hyperlink>
      <w:r w:rsidRPr="00D3172A" w:rsidR="00D3172A">
        <w:rPr>
          <w:rFonts w:ascii="Times New Roman" w:eastAsia="Calibri" w:hAnsi="Times New Roman" w:cs="Times New Roman"/>
          <w:sz w:val="24"/>
          <w:szCs w:val="24"/>
        </w:rPr>
        <w:t>.</w:t>
      </w:r>
      <w:bookmarkEnd w:id="4"/>
    </w:p>
    <w:p w:rsidR="00D3172A" w14:paraId="59362BE3" w14:textId="77777777">
      <w:pPr>
        <w:spacing w:after="0"/>
        <w:rPr>
          <w:rFonts w:ascii="Times New Roman" w:hAnsi="Times New Roman" w:cs="Times New Roman"/>
          <w:sz w:val="24"/>
          <w:szCs w:val="24"/>
        </w:rPr>
      </w:pPr>
    </w:p>
    <w:p w:rsidR="0066266D" w14:paraId="2186A3B9" w14:textId="77777777">
      <w:pPr>
        <w:pStyle w:val="ListParagraph"/>
        <w:numPr>
          <w:ilvl w:val="0"/>
          <w:numId w:val="1"/>
        </w:numPr>
        <w:spacing w:after="0"/>
        <w:ind w:left="360"/>
        <w:rPr>
          <w:rFonts w:ascii="Times New Roman" w:hAnsi="Times New Roman" w:cs="Times New Roman"/>
          <w:b/>
          <w:sz w:val="24"/>
          <w:szCs w:val="24"/>
        </w:rPr>
      </w:pPr>
      <w:r>
        <w:rPr>
          <w:rFonts w:ascii="Times New Roman" w:hAnsi="Times New Roman" w:cs="Times New Roman"/>
          <w:b/>
          <w:sz w:val="24"/>
          <w:szCs w:val="24"/>
        </w:rPr>
        <w:t>EXCEPTIONS TO THE CERTIFICATION STATEMENT</w:t>
      </w:r>
    </w:p>
    <w:p w:rsidR="0066266D" w14:paraId="4543A16F" w14:textId="77777777">
      <w:pPr>
        <w:spacing w:after="0"/>
        <w:rPr>
          <w:rFonts w:ascii="Times New Roman" w:hAnsi="Times New Roman" w:cs="Times New Roman"/>
          <w:b/>
          <w:sz w:val="24"/>
          <w:szCs w:val="24"/>
        </w:rPr>
      </w:pPr>
    </w:p>
    <w:p w:rsidR="0066266D" w14:paraId="4E950620" w14:textId="77777777">
      <w:pPr>
        <w:spacing w:after="0"/>
        <w:rPr>
          <w:rFonts w:ascii="Times New Roman" w:hAnsi="Times New Roman" w:cs="Times New Roman"/>
          <w:sz w:val="24"/>
          <w:szCs w:val="24"/>
        </w:rPr>
      </w:pPr>
      <w:r>
        <w:rPr>
          <w:rFonts w:ascii="Times New Roman" w:hAnsi="Times New Roman" w:cs="Times New Roman"/>
          <w:sz w:val="24"/>
          <w:szCs w:val="24"/>
        </w:rPr>
        <w:t>The data collected for the reporting requirements are not used for statistical purposes.</w:t>
      </w:r>
    </w:p>
    <w:sectPr>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66266D" w14:paraId="1E56C897"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6266D" w14:paraId="0259FB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2411" w14:paraId="594DD9F0" w14:textId="77777777">
      <w:pPr>
        <w:spacing w:after="0" w:line="240" w:lineRule="auto"/>
      </w:pPr>
      <w:r>
        <w:separator/>
      </w:r>
    </w:p>
  </w:footnote>
  <w:footnote w:type="continuationSeparator" w:id="1">
    <w:p w:rsidR="00F02411" w14:paraId="3B54B2FF" w14:textId="77777777">
      <w:pPr>
        <w:spacing w:after="0" w:line="240" w:lineRule="auto"/>
      </w:pPr>
      <w:r>
        <w:continuationSeparator/>
      </w:r>
    </w:p>
  </w:footnote>
  <w:footnote w:id="2">
    <w:p w:rsidR="0066266D" w:rsidRPr="00B40F24" w14:paraId="62631A5D" w14:textId="2AA11FB5">
      <w:pPr>
        <w:pStyle w:val="FootnoteText"/>
        <w:rPr>
          <w:sz w:val="24"/>
          <w:szCs w:val="24"/>
        </w:rPr>
      </w:pPr>
      <w:r w:rsidRPr="00B40F24">
        <w:rPr>
          <w:rStyle w:val="FootnoteReference"/>
          <w:sz w:val="24"/>
          <w:szCs w:val="24"/>
          <w:vertAlign w:val="superscript"/>
        </w:rPr>
        <w:footnoteRef/>
      </w:r>
      <w:r w:rsidRPr="00B40F24">
        <w:rPr>
          <w:sz w:val="24"/>
          <w:szCs w:val="24"/>
          <w:vertAlign w:val="superscript"/>
        </w:rPr>
        <w:t xml:space="preserve"> </w:t>
      </w:r>
      <w:r w:rsidRPr="00B40F24">
        <w:rPr>
          <w:sz w:val="24"/>
          <w:szCs w:val="24"/>
        </w:rPr>
        <w:t>This burden should be included in FERC-516 (OMB Control No. 1902-0096 (Electric Rate Schedules and Tariff Filings)). However, another unrelated item was pending OMB review under FERC-516 and only one item per OMB Control No. may be pending OMB review at a time.  [That ICR #</w:t>
      </w:r>
      <w:r w:rsidRPr="00B40F24" w:rsidR="006832D2">
        <w:rPr>
          <w:rFonts w:ascii="Arial" w:hAnsi="Arial" w:eastAsiaTheme="minorHAnsi" w:cs="Arial"/>
          <w:color w:val="000000"/>
          <w:sz w:val="24"/>
          <w:szCs w:val="24"/>
          <w:shd w:val="clear" w:color="auto" w:fill="FFFFFF"/>
        </w:rPr>
        <w:t xml:space="preserve"> </w:t>
      </w:r>
      <w:r w:rsidRPr="00B40F24" w:rsidR="006832D2">
        <w:rPr>
          <w:sz w:val="24"/>
          <w:szCs w:val="24"/>
        </w:rPr>
        <w:t>202403-1902-007</w:t>
      </w:r>
      <w:r w:rsidRPr="00B40F24">
        <w:rPr>
          <w:sz w:val="24"/>
          <w:szCs w:val="24"/>
        </w:rPr>
        <w:t>]  Therefore</w:t>
      </w:r>
      <w:r w:rsidRPr="00B40F24">
        <w:rPr>
          <w:sz w:val="24"/>
          <w:szCs w:val="24"/>
        </w:rPr>
        <w:t xml:space="preserve">, to ensure timely submittal to OMB of this package related to the </w:t>
      </w:r>
      <w:r w:rsidRPr="00B40F24" w:rsidR="006832D2">
        <w:rPr>
          <w:sz w:val="24"/>
          <w:szCs w:val="24"/>
        </w:rPr>
        <w:t xml:space="preserve">NOPR </w:t>
      </w:r>
      <w:r w:rsidRPr="00B40F24">
        <w:rPr>
          <w:sz w:val="24"/>
          <w:szCs w:val="24"/>
        </w:rPr>
        <w:t>in RM05-5-</w:t>
      </w:r>
      <w:r w:rsidRPr="00B40F24" w:rsidR="006832D2">
        <w:rPr>
          <w:sz w:val="24"/>
          <w:szCs w:val="24"/>
        </w:rPr>
        <w:t>031</w:t>
      </w:r>
      <w:r w:rsidRPr="00B40F24">
        <w:rPr>
          <w:sz w:val="24"/>
          <w:szCs w:val="24"/>
        </w:rPr>
        <w:t>, Commission staff is using FERC-516E (OMB Control No. 1902-0290), a temporary “placeholder” information collection number.</w:t>
      </w:r>
    </w:p>
  </w:footnote>
  <w:footnote w:id="3">
    <w:p w:rsidR="00861715" w:rsidRPr="00B17682" w:rsidP="00861715" w14:paraId="62A95316" w14:textId="77777777">
      <w:pPr>
        <w:pStyle w:val="FootnoteText"/>
        <w:rPr>
          <w:sz w:val="24"/>
          <w:szCs w:val="24"/>
        </w:rPr>
      </w:pPr>
      <w:r w:rsidRPr="00B17682">
        <w:rPr>
          <w:rStyle w:val="FootnoteReference"/>
          <w:sz w:val="24"/>
          <w:szCs w:val="24"/>
          <w:vertAlign w:val="superscript"/>
        </w:rPr>
        <w:footnoteRef/>
      </w:r>
      <w:r w:rsidRPr="00B17682">
        <w:rPr>
          <w:sz w:val="24"/>
          <w:szCs w:val="24"/>
        </w:rPr>
        <w:t xml:space="preserve"> </w:t>
      </w:r>
      <w:r>
        <w:rPr>
          <w:sz w:val="24"/>
          <w:szCs w:val="24"/>
        </w:rPr>
        <w:t xml:space="preserve">NAESB is an American National Standards Institute-accredited, non-profit standards development organization formed for the purpose of developing voluntary standards and model business practices that promote more competitive and efficient natural gas and electric markets. </w:t>
      </w:r>
    </w:p>
  </w:footnote>
  <w:footnote w:id="4">
    <w:p w:rsidR="002945B2" w:rsidRPr="00B40F24" w:rsidP="002945B2" w14:paraId="73831F84" w14:textId="4E3D6462">
      <w:pPr>
        <w:pStyle w:val="FootnoteText"/>
        <w:rPr>
          <w:sz w:val="24"/>
          <w:szCs w:val="24"/>
        </w:rPr>
      </w:pPr>
      <w:r w:rsidRPr="00B40F24">
        <w:rPr>
          <w:rStyle w:val="FootnoteReference"/>
          <w:sz w:val="24"/>
          <w:szCs w:val="24"/>
          <w:vertAlign w:val="superscript"/>
        </w:rPr>
        <w:footnoteRef/>
      </w:r>
      <w:r w:rsidRPr="00B40F24">
        <w:rPr>
          <w:sz w:val="24"/>
          <w:szCs w:val="24"/>
        </w:rPr>
        <w:t xml:space="preserve"> 16 U.S.C. 824d(a)</w:t>
      </w:r>
      <w:r w:rsidR="00861715">
        <w:rPr>
          <w:sz w:val="24"/>
          <w:szCs w:val="24"/>
        </w:rPr>
        <w:t>.</w:t>
      </w:r>
    </w:p>
  </w:footnote>
  <w:footnote w:id="5">
    <w:p w:rsidR="00861715" w:rsidRPr="00B17682" w:rsidP="00861715" w14:paraId="1B092375" w14:textId="6055A83A">
      <w:pPr>
        <w:pStyle w:val="FootnoteText"/>
        <w:rPr>
          <w:sz w:val="24"/>
          <w:szCs w:val="24"/>
        </w:rPr>
      </w:pPr>
      <w:r w:rsidRPr="00B17682">
        <w:rPr>
          <w:rStyle w:val="FootnoteReference"/>
          <w:sz w:val="24"/>
          <w:szCs w:val="24"/>
          <w:vertAlign w:val="superscript"/>
        </w:rPr>
        <w:footnoteRef/>
      </w:r>
      <w:r w:rsidRPr="00B17682">
        <w:rPr>
          <w:sz w:val="24"/>
          <w:szCs w:val="24"/>
        </w:rPr>
        <w:t xml:space="preserve"> </w:t>
      </w:r>
      <w:r w:rsidRPr="00861715">
        <w:rPr>
          <w:i/>
          <w:iCs/>
          <w:sz w:val="24"/>
          <w:szCs w:val="24"/>
        </w:rPr>
        <w:t>See</w:t>
      </w:r>
      <w:r w:rsidRPr="00861715">
        <w:rPr>
          <w:sz w:val="24"/>
          <w:szCs w:val="24"/>
        </w:rPr>
        <w:t xml:space="preserve"> Docket No. RM-05-031, NAESB WEQ Business Practice Standards Version 004 Report (July 31, 2023).</w:t>
      </w:r>
    </w:p>
  </w:footnote>
  <w:footnote w:id="6">
    <w:p w:rsidR="0066266D" w:rsidRPr="00B40F24" w14:paraId="08B98F13" w14:textId="24F75412">
      <w:pPr>
        <w:pStyle w:val="FootnoteText"/>
        <w:rPr>
          <w:sz w:val="24"/>
          <w:szCs w:val="24"/>
        </w:rPr>
      </w:pPr>
      <w:r w:rsidRPr="00B40F24">
        <w:rPr>
          <w:rStyle w:val="FootnoteReference"/>
          <w:sz w:val="24"/>
          <w:szCs w:val="24"/>
          <w:vertAlign w:val="superscript"/>
        </w:rPr>
        <w:footnoteRef/>
      </w:r>
      <w:r w:rsidRPr="00B40F24">
        <w:rPr>
          <w:sz w:val="24"/>
          <w:szCs w:val="24"/>
        </w:rPr>
        <w:t xml:space="preserve"> This figure constitutes </w:t>
      </w:r>
      <w:r w:rsidR="00471305">
        <w:rPr>
          <w:sz w:val="24"/>
          <w:szCs w:val="24"/>
        </w:rPr>
        <w:t>11</w:t>
      </w:r>
      <w:r w:rsidRPr="00B40F24">
        <w:rPr>
          <w:sz w:val="24"/>
          <w:szCs w:val="24"/>
        </w:rPr>
        <w:t xml:space="preserve">% of the </w:t>
      </w:r>
      <w:r w:rsidR="00471305">
        <w:rPr>
          <w:sz w:val="24"/>
          <w:szCs w:val="24"/>
        </w:rPr>
        <w:t>216</w:t>
      </w:r>
      <w:r w:rsidRPr="00B40F24">
        <w:rPr>
          <w:sz w:val="24"/>
          <w:szCs w:val="24"/>
        </w:rPr>
        <w:t xml:space="preserve"> affected </w:t>
      </w:r>
      <w:r w:rsidRPr="00B40F24">
        <w:rPr>
          <w:sz w:val="24"/>
          <w:szCs w:val="24"/>
        </w:rPr>
        <w:t>entities</w:t>
      </w:r>
    </w:p>
  </w:footnote>
  <w:footnote w:id="7">
    <w:p w:rsidR="0066266D" w:rsidRPr="00B40F24" w14:paraId="15ABAE2E" w14:textId="583F195D">
      <w:pPr>
        <w:pStyle w:val="FootnoteText"/>
        <w:rPr>
          <w:sz w:val="24"/>
          <w:szCs w:val="24"/>
        </w:rPr>
      </w:pPr>
      <w:r w:rsidRPr="00B40F24">
        <w:rPr>
          <w:rStyle w:val="FootnoteReference"/>
          <w:sz w:val="24"/>
          <w:szCs w:val="24"/>
          <w:vertAlign w:val="superscript"/>
        </w:rPr>
        <w:footnoteRef/>
      </w:r>
      <w:r w:rsidRPr="00B40F24">
        <w:rPr>
          <w:sz w:val="24"/>
          <w:szCs w:val="24"/>
          <w:vertAlign w:val="superscript"/>
        </w:rPr>
        <w:t xml:space="preserve"> </w:t>
      </w:r>
      <w:r w:rsidRPr="00B40F24">
        <w:rPr>
          <w:sz w:val="24"/>
          <w:szCs w:val="24"/>
        </w:rPr>
        <w:t>The Commission staff estimates that industry is similarly situated in terms of hourly cost (for wages plus benefits).  Based on the Commission’s Fiscal Year (FY) 20</w:t>
      </w:r>
      <w:r w:rsidR="00B40F24">
        <w:rPr>
          <w:sz w:val="24"/>
          <w:szCs w:val="24"/>
        </w:rPr>
        <w:t>23</w:t>
      </w:r>
      <w:r w:rsidRPr="00B40F24">
        <w:rPr>
          <w:sz w:val="24"/>
          <w:szCs w:val="24"/>
        </w:rPr>
        <w:t xml:space="preserve"> average cost of $</w:t>
      </w:r>
      <w:r w:rsidR="00B40F24">
        <w:rPr>
          <w:sz w:val="24"/>
          <w:szCs w:val="24"/>
        </w:rPr>
        <w:t>20</w:t>
      </w:r>
      <w:r w:rsidRPr="00B40F24">
        <w:rPr>
          <w:sz w:val="24"/>
          <w:szCs w:val="24"/>
        </w:rPr>
        <w:t>7,</w:t>
      </w:r>
      <w:r w:rsidR="00B40F24">
        <w:rPr>
          <w:sz w:val="24"/>
          <w:szCs w:val="24"/>
        </w:rPr>
        <w:t>787</w:t>
      </w:r>
      <w:r w:rsidRPr="00B40F24">
        <w:rPr>
          <w:sz w:val="24"/>
          <w:szCs w:val="24"/>
        </w:rPr>
        <w:t>/year (for wages plus benefits, for one full-time employee), $</w:t>
      </w:r>
      <w:r w:rsidR="00B40F24">
        <w:rPr>
          <w:sz w:val="24"/>
          <w:szCs w:val="24"/>
        </w:rPr>
        <w:t>10</w:t>
      </w:r>
      <w:r w:rsidRPr="00B40F24">
        <w:rPr>
          <w:sz w:val="24"/>
          <w:szCs w:val="24"/>
        </w:rPr>
        <w:t>0.00/hour is used.</w:t>
      </w:r>
    </w:p>
  </w:footnote>
  <w:footnote w:id="8">
    <w:p w:rsidR="000627CC" w:rsidRPr="00896136" w:rsidP="000627CC" w14:paraId="27CE932A" w14:textId="77777777">
      <w:pPr>
        <w:pStyle w:val="FootnoteText"/>
        <w:rPr>
          <w:sz w:val="24"/>
          <w:szCs w:val="24"/>
        </w:rPr>
      </w:pPr>
      <w:r w:rsidRPr="00896136">
        <w:rPr>
          <w:rStyle w:val="FootnoteReference"/>
          <w:sz w:val="24"/>
          <w:szCs w:val="24"/>
          <w:vertAlign w:val="superscript"/>
        </w:rPr>
        <w:footnoteRef/>
      </w:r>
      <w:r w:rsidRPr="00896136">
        <w:rPr>
          <w:sz w:val="24"/>
          <w:szCs w:val="24"/>
          <w:vertAlign w:val="superscript"/>
        </w:rPr>
        <w:t xml:space="preserve"> </w:t>
      </w:r>
      <w:r w:rsidRPr="00896136">
        <w:rPr>
          <w:sz w:val="24"/>
          <w:szCs w:val="24"/>
        </w:rPr>
        <w:t>The “Estimated Annual Federal Cost”</w:t>
      </w:r>
      <w:bookmarkStart w:id="2" w:name="_Hlk53772401"/>
      <w:r w:rsidRPr="00896136">
        <w:rPr>
          <w:sz w:val="24"/>
          <w:szCs w:val="24"/>
        </w:rPr>
        <w:t xml:space="preserve"> The FERC 2024 average salary plus benefits for one FERC full-time equivalent (FTE) is $207,787/year (or $100/hour)</w:t>
      </w:r>
      <w:bookmarkEnd w:id="2"/>
      <w:r w:rsidRPr="00896136">
        <w:rPr>
          <w:sz w:val="24"/>
          <w:szCs w:val="24"/>
        </w:rPr>
        <w:t>.</w:t>
      </w:r>
    </w:p>
    <w:p w:rsidR="0066266D" w14:paraId="18B6154F" w14:textId="3AF07F8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6D" w14:paraId="2FDD8067" w14:textId="77777777">
    <w:pPr>
      <w:pStyle w:val="Header"/>
      <w:rPr>
        <w:rFonts w:ascii="Times New Roman" w:hAnsi="Times New Roman" w:cs="Times New Roman"/>
        <w:sz w:val="24"/>
        <w:szCs w:val="24"/>
      </w:rPr>
    </w:pPr>
    <w:r>
      <w:rPr>
        <w:rFonts w:ascii="Times New Roman" w:hAnsi="Times New Roman" w:cs="Times New Roman"/>
        <w:sz w:val="24"/>
        <w:szCs w:val="24"/>
      </w:rPr>
      <w:t>OMB Control Nos. 1902-0290 (FERC-516E); 1902-0173 (FERC-717)</w:t>
    </w:r>
  </w:p>
  <w:p w:rsidR="0066266D" w14:paraId="5F93C5CF" w14:textId="1B7DE74B">
    <w:pPr>
      <w:pStyle w:val="Header"/>
      <w:rPr>
        <w:rFonts w:ascii="Times New Roman" w:hAnsi="Times New Roman" w:cs="Times New Roman"/>
        <w:sz w:val="24"/>
        <w:szCs w:val="24"/>
      </w:rPr>
    </w:pPr>
    <w:r>
      <w:rPr>
        <w:rFonts w:ascii="Times New Roman" w:hAnsi="Times New Roman" w:cs="Times New Roman"/>
        <w:sz w:val="24"/>
        <w:szCs w:val="24"/>
      </w:rPr>
      <w:t>Docket Nos. RM</w:t>
    </w:r>
    <w:r w:rsidR="00DD281E">
      <w:rPr>
        <w:rFonts w:ascii="Times New Roman" w:hAnsi="Times New Roman" w:cs="Times New Roman"/>
        <w:sz w:val="24"/>
        <w:szCs w:val="24"/>
      </w:rPr>
      <w:t>0</w:t>
    </w:r>
    <w:r>
      <w:rPr>
        <w:rFonts w:ascii="Times New Roman" w:hAnsi="Times New Roman" w:cs="Times New Roman"/>
        <w:sz w:val="24"/>
        <w:szCs w:val="24"/>
      </w:rPr>
      <w:t>5-5-0</w:t>
    </w:r>
    <w:r w:rsidR="00AB2790">
      <w:rPr>
        <w:rFonts w:ascii="Times New Roman" w:hAnsi="Times New Roman" w:cs="Times New Roman"/>
        <w:sz w:val="24"/>
        <w:szCs w:val="24"/>
      </w:rPr>
      <w:t>31</w:t>
    </w:r>
  </w:p>
  <w:p w:rsidR="000818F2" w14:paraId="19FAF728" w14:textId="416D006C">
    <w:pPr>
      <w:pStyle w:val="Header"/>
      <w:rPr>
        <w:rFonts w:ascii="Times New Roman" w:hAnsi="Times New Roman" w:cs="Times New Roman"/>
        <w:sz w:val="24"/>
        <w:szCs w:val="24"/>
      </w:rPr>
    </w:pPr>
    <w:r>
      <w:rPr>
        <w:rFonts w:ascii="Times New Roman" w:hAnsi="Times New Roman" w:cs="Times New Roman"/>
        <w:sz w:val="24"/>
        <w:szCs w:val="24"/>
      </w:rPr>
      <w:t>RIN: 1902-AF65</w:t>
    </w:r>
  </w:p>
  <w:p w:rsidR="0066266D" w14:paraId="1E0A44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07D51"/>
    <w:multiLevelType w:val="hybridMultilevel"/>
    <w:tmpl w:val="B5503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2031692"/>
    <w:multiLevelType w:val="hybridMultilevel"/>
    <w:tmpl w:val="437E9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D3B09D3"/>
    <w:multiLevelType w:val="hybridMultilevel"/>
    <w:tmpl w:val="CBA4F348"/>
    <w:lvl w:ilvl="0">
      <w:start w:val="1"/>
      <w:numFmt w:val="decimal"/>
      <w:lvlText w:val="%1."/>
      <w:lvlJc w:val="left"/>
      <w:pPr>
        <w:tabs>
          <w:tab w:val="num" w:pos="900"/>
        </w:tabs>
        <w:ind w:left="18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E4E4DD3"/>
    <w:multiLevelType w:val="hybridMultilevel"/>
    <w:tmpl w:val="7A9C585E"/>
    <w:lvl w:ilvl="0">
      <w:start w:val="1"/>
      <w:numFmt w:val="decimal"/>
      <w:pStyle w:val="FERCparanumber"/>
      <w:lvlText w:val="%1."/>
      <w:lvlJc w:val="left"/>
      <w:pPr>
        <w:tabs>
          <w:tab w:val="num" w:pos="720"/>
        </w:tabs>
        <w:ind w:left="0" w:firstLine="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8061051">
    <w:abstractNumId w:val="2"/>
  </w:num>
  <w:num w:numId="2" w16cid:durableId="1380126379">
    <w:abstractNumId w:val="1"/>
  </w:num>
  <w:num w:numId="3" w16cid:durableId="1601332038">
    <w:abstractNumId w:val="4"/>
  </w:num>
  <w:num w:numId="4" w16cid:durableId="649288872">
    <w:abstractNumId w:val="5"/>
  </w:num>
  <w:num w:numId="5" w16cid:durableId="1374034518">
    <w:abstractNumId w:val="7"/>
  </w:num>
  <w:num w:numId="6" w16cid:durableId="646008598">
    <w:abstractNumId w:val="0"/>
  </w:num>
  <w:num w:numId="7" w16cid:durableId="179273278">
    <w:abstractNumId w:val="6"/>
  </w:num>
  <w:num w:numId="8" w16cid:durableId="752514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revisionView w:comments="1" w:formatting="1" w:inkAnnotations="1" w:insDel="1" w:markup="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6D"/>
    <w:rsid w:val="000627CC"/>
    <w:rsid w:val="000818F2"/>
    <w:rsid w:val="00097EEC"/>
    <w:rsid w:val="0015255B"/>
    <w:rsid w:val="00186D0A"/>
    <w:rsid w:val="002945B2"/>
    <w:rsid w:val="002A315E"/>
    <w:rsid w:val="002A4CC9"/>
    <w:rsid w:val="002C1ED0"/>
    <w:rsid w:val="003257EE"/>
    <w:rsid w:val="00471305"/>
    <w:rsid w:val="004E6849"/>
    <w:rsid w:val="00573D74"/>
    <w:rsid w:val="00592F54"/>
    <w:rsid w:val="005E17FC"/>
    <w:rsid w:val="006268C2"/>
    <w:rsid w:val="0064218D"/>
    <w:rsid w:val="0066266D"/>
    <w:rsid w:val="006832D2"/>
    <w:rsid w:val="006F68F6"/>
    <w:rsid w:val="00721E14"/>
    <w:rsid w:val="00791A25"/>
    <w:rsid w:val="007B2265"/>
    <w:rsid w:val="007D3226"/>
    <w:rsid w:val="00801FE1"/>
    <w:rsid w:val="00821163"/>
    <w:rsid w:val="00861715"/>
    <w:rsid w:val="0087290D"/>
    <w:rsid w:val="00896136"/>
    <w:rsid w:val="008A21FF"/>
    <w:rsid w:val="008E4B12"/>
    <w:rsid w:val="009069AC"/>
    <w:rsid w:val="009C14FC"/>
    <w:rsid w:val="00AB2790"/>
    <w:rsid w:val="00B17682"/>
    <w:rsid w:val="00B40F24"/>
    <w:rsid w:val="00C21A6C"/>
    <w:rsid w:val="00C45F05"/>
    <w:rsid w:val="00D3172A"/>
    <w:rsid w:val="00DD281E"/>
    <w:rsid w:val="00E2198A"/>
    <w:rsid w:val="00E27692"/>
    <w:rsid w:val="00F02411"/>
    <w:rsid w:val="00F60BA2"/>
    <w:rsid w:val="00F846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B89CFA"/>
  <w15:docId w15:val="{D8C05ED1-693A-4EF1-BDB8-C5FAB0052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ListContinue">
    <w:name w:val="List Continue"/>
    <w:basedOn w:val="Normal"/>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1,Footnote Text Char1 Char Char1,Footnote Text Char1 Char2,Footnote Text Char3 Char,Footnote Text MRP Char,fn1 Char"/>
    <w:basedOn w:val="DefaultParagraphFont"/>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3 Char,ft Char"/>
    <w:link w:val="FootnoteText"/>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000FF" w:themeColor="hyperlink"/>
      <w:u w:val="single"/>
    </w:rPr>
  </w:style>
  <w:style w:type="paragraph" w:customStyle="1" w:styleId="FERCparanumber">
    <w:name w:val="FERC paranumber"/>
    <w:basedOn w:val="Normal"/>
    <w:link w:val="FERCparanumberChar"/>
    <w:qFormat/>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rPr>
      <w:rFonts w:ascii="Times New Roman" w:eastAsia="Times New Roman" w:hAnsi="Times New Roman" w:cs="Times New Roman"/>
      <w:sz w:val="26"/>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sid w:val="00D3172A"/>
    <w:rPr>
      <w:color w:val="800080" w:themeColor="followedHyperlink"/>
      <w:u w:val="single"/>
    </w:rPr>
  </w:style>
  <w:style w:type="character" w:styleId="UnresolvedMention">
    <w:name w:val="Unresolved Mention"/>
    <w:basedOn w:val="DefaultParagraphFont"/>
    <w:uiPriority w:val="99"/>
    <w:semiHidden/>
    <w:unhideWhenUsed/>
    <w:rsid w:val="00D3172A"/>
    <w:rPr>
      <w:color w:val="605E5C"/>
      <w:shd w:val="clear" w:color="auto" w:fill="E1DFDD"/>
    </w:rPr>
  </w:style>
  <w:style w:type="paragraph" w:styleId="Revision">
    <w:name w:val="Revision"/>
    <w:hidden/>
    <w:uiPriority w:val="99"/>
    <w:semiHidden/>
    <w:rsid w:val="008617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reginfo.gov/public/do/PRAMain"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p:properties xmlns:p="http://schemas.microsoft.com/office/2006/metadata/properties" xmlns:xsi="http://www.w3.org/2001/XMLSchema-instance">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RM05-5-027</_x0033__x002e__x0020_Docket_x0020_Number>
    <_x0031__x002e__x0020_Collection_x0020_Number xmlns="d6eefc7d-9817-4fa6-84d5-3bc009be21b8">516E</_x0031__x002e__x0020_Collection_x0020_Number>
    <Date xmlns="d6eefc7d-9817-4fa6-84d5-3bc009be21b8">2020-04-09T04:00:00+00:00</Date>
    <Status xmlns="d6eefc7d-9817-4fa6-84d5-3bc009be21b8">Draft</Status>
    <_x0032__x002e__x0020_Docket_x0020_Number xmlns="d6eefc7d-9817-4fa6-84d5-3bc009be21b8">RM05-5-026</_x0032__x002e__x0020_Docket_x0020_Number>
    <_x0032__x002e__x0020_Collection_x0020_Number xmlns="d6eefc7d-9817-4fa6-84d5-3bc009be21b8">717</_x0032__x002e__x0020_Collection_x0020_Number>
    <_x0031__x002e__x0020_Docket_x0020_Number xmlns="d6eefc7d-9817-4fa6-84d5-3bc009be21b8">RM05-5-025</_x0031__x002e__x0020_Docket_x0020_Number>
    <_x0033__x002e__x0020_Collection_x0020_Number xmlns="d6eefc7d-9817-4fa6-84d5-3bc009be21b8" xsi:nil="true"/>
  </documentManagement>
</p:properti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6C89F-86AA-4501-9A02-40377FAAC63D}">
  <ds:schemaRefs>
    <ds:schemaRef ds:uri="http://schemas.openxmlformats.org/officeDocument/2006/bibliography"/>
  </ds:schemaRefs>
</ds:datastoreItem>
</file>

<file path=customXml/itemProps2.xml><?xml version="1.0" encoding="utf-8"?>
<ds:datastoreItem xmlns:ds="http://schemas.openxmlformats.org/officeDocument/2006/customXml" ds:itemID="{10A0ED63-43F5-4889-B442-BC8E7A62E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3B87F-FA81-4E3D-A718-49FB12EB3DA4}">
  <ds:schemaRefs>
    <ds:schemaRef ds:uri="Microsoft.SharePoint.Taxonomy.ContentTypeSync"/>
  </ds:schemaRefs>
</ds:datastoreItem>
</file>

<file path=customXml/itemProps4.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5.xml><?xml version="1.0" encoding="utf-8"?>
<ds:datastoreItem xmlns:ds="http://schemas.openxmlformats.org/officeDocument/2006/customXml" ds:itemID="{EA5D9ED3-2A2B-427D-A0DE-81E1956348E7}">
  <ds:schemaRefs>
    <ds:schemaRef ds:uri="http://schemas.microsoft.com/office/2006/metadata/customXsn"/>
  </ds:schemaRefs>
</ds:datastoreItem>
</file>

<file path=customXml/itemProps6.xml><?xml version="1.0" encoding="utf-8"?>
<ds:datastoreItem xmlns:ds="http://schemas.openxmlformats.org/officeDocument/2006/customXml" ds:itemID="{D9C6C5CF-3CE0-47E8-B44B-CB4D7C85D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RM05-5-025, -026, -027 final rule Supporting Statement</vt:lpstr>
    </vt:vector>
  </TitlesOfParts>
  <Company>FERC</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RM05-5-025, -026, -027 final rule Supporting Statement</dc:title>
  <dc:creator>ferc</dc:creator>
  <cp:lastModifiedBy>Kayla Williams</cp:lastModifiedBy>
  <cp:revision>3</cp:revision>
  <dcterms:created xsi:type="dcterms:W3CDTF">2024-05-15T11:48:00Z</dcterms:created>
  <dcterms:modified xsi:type="dcterms:W3CDTF">2024-05-15T11:52:00Z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ActionId">
    <vt:lpwstr>ab97ac6c-325d-45b9-baba-60dd9acd36cb</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2024-03-27T13:17:19Z</vt:lpwstr>
  </property>
  <property fmtid="{D5CDD505-2E9C-101B-9397-08002B2CF9AE}" pid="9" name="MSIP_Label_6155a89b-0f08-4a93-8ea2-8a916d6643b5_SiteId">
    <vt:lpwstr>19caa9e9-04ff-43fa-885f-d77fac387903</vt:lpwstr>
  </property>
</Properties>
</file>