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D495256" w:rsidP="5D495256" w14:paraId="5F547980" w14:textId="6B0E164D">
      <w:pPr>
        <w:pStyle w:val="Title"/>
      </w:pPr>
    </w:p>
    <w:p w:rsidR="00E31F81" w:rsidRPr="000F731C" w:rsidP="000F731C" w14:paraId="470E2C4A" w14:textId="09A8F218">
      <w:pPr>
        <w:pStyle w:val="Title"/>
      </w:pPr>
      <w:r w:rsidRPr="000F731C">
        <w:t>Supporting Statement for an Information Collection Request (ICR)</w:t>
      </w:r>
      <w:r w:rsidRPr="000F731C">
        <w:br/>
        <w:t>Under the Paperwork Reduction Act (PRA)</w:t>
      </w:r>
    </w:p>
    <w:p w:rsidR="00EC4305" w:rsidRPr="00B41A83" w:rsidP="00E31F81" w14:paraId="00E362B2" w14:textId="0253A952">
      <w:pPr>
        <w:pStyle w:val="Heading1"/>
      </w:pPr>
      <w:r w:rsidRPr="00B41A83">
        <w:t>EXECUTIVE SUMMARY</w:t>
      </w:r>
    </w:p>
    <w:p w:rsidR="00EC4305" w:rsidRPr="00B95D15" w:rsidP="00041E4F" w14:paraId="27A4326D" w14:textId="0AE7FD0C">
      <w:pPr>
        <w:pStyle w:val="Heading2"/>
        <w:rPr>
          <w:i w:val="0"/>
          <w:iCs w:val="0"/>
        </w:rPr>
      </w:pPr>
      <w:r w:rsidRPr="00B95D15">
        <w:rPr>
          <w:i w:val="0"/>
          <w:iCs w:val="0"/>
        </w:rPr>
        <w:t>Identification of the Information Collection – Title and Numbers</w:t>
      </w:r>
    </w:p>
    <w:tbl>
      <w:tblPr>
        <w:tblStyle w:val="TableGrid"/>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52"/>
        <w:gridCol w:w="7670"/>
      </w:tblGrid>
      <w:tr w14:paraId="30B5D305" w14:textId="77777777" w:rsidTr="0050366F">
        <w:tblPrEx>
          <w:tblW w:w="5021" w:type="pct"/>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8"/>
        </w:trPr>
        <w:tc>
          <w:tcPr>
            <w:tcW w:w="2277" w:type="dxa"/>
          </w:tcPr>
          <w:p w:rsidR="00305CF1" w:rsidRPr="000F731C" w:rsidP="000F731C" w14:paraId="5274BDC4" w14:textId="77777777">
            <w:pPr>
              <w:rPr>
                <w:b/>
                <w:bCs/>
              </w:rPr>
            </w:pPr>
            <w:r w:rsidRPr="000F731C">
              <w:rPr>
                <w:b/>
                <w:bCs/>
              </w:rPr>
              <w:t>Title:</w:t>
            </w:r>
          </w:p>
        </w:tc>
        <w:tc>
          <w:tcPr>
            <w:tcW w:w="7122" w:type="dxa"/>
          </w:tcPr>
          <w:p w:rsidR="00305CF1" w:rsidRPr="00305CF1" w:rsidP="00305CF1" w14:paraId="63A0F3CC" w14:textId="1435861A">
            <w:r w:rsidRPr="24BC61ED">
              <w:rPr>
                <w:lang w:bidi="en-US"/>
              </w:rPr>
              <w:t>TSCA Section 8(a)(7) Reporting and Recordkeeping Requirements for Perfluoroalkyl and Polyfluoroalkyl Substances</w:t>
            </w:r>
            <w:r w:rsidRPr="24BC61ED">
              <w:rPr>
                <w:rFonts w:eastAsia="Times New Roman" w:cs="Times New Roman"/>
              </w:rPr>
              <w:t xml:space="preserve">; </w:t>
            </w:r>
            <w:r w:rsidR="00370771">
              <w:rPr>
                <w:rFonts w:eastAsia="Times New Roman" w:cs="Times New Roman"/>
              </w:rPr>
              <w:t>Final</w:t>
            </w:r>
            <w:r w:rsidRPr="24BC61ED">
              <w:rPr>
                <w:rFonts w:eastAsia="Times New Roman" w:cs="Times New Roman"/>
              </w:rPr>
              <w:t xml:space="preserve"> Rule</w:t>
            </w:r>
          </w:p>
        </w:tc>
      </w:tr>
      <w:tr w14:paraId="2366A922" w14:textId="77777777" w:rsidTr="0050366F">
        <w:tblPrEx>
          <w:tblW w:w="5021" w:type="pct"/>
          <w:tblInd w:w="252" w:type="dxa"/>
          <w:tblLook w:val="04A0"/>
        </w:tblPrEx>
        <w:trPr>
          <w:trHeight w:val="514"/>
        </w:trPr>
        <w:tc>
          <w:tcPr>
            <w:tcW w:w="2277" w:type="dxa"/>
          </w:tcPr>
          <w:p w:rsidR="00305CF1" w:rsidRPr="00E6036A" w:rsidP="00E6036A" w14:paraId="4A6D2E99" w14:textId="77777777">
            <w:pPr>
              <w:rPr>
                <w:b/>
                <w:bCs/>
              </w:rPr>
            </w:pPr>
            <w:r w:rsidRPr="00E6036A">
              <w:rPr>
                <w:b/>
                <w:bCs/>
              </w:rPr>
              <w:t>EPA ICR No.:</w:t>
            </w:r>
          </w:p>
        </w:tc>
        <w:tc>
          <w:tcPr>
            <w:tcW w:w="7122" w:type="dxa"/>
          </w:tcPr>
          <w:p w:rsidR="00305CF1" w:rsidRPr="00305CF1" w:rsidP="00305CF1" w14:paraId="59A17DDF" w14:textId="60F01E28">
            <w:r>
              <w:t>268</w:t>
            </w:r>
            <w:r w:rsidR="00C36B45">
              <w:t>2</w:t>
            </w:r>
            <w:r>
              <w:t>.0</w:t>
            </w:r>
            <w:r w:rsidR="00480D81">
              <w:t>2</w:t>
            </w:r>
          </w:p>
        </w:tc>
      </w:tr>
      <w:tr w14:paraId="71E73415" w14:textId="77777777" w:rsidTr="0050366F">
        <w:tblPrEx>
          <w:tblW w:w="5021" w:type="pct"/>
          <w:tblInd w:w="252" w:type="dxa"/>
          <w:tblLook w:val="04A0"/>
        </w:tblPrEx>
        <w:trPr>
          <w:trHeight w:val="514"/>
        </w:trPr>
        <w:tc>
          <w:tcPr>
            <w:tcW w:w="2277" w:type="dxa"/>
          </w:tcPr>
          <w:p w:rsidR="00305CF1" w:rsidRPr="002A523B" w:rsidP="000F731C" w14:paraId="34733E04" w14:textId="77777777">
            <w:pPr>
              <w:rPr>
                <w:b/>
                <w:bCs/>
              </w:rPr>
            </w:pPr>
            <w:r w:rsidRPr="002A523B">
              <w:rPr>
                <w:b/>
                <w:bCs/>
              </w:rPr>
              <w:t>OMB Control No.:</w:t>
            </w:r>
          </w:p>
        </w:tc>
        <w:tc>
          <w:tcPr>
            <w:tcW w:w="7122" w:type="dxa"/>
          </w:tcPr>
          <w:p w:rsidR="00305CF1" w:rsidRPr="00305CF1" w:rsidP="00305CF1" w14:paraId="441EEFED" w14:textId="01146CA3">
            <w:r w:rsidRPr="00305CF1">
              <w:t>2070-</w:t>
            </w:r>
            <w:r w:rsidR="00092804">
              <w:t>0217</w:t>
            </w:r>
          </w:p>
        </w:tc>
      </w:tr>
      <w:tr w14:paraId="4E41D8CE" w14:textId="77777777" w:rsidTr="0050366F">
        <w:tblPrEx>
          <w:tblW w:w="5021" w:type="pct"/>
          <w:tblInd w:w="252" w:type="dxa"/>
          <w:tblLook w:val="04A0"/>
        </w:tblPrEx>
        <w:trPr>
          <w:trHeight w:val="606"/>
        </w:trPr>
        <w:tc>
          <w:tcPr>
            <w:tcW w:w="2277" w:type="dxa"/>
          </w:tcPr>
          <w:p w:rsidR="00305CF1" w:rsidRPr="000F731C" w:rsidP="000F731C" w14:paraId="4DC5F36D" w14:textId="77777777">
            <w:pPr>
              <w:rPr>
                <w:b/>
                <w:bCs/>
              </w:rPr>
            </w:pPr>
            <w:r w:rsidRPr="000F731C">
              <w:rPr>
                <w:b/>
                <w:bCs/>
              </w:rPr>
              <w:t>Docket ID No.:</w:t>
            </w:r>
          </w:p>
        </w:tc>
        <w:tc>
          <w:tcPr>
            <w:tcW w:w="7122" w:type="dxa"/>
          </w:tcPr>
          <w:p w:rsidR="00305CF1" w:rsidRPr="00305CF1" w:rsidP="00305CF1" w14:paraId="3E1888B8" w14:textId="5BD0D39F">
            <w:r w:rsidRPr="00305CF1">
              <w:t>EPA-HQ-OPP</w:t>
            </w:r>
            <w:r w:rsidR="0076282D">
              <w:t>T</w:t>
            </w:r>
            <w:r w:rsidRPr="00305CF1">
              <w:t>-20</w:t>
            </w:r>
            <w:r w:rsidR="0028625D">
              <w:t>20</w:t>
            </w:r>
            <w:r w:rsidRPr="00305CF1">
              <w:t>-</w:t>
            </w:r>
            <w:r w:rsidR="00BC0077">
              <w:t>0</w:t>
            </w:r>
            <w:r w:rsidR="0028625D">
              <w:t>549</w:t>
            </w:r>
          </w:p>
        </w:tc>
      </w:tr>
    </w:tbl>
    <w:p w:rsidR="00EC4305" w:rsidP="00041E4F" w14:paraId="7FE3EFDC" w14:textId="56EF5198">
      <w:pPr>
        <w:pStyle w:val="Heading2"/>
        <w:rPr>
          <w:i w:val="0"/>
          <w:iCs w:val="0"/>
        </w:rPr>
      </w:pPr>
      <w:r w:rsidRPr="00B95D15">
        <w:rPr>
          <w:i w:val="0"/>
          <w:iCs w:val="0"/>
        </w:rPr>
        <w:t>Abstract</w:t>
      </w:r>
    </w:p>
    <w:p w:rsidR="0028625D" w:rsidRPr="0028625D" w:rsidP="0028625D" w14:paraId="361A10C2" w14:textId="048B3357">
      <w:r w:rsidRPr="6D5BA1AE">
        <w:rPr>
          <w:rFonts w:asciiTheme="minorHAnsi" w:hAnsiTheme="minorHAnsi"/>
        </w:rPr>
        <w:t xml:space="preserve">EPA is requiring reporting and recordkeeping requirements for Perfluoroalkyl </w:t>
      </w:r>
      <w:r w:rsidRPr="6D5BA1AE" w:rsidR="00226441">
        <w:rPr>
          <w:rFonts w:asciiTheme="minorHAnsi" w:hAnsiTheme="minorHAnsi"/>
        </w:rPr>
        <w:t xml:space="preserve">and </w:t>
      </w:r>
      <w:r w:rsidRPr="6D5BA1AE">
        <w:rPr>
          <w:rFonts w:asciiTheme="minorHAnsi" w:hAnsiTheme="minorHAnsi"/>
        </w:rPr>
        <w:t>Polyfluoroalkyl Substances (PFAS) under the Toxic Substances Control Act (TSCA) as amended by the Fiscal Year 2020 National Defense Authorization Act (NDAA). As mandated by the amendment, EPA will require certain persons that manufacture (including import) or have manufactured these chemical substances in any year since January 1, 2011, to electronically report to EPA certain information. This is a one-time reporting event to provide greater transparency on the uses and risks associated with PFAS and is mandated by the NDAA.</w:t>
      </w:r>
      <w:r w:rsidRPr="6D5BA1AE" w:rsidR="1389FBB3">
        <w:rPr>
          <w:rFonts w:asciiTheme="minorHAnsi" w:hAnsiTheme="minorHAnsi"/>
        </w:rPr>
        <w:t xml:space="preserve"> The total one-time burden and cost of the action are summarized in Table 1. Table 2 annualizes the burden and cost over a three-year ICR approval period (although the reporting is a one-time activity). </w:t>
      </w:r>
    </w:p>
    <w:p w:rsidR="003247E0" w:rsidP="006254B2" w14:paraId="2FDB3A62" w14:textId="6321D246">
      <w:pPr>
        <w:pStyle w:val="Heading1"/>
        <w:spacing w:after="0"/>
      </w:pPr>
      <w:r>
        <w:t xml:space="preserve">Table 1: </w:t>
      </w:r>
      <w:r>
        <w:t xml:space="preserve">Summary </w:t>
      </w:r>
      <w:r w:rsidR="69B7FF4F">
        <w:t>Total Burden and Costs</w:t>
      </w:r>
    </w:p>
    <w:tbl>
      <w:tblPr>
        <w:tblW w:w="9445" w:type="dxa"/>
        <w:tblLook w:val="04A0"/>
      </w:tblPr>
      <w:tblGrid>
        <w:gridCol w:w="1345"/>
        <w:gridCol w:w="990"/>
        <w:gridCol w:w="1170"/>
        <w:gridCol w:w="1170"/>
        <w:gridCol w:w="1170"/>
        <w:gridCol w:w="1260"/>
        <w:gridCol w:w="1080"/>
        <w:gridCol w:w="1260"/>
      </w:tblGrid>
      <w:tr w14:paraId="057F6C35" w14:textId="77777777" w:rsidTr="00F07448">
        <w:tblPrEx>
          <w:tblW w:w="9445" w:type="dxa"/>
          <w:tblLook w:val="04A0"/>
        </w:tblPrEx>
        <w:trPr>
          <w:trHeight w:val="552"/>
        </w:trPr>
        <w:tc>
          <w:tcPr>
            <w:tcW w:w="1345"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F07448" w:rsidRPr="002A237C" w:rsidP="002A237C" w14:paraId="46589F1E" w14:textId="77777777">
            <w:pPr>
              <w:spacing w:after="0" w:line="240" w:lineRule="auto"/>
              <w:jc w:val="center"/>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Activity</w:t>
            </w:r>
          </w:p>
        </w:tc>
        <w:tc>
          <w:tcPr>
            <w:tcW w:w="99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F07448" w:rsidRPr="002A237C" w:rsidP="002A237C" w14:paraId="50DD0A94" w14:textId="77777777">
            <w:pPr>
              <w:spacing w:after="0" w:line="240" w:lineRule="auto"/>
              <w:jc w:val="center"/>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Number of Firms</w:t>
            </w:r>
          </w:p>
        </w:tc>
        <w:tc>
          <w:tcPr>
            <w:tcW w:w="117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F07448" w:rsidRPr="002A237C" w:rsidP="002A237C" w14:paraId="4AEBB0F3" w14:textId="77777777">
            <w:pPr>
              <w:spacing w:after="0" w:line="240" w:lineRule="auto"/>
              <w:jc w:val="center"/>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Number of Responses</w:t>
            </w:r>
          </w:p>
        </w:tc>
        <w:tc>
          <w:tcPr>
            <w:tcW w:w="117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F07448" w:rsidRPr="002A237C" w:rsidP="002A237C" w14:paraId="6DADAFDB" w14:textId="77777777">
            <w:pPr>
              <w:spacing w:after="0" w:line="240" w:lineRule="auto"/>
              <w:jc w:val="center"/>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Total 3-Year Burden</w:t>
            </w:r>
          </w:p>
        </w:tc>
        <w:tc>
          <w:tcPr>
            <w:tcW w:w="117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F07448" w:rsidRPr="002A237C" w:rsidP="002A237C" w14:paraId="3B405780" w14:textId="77777777">
            <w:pPr>
              <w:spacing w:after="0" w:line="240" w:lineRule="auto"/>
              <w:jc w:val="center"/>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Per-Firm Unit Cost</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F07448" w:rsidRPr="002A237C" w:rsidP="002A237C" w14:paraId="2E69958E" w14:textId="77777777">
            <w:pPr>
              <w:spacing w:after="0" w:line="240" w:lineRule="auto"/>
              <w:jc w:val="center"/>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Total 3-Year Cost (2022$)</w:t>
            </w:r>
          </w:p>
        </w:tc>
        <w:tc>
          <w:tcPr>
            <w:tcW w:w="10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F07448" w:rsidRPr="002A237C" w:rsidP="002A237C" w14:paraId="239B2A13" w14:textId="77777777">
            <w:pPr>
              <w:spacing w:after="0" w:line="240" w:lineRule="auto"/>
              <w:jc w:val="center"/>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Per-Firm Unit Cost</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F07448" w:rsidRPr="002A237C" w:rsidP="002A237C" w14:paraId="12A9EB4E" w14:textId="77777777">
            <w:pPr>
              <w:spacing w:after="0" w:line="240" w:lineRule="auto"/>
              <w:jc w:val="center"/>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Total 3-Year Cost (2022$)</w:t>
            </w:r>
          </w:p>
        </w:tc>
      </w:tr>
      <w:tr w14:paraId="7DC48B3F" w14:textId="77777777" w:rsidTr="00F07448">
        <w:tblPrEx>
          <w:tblW w:w="9445" w:type="dxa"/>
          <w:tblLook w:val="04A0"/>
        </w:tblPrEx>
        <w:trPr>
          <w:trHeight w:val="276"/>
        </w:trPr>
        <w:tc>
          <w:tcPr>
            <w:tcW w:w="1345" w:type="dxa"/>
            <w:vMerge/>
            <w:tcBorders>
              <w:top w:val="single" w:sz="4" w:space="0" w:color="auto"/>
              <w:left w:val="single" w:sz="4" w:space="0" w:color="auto"/>
              <w:bottom w:val="single" w:sz="4" w:space="0" w:color="000000"/>
              <w:right w:val="single" w:sz="4" w:space="0" w:color="auto"/>
            </w:tcBorders>
            <w:vAlign w:val="center"/>
            <w:hideMark/>
          </w:tcPr>
          <w:p w:rsidR="00F07448" w:rsidRPr="002A237C" w:rsidP="002A237C" w14:paraId="000FDDD6" w14:textId="77777777">
            <w:pPr>
              <w:spacing w:after="0" w:line="240" w:lineRule="auto"/>
              <w:rPr>
                <w:rFonts w:ascii="Arial Narrow" w:eastAsia="Times New Roman" w:hAnsi="Arial Narrow" w:cs="Arial"/>
                <w:b/>
                <w:bCs/>
                <w:color w:val="000000"/>
                <w:sz w:val="20"/>
                <w:szCs w:val="20"/>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F07448" w:rsidRPr="002A237C" w:rsidP="002A237C" w14:paraId="7BBDF9C2" w14:textId="77777777">
            <w:pPr>
              <w:spacing w:after="0" w:line="240" w:lineRule="auto"/>
              <w:rPr>
                <w:rFonts w:ascii="Arial Narrow" w:eastAsia="Times New Roman" w:hAnsi="Arial Narrow" w:cs="Arial"/>
                <w:b/>
                <w:bCs/>
                <w:color w:val="000000"/>
                <w:sz w:val="20"/>
                <w:szCs w:val="20"/>
              </w:rPr>
            </w:pPr>
          </w:p>
        </w:tc>
        <w:tc>
          <w:tcPr>
            <w:tcW w:w="1170" w:type="dxa"/>
            <w:vMerge/>
            <w:tcBorders>
              <w:top w:val="single" w:sz="4" w:space="0" w:color="auto"/>
              <w:left w:val="single" w:sz="4" w:space="0" w:color="auto"/>
              <w:bottom w:val="single" w:sz="4" w:space="0" w:color="000000"/>
              <w:right w:val="single" w:sz="4" w:space="0" w:color="auto"/>
            </w:tcBorders>
            <w:vAlign w:val="center"/>
            <w:hideMark/>
          </w:tcPr>
          <w:p w:rsidR="00F07448" w:rsidRPr="002A237C" w:rsidP="002A237C" w14:paraId="42238F53" w14:textId="77777777">
            <w:pPr>
              <w:spacing w:after="0" w:line="240" w:lineRule="auto"/>
              <w:rPr>
                <w:rFonts w:ascii="Arial Narrow" w:eastAsia="Times New Roman" w:hAnsi="Arial Narrow" w:cs="Arial"/>
                <w:b/>
                <w:bCs/>
                <w:color w:val="000000"/>
                <w:sz w:val="20"/>
                <w:szCs w:val="20"/>
              </w:rPr>
            </w:pPr>
          </w:p>
        </w:tc>
        <w:tc>
          <w:tcPr>
            <w:tcW w:w="1170" w:type="dxa"/>
            <w:vMerge/>
            <w:tcBorders>
              <w:top w:val="single" w:sz="4" w:space="0" w:color="auto"/>
              <w:left w:val="single" w:sz="4" w:space="0" w:color="auto"/>
              <w:bottom w:val="single" w:sz="4" w:space="0" w:color="000000"/>
              <w:right w:val="single" w:sz="4" w:space="0" w:color="auto"/>
            </w:tcBorders>
            <w:vAlign w:val="center"/>
            <w:hideMark/>
          </w:tcPr>
          <w:p w:rsidR="00F07448" w:rsidRPr="002A237C" w:rsidP="002A237C" w14:paraId="11D3C3AD" w14:textId="77777777">
            <w:pPr>
              <w:spacing w:after="0" w:line="240" w:lineRule="auto"/>
              <w:rPr>
                <w:rFonts w:ascii="Arial Narrow" w:eastAsia="Times New Roman" w:hAnsi="Arial Narrow" w:cs="Arial"/>
                <w:b/>
                <w:bCs/>
                <w:color w:val="000000"/>
                <w:sz w:val="20"/>
                <w:szCs w:val="20"/>
              </w:rPr>
            </w:pPr>
          </w:p>
        </w:tc>
        <w:tc>
          <w:tcPr>
            <w:tcW w:w="2430" w:type="dxa"/>
            <w:gridSpan w:val="2"/>
            <w:tcBorders>
              <w:top w:val="single" w:sz="4" w:space="0" w:color="auto"/>
              <w:left w:val="nil"/>
              <w:bottom w:val="single" w:sz="4" w:space="0" w:color="auto"/>
              <w:right w:val="single" w:sz="4" w:space="0" w:color="000000"/>
            </w:tcBorders>
            <w:shd w:val="clear" w:color="000000" w:fill="BFBFBF"/>
            <w:vAlign w:val="center"/>
            <w:hideMark/>
          </w:tcPr>
          <w:p w:rsidR="00F07448" w:rsidRPr="002A237C" w:rsidP="002A237C" w14:paraId="040678AD" w14:textId="77777777">
            <w:pPr>
              <w:spacing w:after="0" w:line="240" w:lineRule="auto"/>
              <w:jc w:val="center"/>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3% Discount Rate</w:t>
            </w:r>
          </w:p>
        </w:tc>
        <w:tc>
          <w:tcPr>
            <w:tcW w:w="2340" w:type="dxa"/>
            <w:gridSpan w:val="2"/>
            <w:tcBorders>
              <w:top w:val="single" w:sz="4" w:space="0" w:color="auto"/>
              <w:left w:val="nil"/>
              <w:bottom w:val="single" w:sz="4" w:space="0" w:color="auto"/>
              <w:right w:val="single" w:sz="4" w:space="0" w:color="000000"/>
            </w:tcBorders>
            <w:shd w:val="clear" w:color="000000" w:fill="BFBFBF"/>
            <w:vAlign w:val="center"/>
            <w:hideMark/>
          </w:tcPr>
          <w:p w:rsidR="00F07448" w:rsidRPr="002A237C" w:rsidP="002A237C" w14:paraId="07503A80" w14:textId="77777777">
            <w:pPr>
              <w:spacing w:after="0" w:line="240" w:lineRule="auto"/>
              <w:jc w:val="center"/>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7% Discount Rate</w:t>
            </w:r>
          </w:p>
        </w:tc>
      </w:tr>
      <w:tr w14:paraId="7B181091" w14:textId="77777777" w:rsidTr="00F07448">
        <w:tblPrEx>
          <w:tblW w:w="9445" w:type="dxa"/>
          <w:tblLook w:val="04A0"/>
        </w:tblPrEx>
        <w:trPr>
          <w:trHeight w:val="288"/>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448" w:rsidRPr="002A237C" w:rsidP="00F07448" w14:paraId="704D0BDE" w14:textId="77777777">
            <w:pPr>
              <w:spacing w:after="0" w:line="240" w:lineRule="auto"/>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Rule Familiarization</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F07448" w:rsidRPr="002A237C" w:rsidP="00F07448" w14:paraId="56CD431A"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131,410</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F07448" w:rsidRPr="002A237C" w:rsidP="00F07448" w14:paraId="1B94153D"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67,536</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F07448" w:rsidRPr="002A237C" w:rsidP="00F07448" w14:paraId="572B26B8" w14:textId="1A65A4E1">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2,642,124</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F07448" w:rsidRPr="002A237C" w:rsidP="00F07448" w14:paraId="2D795030"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$1,692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22061822"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$222,396,690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448" w:rsidRPr="002A237C" w:rsidP="00F07448" w14:paraId="5ED889E5"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$1,629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342F0337"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$214,082,795 </w:t>
            </w:r>
          </w:p>
        </w:tc>
      </w:tr>
      <w:tr w14:paraId="23702C8F" w14:textId="77777777" w:rsidTr="00F07448">
        <w:tblPrEx>
          <w:tblW w:w="9445" w:type="dxa"/>
          <w:tblLook w:val="04A0"/>
        </w:tblPrEx>
        <w:trPr>
          <w:trHeight w:val="288"/>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7A46CF29" w14:textId="77777777">
            <w:pPr>
              <w:spacing w:after="0" w:line="240" w:lineRule="auto"/>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Compliance Determination</w:t>
            </w:r>
          </w:p>
        </w:tc>
        <w:tc>
          <w:tcPr>
            <w:tcW w:w="990" w:type="dxa"/>
            <w:tcBorders>
              <w:top w:val="nil"/>
              <w:left w:val="nil"/>
              <w:bottom w:val="single" w:sz="4" w:space="0" w:color="auto"/>
              <w:right w:val="single" w:sz="4" w:space="0" w:color="auto"/>
            </w:tcBorders>
            <w:shd w:val="clear" w:color="auto" w:fill="auto"/>
            <w:noWrap/>
            <w:vAlign w:val="bottom"/>
            <w:hideMark/>
          </w:tcPr>
          <w:p w:rsidR="00F07448" w:rsidRPr="002A237C" w:rsidP="00F07448" w14:paraId="09865FAB"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131,410</w:t>
            </w:r>
          </w:p>
        </w:tc>
        <w:tc>
          <w:tcPr>
            <w:tcW w:w="1170" w:type="dxa"/>
            <w:tcBorders>
              <w:top w:val="nil"/>
              <w:left w:val="nil"/>
              <w:bottom w:val="single" w:sz="4" w:space="0" w:color="auto"/>
              <w:right w:val="single" w:sz="4" w:space="0" w:color="auto"/>
            </w:tcBorders>
            <w:shd w:val="clear" w:color="auto" w:fill="auto"/>
            <w:noWrap/>
            <w:vAlign w:val="bottom"/>
            <w:hideMark/>
          </w:tcPr>
          <w:p w:rsidR="00F07448" w:rsidRPr="002A237C" w:rsidP="00F07448" w14:paraId="0310DBB2"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67,536</w:t>
            </w:r>
          </w:p>
        </w:tc>
        <w:tc>
          <w:tcPr>
            <w:tcW w:w="1170" w:type="dxa"/>
            <w:tcBorders>
              <w:top w:val="nil"/>
              <w:left w:val="nil"/>
              <w:bottom w:val="single" w:sz="4" w:space="0" w:color="auto"/>
              <w:right w:val="single" w:sz="4" w:space="0" w:color="auto"/>
            </w:tcBorders>
            <w:shd w:val="clear" w:color="auto" w:fill="auto"/>
            <w:noWrap/>
            <w:vAlign w:val="bottom"/>
          </w:tcPr>
          <w:p w:rsidR="00F07448" w:rsidRPr="002A237C" w:rsidP="00F07448" w14:paraId="10572093" w14:textId="48731492">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7,523,295</w:t>
            </w:r>
          </w:p>
        </w:tc>
        <w:tc>
          <w:tcPr>
            <w:tcW w:w="1170" w:type="dxa"/>
            <w:tcBorders>
              <w:top w:val="nil"/>
              <w:left w:val="nil"/>
              <w:bottom w:val="single" w:sz="4" w:space="0" w:color="auto"/>
              <w:right w:val="single" w:sz="4" w:space="0" w:color="auto"/>
            </w:tcBorders>
            <w:shd w:val="clear" w:color="auto" w:fill="auto"/>
            <w:noWrap/>
            <w:vAlign w:val="bottom"/>
            <w:hideMark/>
          </w:tcPr>
          <w:p w:rsidR="00F07448" w:rsidRPr="002A237C" w:rsidP="00F07448" w14:paraId="79895960"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$3,861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2536BE00"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$507,327,191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4023BEDF"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$3,654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365E45AE"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$480,190,513 </w:t>
            </w:r>
          </w:p>
        </w:tc>
      </w:tr>
      <w:tr w14:paraId="3D14D3F7" w14:textId="77777777" w:rsidTr="00F07448">
        <w:tblPrEx>
          <w:tblW w:w="9445" w:type="dxa"/>
          <w:tblLook w:val="04A0"/>
        </w:tblPrEx>
        <w:trPr>
          <w:trHeight w:val="288"/>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04CBB996" w14:textId="77777777">
            <w:pPr>
              <w:spacing w:after="0" w:line="240" w:lineRule="auto"/>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Form Completion</w:t>
            </w:r>
          </w:p>
        </w:tc>
        <w:tc>
          <w:tcPr>
            <w:tcW w:w="990" w:type="dxa"/>
            <w:tcBorders>
              <w:top w:val="nil"/>
              <w:left w:val="nil"/>
              <w:bottom w:val="single" w:sz="4" w:space="0" w:color="auto"/>
              <w:right w:val="single" w:sz="4" w:space="0" w:color="auto"/>
            </w:tcBorders>
            <w:shd w:val="clear" w:color="auto" w:fill="auto"/>
            <w:noWrap/>
            <w:vAlign w:val="bottom"/>
            <w:hideMark/>
          </w:tcPr>
          <w:p w:rsidR="00F07448" w:rsidRPr="002A237C" w:rsidP="00F07448" w14:paraId="169B63DF"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131,410</w:t>
            </w:r>
          </w:p>
        </w:tc>
        <w:tc>
          <w:tcPr>
            <w:tcW w:w="1170" w:type="dxa"/>
            <w:tcBorders>
              <w:top w:val="nil"/>
              <w:left w:val="nil"/>
              <w:bottom w:val="single" w:sz="4" w:space="0" w:color="auto"/>
              <w:right w:val="single" w:sz="4" w:space="0" w:color="auto"/>
            </w:tcBorders>
            <w:shd w:val="clear" w:color="auto" w:fill="auto"/>
            <w:noWrap/>
            <w:vAlign w:val="bottom"/>
            <w:hideMark/>
          </w:tcPr>
          <w:p w:rsidR="00F07448" w:rsidRPr="002A237C" w:rsidP="00F07448" w14:paraId="62531436"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67,536</w:t>
            </w:r>
          </w:p>
        </w:tc>
        <w:tc>
          <w:tcPr>
            <w:tcW w:w="1170" w:type="dxa"/>
            <w:tcBorders>
              <w:top w:val="nil"/>
              <w:left w:val="nil"/>
              <w:bottom w:val="single" w:sz="4" w:space="0" w:color="auto"/>
              <w:right w:val="single" w:sz="4" w:space="0" w:color="auto"/>
            </w:tcBorders>
            <w:shd w:val="clear" w:color="auto" w:fill="auto"/>
            <w:noWrap/>
            <w:vAlign w:val="bottom"/>
          </w:tcPr>
          <w:p w:rsidR="00F07448" w:rsidRPr="002A237C" w:rsidP="00F07448" w14:paraId="0683ACE2" w14:textId="01E8EDCC">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1,337,532</w:t>
            </w:r>
          </w:p>
        </w:tc>
        <w:tc>
          <w:tcPr>
            <w:tcW w:w="1170" w:type="dxa"/>
            <w:tcBorders>
              <w:top w:val="nil"/>
              <w:left w:val="nil"/>
              <w:bottom w:val="single" w:sz="4" w:space="0" w:color="auto"/>
              <w:right w:val="single" w:sz="4" w:space="0" w:color="auto"/>
            </w:tcBorders>
            <w:shd w:val="clear" w:color="auto" w:fill="auto"/>
            <w:noWrap/>
            <w:vAlign w:val="bottom"/>
            <w:hideMark/>
          </w:tcPr>
          <w:p w:rsidR="00F07448" w:rsidRPr="002A237C" w:rsidP="00F07448" w14:paraId="048BFB99"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$793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093FD77B"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$104,183,912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713A3451"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$740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60F5EED3"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$97,240,352 </w:t>
            </w:r>
          </w:p>
        </w:tc>
      </w:tr>
      <w:tr w14:paraId="3561A32A" w14:textId="77777777" w:rsidTr="00F07448">
        <w:tblPrEx>
          <w:tblW w:w="9445" w:type="dxa"/>
          <w:tblLook w:val="04A0"/>
        </w:tblPrEx>
        <w:trPr>
          <w:trHeight w:val="288"/>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5BB67D79" w14:textId="77777777">
            <w:pPr>
              <w:spacing w:after="0" w:line="240" w:lineRule="auto"/>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CBI Substantiation</w:t>
            </w:r>
          </w:p>
        </w:tc>
        <w:tc>
          <w:tcPr>
            <w:tcW w:w="990" w:type="dxa"/>
            <w:tcBorders>
              <w:top w:val="nil"/>
              <w:left w:val="nil"/>
              <w:bottom w:val="single" w:sz="4" w:space="0" w:color="auto"/>
              <w:right w:val="single" w:sz="4" w:space="0" w:color="auto"/>
            </w:tcBorders>
            <w:shd w:val="clear" w:color="auto" w:fill="auto"/>
            <w:noWrap/>
            <w:vAlign w:val="bottom"/>
            <w:hideMark/>
          </w:tcPr>
          <w:p w:rsidR="00F07448" w:rsidRPr="002A237C" w:rsidP="00F07448" w14:paraId="02F876A2"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131,410</w:t>
            </w:r>
          </w:p>
        </w:tc>
        <w:tc>
          <w:tcPr>
            <w:tcW w:w="1170" w:type="dxa"/>
            <w:tcBorders>
              <w:top w:val="nil"/>
              <w:left w:val="nil"/>
              <w:bottom w:val="single" w:sz="4" w:space="0" w:color="auto"/>
              <w:right w:val="single" w:sz="4" w:space="0" w:color="auto"/>
            </w:tcBorders>
            <w:shd w:val="clear" w:color="auto" w:fill="auto"/>
            <w:noWrap/>
            <w:vAlign w:val="bottom"/>
            <w:hideMark/>
          </w:tcPr>
          <w:p w:rsidR="00F07448" w:rsidRPr="002A237C" w:rsidP="00F07448" w14:paraId="10EBD901"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67,536</w:t>
            </w:r>
          </w:p>
        </w:tc>
        <w:tc>
          <w:tcPr>
            <w:tcW w:w="1170" w:type="dxa"/>
            <w:tcBorders>
              <w:top w:val="nil"/>
              <w:left w:val="nil"/>
              <w:bottom w:val="single" w:sz="4" w:space="0" w:color="auto"/>
              <w:right w:val="single" w:sz="4" w:space="0" w:color="auto"/>
            </w:tcBorders>
            <w:shd w:val="clear" w:color="auto" w:fill="auto"/>
            <w:noWrap/>
            <w:vAlign w:val="bottom"/>
          </w:tcPr>
          <w:p w:rsidR="00F07448" w:rsidRPr="002A237C" w:rsidP="00F07448" w14:paraId="28DD3AD9" w14:textId="5FF76CE5">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30,096</w:t>
            </w:r>
          </w:p>
        </w:tc>
        <w:tc>
          <w:tcPr>
            <w:tcW w:w="1170" w:type="dxa"/>
            <w:tcBorders>
              <w:top w:val="nil"/>
              <w:left w:val="nil"/>
              <w:bottom w:val="single" w:sz="4" w:space="0" w:color="auto"/>
              <w:right w:val="single" w:sz="4" w:space="0" w:color="auto"/>
            </w:tcBorders>
            <w:shd w:val="clear" w:color="auto" w:fill="auto"/>
            <w:noWrap/>
            <w:vAlign w:val="bottom"/>
            <w:hideMark/>
          </w:tcPr>
          <w:p w:rsidR="00F07448" w:rsidRPr="002A237C" w:rsidP="00F07448" w14:paraId="4A275F5D"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$18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63824607"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$2,382,473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17C5732E"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$17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0CE07020"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$2,219,240 </w:t>
            </w:r>
          </w:p>
        </w:tc>
      </w:tr>
      <w:tr w14:paraId="19C0F643" w14:textId="77777777" w:rsidTr="00F07448">
        <w:tblPrEx>
          <w:tblW w:w="9445" w:type="dxa"/>
          <w:tblLook w:val="04A0"/>
        </w:tblPrEx>
        <w:trPr>
          <w:trHeight w:val="288"/>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673F34D9" w14:textId="77777777">
            <w:pPr>
              <w:spacing w:after="0" w:line="240" w:lineRule="auto"/>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Recordkeeping</w:t>
            </w:r>
          </w:p>
        </w:tc>
        <w:tc>
          <w:tcPr>
            <w:tcW w:w="990" w:type="dxa"/>
            <w:tcBorders>
              <w:top w:val="nil"/>
              <w:left w:val="nil"/>
              <w:bottom w:val="single" w:sz="4" w:space="0" w:color="auto"/>
              <w:right w:val="single" w:sz="4" w:space="0" w:color="auto"/>
            </w:tcBorders>
            <w:shd w:val="clear" w:color="auto" w:fill="auto"/>
            <w:noWrap/>
            <w:vAlign w:val="bottom"/>
            <w:hideMark/>
          </w:tcPr>
          <w:p w:rsidR="00F07448" w:rsidRPr="002A237C" w:rsidP="00F07448" w14:paraId="7EDB655C"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131,410</w:t>
            </w:r>
          </w:p>
        </w:tc>
        <w:tc>
          <w:tcPr>
            <w:tcW w:w="1170" w:type="dxa"/>
            <w:tcBorders>
              <w:top w:val="nil"/>
              <w:left w:val="nil"/>
              <w:bottom w:val="single" w:sz="4" w:space="0" w:color="auto"/>
              <w:right w:val="single" w:sz="4" w:space="0" w:color="auto"/>
            </w:tcBorders>
            <w:shd w:val="clear" w:color="auto" w:fill="auto"/>
            <w:noWrap/>
            <w:vAlign w:val="bottom"/>
            <w:hideMark/>
          </w:tcPr>
          <w:p w:rsidR="00F07448" w:rsidRPr="002A237C" w:rsidP="00F07448" w14:paraId="41CC7647"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67,536</w:t>
            </w:r>
          </w:p>
        </w:tc>
        <w:tc>
          <w:tcPr>
            <w:tcW w:w="1170" w:type="dxa"/>
            <w:tcBorders>
              <w:top w:val="nil"/>
              <w:left w:val="nil"/>
              <w:bottom w:val="single" w:sz="4" w:space="0" w:color="auto"/>
              <w:right w:val="single" w:sz="4" w:space="0" w:color="auto"/>
            </w:tcBorders>
            <w:shd w:val="clear" w:color="auto" w:fill="auto"/>
            <w:noWrap/>
            <w:vAlign w:val="bottom"/>
          </w:tcPr>
          <w:p w:rsidR="00F07448" w:rsidRPr="002A237C" w:rsidP="00F07448" w14:paraId="1757D6B7" w14:textId="321979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67,536</w:t>
            </w:r>
          </w:p>
        </w:tc>
        <w:tc>
          <w:tcPr>
            <w:tcW w:w="1170" w:type="dxa"/>
            <w:tcBorders>
              <w:top w:val="nil"/>
              <w:left w:val="nil"/>
              <w:bottom w:val="single" w:sz="4" w:space="0" w:color="auto"/>
              <w:right w:val="single" w:sz="4" w:space="0" w:color="auto"/>
            </w:tcBorders>
            <w:shd w:val="clear" w:color="auto" w:fill="auto"/>
            <w:noWrap/>
            <w:vAlign w:val="bottom"/>
            <w:hideMark/>
          </w:tcPr>
          <w:p w:rsidR="00F07448" w:rsidRPr="002A237C" w:rsidP="00F07448" w14:paraId="1FD4DEDC"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$30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44765020"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$3,937,169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09ECA9EE"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$28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573FBBD1"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$3,665,229 </w:t>
            </w:r>
          </w:p>
        </w:tc>
      </w:tr>
      <w:tr w14:paraId="3409CC2D" w14:textId="77777777" w:rsidTr="00F07448">
        <w:tblPrEx>
          <w:tblW w:w="9445" w:type="dxa"/>
          <w:tblLook w:val="04A0"/>
        </w:tblPrEx>
        <w:trPr>
          <w:trHeight w:val="288"/>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1EBE7FB3" w14:textId="77777777">
            <w:pPr>
              <w:spacing w:after="0" w:line="240" w:lineRule="auto"/>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CDX Registration</w:t>
            </w:r>
          </w:p>
        </w:tc>
        <w:tc>
          <w:tcPr>
            <w:tcW w:w="990" w:type="dxa"/>
            <w:tcBorders>
              <w:top w:val="nil"/>
              <w:left w:val="nil"/>
              <w:bottom w:val="single" w:sz="4" w:space="0" w:color="auto"/>
              <w:right w:val="single" w:sz="4" w:space="0" w:color="auto"/>
            </w:tcBorders>
            <w:shd w:val="clear" w:color="auto" w:fill="auto"/>
            <w:noWrap/>
            <w:vAlign w:val="bottom"/>
            <w:hideMark/>
          </w:tcPr>
          <w:p w:rsidR="00F07448" w:rsidRPr="002A237C" w:rsidP="00F07448" w14:paraId="0D35C707"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131,410</w:t>
            </w:r>
          </w:p>
        </w:tc>
        <w:tc>
          <w:tcPr>
            <w:tcW w:w="1170" w:type="dxa"/>
            <w:tcBorders>
              <w:top w:val="nil"/>
              <w:left w:val="nil"/>
              <w:bottom w:val="single" w:sz="4" w:space="0" w:color="auto"/>
              <w:right w:val="single" w:sz="4" w:space="0" w:color="auto"/>
            </w:tcBorders>
            <w:shd w:val="clear" w:color="auto" w:fill="auto"/>
            <w:noWrap/>
            <w:vAlign w:val="bottom"/>
            <w:hideMark/>
          </w:tcPr>
          <w:p w:rsidR="00F07448" w:rsidRPr="002A237C" w:rsidP="00F07448" w14:paraId="63211894"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67,536</w:t>
            </w:r>
          </w:p>
        </w:tc>
        <w:tc>
          <w:tcPr>
            <w:tcW w:w="1170" w:type="dxa"/>
            <w:tcBorders>
              <w:top w:val="nil"/>
              <w:left w:val="nil"/>
              <w:bottom w:val="single" w:sz="4" w:space="0" w:color="auto"/>
              <w:right w:val="single" w:sz="4" w:space="0" w:color="auto"/>
            </w:tcBorders>
            <w:shd w:val="clear" w:color="auto" w:fill="auto"/>
            <w:noWrap/>
            <w:vAlign w:val="bottom"/>
          </w:tcPr>
          <w:p w:rsidR="00F07448" w:rsidRPr="002A237C" w:rsidP="00F07448" w14:paraId="596CC302" w14:textId="1655A6C5">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35,650</w:t>
            </w:r>
          </w:p>
        </w:tc>
        <w:tc>
          <w:tcPr>
            <w:tcW w:w="1170" w:type="dxa"/>
            <w:tcBorders>
              <w:top w:val="nil"/>
              <w:left w:val="nil"/>
              <w:bottom w:val="single" w:sz="4" w:space="0" w:color="auto"/>
              <w:right w:val="single" w:sz="4" w:space="0" w:color="auto"/>
            </w:tcBorders>
            <w:shd w:val="clear" w:color="auto" w:fill="auto"/>
            <w:noWrap/>
            <w:vAlign w:val="bottom"/>
            <w:hideMark/>
          </w:tcPr>
          <w:p w:rsidR="00F07448" w:rsidRPr="002A237C" w:rsidP="00F07448" w14:paraId="3C820F66"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$23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64959691"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$2,980,632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59BE22B3"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$21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6E4607B0"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$2,773,754 </w:t>
            </w:r>
          </w:p>
        </w:tc>
      </w:tr>
      <w:tr w14:paraId="502EE140" w14:textId="77777777" w:rsidTr="00F07448">
        <w:tblPrEx>
          <w:tblW w:w="9445" w:type="dxa"/>
          <w:tblLook w:val="04A0"/>
        </w:tblPrEx>
        <w:trPr>
          <w:trHeight w:val="288"/>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508A640D" w14:textId="77777777">
            <w:pPr>
              <w:spacing w:after="0" w:line="240" w:lineRule="auto"/>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Respondent Total</w:t>
            </w:r>
          </w:p>
        </w:tc>
        <w:tc>
          <w:tcPr>
            <w:tcW w:w="990" w:type="dxa"/>
            <w:tcBorders>
              <w:top w:val="nil"/>
              <w:left w:val="nil"/>
              <w:bottom w:val="single" w:sz="4" w:space="0" w:color="auto"/>
              <w:right w:val="single" w:sz="4" w:space="0" w:color="auto"/>
            </w:tcBorders>
            <w:shd w:val="clear" w:color="auto" w:fill="auto"/>
            <w:noWrap/>
            <w:vAlign w:val="bottom"/>
            <w:hideMark/>
          </w:tcPr>
          <w:p w:rsidR="00F07448" w:rsidRPr="002A237C" w:rsidP="00F07448" w14:paraId="682D2009" w14:textId="77777777">
            <w:pPr>
              <w:spacing w:after="0" w:line="240" w:lineRule="auto"/>
              <w:jc w:val="right"/>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131,410</w:t>
            </w:r>
          </w:p>
        </w:tc>
        <w:tc>
          <w:tcPr>
            <w:tcW w:w="1170" w:type="dxa"/>
            <w:tcBorders>
              <w:top w:val="nil"/>
              <w:left w:val="nil"/>
              <w:bottom w:val="single" w:sz="4" w:space="0" w:color="auto"/>
              <w:right w:val="single" w:sz="4" w:space="0" w:color="auto"/>
            </w:tcBorders>
            <w:shd w:val="clear" w:color="auto" w:fill="auto"/>
            <w:noWrap/>
            <w:vAlign w:val="bottom"/>
            <w:hideMark/>
          </w:tcPr>
          <w:p w:rsidR="00F07448" w:rsidRPr="002A237C" w:rsidP="00F07448" w14:paraId="2632E6E4" w14:textId="77777777">
            <w:pPr>
              <w:spacing w:after="0" w:line="240" w:lineRule="auto"/>
              <w:jc w:val="right"/>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67,536</w:t>
            </w:r>
          </w:p>
        </w:tc>
        <w:tc>
          <w:tcPr>
            <w:tcW w:w="1170" w:type="dxa"/>
            <w:tcBorders>
              <w:top w:val="nil"/>
              <w:left w:val="nil"/>
              <w:bottom w:val="single" w:sz="4" w:space="0" w:color="auto"/>
              <w:right w:val="single" w:sz="4" w:space="0" w:color="auto"/>
            </w:tcBorders>
            <w:shd w:val="clear" w:color="auto" w:fill="auto"/>
            <w:noWrap/>
            <w:vAlign w:val="bottom"/>
          </w:tcPr>
          <w:p w:rsidR="00F07448" w:rsidRPr="002A237C" w:rsidP="00F07448" w14:paraId="20192CFF" w14:textId="6EEB938D">
            <w:pPr>
              <w:spacing w:after="0" w:line="240" w:lineRule="auto"/>
              <w:jc w:val="right"/>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11,636,233</w:t>
            </w:r>
          </w:p>
        </w:tc>
        <w:tc>
          <w:tcPr>
            <w:tcW w:w="1170" w:type="dxa"/>
            <w:tcBorders>
              <w:top w:val="nil"/>
              <w:left w:val="nil"/>
              <w:bottom w:val="single" w:sz="4" w:space="0" w:color="auto"/>
              <w:right w:val="single" w:sz="4" w:space="0" w:color="auto"/>
            </w:tcBorders>
            <w:shd w:val="clear" w:color="auto" w:fill="auto"/>
            <w:noWrap/>
            <w:vAlign w:val="bottom"/>
            <w:hideMark/>
          </w:tcPr>
          <w:p w:rsidR="00F07448" w:rsidRPr="002A237C" w:rsidP="00F07448" w14:paraId="00DFF0AE" w14:textId="77777777">
            <w:pPr>
              <w:spacing w:after="0" w:line="240" w:lineRule="auto"/>
              <w:jc w:val="right"/>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 xml:space="preserve">$6,417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2A2105F9" w14:textId="77777777">
            <w:pPr>
              <w:spacing w:after="0" w:line="240" w:lineRule="auto"/>
              <w:jc w:val="right"/>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 xml:space="preserve">$843,208,067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4FEEF53A" w14:textId="77777777">
            <w:pPr>
              <w:spacing w:after="0" w:line="240" w:lineRule="auto"/>
              <w:jc w:val="right"/>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 xml:space="preserve">$6,089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1D429A43" w14:textId="77777777">
            <w:pPr>
              <w:spacing w:after="0" w:line="240" w:lineRule="auto"/>
              <w:jc w:val="right"/>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 xml:space="preserve">$800,171,883 </w:t>
            </w:r>
          </w:p>
        </w:tc>
      </w:tr>
      <w:tr w14:paraId="4B4933AA" w14:textId="77777777" w:rsidTr="00F07448">
        <w:tblPrEx>
          <w:tblW w:w="9445" w:type="dxa"/>
          <w:tblLook w:val="04A0"/>
        </w:tblPrEx>
        <w:trPr>
          <w:trHeight w:val="288"/>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5DE411D0" w14:textId="77777777">
            <w:pPr>
              <w:spacing w:after="0" w:line="240" w:lineRule="auto"/>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Agency</w:t>
            </w:r>
          </w:p>
        </w:tc>
        <w:tc>
          <w:tcPr>
            <w:tcW w:w="990" w:type="dxa"/>
            <w:tcBorders>
              <w:top w:val="nil"/>
              <w:left w:val="nil"/>
              <w:bottom w:val="single" w:sz="4" w:space="0" w:color="auto"/>
              <w:right w:val="single" w:sz="4" w:space="0" w:color="auto"/>
            </w:tcBorders>
            <w:shd w:val="clear" w:color="auto" w:fill="auto"/>
            <w:noWrap/>
            <w:vAlign w:val="bottom"/>
            <w:hideMark/>
          </w:tcPr>
          <w:p w:rsidR="00F07448" w:rsidRPr="002A237C" w:rsidP="00F07448" w14:paraId="118C32EE" w14:textId="77777777">
            <w:pPr>
              <w:spacing w:after="0" w:line="240" w:lineRule="auto"/>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07448" w:rsidRPr="002A237C" w:rsidP="00F07448" w14:paraId="4A8A8A2F" w14:textId="77777777">
            <w:pPr>
              <w:spacing w:after="0" w:line="240" w:lineRule="auto"/>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07448" w:rsidRPr="002A237C" w:rsidP="00F07448" w14:paraId="2B45E108" w14:textId="77777777">
            <w:pPr>
              <w:spacing w:after="0" w:line="240" w:lineRule="auto"/>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F07448" w:rsidRPr="002A237C" w:rsidP="00F07448" w14:paraId="32D6C95F" w14:textId="77777777">
            <w:pPr>
              <w:spacing w:after="0" w:line="240" w:lineRule="auto"/>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74F816B4" w14:textId="77777777">
            <w:pPr>
              <w:spacing w:after="0" w:line="240" w:lineRule="auto"/>
              <w:jc w:val="right"/>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 xml:space="preserve">$1,612,702 </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6C8BE562" w14:textId="77777777">
            <w:pPr>
              <w:spacing w:after="0" w:line="240" w:lineRule="auto"/>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F07448" w:rsidRPr="002A237C" w:rsidP="00F07448" w14:paraId="4DEBD351" w14:textId="77777777">
            <w:pPr>
              <w:spacing w:after="0" w:line="240" w:lineRule="auto"/>
              <w:jc w:val="right"/>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 xml:space="preserve">$1,562,613 </w:t>
            </w:r>
          </w:p>
        </w:tc>
      </w:tr>
    </w:tbl>
    <w:p w:rsidR="3A0D3A3A" w:rsidRPr="006254B2" w:rsidP="006254B2" w14:paraId="44472623" w14:textId="74C54CC1">
      <w:pPr>
        <w:spacing w:after="0"/>
        <w:rPr>
          <w:rFonts w:eastAsia="Arial" w:cs="Arial"/>
          <w:b/>
          <w:bCs/>
          <w:szCs w:val="24"/>
        </w:rPr>
      </w:pPr>
      <w:r w:rsidRPr="006254B2">
        <w:rPr>
          <w:rFonts w:eastAsia="Arial" w:cs="Arial"/>
          <w:b/>
          <w:bCs/>
          <w:szCs w:val="24"/>
        </w:rPr>
        <w:t xml:space="preserve">Table 2: Summary of Annualized Burden and Costs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9"/>
        <w:gridCol w:w="997"/>
        <w:gridCol w:w="1292"/>
        <w:gridCol w:w="1050"/>
        <w:gridCol w:w="938"/>
        <w:gridCol w:w="1353"/>
        <w:gridCol w:w="938"/>
        <w:gridCol w:w="1353"/>
      </w:tblGrid>
      <w:tr w14:paraId="75D628F7" w14:textId="77777777" w:rsidTr="003529B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52"/>
        </w:trPr>
        <w:tc>
          <w:tcPr>
            <w:tcW w:w="0" w:type="auto"/>
            <w:vMerge w:val="restart"/>
            <w:hideMark/>
          </w:tcPr>
          <w:p w:rsidR="00F07448" w:rsidRPr="002A237C" w:rsidP="002A237C" w14:paraId="5476D79E" w14:textId="77777777">
            <w:pPr>
              <w:spacing w:after="0" w:line="240" w:lineRule="auto"/>
              <w:jc w:val="center"/>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Activity</w:t>
            </w:r>
          </w:p>
        </w:tc>
        <w:tc>
          <w:tcPr>
            <w:tcW w:w="0" w:type="auto"/>
            <w:vMerge w:val="restart"/>
            <w:hideMark/>
          </w:tcPr>
          <w:p w:rsidR="00F07448" w:rsidRPr="002A237C" w:rsidP="002A237C" w14:paraId="6E3AB604" w14:textId="77777777">
            <w:pPr>
              <w:spacing w:after="0" w:line="240" w:lineRule="auto"/>
              <w:jc w:val="center"/>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Number of Firms</w:t>
            </w:r>
          </w:p>
        </w:tc>
        <w:tc>
          <w:tcPr>
            <w:tcW w:w="0" w:type="auto"/>
            <w:vMerge w:val="restart"/>
            <w:hideMark/>
          </w:tcPr>
          <w:p w:rsidR="00F07448" w:rsidRPr="002A237C" w:rsidP="002A237C" w14:paraId="5D65ADB0" w14:textId="77777777">
            <w:pPr>
              <w:spacing w:after="0" w:line="240" w:lineRule="auto"/>
              <w:jc w:val="center"/>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Number of Responses</w:t>
            </w:r>
          </w:p>
        </w:tc>
        <w:tc>
          <w:tcPr>
            <w:tcW w:w="0" w:type="auto"/>
            <w:vMerge w:val="restart"/>
            <w:hideMark/>
          </w:tcPr>
          <w:p w:rsidR="00F07448" w:rsidRPr="002A237C" w:rsidP="002A237C" w14:paraId="47118410" w14:textId="77777777">
            <w:pPr>
              <w:spacing w:after="0" w:line="240" w:lineRule="auto"/>
              <w:jc w:val="center"/>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Annual Burden</w:t>
            </w:r>
          </w:p>
        </w:tc>
        <w:tc>
          <w:tcPr>
            <w:tcW w:w="0" w:type="auto"/>
            <w:hideMark/>
          </w:tcPr>
          <w:p w:rsidR="00F07448" w:rsidRPr="002A237C" w:rsidP="002A237C" w14:paraId="06043AB3" w14:textId="77777777">
            <w:pPr>
              <w:spacing w:after="0" w:line="240" w:lineRule="auto"/>
              <w:jc w:val="center"/>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Per-Firm Unit Cost</w:t>
            </w:r>
          </w:p>
        </w:tc>
        <w:tc>
          <w:tcPr>
            <w:tcW w:w="0" w:type="auto"/>
            <w:hideMark/>
          </w:tcPr>
          <w:p w:rsidR="00F07448" w:rsidRPr="002A237C" w:rsidP="002A237C" w14:paraId="6B4C932E" w14:textId="77777777">
            <w:pPr>
              <w:spacing w:after="0" w:line="240" w:lineRule="auto"/>
              <w:jc w:val="center"/>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Annual Cost (2022$)</w:t>
            </w:r>
          </w:p>
        </w:tc>
        <w:tc>
          <w:tcPr>
            <w:tcW w:w="0" w:type="auto"/>
            <w:hideMark/>
          </w:tcPr>
          <w:p w:rsidR="00F07448" w:rsidRPr="002A237C" w:rsidP="002A237C" w14:paraId="73B747B7" w14:textId="77777777">
            <w:pPr>
              <w:spacing w:after="0" w:line="240" w:lineRule="auto"/>
              <w:jc w:val="center"/>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Per-Firm Unit Cost</w:t>
            </w:r>
          </w:p>
        </w:tc>
        <w:tc>
          <w:tcPr>
            <w:tcW w:w="0" w:type="auto"/>
            <w:hideMark/>
          </w:tcPr>
          <w:p w:rsidR="00F07448" w:rsidRPr="002A237C" w:rsidP="002A237C" w14:paraId="594728FF" w14:textId="77777777">
            <w:pPr>
              <w:spacing w:after="0" w:line="240" w:lineRule="auto"/>
              <w:jc w:val="center"/>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Annual Cost (2022$)</w:t>
            </w:r>
          </w:p>
        </w:tc>
      </w:tr>
      <w:tr w14:paraId="51CDC5BE" w14:textId="77777777" w:rsidTr="003529B3">
        <w:tblPrEx>
          <w:tblW w:w="0" w:type="auto"/>
          <w:tblLook w:val="04A0"/>
        </w:tblPrEx>
        <w:trPr>
          <w:trHeight w:val="276"/>
        </w:trPr>
        <w:tc>
          <w:tcPr>
            <w:tcW w:w="0" w:type="auto"/>
            <w:vMerge/>
            <w:hideMark/>
          </w:tcPr>
          <w:p w:rsidR="00F07448" w:rsidRPr="002A237C" w:rsidP="002A237C" w14:paraId="0B864595" w14:textId="77777777">
            <w:pPr>
              <w:spacing w:after="0" w:line="240" w:lineRule="auto"/>
              <w:rPr>
                <w:rFonts w:ascii="Arial Narrow" w:eastAsia="Times New Roman" w:hAnsi="Arial Narrow" w:cs="Arial"/>
                <w:b/>
                <w:bCs/>
                <w:color w:val="000000"/>
                <w:sz w:val="20"/>
                <w:szCs w:val="20"/>
              </w:rPr>
            </w:pPr>
          </w:p>
        </w:tc>
        <w:tc>
          <w:tcPr>
            <w:tcW w:w="0" w:type="auto"/>
            <w:vMerge/>
            <w:hideMark/>
          </w:tcPr>
          <w:p w:rsidR="00F07448" w:rsidRPr="002A237C" w:rsidP="002A237C" w14:paraId="39280C2B" w14:textId="77777777">
            <w:pPr>
              <w:spacing w:after="0" w:line="240" w:lineRule="auto"/>
              <w:rPr>
                <w:rFonts w:ascii="Arial Narrow" w:eastAsia="Times New Roman" w:hAnsi="Arial Narrow" w:cs="Arial"/>
                <w:b/>
                <w:bCs/>
                <w:color w:val="000000"/>
                <w:sz w:val="20"/>
                <w:szCs w:val="20"/>
              </w:rPr>
            </w:pPr>
          </w:p>
        </w:tc>
        <w:tc>
          <w:tcPr>
            <w:tcW w:w="0" w:type="auto"/>
            <w:vMerge/>
            <w:hideMark/>
          </w:tcPr>
          <w:p w:rsidR="00F07448" w:rsidRPr="002A237C" w:rsidP="002A237C" w14:paraId="50679973" w14:textId="77777777">
            <w:pPr>
              <w:spacing w:after="0" w:line="240" w:lineRule="auto"/>
              <w:rPr>
                <w:rFonts w:ascii="Arial Narrow" w:eastAsia="Times New Roman" w:hAnsi="Arial Narrow" w:cs="Arial"/>
                <w:b/>
                <w:bCs/>
                <w:color w:val="000000"/>
                <w:sz w:val="20"/>
                <w:szCs w:val="20"/>
              </w:rPr>
            </w:pPr>
          </w:p>
        </w:tc>
        <w:tc>
          <w:tcPr>
            <w:tcW w:w="0" w:type="auto"/>
            <w:vMerge/>
            <w:hideMark/>
          </w:tcPr>
          <w:p w:rsidR="00F07448" w:rsidRPr="002A237C" w:rsidP="002A237C" w14:paraId="2F73CCF8" w14:textId="77777777">
            <w:pPr>
              <w:spacing w:after="0" w:line="240" w:lineRule="auto"/>
              <w:rPr>
                <w:rFonts w:ascii="Arial Narrow" w:eastAsia="Times New Roman" w:hAnsi="Arial Narrow" w:cs="Arial"/>
                <w:b/>
                <w:bCs/>
                <w:color w:val="000000"/>
                <w:sz w:val="20"/>
                <w:szCs w:val="20"/>
              </w:rPr>
            </w:pPr>
          </w:p>
        </w:tc>
        <w:tc>
          <w:tcPr>
            <w:tcW w:w="0" w:type="auto"/>
            <w:gridSpan w:val="2"/>
            <w:hideMark/>
          </w:tcPr>
          <w:p w:rsidR="00F07448" w:rsidRPr="002A237C" w:rsidP="002A237C" w14:paraId="088B1AFE" w14:textId="77777777">
            <w:pPr>
              <w:spacing w:after="0" w:line="240" w:lineRule="auto"/>
              <w:jc w:val="center"/>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3% Discount Rate</w:t>
            </w:r>
          </w:p>
        </w:tc>
        <w:tc>
          <w:tcPr>
            <w:tcW w:w="0" w:type="auto"/>
            <w:gridSpan w:val="2"/>
            <w:hideMark/>
          </w:tcPr>
          <w:p w:rsidR="00F07448" w:rsidRPr="002A237C" w:rsidP="002A237C" w14:paraId="5B972E08" w14:textId="77777777">
            <w:pPr>
              <w:spacing w:after="0" w:line="240" w:lineRule="auto"/>
              <w:jc w:val="center"/>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7% Discount Rate</w:t>
            </w:r>
          </w:p>
        </w:tc>
      </w:tr>
      <w:tr w14:paraId="0451606D" w14:textId="77777777" w:rsidTr="00240BFC">
        <w:tblPrEx>
          <w:tblW w:w="0" w:type="auto"/>
          <w:tblLook w:val="04A0"/>
        </w:tblPrEx>
        <w:trPr>
          <w:trHeight w:val="288"/>
        </w:trPr>
        <w:tc>
          <w:tcPr>
            <w:tcW w:w="0" w:type="auto"/>
            <w:noWrap/>
            <w:hideMark/>
          </w:tcPr>
          <w:p w:rsidR="00F07448" w:rsidRPr="002A237C" w:rsidP="002A237C" w14:paraId="5E27E5E2" w14:textId="77777777">
            <w:pPr>
              <w:spacing w:after="0" w:line="240" w:lineRule="auto"/>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Rule Familiarization</w:t>
            </w:r>
          </w:p>
        </w:tc>
        <w:tc>
          <w:tcPr>
            <w:tcW w:w="0" w:type="auto"/>
            <w:noWrap/>
            <w:hideMark/>
          </w:tcPr>
          <w:p w:rsidR="00F07448" w:rsidRPr="002A237C" w:rsidP="002A237C" w14:paraId="3BAB0377"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131,410</w:t>
            </w:r>
          </w:p>
        </w:tc>
        <w:tc>
          <w:tcPr>
            <w:tcW w:w="0" w:type="auto"/>
            <w:noWrap/>
            <w:hideMark/>
          </w:tcPr>
          <w:p w:rsidR="00F07448" w:rsidRPr="002A237C" w:rsidP="002A237C" w14:paraId="2AB0C971"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67,536</w:t>
            </w:r>
          </w:p>
        </w:tc>
        <w:tc>
          <w:tcPr>
            <w:tcW w:w="0" w:type="auto"/>
            <w:noWrap/>
          </w:tcPr>
          <w:p w:rsidR="00F07448" w:rsidRPr="002A237C" w:rsidP="002A237C" w14:paraId="60A9F816" w14:textId="7A603AB2">
            <w:pPr>
              <w:spacing w:after="0" w:line="240" w:lineRule="auto"/>
              <w:jc w:val="right"/>
              <w:rPr>
                <w:rFonts w:ascii="Arial Narrow" w:eastAsia="Times New Roman" w:hAnsi="Arial Narrow" w:cs="Arial"/>
                <w:color w:val="000000"/>
                <w:sz w:val="20"/>
                <w:szCs w:val="20"/>
              </w:rPr>
            </w:pPr>
            <w:r>
              <w:rPr>
                <w:rFonts w:ascii="Arial Narrow" w:eastAsia="Times New Roman" w:hAnsi="Arial Narrow" w:cs="Arial"/>
                <w:color w:val="000000"/>
                <w:sz w:val="20"/>
                <w:szCs w:val="20"/>
              </w:rPr>
              <w:t>880,708</w:t>
            </w:r>
          </w:p>
        </w:tc>
        <w:tc>
          <w:tcPr>
            <w:tcW w:w="0" w:type="auto"/>
            <w:noWrap/>
            <w:hideMark/>
          </w:tcPr>
          <w:p w:rsidR="00F07448" w:rsidRPr="002A237C" w:rsidP="002A237C" w14:paraId="739F4313"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$564 </w:t>
            </w:r>
          </w:p>
        </w:tc>
        <w:tc>
          <w:tcPr>
            <w:tcW w:w="0" w:type="auto"/>
            <w:noWrap/>
            <w:hideMark/>
          </w:tcPr>
          <w:p w:rsidR="00F07448" w:rsidRPr="002A237C" w:rsidP="002A237C" w14:paraId="3FDD1D00"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$74,132,230 </w:t>
            </w:r>
          </w:p>
        </w:tc>
        <w:tc>
          <w:tcPr>
            <w:tcW w:w="0" w:type="auto"/>
            <w:noWrap/>
            <w:hideMark/>
          </w:tcPr>
          <w:p w:rsidR="00F07448" w:rsidRPr="002A237C" w:rsidP="002A237C" w14:paraId="20AE4E76"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$543 </w:t>
            </w:r>
          </w:p>
        </w:tc>
        <w:tc>
          <w:tcPr>
            <w:tcW w:w="0" w:type="auto"/>
            <w:noWrap/>
            <w:hideMark/>
          </w:tcPr>
          <w:p w:rsidR="00F07448" w:rsidRPr="002A237C" w:rsidP="002A237C" w14:paraId="5A04C6F4"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$71,360,932 </w:t>
            </w:r>
          </w:p>
        </w:tc>
      </w:tr>
      <w:tr w14:paraId="0D948125" w14:textId="77777777" w:rsidTr="00240BFC">
        <w:tblPrEx>
          <w:tblW w:w="0" w:type="auto"/>
          <w:tblLook w:val="04A0"/>
        </w:tblPrEx>
        <w:trPr>
          <w:trHeight w:val="288"/>
        </w:trPr>
        <w:tc>
          <w:tcPr>
            <w:tcW w:w="0" w:type="auto"/>
            <w:noWrap/>
            <w:hideMark/>
          </w:tcPr>
          <w:p w:rsidR="00F07448" w:rsidRPr="002A237C" w:rsidP="002A237C" w14:paraId="40ECEAA6" w14:textId="77777777">
            <w:pPr>
              <w:spacing w:after="0" w:line="240" w:lineRule="auto"/>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Compliance Determination</w:t>
            </w:r>
          </w:p>
        </w:tc>
        <w:tc>
          <w:tcPr>
            <w:tcW w:w="0" w:type="auto"/>
            <w:noWrap/>
            <w:hideMark/>
          </w:tcPr>
          <w:p w:rsidR="00F07448" w:rsidRPr="002A237C" w:rsidP="002A237C" w14:paraId="5BF2ACDB"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131,410</w:t>
            </w:r>
          </w:p>
        </w:tc>
        <w:tc>
          <w:tcPr>
            <w:tcW w:w="0" w:type="auto"/>
            <w:noWrap/>
            <w:hideMark/>
          </w:tcPr>
          <w:p w:rsidR="00F07448" w:rsidRPr="002A237C" w:rsidP="002A237C" w14:paraId="07DE4380"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67,536</w:t>
            </w:r>
          </w:p>
        </w:tc>
        <w:tc>
          <w:tcPr>
            <w:tcW w:w="0" w:type="auto"/>
            <w:noWrap/>
          </w:tcPr>
          <w:p w:rsidR="00F07448" w:rsidRPr="002A237C" w:rsidP="002A237C" w14:paraId="7296E6F5" w14:textId="64904FB4">
            <w:pPr>
              <w:spacing w:after="0" w:line="240" w:lineRule="auto"/>
              <w:jc w:val="right"/>
              <w:rPr>
                <w:rFonts w:ascii="Arial Narrow" w:eastAsia="Times New Roman" w:hAnsi="Arial Narrow" w:cs="Arial"/>
                <w:color w:val="000000"/>
                <w:sz w:val="20"/>
                <w:szCs w:val="20"/>
              </w:rPr>
            </w:pPr>
            <w:r>
              <w:rPr>
                <w:rFonts w:ascii="Arial Narrow" w:eastAsia="Times New Roman" w:hAnsi="Arial Narrow" w:cs="Arial"/>
                <w:color w:val="000000"/>
                <w:sz w:val="20"/>
                <w:szCs w:val="20"/>
              </w:rPr>
              <w:t>2,507,7</w:t>
            </w:r>
            <w:r w:rsidR="00B64815">
              <w:rPr>
                <w:rFonts w:ascii="Arial Narrow" w:eastAsia="Times New Roman" w:hAnsi="Arial Narrow" w:cs="Arial"/>
                <w:color w:val="000000"/>
                <w:sz w:val="20"/>
                <w:szCs w:val="20"/>
              </w:rPr>
              <w:t>65</w:t>
            </w:r>
          </w:p>
        </w:tc>
        <w:tc>
          <w:tcPr>
            <w:tcW w:w="0" w:type="auto"/>
            <w:noWrap/>
            <w:hideMark/>
          </w:tcPr>
          <w:p w:rsidR="00F07448" w:rsidRPr="002A237C" w:rsidP="002A237C" w14:paraId="22272CA2"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$1,287 </w:t>
            </w:r>
          </w:p>
        </w:tc>
        <w:tc>
          <w:tcPr>
            <w:tcW w:w="0" w:type="auto"/>
            <w:noWrap/>
            <w:hideMark/>
          </w:tcPr>
          <w:p w:rsidR="00F07448" w:rsidRPr="002A237C" w:rsidP="002A237C" w14:paraId="53E7FE6B"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$169,109,064 </w:t>
            </w:r>
          </w:p>
        </w:tc>
        <w:tc>
          <w:tcPr>
            <w:tcW w:w="0" w:type="auto"/>
            <w:noWrap/>
            <w:hideMark/>
          </w:tcPr>
          <w:p w:rsidR="00F07448" w:rsidRPr="002A237C" w:rsidP="002A237C" w14:paraId="06183839"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$1,218 </w:t>
            </w:r>
          </w:p>
        </w:tc>
        <w:tc>
          <w:tcPr>
            <w:tcW w:w="0" w:type="auto"/>
            <w:noWrap/>
            <w:hideMark/>
          </w:tcPr>
          <w:p w:rsidR="00F07448" w:rsidRPr="002A237C" w:rsidP="002A237C" w14:paraId="6A31A504"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$160,063,504 </w:t>
            </w:r>
          </w:p>
        </w:tc>
      </w:tr>
      <w:tr w14:paraId="06AB8840" w14:textId="77777777" w:rsidTr="00240BFC">
        <w:tblPrEx>
          <w:tblW w:w="0" w:type="auto"/>
          <w:tblLook w:val="04A0"/>
        </w:tblPrEx>
        <w:trPr>
          <w:trHeight w:val="288"/>
        </w:trPr>
        <w:tc>
          <w:tcPr>
            <w:tcW w:w="0" w:type="auto"/>
            <w:noWrap/>
            <w:hideMark/>
          </w:tcPr>
          <w:p w:rsidR="00F07448" w:rsidRPr="002A237C" w:rsidP="002A237C" w14:paraId="152B1121" w14:textId="77777777">
            <w:pPr>
              <w:spacing w:after="0" w:line="240" w:lineRule="auto"/>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Form Completion</w:t>
            </w:r>
          </w:p>
        </w:tc>
        <w:tc>
          <w:tcPr>
            <w:tcW w:w="0" w:type="auto"/>
            <w:noWrap/>
            <w:hideMark/>
          </w:tcPr>
          <w:p w:rsidR="00F07448" w:rsidRPr="002A237C" w:rsidP="002A237C" w14:paraId="303CEAAB"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131,410</w:t>
            </w:r>
          </w:p>
        </w:tc>
        <w:tc>
          <w:tcPr>
            <w:tcW w:w="0" w:type="auto"/>
            <w:noWrap/>
            <w:hideMark/>
          </w:tcPr>
          <w:p w:rsidR="00F07448" w:rsidRPr="002A237C" w:rsidP="002A237C" w14:paraId="2C036722"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67,536</w:t>
            </w:r>
          </w:p>
        </w:tc>
        <w:tc>
          <w:tcPr>
            <w:tcW w:w="0" w:type="auto"/>
            <w:noWrap/>
          </w:tcPr>
          <w:p w:rsidR="00F07448" w:rsidRPr="002A237C" w:rsidP="002A237C" w14:paraId="0128816C" w14:textId="3E582417">
            <w:pPr>
              <w:spacing w:after="0" w:line="240" w:lineRule="auto"/>
              <w:jc w:val="right"/>
              <w:rPr>
                <w:rFonts w:ascii="Arial Narrow" w:eastAsia="Times New Roman" w:hAnsi="Arial Narrow" w:cs="Arial"/>
                <w:color w:val="000000"/>
                <w:sz w:val="20"/>
                <w:szCs w:val="20"/>
              </w:rPr>
            </w:pPr>
            <w:r>
              <w:rPr>
                <w:rFonts w:ascii="Arial Narrow" w:eastAsia="Times New Roman" w:hAnsi="Arial Narrow" w:cs="Arial"/>
                <w:color w:val="000000"/>
                <w:sz w:val="20"/>
                <w:szCs w:val="20"/>
              </w:rPr>
              <w:t>445,844</w:t>
            </w:r>
          </w:p>
        </w:tc>
        <w:tc>
          <w:tcPr>
            <w:tcW w:w="0" w:type="auto"/>
            <w:noWrap/>
            <w:hideMark/>
          </w:tcPr>
          <w:p w:rsidR="00F07448" w:rsidRPr="002A237C" w:rsidP="002A237C" w14:paraId="09F9BF0A"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$264 </w:t>
            </w:r>
          </w:p>
        </w:tc>
        <w:tc>
          <w:tcPr>
            <w:tcW w:w="0" w:type="auto"/>
            <w:noWrap/>
            <w:hideMark/>
          </w:tcPr>
          <w:p w:rsidR="00F07448" w:rsidRPr="002A237C" w:rsidP="002A237C" w14:paraId="4D229BF4"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$34,727,971 </w:t>
            </w:r>
          </w:p>
        </w:tc>
        <w:tc>
          <w:tcPr>
            <w:tcW w:w="0" w:type="auto"/>
            <w:noWrap/>
            <w:hideMark/>
          </w:tcPr>
          <w:p w:rsidR="00F07448" w:rsidRPr="002A237C" w:rsidP="002A237C" w14:paraId="43C5C342"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$247 </w:t>
            </w:r>
          </w:p>
        </w:tc>
        <w:tc>
          <w:tcPr>
            <w:tcW w:w="0" w:type="auto"/>
            <w:noWrap/>
            <w:hideMark/>
          </w:tcPr>
          <w:p w:rsidR="00F07448" w:rsidRPr="002A237C" w:rsidP="002A237C" w14:paraId="14E09472"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$32,413,451 </w:t>
            </w:r>
          </w:p>
        </w:tc>
      </w:tr>
      <w:tr w14:paraId="631F0516" w14:textId="77777777" w:rsidTr="00240BFC">
        <w:tblPrEx>
          <w:tblW w:w="0" w:type="auto"/>
          <w:tblLook w:val="04A0"/>
        </w:tblPrEx>
        <w:trPr>
          <w:trHeight w:val="288"/>
        </w:trPr>
        <w:tc>
          <w:tcPr>
            <w:tcW w:w="0" w:type="auto"/>
            <w:noWrap/>
            <w:hideMark/>
          </w:tcPr>
          <w:p w:rsidR="00F07448" w:rsidRPr="002A237C" w:rsidP="002A237C" w14:paraId="7D96A084" w14:textId="77777777">
            <w:pPr>
              <w:spacing w:after="0" w:line="240" w:lineRule="auto"/>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CBI Substantiation</w:t>
            </w:r>
          </w:p>
        </w:tc>
        <w:tc>
          <w:tcPr>
            <w:tcW w:w="0" w:type="auto"/>
            <w:noWrap/>
            <w:hideMark/>
          </w:tcPr>
          <w:p w:rsidR="00F07448" w:rsidRPr="002A237C" w:rsidP="002A237C" w14:paraId="1698DAAC"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131,410</w:t>
            </w:r>
          </w:p>
        </w:tc>
        <w:tc>
          <w:tcPr>
            <w:tcW w:w="0" w:type="auto"/>
            <w:noWrap/>
            <w:hideMark/>
          </w:tcPr>
          <w:p w:rsidR="00F07448" w:rsidRPr="002A237C" w:rsidP="002A237C" w14:paraId="0109AF90"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67,536</w:t>
            </w:r>
          </w:p>
        </w:tc>
        <w:tc>
          <w:tcPr>
            <w:tcW w:w="0" w:type="auto"/>
            <w:noWrap/>
          </w:tcPr>
          <w:p w:rsidR="00F07448" w:rsidRPr="002A237C" w:rsidP="002A237C" w14:paraId="121F09C7" w14:textId="039BEB8F">
            <w:pPr>
              <w:spacing w:after="0" w:line="240" w:lineRule="auto"/>
              <w:jc w:val="right"/>
              <w:rPr>
                <w:rFonts w:ascii="Arial Narrow" w:eastAsia="Times New Roman" w:hAnsi="Arial Narrow" w:cs="Arial"/>
                <w:color w:val="000000"/>
                <w:sz w:val="20"/>
                <w:szCs w:val="20"/>
              </w:rPr>
            </w:pPr>
            <w:r>
              <w:rPr>
                <w:rFonts w:ascii="Arial Narrow" w:eastAsia="Times New Roman" w:hAnsi="Arial Narrow" w:cs="Arial"/>
                <w:color w:val="000000"/>
                <w:sz w:val="20"/>
                <w:szCs w:val="20"/>
              </w:rPr>
              <w:t>10,032</w:t>
            </w:r>
          </w:p>
        </w:tc>
        <w:tc>
          <w:tcPr>
            <w:tcW w:w="0" w:type="auto"/>
            <w:noWrap/>
            <w:hideMark/>
          </w:tcPr>
          <w:p w:rsidR="00F07448" w:rsidRPr="002A237C" w:rsidP="002A237C" w14:paraId="4BC6DCC0"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$6 </w:t>
            </w:r>
          </w:p>
        </w:tc>
        <w:tc>
          <w:tcPr>
            <w:tcW w:w="0" w:type="auto"/>
            <w:noWrap/>
            <w:hideMark/>
          </w:tcPr>
          <w:p w:rsidR="00F07448" w:rsidRPr="002A237C" w:rsidP="002A237C" w14:paraId="270F9A34"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$794,158 </w:t>
            </w:r>
          </w:p>
        </w:tc>
        <w:tc>
          <w:tcPr>
            <w:tcW w:w="0" w:type="auto"/>
            <w:noWrap/>
            <w:hideMark/>
          </w:tcPr>
          <w:p w:rsidR="00F07448" w:rsidRPr="002A237C" w:rsidP="002A237C" w14:paraId="1C9B7850"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$6 </w:t>
            </w:r>
          </w:p>
        </w:tc>
        <w:tc>
          <w:tcPr>
            <w:tcW w:w="0" w:type="auto"/>
            <w:noWrap/>
            <w:hideMark/>
          </w:tcPr>
          <w:p w:rsidR="00F07448" w:rsidRPr="002A237C" w:rsidP="002A237C" w14:paraId="13634A1D"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$739,747 </w:t>
            </w:r>
          </w:p>
        </w:tc>
      </w:tr>
      <w:tr w14:paraId="75530734" w14:textId="77777777" w:rsidTr="00240BFC">
        <w:tblPrEx>
          <w:tblW w:w="0" w:type="auto"/>
          <w:tblLook w:val="04A0"/>
        </w:tblPrEx>
        <w:trPr>
          <w:trHeight w:val="288"/>
        </w:trPr>
        <w:tc>
          <w:tcPr>
            <w:tcW w:w="0" w:type="auto"/>
            <w:noWrap/>
            <w:hideMark/>
          </w:tcPr>
          <w:p w:rsidR="00F07448" w:rsidRPr="002A237C" w:rsidP="002A237C" w14:paraId="381312EE" w14:textId="77777777">
            <w:pPr>
              <w:spacing w:after="0" w:line="240" w:lineRule="auto"/>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Recordkeeping</w:t>
            </w:r>
          </w:p>
        </w:tc>
        <w:tc>
          <w:tcPr>
            <w:tcW w:w="0" w:type="auto"/>
            <w:noWrap/>
            <w:hideMark/>
          </w:tcPr>
          <w:p w:rsidR="00F07448" w:rsidRPr="002A237C" w:rsidP="002A237C" w14:paraId="4ECA0A8E"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131,410</w:t>
            </w:r>
          </w:p>
        </w:tc>
        <w:tc>
          <w:tcPr>
            <w:tcW w:w="0" w:type="auto"/>
            <w:noWrap/>
            <w:hideMark/>
          </w:tcPr>
          <w:p w:rsidR="00F07448" w:rsidRPr="002A237C" w:rsidP="002A237C" w14:paraId="3803B81D"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67,536</w:t>
            </w:r>
          </w:p>
        </w:tc>
        <w:tc>
          <w:tcPr>
            <w:tcW w:w="0" w:type="auto"/>
            <w:noWrap/>
          </w:tcPr>
          <w:p w:rsidR="00F07448" w:rsidRPr="002A237C" w:rsidP="002A237C" w14:paraId="7BDB00F6" w14:textId="27DA5BD1">
            <w:pPr>
              <w:spacing w:after="0" w:line="240" w:lineRule="auto"/>
              <w:jc w:val="right"/>
              <w:rPr>
                <w:rFonts w:ascii="Arial Narrow" w:eastAsia="Times New Roman" w:hAnsi="Arial Narrow" w:cs="Arial"/>
                <w:color w:val="000000"/>
                <w:sz w:val="20"/>
                <w:szCs w:val="20"/>
              </w:rPr>
            </w:pPr>
            <w:r>
              <w:rPr>
                <w:rFonts w:ascii="Arial Narrow" w:eastAsia="Times New Roman" w:hAnsi="Arial Narrow" w:cs="Arial"/>
                <w:color w:val="000000"/>
                <w:sz w:val="20"/>
                <w:szCs w:val="20"/>
              </w:rPr>
              <w:t>22,512</w:t>
            </w:r>
          </w:p>
        </w:tc>
        <w:tc>
          <w:tcPr>
            <w:tcW w:w="0" w:type="auto"/>
            <w:noWrap/>
            <w:hideMark/>
          </w:tcPr>
          <w:p w:rsidR="00F07448" w:rsidRPr="002A237C" w:rsidP="002A237C" w14:paraId="1BC0E61E"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$10 </w:t>
            </w:r>
          </w:p>
        </w:tc>
        <w:tc>
          <w:tcPr>
            <w:tcW w:w="0" w:type="auto"/>
            <w:noWrap/>
            <w:hideMark/>
          </w:tcPr>
          <w:p w:rsidR="00F07448" w:rsidRPr="002A237C" w:rsidP="002A237C" w14:paraId="5248C3F8"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$1,312,390 </w:t>
            </w:r>
          </w:p>
        </w:tc>
        <w:tc>
          <w:tcPr>
            <w:tcW w:w="0" w:type="auto"/>
            <w:noWrap/>
            <w:hideMark/>
          </w:tcPr>
          <w:p w:rsidR="00F07448" w:rsidRPr="002A237C" w:rsidP="002A237C" w14:paraId="4C92EE57"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$9 </w:t>
            </w:r>
          </w:p>
        </w:tc>
        <w:tc>
          <w:tcPr>
            <w:tcW w:w="0" w:type="auto"/>
            <w:noWrap/>
            <w:hideMark/>
          </w:tcPr>
          <w:p w:rsidR="00F07448" w:rsidRPr="002A237C" w:rsidP="002A237C" w14:paraId="3BCE5300"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$1,221,743 </w:t>
            </w:r>
          </w:p>
        </w:tc>
      </w:tr>
      <w:tr w14:paraId="128C2B58" w14:textId="77777777" w:rsidTr="00240BFC">
        <w:tblPrEx>
          <w:tblW w:w="0" w:type="auto"/>
          <w:tblLook w:val="04A0"/>
        </w:tblPrEx>
        <w:trPr>
          <w:trHeight w:val="288"/>
        </w:trPr>
        <w:tc>
          <w:tcPr>
            <w:tcW w:w="0" w:type="auto"/>
            <w:noWrap/>
            <w:hideMark/>
          </w:tcPr>
          <w:p w:rsidR="00F07448" w:rsidRPr="002A237C" w:rsidP="002A237C" w14:paraId="0D485ECA" w14:textId="77777777">
            <w:pPr>
              <w:spacing w:after="0" w:line="240" w:lineRule="auto"/>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CDX Registration</w:t>
            </w:r>
          </w:p>
        </w:tc>
        <w:tc>
          <w:tcPr>
            <w:tcW w:w="0" w:type="auto"/>
            <w:noWrap/>
            <w:hideMark/>
          </w:tcPr>
          <w:p w:rsidR="00F07448" w:rsidRPr="002A237C" w:rsidP="002A237C" w14:paraId="2C691977"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131,410</w:t>
            </w:r>
          </w:p>
        </w:tc>
        <w:tc>
          <w:tcPr>
            <w:tcW w:w="0" w:type="auto"/>
            <w:noWrap/>
            <w:hideMark/>
          </w:tcPr>
          <w:p w:rsidR="00F07448" w:rsidRPr="002A237C" w:rsidP="002A237C" w14:paraId="5702B8E7"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67,536</w:t>
            </w:r>
          </w:p>
        </w:tc>
        <w:tc>
          <w:tcPr>
            <w:tcW w:w="0" w:type="auto"/>
            <w:noWrap/>
          </w:tcPr>
          <w:p w:rsidR="00F07448" w:rsidRPr="002A237C" w:rsidP="002A237C" w14:paraId="2634274D" w14:textId="0E0EEE98">
            <w:pPr>
              <w:spacing w:after="0" w:line="240" w:lineRule="auto"/>
              <w:jc w:val="right"/>
              <w:rPr>
                <w:rFonts w:ascii="Arial Narrow" w:eastAsia="Times New Roman" w:hAnsi="Arial Narrow" w:cs="Arial"/>
                <w:color w:val="000000"/>
                <w:sz w:val="20"/>
                <w:szCs w:val="20"/>
              </w:rPr>
            </w:pPr>
            <w:r>
              <w:rPr>
                <w:rFonts w:ascii="Arial Narrow" w:eastAsia="Times New Roman" w:hAnsi="Arial Narrow" w:cs="Arial"/>
                <w:color w:val="000000"/>
                <w:sz w:val="20"/>
                <w:szCs w:val="20"/>
              </w:rPr>
              <w:t>11,883</w:t>
            </w:r>
          </w:p>
        </w:tc>
        <w:tc>
          <w:tcPr>
            <w:tcW w:w="0" w:type="auto"/>
            <w:noWrap/>
            <w:hideMark/>
          </w:tcPr>
          <w:p w:rsidR="00F07448" w:rsidRPr="002A237C" w:rsidP="002A237C" w14:paraId="39D471BD"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$8 </w:t>
            </w:r>
          </w:p>
        </w:tc>
        <w:tc>
          <w:tcPr>
            <w:tcW w:w="0" w:type="auto"/>
            <w:noWrap/>
            <w:hideMark/>
          </w:tcPr>
          <w:p w:rsidR="00F07448" w:rsidRPr="002A237C" w:rsidP="002A237C" w14:paraId="261C456A"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$993,544 </w:t>
            </w:r>
          </w:p>
        </w:tc>
        <w:tc>
          <w:tcPr>
            <w:tcW w:w="0" w:type="auto"/>
            <w:noWrap/>
            <w:hideMark/>
          </w:tcPr>
          <w:p w:rsidR="00F07448" w:rsidRPr="002A237C" w:rsidP="002A237C" w14:paraId="259FC09C"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$7 </w:t>
            </w:r>
          </w:p>
        </w:tc>
        <w:tc>
          <w:tcPr>
            <w:tcW w:w="0" w:type="auto"/>
            <w:noWrap/>
            <w:hideMark/>
          </w:tcPr>
          <w:p w:rsidR="00F07448" w:rsidRPr="002A237C" w:rsidP="002A237C" w14:paraId="7CACF6FC" w14:textId="77777777">
            <w:pPr>
              <w:spacing w:after="0" w:line="240" w:lineRule="auto"/>
              <w:jc w:val="right"/>
              <w:rPr>
                <w:rFonts w:ascii="Arial Narrow" w:eastAsia="Times New Roman" w:hAnsi="Arial Narrow" w:cs="Arial"/>
                <w:color w:val="000000"/>
                <w:sz w:val="20"/>
                <w:szCs w:val="20"/>
              </w:rPr>
            </w:pPr>
            <w:r w:rsidRPr="002A237C">
              <w:rPr>
                <w:rFonts w:ascii="Arial Narrow" w:eastAsia="Times New Roman" w:hAnsi="Arial Narrow" w:cs="Arial"/>
                <w:color w:val="000000"/>
                <w:sz w:val="20"/>
                <w:szCs w:val="20"/>
              </w:rPr>
              <w:t xml:space="preserve">$924,585 </w:t>
            </w:r>
          </w:p>
        </w:tc>
      </w:tr>
      <w:tr w14:paraId="7EC37000" w14:textId="77777777" w:rsidTr="003529B3">
        <w:tblPrEx>
          <w:tblW w:w="0" w:type="auto"/>
          <w:tblLook w:val="04A0"/>
        </w:tblPrEx>
        <w:trPr>
          <w:trHeight w:val="288"/>
        </w:trPr>
        <w:tc>
          <w:tcPr>
            <w:tcW w:w="0" w:type="auto"/>
            <w:noWrap/>
            <w:hideMark/>
          </w:tcPr>
          <w:p w:rsidR="00F07448" w:rsidRPr="002A237C" w:rsidP="002A237C" w14:paraId="266783F2" w14:textId="77777777">
            <w:pPr>
              <w:spacing w:after="0" w:line="240" w:lineRule="auto"/>
              <w:rPr>
                <w:rFonts w:ascii="Arial Narrow" w:eastAsia="Times New Roman" w:hAnsi="Arial Narrow" w:cs="Arial"/>
                <w:b/>
                <w:bCs/>
                <w:color w:val="000000"/>
                <w:sz w:val="20"/>
                <w:szCs w:val="20"/>
              </w:rPr>
            </w:pPr>
            <w:bookmarkStart w:id="0" w:name="_Hlk146778740"/>
            <w:r w:rsidRPr="002A237C">
              <w:rPr>
                <w:rFonts w:ascii="Arial Narrow" w:eastAsia="Times New Roman" w:hAnsi="Arial Narrow" w:cs="Arial"/>
                <w:b/>
                <w:bCs/>
                <w:color w:val="000000"/>
                <w:sz w:val="20"/>
                <w:szCs w:val="20"/>
              </w:rPr>
              <w:t>Respondent Total</w:t>
            </w:r>
          </w:p>
        </w:tc>
        <w:tc>
          <w:tcPr>
            <w:tcW w:w="0" w:type="auto"/>
            <w:noWrap/>
            <w:hideMark/>
          </w:tcPr>
          <w:p w:rsidR="00F07448" w:rsidRPr="002A237C" w:rsidP="002A237C" w14:paraId="6C3D9E7F" w14:textId="77777777">
            <w:pPr>
              <w:spacing w:after="0" w:line="240" w:lineRule="auto"/>
              <w:jc w:val="right"/>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131,410</w:t>
            </w:r>
          </w:p>
        </w:tc>
        <w:tc>
          <w:tcPr>
            <w:tcW w:w="0" w:type="auto"/>
            <w:noWrap/>
            <w:hideMark/>
          </w:tcPr>
          <w:p w:rsidR="00F07448" w:rsidRPr="002A237C" w:rsidP="002A237C" w14:paraId="12F66833" w14:textId="77777777">
            <w:pPr>
              <w:spacing w:after="0" w:line="240" w:lineRule="auto"/>
              <w:jc w:val="right"/>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67,536</w:t>
            </w:r>
          </w:p>
        </w:tc>
        <w:tc>
          <w:tcPr>
            <w:tcW w:w="0" w:type="auto"/>
            <w:noWrap/>
            <w:hideMark/>
          </w:tcPr>
          <w:p w:rsidR="00F07448" w:rsidRPr="002A237C" w:rsidP="002A237C" w14:paraId="5C255F04" w14:textId="17CFC63F">
            <w:pPr>
              <w:spacing w:after="0" w:line="240" w:lineRule="auto"/>
              <w:jc w:val="right"/>
              <w:rPr>
                <w:rFonts w:ascii="Arial Narrow" w:eastAsia="Times New Roman" w:hAnsi="Arial Narrow" w:cs="Arial"/>
                <w:b/>
                <w:bCs/>
                <w:color w:val="000000"/>
                <w:sz w:val="20"/>
                <w:szCs w:val="20"/>
              </w:rPr>
            </w:pPr>
            <w:r>
              <w:rPr>
                <w:rFonts w:ascii="Arial Narrow" w:eastAsia="Times New Roman" w:hAnsi="Arial Narrow" w:cs="Arial"/>
                <w:b/>
                <w:bCs/>
                <w:color w:val="000000"/>
                <w:sz w:val="20"/>
                <w:szCs w:val="20"/>
              </w:rPr>
              <w:t>3,878,744</w:t>
            </w:r>
          </w:p>
        </w:tc>
        <w:tc>
          <w:tcPr>
            <w:tcW w:w="0" w:type="auto"/>
            <w:noWrap/>
            <w:hideMark/>
          </w:tcPr>
          <w:p w:rsidR="00F07448" w:rsidRPr="002A237C" w:rsidP="002A237C" w14:paraId="20BB1491" w14:textId="77777777">
            <w:pPr>
              <w:spacing w:after="0" w:line="240" w:lineRule="auto"/>
              <w:jc w:val="right"/>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 xml:space="preserve">$2,139 </w:t>
            </w:r>
          </w:p>
        </w:tc>
        <w:tc>
          <w:tcPr>
            <w:tcW w:w="0" w:type="auto"/>
            <w:noWrap/>
            <w:hideMark/>
          </w:tcPr>
          <w:p w:rsidR="00F07448" w:rsidRPr="002A237C" w:rsidP="002A237C" w14:paraId="4410B8AC" w14:textId="77777777">
            <w:pPr>
              <w:spacing w:after="0" w:line="240" w:lineRule="auto"/>
              <w:jc w:val="right"/>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 xml:space="preserve">$281,069,356 </w:t>
            </w:r>
          </w:p>
        </w:tc>
        <w:tc>
          <w:tcPr>
            <w:tcW w:w="0" w:type="auto"/>
            <w:noWrap/>
            <w:hideMark/>
          </w:tcPr>
          <w:p w:rsidR="00F07448" w:rsidRPr="002A237C" w:rsidP="002A237C" w14:paraId="50896896" w14:textId="77777777">
            <w:pPr>
              <w:spacing w:after="0" w:line="240" w:lineRule="auto"/>
              <w:jc w:val="right"/>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 xml:space="preserve">$2,030 </w:t>
            </w:r>
          </w:p>
        </w:tc>
        <w:tc>
          <w:tcPr>
            <w:tcW w:w="0" w:type="auto"/>
            <w:noWrap/>
            <w:hideMark/>
          </w:tcPr>
          <w:p w:rsidR="00F07448" w:rsidRPr="002A237C" w:rsidP="002A237C" w14:paraId="427E34FC" w14:textId="77777777">
            <w:pPr>
              <w:spacing w:after="0" w:line="240" w:lineRule="auto"/>
              <w:jc w:val="right"/>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 xml:space="preserve">$266,723,961 </w:t>
            </w:r>
          </w:p>
        </w:tc>
      </w:tr>
      <w:bookmarkEnd w:id="0"/>
      <w:tr w14:paraId="309D779D" w14:textId="77777777" w:rsidTr="003529B3">
        <w:tblPrEx>
          <w:tblW w:w="0" w:type="auto"/>
          <w:tblLook w:val="04A0"/>
        </w:tblPrEx>
        <w:trPr>
          <w:trHeight w:val="288"/>
        </w:trPr>
        <w:tc>
          <w:tcPr>
            <w:tcW w:w="0" w:type="auto"/>
            <w:noWrap/>
            <w:hideMark/>
          </w:tcPr>
          <w:p w:rsidR="00F07448" w:rsidRPr="002A237C" w:rsidP="002A237C" w14:paraId="2AACA2A4" w14:textId="77777777">
            <w:pPr>
              <w:spacing w:after="0" w:line="240" w:lineRule="auto"/>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Agency</w:t>
            </w:r>
          </w:p>
        </w:tc>
        <w:tc>
          <w:tcPr>
            <w:tcW w:w="0" w:type="auto"/>
            <w:noWrap/>
            <w:hideMark/>
          </w:tcPr>
          <w:p w:rsidR="00F07448" w:rsidRPr="002A237C" w:rsidP="002A237C" w14:paraId="3BE8441F" w14:textId="77777777">
            <w:pPr>
              <w:spacing w:after="0" w:line="240" w:lineRule="auto"/>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 </w:t>
            </w:r>
          </w:p>
        </w:tc>
        <w:tc>
          <w:tcPr>
            <w:tcW w:w="0" w:type="auto"/>
            <w:noWrap/>
            <w:hideMark/>
          </w:tcPr>
          <w:p w:rsidR="00F07448" w:rsidRPr="002A237C" w:rsidP="002A237C" w14:paraId="588A2B3B" w14:textId="77777777">
            <w:pPr>
              <w:spacing w:after="0" w:line="240" w:lineRule="auto"/>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 </w:t>
            </w:r>
          </w:p>
        </w:tc>
        <w:tc>
          <w:tcPr>
            <w:tcW w:w="0" w:type="auto"/>
            <w:noWrap/>
            <w:hideMark/>
          </w:tcPr>
          <w:p w:rsidR="00F07448" w:rsidRPr="002A237C" w:rsidP="002A237C" w14:paraId="49956FC5" w14:textId="77777777">
            <w:pPr>
              <w:spacing w:after="0" w:line="240" w:lineRule="auto"/>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 </w:t>
            </w:r>
          </w:p>
        </w:tc>
        <w:tc>
          <w:tcPr>
            <w:tcW w:w="0" w:type="auto"/>
            <w:noWrap/>
            <w:hideMark/>
          </w:tcPr>
          <w:p w:rsidR="00F07448" w:rsidRPr="002A237C" w:rsidP="002A237C" w14:paraId="04EDA5D2" w14:textId="77777777">
            <w:pPr>
              <w:spacing w:after="0" w:line="240" w:lineRule="auto"/>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 </w:t>
            </w:r>
          </w:p>
        </w:tc>
        <w:tc>
          <w:tcPr>
            <w:tcW w:w="0" w:type="auto"/>
            <w:noWrap/>
            <w:hideMark/>
          </w:tcPr>
          <w:p w:rsidR="00F07448" w:rsidRPr="002A237C" w:rsidP="002A237C" w14:paraId="2BFF272E" w14:textId="77777777">
            <w:pPr>
              <w:spacing w:after="0" w:line="240" w:lineRule="auto"/>
              <w:jc w:val="right"/>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 xml:space="preserve">$537,567 </w:t>
            </w:r>
          </w:p>
        </w:tc>
        <w:tc>
          <w:tcPr>
            <w:tcW w:w="0" w:type="auto"/>
            <w:noWrap/>
            <w:hideMark/>
          </w:tcPr>
          <w:p w:rsidR="00F07448" w:rsidRPr="002A237C" w:rsidP="002A237C" w14:paraId="768EEAE5" w14:textId="77777777">
            <w:pPr>
              <w:spacing w:after="0" w:line="240" w:lineRule="auto"/>
              <w:rPr>
                <w:rFonts w:eastAsia="Times New Roman" w:cs="Arial"/>
                <w:color w:val="000000"/>
                <w:sz w:val="22"/>
              </w:rPr>
            </w:pPr>
            <w:r w:rsidRPr="002A237C">
              <w:rPr>
                <w:rFonts w:eastAsia="Times New Roman" w:cs="Arial"/>
                <w:color w:val="000000"/>
                <w:sz w:val="22"/>
              </w:rPr>
              <w:t> </w:t>
            </w:r>
          </w:p>
        </w:tc>
        <w:tc>
          <w:tcPr>
            <w:tcW w:w="0" w:type="auto"/>
            <w:noWrap/>
            <w:hideMark/>
          </w:tcPr>
          <w:p w:rsidR="00F07448" w:rsidRPr="002A237C" w:rsidP="002A237C" w14:paraId="63D65591" w14:textId="77777777">
            <w:pPr>
              <w:spacing w:after="0" w:line="240" w:lineRule="auto"/>
              <w:jc w:val="right"/>
              <w:rPr>
                <w:rFonts w:ascii="Arial Narrow" w:eastAsia="Times New Roman" w:hAnsi="Arial Narrow" w:cs="Arial"/>
                <w:b/>
                <w:bCs/>
                <w:color w:val="000000"/>
                <w:sz w:val="20"/>
                <w:szCs w:val="20"/>
              </w:rPr>
            </w:pPr>
            <w:r w:rsidRPr="002A237C">
              <w:rPr>
                <w:rFonts w:ascii="Arial Narrow" w:eastAsia="Times New Roman" w:hAnsi="Arial Narrow" w:cs="Arial"/>
                <w:b/>
                <w:bCs/>
                <w:color w:val="000000"/>
                <w:sz w:val="20"/>
                <w:szCs w:val="20"/>
              </w:rPr>
              <w:t xml:space="preserve">$520,871 </w:t>
            </w:r>
          </w:p>
        </w:tc>
      </w:tr>
    </w:tbl>
    <w:p w:rsidR="6D5BA1AE" w:rsidP="006254B2" w14:paraId="2F3C4ACC" w14:textId="5C466821">
      <w:pPr>
        <w:rPr>
          <w:rFonts w:eastAsia="Arial" w:cs="Arial"/>
          <w:szCs w:val="24"/>
        </w:rPr>
      </w:pPr>
    </w:p>
    <w:p w:rsidR="00EC4305" w:rsidRPr="00E31F81" w:rsidP="00E31F81" w14:paraId="3D1E0AC5" w14:textId="3F5322C1">
      <w:pPr>
        <w:pStyle w:val="Heading1"/>
      </w:pPr>
      <w:r w:rsidRPr="00E31F81">
        <w:t>SUPPORTING STATEMENT</w:t>
      </w:r>
    </w:p>
    <w:p w:rsidR="00B41A83" w:rsidP="0068004C" w14:paraId="6775B620" w14:textId="65C2B3FB">
      <w:pPr>
        <w:pStyle w:val="Heading2"/>
        <w:rPr>
          <w:i w:val="0"/>
          <w:iCs w:val="0"/>
        </w:rPr>
      </w:pPr>
      <w:r w:rsidRPr="00B95D15">
        <w:rPr>
          <w:i w:val="0"/>
          <w:iCs w:val="0"/>
        </w:rPr>
        <w:t xml:space="preserve">1. </w:t>
      </w:r>
      <w:r w:rsidRPr="00B95D15" w:rsidR="00EC4305">
        <w:rPr>
          <w:i w:val="0"/>
          <w:iCs w:val="0"/>
        </w:rPr>
        <w:t>Explain the circumstances that make the collection of information necessary.</w:t>
      </w:r>
      <w:r w:rsidRPr="00B95D15" w:rsidR="007346B1">
        <w:rPr>
          <w:i w:val="0"/>
          <w:iCs w:val="0"/>
        </w:rPr>
        <w:t xml:space="preserve"> Identify any legal or administrative requirements that necessitate the collection. Attach a copy of the appropriate section of each statute and regulation mandating or authorizing the collection of information.</w:t>
      </w:r>
    </w:p>
    <w:p w:rsidR="0028625D" w:rsidRPr="0028625D" w:rsidP="0028625D" w14:paraId="2E906EC7" w14:textId="7F0EA321">
      <w:pPr>
        <w:pStyle w:val="BodyText"/>
        <w:spacing w:after="200" w:line="276" w:lineRule="auto"/>
        <w:rPr>
          <w:rFonts w:ascii="Arial" w:hAnsi="Arial" w:cs="Arial"/>
          <w:sz w:val="24"/>
          <w:szCs w:val="24"/>
        </w:rPr>
      </w:pPr>
      <w:r w:rsidRPr="0028625D">
        <w:rPr>
          <w:rFonts w:ascii="Arial" w:hAnsi="Arial" w:cs="Arial"/>
          <w:sz w:val="24"/>
          <w:szCs w:val="24"/>
        </w:rPr>
        <w:t xml:space="preserve">TSCA section 8(a)(7) (15 USC 2607) </w:t>
      </w:r>
      <w:r w:rsidR="0069542C">
        <w:rPr>
          <w:rFonts w:ascii="Arial" w:hAnsi="Arial" w:cs="Arial"/>
          <w:sz w:val="24"/>
          <w:szCs w:val="24"/>
        </w:rPr>
        <w:t>requires</w:t>
      </w:r>
      <w:r w:rsidRPr="0028625D" w:rsidR="0069542C">
        <w:rPr>
          <w:rFonts w:ascii="Arial" w:hAnsi="Arial" w:cs="Arial"/>
          <w:sz w:val="24"/>
          <w:szCs w:val="24"/>
        </w:rPr>
        <w:t xml:space="preserve"> </w:t>
      </w:r>
      <w:r w:rsidRPr="0028625D">
        <w:rPr>
          <w:rFonts w:ascii="Arial" w:hAnsi="Arial" w:cs="Arial"/>
          <w:sz w:val="24"/>
          <w:szCs w:val="24"/>
        </w:rPr>
        <w:t xml:space="preserve">EPA to collect certain information on PFAS manufactured (including imported) in the United States </w:t>
      </w:r>
      <w:r w:rsidR="0069542C">
        <w:rPr>
          <w:rFonts w:ascii="Arial" w:hAnsi="Arial" w:cs="Arial"/>
          <w:sz w:val="24"/>
          <w:szCs w:val="24"/>
        </w:rPr>
        <w:t xml:space="preserve">in any year </w:t>
      </w:r>
      <w:r w:rsidRPr="0028625D">
        <w:rPr>
          <w:rFonts w:ascii="Arial" w:hAnsi="Arial" w:cs="Arial"/>
          <w:sz w:val="24"/>
          <w:szCs w:val="24"/>
        </w:rPr>
        <w:t>since January 1, 2011</w:t>
      </w:r>
      <w:r w:rsidR="001A70E0">
        <w:rPr>
          <w:rFonts w:ascii="Arial" w:hAnsi="Arial" w:cs="Arial"/>
          <w:sz w:val="24"/>
          <w:szCs w:val="24"/>
        </w:rPr>
        <w:t xml:space="preserve"> (Attachment B)</w:t>
      </w:r>
      <w:r w:rsidRPr="0028625D">
        <w:rPr>
          <w:rFonts w:ascii="Arial" w:hAnsi="Arial" w:cs="Arial"/>
          <w:sz w:val="24"/>
          <w:szCs w:val="24"/>
        </w:rPr>
        <w:t xml:space="preserve">. In addition, the requirements were put in place following enactment of the FY2020 National Defense Authorization Act, which amended TSCA in December 2019. Claims of confidentiality are covered under TSCA section 14 (See </w:t>
      </w:r>
      <w:hyperlink r:id="rId9" w:history="1">
        <w:r w:rsidRPr="0028625D">
          <w:rPr>
            <w:rFonts w:ascii="Arial" w:hAnsi="Arial" w:cs="Arial"/>
            <w:color w:val="0000FF"/>
            <w:sz w:val="24"/>
            <w:szCs w:val="24"/>
            <w:u w:val="single"/>
          </w:rPr>
          <w:t>82 FR 6522</w:t>
        </w:r>
      </w:hyperlink>
      <w:r w:rsidRPr="0028625D">
        <w:rPr>
          <w:rFonts w:ascii="Arial" w:hAnsi="Arial" w:cs="Arial"/>
          <w:sz w:val="24"/>
          <w:szCs w:val="24"/>
        </w:rPr>
        <w:t xml:space="preserve">, January 19, 2017). </w:t>
      </w:r>
    </w:p>
    <w:p w:rsidR="00B41A83" w:rsidP="0068004C" w14:paraId="7EE31A77" w14:textId="70C8A227">
      <w:pPr>
        <w:pStyle w:val="Heading2"/>
        <w:rPr>
          <w:i w:val="0"/>
          <w:iCs w:val="0"/>
        </w:rPr>
      </w:pPr>
      <w:r>
        <w:t xml:space="preserve">2. </w:t>
      </w:r>
      <w:r w:rsidRPr="00B95D15" w:rsidR="00EC4305">
        <w:rPr>
          <w:i w:val="0"/>
          <w:iCs w:val="0"/>
        </w:rPr>
        <w:t>Indicate how, by whom, and for what purpose the information is to be used. Except for a new collection, indicate the actual use the Agency has made of the information received from the current collection.</w:t>
      </w:r>
    </w:p>
    <w:p w:rsidR="0028625D" w:rsidRPr="0028625D" w:rsidP="0028625D" w14:paraId="5463C3BF" w14:textId="6F9518EE">
      <w:pPr>
        <w:pStyle w:val="BodyText"/>
        <w:spacing w:after="200" w:line="276" w:lineRule="auto"/>
        <w:rPr>
          <w:rFonts w:asciiTheme="minorHAnsi" w:hAnsiTheme="minorHAnsi" w:cstheme="minorHAnsi"/>
          <w:sz w:val="24"/>
          <w:szCs w:val="24"/>
        </w:rPr>
      </w:pPr>
      <w:r w:rsidRPr="0028625D">
        <w:rPr>
          <w:rFonts w:asciiTheme="minorHAnsi" w:hAnsiTheme="minorHAnsi" w:cstheme="minorHAnsi"/>
          <w:sz w:val="24"/>
          <w:szCs w:val="24"/>
        </w:rPr>
        <w:t>Under TSCA, EPA is charged with protecting human health and the environment from potential chemical risks. Through the PFAS Data Call regulation, EPA collects exposure-related manufacturing information and all existing information concerning the environmental and health effects of the</w:t>
      </w:r>
      <w:r w:rsidR="0061795A">
        <w:rPr>
          <w:rFonts w:asciiTheme="minorHAnsi" w:hAnsiTheme="minorHAnsi" w:cstheme="minorHAnsi"/>
          <w:sz w:val="24"/>
          <w:szCs w:val="24"/>
        </w:rPr>
        <w:t>se</w:t>
      </w:r>
      <w:r w:rsidRPr="0028625D">
        <w:rPr>
          <w:rFonts w:asciiTheme="minorHAnsi" w:hAnsiTheme="minorHAnsi" w:cstheme="minorHAnsi"/>
          <w:sz w:val="24"/>
          <w:szCs w:val="24"/>
        </w:rPr>
        <w:t xml:space="preserve"> chemicals. These data are used by the Agency and others in a wide range of activities. </w:t>
      </w:r>
    </w:p>
    <w:p w:rsidR="0028625D" w:rsidRPr="0028625D" w:rsidP="0028625D" w14:paraId="125960CA" w14:textId="77777777">
      <w:pPr>
        <w:pStyle w:val="BodyText"/>
        <w:spacing w:after="200" w:line="276" w:lineRule="auto"/>
        <w:rPr>
          <w:rFonts w:asciiTheme="minorHAnsi" w:hAnsiTheme="minorHAnsi" w:cstheme="minorHAnsi"/>
          <w:sz w:val="24"/>
          <w:szCs w:val="24"/>
        </w:rPr>
      </w:pPr>
      <w:r w:rsidRPr="0028625D">
        <w:rPr>
          <w:rFonts w:asciiTheme="minorHAnsi" w:hAnsiTheme="minorHAnsi" w:cstheme="minorHAnsi"/>
          <w:sz w:val="24"/>
          <w:szCs w:val="24"/>
        </w:rPr>
        <w:t xml:space="preserve">The information collected under this data call will improve EPA’s exposure-related data on manufacturing, processing, and use of chemical substances that are PFAS, as well as require covered manufacturers to provide EPA with all existing information on the environmental or human health effects of such substances. </w:t>
      </w:r>
    </w:p>
    <w:p w:rsidR="0028625D" w:rsidRPr="0028625D" w:rsidP="0028625D" w14:paraId="09E2D62A" w14:textId="48A5EAC3">
      <w:pPr>
        <w:spacing w:after="200" w:line="276" w:lineRule="auto"/>
        <w:rPr>
          <w:rFonts w:asciiTheme="minorHAnsi" w:hAnsiTheme="minorHAnsi" w:cstheme="minorHAnsi"/>
          <w:szCs w:val="24"/>
        </w:rPr>
      </w:pPr>
      <w:r w:rsidRPr="0028625D">
        <w:rPr>
          <w:rFonts w:asciiTheme="minorHAnsi" w:hAnsiTheme="minorHAnsi" w:cstheme="minorHAnsi"/>
          <w:szCs w:val="24"/>
        </w:rPr>
        <w:t>Additionally, under TSCA section 14, claims of confidentiality (other than for selected data elements such as production volume) must be substantiated at the time information is submitted to EPA, including as part of C</w:t>
      </w:r>
      <w:r w:rsidR="009E5C18">
        <w:rPr>
          <w:rFonts w:asciiTheme="minorHAnsi" w:hAnsiTheme="minorHAnsi" w:cstheme="minorHAnsi"/>
          <w:szCs w:val="24"/>
        </w:rPr>
        <w:t>hemical Data Reporting (CDR) rule</w:t>
      </w:r>
      <w:r w:rsidRPr="0028625D">
        <w:rPr>
          <w:rFonts w:asciiTheme="minorHAnsi" w:hAnsiTheme="minorHAnsi" w:cstheme="minorHAnsi"/>
          <w:szCs w:val="24"/>
        </w:rPr>
        <w:t xml:space="preserve"> (See </w:t>
      </w:r>
      <w:hyperlink r:id="rId9" w:history="1">
        <w:r w:rsidRPr="0028625D">
          <w:rPr>
            <w:rFonts w:asciiTheme="minorHAnsi" w:hAnsiTheme="minorHAnsi" w:cstheme="minorHAnsi"/>
            <w:color w:val="0000FF"/>
            <w:szCs w:val="24"/>
            <w:u w:val="single"/>
          </w:rPr>
          <w:t>82 FR 6522</w:t>
        </w:r>
      </w:hyperlink>
      <w:r w:rsidRPr="0028625D">
        <w:rPr>
          <w:rFonts w:asciiTheme="minorHAnsi" w:hAnsiTheme="minorHAnsi" w:cstheme="minorHAnsi"/>
          <w:szCs w:val="24"/>
        </w:rPr>
        <w:t xml:space="preserve">, </w:t>
      </w:r>
      <w:r w:rsidRPr="0028625D">
        <w:rPr>
          <w:rFonts w:asciiTheme="minorHAnsi" w:hAnsiTheme="minorHAnsi" w:cstheme="minorHAnsi"/>
          <w:szCs w:val="24"/>
        </w:rPr>
        <w:t xml:space="preserve">January 19, 2017). To ensure that EPA can use </w:t>
      </w:r>
      <w:r w:rsidR="002B0013">
        <w:rPr>
          <w:rFonts w:asciiTheme="minorHAnsi" w:hAnsiTheme="minorHAnsi" w:cstheme="minorHAnsi"/>
          <w:szCs w:val="24"/>
        </w:rPr>
        <w:t>TSCA</w:t>
      </w:r>
      <w:r w:rsidRPr="0028625D">
        <w:rPr>
          <w:rFonts w:asciiTheme="minorHAnsi" w:hAnsiTheme="minorHAnsi" w:cstheme="minorHAnsi"/>
          <w:szCs w:val="24"/>
        </w:rPr>
        <w:t xml:space="preserve"> section 8(a) data most effectively, TSCA requires substantiation to enable EPA to review the legitimacy of confidentiality claims. </w:t>
      </w:r>
    </w:p>
    <w:p w:rsidR="0028625D" w:rsidRPr="0028625D" w:rsidP="0028625D" w14:paraId="1A3016FC" w14:textId="50380C48">
      <w:pPr>
        <w:pStyle w:val="BodyText"/>
        <w:spacing w:after="200" w:line="276" w:lineRule="auto"/>
        <w:rPr>
          <w:rFonts w:asciiTheme="minorHAnsi" w:hAnsiTheme="minorHAnsi" w:cstheme="minorHAnsi"/>
          <w:sz w:val="24"/>
          <w:szCs w:val="24"/>
        </w:rPr>
      </w:pPr>
      <w:r w:rsidRPr="0028625D">
        <w:rPr>
          <w:rFonts w:asciiTheme="minorHAnsi" w:hAnsiTheme="minorHAnsi" w:cstheme="minorHAnsi"/>
          <w:sz w:val="24"/>
          <w:szCs w:val="24"/>
        </w:rPr>
        <w:t>EPA’s</w:t>
      </w:r>
      <w:r w:rsidR="00926932">
        <w:rPr>
          <w:rFonts w:asciiTheme="minorHAnsi" w:hAnsiTheme="minorHAnsi" w:cstheme="minorHAnsi"/>
          <w:sz w:val="24"/>
          <w:szCs w:val="24"/>
        </w:rPr>
        <w:t xml:space="preserve"> Office of Pollution Prevention and Toxics</w:t>
      </w:r>
      <w:r w:rsidRPr="0028625D">
        <w:rPr>
          <w:rFonts w:asciiTheme="minorHAnsi" w:hAnsiTheme="minorHAnsi" w:cstheme="minorHAnsi"/>
          <w:sz w:val="24"/>
          <w:szCs w:val="24"/>
        </w:rPr>
        <w:t xml:space="preserve"> </w:t>
      </w:r>
      <w:r w:rsidR="00926932">
        <w:rPr>
          <w:rFonts w:asciiTheme="minorHAnsi" w:hAnsiTheme="minorHAnsi" w:cstheme="minorHAnsi"/>
          <w:sz w:val="24"/>
          <w:szCs w:val="24"/>
        </w:rPr>
        <w:t>(</w:t>
      </w:r>
      <w:r w:rsidRPr="0028625D">
        <w:rPr>
          <w:rFonts w:asciiTheme="minorHAnsi" w:hAnsiTheme="minorHAnsi" w:cstheme="minorHAnsi"/>
          <w:sz w:val="24"/>
          <w:szCs w:val="24"/>
        </w:rPr>
        <w:t>OPPT</w:t>
      </w:r>
      <w:r w:rsidR="00926932">
        <w:rPr>
          <w:rFonts w:asciiTheme="minorHAnsi" w:hAnsiTheme="minorHAnsi" w:cstheme="minorHAnsi"/>
          <w:sz w:val="24"/>
          <w:szCs w:val="24"/>
        </w:rPr>
        <w:t>)</w:t>
      </w:r>
      <w:r w:rsidRPr="0028625D">
        <w:rPr>
          <w:rFonts w:asciiTheme="minorHAnsi" w:hAnsiTheme="minorHAnsi" w:cstheme="minorHAnsi"/>
          <w:sz w:val="24"/>
          <w:szCs w:val="24"/>
        </w:rPr>
        <w:t>, other EPA Offices</w:t>
      </w:r>
      <w:r w:rsidR="00765B29">
        <w:rPr>
          <w:rFonts w:asciiTheme="minorHAnsi" w:hAnsiTheme="minorHAnsi" w:cstheme="minorHAnsi"/>
          <w:sz w:val="24"/>
          <w:szCs w:val="24"/>
        </w:rPr>
        <w:t>,</w:t>
      </w:r>
      <w:r w:rsidRPr="0028625D">
        <w:rPr>
          <w:rFonts w:asciiTheme="minorHAnsi" w:hAnsiTheme="minorHAnsi" w:cstheme="minorHAnsi"/>
          <w:sz w:val="24"/>
          <w:szCs w:val="24"/>
        </w:rPr>
        <w:t xml:space="preserve"> and/or other </w:t>
      </w:r>
      <w:r w:rsidR="00FC5E9D">
        <w:rPr>
          <w:rFonts w:asciiTheme="minorHAnsi" w:hAnsiTheme="minorHAnsi" w:cstheme="minorHAnsi"/>
          <w:sz w:val="24"/>
          <w:szCs w:val="24"/>
        </w:rPr>
        <w:t xml:space="preserve">public entities (including other </w:t>
      </w:r>
      <w:r w:rsidR="00765B29">
        <w:rPr>
          <w:rFonts w:asciiTheme="minorHAnsi" w:hAnsiTheme="minorHAnsi" w:cstheme="minorHAnsi"/>
          <w:sz w:val="24"/>
          <w:szCs w:val="24"/>
        </w:rPr>
        <w:t>f</w:t>
      </w:r>
      <w:r w:rsidR="00FC5E9D">
        <w:rPr>
          <w:rFonts w:asciiTheme="minorHAnsi" w:hAnsiTheme="minorHAnsi" w:cstheme="minorHAnsi"/>
          <w:sz w:val="24"/>
          <w:szCs w:val="24"/>
        </w:rPr>
        <w:t>ederal</w:t>
      </w:r>
      <w:r w:rsidR="005E071C">
        <w:rPr>
          <w:rFonts w:asciiTheme="minorHAnsi" w:hAnsiTheme="minorHAnsi" w:cstheme="minorHAnsi"/>
          <w:sz w:val="24"/>
          <w:szCs w:val="24"/>
        </w:rPr>
        <w:t xml:space="preserve"> agencies and</w:t>
      </w:r>
      <w:r w:rsidR="00765B29">
        <w:rPr>
          <w:rFonts w:asciiTheme="minorHAnsi" w:hAnsiTheme="minorHAnsi" w:cstheme="minorHAnsi"/>
          <w:sz w:val="24"/>
          <w:szCs w:val="24"/>
        </w:rPr>
        <w:t xml:space="preserve"> tribal, state, and local </w:t>
      </w:r>
      <w:r w:rsidR="005E071C">
        <w:rPr>
          <w:rFonts w:asciiTheme="minorHAnsi" w:hAnsiTheme="minorHAnsi" w:cstheme="minorHAnsi"/>
          <w:sz w:val="24"/>
          <w:szCs w:val="24"/>
        </w:rPr>
        <w:t>governments</w:t>
      </w:r>
      <w:r w:rsidR="00765B29">
        <w:rPr>
          <w:rFonts w:asciiTheme="minorHAnsi" w:hAnsiTheme="minorHAnsi" w:cstheme="minorHAnsi"/>
          <w:sz w:val="24"/>
          <w:szCs w:val="24"/>
        </w:rPr>
        <w:t>)</w:t>
      </w:r>
      <w:r w:rsidRPr="0028625D">
        <w:rPr>
          <w:rFonts w:asciiTheme="minorHAnsi" w:hAnsiTheme="minorHAnsi" w:cstheme="minorHAnsi"/>
          <w:sz w:val="24"/>
          <w:szCs w:val="24"/>
        </w:rPr>
        <w:t xml:space="preserve"> </w:t>
      </w:r>
      <w:r w:rsidR="006D3104">
        <w:rPr>
          <w:rFonts w:asciiTheme="minorHAnsi" w:hAnsiTheme="minorHAnsi" w:cstheme="minorHAnsi"/>
          <w:sz w:val="24"/>
          <w:szCs w:val="24"/>
        </w:rPr>
        <w:t>are</w:t>
      </w:r>
      <w:r w:rsidRPr="0028625D" w:rsidR="006D3104">
        <w:rPr>
          <w:rFonts w:asciiTheme="minorHAnsi" w:hAnsiTheme="minorHAnsi" w:cstheme="minorHAnsi"/>
          <w:sz w:val="24"/>
          <w:szCs w:val="24"/>
        </w:rPr>
        <w:t xml:space="preserve"> </w:t>
      </w:r>
      <w:r w:rsidRPr="0028625D">
        <w:rPr>
          <w:rFonts w:asciiTheme="minorHAnsi" w:hAnsiTheme="minorHAnsi" w:cstheme="minorHAnsi"/>
          <w:sz w:val="24"/>
          <w:szCs w:val="24"/>
        </w:rPr>
        <w:t xml:space="preserve">generally the primary groups for which information will be collected. However, to the extent that reported information is not considered to be </w:t>
      </w:r>
      <w:r w:rsidRPr="002B3061" w:rsidR="002B3061">
        <w:rPr>
          <w:rFonts w:ascii="Arial" w:hAnsi="Arial" w:cs="Arial"/>
          <w:sz w:val="24"/>
          <w:szCs w:val="24"/>
        </w:rPr>
        <w:t>confidential business information</w:t>
      </w:r>
      <w:r w:rsidR="002B3061">
        <w:t xml:space="preserve"> (</w:t>
      </w:r>
      <w:r w:rsidRPr="0028625D">
        <w:rPr>
          <w:rFonts w:asciiTheme="minorHAnsi" w:hAnsiTheme="minorHAnsi" w:cstheme="minorHAnsi"/>
          <w:sz w:val="24"/>
          <w:szCs w:val="24"/>
        </w:rPr>
        <w:t>CBI</w:t>
      </w:r>
      <w:r w:rsidR="002B3061">
        <w:rPr>
          <w:rFonts w:asciiTheme="minorHAnsi" w:hAnsiTheme="minorHAnsi" w:cstheme="minorHAnsi"/>
          <w:sz w:val="24"/>
          <w:szCs w:val="24"/>
        </w:rPr>
        <w:t>)</w:t>
      </w:r>
      <w:r w:rsidRPr="0028625D">
        <w:rPr>
          <w:rFonts w:asciiTheme="minorHAnsi" w:hAnsiTheme="minorHAnsi" w:cstheme="minorHAnsi"/>
          <w:sz w:val="24"/>
          <w:szCs w:val="24"/>
        </w:rPr>
        <w:t xml:space="preserve">, EPA </w:t>
      </w:r>
      <w:r w:rsidR="00C94B87">
        <w:rPr>
          <w:rFonts w:asciiTheme="minorHAnsi" w:hAnsiTheme="minorHAnsi" w:cstheme="minorHAnsi"/>
          <w:sz w:val="24"/>
          <w:szCs w:val="24"/>
        </w:rPr>
        <w:t>may provide</w:t>
      </w:r>
      <w:r w:rsidRPr="0028625D">
        <w:rPr>
          <w:rFonts w:asciiTheme="minorHAnsi" w:hAnsiTheme="minorHAnsi" w:cstheme="minorHAnsi"/>
          <w:sz w:val="24"/>
          <w:szCs w:val="24"/>
        </w:rPr>
        <w:t xml:space="preserve"> such data to other non-Federal entities, including the </w:t>
      </w:r>
      <w:r w:rsidRPr="0028625D">
        <w:rPr>
          <w:rFonts w:asciiTheme="minorHAnsi" w:hAnsiTheme="minorHAnsi" w:cstheme="minorHAnsi"/>
          <w:sz w:val="24"/>
          <w:szCs w:val="24"/>
        </w:rPr>
        <w:t>general public</w:t>
      </w:r>
      <w:r w:rsidRPr="0028625D">
        <w:rPr>
          <w:rFonts w:asciiTheme="minorHAnsi" w:hAnsiTheme="minorHAnsi" w:cstheme="minorHAnsi"/>
          <w:sz w:val="24"/>
          <w:szCs w:val="24"/>
        </w:rPr>
        <w:t>.</w:t>
      </w:r>
    </w:p>
    <w:p w:rsidR="0028625D" w:rsidRPr="0028625D" w:rsidP="0028625D" w14:paraId="41EE8CDA" w14:textId="63C26EB2">
      <w:pPr>
        <w:pStyle w:val="BodyText"/>
        <w:spacing w:after="200" w:line="276" w:lineRule="auto"/>
        <w:rPr>
          <w:rFonts w:asciiTheme="minorHAnsi" w:hAnsiTheme="minorHAnsi" w:cstheme="minorHAnsi"/>
          <w:sz w:val="24"/>
          <w:szCs w:val="24"/>
        </w:rPr>
      </w:pPr>
      <w:r w:rsidRPr="0028625D">
        <w:rPr>
          <w:rFonts w:asciiTheme="minorHAnsi" w:hAnsiTheme="minorHAnsi" w:cstheme="minorHAnsi"/>
          <w:sz w:val="24"/>
          <w:szCs w:val="24"/>
        </w:rPr>
        <w:t>The reporting methods, including the reporting tool and electronic registration, help to ensure that the information reported to EPA is accurate and in compliance with the statutory requirements. In addition, the data elements have practical utility for users of the data within EPA. Staff in OPPT would be able to use information collected on the production volumes, categories of use, disposal, byproducts, and worker</w:t>
      </w:r>
      <w:r w:rsidR="005E071C">
        <w:rPr>
          <w:rFonts w:asciiTheme="minorHAnsi" w:hAnsiTheme="minorHAnsi" w:cstheme="minorHAnsi"/>
          <w:sz w:val="24"/>
          <w:szCs w:val="24"/>
        </w:rPr>
        <w:t xml:space="preserve"> exposure</w:t>
      </w:r>
      <w:r w:rsidRPr="0028625D">
        <w:rPr>
          <w:rFonts w:asciiTheme="minorHAnsi" w:hAnsiTheme="minorHAnsi" w:cstheme="minorHAnsi"/>
          <w:sz w:val="24"/>
          <w:szCs w:val="24"/>
        </w:rPr>
        <w:t xml:space="preserve">-related information in future screening-level assessments of potential exposure to these PFAS. Additionally, other offices in EPA </w:t>
      </w:r>
      <w:r w:rsidR="00C764AC">
        <w:rPr>
          <w:rFonts w:asciiTheme="minorHAnsi" w:hAnsiTheme="minorHAnsi" w:cstheme="minorHAnsi"/>
          <w:sz w:val="24"/>
          <w:szCs w:val="24"/>
        </w:rPr>
        <w:t>will</w:t>
      </w:r>
      <w:r w:rsidRPr="0028625D" w:rsidR="00C764AC">
        <w:rPr>
          <w:rFonts w:asciiTheme="minorHAnsi" w:hAnsiTheme="minorHAnsi" w:cstheme="minorHAnsi"/>
          <w:sz w:val="24"/>
          <w:szCs w:val="24"/>
        </w:rPr>
        <w:t xml:space="preserve"> </w:t>
      </w:r>
      <w:r w:rsidRPr="0028625D">
        <w:rPr>
          <w:rFonts w:asciiTheme="minorHAnsi" w:hAnsiTheme="minorHAnsi" w:cstheme="minorHAnsi"/>
          <w:sz w:val="24"/>
          <w:szCs w:val="24"/>
        </w:rPr>
        <w:t xml:space="preserve">benefit from information collected, such as data on the disposal, releases, and other waste management methods of PFAS. Many offices across EPA are fulfilling </w:t>
      </w:r>
      <w:r w:rsidR="00440DA6">
        <w:rPr>
          <w:rFonts w:asciiTheme="minorHAnsi" w:hAnsiTheme="minorHAnsi" w:cstheme="minorHAnsi"/>
          <w:sz w:val="24"/>
          <w:szCs w:val="24"/>
        </w:rPr>
        <w:t xml:space="preserve">other statutory obligations and </w:t>
      </w:r>
      <w:r w:rsidRPr="0028625D">
        <w:rPr>
          <w:rFonts w:asciiTheme="minorHAnsi" w:hAnsiTheme="minorHAnsi" w:cstheme="minorHAnsi"/>
          <w:sz w:val="24"/>
          <w:szCs w:val="24"/>
        </w:rPr>
        <w:t xml:space="preserve">directives under the Agency’s PFAS </w:t>
      </w:r>
      <w:r w:rsidR="00FA7A4C">
        <w:rPr>
          <w:rFonts w:asciiTheme="minorHAnsi" w:hAnsiTheme="minorHAnsi" w:cstheme="minorHAnsi"/>
          <w:sz w:val="24"/>
          <w:szCs w:val="24"/>
        </w:rPr>
        <w:t>Strategic Roadmap</w:t>
      </w:r>
      <w:r w:rsidRPr="0028625D">
        <w:rPr>
          <w:rFonts w:asciiTheme="minorHAnsi" w:hAnsiTheme="minorHAnsi" w:cstheme="minorHAnsi"/>
          <w:sz w:val="24"/>
          <w:szCs w:val="24"/>
        </w:rPr>
        <w:t xml:space="preserve">, and this first nationwide dataset on PFAS, production, use, disposal, and exposure-related information </w:t>
      </w:r>
      <w:r w:rsidR="00FA7A4C">
        <w:rPr>
          <w:rFonts w:asciiTheme="minorHAnsi" w:hAnsiTheme="minorHAnsi" w:cstheme="minorHAnsi"/>
          <w:sz w:val="24"/>
          <w:szCs w:val="24"/>
        </w:rPr>
        <w:t>will</w:t>
      </w:r>
      <w:r w:rsidRPr="0028625D" w:rsidR="00FA7A4C">
        <w:rPr>
          <w:rFonts w:asciiTheme="minorHAnsi" w:hAnsiTheme="minorHAnsi" w:cstheme="minorHAnsi"/>
          <w:sz w:val="24"/>
          <w:szCs w:val="24"/>
        </w:rPr>
        <w:t xml:space="preserve"> </w:t>
      </w:r>
      <w:r w:rsidRPr="0028625D">
        <w:rPr>
          <w:rFonts w:asciiTheme="minorHAnsi" w:hAnsiTheme="minorHAnsi" w:cstheme="minorHAnsi"/>
          <w:sz w:val="24"/>
          <w:szCs w:val="24"/>
        </w:rPr>
        <w:t>complement these activities and provide necessary screening-level data.</w:t>
      </w:r>
    </w:p>
    <w:p w:rsidR="00E7134B" w:rsidP="00E7134B" w14:paraId="2DC4DD62" w14:textId="54A5A9CE">
      <w:pPr>
        <w:pStyle w:val="Heading2"/>
        <w:rPr>
          <w:i w:val="0"/>
          <w:iCs w:val="0"/>
        </w:rPr>
      </w:pPr>
      <w:r w:rsidRPr="00B95D15">
        <w:rPr>
          <w:i w:val="0"/>
          <w:iCs w:val="0"/>
        </w:rPr>
        <w:t>3.</w:t>
      </w:r>
      <w:r>
        <w:t xml:space="preserve"> </w:t>
      </w:r>
      <w:r w:rsidRPr="00B95D15">
        <w:rPr>
          <w:i w:val="0"/>
          <w:iCs w:val="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8625D" w:rsidRPr="0028625D" w:rsidP="0028625D" w14:paraId="56625727" w14:textId="31705251">
      <w:pPr>
        <w:pStyle w:val="BodyText"/>
        <w:spacing w:after="200" w:line="276" w:lineRule="auto"/>
        <w:rPr>
          <w:rFonts w:asciiTheme="minorHAnsi" w:hAnsiTheme="minorHAnsi" w:cstheme="minorBidi"/>
          <w:sz w:val="24"/>
          <w:szCs w:val="24"/>
        </w:rPr>
      </w:pPr>
      <w:r w:rsidRPr="6846B799">
        <w:rPr>
          <w:rFonts w:asciiTheme="minorHAnsi" w:hAnsiTheme="minorHAnsi" w:cstheme="minorBidi"/>
          <w:sz w:val="24"/>
          <w:szCs w:val="24"/>
        </w:rPr>
        <w:t xml:space="preserve">EPA </w:t>
      </w:r>
      <w:r w:rsidRPr="6846B799" w:rsidR="00440DA6">
        <w:rPr>
          <w:rFonts w:asciiTheme="minorHAnsi" w:hAnsiTheme="minorHAnsi" w:cstheme="minorBidi"/>
          <w:sz w:val="24"/>
          <w:szCs w:val="24"/>
        </w:rPr>
        <w:t>is requiring</w:t>
      </w:r>
      <w:r w:rsidRPr="6846B799">
        <w:rPr>
          <w:rFonts w:asciiTheme="minorHAnsi" w:hAnsiTheme="minorHAnsi" w:cstheme="minorBidi"/>
          <w:sz w:val="24"/>
          <w:szCs w:val="24"/>
        </w:rPr>
        <w:t xml:space="preserve"> electronic reporting for all reporting submissions. Persons submitting information under this </w:t>
      </w:r>
      <w:r w:rsidRPr="177B4CE3" w:rsidR="46CD8D8B">
        <w:rPr>
          <w:rFonts w:asciiTheme="minorHAnsi" w:hAnsiTheme="minorHAnsi" w:cstheme="minorBidi"/>
          <w:sz w:val="24"/>
          <w:szCs w:val="24"/>
        </w:rPr>
        <w:t xml:space="preserve">section </w:t>
      </w:r>
      <w:r w:rsidRPr="6846B799">
        <w:rPr>
          <w:rFonts w:asciiTheme="minorHAnsi" w:hAnsiTheme="minorHAnsi" w:cstheme="minorBidi"/>
          <w:sz w:val="24"/>
          <w:szCs w:val="24"/>
        </w:rPr>
        <w:t>8(a)(7) rule will be required to use the</w:t>
      </w:r>
      <w:r w:rsidRPr="6846B799" w:rsidR="006D3104">
        <w:rPr>
          <w:rFonts w:asciiTheme="minorHAnsi" w:hAnsiTheme="minorHAnsi" w:cstheme="minorBidi"/>
          <w:sz w:val="24"/>
          <w:szCs w:val="24"/>
        </w:rPr>
        <w:t xml:space="preserve"> 8(a)(7)</w:t>
      </w:r>
      <w:r w:rsidRPr="6846B799">
        <w:rPr>
          <w:rFonts w:asciiTheme="minorHAnsi" w:hAnsiTheme="minorHAnsi" w:cstheme="minorBidi"/>
          <w:sz w:val="24"/>
          <w:szCs w:val="24"/>
        </w:rPr>
        <w:t xml:space="preserve"> PFAS Reporting Tool, a reporting application accessed through the Agency’s CDX platform. The</w:t>
      </w:r>
      <w:r w:rsidRPr="6846B799" w:rsidR="006D3104">
        <w:rPr>
          <w:rFonts w:asciiTheme="minorHAnsi" w:hAnsiTheme="minorHAnsi" w:cstheme="minorBidi"/>
          <w:sz w:val="24"/>
          <w:szCs w:val="24"/>
        </w:rPr>
        <w:t xml:space="preserve"> 8(a)(7)</w:t>
      </w:r>
      <w:r w:rsidRPr="6846B799">
        <w:rPr>
          <w:rFonts w:asciiTheme="minorHAnsi" w:hAnsiTheme="minorHAnsi" w:cstheme="minorBidi"/>
          <w:sz w:val="24"/>
          <w:szCs w:val="24"/>
        </w:rPr>
        <w:t xml:space="preserve"> PFAS Reporting Tool </w:t>
      </w:r>
      <w:r w:rsidRPr="6846B799" w:rsidR="00B81020">
        <w:rPr>
          <w:rFonts w:asciiTheme="minorHAnsi" w:hAnsiTheme="minorHAnsi" w:cstheme="minorBidi"/>
          <w:sz w:val="24"/>
          <w:szCs w:val="24"/>
        </w:rPr>
        <w:t>is currently under development and testing. The tool is</w:t>
      </w:r>
      <w:r w:rsidRPr="6846B799">
        <w:rPr>
          <w:rFonts w:asciiTheme="minorHAnsi" w:hAnsiTheme="minorHAnsi" w:cstheme="minorBidi"/>
          <w:sz w:val="24"/>
          <w:szCs w:val="24"/>
        </w:rPr>
        <w:t xml:space="preserve"> based on e-CDRweb, the Agency’s online application for completing the CDR reporting form (Form U) in the </w:t>
      </w:r>
      <w:r w:rsidRPr="6846B799" w:rsidR="00676127">
        <w:rPr>
          <w:rFonts w:asciiTheme="minorHAnsi" w:hAnsiTheme="minorHAnsi" w:cstheme="minorBidi"/>
          <w:sz w:val="24"/>
          <w:szCs w:val="24"/>
        </w:rPr>
        <w:t xml:space="preserve">past </w:t>
      </w:r>
      <w:r w:rsidRPr="6846B799">
        <w:rPr>
          <w:rFonts w:asciiTheme="minorHAnsi" w:hAnsiTheme="minorHAnsi" w:cstheme="minorBidi"/>
          <w:sz w:val="24"/>
          <w:szCs w:val="24"/>
        </w:rPr>
        <w:t>CDR reporting cycle</w:t>
      </w:r>
      <w:r w:rsidRPr="6846B799" w:rsidR="00676127">
        <w:rPr>
          <w:rFonts w:asciiTheme="minorHAnsi" w:hAnsiTheme="minorHAnsi" w:cstheme="minorBidi"/>
          <w:sz w:val="24"/>
          <w:szCs w:val="24"/>
        </w:rPr>
        <w:t>s</w:t>
      </w:r>
      <w:r w:rsidRPr="6846B799">
        <w:rPr>
          <w:rFonts w:asciiTheme="minorHAnsi" w:hAnsiTheme="minorHAnsi" w:cstheme="minorBidi"/>
          <w:sz w:val="24"/>
          <w:szCs w:val="24"/>
        </w:rPr>
        <w:t xml:space="preserve">. </w:t>
      </w:r>
      <w:r w:rsidRPr="6846B799" w:rsidR="00676127">
        <w:rPr>
          <w:rFonts w:asciiTheme="minorHAnsi" w:hAnsiTheme="minorHAnsi" w:cstheme="minorBidi"/>
          <w:sz w:val="24"/>
          <w:szCs w:val="24"/>
        </w:rPr>
        <w:t>Screenshot</w:t>
      </w:r>
      <w:r w:rsidRPr="6846B799">
        <w:rPr>
          <w:rFonts w:asciiTheme="minorHAnsi" w:hAnsiTheme="minorHAnsi" w:cstheme="minorBidi"/>
          <w:sz w:val="24"/>
          <w:szCs w:val="24"/>
        </w:rPr>
        <w:t xml:space="preserve">s of the </w:t>
      </w:r>
      <w:r w:rsidRPr="6846B799" w:rsidR="00B81020">
        <w:rPr>
          <w:rFonts w:asciiTheme="minorHAnsi" w:hAnsiTheme="minorHAnsi" w:cstheme="minorBidi"/>
          <w:sz w:val="24"/>
          <w:szCs w:val="24"/>
        </w:rPr>
        <w:t xml:space="preserve">8(a)(7) </w:t>
      </w:r>
      <w:r w:rsidRPr="6846B799">
        <w:rPr>
          <w:rFonts w:asciiTheme="minorHAnsi" w:hAnsiTheme="minorHAnsi" w:cstheme="minorBidi"/>
          <w:sz w:val="24"/>
          <w:szCs w:val="24"/>
        </w:rPr>
        <w:t xml:space="preserve">PFAS Reporting Tool are included </w:t>
      </w:r>
      <w:r w:rsidRPr="6846B799" w:rsidR="00B81020">
        <w:rPr>
          <w:rFonts w:asciiTheme="minorHAnsi" w:hAnsiTheme="minorHAnsi" w:cstheme="minorBidi"/>
          <w:sz w:val="24"/>
          <w:szCs w:val="24"/>
        </w:rPr>
        <w:t xml:space="preserve">here </w:t>
      </w:r>
      <w:r w:rsidRPr="6846B799" w:rsidR="001A70E0">
        <w:rPr>
          <w:rFonts w:asciiTheme="minorHAnsi" w:hAnsiTheme="minorHAnsi" w:cstheme="minorBidi"/>
          <w:sz w:val="24"/>
          <w:szCs w:val="24"/>
        </w:rPr>
        <w:t>(</w:t>
      </w:r>
      <w:r w:rsidRPr="6846B799">
        <w:rPr>
          <w:rFonts w:asciiTheme="minorHAnsi" w:hAnsiTheme="minorHAnsi" w:cstheme="minorBidi"/>
          <w:sz w:val="24"/>
          <w:szCs w:val="24"/>
        </w:rPr>
        <w:t xml:space="preserve">Attachment </w:t>
      </w:r>
      <w:r w:rsidRPr="6846B799" w:rsidR="009E5C18">
        <w:rPr>
          <w:rFonts w:asciiTheme="minorHAnsi" w:hAnsiTheme="minorHAnsi" w:cstheme="minorBidi"/>
          <w:sz w:val="24"/>
          <w:szCs w:val="24"/>
        </w:rPr>
        <w:t>C</w:t>
      </w:r>
      <w:r w:rsidRPr="6846B799" w:rsidR="001A70E0">
        <w:rPr>
          <w:rFonts w:asciiTheme="minorHAnsi" w:hAnsiTheme="minorHAnsi" w:cstheme="minorBidi"/>
          <w:sz w:val="24"/>
          <w:szCs w:val="24"/>
        </w:rPr>
        <w:t>)</w:t>
      </w:r>
      <w:r w:rsidRPr="6846B799">
        <w:rPr>
          <w:rFonts w:asciiTheme="minorHAnsi" w:hAnsiTheme="minorHAnsi" w:cstheme="minorBidi"/>
          <w:sz w:val="24"/>
          <w:szCs w:val="24"/>
        </w:rPr>
        <w:t xml:space="preserve">. </w:t>
      </w:r>
    </w:p>
    <w:p w:rsidR="00B41A83" w:rsidP="0068004C" w14:paraId="54F4BB56" w14:textId="06623C19">
      <w:pPr>
        <w:pStyle w:val="Heading2"/>
        <w:rPr>
          <w:i w:val="0"/>
          <w:iCs w:val="0"/>
        </w:rPr>
      </w:pPr>
      <w:r w:rsidRPr="00B95D15">
        <w:rPr>
          <w:i w:val="0"/>
          <w:iCs w:val="0"/>
        </w:rPr>
        <w:t>4.</w:t>
      </w:r>
      <w:r>
        <w:t xml:space="preserve"> </w:t>
      </w:r>
      <w:r w:rsidRPr="00B95D15" w:rsidR="00EC4305">
        <w:rPr>
          <w:i w:val="0"/>
          <w:iCs w:val="0"/>
        </w:rPr>
        <w:t>Describe efforts to identify duplication</w:t>
      </w:r>
      <w:r w:rsidR="00B81020">
        <w:rPr>
          <w:i w:val="0"/>
          <w:iCs w:val="0"/>
        </w:rPr>
        <w:t>.</w:t>
      </w:r>
      <w:r w:rsidRPr="00B95D15">
        <w:rPr>
          <w:i w:val="0"/>
          <w:iCs w:val="0"/>
        </w:rPr>
        <w:t xml:space="preserve"> </w:t>
      </w:r>
      <w:r w:rsidRPr="00B95D15" w:rsidR="00E7134B">
        <w:rPr>
          <w:i w:val="0"/>
          <w:iCs w:val="0"/>
        </w:rPr>
        <w:t>Show specifically why any similar information already available cannot be used or modified for use for the purposes described in Item 2 above.</w:t>
      </w:r>
    </w:p>
    <w:p w:rsidR="00AB3A2A" w:rsidP="0028625D" w14:paraId="3D7ECA01" w14:textId="202C26F7">
      <w:pPr>
        <w:spacing w:after="200" w:line="276" w:lineRule="auto"/>
      </w:pPr>
      <w:r w:rsidRPr="009533EA">
        <w:t>The data included in this information collection</w:t>
      </w:r>
      <w:r>
        <w:t xml:space="preserve"> </w:t>
      </w:r>
      <w:r w:rsidRPr="009533EA">
        <w:t xml:space="preserve">are not collected comprehensively or systematically at the national level by any other </w:t>
      </w:r>
      <w:r>
        <w:t>entities</w:t>
      </w:r>
      <w:r w:rsidR="00C62909">
        <w:t xml:space="preserve">. </w:t>
      </w:r>
      <w:r w:rsidR="001D0E40">
        <w:t xml:space="preserve">However, </w:t>
      </w:r>
      <w:r w:rsidR="00D4720F">
        <w:t>EPA identified certain data elements that may be duplicative of other reporting rules</w:t>
      </w:r>
      <w:r>
        <w:t>: the CDR rule under TSCA section 8; the Greenhouse Gas Reporting Program (GHGRP); the Toxics Release Inventory (TRI)</w:t>
      </w:r>
      <w:r w:rsidR="00154E4C">
        <w:t>. Similarly, past submissions of information concerning environmental and health effects of PFAS may have been provided to EPA as an</w:t>
      </w:r>
      <w:r>
        <w:t xml:space="preserve"> </w:t>
      </w:r>
      <w:r w:rsidR="00295031">
        <w:t>unpublished health and safety stud</w:t>
      </w:r>
      <w:r w:rsidR="00154E4C">
        <w:t>y</w:t>
      </w:r>
      <w:r w:rsidR="00295031">
        <w:t xml:space="preserve"> </w:t>
      </w:r>
      <w:r w:rsidR="00EC511B">
        <w:t xml:space="preserve">under TSCA </w:t>
      </w:r>
      <w:r w:rsidR="00EC511B">
        <w:t>section 8(d)</w:t>
      </w:r>
      <w:r w:rsidR="00154E4C">
        <w:t xml:space="preserve">, or </w:t>
      </w:r>
      <w:r w:rsidR="00E765FA">
        <w:t xml:space="preserve">a notification of substantial risks under TSCA section 8(e). </w:t>
      </w:r>
      <w:r w:rsidR="00576EF7">
        <w:t xml:space="preserve">Finally, EPA identified that </w:t>
      </w:r>
      <w:r w:rsidR="00923813">
        <w:t xml:space="preserve">certain byproducts that were coincidentally manufactured during the manufacture, processing, use, or disposal of a reportable PFAS may also themselves be reportable PFAS. </w:t>
      </w:r>
      <w:r w:rsidR="00F22028">
        <w:t xml:space="preserve">For example, Byproduct A is produced during the manufacture of PFAS 1. However, Byproduct A’s structure meets the definition of PFAS used for this </w:t>
      </w:r>
      <w:r w:rsidR="00B223C6">
        <w:t xml:space="preserve">rule. Therefore, Byproduct A is also a reportable PFAS under this rule. Therefore, some information related to the environmental releases of byproducts that are also themselves reportable PFAS may be duplicative under this rule. </w:t>
      </w:r>
    </w:p>
    <w:p w:rsidR="00BE0218" w:rsidP="0028625D" w14:paraId="693BCC6D" w14:textId="74C55952">
      <w:pPr>
        <w:spacing w:after="200" w:line="276" w:lineRule="auto"/>
      </w:pPr>
      <w:r w:rsidRPr="00C62909">
        <w:t xml:space="preserve">TSCA section 8(a)(5)(A) requires EPA, to the extent feasible when carrying out TSCA section 8, to avoid requiring unnecessary or duplicative reporting. </w:t>
      </w:r>
      <w:r w:rsidRPr="00C148E3" w:rsidR="00C148E3">
        <w:t>To address potentially duplicative reporting, EPA is identifying specific types of information that need not be reported</w:t>
      </w:r>
      <w:r w:rsidR="0011345B">
        <w:t xml:space="preserve"> again</w:t>
      </w:r>
      <w:r w:rsidRPr="00C148E3" w:rsidR="00C148E3">
        <w:t xml:space="preserve"> if the reporting entity indicates in the reporting tool that they have previously provided such information to EPA and provides information sufficient to allow the agency to locate that information.</w:t>
      </w:r>
      <w:r w:rsidR="007E137F">
        <w:t xml:space="preserve"> </w:t>
      </w:r>
      <w:r w:rsidRPr="00073148" w:rsidR="00073148">
        <w:t xml:space="preserve">In these cases, the manufacturer </w:t>
      </w:r>
      <w:r w:rsidR="0011345B">
        <w:t>is</w:t>
      </w:r>
      <w:r w:rsidRPr="00073148" w:rsidR="00073148">
        <w:t xml:space="preserve"> required to indicate to which program (and in which year) that information was submitted (e.g., CDR in 2016</w:t>
      </w:r>
      <w:r w:rsidR="00073148">
        <w:t xml:space="preserve">; </w:t>
      </w:r>
      <w:r w:rsidR="00862841">
        <w:t xml:space="preserve">section 8(d) </w:t>
      </w:r>
      <w:r w:rsidR="00073148">
        <w:t>health and safety study in 2020</w:t>
      </w:r>
      <w:r w:rsidRPr="00073148" w:rsidR="00073148">
        <w:t>).</w:t>
      </w:r>
    </w:p>
    <w:p w:rsidR="0028625D" w:rsidP="0028625D" w14:paraId="074D4D8C" w14:textId="3C50C34A">
      <w:pPr>
        <w:spacing w:after="200" w:line="276" w:lineRule="auto"/>
      </w:pPr>
      <w:r>
        <w:t xml:space="preserve">However, EPA notes that there are many reporting exemptions and other </w:t>
      </w:r>
      <w:r w:rsidR="002E2F58">
        <w:t>discrepancies between this rule and</w:t>
      </w:r>
      <w:r>
        <w:t xml:space="preserve"> the CDR, GHGRP, and TRI reporting regulations.</w:t>
      </w:r>
      <w:r w:rsidRPr="00673A0D" w:rsidR="00673A0D">
        <w:t xml:space="preserve"> </w:t>
      </w:r>
      <w:r w:rsidR="00673A0D">
        <w:t xml:space="preserve">Therefore, potential duplication of these data elements to any of the </w:t>
      </w:r>
      <w:r w:rsidR="00673A0D">
        <w:t>aforementioned rules</w:t>
      </w:r>
      <w:r w:rsidR="00673A0D">
        <w:t xml:space="preserve"> is limited to the extent that the previous submissions reflect the same activities and quantities that are being requested under this rule.</w:t>
      </w:r>
      <w:r>
        <w:t xml:space="preserve"> </w:t>
      </w:r>
      <w:r w:rsidR="00073148">
        <w:t>Additionally, this rule requ</w:t>
      </w:r>
      <w:r w:rsidR="00344837">
        <w:t>ire</w:t>
      </w:r>
      <w:r w:rsidR="00073148">
        <w:t xml:space="preserve">s information to be reported </w:t>
      </w:r>
      <w:r w:rsidRPr="003C26B4" w:rsidR="00073148">
        <w:rPr>
          <w:i/>
          <w:iCs/>
        </w:rPr>
        <w:t xml:space="preserve">for each year </w:t>
      </w:r>
      <w:r w:rsidR="00073148">
        <w:t>in which a PFAS was manufactured since January 1, 2011</w:t>
      </w:r>
      <w:r w:rsidR="002E2F58">
        <w:t>, while</w:t>
      </w:r>
      <w:r w:rsidR="00673A0D">
        <w:t xml:space="preserve"> some</w:t>
      </w:r>
      <w:r w:rsidR="002E2F58">
        <w:t xml:space="preserve"> other rules </w:t>
      </w:r>
      <w:r w:rsidR="00673A0D">
        <w:t>do not have the same annual reporting requirements.</w:t>
      </w:r>
      <w:r w:rsidR="002E2F58">
        <w:t xml:space="preserve"> </w:t>
      </w:r>
      <w:r w:rsidRPr="00C62909" w:rsidR="00862841">
        <w:t>The Agency</w:t>
      </w:r>
      <w:r w:rsidR="00862841">
        <w:t xml:space="preserve"> will avoid</w:t>
      </w:r>
      <w:r w:rsidRPr="00C62909" w:rsidR="00862841">
        <w:t xml:space="preserve"> collecting data on PFAS that would duplicate information already reported to the Agency, while ensuring it obtains all data required to be collected under TSCA section 8(a)(7) and that such data are submitted in a format that is conducive to the collection and review of a manufactured PFAS dataset.</w:t>
      </w:r>
    </w:p>
    <w:p w:rsidR="00434537" w:rsidP="003C26B4" w14:paraId="0596EFA5" w14:textId="26D97502">
      <w:pPr>
        <w:pStyle w:val="Heading2"/>
      </w:pPr>
      <w:r w:rsidRPr="00B95D15">
        <w:rPr>
          <w:i w:val="0"/>
          <w:iCs w:val="0"/>
        </w:rPr>
        <w:t>5. If the collection of information impacts small businesses or other small entities, describe the methods used to minimize burden.</w:t>
      </w:r>
    </w:p>
    <w:p w:rsidR="00691472" w:rsidP="0028625D" w14:paraId="31572396" w14:textId="0D96F2CA">
      <w:pPr>
        <w:spacing w:after="200" w:line="276" w:lineRule="auto"/>
        <w:rPr>
          <w:rFonts w:eastAsia="Arial" w:cs="Arial"/>
          <w:szCs w:val="24"/>
        </w:rPr>
      </w:pPr>
      <w:r>
        <w:rPr>
          <w:rFonts w:eastAsia="Arial" w:cs="Arial"/>
          <w:szCs w:val="24"/>
        </w:rPr>
        <w:t xml:space="preserve">Affected small entities </w:t>
      </w:r>
      <w:r w:rsidR="00EE4A03">
        <w:rPr>
          <w:rFonts w:eastAsia="Arial" w:cs="Arial"/>
          <w:szCs w:val="24"/>
        </w:rPr>
        <w:t>are generally small businesses. Because this rule is limited to those who have manufactured</w:t>
      </w:r>
      <w:r w:rsidR="00441E34">
        <w:rPr>
          <w:rFonts w:eastAsia="Arial" w:cs="Arial"/>
          <w:szCs w:val="24"/>
        </w:rPr>
        <w:t xml:space="preserve"> PFAS</w:t>
      </w:r>
      <w:r w:rsidR="00EE4A03">
        <w:rPr>
          <w:rFonts w:eastAsia="Arial" w:cs="Arial"/>
          <w:szCs w:val="24"/>
        </w:rPr>
        <w:t xml:space="preserve"> for commercial purposes, th</w:t>
      </w:r>
      <w:r w:rsidR="00441E34">
        <w:rPr>
          <w:rFonts w:eastAsia="Arial" w:cs="Arial"/>
          <w:szCs w:val="24"/>
        </w:rPr>
        <w:t xml:space="preserve">ere is a very low likelihood of requiring reporting by </w:t>
      </w:r>
      <w:r w:rsidR="00E64AAB">
        <w:rPr>
          <w:rFonts w:eastAsia="Arial" w:cs="Arial"/>
          <w:szCs w:val="24"/>
        </w:rPr>
        <w:t xml:space="preserve">any </w:t>
      </w:r>
      <w:r w:rsidR="00441E34">
        <w:rPr>
          <w:rFonts w:eastAsia="Arial" w:cs="Arial"/>
          <w:szCs w:val="24"/>
        </w:rPr>
        <w:t>small governments or small not-for-profit organizations.</w:t>
      </w:r>
    </w:p>
    <w:p w:rsidR="004F2B21" w:rsidP="0028625D" w14:paraId="6A33C40A" w14:textId="5A8166F1">
      <w:pPr>
        <w:spacing w:after="200" w:line="276" w:lineRule="auto"/>
        <w:rPr>
          <w:rFonts w:eastAsia="Arial" w:cs="Arial"/>
          <w:szCs w:val="24"/>
        </w:rPr>
      </w:pPr>
      <w:r>
        <w:rPr>
          <w:rFonts w:eastAsia="Arial" w:cs="Arial"/>
          <w:szCs w:val="24"/>
        </w:rPr>
        <w:t xml:space="preserve">After receiving public comments on the proposed rule, EPA </w:t>
      </w:r>
      <w:r w:rsidR="006047A2">
        <w:rPr>
          <w:rFonts w:eastAsia="Arial" w:cs="Arial"/>
          <w:szCs w:val="24"/>
        </w:rPr>
        <w:t xml:space="preserve">convened a Small Business Advocacy Review Panel under the Regulatory Flexibility Act. EPA considered input from small business representatives and SBA’s Office of Advocacy to </w:t>
      </w:r>
      <w:r w:rsidR="00EA5A82">
        <w:rPr>
          <w:rFonts w:eastAsia="Arial" w:cs="Arial"/>
          <w:szCs w:val="24"/>
        </w:rPr>
        <w:t>modify the proposed rule to provide certain flexibilities to minimize burden on small businesses that may be affected by this rule.</w:t>
      </w:r>
    </w:p>
    <w:p w:rsidR="00EA5A82" w:rsidP="0028625D" w14:paraId="3DCFC33B" w14:textId="0F3CE3FA">
      <w:pPr>
        <w:spacing w:after="200" w:line="276" w:lineRule="auto"/>
        <w:rPr>
          <w:rFonts w:eastAsia="Arial" w:cs="Arial"/>
          <w:szCs w:val="24"/>
        </w:rPr>
      </w:pPr>
      <w:r>
        <w:rPr>
          <w:rFonts w:eastAsia="Arial" w:cs="Arial"/>
          <w:szCs w:val="24"/>
        </w:rPr>
        <w:t>While EPA determined that a “small business” or similar</w:t>
      </w:r>
      <w:r w:rsidR="00AE7A19">
        <w:rPr>
          <w:rFonts w:eastAsia="Arial" w:cs="Arial"/>
          <w:szCs w:val="24"/>
        </w:rPr>
        <w:t>ly broad</w:t>
      </w:r>
      <w:r>
        <w:rPr>
          <w:rFonts w:eastAsia="Arial" w:cs="Arial"/>
          <w:szCs w:val="24"/>
        </w:rPr>
        <w:t xml:space="preserve"> exemption would be inconsistent with the obligations under section 8(a)(7), </w:t>
      </w:r>
      <w:r w:rsidR="002978EF">
        <w:rPr>
          <w:rFonts w:eastAsia="Arial" w:cs="Arial"/>
          <w:szCs w:val="24"/>
        </w:rPr>
        <w:t xml:space="preserve">EPA is providing </w:t>
      </w:r>
      <w:r w:rsidR="00AE7A19">
        <w:rPr>
          <w:rFonts w:eastAsia="Arial" w:cs="Arial"/>
          <w:szCs w:val="24"/>
        </w:rPr>
        <w:t>some</w:t>
      </w:r>
      <w:r w:rsidR="00C93B81">
        <w:rPr>
          <w:rFonts w:eastAsia="Arial" w:cs="Arial"/>
          <w:szCs w:val="24"/>
        </w:rPr>
        <w:t xml:space="preserve"> reporting burden relief for certain types of entities</w:t>
      </w:r>
      <w:r w:rsidR="00AE7A19">
        <w:rPr>
          <w:rFonts w:eastAsia="Arial" w:cs="Arial"/>
          <w:szCs w:val="24"/>
        </w:rPr>
        <w:t xml:space="preserve">: article importers and manufacturers of </w:t>
      </w:r>
      <w:r w:rsidR="00425E2E">
        <w:rPr>
          <w:rFonts w:eastAsia="Arial" w:cs="Arial"/>
          <w:szCs w:val="24"/>
        </w:rPr>
        <w:t xml:space="preserve">small quantities (i.e., below 10 kg/year) of PFAS for R&amp;D purposes. Both types of entities include small businesses, </w:t>
      </w:r>
      <w:r w:rsidR="00425E2E">
        <w:rPr>
          <w:rFonts w:eastAsia="Arial" w:cs="Arial"/>
          <w:szCs w:val="24"/>
        </w:rPr>
        <w:t xml:space="preserve">and </w:t>
      </w:r>
      <w:r w:rsidR="00A86F68">
        <w:rPr>
          <w:rFonts w:eastAsia="Arial" w:cs="Arial"/>
          <w:szCs w:val="24"/>
        </w:rPr>
        <w:t xml:space="preserve">public input indicated those entities are likely not </w:t>
      </w:r>
      <w:r w:rsidR="00A86F68">
        <w:rPr>
          <w:rFonts w:eastAsia="Arial" w:cs="Arial"/>
          <w:szCs w:val="24"/>
        </w:rPr>
        <w:t>in a position</w:t>
      </w:r>
      <w:r w:rsidR="00A86F68">
        <w:rPr>
          <w:rFonts w:eastAsia="Arial" w:cs="Arial"/>
          <w:szCs w:val="24"/>
        </w:rPr>
        <w:t xml:space="preserve"> to know or reasonably ascertain all information requested </w:t>
      </w:r>
      <w:r w:rsidR="00327629">
        <w:rPr>
          <w:rFonts w:eastAsia="Arial" w:cs="Arial"/>
          <w:szCs w:val="24"/>
        </w:rPr>
        <w:t xml:space="preserve">under this rule. Therefore, EPA is creating streamlined reporting forms for both article importers and certain R&amp;D manufacturers, which include only a subset of the </w:t>
      </w:r>
      <w:r w:rsidR="000B20D2">
        <w:rPr>
          <w:rFonts w:eastAsia="Arial" w:cs="Arial"/>
          <w:szCs w:val="24"/>
        </w:rPr>
        <w:t>longer reporting form questions if those submitters are unable to know or reasonably ascertain all other information.</w:t>
      </w:r>
    </w:p>
    <w:p w:rsidR="000B20D2" w:rsidP="0028625D" w14:paraId="6132E368" w14:textId="7DF5D098">
      <w:pPr>
        <w:spacing w:after="200" w:line="276" w:lineRule="auto"/>
        <w:rPr>
          <w:rFonts w:eastAsia="Arial" w:cs="Arial"/>
          <w:szCs w:val="24"/>
        </w:rPr>
      </w:pPr>
      <w:r>
        <w:rPr>
          <w:rFonts w:eastAsia="Arial" w:cs="Arial"/>
          <w:szCs w:val="24"/>
        </w:rPr>
        <w:t xml:space="preserve">Additionally, EPA is providing more time for reporting </w:t>
      </w:r>
      <w:r w:rsidR="00F61B3D">
        <w:rPr>
          <w:rFonts w:eastAsia="Arial" w:cs="Arial"/>
          <w:szCs w:val="24"/>
        </w:rPr>
        <w:t xml:space="preserve">than was proposed. In response to </w:t>
      </w:r>
      <w:r w:rsidR="00225654">
        <w:rPr>
          <w:rFonts w:eastAsia="Arial" w:cs="Arial"/>
          <w:szCs w:val="24"/>
        </w:rPr>
        <w:t>public comment from the proposed rule</w:t>
      </w:r>
      <w:r w:rsidR="00F61B3D">
        <w:rPr>
          <w:rFonts w:eastAsia="Arial" w:cs="Arial"/>
          <w:szCs w:val="24"/>
        </w:rPr>
        <w:t xml:space="preserve">, EPA </w:t>
      </w:r>
      <w:r w:rsidRPr="008C4805" w:rsidR="008C4805">
        <w:rPr>
          <w:rFonts w:eastAsia="Arial" w:cs="Arial"/>
          <w:szCs w:val="24"/>
        </w:rPr>
        <w:t xml:space="preserve">has decided to finalize a one-year information collection period following the effective date of this rule, which will then be followed by a six-month reporting period. </w:t>
      </w:r>
      <w:r w:rsidR="000761E2">
        <w:rPr>
          <w:rFonts w:eastAsia="Arial" w:cs="Arial"/>
          <w:szCs w:val="24"/>
        </w:rPr>
        <w:t xml:space="preserve">In response to input on behalf of small </w:t>
      </w:r>
      <w:r w:rsidR="000761E2">
        <w:rPr>
          <w:rFonts w:eastAsia="Arial" w:cs="Arial"/>
          <w:szCs w:val="24"/>
        </w:rPr>
        <w:t>businesses</w:t>
      </w:r>
      <w:r w:rsidRPr="008C4805" w:rsidR="000761E2">
        <w:rPr>
          <w:rFonts w:eastAsia="Arial" w:cs="Arial"/>
          <w:szCs w:val="24"/>
        </w:rPr>
        <w:t xml:space="preserve"> </w:t>
      </w:r>
      <w:r w:rsidRPr="008C4805" w:rsidR="008C4805">
        <w:rPr>
          <w:rFonts w:eastAsia="Arial" w:cs="Arial"/>
          <w:szCs w:val="24"/>
        </w:rPr>
        <w:t>,</w:t>
      </w:r>
      <w:r w:rsidRPr="008C4805" w:rsidR="008C4805">
        <w:rPr>
          <w:rFonts w:eastAsia="Arial" w:cs="Arial"/>
          <w:szCs w:val="24"/>
        </w:rPr>
        <w:t xml:space="preserve"> EPA is granting an additional six months for reporting to small manufacturers (as defined at 40 CFR 704.3) who</w:t>
      </w:r>
      <w:r w:rsidR="00F863CC">
        <w:rPr>
          <w:rFonts w:eastAsia="Arial" w:cs="Arial"/>
          <w:szCs w:val="24"/>
        </w:rPr>
        <w:t>se</w:t>
      </w:r>
      <w:r w:rsidR="0066498E">
        <w:rPr>
          <w:rFonts w:eastAsia="Arial" w:cs="Arial"/>
          <w:szCs w:val="24"/>
        </w:rPr>
        <w:t xml:space="preserve"> reporting obligations under TSCA section 8(a)(7)</w:t>
      </w:r>
      <w:r w:rsidRPr="008C4805" w:rsidR="008C4805">
        <w:rPr>
          <w:rFonts w:eastAsia="Arial" w:cs="Arial"/>
          <w:szCs w:val="24"/>
        </w:rPr>
        <w:t xml:space="preserve"> are exclusively </w:t>
      </w:r>
      <w:r w:rsidR="002879AB">
        <w:rPr>
          <w:rFonts w:eastAsia="Arial" w:cs="Arial"/>
          <w:szCs w:val="24"/>
        </w:rPr>
        <w:t xml:space="preserve">from </w:t>
      </w:r>
      <w:r w:rsidRPr="008C4805" w:rsidR="008C4805">
        <w:rPr>
          <w:rFonts w:eastAsia="Arial" w:cs="Arial"/>
          <w:szCs w:val="24"/>
        </w:rPr>
        <w:t>article import. “Small manufacturers” as defined at 40 CFR 704.3 include manufacturers who meet one of two standards: (1) a manufacturer (including importer) whose total annual sales, when combined with those of its parent company, are less than $120 million, and the annual production volume of a chemical substance is less than 100,000 lbs; or (2) a manufacturer (including importer) whose total annual sales, when combined with those of its parent company, are less than $12 million.</w:t>
      </w:r>
      <w:r w:rsidRPr="008C4805" w:rsidR="008C4805">
        <w:t xml:space="preserve"> </w:t>
      </w:r>
      <w:r w:rsidRPr="008C4805" w:rsidR="008C4805">
        <w:rPr>
          <w:rFonts w:eastAsia="Arial" w:cs="Arial"/>
          <w:szCs w:val="24"/>
        </w:rPr>
        <w:t>Thus, reporting forms will be due 18 months following the effective date of this rule, except for small article importers (as defined at 40 CFR 704.3), whose reporting forms are due 24 months following the effective date of this rule</w:t>
      </w:r>
      <w:r w:rsidR="008C4805">
        <w:rPr>
          <w:rFonts w:eastAsia="Arial" w:cs="Arial"/>
          <w:szCs w:val="24"/>
        </w:rPr>
        <w:t>.</w:t>
      </w:r>
    </w:p>
    <w:p w:rsidR="00B41A83" w:rsidP="0068004C" w14:paraId="2F0363DE" w14:textId="75F1328B">
      <w:pPr>
        <w:pStyle w:val="Heading2"/>
        <w:rPr>
          <w:i w:val="0"/>
          <w:iCs w:val="0"/>
        </w:rPr>
      </w:pPr>
      <w:r w:rsidRPr="00B95D15">
        <w:rPr>
          <w:i w:val="0"/>
          <w:iCs w:val="0"/>
        </w:rPr>
        <w:t xml:space="preserve">6. </w:t>
      </w:r>
      <w:r w:rsidRPr="00B95D15" w:rsidR="00EC4305">
        <w:rPr>
          <w:i w:val="0"/>
          <w:iCs w:val="0"/>
        </w:rPr>
        <w:t>Describe the consequence to Federal program or policy activities if the collection is not conducted or is conducted less frequently, as well as any technical or legal obstacles to reducing burden.</w:t>
      </w:r>
      <w:r w:rsidRPr="00B95D15">
        <w:rPr>
          <w:i w:val="0"/>
          <w:iCs w:val="0"/>
        </w:rPr>
        <w:t xml:space="preserve"> </w:t>
      </w:r>
    </w:p>
    <w:p w:rsidR="0028625D" w:rsidRPr="0028625D" w:rsidP="0028625D" w14:paraId="412CF269" w14:textId="0B5923FF">
      <w:r>
        <w:t xml:space="preserve">This is a one-time statutorily mandated reporting event. </w:t>
      </w:r>
    </w:p>
    <w:p w:rsidR="00EC4305" w:rsidRPr="00B95D15" w:rsidP="0068004C" w14:paraId="4290B85B" w14:textId="5682FFB0">
      <w:pPr>
        <w:pStyle w:val="Heading2"/>
        <w:rPr>
          <w:i w:val="0"/>
          <w:iCs w:val="0"/>
        </w:rPr>
      </w:pPr>
      <w:r w:rsidRPr="00B95D15">
        <w:rPr>
          <w:i w:val="0"/>
          <w:iCs w:val="0"/>
        </w:rPr>
        <w:t xml:space="preserve">7. </w:t>
      </w:r>
      <w:r w:rsidRPr="00B95D15">
        <w:rPr>
          <w:i w:val="0"/>
          <w:iCs w:val="0"/>
        </w:rPr>
        <w:t>Explain any special circumstances that require the collection to be conducted in a manner inconsistent with OMB guidelines.</w:t>
      </w:r>
    </w:p>
    <w:p w:rsidR="00E7134B" w:rsidRPr="007E4E7D" w:rsidP="00E7134B" w14:paraId="2188C432" w14:textId="65BDDE8C">
      <w:pPr>
        <w:ind w:left="720" w:hanging="360"/>
        <w:rPr>
          <w:b/>
          <w:bCs/>
        </w:rPr>
      </w:pPr>
      <w:r>
        <w:rPr>
          <w:b/>
          <w:bCs/>
        </w:rPr>
        <w:t xml:space="preserve">a)  </w:t>
      </w:r>
      <w:r w:rsidRPr="007E4E7D">
        <w:rPr>
          <w:b/>
          <w:bCs/>
        </w:rPr>
        <w:t xml:space="preserve">requiring respondents to report information to the agency more often than </w:t>
      </w:r>
      <w:r w:rsidRPr="007E4E7D">
        <w:rPr>
          <w:b/>
          <w:bCs/>
        </w:rPr>
        <w:t>quarterly;</w:t>
      </w:r>
      <w:r w:rsidRPr="007E4E7D">
        <w:rPr>
          <w:b/>
          <w:bCs/>
        </w:rPr>
        <w:t xml:space="preserve"> </w:t>
      </w:r>
    </w:p>
    <w:p w:rsidR="00E7134B" w:rsidRPr="007E4E7D" w:rsidP="00E7134B" w14:paraId="16DB7D52" w14:textId="77777777">
      <w:pPr>
        <w:ind w:left="720" w:hanging="360"/>
        <w:rPr>
          <w:b/>
          <w:bCs/>
        </w:rPr>
      </w:pPr>
      <w:r w:rsidRPr="007E4E7D">
        <w:rPr>
          <w:b/>
          <w:bCs/>
        </w:rPr>
        <w:t xml:space="preserve">b)  requiring respondents to prepare a written response to a collection of information in fewer than 30 days after receipt of </w:t>
      </w:r>
      <w:r w:rsidRPr="007E4E7D">
        <w:rPr>
          <w:b/>
          <w:bCs/>
        </w:rPr>
        <w:t>it;</w:t>
      </w:r>
      <w:r w:rsidRPr="007E4E7D">
        <w:rPr>
          <w:b/>
          <w:bCs/>
        </w:rPr>
        <w:t xml:space="preserve"> </w:t>
      </w:r>
    </w:p>
    <w:p w:rsidR="00E7134B" w:rsidRPr="007E4E7D" w:rsidP="00E7134B" w14:paraId="7D636D61" w14:textId="77777777">
      <w:pPr>
        <w:ind w:left="720" w:hanging="360"/>
        <w:rPr>
          <w:b/>
          <w:bCs/>
        </w:rPr>
      </w:pPr>
      <w:r w:rsidRPr="007E4E7D">
        <w:rPr>
          <w:b/>
          <w:bCs/>
        </w:rPr>
        <w:t xml:space="preserve">c)  requiring respondents to submit more than an original and two copies of any </w:t>
      </w:r>
      <w:r w:rsidRPr="007E4E7D">
        <w:rPr>
          <w:b/>
          <w:bCs/>
        </w:rPr>
        <w:t>document;</w:t>
      </w:r>
      <w:r w:rsidRPr="007E4E7D">
        <w:rPr>
          <w:b/>
          <w:bCs/>
        </w:rPr>
        <w:t xml:space="preserve"> </w:t>
      </w:r>
    </w:p>
    <w:p w:rsidR="00E7134B" w:rsidRPr="007E4E7D" w:rsidP="00E7134B" w14:paraId="6A682416" w14:textId="77777777">
      <w:pPr>
        <w:ind w:left="720" w:hanging="360"/>
        <w:rPr>
          <w:b/>
          <w:bCs/>
        </w:rPr>
      </w:pPr>
      <w:r w:rsidRPr="007E4E7D">
        <w:rPr>
          <w:b/>
          <w:bCs/>
        </w:rPr>
        <w:t xml:space="preserve">d)  requiring respondents to retain records, other than health, medical, government contract, grant-in-aid, or tax records, for more than three </w:t>
      </w:r>
      <w:r w:rsidRPr="007E4E7D">
        <w:rPr>
          <w:b/>
          <w:bCs/>
        </w:rPr>
        <w:t>years;</w:t>
      </w:r>
      <w:r w:rsidRPr="007E4E7D">
        <w:rPr>
          <w:b/>
          <w:bCs/>
        </w:rPr>
        <w:t xml:space="preserve"> </w:t>
      </w:r>
    </w:p>
    <w:p w:rsidR="00E7134B" w:rsidRPr="007E4E7D" w:rsidP="00E7134B" w14:paraId="383D57F4" w14:textId="77777777">
      <w:pPr>
        <w:ind w:left="720" w:hanging="360"/>
        <w:rPr>
          <w:b/>
          <w:bCs/>
        </w:rPr>
      </w:pPr>
      <w:r w:rsidRPr="007E4E7D">
        <w:rPr>
          <w:b/>
          <w:bCs/>
        </w:rPr>
        <w:t xml:space="preserve">e)  in connection with a statistical survey, that is not designed to produce valid and reliable results that can be generalized to the universe of </w:t>
      </w:r>
      <w:r w:rsidRPr="007E4E7D">
        <w:rPr>
          <w:b/>
          <w:bCs/>
        </w:rPr>
        <w:t>study;</w:t>
      </w:r>
    </w:p>
    <w:p w:rsidR="00E7134B" w:rsidRPr="007E4E7D" w:rsidP="00E7134B" w14:paraId="2463FE10" w14:textId="77777777">
      <w:pPr>
        <w:ind w:left="720" w:hanging="360"/>
        <w:rPr>
          <w:b/>
          <w:bCs/>
        </w:rPr>
      </w:pPr>
      <w:r w:rsidRPr="007E4E7D">
        <w:rPr>
          <w:b/>
          <w:bCs/>
        </w:rPr>
        <w:t xml:space="preserve">f)   requiring the use of a statistical data classification that has not been reviewed and approved by </w:t>
      </w:r>
      <w:r w:rsidRPr="007E4E7D">
        <w:rPr>
          <w:b/>
          <w:bCs/>
        </w:rPr>
        <w:t>OMB;</w:t>
      </w:r>
      <w:r w:rsidRPr="007E4E7D">
        <w:rPr>
          <w:b/>
          <w:bCs/>
        </w:rPr>
        <w:t xml:space="preserve"> </w:t>
      </w:r>
    </w:p>
    <w:p w:rsidR="00E7134B" w:rsidRPr="007E4E7D" w:rsidP="00E7134B" w14:paraId="2B167E29" w14:textId="77777777">
      <w:pPr>
        <w:ind w:left="720" w:hanging="360"/>
        <w:rPr>
          <w:b/>
          <w:bCs/>
        </w:rPr>
      </w:pPr>
      <w:r w:rsidRPr="007E4E7D">
        <w:rPr>
          <w:b/>
          <w:bCs/>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7134B" w:rsidRPr="007E4E7D" w:rsidP="00E7134B" w14:paraId="18F2B646" w14:textId="77777777">
      <w:pPr>
        <w:ind w:left="720" w:hanging="360"/>
        <w:rPr>
          <w:b/>
          <w:bCs/>
        </w:rPr>
      </w:pPr>
      <w:r w:rsidRPr="007E4E7D">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76282D" w:rsidP="0076282D" w14:paraId="6A67F2E6" w14:textId="45AF5678">
      <w:r w:rsidRPr="00E073B8">
        <w:t>The record</w:t>
      </w:r>
      <w:r w:rsidR="00C10986">
        <w:t>keeping</w:t>
      </w:r>
      <w:r w:rsidRPr="00E073B8">
        <w:t xml:space="preserve"> period of this collection is five years.</w:t>
      </w:r>
      <w:r>
        <w:t xml:space="preserve"> The five-year record retention period is consistent with the statute of limitations and other TSCA reporting rules (e.g., CDR).</w:t>
      </w:r>
    </w:p>
    <w:p w:rsidR="00BE07F5" w:rsidRPr="0076282D" w:rsidP="008F41F5" w14:paraId="3AB7FA25" w14:textId="245A1126">
      <w:pPr>
        <w:pStyle w:val="ListParagraph"/>
        <w:ind w:left="0"/>
      </w:pPr>
      <w:r>
        <w:t xml:space="preserve">Reporters may also assert and substantiate CBI when submitting </w:t>
      </w:r>
      <w:r w:rsidR="008E6AD7">
        <w:t xml:space="preserve">information under this rule. </w:t>
      </w:r>
      <w:r w:rsidRPr="009533EA" w:rsidR="008E6AD7">
        <w:t xml:space="preserve">EPA has long-established procedures for </w:t>
      </w:r>
      <w:r w:rsidR="008E6AD7">
        <w:t xml:space="preserve">properly </w:t>
      </w:r>
      <w:r w:rsidRPr="009533EA" w:rsidR="008E6AD7">
        <w:t>handling, storing, processing, and disposing of TSCA confidential information. Transfers of this information to other</w:t>
      </w:r>
      <w:r w:rsidR="008E6AD7">
        <w:t>s</w:t>
      </w:r>
      <w:r w:rsidRPr="009533EA" w:rsidR="008E6AD7">
        <w:t xml:space="preserve"> </w:t>
      </w:r>
      <w:r w:rsidRPr="006879DC" w:rsidR="008E6AD7">
        <w:t xml:space="preserve">as allowed under TSCA section 14(d) </w:t>
      </w:r>
      <w:r w:rsidRPr="009533EA" w:rsidR="008E6AD7">
        <w:t xml:space="preserve">can be made only if the other </w:t>
      </w:r>
      <w:r w:rsidR="008E6AD7">
        <w:t xml:space="preserve">entity </w:t>
      </w:r>
      <w:r w:rsidRPr="009533EA" w:rsidR="008E6AD7">
        <w:t xml:space="preserve">agrees to adhere to all TSCA confidentiality provisions. EPA will maintain standard </w:t>
      </w:r>
      <w:r w:rsidR="008E6AD7">
        <w:t xml:space="preserve">confidentiality </w:t>
      </w:r>
      <w:r w:rsidRPr="009533EA" w:rsidR="008E6AD7">
        <w:t>procedures to protect any confidential, trade secret, or proprietary information from disclosure in accordance with EPA’s confidentiality regulation, 40 CFR Part 2, Subpart B</w:t>
      </w:r>
      <w:r w:rsidRPr="00F3427A" w:rsidR="008E6AD7">
        <w:t>.</w:t>
      </w:r>
    </w:p>
    <w:p w:rsidR="00E7134B" w:rsidRPr="00B95D15" w:rsidP="0068004C" w14:paraId="31EABCC3" w14:textId="77777777">
      <w:pPr>
        <w:pStyle w:val="Heading2"/>
        <w:rPr>
          <w:i w:val="0"/>
          <w:iCs w:val="0"/>
        </w:rPr>
      </w:pPr>
      <w:r w:rsidRPr="00B95D15">
        <w:rPr>
          <w:i w:val="0"/>
          <w:iCs w:val="0"/>
        </w:rPr>
        <w:t xml:space="preserve">8. </w:t>
      </w:r>
      <w:r w:rsidRPr="00B95D15" w:rsidR="00EC4305">
        <w:rPr>
          <w:i w:val="0"/>
          <w:iCs w:val="0"/>
        </w:rPr>
        <w:t xml:space="preserve">If applicable, provide a copy and identify the date and page number of </w:t>
      </w:r>
      <w:r w:rsidRPr="00B95D15" w:rsidR="00EC4305">
        <w:rPr>
          <w:i w:val="0"/>
          <w:iCs w:val="0"/>
        </w:rPr>
        <w:t>publication</w:t>
      </w:r>
      <w:r w:rsidRPr="00B95D15" w:rsidR="00EC4305">
        <w:rPr>
          <w:i w:val="0"/>
          <w:iCs w:val="0"/>
        </w:rPr>
        <w:t xml:space="preserve">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B41A83" w:rsidP="0068004C" w14:paraId="16D57376" w14:textId="05227B45">
      <w:pPr>
        <w:pStyle w:val="Heading2"/>
        <w:rPr>
          <w:i w:val="0"/>
          <w:iCs w:val="0"/>
        </w:rPr>
      </w:pPr>
      <w:r w:rsidRPr="00B95D15">
        <w:rPr>
          <w:i w:val="0"/>
          <w:iCs w:val="0"/>
        </w:rPr>
        <w:t>Describe efforts to consult with persons outside EPA to obtain their views on the availability of data, frequency of collection, the clarity of instructions and recordkeeping, disclosure, or reporting format (if any), and on the data elements to be recorded, disclosed, or report.</w:t>
      </w:r>
      <w:r w:rsidRPr="00B95D15">
        <w:rPr>
          <w:i w:val="0"/>
          <w:iCs w:val="0"/>
        </w:rPr>
        <w:t xml:space="preserve"> </w:t>
      </w:r>
    </w:p>
    <w:p w:rsidR="00525701" w:rsidP="004F4342" w14:paraId="66625A33" w14:textId="5E19E3D8">
      <w:r>
        <w:t>EPA developed the proposed rule “TSCA Section 8(a)(7) Reporting and Recordkeeping Requirements for Perfluoroalkyl and Polyfluoroalkyl Substances” and published it in the Federal Register for public comment (86 FR 33926</w:t>
      </w:r>
      <w:r w:rsidR="00967AEC">
        <w:t xml:space="preserve">; </w:t>
      </w:r>
      <w:r>
        <w:t xml:space="preserve">June 28, 2021). The proposed rulemaking served as the public notice for this ICR amendment, which is available in the public docket. Interested parties were directed to submit comments referencing Docket ID No. EPA-HQ-OPPT-2020-0549. </w:t>
      </w:r>
      <w:r w:rsidR="00827450">
        <w:t>EPA received 1</w:t>
      </w:r>
      <w:r w:rsidR="574B430D">
        <w:t>09</w:t>
      </w:r>
      <w:r w:rsidR="00827450">
        <w:t xml:space="preserve"> unique comments </w:t>
      </w:r>
      <w:r w:rsidR="00DE551C">
        <w:t xml:space="preserve">on the proposed information collection (including those that requested </w:t>
      </w:r>
      <w:r w:rsidR="00297450">
        <w:t xml:space="preserve">an extension of the </w:t>
      </w:r>
      <w:r w:rsidR="00DE551C">
        <w:t xml:space="preserve">comment period, which EPA granted). </w:t>
      </w:r>
      <w:r w:rsidR="00297450">
        <w:t xml:space="preserve">Comments </w:t>
      </w:r>
      <w:r w:rsidR="00BA3236">
        <w:t xml:space="preserve">were submitted from many types of stakeholders (industry, non-governmental organizations, </w:t>
      </w:r>
      <w:r w:rsidR="00366C95">
        <w:t xml:space="preserve">other federal agencies, </w:t>
      </w:r>
      <w:r w:rsidR="00BA3236">
        <w:t xml:space="preserve">state agencies, utilities, </w:t>
      </w:r>
      <w:r w:rsidR="00DC76D3">
        <w:t>and private citizens) and covered many different aspects of the proposed rule, including the cost and hour burde</w:t>
      </w:r>
      <w:r w:rsidR="00310785">
        <w:t xml:space="preserve">n estimates, reporting data elements, frequency of collection, </w:t>
      </w:r>
      <w:r w:rsidR="00BA14A5">
        <w:t>duration of reporting period, and clari</w:t>
      </w:r>
      <w:r w:rsidR="00AE4017">
        <w:t>t</w:t>
      </w:r>
      <w:r w:rsidR="00BA14A5">
        <w:t>y of instructions.</w:t>
      </w:r>
    </w:p>
    <w:p w:rsidR="00FA6527" w:rsidP="004F4342" w14:paraId="4351B068" w14:textId="2E4D6946">
      <w:r>
        <w:t xml:space="preserve">Comments pertaining to the </w:t>
      </w:r>
      <w:r w:rsidR="00366C95">
        <w:t xml:space="preserve">cost and hour burden estimates for the proposed rule from industry </w:t>
      </w:r>
      <w:r w:rsidR="004D569C">
        <w:t xml:space="preserve">and SBA generally stated that EPA had significantly underestimated the burden, including on small businesses, given the </w:t>
      </w:r>
      <w:r w:rsidR="00CE0170">
        <w:t>inability for EPA to reliably estimate the universe of article importers that would be covered by the proposed rule at the time of the proposed rule’s publication. Some comments provided alternative estimates based on their experiences</w:t>
      </w:r>
      <w:r w:rsidR="0042010E">
        <w:t xml:space="preserve">, which EPA has considered and addressed in the final rule and economic analysis. </w:t>
      </w:r>
      <w:r w:rsidR="00835E19">
        <w:t>However, other comments related to estimated burden from other stakeholders</w:t>
      </w:r>
      <w:r w:rsidR="00E43E02">
        <w:t xml:space="preserve"> addressed the necessity of the data collection for the purpose of public health and environmental protection, as no similar dataset exists. </w:t>
      </w:r>
      <w:r w:rsidR="00124B7D">
        <w:t>Some c</w:t>
      </w:r>
      <w:r w:rsidR="00E43E02">
        <w:t xml:space="preserve">ommenters also </w:t>
      </w:r>
      <w:r w:rsidR="00124B7D">
        <w:t>stated that the benefits of this information collection were not sufficiently detailed in the proposed rule and should be better explained in lieu of the estimated costs.</w:t>
      </w:r>
    </w:p>
    <w:p w:rsidR="00270EEC" w:rsidP="004F4342" w14:paraId="4044877A" w14:textId="69588951">
      <w:r>
        <w:t xml:space="preserve">Comments </w:t>
      </w:r>
      <w:r w:rsidR="003029BC">
        <w:t xml:space="preserve">on the proposed rule </w:t>
      </w:r>
      <w:r>
        <w:t xml:space="preserve">pertaining </w:t>
      </w:r>
      <w:r w:rsidR="00124B7D">
        <w:t xml:space="preserve">to </w:t>
      </w:r>
      <w:r w:rsidR="003029BC">
        <w:t>reporting data elements generally recognized that EPA is required to request as many data elements as proposed and for each year that a PFAS was manufactured. A few commenters suggested some modifications (both deletions and additions)</w:t>
      </w:r>
      <w:r w:rsidR="00B42025">
        <w:t xml:space="preserve"> to the list of proposed data elements. Similarly, EPA received only a few comments on the frequency of collection. Most commenters supported the one-time </w:t>
      </w:r>
      <w:r w:rsidR="0012344B">
        <w:t>data collection, but a few requested that EPA conduct this data collection more frequently in the future.</w:t>
      </w:r>
    </w:p>
    <w:p w:rsidR="00B42025" w:rsidP="004F4342" w14:paraId="22F359E1" w14:textId="4E5BEAB5">
      <w:r>
        <w:t xml:space="preserve">Comments pertaining to the </w:t>
      </w:r>
      <w:r w:rsidR="003731AD">
        <w:t>duration of the reporting period varied by stakeholder type. Generally, industry commenters requested more time to co</w:t>
      </w:r>
      <w:r w:rsidR="001D170D">
        <w:t xml:space="preserve">llect and report information than the rule proposed. However, </w:t>
      </w:r>
      <w:r w:rsidR="009162A8">
        <w:t xml:space="preserve">many </w:t>
      </w:r>
      <w:r w:rsidR="001D170D">
        <w:t xml:space="preserve">other stakeholders requested no changes to the proposed reporting </w:t>
      </w:r>
      <w:r w:rsidR="009162A8">
        <w:t xml:space="preserve">period duration, though some supported a reduced reporting period </w:t>
      </w:r>
      <w:r w:rsidR="009162A8">
        <w:t>so as to</w:t>
      </w:r>
      <w:r w:rsidR="009162A8">
        <w:t xml:space="preserve"> receive </w:t>
      </w:r>
      <w:r w:rsidR="00302DEA">
        <w:t>the requested data sooner.</w:t>
      </w:r>
    </w:p>
    <w:p w:rsidR="00302DEA" w:rsidP="004F4342" w14:paraId="60ED57FB" w14:textId="232DEBA4">
      <w:r>
        <w:t>Some commenters</w:t>
      </w:r>
      <w:r w:rsidR="008D5DA1">
        <w:t xml:space="preserve"> requested greater clarity of instructions, especially given the reporting standard of TSCA section 8: information must be reported to the extent it is known to or reasonably ascertainable by the submitter. </w:t>
      </w:r>
      <w:r w:rsidR="00310BC6">
        <w:t xml:space="preserve">This request </w:t>
      </w:r>
      <w:r w:rsidR="00B95F51">
        <w:t xml:space="preserve">was provided </w:t>
      </w:r>
      <w:r w:rsidR="00B95F51">
        <w:t>in light of</w:t>
      </w:r>
      <w:r w:rsidR="00B95F51">
        <w:t xml:space="preserve"> </w:t>
      </w:r>
      <w:r w:rsidR="00A33537">
        <w:t xml:space="preserve">article importers </w:t>
      </w:r>
      <w:r w:rsidR="007C359D">
        <w:t xml:space="preserve">and other entities </w:t>
      </w:r>
      <w:r w:rsidR="00A33537">
        <w:t>who have generally not been required to report to EPA under most other section 8 rules</w:t>
      </w:r>
      <w:r w:rsidR="007C359D">
        <w:t>.</w:t>
      </w:r>
    </w:p>
    <w:p w:rsidR="0002766F" w:rsidP="004F4342" w14:paraId="288DF2CF" w14:textId="72E80E19">
      <w:r>
        <w:t xml:space="preserve">Commenters also urged EPA to </w:t>
      </w:r>
      <w:r w:rsidR="000C048E">
        <w:t>convene an SBAR Panel under the RFA to better estimate the universe of small businesses affected by the proposed rule and consider small entities’ input</w:t>
      </w:r>
      <w:r w:rsidR="00FA6527">
        <w:t xml:space="preserve"> on </w:t>
      </w:r>
      <w:r w:rsidR="00A01ACA">
        <w:t>regulatory alternatives to the proposed rule</w:t>
      </w:r>
      <w:r w:rsidR="000C048E">
        <w:t>.</w:t>
      </w:r>
      <w:r w:rsidR="00FA6527">
        <w:t xml:space="preserve"> </w:t>
      </w:r>
      <w:r w:rsidR="00A01ACA">
        <w:t xml:space="preserve">Accordingly, </w:t>
      </w:r>
      <w:r w:rsidR="00FA6527">
        <w:t xml:space="preserve">EPA convened an SBAR Panel in April 2022 </w:t>
      </w:r>
      <w:r w:rsidR="00A01ACA">
        <w:t xml:space="preserve">and concluded in August 2022. </w:t>
      </w:r>
      <w:r>
        <w:t xml:space="preserve">Input from small entity representatives to this SBAR Panel </w:t>
      </w:r>
      <w:r w:rsidR="00E1045A">
        <w:t>included discussion o</w:t>
      </w:r>
      <w:r w:rsidR="009B74BC">
        <w:t>f</w:t>
      </w:r>
      <w:r w:rsidR="00E1045A">
        <w:t xml:space="preserve"> the proposed rule’s estimated burden and costs (including EPA’s since-updated estimates)</w:t>
      </w:r>
      <w:r w:rsidR="00886A38">
        <w:t xml:space="preserve"> </w:t>
      </w:r>
      <w:r w:rsidR="00CB0BA0">
        <w:t xml:space="preserve">and methodologies </w:t>
      </w:r>
      <w:r w:rsidR="00143EC0">
        <w:t>deriving those estimates,</w:t>
      </w:r>
      <w:r w:rsidR="00406B9A">
        <w:t xml:space="preserve"> the </w:t>
      </w:r>
      <w:r w:rsidR="00727542">
        <w:t xml:space="preserve">clarity of instructions and guidance in the proposed rule related to the reporting standard, </w:t>
      </w:r>
      <w:r w:rsidR="00610E9C">
        <w:t xml:space="preserve">the reporting </w:t>
      </w:r>
      <w:r w:rsidR="00A37D58">
        <w:t xml:space="preserve">period duration, </w:t>
      </w:r>
      <w:r w:rsidR="00727542">
        <w:t xml:space="preserve">and </w:t>
      </w:r>
      <w:r w:rsidR="003757DA">
        <w:t xml:space="preserve">regulatory flexibility alternatives to minimize burden on small entities. </w:t>
      </w:r>
    </w:p>
    <w:p w:rsidR="00BA14A5" w:rsidP="004F4342" w14:paraId="0C8E9BFE" w14:textId="015A3802">
      <w:r>
        <w:t xml:space="preserve">Pursuant to the RFA, EPA published the Initial Regulatory Flexibility Analysis (IRFA) </w:t>
      </w:r>
      <w:r w:rsidR="006436AD">
        <w:t xml:space="preserve">as a Notice of Data Availability </w:t>
      </w:r>
      <w:r>
        <w:t>for public comment (</w:t>
      </w:r>
      <w:r w:rsidRPr="00967AEC" w:rsidR="00967AEC">
        <w:t>87 FR 72439</w:t>
      </w:r>
      <w:r w:rsidR="00967AEC">
        <w:t xml:space="preserve">; November 25, 2022). </w:t>
      </w:r>
      <w:r w:rsidR="004B51DB">
        <w:t>EPA specifically requested comments on all aspects of the IRFA, including burden estimates for small entities</w:t>
      </w:r>
      <w:r w:rsidR="002162F8">
        <w:t xml:space="preserve"> and</w:t>
      </w:r>
      <w:r w:rsidR="004B51DB">
        <w:t xml:space="preserve"> regulatory flexibility alternatives </w:t>
      </w:r>
      <w:r w:rsidR="002162F8">
        <w:t xml:space="preserve">for both small and all entities. In this notice, EPA also solicited comments on </w:t>
      </w:r>
      <w:r w:rsidR="00AC7DF9">
        <w:t>other aspects of the proposed rule t</w:t>
      </w:r>
      <w:r w:rsidR="00E605CF">
        <w:t xml:space="preserve">hat may have been </w:t>
      </w:r>
      <w:r w:rsidR="00E605CF">
        <w:t>impacted by other actions since the publication of the notice of proposed rulemaking</w:t>
      </w:r>
      <w:r w:rsidR="009A0A1A">
        <w:t xml:space="preserve"> (e.g., TSCA CBI procedural rule)</w:t>
      </w:r>
      <w:r w:rsidR="00AC7DF9">
        <w:t>.</w:t>
      </w:r>
    </w:p>
    <w:p w:rsidR="0066628F" w:rsidP="004F4342" w14:paraId="34F0F2F3" w14:textId="60D9FDB0">
      <w:r>
        <w:t xml:space="preserve">In response to the </w:t>
      </w:r>
      <w:r w:rsidR="00E85F41">
        <w:t xml:space="preserve">notice of data availability for the IRFA, EPA received </w:t>
      </w:r>
      <w:r w:rsidR="7E90569F">
        <w:t>44</w:t>
      </w:r>
      <w:r w:rsidR="00E85F41">
        <w:t xml:space="preserve"> unique comments (including</w:t>
      </w:r>
      <w:r w:rsidR="004C247C">
        <w:t xml:space="preserve"> requests to extend the comment period, which EPA denied). Comment</w:t>
      </w:r>
      <w:r w:rsidR="004D2235">
        <w:t xml:space="preserve">ers included </w:t>
      </w:r>
      <w:r w:rsidRPr="00BE68F9" w:rsidR="00BE68F9">
        <w:t>industry trade association and coalitions, individual companies, non-profit organizations, federal and tribal entities, and private citizens</w:t>
      </w:r>
      <w:r w:rsidR="18BB046A">
        <w:t xml:space="preserve">. </w:t>
      </w:r>
      <w:r w:rsidR="004D2235">
        <w:t>Comment</w:t>
      </w:r>
      <w:r w:rsidR="009D3490">
        <w:t xml:space="preserve"> topics included</w:t>
      </w:r>
      <w:r w:rsidR="00EA7E7E">
        <w:t xml:space="preserve"> </w:t>
      </w:r>
      <w:r w:rsidR="007C2171">
        <w:t>the consideration of a supplemental proposed rulemaking in</w:t>
      </w:r>
      <w:r w:rsidR="0040431E">
        <w:t xml:space="preserve"> lieu of a NODA</w:t>
      </w:r>
      <w:r w:rsidRPr="00EA7E7E" w:rsidR="00EA7E7E">
        <w:t xml:space="preserve">; the scope of reportable chemicals; </w:t>
      </w:r>
      <w:r w:rsidR="00FD6325">
        <w:t xml:space="preserve">support for alternatives presented in the IRFA, </w:t>
      </w:r>
      <w:r w:rsidR="00FE51FD">
        <w:t>opposition to alternatives presented in the IRFA</w:t>
      </w:r>
      <w:r w:rsidRPr="00EA7E7E" w:rsidR="00EA7E7E">
        <w:t>; the burden and cost of the rule and EPA’s methodology for estimation;</w:t>
      </w:r>
      <w:r w:rsidR="006D3F29">
        <w:t xml:space="preserve"> </w:t>
      </w:r>
      <w:r w:rsidR="007B497F">
        <w:t xml:space="preserve">submission of </w:t>
      </w:r>
      <w:r w:rsidR="006D3F29">
        <w:t>TSCA CBI</w:t>
      </w:r>
      <w:r w:rsidR="00C303F8">
        <w:t xml:space="preserve"> claims</w:t>
      </w:r>
      <w:r w:rsidR="007B497F">
        <w:t xml:space="preserve">; </w:t>
      </w:r>
      <w:r w:rsidR="00F94161">
        <w:t xml:space="preserve">duplicative reporting and </w:t>
      </w:r>
      <w:r w:rsidR="00B74CE3">
        <w:t>request to extend the public period.</w:t>
      </w:r>
    </w:p>
    <w:p w:rsidR="004F4342" w:rsidRPr="008817D2" w:rsidP="004F4342" w14:paraId="21002E1C" w14:textId="0E4D4FAB">
      <w:r>
        <w:t>The final rule, Economic Analysis, and ICR were developed with consideration of comments received from the public in response to the notice of proposed rulemaking</w:t>
      </w:r>
      <w:r w:rsidR="004B51DB">
        <w:t xml:space="preserve"> and notice of data availability, and through the SBAR Panel</w:t>
      </w:r>
      <w:r>
        <w:t>. EPA has developed a Response to Comments document that summarizes the comments received and EPA’s responses that were not included and responded to in the preamble</w:t>
      </w:r>
      <w:r w:rsidR="00D327C5">
        <w:t xml:space="preserve"> (Attachments D and E)</w:t>
      </w:r>
      <w:r>
        <w:t xml:space="preserve">. </w:t>
      </w:r>
    </w:p>
    <w:p w:rsidR="00B41A83" w:rsidRPr="00B95D15" w:rsidP="0068004C" w14:paraId="485EC471" w14:textId="47965D24">
      <w:pPr>
        <w:pStyle w:val="Heading2"/>
        <w:rPr>
          <w:i w:val="0"/>
          <w:iCs w:val="0"/>
        </w:rPr>
      </w:pPr>
      <w:r w:rsidRPr="00B95D15">
        <w:rPr>
          <w:i w:val="0"/>
          <w:iCs w:val="0"/>
        </w:rPr>
        <w:t xml:space="preserve">9. </w:t>
      </w:r>
      <w:r w:rsidRPr="00B95D15" w:rsidR="00EC4305">
        <w:rPr>
          <w:i w:val="0"/>
          <w:iCs w:val="0"/>
        </w:rPr>
        <w:t>Explain any decision to provide any payment or gift to respondents, other than remuneration of contractors or grantees.</w:t>
      </w:r>
      <w:r w:rsidRPr="00B95D15">
        <w:rPr>
          <w:i w:val="0"/>
          <w:iCs w:val="0"/>
        </w:rPr>
        <w:t xml:space="preserve"> </w:t>
      </w:r>
    </w:p>
    <w:p w:rsidR="00EC4305" w:rsidP="00EC4305" w14:paraId="0CB6B3D0" w14:textId="15BB2A9F">
      <w:r>
        <w:t xml:space="preserve">This question is not applicable to this </w:t>
      </w:r>
      <w:r>
        <w:t>ICR</w:t>
      </w:r>
    </w:p>
    <w:p w:rsidR="00EC4305" w:rsidP="0068004C" w14:paraId="68A07492" w14:textId="53728292">
      <w:pPr>
        <w:pStyle w:val="Heading2"/>
        <w:rPr>
          <w:i w:val="0"/>
          <w:iCs w:val="0"/>
        </w:rPr>
      </w:pPr>
      <w:r w:rsidRPr="00B95D15">
        <w:rPr>
          <w:i w:val="0"/>
          <w:iCs w:val="0"/>
        </w:rPr>
        <w:t xml:space="preserve">10. </w:t>
      </w:r>
      <w:r w:rsidRPr="00B95D15">
        <w:rPr>
          <w:i w:val="0"/>
          <w:iCs w:val="0"/>
        </w:rPr>
        <w:t>Describe any assurance of</w:t>
      </w:r>
      <w:r w:rsidRPr="00B95D15" w:rsidR="00381810">
        <w:rPr>
          <w:i w:val="0"/>
          <w:iCs w:val="0"/>
        </w:rPr>
        <w:t xml:space="preserve"> confidentiality provided to respondents and the basis for the assurance in statute, regulation, or agency policy. If the collection requires a </w:t>
      </w:r>
      <w:r w:rsidRPr="00B95D15" w:rsidR="00381810">
        <w:rPr>
          <w:i w:val="0"/>
          <w:iCs w:val="0"/>
        </w:rPr>
        <w:t>systems of records notice (SORN)</w:t>
      </w:r>
      <w:r w:rsidRPr="00B95D15" w:rsidR="00381810">
        <w:rPr>
          <w:i w:val="0"/>
          <w:iCs w:val="0"/>
        </w:rPr>
        <w:t xml:space="preserve"> or privacy impact assessment (PIA), those should be cited and described here.</w:t>
      </w:r>
    </w:p>
    <w:p w:rsidR="00354DAB" w:rsidRPr="00354DAB" w:rsidP="00354DAB" w14:paraId="65A278E5" w14:textId="6A0E3321">
      <w:pPr>
        <w:pStyle w:val="BodyText"/>
        <w:spacing w:after="200" w:line="276" w:lineRule="auto"/>
        <w:rPr>
          <w:rFonts w:asciiTheme="minorHAnsi" w:hAnsiTheme="minorHAnsi" w:cstheme="minorHAnsi"/>
          <w:sz w:val="24"/>
          <w:szCs w:val="24"/>
        </w:rPr>
      </w:pPr>
      <w:r w:rsidRPr="00354DAB">
        <w:rPr>
          <w:rFonts w:asciiTheme="minorHAnsi" w:hAnsiTheme="minorHAnsi" w:cstheme="minorHAnsi"/>
          <w:sz w:val="24"/>
          <w:szCs w:val="24"/>
        </w:rPr>
        <w:t xml:space="preserve">Confidentiality claims limit access to the PFAS data, especially by the public. EPA recognizes that some information submitted to the Agency is legitimately confidential. Therefore, EPA’s review of confidential data is an inherently governmental function that EPA must perform to protect human health and the environment. EPA has identified specific data elements that cannot be claimed as confidential, consistent with </w:t>
      </w:r>
      <w:r w:rsidR="00C37C67">
        <w:rPr>
          <w:rFonts w:asciiTheme="minorHAnsi" w:hAnsiTheme="minorHAnsi" w:cstheme="minorHAnsi"/>
          <w:sz w:val="24"/>
          <w:szCs w:val="24"/>
        </w:rPr>
        <w:t xml:space="preserve">TSCA section 14. </w:t>
      </w:r>
      <w:r w:rsidR="00F83AFF">
        <w:rPr>
          <w:rFonts w:asciiTheme="minorHAnsi" w:hAnsiTheme="minorHAnsi" w:cstheme="minorHAnsi"/>
          <w:sz w:val="24"/>
          <w:szCs w:val="24"/>
        </w:rPr>
        <w:t xml:space="preserve">These data elements are also not allowed to be claimed as confidential in </w:t>
      </w:r>
      <w:r w:rsidRPr="00354DAB">
        <w:rPr>
          <w:rFonts w:asciiTheme="minorHAnsi" w:hAnsiTheme="minorHAnsi" w:cstheme="minorHAnsi"/>
          <w:sz w:val="24"/>
          <w:szCs w:val="24"/>
        </w:rPr>
        <w:t xml:space="preserve">CDR reporting. Also consistent with </w:t>
      </w:r>
      <w:r w:rsidR="00F83AFF">
        <w:rPr>
          <w:rFonts w:asciiTheme="minorHAnsi" w:hAnsiTheme="minorHAnsi" w:cstheme="minorHAnsi"/>
          <w:sz w:val="24"/>
          <w:szCs w:val="24"/>
        </w:rPr>
        <w:t>TSCA CBI submission requirements</w:t>
      </w:r>
      <w:r w:rsidRPr="00354DAB">
        <w:rPr>
          <w:rFonts w:asciiTheme="minorHAnsi" w:hAnsiTheme="minorHAnsi" w:cstheme="minorHAnsi"/>
          <w:sz w:val="24"/>
          <w:szCs w:val="24"/>
        </w:rPr>
        <w:t xml:space="preserve">, EPA will require submitters provide upfront substantiation when </w:t>
      </w:r>
      <w:r w:rsidR="00F83AFF">
        <w:rPr>
          <w:rFonts w:asciiTheme="minorHAnsi" w:hAnsiTheme="minorHAnsi" w:cstheme="minorHAnsi"/>
          <w:sz w:val="24"/>
          <w:szCs w:val="24"/>
        </w:rPr>
        <w:t>asserting</w:t>
      </w:r>
      <w:r w:rsidRPr="00354DAB" w:rsidR="00F83AFF">
        <w:rPr>
          <w:rFonts w:asciiTheme="minorHAnsi" w:hAnsiTheme="minorHAnsi" w:cstheme="minorHAnsi"/>
          <w:sz w:val="24"/>
          <w:szCs w:val="24"/>
        </w:rPr>
        <w:t xml:space="preserve"> </w:t>
      </w:r>
      <w:r w:rsidRPr="00354DAB">
        <w:rPr>
          <w:rFonts w:asciiTheme="minorHAnsi" w:hAnsiTheme="minorHAnsi" w:cstheme="minorHAnsi"/>
          <w:sz w:val="24"/>
          <w:szCs w:val="24"/>
        </w:rPr>
        <w:t>eligible data elements as CBI in this rule.</w:t>
      </w:r>
    </w:p>
    <w:p w:rsidR="00354DAB" w:rsidRPr="00354DAB" w:rsidP="00354DAB" w14:paraId="2504D684" w14:textId="77777777">
      <w:pPr>
        <w:pStyle w:val="BodyText"/>
        <w:spacing w:after="200" w:line="276" w:lineRule="auto"/>
        <w:rPr>
          <w:rFonts w:asciiTheme="minorHAnsi" w:hAnsiTheme="minorHAnsi" w:cstheme="minorHAnsi"/>
          <w:sz w:val="24"/>
          <w:szCs w:val="24"/>
        </w:rPr>
      </w:pPr>
      <w:r w:rsidRPr="00354DAB">
        <w:rPr>
          <w:rFonts w:asciiTheme="minorHAnsi" w:hAnsiTheme="minorHAnsi" w:cstheme="minorHAnsi"/>
          <w:sz w:val="24"/>
          <w:szCs w:val="24"/>
        </w:rPr>
        <w:t xml:space="preserve">Submitters may claim most information reported to EPA under this rule as confidential if such information would reveal the submitter’s trade secrets or proprietary information as defined by TSCA section 14 and existing regulations promulgated by EPA under TSCA. </w:t>
      </w:r>
    </w:p>
    <w:p w:rsidR="00354DAB" w:rsidRPr="00354DAB" w:rsidP="00354DAB" w14:paraId="45A639F4" w14:textId="77777777">
      <w:pPr>
        <w:pStyle w:val="ListParagraph"/>
        <w:spacing w:after="200" w:line="276" w:lineRule="auto"/>
        <w:ind w:left="0"/>
        <w:rPr>
          <w:rFonts w:asciiTheme="minorHAnsi" w:hAnsiTheme="minorHAnsi" w:cstheme="minorHAnsi"/>
          <w:szCs w:val="24"/>
        </w:rPr>
      </w:pPr>
      <w:r w:rsidRPr="00354DAB">
        <w:rPr>
          <w:rFonts w:asciiTheme="minorHAnsi" w:hAnsiTheme="minorHAnsi" w:cstheme="minorHAnsi"/>
          <w:szCs w:val="24"/>
        </w:rPr>
        <w:t xml:space="preserve">EPA has long-established procedures for properly handling, storing, processing, and disposing of TSCA confidential information. Transfers of this information to others as allowed under TSCA section 14(d) can be made only if the other entity agrees to adhere to all TSCA confidentiality provisions. EPA will maintain standard confidentiality procedures to protect any </w:t>
      </w:r>
      <w:r w:rsidRPr="00354DAB">
        <w:rPr>
          <w:rFonts w:asciiTheme="minorHAnsi" w:hAnsiTheme="minorHAnsi" w:cstheme="minorHAnsi"/>
          <w:szCs w:val="24"/>
        </w:rPr>
        <w:t>confidential, trade secret, or proprietary information from disclosure in accordance with EPA’s confidentiality regulation, 40 CFR Part 2, Subpart B.</w:t>
      </w:r>
    </w:p>
    <w:p w:rsidR="007E3456" w:rsidRPr="00B95D15" w:rsidP="007E3456" w14:paraId="67B3F374" w14:textId="133220A9">
      <w:pPr>
        <w:pStyle w:val="Heading2"/>
        <w:rPr>
          <w:i w:val="0"/>
          <w:iCs w:val="0"/>
        </w:rPr>
      </w:pPr>
      <w:r w:rsidRPr="00B95D15">
        <w:rPr>
          <w:i w:val="0"/>
          <w:iCs w:val="0"/>
        </w:rPr>
        <w:t xml:space="preserve">11. </w:t>
      </w:r>
      <w:r w:rsidRPr="00B95D15">
        <w:rPr>
          <w:i w:val="0"/>
          <w:iCs w:val="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6282D" w:rsidRPr="0076282D" w:rsidP="0076282D" w14:paraId="1979B7DB" w14:textId="4B11B461">
      <w:r w:rsidRPr="0076282D">
        <w:t xml:space="preserve">EPA asks no questions of a sensitive nature. </w:t>
      </w:r>
    </w:p>
    <w:p w:rsidR="00CF4801" w:rsidRPr="00B95D15" w:rsidP="00CF4801" w14:paraId="0E6B3808" w14:textId="0946D8F7">
      <w:pPr>
        <w:pStyle w:val="Heading2"/>
        <w:rPr>
          <w:i w:val="0"/>
          <w:iCs w:val="0"/>
        </w:rPr>
      </w:pPr>
      <w:r w:rsidRPr="00B95D15">
        <w:rPr>
          <w:i w:val="0"/>
          <w:iCs w:val="0"/>
        </w:rPr>
        <w:t xml:space="preserve">12. </w:t>
      </w:r>
      <w:r w:rsidRPr="00B95D15" w:rsidR="00EC4305">
        <w:rPr>
          <w:i w:val="0"/>
          <w:iCs w:val="0"/>
        </w:rPr>
        <w:t>Provide estimates of the hour burden of the collection of information.</w:t>
      </w:r>
      <w:r w:rsidR="004F4342">
        <w:rPr>
          <w:i w:val="0"/>
          <w:iCs w:val="0"/>
        </w:rPr>
        <w:t xml:space="preserve"> </w:t>
      </w:r>
      <w:r w:rsidR="00917201">
        <w:rPr>
          <w:i w:val="0"/>
          <w:iCs w:val="0"/>
        </w:rPr>
        <w:t>The statement should:</w:t>
      </w:r>
    </w:p>
    <w:p w:rsidR="00917201" w:rsidRPr="007E4E7D" w:rsidP="00917201" w14:paraId="78CB0E2A" w14:textId="77777777">
      <w:pPr>
        <w:pStyle w:val="ListParagraph"/>
        <w:numPr>
          <w:ilvl w:val="0"/>
          <w:numId w:val="49"/>
        </w:numPr>
        <w:spacing w:after="200" w:line="240" w:lineRule="auto"/>
        <w:contextualSpacing w:val="0"/>
        <w:rPr>
          <w:b/>
          <w:bCs/>
        </w:rPr>
      </w:pPr>
      <w:r w:rsidRPr="007E4E7D">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17201" w:rsidP="00917201" w14:paraId="77E0A1D5" w14:textId="77777777">
      <w:pPr>
        <w:pStyle w:val="ListParagraph"/>
        <w:numPr>
          <w:ilvl w:val="0"/>
          <w:numId w:val="49"/>
        </w:numPr>
        <w:spacing w:after="200" w:line="240" w:lineRule="auto"/>
        <w:contextualSpacing w:val="0"/>
        <w:rPr>
          <w:b/>
          <w:bCs/>
        </w:rPr>
      </w:pPr>
      <w:r w:rsidRPr="007E4E7D">
        <w:rPr>
          <w:b/>
          <w:bCs/>
        </w:rPr>
        <w:t xml:space="preserve">If this request for approval covers more than one form, provide separate hour burden estimates for each form and aggregate the hour burdens. </w:t>
      </w:r>
    </w:p>
    <w:p w:rsidR="006D1DD5" w:rsidRPr="00B95D15" w:rsidP="00B95D15" w14:paraId="5DBFB24D" w14:textId="6E741F46">
      <w:pPr>
        <w:pStyle w:val="ListParagraph"/>
        <w:numPr>
          <w:ilvl w:val="0"/>
          <w:numId w:val="49"/>
        </w:numPr>
        <w:spacing w:after="200" w:line="240" w:lineRule="auto"/>
        <w:contextualSpacing w:val="0"/>
        <w:rPr>
          <w:b/>
          <w:bCs/>
        </w:rPr>
      </w:pPr>
      <w:r w:rsidRPr="00917201">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w:t>
      </w:r>
      <w:r w:rsidRPr="00B95D15">
        <w:rPr>
          <w:b/>
          <w:bCs/>
        </w:rPr>
        <w:t xml:space="preserve">hould be included under ‘Annual Cost to Federal </w:t>
      </w:r>
      <w:r w:rsidRPr="00B95D15">
        <w:rPr>
          <w:b/>
          <w:bCs/>
        </w:rPr>
        <w:t>Government</w:t>
      </w:r>
      <w:r w:rsidRPr="00B95D15">
        <w:rPr>
          <w:b/>
          <w:bCs/>
        </w:rPr>
        <w:t>’</w:t>
      </w:r>
    </w:p>
    <w:p w:rsidR="00354DAB" w:rsidP="58920D6B" w14:paraId="6603C4C7" w14:textId="045323B5">
      <w:pPr>
        <w:spacing w:after="200" w:line="276" w:lineRule="auto"/>
        <w:rPr>
          <w:rFonts w:asciiTheme="minorHAnsi" w:hAnsiTheme="minorHAnsi"/>
        </w:rPr>
      </w:pPr>
      <w:r w:rsidRPr="58920D6B">
        <w:rPr>
          <w:rFonts w:eastAsia="Arial" w:asciiTheme="minorHAnsi" w:hAnsiTheme="minorHAnsi"/>
        </w:rPr>
        <w:t xml:space="preserve">This section of the ICR describes the respondents, the information collection activities and related estimates of burden and costs associated with those activities. Burden estimates are derived consistent with estimates described in the Economic Analysis for the PFAS Data Call </w:t>
      </w:r>
      <w:r w:rsidRPr="58920D6B" w:rsidR="7E07B6A2">
        <w:rPr>
          <w:rFonts w:eastAsia="Arial" w:asciiTheme="minorHAnsi" w:hAnsiTheme="minorHAnsi"/>
        </w:rPr>
        <w:t>Final</w:t>
      </w:r>
      <w:r w:rsidRPr="58920D6B">
        <w:rPr>
          <w:rFonts w:eastAsia="Arial" w:asciiTheme="minorHAnsi" w:hAnsiTheme="minorHAnsi"/>
        </w:rPr>
        <w:t xml:space="preserve"> Rule (EPA</w:t>
      </w:r>
      <w:r w:rsidRPr="58920D6B" w:rsidR="5A15C3F3">
        <w:rPr>
          <w:rFonts w:eastAsia="Arial" w:asciiTheme="minorHAnsi" w:hAnsiTheme="minorHAnsi"/>
        </w:rPr>
        <w:t xml:space="preserve"> 2023</w:t>
      </w:r>
      <w:r w:rsidRPr="58920D6B">
        <w:rPr>
          <w:rFonts w:eastAsia="Arial" w:asciiTheme="minorHAnsi" w:hAnsiTheme="minorHAnsi"/>
        </w:rPr>
        <w:t>).</w:t>
      </w:r>
      <w:r w:rsidRPr="58920D6B">
        <w:rPr>
          <w:rFonts w:asciiTheme="minorHAnsi" w:hAnsiTheme="minorHAnsi"/>
        </w:rPr>
        <w:t xml:space="preserve"> </w:t>
      </w:r>
      <w:bookmarkStart w:id="1" w:name="_Toc58238277"/>
    </w:p>
    <w:p w:rsidR="00354DAB" w:rsidRPr="00354DAB" w:rsidP="00354DAB" w14:paraId="5FD7BF1B" w14:textId="39A0F7CF">
      <w:pPr>
        <w:spacing w:after="200" w:line="276" w:lineRule="auto"/>
        <w:rPr>
          <w:rFonts w:asciiTheme="minorHAnsi" w:hAnsiTheme="minorHAnsi" w:cstheme="minorHAnsi"/>
          <w:b/>
          <w:bCs/>
          <w:i/>
          <w:iCs/>
          <w:szCs w:val="24"/>
        </w:rPr>
      </w:pPr>
      <w:r w:rsidRPr="00354DAB">
        <w:rPr>
          <w:rFonts w:asciiTheme="minorHAnsi" w:hAnsiTheme="minorHAnsi" w:cstheme="minorHAnsi"/>
          <w:b/>
          <w:bCs/>
          <w:i/>
          <w:iCs/>
          <w:szCs w:val="24"/>
        </w:rPr>
        <w:t>Methodology for Estimating Respondent Burden and Costs</w:t>
      </w:r>
      <w:bookmarkEnd w:id="1"/>
    </w:p>
    <w:p w:rsidR="00354DAB" w:rsidRPr="00354DAB" w:rsidP="692313AB" w14:paraId="062933D1" w14:textId="16296FBC">
      <w:pPr>
        <w:pStyle w:val="BodyText"/>
        <w:spacing w:after="200" w:line="276" w:lineRule="auto"/>
        <w:rPr>
          <w:rFonts w:asciiTheme="minorHAnsi" w:hAnsiTheme="minorHAnsi" w:cstheme="minorBidi"/>
          <w:sz w:val="24"/>
          <w:szCs w:val="24"/>
        </w:rPr>
      </w:pPr>
      <w:r w:rsidRPr="692313AB">
        <w:rPr>
          <w:rFonts w:asciiTheme="minorHAnsi" w:hAnsiTheme="minorHAnsi" w:cstheme="minorBidi"/>
          <w:sz w:val="24"/>
          <w:szCs w:val="24"/>
        </w:rPr>
        <w:t xml:space="preserve">The regulated community consists of companies manufacturing (including importing) PFAS chemical substances </w:t>
      </w:r>
      <w:r w:rsidRPr="692313AB">
        <w:rPr>
          <w:rFonts w:eastAsia="Arial" w:asciiTheme="minorHAnsi" w:hAnsiTheme="minorHAnsi" w:cstheme="minorBidi"/>
          <w:sz w:val="24"/>
          <w:szCs w:val="24"/>
        </w:rPr>
        <w:t xml:space="preserve">in any year since January 1, 2011. </w:t>
      </w:r>
      <w:r w:rsidRPr="692313AB" w:rsidR="33A94BCA">
        <w:rPr>
          <w:rFonts w:eastAsia="Arial" w:asciiTheme="minorHAnsi" w:hAnsiTheme="minorHAnsi" w:cstheme="minorBidi"/>
          <w:sz w:val="24"/>
          <w:szCs w:val="24"/>
        </w:rPr>
        <w:t>This final rule will impact manufacturers and article importers across a substantial number of industries, including the following North American Industry Classification System (NAICS) industries:</w:t>
      </w:r>
    </w:p>
    <w:p w:rsidR="00354DAB" w:rsidRPr="00354DAB" w:rsidP="692313AB" w14:paraId="3A6A6175" w14:textId="52E644FF">
      <w:pPr>
        <w:spacing w:after="200" w:line="276" w:lineRule="auto"/>
        <w:rPr>
          <w:rFonts w:eastAsia="Arial" w:cs="Arial"/>
          <w:szCs w:val="24"/>
        </w:rPr>
      </w:pPr>
      <w:r w:rsidRPr="003C26B4">
        <w:rPr>
          <w:rFonts w:eastAsia="Arial" w:cs="Arial"/>
          <w:szCs w:val="24"/>
        </w:rPr>
        <w:t xml:space="preserve">22 – Utilities </w:t>
      </w:r>
    </w:p>
    <w:p w:rsidR="00354DAB" w:rsidRPr="00354DAB" w:rsidP="692313AB" w14:paraId="42E89446" w14:textId="2D1E6DC6">
      <w:pPr>
        <w:spacing w:after="200" w:line="276" w:lineRule="auto"/>
        <w:rPr>
          <w:rFonts w:eastAsia="Arial" w:cs="Arial"/>
          <w:szCs w:val="24"/>
        </w:rPr>
      </w:pPr>
      <w:r w:rsidRPr="003C26B4">
        <w:rPr>
          <w:rFonts w:eastAsia="Arial" w:cs="Arial"/>
          <w:szCs w:val="24"/>
        </w:rPr>
        <w:t>23 – Construction</w:t>
      </w:r>
    </w:p>
    <w:p w:rsidR="00354DAB" w:rsidRPr="00354DAB" w:rsidP="692313AB" w14:paraId="2C1E7E9B" w14:textId="3671ABF4">
      <w:pPr>
        <w:spacing w:after="200" w:line="276" w:lineRule="auto"/>
        <w:rPr>
          <w:rFonts w:eastAsia="Arial" w:cs="Arial"/>
          <w:szCs w:val="24"/>
        </w:rPr>
      </w:pPr>
      <w:r w:rsidRPr="003C26B4">
        <w:rPr>
          <w:rFonts w:eastAsia="Arial" w:cs="Arial"/>
          <w:szCs w:val="24"/>
        </w:rPr>
        <w:t>31-33 – Manufacturing</w:t>
      </w:r>
    </w:p>
    <w:p w:rsidR="00354DAB" w:rsidRPr="00354DAB" w:rsidP="692313AB" w14:paraId="2C1BA349" w14:textId="3B001451">
      <w:pPr>
        <w:spacing w:after="200" w:line="276" w:lineRule="auto"/>
        <w:rPr>
          <w:rFonts w:eastAsia="Arial" w:cs="Arial"/>
          <w:szCs w:val="24"/>
        </w:rPr>
      </w:pPr>
      <w:r w:rsidRPr="003C26B4">
        <w:rPr>
          <w:rFonts w:eastAsia="Arial" w:cs="Arial"/>
          <w:szCs w:val="24"/>
        </w:rPr>
        <w:t>42 – Wholesale Trade</w:t>
      </w:r>
    </w:p>
    <w:p w:rsidR="00354DAB" w:rsidRPr="00354DAB" w:rsidP="692313AB" w14:paraId="6FB97C48" w14:textId="3B298BDD">
      <w:pPr>
        <w:spacing w:after="200" w:line="276" w:lineRule="auto"/>
        <w:rPr>
          <w:rFonts w:eastAsia="Arial" w:cs="Arial"/>
          <w:szCs w:val="24"/>
        </w:rPr>
      </w:pPr>
      <w:r w:rsidRPr="003C26B4">
        <w:rPr>
          <w:rFonts w:eastAsia="Arial" w:cs="Arial"/>
          <w:szCs w:val="24"/>
        </w:rPr>
        <w:t>44-45 – Retail Trade</w:t>
      </w:r>
    </w:p>
    <w:p w:rsidR="00354DAB" w:rsidRPr="00354DAB" w:rsidP="692313AB" w14:paraId="488BA1C5" w14:textId="152AEF53">
      <w:pPr>
        <w:spacing w:after="200" w:line="276" w:lineRule="auto"/>
        <w:rPr>
          <w:rFonts w:eastAsia="Arial" w:cs="Arial"/>
          <w:szCs w:val="24"/>
        </w:rPr>
      </w:pPr>
      <w:r w:rsidRPr="003C26B4">
        <w:rPr>
          <w:rFonts w:eastAsia="Arial" w:cs="Arial"/>
          <w:szCs w:val="24"/>
        </w:rPr>
        <w:t>562 – Waste Management</w:t>
      </w:r>
    </w:p>
    <w:p w:rsidR="00354DAB" w:rsidP="692313AB" w14:paraId="7EFCF4D5" w14:textId="7A7B519F">
      <w:pPr>
        <w:pStyle w:val="BodyText"/>
        <w:spacing w:after="200" w:line="276" w:lineRule="auto"/>
        <w:rPr>
          <w:rFonts w:ascii="Arial" w:eastAsia="Arial" w:hAnsi="Arial" w:cs="Arial"/>
          <w:sz w:val="24"/>
          <w:szCs w:val="24"/>
        </w:rPr>
      </w:pPr>
      <w:r w:rsidRPr="003C26B4">
        <w:rPr>
          <w:rFonts w:ascii="Arial" w:eastAsia="Arial" w:hAnsi="Arial" w:cs="Arial"/>
          <w:sz w:val="24"/>
          <w:szCs w:val="24"/>
        </w:rPr>
        <w:t>This listing is not intended to be exhaustive, but rather provides a guide for readers regarding entities likely to be affected by this action. Other types of entities could also be affected.</w:t>
      </w:r>
    </w:p>
    <w:p w:rsidR="00C36B45" w:rsidRPr="00C36B45" w:rsidP="00C36B45" w14:paraId="03A36691" w14:textId="1955A127">
      <w:pPr>
        <w:spacing w:after="200" w:line="276" w:lineRule="auto"/>
        <w:rPr>
          <w:rFonts w:asciiTheme="minorHAnsi" w:hAnsiTheme="minorHAnsi" w:cstheme="minorHAnsi"/>
          <w:b/>
          <w:bCs/>
          <w:i/>
          <w:iCs/>
          <w:szCs w:val="24"/>
        </w:rPr>
      </w:pPr>
      <w:bookmarkStart w:id="2" w:name="_Toc58238262"/>
      <w:bookmarkStart w:id="3" w:name="_Toc23286852"/>
      <w:bookmarkStart w:id="4" w:name="_Toc58238278"/>
      <w:r w:rsidRPr="00C36B45">
        <w:rPr>
          <w:b/>
          <w:bCs/>
          <w:i/>
          <w:iCs/>
        </w:rPr>
        <w:t>Data Elements for the PFAS Reporting Form</w:t>
      </w:r>
      <w:bookmarkEnd w:id="2"/>
    </w:p>
    <w:p w:rsidR="00C36B45" w:rsidRPr="00354DAB" w:rsidP="00C36B45" w14:paraId="0BD8FDF7" w14:textId="489E800E">
      <w:pPr>
        <w:spacing w:after="200" w:line="276" w:lineRule="auto"/>
        <w:rPr>
          <w:rFonts w:asciiTheme="minorHAnsi" w:hAnsiTheme="minorHAnsi" w:cstheme="minorHAnsi"/>
          <w:szCs w:val="24"/>
        </w:rPr>
      </w:pPr>
      <w:r w:rsidRPr="00354DAB">
        <w:rPr>
          <w:rFonts w:asciiTheme="minorHAnsi" w:hAnsiTheme="minorHAnsi" w:cstheme="minorHAnsi"/>
          <w:szCs w:val="24"/>
        </w:rPr>
        <w:t>As mandated under section 8(a)(7), the Agency must collect certain information on PFAS manufactured in any year since 2011. The information requested is authorized under section 8(a)(2</w:t>
      </w:r>
      <w:r w:rsidRPr="00354DAB">
        <w:rPr>
          <w:rFonts w:asciiTheme="minorHAnsi" w:hAnsiTheme="minorHAnsi" w:cstheme="minorHAnsi"/>
          <w:szCs w:val="24"/>
        </w:rPr>
        <w:t>), and</w:t>
      </w:r>
      <w:r w:rsidRPr="00354DAB">
        <w:rPr>
          <w:rFonts w:asciiTheme="minorHAnsi" w:hAnsiTheme="minorHAnsi" w:cstheme="minorHAnsi"/>
          <w:szCs w:val="24"/>
        </w:rPr>
        <w:t xml:space="preserve"> includes reporting with respect to information including chemical identity, categories of use, production volume (in total and with respect to each category of use), description of byproducts, the number of individuals exposed at their places of work, and the methods of disposal. EPA is also authorized to request all existing information related to environmental and health effects of PFAS. </w:t>
      </w:r>
    </w:p>
    <w:p w:rsidR="00C36B45" w:rsidRPr="00354DAB" w:rsidP="00C36B45" w14:paraId="1E93AA8C" w14:textId="051409EC">
      <w:pPr>
        <w:spacing w:after="200" w:line="276" w:lineRule="auto"/>
        <w:rPr>
          <w:rFonts w:asciiTheme="minorHAnsi" w:hAnsiTheme="minorHAnsi" w:cstheme="minorHAnsi"/>
          <w:szCs w:val="24"/>
        </w:rPr>
      </w:pPr>
      <w:r w:rsidRPr="00354DAB">
        <w:rPr>
          <w:rFonts w:asciiTheme="minorHAnsi" w:hAnsiTheme="minorHAnsi" w:cstheme="minorHAnsi"/>
          <w:szCs w:val="24"/>
        </w:rPr>
        <w:t>Specifically, EPA is request</w:t>
      </w:r>
      <w:r w:rsidR="00A806F0">
        <w:rPr>
          <w:rFonts w:asciiTheme="minorHAnsi" w:hAnsiTheme="minorHAnsi" w:cstheme="minorHAnsi"/>
          <w:szCs w:val="24"/>
        </w:rPr>
        <w:t>ing</w:t>
      </w:r>
      <w:r w:rsidRPr="00354DAB">
        <w:rPr>
          <w:rFonts w:asciiTheme="minorHAnsi" w:hAnsiTheme="minorHAnsi" w:cstheme="minorHAnsi"/>
          <w:szCs w:val="24"/>
        </w:rPr>
        <w:t xml:space="preserve"> the following information from any person who has manufactured PFAS in any year since 2011, and the information would be collected for each year</w:t>
      </w:r>
      <w:r w:rsidR="0070120F">
        <w:rPr>
          <w:rFonts w:asciiTheme="minorHAnsi" w:hAnsiTheme="minorHAnsi" w:cstheme="minorHAnsi"/>
          <w:szCs w:val="24"/>
        </w:rPr>
        <w:t xml:space="preserve"> in which that PFAS was manufactured</w:t>
      </w:r>
      <w:r w:rsidRPr="00354DAB">
        <w:rPr>
          <w:rFonts w:asciiTheme="minorHAnsi" w:hAnsiTheme="minorHAnsi" w:cstheme="minorHAnsi"/>
          <w:szCs w:val="24"/>
        </w:rPr>
        <w:t xml:space="preserve">: </w:t>
      </w:r>
    </w:p>
    <w:p w:rsidR="00C36B45" w:rsidRPr="00354DAB" w:rsidP="00C36B45" w14:paraId="22029115" w14:textId="77777777">
      <w:pPr>
        <w:spacing w:after="200" w:line="276" w:lineRule="auto"/>
        <w:rPr>
          <w:rFonts w:asciiTheme="minorHAnsi" w:hAnsiTheme="minorHAnsi" w:cstheme="minorHAnsi"/>
          <w:szCs w:val="24"/>
        </w:rPr>
      </w:pPr>
      <w:r w:rsidRPr="00354DAB">
        <w:rPr>
          <w:rFonts w:asciiTheme="minorHAnsi" w:hAnsiTheme="minorHAnsi" w:cstheme="minorHAnsi"/>
          <w:szCs w:val="24"/>
        </w:rPr>
        <w:t>•</w:t>
      </w:r>
      <w:r w:rsidRPr="00354DAB">
        <w:rPr>
          <w:rFonts w:asciiTheme="minorHAnsi" w:hAnsiTheme="minorHAnsi" w:cstheme="minorHAnsi"/>
          <w:szCs w:val="24"/>
        </w:rPr>
        <w:tab/>
        <w:t xml:space="preserve">Chemical name (multiple if mixture), or the generic name(s) if the chemical name(s) is CBI </w:t>
      </w:r>
    </w:p>
    <w:p w:rsidR="00C36B45" w:rsidRPr="00354DAB" w:rsidP="00C36B45" w14:paraId="57848C66" w14:textId="77777777">
      <w:pPr>
        <w:spacing w:after="200" w:line="276" w:lineRule="auto"/>
        <w:rPr>
          <w:rFonts w:asciiTheme="minorHAnsi" w:hAnsiTheme="minorHAnsi" w:cstheme="minorHAnsi"/>
          <w:szCs w:val="24"/>
        </w:rPr>
      </w:pPr>
      <w:r w:rsidRPr="00354DAB">
        <w:rPr>
          <w:rFonts w:asciiTheme="minorHAnsi" w:hAnsiTheme="minorHAnsi" w:cstheme="minorHAnsi"/>
          <w:szCs w:val="24"/>
        </w:rPr>
        <w:t>•</w:t>
      </w:r>
      <w:r w:rsidRPr="00354DAB">
        <w:rPr>
          <w:rFonts w:asciiTheme="minorHAnsi" w:hAnsiTheme="minorHAnsi" w:cstheme="minorHAnsi"/>
          <w:szCs w:val="24"/>
        </w:rPr>
        <w:tab/>
        <w:t>Chemical ID(s) (CASRN, TSCA Accession Number, or Low-Volume Exemption (LVE) case number)</w:t>
      </w:r>
    </w:p>
    <w:p w:rsidR="00C36B45" w:rsidRPr="00354DAB" w:rsidP="00C36B45" w14:paraId="130B009F" w14:textId="77777777">
      <w:pPr>
        <w:spacing w:after="200" w:line="276" w:lineRule="auto"/>
        <w:rPr>
          <w:rFonts w:asciiTheme="minorHAnsi" w:hAnsiTheme="minorHAnsi" w:cstheme="minorHAnsi"/>
          <w:szCs w:val="24"/>
        </w:rPr>
      </w:pPr>
      <w:r w:rsidRPr="00354DAB">
        <w:rPr>
          <w:rFonts w:asciiTheme="minorHAnsi" w:hAnsiTheme="minorHAnsi" w:cstheme="minorHAnsi"/>
          <w:szCs w:val="24"/>
        </w:rPr>
        <w:t>•</w:t>
      </w:r>
      <w:r w:rsidRPr="00354DAB">
        <w:rPr>
          <w:rFonts w:asciiTheme="minorHAnsi" w:hAnsiTheme="minorHAnsi" w:cstheme="minorHAnsi"/>
          <w:szCs w:val="24"/>
        </w:rPr>
        <w:tab/>
        <w:t>Trade name or common name</w:t>
      </w:r>
    </w:p>
    <w:p w:rsidR="00C36B45" w:rsidRPr="00354DAB" w:rsidP="58920D6B" w14:paraId="282385E4" w14:textId="6CCD516A">
      <w:pPr>
        <w:spacing w:after="200" w:line="276" w:lineRule="auto"/>
        <w:rPr>
          <w:rFonts w:asciiTheme="minorHAnsi" w:hAnsiTheme="minorHAnsi"/>
        </w:rPr>
      </w:pPr>
      <w:r w:rsidRPr="58920D6B">
        <w:rPr>
          <w:rFonts w:asciiTheme="minorHAnsi" w:hAnsiTheme="minorHAnsi"/>
        </w:rPr>
        <w:t>•</w:t>
      </w:r>
      <w:r>
        <w:tab/>
      </w:r>
      <w:r w:rsidRPr="58920D6B" w:rsidR="1FF18661">
        <w:rPr>
          <w:rFonts w:asciiTheme="minorHAnsi" w:hAnsiTheme="minorHAnsi"/>
        </w:rPr>
        <w:t>Representative m</w:t>
      </w:r>
      <w:r w:rsidRPr="58920D6B">
        <w:rPr>
          <w:rFonts w:asciiTheme="minorHAnsi" w:hAnsiTheme="minorHAnsi"/>
        </w:rPr>
        <w:t>olecular structure</w:t>
      </w:r>
      <w:r w:rsidRPr="58920D6B" w:rsidR="2B580ED4">
        <w:rPr>
          <w:rFonts w:asciiTheme="minorHAnsi" w:hAnsiTheme="minorHAnsi"/>
        </w:rPr>
        <w:t xml:space="preserve"> for any PFAS that is not a Class 1 substance on the TSCA Inventory</w:t>
      </w:r>
    </w:p>
    <w:p w:rsidR="00C36B45" w:rsidRPr="00354DAB" w:rsidP="00C36B45" w14:paraId="75D44328" w14:textId="77777777">
      <w:pPr>
        <w:spacing w:after="200" w:line="276" w:lineRule="auto"/>
        <w:rPr>
          <w:rFonts w:asciiTheme="minorHAnsi" w:hAnsiTheme="minorHAnsi" w:cstheme="minorHAnsi"/>
          <w:szCs w:val="24"/>
        </w:rPr>
      </w:pPr>
      <w:r w:rsidRPr="00354DAB">
        <w:rPr>
          <w:rFonts w:asciiTheme="minorHAnsi" w:hAnsiTheme="minorHAnsi" w:cstheme="minorHAnsi"/>
          <w:szCs w:val="24"/>
        </w:rPr>
        <w:t>•</w:t>
      </w:r>
      <w:r w:rsidRPr="00354DAB">
        <w:rPr>
          <w:rFonts w:asciiTheme="minorHAnsi" w:hAnsiTheme="minorHAnsi" w:cstheme="minorHAnsi"/>
          <w:szCs w:val="24"/>
        </w:rPr>
        <w:tab/>
        <w:t xml:space="preserve">Physical form of chemical or mixture </w:t>
      </w:r>
    </w:p>
    <w:p w:rsidR="00C36B45" w:rsidRPr="00354DAB" w:rsidP="00C36B45" w14:paraId="6B2152BC" w14:textId="77777777">
      <w:pPr>
        <w:spacing w:after="200" w:line="276" w:lineRule="auto"/>
        <w:rPr>
          <w:rFonts w:asciiTheme="minorHAnsi" w:hAnsiTheme="minorHAnsi" w:cstheme="minorHAnsi"/>
          <w:szCs w:val="24"/>
        </w:rPr>
      </w:pPr>
      <w:r w:rsidRPr="00354DAB">
        <w:rPr>
          <w:rFonts w:asciiTheme="minorHAnsi" w:hAnsiTheme="minorHAnsi" w:cstheme="minorHAnsi"/>
          <w:szCs w:val="24"/>
        </w:rPr>
        <w:t>•</w:t>
      </w:r>
      <w:r w:rsidRPr="00354DAB">
        <w:rPr>
          <w:rFonts w:asciiTheme="minorHAnsi" w:hAnsiTheme="minorHAnsi" w:cstheme="minorHAnsi"/>
          <w:szCs w:val="24"/>
        </w:rPr>
        <w:tab/>
        <w:t>Industrial processing and use: type of process or use; sector(s); function category(</w:t>
      </w:r>
      <w:r w:rsidRPr="00354DAB">
        <w:rPr>
          <w:rFonts w:asciiTheme="minorHAnsi" w:hAnsiTheme="minorHAnsi" w:cstheme="minorHAnsi"/>
          <w:szCs w:val="24"/>
        </w:rPr>
        <w:t>ies</w:t>
      </w:r>
      <w:r w:rsidRPr="00354DAB">
        <w:rPr>
          <w:rFonts w:asciiTheme="minorHAnsi" w:hAnsiTheme="minorHAnsi" w:cstheme="minorHAnsi"/>
          <w:szCs w:val="24"/>
        </w:rPr>
        <w:t>); percent of production volume for each use</w:t>
      </w:r>
    </w:p>
    <w:p w:rsidR="00C36B45" w:rsidRPr="00354DAB" w:rsidP="00C36B45" w14:paraId="786FE437" w14:textId="77777777">
      <w:pPr>
        <w:spacing w:after="200" w:line="276" w:lineRule="auto"/>
        <w:rPr>
          <w:rFonts w:asciiTheme="minorHAnsi" w:hAnsiTheme="minorHAnsi" w:cstheme="minorHAnsi"/>
          <w:szCs w:val="24"/>
        </w:rPr>
      </w:pPr>
      <w:r w:rsidRPr="00354DAB">
        <w:rPr>
          <w:rFonts w:asciiTheme="minorHAnsi" w:hAnsiTheme="minorHAnsi" w:cstheme="minorHAnsi"/>
          <w:szCs w:val="24"/>
        </w:rPr>
        <w:t>•</w:t>
      </w:r>
      <w:r w:rsidRPr="00354DAB">
        <w:rPr>
          <w:rFonts w:asciiTheme="minorHAnsi" w:hAnsiTheme="minorHAnsi" w:cstheme="minorHAnsi"/>
          <w:szCs w:val="24"/>
        </w:rPr>
        <w:tab/>
        <w:t>Consumer and commercial use: consumer and/or commercial indicator; product category; function category(</w:t>
      </w:r>
      <w:r w:rsidRPr="00354DAB">
        <w:rPr>
          <w:rFonts w:asciiTheme="minorHAnsi" w:hAnsiTheme="minorHAnsi" w:cstheme="minorHAnsi"/>
          <w:szCs w:val="24"/>
        </w:rPr>
        <w:t>ies</w:t>
      </w:r>
      <w:r w:rsidRPr="00354DAB">
        <w:rPr>
          <w:rFonts w:asciiTheme="minorHAnsi" w:hAnsiTheme="minorHAnsi" w:cstheme="minorHAnsi"/>
          <w:szCs w:val="24"/>
        </w:rPr>
        <w:t>); percent production volume for each use; maximum concentration in any product; indicator for use in products intended for children</w:t>
      </w:r>
    </w:p>
    <w:p w:rsidR="00C36B45" w:rsidRPr="00354DAB" w:rsidP="58920D6B" w14:paraId="7792FDCD" w14:textId="2A62A26C">
      <w:pPr>
        <w:spacing w:after="200" w:line="276" w:lineRule="auto"/>
        <w:rPr>
          <w:rFonts w:asciiTheme="minorHAnsi" w:hAnsiTheme="minorHAnsi"/>
        </w:rPr>
      </w:pPr>
      <w:r w:rsidRPr="58920D6B">
        <w:rPr>
          <w:rFonts w:asciiTheme="minorHAnsi" w:hAnsiTheme="minorHAnsi"/>
        </w:rPr>
        <w:t>•</w:t>
      </w:r>
      <w:r>
        <w:tab/>
      </w:r>
      <w:r w:rsidRPr="58920D6B">
        <w:rPr>
          <w:rFonts w:asciiTheme="minorHAnsi" w:hAnsiTheme="minorHAnsi"/>
        </w:rPr>
        <w:t>Production volumes: domestically manufactured; imported; directly exported</w:t>
      </w:r>
    </w:p>
    <w:p w:rsidR="00C36B45" w:rsidRPr="00354DAB" w:rsidP="00C36B45" w14:paraId="5D1F89FF" w14:textId="77777777">
      <w:pPr>
        <w:spacing w:after="200" w:line="276" w:lineRule="auto"/>
        <w:rPr>
          <w:rFonts w:asciiTheme="minorHAnsi" w:hAnsiTheme="minorHAnsi" w:cstheme="minorHAnsi"/>
          <w:szCs w:val="24"/>
        </w:rPr>
      </w:pPr>
      <w:r w:rsidRPr="00354DAB">
        <w:rPr>
          <w:rFonts w:asciiTheme="minorHAnsi" w:hAnsiTheme="minorHAnsi" w:cstheme="minorHAnsi"/>
          <w:szCs w:val="24"/>
        </w:rPr>
        <w:t>•</w:t>
      </w:r>
      <w:r w:rsidRPr="00354DAB">
        <w:rPr>
          <w:rFonts w:asciiTheme="minorHAnsi" w:hAnsiTheme="minorHAnsi" w:cstheme="minorHAnsi"/>
          <w:szCs w:val="24"/>
        </w:rPr>
        <w:tab/>
        <w:t>Indicator for imported but never physically at site</w:t>
      </w:r>
    </w:p>
    <w:p w:rsidR="00C36B45" w:rsidRPr="00354DAB" w:rsidP="58920D6B" w14:paraId="30326121" w14:textId="7DA199A1">
      <w:pPr>
        <w:spacing w:after="200" w:line="276" w:lineRule="auto"/>
        <w:rPr>
          <w:rFonts w:asciiTheme="minorHAnsi" w:hAnsiTheme="minorHAnsi"/>
        </w:rPr>
      </w:pPr>
      <w:r w:rsidRPr="58920D6B">
        <w:rPr>
          <w:rFonts w:asciiTheme="minorHAnsi" w:hAnsiTheme="minorHAnsi"/>
        </w:rPr>
        <w:t>•</w:t>
      </w:r>
      <w:r>
        <w:tab/>
      </w:r>
      <w:r w:rsidRPr="58920D6B">
        <w:rPr>
          <w:rFonts w:asciiTheme="minorHAnsi" w:hAnsiTheme="minorHAnsi"/>
        </w:rPr>
        <w:t>Indicator for site-limited</w:t>
      </w:r>
    </w:p>
    <w:p w:rsidR="00C36B45" w:rsidRPr="00354DAB" w:rsidP="00C36B45" w14:paraId="17C4F5CC" w14:textId="77777777">
      <w:pPr>
        <w:spacing w:after="200" w:line="276" w:lineRule="auto"/>
        <w:rPr>
          <w:rFonts w:asciiTheme="minorHAnsi" w:hAnsiTheme="minorHAnsi" w:cstheme="minorHAnsi"/>
          <w:szCs w:val="24"/>
        </w:rPr>
      </w:pPr>
      <w:r w:rsidRPr="00354DAB">
        <w:rPr>
          <w:rFonts w:asciiTheme="minorHAnsi" w:hAnsiTheme="minorHAnsi" w:cstheme="minorHAnsi"/>
          <w:szCs w:val="24"/>
        </w:rPr>
        <w:t>•</w:t>
      </w:r>
      <w:r w:rsidRPr="00354DAB">
        <w:rPr>
          <w:rFonts w:asciiTheme="minorHAnsi" w:hAnsiTheme="minorHAnsi" w:cstheme="minorHAnsi"/>
          <w:szCs w:val="24"/>
        </w:rPr>
        <w:tab/>
        <w:t xml:space="preserve">Total volume recycled (on-site) </w:t>
      </w:r>
    </w:p>
    <w:p w:rsidR="00C36B45" w:rsidRPr="00354DAB" w:rsidP="00C36B45" w14:paraId="7A165F88" w14:textId="77777777">
      <w:pPr>
        <w:spacing w:after="200" w:line="276" w:lineRule="auto"/>
        <w:rPr>
          <w:rFonts w:asciiTheme="minorHAnsi" w:hAnsiTheme="minorHAnsi" w:cstheme="minorHAnsi"/>
          <w:szCs w:val="24"/>
        </w:rPr>
      </w:pPr>
      <w:r w:rsidRPr="00354DAB">
        <w:rPr>
          <w:rFonts w:asciiTheme="minorHAnsi" w:hAnsiTheme="minorHAnsi" w:cstheme="minorHAnsi"/>
          <w:szCs w:val="24"/>
        </w:rPr>
        <w:t>•</w:t>
      </w:r>
      <w:r w:rsidRPr="00354DAB">
        <w:rPr>
          <w:rFonts w:asciiTheme="minorHAnsi" w:hAnsiTheme="minorHAnsi" w:cstheme="minorHAnsi"/>
          <w:szCs w:val="24"/>
        </w:rPr>
        <w:tab/>
        <w:t xml:space="preserve">Information on byproducts produced during the manufacture, processing, use or disposal of the PFAS: </w:t>
      </w:r>
    </w:p>
    <w:p w:rsidR="00C36B45" w:rsidRPr="00354DAB" w:rsidP="00C36B45" w14:paraId="475BEF19" w14:textId="77777777">
      <w:pPr>
        <w:spacing w:after="200" w:line="276" w:lineRule="auto"/>
        <w:rPr>
          <w:rFonts w:asciiTheme="minorHAnsi" w:hAnsiTheme="minorHAnsi" w:cstheme="minorHAnsi"/>
          <w:szCs w:val="24"/>
        </w:rPr>
      </w:pPr>
      <w:r w:rsidRPr="00354DAB">
        <w:rPr>
          <w:rFonts w:asciiTheme="minorHAnsi" w:hAnsiTheme="minorHAnsi" w:cstheme="minorHAnsi"/>
          <w:szCs w:val="24"/>
        </w:rPr>
        <w:t>•</w:t>
      </w:r>
      <w:r w:rsidRPr="00354DAB">
        <w:rPr>
          <w:rFonts w:asciiTheme="minorHAnsi" w:hAnsiTheme="minorHAnsi" w:cstheme="minorHAnsi"/>
          <w:szCs w:val="24"/>
        </w:rPr>
        <w:tab/>
        <w:t>Byproduct chemical name(s) or description (if unknown), or the generic name(s) if the byproduct name(s) is CBI</w:t>
      </w:r>
    </w:p>
    <w:p w:rsidR="00C36B45" w:rsidRPr="00354DAB" w:rsidP="00C36B45" w14:paraId="2CF07451" w14:textId="77777777">
      <w:pPr>
        <w:spacing w:after="200" w:line="276" w:lineRule="auto"/>
        <w:rPr>
          <w:rFonts w:asciiTheme="minorHAnsi" w:hAnsiTheme="minorHAnsi" w:cstheme="minorHAnsi"/>
          <w:szCs w:val="24"/>
        </w:rPr>
      </w:pPr>
      <w:r w:rsidRPr="00354DAB">
        <w:rPr>
          <w:rFonts w:asciiTheme="minorHAnsi" w:hAnsiTheme="minorHAnsi" w:cstheme="minorHAnsi"/>
          <w:szCs w:val="24"/>
        </w:rPr>
        <w:t>•</w:t>
      </w:r>
      <w:r w:rsidRPr="00354DAB">
        <w:rPr>
          <w:rFonts w:asciiTheme="minorHAnsi" w:hAnsiTheme="minorHAnsi" w:cstheme="minorHAnsi"/>
          <w:szCs w:val="24"/>
        </w:rPr>
        <w:tab/>
        <w:t>Chemical ID(s), if available (CASRN, TSCA Accession Number, or LVE case number)</w:t>
      </w:r>
    </w:p>
    <w:p w:rsidR="00C36B45" w:rsidRPr="00354DAB" w:rsidP="00C36B45" w14:paraId="1FAAFFED" w14:textId="77777777">
      <w:pPr>
        <w:spacing w:after="200" w:line="276" w:lineRule="auto"/>
        <w:rPr>
          <w:rFonts w:asciiTheme="minorHAnsi" w:hAnsiTheme="minorHAnsi" w:cstheme="minorHAnsi"/>
          <w:szCs w:val="24"/>
        </w:rPr>
      </w:pPr>
      <w:r w:rsidRPr="00354DAB">
        <w:rPr>
          <w:rFonts w:asciiTheme="minorHAnsi" w:hAnsiTheme="minorHAnsi" w:cstheme="minorHAnsi"/>
          <w:szCs w:val="24"/>
        </w:rPr>
        <w:t>•</w:t>
      </w:r>
      <w:r w:rsidRPr="00354DAB">
        <w:rPr>
          <w:rFonts w:asciiTheme="minorHAnsi" w:hAnsiTheme="minorHAnsi" w:cstheme="minorHAnsi"/>
          <w:szCs w:val="24"/>
        </w:rPr>
        <w:tab/>
        <w:t>Indicator for whether byproduct production stemmed from manufacture, process, use, or disposal</w:t>
      </w:r>
    </w:p>
    <w:p w:rsidR="00C36B45" w:rsidRPr="00354DAB" w:rsidP="00C36B45" w14:paraId="7E28D8EC" w14:textId="77777777">
      <w:pPr>
        <w:spacing w:after="200" w:line="276" w:lineRule="auto"/>
        <w:rPr>
          <w:rFonts w:asciiTheme="minorHAnsi" w:hAnsiTheme="minorHAnsi" w:cstheme="minorHAnsi"/>
          <w:szCs w:val="24"/>
        </w:rPr>
      </w:pPr>
      <w:r w:rsidRPr="00354DAB">
        <w:rPr>
          <w:rFonts w:asciiTheme="minorHAnsi" w:hAnsiTheme="minorHAnsi" w:cstheme="minorHAnsi"/>
          <w:szCs w:val="24"/>
        </w:rPr>
        <w:t>•</w:t>
      </w:r>
      <w:r w:rsidRPr="00354DAB">
        <w:rPr>
          <w:rFonts w:asciiTheme="minorHAnsi" w:hAnsiTheme="minorHAnsi" w:cstheme="minorHAnsi"/>
          <w:szCs w:val="24"/>
        </w:rPr>
        <w:tab/>
        <w:t xml:space="preserve">Indicator for whether the byproduct(s) are released to the environment; if so, volume released and to which environmental media  </w:t>
      </w:r>
    </w:p>
    <w:p w:rsidR="00C36B45" w:rsidRPr="00354DAB" w:rsidP="00C36B45" w14:paraId="0016CDEC" w14:textId="77777777">
      <w:pPr>
        <w:spacing w:after="200" w:line="276" w:lineRule="auto"/>
        <w:rPr>
          <w:rFonts w:asciiTheme="minorHAnsi" w:hAnsiTheme="minorHAnsi" w:cstheme="minorHAnsi"/>
          <w:szCs w:val="24"/>
        </w:rPr>
      </w:pPr>
      <w:r w:rsidRPr="00354DAB">
        <w:rPr>
          <w:rFonts w:asciiTheme="minorHAnsi" w:hAnsiTheme="minorHAnsi" w:cstheme="minorHAnsi"/>
          <w:szCs w:val="24"/>
        </w:rPr>
        <w:t>•</w:t>
      </w:r>
      <w:r w:rsidRPr="00354DAB">
        <w:rPr>
          <w:rFonts w:asciiTheme="minorHAnsi" w:hAnsiTheme="minorHAnsi" w:cstheme="minorHAnsi"/>
          <w:szCs w:val="24"/>
        </w:rPr>
        <w:tab/>
        <w:t>Worker activity descriptions at manufacturing site</w:t>
      </w:r>
    </w:p>
    <w:p w:rsidR="00C36B45" w:rsidRPr="00354DAB" w:rsidP="58920D6B" w14:paraId="05E697B3" w14:textId="1BD66FFB">
      <w:pPr>
        <w:spacing w:after="200" w:line="276" w:lineRule="auto"/>
        <w:rPr>
          <w:rFonts w:asciiTheme="minorHAnsi" w:hAnsiTheme="minorHAnsi"/>
        </w:rPr>
      </w:pPr>
      <w:r w:rsidRPr="58920D6B">
        <w:rPr>
          <w:rFonts w:asciiTheme="minorHAnsi" w:hAnsiTheme="minorHAnsi"/>
        </w:rPr>
        <w:t>•</w:t>
      </w:r>
      <w:r>
        <w:tab/>
      </w:r>
      <w:r w:rsidRPr="58920D6B">
        <w:rPr>
          <w:rFonts w:asciiTheme="minorHAnsi" w:hAnsiTheme="minorHAnsi"/>
        </w:rPr>
        <w:t>Worker exposure at the manufacturing site: number of workers reasonably likely to be exposed at the manufacturing site, for each worker activity; maximum duration</w:t>
      </w:r>
      <w:r w:rsidRPr="58920D6B" w:rsidR="2B0F66A4">
        <w:rPr>
          <w:rFonts w:asciiTheme="minorHAnsi" w:hAnsiTheme="minorHAnsi"/>
        </w:rPr>
        <w:t xml:space="preserve"> and frequency</w:t>
      </w:r>
      <w:r w:rsidRPr="58920D6B">
        <w:rPr>
          <w:rFonts w:asciiTheme="minorHAnsi" w:hAnsiTheme="minorHAnsi"/>
        </w:rPr>
        <w:t xml:space="preserve"> of exposure for any worker, for each worker activity (both hours per day and days per year)</w:t>
      </w:r>
    </w:p>
    <w:p w:rsidR="00C36B45" w:rsidRPr="00354DAB" w:rsidP="58920D6B" w14:paraId="7A567402" w14:textId="6A821A3A">
      <w:pPr>
        <w:spacing w:after="200" w:line="276" w:lineRule="auto"/>
        <w:rPr>
          <w:rFonts w:asciiTheme="minorHAnsi" w:hAnsiTheme="minorHAnsi"/>
        </w:rPr>
      </w:pPr>
      <w:r w:rsidRPr="58920D6B">
        <w:rPr>
          <w:rFonts w:asciiTheme="minorHAnsi" w:hAnsiTheme="minorHAnsi"/>
        </w:rPr>
        <w:t>•</w:t>
      </w:r>
      <w:r>
        <w:tab/>
      </w:r>
      <w:r w:rsidRPr="58920D6B">
        <w:rPr>
          <w:rFonts w:asciiTheme="minorHAnsi" w:hAnsiTheme="minorHAnsi"/>
        </w:rPr>
        <w:t xml:space="preserve">Worker exposure for each industrial process and use: number of workers reasonably likely to be exposed for each industrial process and use; maximum duration </w:t>
      </w:r>
      <w:r w:rsidRPr="58920D6B" w:rsidR="583A1203">
        <w:rPr>
          <w:rFonts w:asciiTheme="minorHAnsi" w:hAnsiTheme="minorHAnsi"/>
        </w:rPr>
        <w:t xml:space="preserve">and frequency </w:t>
      </w:r>
      <w:r w:rsidRPr="58920D6B">
        <w:rPr>
          <w:rFonts w:asciiTheme="minorHAnsi" w:hAnsiTheme="minorHAnsi"/>
        </w:rPr>
        <w:t>of exposure for any worker for each industrial process and use (both hours per day and days per year)</w:t>
      </w:r>
    </w:p>
    <w:p w:rsidR="00C36B45" w:rsidRPr="00354DAB" w:rsidP="58920D6B" w14:paraId="61AD713F" w14:textId="0DED2856">
      <w:pPr>
        <w:spacing w:after="200" w:line="276" w:lineRule="auto"/>
        <w:rPr>
          <w:rFonts w:asciiTheme="minorHAnsi" w:hAnsiTheme="minorHAnsi"/>
        </w:rPr>
      </w:pPr>
      <w:r w:rsidRPr="58920D6B">
        <w:rPr>
          <w:rFonts w:asciiTheme="minorHAnsi" w:hAnsiTheme="minorHAnsi"/>
        </w:rPr>
        <w:t>•</w:t>
      </w:r>
      <w:r>
        <w:tab/>
      </w:r>
      <w:r w:rsidRPr="58920D6B">
        <w:rPr>
          <w:rFonts w:asciiTheme="minorHAnsi" w:hAnsiTheme="minorHAnsi"/>
        </w:rPr>
        <w:t xml:space="preserve">Worker exposure for each commercial use: number of workers reasonably likely to be exposed for each commercial use; maximum duration </w:t>
      </w:r>
      <w:r w:rsidRPr="58920D6B" w:rsidR="7ADA0116">
        <w:rPr>
          <w:rFonts w:asciiTheme="minorHAnsi" w:hAnsiTheme="minorHAnsi"/>
        </w:rPr>
        <w:t xml:space="preserve">and frequency </w:t>
      </w:r>
      <w:r w:rsidRPr="58920D6B">
        <w:rPr>
          <w:rFonts w:asciiTheme="minorHAnsi" w:hAnsiTheme="minorHAnsi"/>
        </w:rPr>
        <w:t>of exposure for any worker for each commercial use (both hours per day and days per year)</w:t>
      </w:r>
    </w:p>
    <w:p w:rsidR="00C36B45" w:rsidRPr="00354DAB" w:rsidP="00C36B45" w14:paraId="55DE63B7" w14:textId="77777777">
      <w:pPr>
        <w:spacing w:after="200" w:line="276" w:lineRule="auto"/>
        <w:rPr>
          <w:rFonts w:asciiTheme="minorHAnsi" w:hAnsiTheme="minorHAnsi" w:cstheme="minorHAnsi"/>
          <w:szCs w:val="24"/>
        </w:rPr>
      </w:pPr>
      <w:r w:rsidRPr="00354DAB">
        <w:rPr>
          <w:rFonts w:asciiTheme="minorHAnsi" w:hAnsiTheme="minorHAnsi" w:cstheme="minorHAnsi"/>
          <w:szCs w:val="24"/>
        </w:rPr>
        <w:t>•</w:t>
      </w:r>
      <w:r w:rsidRPr="00354DAB">
        <w:rPr>
          <w:rFonts w:asciiTheme="minorHAnsi" w:hAnsiTheme="minorHAnsi" w:cstheme="minorHAnsi"/>
          <w:szCs w:val="24"/>
        </w:rPr>
        <w:tab/>
        <w:t>Description of disposal process(es), and description of any changes to the disposal process or methods since 2011</w:t>
      </w:r>
    </w:p>
    <w:p w:rsidR="00C36B45" w:rsidRPr="00354DAB" w:rsidP="00C36B45" w14:paraId="4FA4378D" w14:textId="77777777">
      <w:pPr>
        <w:spacing w:after="200" w:line="276" w:lineRule="auto"/>
        <w:rPr>
          <w:rFonts w:asciiTheme="minorHAnsi" w:hAnsiTheme="minorHAnsi" w:cstheme="minorHAnsi"/>
          <w:szCs w:val="24"/>
        </w:rPr>
      </w:pPr>
      <w:r w:rsidRPr="00354DAB">
        <w:rPr>
          <w:rFonts w:asciiTheme="minorHAnsi" w:hAnsiTheme="minorHAnsi" w:cstheme="minorHAnsi"/>
          <w:szCs w:val="24"/>
        </w:rPr>
        <w:t>•</w:t>
      </w:r>
      <w:r w:rsidRPr="00354DAB">
        <w:rPr>
          <w:rFonts w:asciiTheme="minorHAnsi" w:hAnsiTheme="minorHAnsi" w:cstheme="minorHAnsi"/>
          <w:szCs w:val="24"/>
        </w:rPr>
        <w:tab/>
        <w:t>Total volume released: land disposal; water; air</w:t>
      </w:r>
    </w:p>
    <w:p w:rsidR="00C36B45" w:rsidRPr="00354DAB" w:rsidP="00C36B45" w14:paraId="69F3EE6B" w14:textId="77777777">
      <w:pPr>
        <w:spacing w:after="200" w:line="276" w:lineRule="auto"/>
        <w:rPr>
          <w:rFonts w:asciiTheme="minorHAnsi" w:hAnsiTheme="minorHAnsi" w:cstheme="minorHAnsi"/>
          <w:szCs w:val="24"/>
        </w:rPr>
      </w:pPr>
      <w:r w:rsidRPr="00354DAB">
        <w:rPr>
          <w:rFonts w:asciiTheme="minorHAnsi" w:hAnsiTheme="minorHAnsi" w:cstheme="minorHAnsi"/>
          <w:szCs w:val="24"/>
        </w:rPr>
        <w:t>•</w:t>
      </w:r>
      <w:r w:rsidRPr="00354DAB">
        <w:rPr>
          <w:rFonts w:asciiTheme="minorHAnsi" w:hAnsiTheme="minorHAnsi" w:cstheme="minorHAnsi"/>
          <w:szCs w:val="24"/>
        </w:rPr>
        <w:tab/>
        <w:t xml:space="preserve">Total volume incinerated (on-site) and incineration temperature </w:t>
      </w:r>
    </w:p>
    <w:p w:rsidR="00C36B45" w:rsidRPr="00354DAB" w:rsidP="00C36B45" w14:paraId="4E0E62AD" w14:textId="77777777">
      <w:pPr>
        <w:spacing w:after="200" w:line="276" w:lineRule="auto"/>
        <w:rPr>
          <w:rFonts w:asciiTheme="minorHAnsi" w:hAnsiTheme="minorHAnsi" w:cstheme="minorHAnsi"/>
          <w:szCs w:val="24"/>
        </w:rPr>
      </w:pPr>
      <w:r w:rsidRPr="00354DAB">
        <w:rPr>
          <w:rFonts w:asciiTheme="minorHAnsi" w:hAnsiTheme="minorHAnsi" w:cstheme="minorHAnsi"/>
          <w:szCs w:val="24"/>
        </w:rPr>
        <w:t>•</w:t>
      </w:r>
      <w:r w:rsidRPr="00354DAB">
        <w:rPr>
          <w:rFonts w:asciiTheme="minorHAnsi" w:hAnsiTheme="minorHAnsi" w:cstheme="minorHAnsi"/>
          <w:szCs w:val="24"/>
        </w:rPr>
        <w:tab/>
        <w:t>All existing information related to the health or environmental effects, using the OECD harmonized template, as well as study reports and other supporting information</w:t>
      </w:r>
    </w:p>
    <w:p w:rsidR="00C36B45" w:rsidRPr="002269E3" w:rsidP="58920D6B" w14:paraId="3EF5953B" w14:textId="5F95E4F1">
      <w:pPr>
        <w:spacing w:after="200" w:line="276" w:lineRule="auto"/>
        <w:rPr>
          <w:rFonts w:asciiTheme="minorHAnsi" w:hAnsiTheme="minorHAnsi" w:cstheme="minorHAnsi"/>
          <w:szCs w:val="24"/>
        </w:rPr>
      </w:pPr>
      <w:r w:rsidRPr="00354DAB">
        <w:rPr>
          <w:rFonts w:asciiTheme="minorHAnsi" w:hAnsiTheme="minorHAnsi" w:cstheme="minorHAnsi"/>
          <w:szCs w:val="24"/>
        </w:rPr>
        <w:t>•</w:t>
      </w:r>
      <w:r w:rsidRPr="00354DAB">
        <w:rPr>
          <w:rFonts w:asciiTheme="minorHAnsi" w:hAnsiTheme="minorHAnsi" w:cstheme="minorHAnsi"/>
          <w:szCs w:val="24"/>
        </w:rPr>
        <w:tab/>
        <w:t>Other data relevant to health effects (e.g., range-finding studies, preliminary studies, OSHA medical screening or surveillance standards reports, adverse effects reports)</w:t>
      </w:r>
    </w:p>
    <w:p w:rsidR="7105E6E2" w:rsidRPr="003C26B4" w:rsidP="003C26B4" w14:paraId="00F426A9" w14:textId="3A32BB91">
      <w:pPr>
        <w:ind w:firstLine="360"/>
        <w:rPr>
          <w:rFonts w:eastAsia="Arial" w:cs="Arial"/>
          <w:szCs w:val="24"/>
        </w:rPr>
      </w:pPr>
      <w:r w:rsidRPr="003C26B4">
        <w:rPr>
          <w:rFonts w:eastAsia="Arial" w:cs="Arial"/>
          <w:szCs w:val="24"/>
        </w:rPr>
        <w:t>EPA will allow article importers and firms that manufacture research and develop (R&amp;D) substances in volumes of less than 10 k</w:t>
      </w:r>
      <w:r w:rsidRPr="5C23C891" w:rsidR="225E1F8B">
        <w:rPr>
          <w:rFonts w:eastAsia="Arial" w:cs="Arial"/>
          <w:szCs w:val="24"/>
        </w:rPr>
        <w:t>ilo</w:t>
      </w:r>
      <w:r w:rsidRPr="003C26B4">
        <w:rPr>
          <w:rFonts w:eastAsia="Arial" w:cs="Arial"/>
          <w:szCs w:val="24"/>
        </w:rPr>
        <w:t>g</w:t>
      </w:r>
      <w:r w:rsidRPr="5C23C891" w:rsidR="284FB921">
        <w:rPr>
          <w:rFonts w:eastAsia="Arial" w:cs="Arial"/>
          <w:szCs w:val="24"/>
        </w:rPr>
        <w:t>rams</w:t>
      </w:r>
      <w:r w:rsidRPr="003C26B4">
        <w:rPr>
          <w:rFonts w:eastAsia="Arial" w:cs="Arial"/>
          <w:szCs w:val="24"/>
        </w:rPr>
        <w:t xml:space="preserve"> per year to submit a streamlined reporting form.</w:t>
      </w:r>
    </w:p>
    <w:p w:rsidR="7105E6E2" w:rsidRPr="003C26B4" w:rsidP="004A1C18" w14:paraId="7920F6D3" w14:textId="7715795B">
      <w:pPr>
        <w:spacing w:after="200" w:line="276" w:lineRule="auto"/>
        <w:ind w:firstLine="360"/>
        <w:rPr>
          <w:rFonts w:eastAsia="Arial" w:cs="Arial"/>
          <w:szCs w:val="24"/>
        </w:rPr>
      </w:pPr>
      <w:r w:rsidRPr="003C26B4">
        <w:rPr>
          <w:rFonts w:eastAsia="Arial" w:cs="Arial"/>
          <w:szCs w:val="24"/>
        </w:rPr>
        <w:t xml:space="preserve">EPA is requesting the following information from article importers: </w:t>
      </w:r>
    </w:p>
    <w:p w:rsidR="7105E6E2" w:rsidRPr="003C26B4" w:rsidP="004A1C18" w14:paraId="4A17C66E" w14:textId="7A3F72D8">
      <w:pPr>
        <w:pStyle w:val="ListParagraph"/>
        <w:numPr>
          <w:ilvl w:val="0"/>
          <w:numId w:val="2"/>
        </w:numPr>
        <w:spacing w:after="200" w:line="276" w:lineRule="auto"/>
        <w:rPr>
          <w:rFonts w:eastAsia="Arial" w:cs="Arial"/>
          <w:szCs w:val="24"/>
        </w:rPr>
      </w:pPr>
      <w:r w:rsidRPr="692313AB">
        <w:rPr>
          <w:rFonts w:eastAsia="Arial" w:cs="Arial"/>
          <w:szCs w:val="24"/>
        </w:rPr>
        <w:t>Company information</w:t>
      </w:r>
    </w:p>
    <w:p w:rsidR="7105E6E2" w:rsidRPr="003C26B4" w:rsidP="004A1C18" w14:paraId="3043CA52" w14:textId="76BEC008">
      <w:pPr>
        <w:pStyle w:val="ListParagraph"/>
        <w:numPr>
          <w:ilvl w:val="0"/>
          <w:numId w:val="2"/>
        </w:numPr>
        <w:spacing w:after="200" w:line="276" w:lineRule="auto"/>
        <w:rPr>
          <w:rFonts w:eastAsia="Arial" w:cs="Arial"/>
          <w:szCs w:val="24"/>
        </w:rPr>
      </w:pPr>
      <w:r w:rsidRPr="692313AB">
        <w:rPr>
          <w:rFonts w:eastAsia="Arial" w:cs="Arial"/>
          <w:szCs w:val="24"/>
        </w:rPr>
        <w:t>Volume/quantity of imported articles</w:t>
      </w:r>
    </w:p>
    <w:p w:rsidR="7105E6E2" w:rsidRPr="003C26B4" w:rsidP="004A1C18" w14:paraId="2EC2B087" w14:textId="5E9A7A53">
      <w:pPr>
        <w:pStyle w:val="ListParagraph"/>
        <w:numPr>
          <w:ilvl w:val="0"/>
          <w:numId w:val="2"/>
        </w:numPr>
        <w:spacing w:after="200" w:line="276" w:lineRule="auto"/>
        <w:rPr>
          <w:rFonts w:eastAsia="Arial" w:cs="Arial"/>
          <w:szCs w:val="24"/>
        </w:rPr>
      </w:pPr>
      <w:r w:rsidRPr="692313AB">
        <w:rPr>
          <w:rFonts w:eastAsia="Arial" w:cs="Arial"/>
          <w:szCs w:val="24"/>
        </w:rPr>
        <w:t>Industrial processing and use: type of process or use; sector(s); functional use category(</w:t>
      </w:r>
      <w:r w:rsidRPr="692313AB">
        <w:rPr>
          <w:rFonts w:eastAsia="Arial" w:cs="Arial"/>
          <w:szCs w:val="24"/>
        </w:rPr>
        <w:t>ies</w:t>
      </w:r>
      <w:r w:rsidRPr="692313AB">
        <w:rPr>
          <w:rFonts w:eastAsia="Arial" w:cs="Arial"/>
          <w:szCs w:val="24"/>
        </w:rPr>
        <w:t>); percent of production volume for each use</w:t>
      </w:r>
    </w:p>
    <w:p w:rsidR="7105E6E2" w:rsidRPr="003C26B4" w:rsidP="004A1C18" w14:paraId="002C519C" w14:textId="7D9811A8">
      <w:pPr>
        <w:pStyle w:val="ListParagraph"/>
        <w:numPr>
          <w:ilvl w:val="0"/>
          <w:numId w:val="2"/>
        </w:numPr>
        <w:spacing w:after="200" w:line="276" w:lineRule="auto"/>
        <w:rPr>
          <w:rFonts w:eastAsia="Arial" w:cs="Arial"/>
          <w:szCs w:val="24"/>
        </w:rPr>
      </w:pPr>
      <w:r w:rsidRPr="692313AB">
        <w:rPr>
          <w:rFonts w:eastAsia="Arial" w:cs="Arial"/>
          <w:szCs w:val="24"/>
        </w:rPr>
        <w:t>Consumer and commercial use: indicator for whether this is a consumer and/or commercial product; product category; function category(</w:t>
      </w:r>
      <w:r w:rsidRPr="692313AB">
        <w:rPr>
          <w:rFonts w:eastAsia="Arial" w:cs="Arial"/>
          <w:szCs w:val="24"/>
        </w:rPr>
        <w:t>ies</w:t>
      </w:r>
      <w:r w:rsidRPr="692313AB">
        <w:rPr>
          <w:rFonts w:eastAsia="Arial" w:cs="Arial"/>
          <w:szCs w:val="24"/>
        </w:rPr>
        <w:t xml:space="preserve">); percent production volume for each use; maximum concentration in any product; indicator for use in products intended for </w:t>
      </w:r>
      <w:r w:rsidRPr="692313AB">
        <w:rPr>
          <w:rFonts w:eastAsia="Arial" w:cs="Arial"/>
          <w:szCs w:val="24"/>
        </w:rPr>
        <w:t>children</w:t>
      </w:r>
      <w:r w:rsidRPr="692313AB">
        <w:rPr>
          <w:rFonts w:eastAsia="Arial" w:cs="Arial"/>
          <w:szCs w:val="24"/>
        </w:rPr>
        <w:t xml:space="preserve"> </w:t>
      </w:r>
    </w:p>
    <w:p w:rsidR="7105E6E2" w:rsidRPr="003C26B4" w:rsidP="004A1C18" w14:paraId="659BE91D" w14:textId="178E4BF9">
      <w:pPr>
        <w:pStyle w:val="ListParagraph"/>
        <w:numPr>
          <w:ilvl w:val="0"/>
          <w:numId w:val="2"/>
        </w:numPr>
        <w:spacing w:after="200" w:line="276" w:lineRule="auto"/>
        <w:rPr>
          <w:rFonts w:eastAsia="Arial" w:cs="Arial"/>
          <w:szCs w:val="24"/>
        </w:rPr>
      </w:pPr>
      <w:r w:rsidRPr="692313AB">
        <w:rPr>
          <w:rFonts w:eastAsia="Arial" w:cs="Arial"/>
          <w:szCs w:val="24"/>
        </w:rPr>
        <w:t>Specific or generic chemical name, or description of the PFAS-containing article/component (e.g., coating name)</w:t>
      </w:r>
    </w:p>
    <w:p w:rsidR="7105E6E2" w:rsidRPr="003C26B4" w:rsidP="004A1C18" w14:paraId="67103E30" w14:textId="6E1C59BD">
      <w:pPr>
        <w:pStyle w:val="ListParagraph"/>
        <w:numPr>
          <w:ilvl w:val="0"/>
          <w:numId w:val="2"/>
        </w:numPr>
        <w:spacing w:after="200" w:line="276" w:lineRule="auto"/>
        <w:rPr>
          <w:rFonts w:eastAsia="Arial" w:cs="Arial"/>
          <w:szCs w:val="24"/>
        </w:rPr>
      </w:pPr>
      <w:r w:rsidRPr="692313AB">
        <w:rPr>
          <w:rFonts w:eastAsia="Arial" w:cs="Arial"/>
          <w:szCs w:val="24"/>
        </w:rPr>
        <w:t>Chemical ID(s) (CASRN, TSCA Accession Number, or LVE case number)</w:t>
      </w:r>
    </w:p>
    <w:p w:rsidR="7105E6E2" w:rsidRPr="003C26B4" w:rsidP="004A1C18" w14:paraId="6070182A" w14:textId="691CD0DD">
      <w:pPr>
        <w:pStyle w:val="ListParagraph"/>
        <w:numPr>
          <w:ilvl w:val="0"/>
          <w:numId w:val="2"/>
        </w:numPr>
        <w:spacing w:after="200" w:line="276" w:lineRule="auto"/>
        <w:rPr>
          <w:rFonts w:eastAsia="Arial" w:cs="Arial"/>
          <w:szCs w:val="24"/>
        </w:rPr>
      </w:pPr>
      <w:r w:rsidRPr="692313AB">
        <w:rPr>
          <w:rFonts w:eastAsia="Arial" w:cs="Arial"/>
          <w:szCs w:val="24"/>
        </w:rPr>
        <w:t xml:space="preserve">Trade name or common name </w:t>
      </w:r>
    </w:p>
    <w:p w:rsidR="7105E6E2" w:rsidRPr="003C26B4" w:rsidP="004A1C18" w14:paraId="674E0E94" w14:textId="1F364945">
      <w:pPr>
        <w:pStyle w:val="ListParagraph"/>
        <w:numPr>
          <w:ilvl w:val="0"/>
          <w:numId w:val="2"/>
        </w:numPr>
        <w:spacing w:after="200" w:line="276" w:lineRule="auto"/>
        <w:rPr>
          <w:rFonts w:eastAsia="Arial" w:cs="Arial"/>
          <w:szCs w:val="24"/>
        </w:rPr>
      </w:pPr>
      <w:r w:rsidRPr="692313AB">
        <w:rPr>
          <w:rFonts w:eastAsia="Arial" w:cs="Arial"/>
          <w:szCs w:val="24"/>
        </w:rPr>
        <w:t>Representative molecular structure, for any PFAS that is not a Class 1 substance on the TSCA Inventory</w:t>
      </w:r>
    </w:p>
    <w:p w:rsidR="7105E6E2" w:rsidRPr="003C26B4" w:rsidP="004A1C18" w14:paraId="4B949C37" w14:textId="31E0442C">
      <w:pPr>
        <w:spacing w:after="200" w:line="276" w:lineRule="auto"/>
        <w:ind w:firstLine="360"/>
        <w:rPr>
          <w:rFonts w:eastAsia="Arial" w:cs="Arial"/>
          <w:szCs w:val="24"/>
        </w:rPr>
      </w:pPr>
      <w:r w:rsidRPr="003C26B4">
        <w:rPr>
          <w:rFonts w:eastAsia="Arial" w:cs="Arial"/>
          <w:szCs w:val="24"/>
        </w:rPr>
        <w:t xml:space="preserve">Additionally, article importers would have the option to provide more information and documentation if such information were known or reasonably ascertainable. </w:t>
      </w:r>
    </w:p>
    <w:p w:rsidR="7105E6E2" w:rsidRPr="003C26B4" w:rsidP="004A1C18" w14:paraId="12015C39" w14:textId="3F941B02">
      <w:pPr>
        <w:spacing w:after="200" w:line="276" w:lineRule="auto"/>
        <w:ind w:firstLine="360"/>
        <w:rPr>
          <w:rFonts w:eastAsia="Arial" w:cs="Arial"/>
          <w:szCs w:val="24"/>
        </w:rPr>
      </w:pPr>
      <w:r w:rsidRPr="003C26B4">
        <w:rPr>
          <w:rFonts w:eastAsia="Arial" w:cs="Arial"/>
          <w:szCs w:val="24"/>
        </w:rPr>
        <w:t xml:space="preserve">EPA is requesting the following information from firms that manufacture R&amp;D substances in volumes of less than 10 kilograms per year: </w:t>
      </w:r>
    </w:p>
    <w:p w:rsidR="7105E6E2" w:rsidRPr="003C26B4" w:rsidP="004A1C18" w14:paraId="25870243" w14:textId="688E8405">
      <w:pPr>
        <w:pStyle w:val="ListParagraph"/>
        <w:numPr>
          <w:ilvl w:val="0"/>
          <w:numId w:val="1"/>
        </w:numPr>
        <w:spacing w:after="200" w:line="276" w:lineRule="auto"/>
        <w:rPr>
          <w:rFonts w:eastAsia="Arial" w:cs="Arial"/>
          <w:szCs w:val="24"/>
        </w:rPr>
      </w:pPr>
      <w:r w:rsidRPr="692313AB">
        <w:rPr>
          <w:rFonts w:eastAsia="Arial" w:cs="Arial"/>
          <w:szCs w:val="24"/>
        </w:rPr>
        <w:t>Company and plant information</w:t>
      </w:r>
    </w:p>
    <w:p w:rsidR="7105E6E2" w:rsidRPr="003C26B4" w:rsidP="004A1C18" w14:paraId="0EF3B92F" w14:textId="149157BC">
      <w:pPr>
        <w:pStyle w:val="ListParagraph"/>
        <w:numPr>
          <w:ilvl w:val="0"/>
          <w:numId w:val="1"/>
        </w:numPr>
        <w:spacing w:after="200" w:line="276" w:lineRule="auto"/>
        <w:rPr>
          <w:rFonts w:eastAsia="Arial" w:cs="Arial"/>
          <w:szCs w:val="24"/>
        </w:rPr>
      </w:pPr>
      <w:r w:rsidRPr="692313AB">
        <w:rPr>
          <w:rFonts w:eastAsia="Arial" w:cs="Arial"/>
          <w:szCs w:val="24"/>
        </w:rPr>
        <w:t xml:space="preserve">Chemical name (multiple if mixture), or the generic name(s) if the chemical name(s) is </w:t>
      </w:r>
      <w:r w:rsidRPr="692313AB">
        <w:rPr>
          <w:rFonts w:eastAsia="Arial" w:cs="Arial"/>
          <w:szCs w:val="24"/>
        </w:rPr>
        <w:t>CBI</w:t>
      </w:r>
      <w:r w:rsidRPr="692313AB">
        <w:rPr>
          <w:rFonts w:eastAsia="Arial" w:cs="Arial"/>
          <w:szCs w:val="24"/>
        </w:rPr>
        <w:t xml:space="preserve"> </w:t>
      </w:r>
    </w:p>
    <w:p w:rsidR="7105E6E2" w:rsidRPr="003C26B4" w:rsidP="004A1C18" w14:paraId="4FE0FB94" w14:textId="230C91CC">
      <w:pPr>
        <w:pStyle w:val="ListParagraph"/>
        <w:numPr>
          <w:ilvl w:val="0"/>
          <w:numId w:val="1"/>
        </w:numPr>
        <w:spacing w:after="200" w:line="276" w:lineRule="auto"/>
        <w:rPr>
          <w:rFonts w:eastAsia="Arial" w:cs="Arial"/>
          <w:szCs w:val="24"/>
        </w:rPr>
      </w:pPr>
      <w:r w:rsidRPr="692313AB">
        <w:rPr>
          <w:rFonts w:eastAsia="Arial" w:cs="Arial"/>
          <w:szCs w:val="24"/>
        </w:rPr>
        <w:t xml:space="preserve">Chemical ID(s) (CASRN, TSCA Accession Number, or LVE case number) </w:t>
      </w:r>
    </w:p>
    <w:p w:rsidR="7105E6E2" w:rsidRPr="003C26B4" w:rsidP="004A1C18" w14:paraId="73F95F04" w14:textId="50754697">
      <w:pPr>
        <w:pStyle w:val="ListParagraph"/>
        <w:numPr>
          <w:ilvl w:val="0"/>
          <w:numId w:val="1"/>
        </w:numPr>
        <w:spacing w:after="200" w:line="276" w:lineRule="auto"/>
        <w:rPr>
          <w:rFonts w:eastAsia="Arial" w:cs="Arial"/>
          <w:szCs w:val="24"/>
        </w:rPr>
      </w:pPr>
      <w:r w:rsidRPr="692313AB">
        <w:rPr>
          <w:rFonts w:eastAsia="Arial" w:cs="Arial"/>
          <w:szCs w:val="24"/>
        </w:rPr>
        <w:t xml:space="preserve">Trade name or common name </w:t>
      </w:r>
    </w:p>
    <w:p w:rsidR="7105E6E2" w:rsidP="004A1C18" w14:paraId="1C1FA506" w14:textId="0B216255">
      <w:pPr>
        <w:pStyle w:val="ListParagraph"/>
        <w:numPr>
          <w:ilvl w:val="0"/>
          <w:numId w:val="1"/>
        </w:numPr>
        <w:spacing w:after="200" w:line="276" w:lineRule="auto"/>
        <w:rPr>
          <w:rFonts w:eastAsia="Arial" w:cs="Arial"/>
          <w:szCs w:val="24"/>
        </w:rPr>
      </w:pPr>
      <w:r w:rsidRPr="692313AB">
        <w:rPr>
          <w:rFonts w:eastAsia="Arial" w:cs="Arial"/>
          <w:szCs w:val="24"/>
        </w:rPr>
        <w:t>Representative molecular structure, for any PFAS that is not a Class 1 substance on the TSCA Inventory</w:t>
      </w:r>
    </w:p>
    <w:p w:rsidR="00541934" w:rsidRPr="00541934" w:rsidP="00541934" w14:paraId="32E4B1BB" w14:textId="77777777">
      <w:pPr>
        <w:pStyle w:val="ListParagraph"/>
        <w:numPr>
          <w:ilvl w:val="0"/>
          <w:numId w:val="1"/>
        </w:numPr>
        <w:spacing w:after="200" w:line="276" w:lineRule="auto"/>
        <w:rPr>
          <w:rFonts w:eastAsia="Arial" w:cs="Arial"/>
        </w:rPr>
      </w:pPr>
      <w:r w:rsidRPr="00541934">
        <w:rPr>
          <w:rFonts w:eastAsia="Arial" w:cs="Arial"/>
        </w:rPr>
        <w:t xml:space="preserve">Production volumes: domestically manufactured; imported; directly </w:t>
      </w:r>
      <w:r w:rsidRPr="00541934">
        <w:rPr>
          <w:rFonts w:eastAsia="Arial" w:cs="Arial"/>
        </w:rPr>
        <w:t>exported</w:t>
      </w:r>
    </w:p>
    <w:p w:rsidR="00354DAB" w:rsidRPr="00354DAB" w:rsidP="00354DAB" w14:paraId="3E26671F" w14:textId="691FAD30">
      <w:pPr>
        <w:spacing w:after="200" w:line="276" w:lineRule="auto"/>
        <w:rPr>
          <w:rFonts w:asciiTheme="minorHAnsi" w:hAnsiTheme="minorHAnsi" w:cstheme="minorHAnsi"/>
          <w:b/>
          <w:bCs/>
          <w:i/>
          <w:iCs/>
          <w:szCs w:val="24"/>
        </w:rPr>
      </w:pPr>
      <w:r w:rsidRPr="00354DAB">
        <w:rPr>
          <w:rFonts w:asciiTheme="minorHAnsi" w:hAnsiTheme="minorHAnsi" w:cstheme="minorHAnsi"/>
          <w:b/>
          <w:bCs/>
          <w:i/>
          <w:iCs/>
          <w:szCs w:val="24"/>
        </w:rPr>
        <w:t>Respondent Activities</w:t>
      </w:r>
      <w:bookmarkEnd w:id="3"/>
      <w:bookmarkEnd w:id="4"/>
    </w:p>
    <w:p w:rsidR="00354DAB" w:rsidRPr="00354DAB" w:rsidP="58920D6B" w14:paraId="081C5EF6" w14:textId="6985C96E">
      <w:pPr>
        <w:pStyle w:val="BodyText"/>
        <w:spacing w:after="200" w:line="276" w:lineRule="auto"/>
        <w:rPr>
          <w:rFonts w:asciiTheme="minorHAnsi" w:hAnsiTheme="minorHAnsi" w:cstheme="minorBidi"/>
          <w:sz w:val="24"/>
          <w:szCs w:val="24"/>
        </w:rPr>
      </w:pPr>
      <w:r w:rsidRPr="58920D6B">
        <w:rPr>
          <w:rFonts w:asciiTheme="minorHAnsi" w:hAnsiTheme="minorHAnsi" w:cstheme="minorBidi"/>
          <w:sz w:val="24"/>
          <w:szCs w:val="24"/>
        </w:rPr>
        <w:t xml:space="preserve">Based on 2016 and 2020 CDR data, EPA estimated an average of 5.74 PFAS per firm for manufacturing firms for non-R&amp;D uses. In addition, EPA assumes an average of </w:t>
      </w:r>
      <w:r w:rsidR="00D327C5">
        <w:rPr>
          <w:rFonts w:asciiTheme="minorHAnsi" w:hAnsiTheme="minorHAnsi" w:cstheme="minorBidi"/>
          <w:sz w:val="24"/>
          <w:szCs w:val="24"/>
        </w:rPr>
        <w:t>two</w:t>
      </w:r>
      <w:r w:rsidRPr="58920D6B">
        <w:rPr>
          <w:rFonts w:asciiTheme="minorHAnsi" w:hAnsiTheme="minorHAnsi" w:cstheme="minorBidi"/>
          <w:sz w:val="24"/>
          <w:szCs w:val="24"/>
        </w:rPr>
        <w:t xml:space="preserve"> PFAS per firm for manufacturing firms for R&amp;D use. Therefore, it is assumed that there is an average of 7.74 responses per manufacturing firm. </w:t>
      </w:r>
      <w:r w:rsidRPr="58920D6B" w:rsidR="527EDBB3">
        <w:rPr>
          <w:rFonts w:asciiTheme="minorHAnsi" w:hAnsiTheme="minorHAnsi" w:cstheme="minorBidi"/>
          <w:sz w:val="24"/>
          <w:szCs w:val="24"/>
        </w:rPr>
        <w:t xml:space="preserve">EPA received public comments regarding article importers and their lack of data compared to manufacturers. Given this, </w:t>
      </w:r>
      <w:r w:rsidRPr="58920D6B">
        <w:rPr>
          <w:rFonts w:asciiTheme="minorHAnsi" w:hAnsiTheme="minorHAnsi" w:cstheme="minorBidi"/>
          <w:sz w:val="24"/>
          <w:szCs w:val="24"/>
        </w:rPr>
        <w:t>EPA believes the average PFAS per firm estimate would be less than 5.74 and therefore assumes an average of 5 PFAS per reporting article importer.</w:t>
      </w:r>
    </w:p>
    <w:p w:rsidR="00354DAB" w:rsidRPr="00354DAB" w:rsidP="58920D6B" w14:paraId="624EF138" w14:textId="4C8D7074">
      <w:pPr>
        <w:pStyle w:val="BodyText"/>
        <w:spacing w:after="200" w:line="276" w:lineRule="auto"/>
        <w:rPr>
          <w:rFonts w:asciiTheme="minorHAnsi" w:hAnsiTheme="minorHAnsi" w:cstheme="minorBidi"/>
          <w:sz w:val="24"/>
          <w:szCs w:val="24"/>
        </w:rPr>
      </w:pPr>
      <w:r w:rsidRPr="58920D6B">
        <w:rPr>
          <w:rFonts w:asciiTheme="minorHAnsi" w:hAnsiTheme="minorHAnsi" w:cstheme="minorBidi"/>
          <w:sz w:val="24"/>
          <w:szCs w:val="24"/>
        </w:rPr>
        <w:t xml:space="preserve">Incremental activities associated with preparing and submitting a response under the rule include rule familiarization, </w:t>
      </w:r>
      <w:r w:rsidRPr="58920D6B" w:rsidR="73B598D3">
        <w:rPr>
          <w:rFonts w:asciiTheme="minorHAnsi" w:hAnsiTheme="minorHAnsi" w:cstheme="minorBidi"/>
          <w:sz w:val="24"/>
          <w:szCs w:val="24"/>
        </w:rPr>
        <w:t>compliance determination,</w:t>
      </w:r>
      <w:r w:rsidRPr="58920D6B">
        <w:rPr>
          <w:rFonts w:asciiTheme="minorHAnsi" w:hAnsiTheme="minorHAnsi" w:cstheme="minorBidi"/>
          <w:sz w:val="24"/>
          <w:szCs w:val="24"/>
        </w:rPr>
        <w:t xml:space="preserve"> form completion, </w:t>
      </w:r>
      <w:r w:rsidRPr="58920D6B">
        <w:rPr>
          <w:rFonts w:eastAsia="Arial" w:asciiTheme="minorHAnsi" w:hAnsiTheme="minorHAnsi" w:cstheme="minorBidi"/>
          <w:sz w:val="24"/>
          <w:szCs w:val="24"/>
        </w:rPr>
        <w:t>CBI claim substantiation, recordkeeping, and CDX registration, including e-signature</w:t>
      </w:r>
      <w:r w:rsidRPr="58920D6B">
        <w:rPr>
          <w:rFonts w:asciiTheme="minorHAnsi" w:hAnsiTheme="minorHAnsi" w:cstheme="minorBidi"/>
          <w:sz w:val="24"/>
          <w:szCs w:val="24"/>
        </w:rPr>
        <w:t xml:space="preserve">. General descriptions of changes to activities are as follows (see previous section for detailed data </w:t>
      </w:r>
      <w:r w:rsidRPr="58920D6B">
        <w:rPr>
          <w:rFonts w:asciiTheme="minorHAnsi" w:hAnsiTheme="minorHAnsi" w:cstheme="minorBidi"/>
          <w:sz w:val="24"/>
          <w:szCs w:val="24"/>
        </w:rPr>
        <w:t>element information):</w:t>
      </w:r>
    </w:p>
    <w:p w:rsidR="00354DAB" w:rsidP="58920D6B" w14:paraId="447EA863" w14:textId="1F9F8021">
      <w:pPr>
        <w:pStyle w:val="ListBullet"/>
        <w:numPr>
          <w:ilvl w:val="0"/>
          <w:numId w:val="52"/>
        </w:numPr>
        <w:spacing w:after="200" w:line="276" w:lineRule="auto"/>
        <w:ind w:left="720"/>
        <w:rPr>
          <w:rFonts w:asciiTheme="minorHAnsi" w:eastAsiaTheme="minorEastAsia" w:hAnsiTheme="minorHAnsi"/>
        </w:rPr>
      </w:pPr>
      <w:r w:rsidRPr="58920D6B">
        <w:rPr>
          <w:rFonts w:asciiTheme="minorHAnsi" w:hAnsiTheme="minorHAnsi"/>
          <w:b/>
          <w:bCs/>
        </w:rPr>
        <w:t xml:space="preserve">Rule Familiarization: </w:t>
      </w:r>
      <w:r w:rsidRPr="58920D6B">
        <w:rPr>
          <w:rFonts w:asciiTheme="minorHAnsi" w:hAnsiTheme="minorHAnsi"/>
        </w:rPr>
        <w:t xml:space="preserve">The </w:t>
      </w:r>
      <w:r w:rsidRPr="58920D6B" w:rsidR="0E1DCD2B">
        <w:rPr>
          <w:rFonts w:asciiTheme="minorHAnsi" w:hAnsiTheme="minorHAnsi"/>
        </w:rPr>
        <w:t>final</w:t>
      </w:r>
      <w:r w:rsidRPr="58920D6B">
        <w:rPr>
          <w:rFonts w:asciiTheme="minorHAnsi" w:hAnsiTheme="minorHAnsi"/>
        </w:rPr>
        <w:t xml:space="preserve"> rule </w:t>
      </w:r>
      <w:r w:rsidRPr="58920D6B">
        <w:rPr>
          <w:rFonts w:eastAsia="Arial" w:asciiTheme="minorHAnsi" w:hAnsiTheme="minorHAnsi"/>
        </w:rPr>
        <w:t>requires reporting businesses and their staff to become familiar with the TSCA section 8(a) rule and its various requirements.</w:t>
      </w:r>
      <w:r w:rsidRPr="58920D6B">
        <w:rPr>
          <w:rFonts w:asciiTheme="minorHAnsi" w:hAnsiTheme="minorHAnsi"/>
        </w:rPr>
        <w:t xml:space="preserve"> This activity entails reading the rule, understanding the reporting and administrative requirements, </w:t>
      </w:r>
      <w:r w:rsidRPr="58920D6B" w:rsidR="1D1DF527">
        <w:rPr>
          <w:rFonts w:asciiTheme="minorHAnsi" w:hAnsiTheme="minorHAnsi"/>
        </w:rPr>
        <w:t xml:space="preserve">understanding the structural definition of PFAS, </w:t>
      </w:r>
      <w:r w:rsidRPr="58920D6B">
        <w:rPr>
          <w:rFonts w:asciiTheme="minorHAnsi" w:hAnsiTheme="minorHAnsi"/>
        </w:rPr>
        <w:t xml:space="preserve">and determining what tasks are required </w:t>
      </w:r>
      <w:r w:rsidRPr="58920D6B">
        <w:rPr>
          <w:rFonts w:asciiTheme="minorHAnsi" w:hAnsiTheme="minorHAnsi"/>
        </w:rPr>
        <w:t>in order to</w:t>
      </w:r>
      <w:r w:rsidRPr="58920D6B">
        <w:rPr>
          <w:rFonts w:asciiTheme="minorHAnsi" w:hAnsiTheme="minorHAnsi"/>
        </w:rPr>
        <w:t xml:space="preserve"> meet reporting requirements. </w:t>
      </w:r>
    </w:p>
    <w:p w:rsidR="1236CFE3" w:rsidP="0506DD0C" w14:paraId="0AF581F1" w14:textId="363626DC">
      <w:pPr>
        <w:pStyle w:val="ListBullet"/>
        <w:numPr>
          <w:ilvl w:val="0"/>
          <w:numId w:val="52"/>
        </w:numPr>
        <w:spacing w:after="200" w:line="276" w:lineRule="auto"/>
        <w:ind w:left="720"/>
        <w:rPr>
          <w:rFonts w:asciiTheme="minorHAnsi" w:eastAsiaTheme="minorEastAsia" w:hAnsiTheme="minorHAnsi"/>
        </w:rPr>
      </w:pPr>
      <w:r w:rsidRPr="003C26B4">
        <w:rPr>
          <w:rFonts w:eastAsia="Arial" w:asciiTheme="minorHAnsi" w:hAnsiTheme="minorHAnsi"/>
          <w:b/>
          <w:bCs/>
        </w:rPr>
        <w:t xml:space="preserve">Compliance Determination: </w:t>
      </w:r>
      <w:r w:rsidRPr="6D5BA1AE" w:rsidR="044725A4">
        <w:rPr>
          <w:rFonts w:eastAsia="Arial" w:asciiTheme="minorHAnsi" w:hAnsiTheme="minorHAnsi"/>
        </w:rPr>
        <w:t>For the purpose of</w:t>
      </w:r>
      <w:r w:rsidRPr="6D5BA1AE" w:rsidR="044725A4">
        <w:rPr>
          <w:rFonts w:eastAsia="Arial" w:asciiTheme="minorHAnsi" w:hAnsiTheme="minorHAnsi"/>
        </w:rPr>
        <w:t xml:space="preserve"> this rule, the reporting standard would be information known to or reasonably ascertainable by the firm. This reporting standard requires reporting entities to evaluate their current level of knowledge of their manufactured products (including imports), as well as evaluate whether there is additional information that a reasonable person, similarly situated, would be expected to know, possess, or control. This standard would require that submitters conduct a reasonable inquiry within the full scope of their organization (not just the information known to managerial or supervisory employees) and may also entail inquiries outside the organization to fill gaps in the submitter's knowledge. </w:t>
      </w:r>
    </w:p>
    <w:p w:rsidR="00354DAB" w:rsidRPr="00354DAB" w:rsidP="0506DD0C" w14:paraId="6026D8E6" w14:textId="0A4ABB3C">
      <w:pPr>
        <w:pStyle w:val="ListBullet"/>
        <w:numPr>
          <w:ilvl w:val="0"/>
          <w:numId w:val="52"/>
        </w:numPr>
        <w:spacing w:after="200" w:line="276" w:lineRule="auto"/>
        <w:ind w:left="720"/>
        <w:rPr>
          <w:rFonts w:asciiTheme="minorHAnsi" w:eastAsiaTheme="minorEastAsia" w:hAnsiTheme="minorHAnsi"/>
        </w:rPr>
      </w:pPr>
      <w:r w:rsidRPr="6D5BA1AE">
        <w:rPr>
          <w:rFonts w:asciiTheme="minorHAnsi" w:hAnsiTheme="minorHAnsi"/>
          <w:b/>
          <w:bCs/>
        </w:rPr>
        <w:t xml:space="preserve">Form Completion: </w:t>
      </w:r>
      <w:r w:rsidRPr="6D5BA1AE">
        <w:rPr>
          <w:rFonts w:asciiTheme="minorHAnsi" w:hAnsiTheme="minorHAnsi"/>
        </w:rPr>
        <w:t xml:space="preserve">The </w:t>
      </w:r>
      <w:r w:rsidRPr="6D5BA1AE" w:rsidR="32DD664C">
        <w:rPr>
          <w:rFonts w:asciiTheme="minorHAnsi" w:hAnsiTheme="minorHAnsi"/>
        </w:rPr>
        <w:t>final</w:t>
      </w:r>
      <w:r w:rsidRPr="6D5BA1AE">
        <w:rPr>
          <w:rFonts w:asciiTheme="minorHAnsi" w:hAnsiTheme="minorHAnsi"/>
        </w:rPr>
        <w:t xml:space="preserve"> rule requires one-time reporting of certain information, including chemical identity, categories of use, production volume, byproducts, environmental and health effects, occupational exposure, and disposal.</w:t>
      </w:r>
    </w:p>
    <w:p w:rsidR="00354DAB" w:rsidRPr="00354DAB" w:rsidP="58920D6B" w14:paraId="17FF4791" w14:textId="6FFDB433">
      <w:pPr>
        <w:pStyle w:val="ListBullet"/>
        <w:numPr>
          <w:ilvl w:val="0"/>
          <w:numId w:val="31"/>
        </w:numPr>
        <w:tabs>
          <w:tab w:val="clear" w:pos="360"/>
          <w:tab w:val="num" w:pos="720"/>
        </w:tabs>
        <w:spacing w:after="200" w:line="276" w:lineRule="auto"/>
        <w:ind w:left="720"/>
        <w:rPr>
          <w:rFonts w:asciiTheme="minorHAnsi" w:eastAsiaTheme="minorEastAsia" w:hAnsiTheme="minorHAnsi"/>
          <w:b/>
          <w:bCs/>
        </w:rPr>
      </w:pPr>
      <w:r w:rsidRPr="58920D6B">
        <w:rPr>
          <w:rFonts w:asciiTheme="minorHAnsi" w:hAnsiTheme="minorHAnsi"/>
          <w:b/>
          <w:bCs/>
        </w:rPr>
        <w:t xml:space="preserve">CBI Claim Substantiation: </w:t>
      </w:r>
      <w:r w:rsidRPr="58920D6B">
        <w:rPr>
          <w:rFonts w:asciiTheme="minorHAnsi" w:hAnsiTheme="minorHAnsi"/>
        </w:rPr>
        <w:t xml:space="preserve">TSCA requires that anyone seeking protection of CBI must assert a claim and, for certain information, may be required to substantiate that claim. Reporting elements of the </w:t>
      </w:r>
      <w:r w:rsidRPr="58920D6B" w:rsidR="599191D1">
        <w:rPr>
          <w:rFonts w:asciiTheme="minorHAnsi" w:hAnsiTheme="minorHAnsi"/>
        </w:rPr>
        <w:t xml:space="preserve">final </w:t>
      </w:r>
      <w:r w:rsidRPr="58920D6B">
        <w:rPr>
          <w:rFonts w:asciiTheme="minorHAnsi" w:hAnsiTheme="minorHAnsi"/>
        </w:rPr>
        <w:t>rule for which a submitter might need to substantiate a claim of CBI, if a claim is made, include submitter information; chemical identity; physical properties; production volumes and product concentrations; byproducts; environmental release; worker exposure information; and description of disposal process(es).</w:t>
      </w:r>
    </w:p>
    <w:p w:rsidR="00354DAB" w:rsidRPr="00354DAB" w:rsidP="58920D6B" w14:paraId="58E1CFFA" w14:textId="72F70CB3">
      <w:pPr>
        <w:pStyle w:val="ListBullet"/>
        <w:numPr>
          <w:ilvl w:val="0"/>
          <w:numId w:val="31"/>
        </w:numPr>
        <w:tabs>
          <w:tab w:val="clear" w:pos="360"/>
          <w:tab w:val="num" w:pos="720"/>
        </w:tabs>
        <w:spacing w:after="200" w:line="276" w:lineRule="auto"/>
        <w:ind w:left="720"/>
        <w:rPr>
          <w:rFonts w:asciiTheme="minorHAnsi" w:eastAsiaTheme="minorEastAsia" w:hAnsiTheme="minorHAnsi"/>
          <w:b/>
          <w:bCs/>
        </w:rPr>
      </w:pPr>
      <w:r w:rsidRPr="58920D6B">
        <w:rPr>
          <w:rFonts w:asciiTheme="minorHAnsi" w:hAnsiTheme="minorHAnsi"/>
          <w:b/>
          <w:bCs/>
        </w:rPr>
        <w:t xml:space="preserve">Recordkeeping: </w:t>
      </w:r>
      <w:r w:rsidRPr="58920D6B">
        <w:rPr>
          <w:rFonts w:asciiTheme="minorHAnsi" w:hAnsiTheme="minorHAnsi"/>
        </w:rPr>
        <w:t xml:space="preserve">The </w:t>
      </w:r>
      <w:r w:rsidRPr="58920D6B" w:rsidR="402E479F">
        <w:rPr>
          <w:rFonts w:asciiTheme="minorHAnsi" w:hAnsiTheme="minorHAnsi"/>
        </w:rPr>
        <w:t>final</w:t>
      </w:r>
      <w:r w:rsidRPr="58920D6B">
        <w:rPr>
          <w:rFonts w:asciiTheme="minorHAnsi" w:hAnsiTheme="minorHAnsi"/>
        </w:rPr>
        <w:t xml:space="preserve"> rule requires respondents to retain documentation of information contained in their reports for five years after the date of submission.</w:t>
      </w:r>
    </w:p>
    <w:p w:rsidR="00354DAB" w:rsidRPr="00354DAB" w:rsidP="58920D6B" w14:paraId="5155DD92" w14:textId="0AAF18C1">
      <w:pPr>
        <w:pStyle w:val="ListBullet"/>
        <w:numPr>
          <w:ilvl w:val="0"/>
          <w:numId w:val="31"/>
        </w:numPr>
        <w:tabs>
          <w:tab w:val="clear" w:pos="360"/>
          <w:tab w:val="num" w:pos="720"/>
        </w:tabs>
        <w:spacing w:after="200" w:line="276" w:lineRule="auto"/>
        <w:ind w:left="720"/>
        <w:rPr>
          <w:rFonts w:asciiTheme="minorHAnsi" w:hAnsiTheme="minorHAnsi"/>
          <w:b/>
          <w:bCs/>
        </w:rPr>
      </w:pPr>
      <w:r w:rsidRPr="58920D6B">
        <w:rPr>
          <w:rFonts w:asciiTheme="minorHAnsi" w:hAnsiTheme="minorHAnsi"/>
          <w:b/>
          <w:bCs/>
        </w:rPr>
        <w:t>CDX Registration and Electronic Signature</w:t>
      </w:r>
      <w:r w:rsidRPr="58920D6B">
        <w:rPr>
          <w:rFonts w:asciiTheme="minorHAnsi" w:hAnsiTheme="minorHAnsi"/>
        </w:rPr>
        <w:t xml:space="preserve">: Respondents that submit a report will need to register with CDX </w:t>
      </w:r>
      <w:r w:rsidRPr="58920D6B">
        <w:rPr>
          <w:rFonts w:asciiTheme="minorHAnsi" w:hAnsiTheme="minorHAnsi"/>
        </w:rPr>
        <w:t>in order to</w:t>
      </w:r>
      <w:r w:rsidRPr="58920D6B">
        <w:rPr>
          <w:rFonts w:asciiTheme="minorHAnsi" w:hAnsiTheme="minorHAnsi"/>
        </w:rPr>
        <w:t xml:space="preserve"> comply with electronic reporting requirements. This activity occurs only once for each submitter. Some submitters may have already registered to use the e-TSCA web reporting tool in CDX (and obtained an accompanying electronic signature) </w:t>
      </w:r>
      <w:r w:rsidRPr="58920D6B">
        <w:rPr>
          <w:rFonts w:asciiTheme="minorHAnsi" w:hAnsiTheme="minorHAnsi"/>
        </w:rPr>
        <w:t>in order to</w:t>
      </w:r>
      <w:r w:rsidRPr="58920D6B">
        <w:rPr>
          <w:rFonts w:asciiTheme="minorHAnsi" w:hAnsiTheme="minorHAnsi"/>
        </w:rPr>
        <w:t xml:space="preserve"> comply with mandatory electronic reporting requirements of EPA’s e-PMN rule and/or CDR rule. Those submitters will not need to repeat the CDX registration and e-signature process </w:t>
      </w:r>
      <w:r w:rsidRPr="58920D6B">
        <w:rPr>
          <w:rFonts w:asciiTheme="minorHAnsi" w:hAnsiTheme="minorHAnsi"/>
        </w:rPr>
        <w:t>in order to</w:t>
      </w:r>
      <w:r w:rsidRPr="58920D6B">
        <w:rPr>
          <w:rFonts w:asciiTheme="minorHAnsi" w:hAnsiTheme="minorHAnsi"/>
        </w:rPr>
        <w:t xml:space="preserve"> file their reports. While there may be some overlap in the specific individuals that have already completed CDX activities, EPA is conservatively expecting that all firms that submit a report under this </w:t>
      </w:r>
      <w:r w:rsidRPr="58920D6B" w:rsidR="3239BE57">
        <w:rPr>
          <w:rFonts w:asciiTheme="minorHAnsi" w:hAnsiTheme="minorHAnsi"/>
        </w:rPr>
        <w:t>final</w:t>
      </w:r>
      <w:r w:rsidRPr="58920D6B">
        <w:rPr>
          <w:rFonts w:asciiTheme="minorHAnsi" w:hAnsiTheme="minorHAnsi"/>
        </w:rPr>
        <w:t xml:space="preserve"> rule will need to register with CDX.</w:t>
      </w:r>
      <w:bookmarkStart w:id="5" w:name="_Toc58238279"/>
    </w:p>
    <w:p w:rsidR="00354DAB" w:rsidP="00354DAB" w14:paraId="6A37A0BD" w14:textId="093146CB">
      <w:pPr>
        <w:pStyle w:val="ListBullet"/>
        <w:tabs>
          <w:tab w:val="clear" w:pos="360"/>
        </w:tabs>
        <w:spacing w:after="200" w:line="276" w:lineRule="auto"/>
        <w:ind w:left="720" w:firstLine="0"/>
        <w:rPr>
          <w:rFonts w:asciiTheme="minorHAnsi" w:hAnsiTheme="minorHAnsi" w:cstheme="minorHAnsi"/>
          <w:b/>
          <w:bCs/>
          <w:szCs w:val="24"/>
        </w:rPr>
      </w:pPr>
    </w:p>
    <w:p w:rsidR="00170F8A" w:rsidP="00354DAB" w14:paraId="42758594" w14:textId="31926292">
      <w:pPr>
        <w:pStyle w:val="ListBullet"/>
        <w:tabs>
          <w:tab w:val="clear" w:pos="360"/>
        </w:tabs>
        <w:spacing w:after="200" w:line="276" w:lineRule="auto"/>
        <w:ind w:left="720" w:firstLine="0"/>
        <w:rPr>
          <w:rFonts w:asciiTheme="minorHAnsi" w:hAnsiTheme="minorHAnsi" w:cstheme="minorHAnsi"/>
          <w:b/>
          <w:bCs/>
          <w:szCs w:val="24"/>
        </w:rPr>
      </w:pPr>
    </w:p>
    <w:p w:rsidR="00170F8A" w:rsidP="00354DAB" w14:paraId="57DC52C7" w14:textId="3A609108">
      <w:pPr>
        <w:pStyle w:val="ListBullet"/>
        <w:tabs>
          <w:tab w:val="clear" w:pos="360"/>
        </w:tabs>
        <w:spacing w:after="200" w:line="276" w:lineRule="auto"/>
        <w:ind w:left="720" w:firstLine="0"/>
        <w:rPr>
          <w:rFonts w:asciiTheme="minorHAnsi" w:hAnsiTheme="minorHAnsi" w:cstheme="minorHAnsi"/>
          <w:b/>
          <w:bCs/>
          <w:szCs w:val="24"/>
        </w:rPr>
      </w:pPr>
    </w:p>
    <w:p w:rsidR="00170F8A" w:rsidP="00354DAB" w14:paraId="25A8B999" w14:textId="54E4E651">
      <w:pPr>
        <w:pStyle w:val="ListBullet"/>
        <w:tabs>
          <w:tab w:val="clear" w:pos="360"/>
        </w:tabs>
        <w:spacing w:after="200" w:line="276" w:lineRule="auto"/>
        <w:ind w:left="720" w:firstLine="0"/>
        <w:rPr>
          <w:rFonts w:asciiTheme="minorHAnsi" w:hAnsiTheme="minorHAnsi" w:cstheme="minorHAnsi"/>
          <w:b/>
          <w:bCs/>
          <w:szCs w:val="24"/>
        </w:rPr>
      </w:pPr>
    </w:p>
    <w:p w:rsidR="00170F8A" w:rsidRPr="00354DAB" w:rsidP="00354DAB" w14:paraId="6C64930E" w14:textId="77777777">
      <w:pPr>
        <w:pStyle w:val="ListBullet"/>
        <w:tabs>
          <w:tab w:val="clear" w:pos="360"/>
        </w:tabs>
        <w:spacing w:after="200" w:line="276" w:lineRule="auto"/>
        <w:ind w:left="720" w:firstLine="0"/>
        <w:rPr>
          <w:rFonts w:asciiTheme="minorHAnsi" w:hAnsiTheme="minorHAnsi" w:cstheme="minorHAnsi"/>
          <w:b/>
          <w:bCs/>
          <w:szCs w:val="24"/>
        </w:rPr>
      </w:pPr>
    </w:p>
    <w:p w:rsidR="00354DAB" w:rsidRPr="00354DAB" w:rsidP="00354DAB" w14:paraId="6AB53591" w14:textId="4A3CA41C">
      <w:pPr>
        <w:pStyle w:val="ListBullet"/>
        <w:tabs>
          <w:tab w:val="clear" w:pos="360"/>
        </w:tabs>
        <w:spacing w:after="200" w:line="276" w:lineRule="auto"/>
        <w:ind w:left="0" w:firstLine="0"/>
        <w:rPr>
          <w:rFonts w:asciiTheme="minorHAnsi" w:hAnsiTheme="minorHAnsi" w:cstheme="minorHAnsi"/>
          <w:b/>
          <w:bCs/>
          <w:i/>
          <w:iCs/>
          <w:szCs w:val="24"/>
          <w:lang w:bidi="en-US"/>
        </w:rPr>
      </w:pPr>
      <w:r w:rsidRPr="00354DAB">
        <w:rPr>
          <w:rFonts w:asciiTheme="minorHAnsi" w:hAnsiTheme="minorHAnsi" w:cstheme="minorHAnsi"/>
          <w:b/>
          <w:bCs/>
          <w:i/>
          <w:iCs/>
          <w:szCs w:val="24"/>
          <w:lang w:bidi="en-US"/>
        </w:rPr>
        <w:t>Estimating Respondent Burden and Costs</w:t>
      </w:r>
      <w:bookmarkEnd w:id="5"/>
    </w:p>
    <w:p w:rsidR="00354DAB" w:rsidRPr="00354DAB" w:rsidP="00354DAB" w14:paraId="44D4F489" w14:textId="77777777">
      <w:pPr>
        <w:spacing w:after="200" w:line="276" w:lineRule="auto"/>
        <w:rPr>
          <w:rFonts w:asciiTheme="minorHAnsi" w:hAnsiTheme="minorHAnsi" w:cstheme="minorHAnsi"/>
          <w:szCs w:val="24"/>
        </w:rPr>
      </w:pPr>
      <w:r w:rsidRPr="00354DAB">
        <w:rPr>
          <w:rFonts w:asciiTheme="minorHAnsi" w:hAnsiTheme="minorHAnsi" w:cstheme="minorHAnsi"/>
          <w:szCs w:val="24"/>
        </w:rPr>
        <w:t>This section presents the relevant unit burdens and costs of the information collection activities to respondents in terms of the time required by reporters to perform the activities as outlined in the introductory section of this document.</w:t>
      </w:r>
    </w:p>
    <w:p w:rsidR="00354DAB" w:rsidRPr="007E40D2" w:rsidP="007E40D2" w14:paraId="39EDE440" w14:textId="7A5562FA">
      <w:pPr>
        <w:rPr>
          <w:b/>
          <w:bCs/>
          <w:i/>
          <w:iCs/>
        </w:rPr>
      </w:pPr>
      <w:bookmarkStart w:id="6" w:name="_Toc58238280"/>
      <w:r w:rsidRPr="007E40D2">
        <w:rPr>
          <w:b/>
          <w:bCs/>
          <w:i/>
          <w:iCs/>
        </w:rPr>
        <w:t xml:space="preserve"> PFAS Data Call Reporting</w:t>
      </w:r>
      <w:bookmarkEnd w:id="6"/>
    </w:p>
    <w:p w:rsidR="00354DAB" w:rsidRPr="00354DAB" w:rsidP="6D5BA1AE" w14:paraId="765A3B1F" w14:textId="579297D7">
      <w:pPr>
        <w:pStyle w:val="BodyText"/>
        <w:spacing w:after="200" w:line="276" w:lineRule="auto"/>
        <w:rPr>
          <w:rFonts w:asciiTheme="minorHAnsi" w:hAnsiTheme="minorHAnsi" w:cstheme="minorBidi"/>
          <w:sz w:val="24"/>
          <w:szCs w:val="24"/>
        </w:rPr>
      </w:pPr>
      <w:r w:rsidRPr="6D5BA1AE">
        <w:rPr>
          <w:rFonts w:asciiTheme="minorHAnsi" w:hAnsiTheme="minorHAnsi" w:cstheme="minorBidi"/>
          <w:sz w:val="24"/>
          <w:szCs w:val="24"/>
        </w:rPr>
        <w:t xml:space="preserve">Incremental experienced reporter unit burden for respondent activities associated with the </w:t>
      </w:r>
      <w:r w:rsidRPr="6D5BA1AE" w:rsidR="0192BF06">
        <w:rPr>
          <w:rFonts w:asciiTheme="minorHAnsi" w:hAnsiTheme="minorHAnsi" w:cstheme="minorBidi"/>
          <w:sz w:val="24"/>
          <w:szCs w:val="24"/>
        </w:rPr>
        <w:t>final</w:t>
      </w:r>
      <w:r w:rsidRPr="6D5BA1AE">
        <w:rPr>
          <w:rFonts w:asciiTheme="minorHAnsi" w:hAnsiTheme="minorHAnsi" w:cstheme="minorBidi"/>
          <w:sz w:val="24"/>
          <w:szCs w:val="24"/>
        </w:rPr>
        <w:t xml:space="preserve"> rule is presented in </w:t>
      </w:r>
      <w:r w:rsidR="00F44F94">
        <w:rPr>
          <w:rFonts w:asciiTheme="minorHAnsi" w:hAnsiTheme="minorHAnsi" w:cstheme="minorBidi"/>
          <w:sz w:val="24"/>
          <w:szCs w:val="24"/>
        </w:rPr>
        <w:t>Table 3</w:t>
      </w:r>
      <w:r w:rsidRPr="6D5BA1AE">
        <w:rPr>
          <w:rFonts w:asciiTheme="minorHAnsi" w:hAnsiTheme="minorHAnsi" w:cstheme="minorBidi"/>
          <w:sz w:val="24"/>
          <w:szCs w:val="24"/>
        </w:rPr>
        <w:t xml:space="preserve">. Unit burdens in this table reflect changes in activities that are applied universally to all </w:t>
      </w:r>
      <w:r w:rsidRPr="6D5BA1AE" w:rsidR="13158147">
        <w:rPr>
          <w:rFonts w:asciiTheme="minorHAnsi" w:hAnsiTheme="minorHAnsi" w:cstheme="minorBidi"/>
          <w:sz w:val="24"/>
          <w:szCs w:val="24"/>
        </w:rPr>
        <w:t>affected entities</w:t>
      </w:r>
      <w:r w:rsidRPr="6D5BA1AE">
        <w:rPr>
          <w:rFonts w:asciiTheme="minorHAnsi" w:hAnsiTheme="minorHAnsi" w:cstheme="minorBidi"/>
          <w:sz w:val="24"/>
          <w:szCs w:val="24"/>
        </w:rPr>
        <w:t xml:space="preserve">. The activity-level unit burden estimates for changes in </w:t>
      </w:r>
      <w:r w:rsidRPr="6D5BA1AE" w:rsidR="773C9B5A">
        <w:rPr>
          <w:rFonts w:asciiTheme="minorHAnsi" w:hAnsiTheme="minorHAnsi" w:cstheme="minorBidi"/>
          <w:sz w:val="24"/>
          <w:szCs w:val="24"/>
        </w:rPr>
        <w:t xml:space="preserve">Table </w:t>
      </w:r>
      <w:r w:rsidR="00F44F94">
        <w:rPr>
          <w:rFonts w:asciiTheme="minorHAnsi" w:hAnsiTheme="minorHAnsi" w:cstheme="minorBidi"/>
          <w:sz w:val="24"/>
          <w:szCs w:val="24"/>
        </w:rPr>
        <w:t>3</w:t>
      </w:r>
      <w:r w:rsidRPr="6D5BA1AE" w:rsidR="00F44F94">
        <w:rPr>
          <w:rFonts w:asciiTheme="minorHAnsi" w:hAnsiTheme="minorHAnsi" w:cstheme="minorBidi"/>
          <w:sz w:val="24"/>
          <w:szCs w:val="24"/>
        </w:rPr>
        <w:t xml:space="preserve"> </w:t>
      </w:r>
      <w:r w:rsidRPr="6D5BA1AE">
        <w:rPr>
          <w:rFonts w:asciiTheme="minorHAnsi" w:hAnsiTheme="minorHAnsi" w:cstheme="minorBidi"/>
          <w:sz w:val="24"/>
          <w:szCs w:val="24"/>
        </w:rPr>
        <w:t xml:space="preserve">are based on estimates for similar activities (for more detail, see EPA (2020)). The total average burden is estimated to be </w:t>
      </w:r>
      <w:r w:rsidR="003A1275">
        <w:rPr>
          <w:rFonts w:asciiTheme="minorHAnsi" w:hAnsiTheme="minorHAnsi" w:cstheme="minorBidi"/>
          <w:sz w:val="24"/>
          <w:szCs w:val="24"/>
        </w:rPr>
        <w:t>88.55</w:t>
      </w:r>
      <w:r w:rsidRPr="6D5BA1AE">
        <w:rPr>
          <w:rFonts w:asciiTheme="minorHAnsi" w:hAnsiTheme="minorHAnsi" w:cstheme="minorBidi"/>
          <w:sz w:val="24"/>
          <w:szCs w:val="24"/>
        </w:rPr>
        <w:t xml:space="preserve"> hours per firm. </w:t>
      </w:r>
    </w:p>
    <w:p w:rsidR="00370771" w:rsidP="6D5BA1AE" w14:paraId="5E683F0C" w14:textId="7B4354EE">
      <w:pPr>
        <w:pStyle w:val="Heading3"/>
        <w:spacing w:after="200" w:line="276" w:lineRule="auto"/>
        <w:rPr>
          <w:rFonts w:asciiTheme="minorHAnsi" w:hAnsiTheme="minorHAnsi"/>
        </w:rPr>
      </w:pPr>
      <w:bookmarkStart w:id="7" w:name="_Toc57044102"/>
      <w:bookmarkStart w:id="8" w:name="_Toc57044334"/>
      <w:bookmarkStart w:id="9" w:name="_Toc58238281"/>
      <w:r w:rsidRPr="6D5BA1AE">
        <w:rPr>
          <w:rFonts w:eastAsia="Arial" w:asciiTheme="minorHAnsi" w:hAnsiTheme="minorHAnsi"/>
        </w:rPr>
        <w:t xml:space="preserve">Table </w:t>
      </w:r>
      <w:r w:rsidRPr="6D5BA1AE" w:rsidR="53F09BC6">
        <w:rPr>
          <w:rFonts w:eastAsia="Arial" w:asciiTheme="minorHAnsi" w:hAnsiTheme="minorHAnsi"/>
        </w:rPr>
        <w:t>3</w:t>
      </w:r>
      <w:r w:rsidRPr="6D5BA1AE">
        <w:rPr>
          <w:rFonts w:eastAsia="Arial" w:asciiTheme="minorHAnsi" w:hAnsiTheme="minorHAnsi"/>
        </w:rPr>
        <w:t>: PFAS Data Call Reporting: Activity-Level Reporter Unit Burden</w:t>
      </w:r>
      <w:bookmarkEnd w:id="7"/>
      <w:bookmarkEnd w:id="8"/>
      <w:bookmarkEnd w:id="9"/>
    </w:p>
    <w:tbl>
      <w:tblPr>
        <w:tblStyle w:val="TableGrid"/>
        <w:tblW w:w="10255" w:type="dxa"/>
        <w:tblLayout w:type="fixed"/>
        <w:tblLook w:val="06A0"/>
      </w:tblPr>
      <w:tblGrid>
        <w:gridCol w:w="2186"/>
        <w:gridCol w:w="1298"/>
        <w:gridCol w:w="1220"/>
        <w:gridCol w:w="1356"/>
        <w:gridCol w:w="1142"/>
        <w:gridCol w:w="1044"/>
        <w:gridCol w:w="1083"/>
        <w:gridCol w:w="926"/>
      </w:tblGrid>
      <w:tr w14:paraId="5D0A07A1" w14:textId="77777777" w:rsidTr="00F72D91">
        <w:tblPrEx>
          <w:tblW w:w="10255" w:type="dxa"/>
          <w:tblLayout w:type="fixed"/>
          <w:tblLook w:val="06A0"/>
        </w:tblPrEx>
        <w:trPr>
          <w:trHeight w:val="1430"/>
        </w:trPr>
        <w:tc>
          <w:tcPr>
            <w:tcW w:w="2186" w:type="dxa"/>
            <w:tcBorders>
              <w:top w:val="single" w:sz="4" w:space="0" w:color="auto"/>
              <w:left w:val="single" w:sz="4" w:space="0" w:color="auto"/>
              <w:bottom w:val="single" w:sz="4" w:space="0" w:color="auto"/>
              <w:right w:val="single" w:sz="4" w:space="0" w:color="auto"/>
            </w:tcBorders>
            <w:shd w:val="clear" w:color="auto" w:fill="BFBFBF" w:themeFill="accent6" w:themeFillShade="BF"/>
            <w:vAlign w:val="center"/>
          </w:tcPr>
          <w:p w:rsidR="6D5BA1AE" w:rsidP="00F72D91" w14:paraId="61DF00E5" w14:textId="3635E548">
            <w:pPr>
              <w:spacing w:after="0"/>
              <w:jc w:val="center"/>
              <w:rPr>
                <w:rFonts w:ascii="Arial Narrow" w:eastAsia="Arial Narrow" w:hAnsi="Arial Narrow" w:cs="Arial Narrow"/>
                <w:b/>
                <w:bCs/>
                <w:color w:val="000000" w:themeColor="text1"/>
                <w:sz w:val="20"/>
                <w:szCs w:val="20"/>
              </w:rPr>
            </w:pPr>
            <w:r w:rsidRPr="6D5BA1AE">
              <w:rPr>
                <w:rFonts w:ascii="Arial Narrow" w:eastAsia="Arial Narrow" w:hAnsi="Arial Narrow" w:cs="Arial Narrow"/>
                <w:b/>
                <w:bCs/>
                <w:color w:val="000000" w:themeColor="text1"/>
                <w:sz w:val="20"/>
                <w:szCs w:val="20"/>
              </w:rPr>
              <w:t>Activity</w:t>
            </w:r>
          </w:p>
        </w:tc>
        <w:tc>
          <w:tcPr>
            <w:tcW w:w="1298" w:type="dxa"/>
            <w:tcBorders>
              <w:top w:val="single" w:sz="4" w:space="0" w:color="auto"/>
              <w:left w:val="single" w:sz="4" w:space="0" w:color="auto"/>
              <w:bottom w:val="single" w:sz="4" w:space="0" w:color="auto"/>
              <w:right w:val="single" w:sz="4" w:space="0" w:color="auto"/>
            </w:tcBorders>
            <w:shd w:val="clear" w:color="auto" w:fill="BFBFBF" w:themeFill="accent6" w:themeFillShade="BF"/>
            <w:vAlign w:val="center"/>
          </w:tcPr>
          <w:p w:rsidR="6D5BA1AE" w:rsidP="00F72D91" w14:paraId="21DABFD5" w14:textId="4CF30D42">
            <w:pPr>
              <w:spacing w:after="0"/>
              <w:jc w:val="center"/>
              <w:rPr>
                <w:rFonts w:ascii="Arial Narrow" w:eastAsia="Arial Narrow" w:hAnsi="Arial Narrow" w:cs="Arial Narrow"/>
                <w:b/>
                <w:bCs/>
                <w:color w:val="000000" w:themeColor="text1"/>
                <w:sz w:val="20"/>
                <w:szCs w:val="20"/>
              </w:rPr>
            </w:pPr>
            <w:r w:rsidRPr="6D5BA1AE">
              <w:rPr>
                <w:rFonts w:ascii="Arial Narrow" w:eastAsia="Arial Narrow" w:hAnsi="Arial Narrow" w:cs="Arial Narrow"/>
                <w:b/>
                <w:bCs/>
                <w:color w:val="000000" w:themeColor="text1"/>
                <w:sz w:val="20"/>
                <w:szCs w:val="20"/>
              </w:rPr>
              <w:t>Clerical Burden (hours)</w:t>
            </w:r>
          </w:p>
        </w:tc>
        <w:tc>
          <w:tcPr>
            <w:tcW w:w="1220" w:type="dxa"/>
            <w:tcBorders>
              <w:top w:val="single" w:sz="4" w:space="0" w:color="auto"/>
              <w:left w:val="single" w:sz="4" w:space="0" w:color="auto"/>
              <w:bottom w:val="single" w:sz="4" w:space="0" w:color="auto"/>
              <w:right w:val="single" w:sz="4" w:space="0" w:color="auto"/>
            </w:tcBorders>
            <w:shd w:val="clear" w:color="auto" w:fill="BFBFBF" w:themeFill="accent6" w:themeFillShade="BF"/>
            <w:vAlign w:val="center"/>
          </w:tcPr>
          <w:p w:rsidR="6D5BA1AE" w:rsidP="00F72D91" w14:paraId="5E818B5D" w14:textId="3D23A187">
            <w:pPr>
              <w:spacing w:after="0"/>
              <w:jc w:val="center"/>
              <w:rPr>
                <w:rFonts w:ascii="Arial Narrow" w:eastAsia="Arial Narrow" w:hAnsi="Arial Narrow" w:cs="Arial Narrow"/>
                <w:b/>
                <w:bCs/>
                <w:color w:val="000000" w:themeColor="text1"/>
                <w:sz w:val="20"/>
                <w:szCs w:val="20"/>
              </w:rPr>
            </w:pPr>
            <w:r w:rsidRPr="6D5BA1AE">
              <w:rPr>
                <w:rFonts w:ascii="Arial Narrow" w:eastAsia="Arial Narrow" w:hAnsi="Arial Narrow" w:cs="Arial Narrow"/>
                <w:b/>
                <w:bCs/>
                <w:color w:val="000000" w:themeColor="text1"/>
                <w:sz w:val="20"/>
                <w:szCs w:val="20"/>
              </w:rPr>
              <w:t>Technical Burden (hours)</w:t>
            </w:r>
          </w:p>
        </w:tc>
        <w:tc>
          <w:tcPr>
            <w:tcW w:w="1356" w:type="dxa"/>
            <w:tcBorders>
              <w:top w:val="single" w:sz="4" w:space="0" w:color="auto"/>
              <w:left w:val="single" w:sz="4" w:space="0" w:color="auto"/>
              <w:bottom w:val="single" w:sz="4" w:space="0" w:color="auto"/>
              <w:right w:val="single" w:sz="4" w:space="0" w:color="auto"/>
            </w:tcBorders>
            <w:shd w:val="clear" w:color="auto" w:fill="BFBFBF" w:themeFill="accent6" w:themeFillShade="BF"/>
            <w:vAlign w:val="center"/>
          </w:tcPr>
          <w:p w:rsidR="6D5BA1AE" w:rsidP="00F72D91" w14:paraId="05EBD2C0" w14:textId="63D9B25F">
            <w:pPr>
              <w:spacing w:after="0"/>
              <w:jc w:val="center"/>
              <w:rPr>
                <w:rFonts w:ascii="Arial Narrow" w:eastAsia="Arial Narrow" w:hAnsi="Arial Narrow" w:cs="Arial Narrow"/>
                <w:b/>
                <w:bCs/>
                <w:color w:val="000000" w:themeColor="text1"/>
                <w:sz w:val="20"/>
                <w:szCs w:val="20"/>
              </w:rPr>
            </w:pPr>
            <w:r w:rsidRPr="6D5BA1AE">
              <w:rPr>
                <w:rFonts w:ascii="Arial Narrow" w:eastAsia="Arial Narrow" w:hAnsi="Arial Narrow" w:cs="Arial Narrow"/>
                <w:b/>
                <w:bCs/>
                <w:color w:val="000000" w:themeColor="text1"/>
                <w:sz w:val="20"/>
                <w:szCs w:val="20"/>
              </w:rPr>
              <w:t>Managerial Burden (hours)</w:t>
            </w:r>
          </w:p>
        </w:tc>
        <w:tc>
          <w:tcPr>
            <w:tcW w:w="1142" w:type="dxa"/>
            <w:tcBorders>
              <w:top w:val="single" w:sz="4" w:space="0" w:color="auto"/>
              <w:left w:val="single" w:sz="4" w:space="0" w:color="auto"/>
              <w:bottom w:val="single" w:sz="4" w:space="0" w:color="auto"/>
              <w:right w:val="single" w:sz="4" w:space="0" w:color="auto"/>
            </w:tcBorders>
            <w:shd w:val="clear" w:color="auto" w:fill="BFBFBF" w:themeFill="accent6" w:themeFillShade="BF"/>
            <w:vAlign w:val="center"/>
          </w:tcPr>
          <w:p w:rsidR="6D5BA1AE" w:rsidP="00F72D91" w14:paraId="259426E8" w14:textId="3C5A4A8C">
            <w:pPr>
              <w:spacing w:after="0"/>
              <w:jc w:val="center"/>
              <w:rPr>
                <w:rFonts w:ascii="Arial Narrow" w:eastAsia="Arial Narrow" w:hAnsi="Arial Narrow" w:cs="Arial Narrow"/>
                <w:b/>
                <w:bCs/>
                <w:color w:val="000000" w:themeColor="text1"/>
                <w:sz w:val="20"/>
                <w:szCs w:val="20"/>
              </w:rPr>
            </w:pPr>
            <w:r w:rsidRPr="6D5BA1AE">
              <w:rPr>
                <w:rFonts w:ascii="Arial Narrow" w:eastAsia="Arial Narrow" w:hAnsi="Arial Narrow" w:cs="Arial Narrow"/>
                <w:b/>
                <w:bCs/>
                <w:color w:val="000000" w:themeColor="text1"/>
                <w:sz w:val="20"/>
                <w:szCs w:val="20"/>
              </w:rPr>
              <w:t>Attorney Burden (hours)</w:t>
            </w:r>
          </w:p>
        </w:tc>
        <w:tc>
          <w:tcPr>
            <w:tcW w:w="1044" w:type="dxa"/>
            <w:tcBorders>
              <w:top w:val="single" w:sz="4" w:space="0" w:color="auto"/>
              <w:left w:val="single" w:sz="4" w:space="0" w:color="auto"/>
              <w:bottom w:val="single" w:sz="4" w:space="0" w:color="auto"/>
              <w:right w:val="single" w:sz="4" w:space="0" w:color="auto"/>
            </w:tcBorders>
            <w:shd w:val="clear" w:color="auto" w:fill="BFBFBF" w:themeFill="accent6" w:themeFillShade="BF"/>
            <w:vAlign w:val="center"/>
          </w:tcPr>
          <w:p w:rsidR="6D5BA1AE" w:rsidP="00F72D91" w14:paraId="78C4DE04" w14:textId="7EFF06B3">
            <w:pPr>
              <w:spacing w:after="0"/>
              <w:jc w:val="center"/>
              <w:rPr>
                <w:rFonts w:ascii="Arial Narrow" w:eastAsia="Arial Narrow" w:hAnsi="Arial Narrow" w:cs="Arial Narrow"/>
                <w:b/>
                <w:bCs/>
                <w:color w:val="000000" w:themeColor="text1"/>
                <w:sz w:val="20"/>
                <w:szCs w:val="20"/>
              </w:rPr>
            </w:pPr>
            <w:r w:rsidRPr="6D5BA1AE">
              <w:rPr>
                <w:rFonts w:ascii="Arial Narrow" w:eastAsia="Arial Narrow" w:hAnsi="Arial Narrow" w:cs="Arial Narrow"/>
                <w:b/>
                <w:bCs/>
                <w:color w:val="000000" w:themeColor="text1"/>
                <w:sz w:val="20"/>
                <w:szCs w:val="20"/>
              </w:rPr>
              <w:t>Activity-Level Unit Burden per Average Firm</w:t>
            </w:r>
          </w:p>
        </w:tc>
        <w:tc>
          <w:tcPr>
            <w:tcW w:w="1083" w:type="dxa"/>
            <w:tcBorders>
              <w:top w:val="single" w:sz="4" w:space="0" w:color="auto"/>
              <w:left w:val="single" w:sz="4" w:space="0" w:color="auto"/>
              <w:bottom w:val="single" w:sz="4" w:space="0" w:color="auto"/>
              <w:right w:val="single" w:sz="4" w:space="0" w:color="auto"/>
            </w:tcBorders>
            <w:shd w:val="clear" w:color="auto" w:fill="BFBFBF" w:themeFill="accent6" w:themeFillShade="BF"/>
            <w:vAlign w:val="center"/>
          </w:tcPr>
          <w:p w:rsidR="6D5BA1AE" w:rsidP="00F72D91" w14:paraId="6F3D6A08" w14:textId="3216BDC3">
            <w:pPr>
              <w:spacing w:after="0"/>
              <w:jc w:val="center"/>
              <w:rPr>
                <w:rFonts w:ascii="Arial Narrow" w:eastAsia="Arial Narrow" w:hAnsi="Arial Narrow" w:cs="Arial Narrow"/>
                <w:b/>
                <w:bCs/>
                <w:color w:val="000000" w:themeColor="text1"/>
                <w:sz w:val="20"/>
                <w:szCs w:val="20"/>
              </w:rPr>
            </w:pPr>
            <w:r w:rsidRPr="6D5BA1AE">
              <w:rPr>
                <w:rFonts w:ascii="Arial Narrow" w:eastAsia="Arial Narrow" w:hAnsi="Arial Narrow" w:cs="Arial Narrow"/>
                <w:b/>
                <w:bCs/>
                <w:color w:val="000000" w:themeColor="text1"/>
                <w:sz w:val="20"/>
                <w:szCs w:val="20"/>
              </w:rPr>
              <w:t>Proportion of Firms Affected</w:t>
            </w:r>
          </w:p>
        </w:tc>
        <w:tc>
          <w:tcPr>
            <w:tcW w:w="926" w:type="dxa"/>
            <w:tcBorders>
              <w:top w:val="single" w:sz="4" w:space="0" w:color="auto"/>
              <w:left w:val="single" w:sz="4" w:space="0" w:color="auto"/>
              <w:bottom w:val="single" w:sz="4" w:space="0" w:color="auto"/>
              <w:right w:val="single" w:sz="4" w:space="0" w:color="auto"/>
            </w:tcBorders>
            <w:shd w:val="clear" w:color="auto" w:fill="BFBFBF" w:themeFill="accent6" w:themeFillShade="BF"/>
            <w:vAlign w:val="center"/>
          </w:tcPr>
          <w:p w:rsidR="6D5BA1AE" w:rsidP="00F72D91" w14:paraId="570BAC97" w14:textId="2E46D573">
            <w:pPr>
              <w:spacing w:after="0"/>
              <w:jc w:val="center"/>
              <w:rPr>
                <w:rFonts w:ascii="Arial Narrow" w:eastAsia="Arial Narrow" w:hAnsi="Arial Narrow" w:cs="Arial Narrow"/>
                <w:b/>
                <w:bCs/>
                <w:color w:val="000000" w:themeColor="text1"/>
                <w:sz w:val="20"/>
                <w:szCs w:val="20"/>
              </w:rPr>
            </w:pPr>
            <w:r w:rsidRPr="6D5BA1AE">
              <w:rPr>
                <w:rFonts w:ascii="Arial Narrow" w:eastAsia="Arial Narrow" w:hAnsi="Arial Narrow" w:cs="Arial Narrow"/>
                <w:b/>
                <w:bCs/>
                <w:color w:val="000000" w:themeColor="text1"/>
                <w:sz w:val="20"/>
                <w:szCs w:val="20"/>
              </w:rPr>
              <w:t>Average Unit Burden per Firm</w:t>
            </w:r>
          </w:p>
        </w:tc>
      </w:tr>
      <w:tr w14:paraId="1DF2E901" w14:textId="77777777" w:rsidTr="003529B3">
        <w:tblPrEx>
          <w:tblW w:w="10255" w:type="dxa"/>
          <w:tblLayout w:type="fixed"/>
          <w:tblLook w:val="06A0"/>
        </w:tblPrEx>
        <w:trPr>
          <w:trHeight w:val="285"/>
        </w:trPr>
        <w:tc>
          <w:tcPr>
            <w:tcW w:w="2186" w:type="dxa"/>
            <w:tcBorders>
              <w:top w:val="single" w:sz="4" w:space="0" w:color="auto"/>
              <w:left w:val="single" w:sz="4" w:space="0" w:color="auto"/>
              <w:bottom w:val="single" w:sz="4" w:space="0" w:color="auto"/>
              <w:right w:val="single" w:sz="4" w:space="0" w:color="auto"/>
            </w:tcBorders>
            <w:vAlign w:val="bottom"/>
          </w:tcPr>
          <w:p w:rsidR="6D5BA1AE" w:rsidP="00F72D91" w14:paraId="01E1492C" w14:textId="16938A56">
            <w:pPr>
              <w:spacing w:after="0"/>
            </w:pPr>
            <w:r w:rsidRPr="6D5BA1AE">
              <w:rPr>
                <w:rFonts w:ascii="Arial Narrow" w:eastAsia="Arial Narrow" w:hAnsi="Arial Narrow" w:cs="Arial Narrow"/>
                <w:color w:val="000000" w:themeColor="text1"/>
                <w:sz w:val="20"/>
                <w:szCs w:val="20"/>
              </w:rPr>
              <w:t>Rule Familiarization</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bottom"/>
          </w:tcPr>
          <w:p w:rsidR="6D5BA1AE" w:rsidP="00F72D91" w14:paraId="3D5EAF5E" w14:textId="2DD8090B">
            <w:pPr>
              <w:spacing w:after="0"/>
            </w:pPr>
            <w:r>
              <w:rPr>
                <w:rFonts w:ascii="Arial Narrow" w:hAnsi="Arial Narrow" w:cs="Arial"/>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bottom"/>
          </w:tcPr>
          <w:p w:rsidR="6D5BA1AE" w:rsidP="00F72D91" w14:paraId="24410C6F" w14:textId="53DFC116">
            <w:pPr>
              <w:spacing w:after="0"/>
            </w:pPr>
            <w:r>
              <w:rPr>
                <w:rFonts w:ascii="Arial Narrow" w:hAnsi="Arial Narrow" w:cs="Arial"/>
                <w:color w:val="000000"/>
                <w:sz w:val="20"/>
                <w:szCs w:val="20"/>
              </w:rPr>
              <w:t> </w:t>
            </w:r>
          </w:p>
        </w:tc>
        <w:tc>
          <w:tcPr>
            <w:tcW w:w="1356" w:type="dxa"/>
            <w:tcBorders>
              <w:top w:val="single" w:sz="4" w:space="0" w:color="auto"/>
              <w:left w:val="nil"/>
              <w:bottom w:val="single" w:sz="4" w:space="0" w:color="auto"/>
              <w:right w:val="single" w:sz="4" w:space="0" w:color="auto"/>
            </w:tcBorders>
            <w:shd w:val="clear" w:color="auto" w:fill="auto"/>
            <w:vAlign w:val="bottom"/>
          </w:tcPr>
          <w:p w:rsidR="6D5BA1AE" w:rsidP="00F72D91" w14:paraId="55033C6C" w14:textId="49FF5DE1">
            <w:pPr>
              <w:spacing w:after="0"/>
            </w:pPr>
            <w:r>
              <w:rPr>
                <w:rFonts w:ascii="Arial Narrow" w:hAnsi="Arial Narrow" w:cs="Arial"/>
                <w:color w:val="000000"/>
                <w:sz w:val="20"/>
                <w:szCs w:val="20"/>
              </w:rPr>
              <w:t> </w:t>
            </w:r>
          </w:p>
        </w:tc>
        <w:tc>
          <w:tcPr>
            <w:tcW w:w="1142" w:type="dxa"/>
            <w:tcBorders>
              <w:top w:val="single" w:sz="4" w:space="0" w:color="auto"/>
              <w:left w:val="nil"/>
              <w:bottom w:val="single" w:sz="4" w:space="0" w:color="auto"/>
              <w:right w:val="single" w:sz="4" w:space="0" w:color="auto"/>
            </w:tcBorders>
            <w:shd w:val="clear" w:color="auto" w:fill="auto"/>
            <w:vAlign w:val="bottom"/>
          </w:tcPr>
          <w:p w:rsidR="6D5BA1AE" w:rsidP="00F72D91" w14:paraId="4B44A20B" w14:textId="64C1685D">
            <w:pPr>
              <w:spacing w:after="0"/>
            </w:pPr>
            <w:r>
              <w:rPr>
                <w:rFonts w:cs="Arial"/>
                <w:color w:val="000000"/>
                <w:sz w:val="22"/>
              </w:rPr>
              <w:t> </w:t>
            </w:r>
          </w:p>
        </w:tc>
        <w:tc>
          <w:tcPr>
            <w:tcW w:w="1044" w:type="dxa"/>
            <w:tcBorders>
              <w:top w:val="single" w:sz="4" w:space="0" w:color="auto"/>
              <w:left w:val="nil"/>
              <w:bottom w:val="single" w:sz="4" w:space="0" w:color="auto"/>
              <w:right w:val="single" w:sz="4" w:space="0" w:color="auto"/>
            </w:tcBorders>
            <w:shd w:val="clear" w:color="auto" w:fill="auto"/>
            <w:vAlign w:val="bottom"/>
          </w:tcPr>
          <w:p w:rsidR="6D5BA1AE" w:rsidP="00F72D91" w14:paraId="2716710F" w14:textId="6ACD99A4">
            <w:pPr>
              <w:spacing w:after="0"/>
            </w:pPr>
            <w:r>
              <w:rPr>
                <w:rFonts w:ascii="Arial Narrow" w:hAnsi="Arial Narrow" w:cs="Arial"/>
                <w:color w:val="000000"/>
                <w:sz w:val="20"/>
                <w:szCs w:val="20"/>
              </w:rPr>
              <w:t> </w:t>
            </w:r>
          </w:p>
        </w:tc>
        <w:tc>
          <w:tcPr>
            <w:tcW w:w="1083" w:type="dxa"/>
            <w:tcBorders>
              <w:top w:val="single" w:sz="4" w:space="0" w:color="auto"/>
              <w:left w:val="nil"/>
              <w:bottom w:val="single" w:sz="4" w:space="0" w:color="auto"/>
              <w:right w:val="single" w:sz="4" w:space="0" w:color="auto"/>
            </w:tcBorders>
            <w:shd w:val="clear" w:color="auto" w:fill="auto"/>
            <w:vAlign w:val="bottom"/>
          </w:tcPr>
          <w:p w:rsidR="6D5BA1AE" w:rsidP="00F72D91" w14:paraId="37E50D55" w14:textId="6C8C0AF5">
            <w:pPr>
              <w:spacing w:after="0"/>
            </w:pPr>
            <w:r>
              <w:rPr>
                <w:rFonts w:ascii="Arial Narrow" w:hAnsi="Arial Narrow" w:cs="Arial"/>
                <w:color w:val="000000"/>
                <w:sz w:val="20"/>
                <w:szCs w:val="20"/>
              </w:rPr>
              <w:t> </w:t>
            </w:r>
          </w:p>
        </w:tc>
        <w:tc>
          <w:tcPr>
            <w:tcW w:w="926" w:type="dxa"/>
            <w:tcBorders>
              <w:top w:val="single" w:sz="4" w:space="0" w:color="auto"/>
              <w:left w:val="nil"/>
              <w:bottom w:val="single" w:sz="4" w:space="0" w:color="auto"/>
              <w:right w:val="single" w:sz="4" w:space="0" w:color="auto"/>
            </w:tcBorders>
            <w:shd w:val="clear" w:color="auto" w:fill="auto"/>
            <w:vAlign w:val="bottom"/>
          </w:tcPr>
          <w:p w:rsidR="6D5BA1AE" w:rsidP="00F72D91" w14:paraId="0330D5BE" w14:textId="538D45E0">
            <w:pPr>
              <w:spacing w:after="0"/>
            </w:pPr>
            <w:r>
              <w:rPr>
                <w:rFonts w:ascii="Arial Narrow" w:hAnsi="Arial Narrow" w:cs="Arial"/>
                <w:color w:val="000000"/>
                <w:sz w:val="20"/>
                <w:szCs w:val="20"/>
              </w:rPr>
              <w:t> </w:t>
            </w:r>
          </w:p>
        </w:tc>
      </w:tr>
      <w:tr w14:paraId="68836D51" w14:textId="77777777" w:rsidTr="003529B3">
        <w:tblPrEx>
          <w:tblW w:w="10255" w:type="dxa"/>
          <w:tblLayout w:type="fixed"/>
          <w:tblLook w:val="06A0"/>
        </w:tblPrEx>
        <w:trPr>
          <w:trHeight w:val="980"/>
        </w:trPr>
        <w:tc>
          <w:tcPr>
            <w:tcW w:w="2186" w:type="dxa"/>
            <w:tcBorders>
              <w:top w:val="single" w:sz="4" w:space="0" w:color="auto"/>
              <w:left w:val="single" w:sz="4" w:space="0" w:color="auto"/>
              <w:bottom w:val="single" w:sz="4" w:space="0" w:color="auto"/>
              <w:right w:val="single" w:sz="4" w:space="0" w:color="auto"/>
            </w:tcBorders>
            <w:vAlign w:val="bottom"/>
          </w:tcPr>
          <w:p w:rsidR="005B6F13" w:rsidP="005B6F13" w14:paraId="60028E66" w14:textId="42040907">
            <w:pPr>
              <w:spacing w:after="0"/>
            </w:pPr>
            <w:r w:rsidRPr="6D5BA1AE">
              <w:rPr>
                <w:rFonts w:ascii="Arial Narrow" w:eastAsia="Arial Narrow" w:hAnsi="Arial Narrow" w:cs="Arial Narrow"/>
                <w:color w:val="000000" w:themeColor="text1"/>
                <w:sz w:val="20"/>
                <w:szCs w:val="20"/>
              </w:rPr>
              <w:t xml:space="preserve">   Structural Definition Familiarization for Manufacturing Firms and Large Article Importers</w:t>
            </w:r>
          </w:p>
        </w:tc>
        <w:tc>
          <w:tcPr>
            <w:tcW w:w="1298" w:type="dxa"/>
            <w:tcBorders>
              <w:top w:val="nil"/>
              <w:left w:val="single" w:sz="4" w:space="0" w:color="auto"/>
              <w:bottom w:val="single" w:sz="4" w:space="0" w:color="auto"/>
              <w:right w:val="single" w:sz="4" w:space="0" w:color="auto"/>
            </w:tcBorders>
            <w:shd w:val="clear" w:color="auto" w:fill="auto"/>
            <w:vAlign w:val="bottom"/>
          </w:tcPr>
          <w:p w:rsidR="005B6F13" w:rsidP="005B6F13" w14:paraId="7749A0DB" w14:textId="6DBE795D">
            <w:pPr>
              <w:spacing w:after="0"/>
            </w:pPr>
            <w:r>
              <w:rPr>
                <w:rFonts w:ascii="Arial Narrow" w:hAnsi="Arial Narrow" w:cs="Arial"/>
                <w:color w:val="000000"/>
                <w:sz w:val="20"/>
                <w:szCs w:val="20"/>
              </w:rPr>
              <w:t>0.00</w:t>
            </w:r>
          </w:p>
        </w:tc>
        <w:tc>
          <w:tcPr>
            <w:tcW w:w="1220" w:type="dxa"/>
            <w:tcBorders>
              <w:top w:val="nil"/>
              <w:left w:val="nil"/>
              <w:bottom w:val="single" w:sz="4" w:space="0" w:color="auto"/>
              <w:right w:val="single" w:sz="4" w:space="0" w:color="auto"/>
            </w:tcBorders>
            <w:shd w:val="clear" w:color="auto" w:fill="auto"/>
            <w:vAlign w:val="bottom"/>
          </w:tcPr>
          <w:p w:rsidR="005B6F13" w:rsidP="005B6F13" w14:paraId="3FD61D27" w14:textId="3F42E091">
            <w:pPr>
              <w:spacing w:after="0"/>
            </w:pPr>
            <w:r>
              <w:rPr>
                <w:rFonts w:ascii="Arial Narrow" w:hAnsi="Arial Narrow" w:cs="Arial"/>
                <w:color w:val="000000"/>
                <w:sz w:val="20"/>
                <w:szCs w:val="20"/>
              </w:rPr>
              <w:t>5.50</w:t>
            </w:r>
          </w:p>
        </w:tc>
        <w:tc>
          <w:tcPr>
            <w:tcW w:w="1356" w:type="dxa"/>
            <w:tcBorders>
              <w:top w:val="nil"/>
              <w:left w:val="nil"/>
              <w:bottom w:val="single" w:sz="4" w:space="0" w:color="auto"/>
              <w:right w:val="single" w:sz="4" w:space="0" w:color="auto"/>
            </w:tcBorders>
            <w:shd w:val="clear" w:color="auto" w:fill="auto"/>
            <w:vAlign w:val="bottom"/>
          </w:tcPr>
          <w:p w:rsidR="005B6F13" w:rsidP="005B6F13" w14:paraId="03111444" w14:textId="03ADF737">
            <w:pPr>
              <w:spacing w:after="0"/>
            </w:pPr>
            <w:r>
              <w:rPr>
                <w:rFonts w:ascii="Arial Narrow" w:hAnsi="Arial Narrow" w:cs="Arial"/>
                <w:color w:val="000000"/>
                <w:sz w:val="20"/>
                <w:szCs w:val="20"/>
              </w:rPr>
              <w:t>0.00</w:t>
            </w:r>
          </w:p>
        </w:tc>
        <w:tc>
          <w:tcPr>
            <w:tcW w:w="1142" w:type="dxa"/>
            <w:tcBorders>
              <w:top w:val="nil"/>
              <w:left w:val="nil"/>
              <w:bottom w:val="single" w:sz="4" w:space="0" w:color="auto"/>
              <w:right w:val="single" w:sz="4" w:space="0" w:color="auto"/>
            </w:tcBorders>
            <w:shd w:val="clear" w:color="auto" w:fill="auto"/>
            <w:vAlign w:val="bottom"/>
          </w:tcPr>
          <w:p w:rsidR="005B6F13" w:rsidP="005B6F13" w14:paraId="63BF4534" w14:textId="43F1B8F8">
            <w:pPr>
              <w:spacing w:after="0"/>
            </w:pPr>
            <w:r>
              <w:rPr>
                <w:rFonts w:ascii="Arial Narrow" w:hAnsi="Arial Narrow" w:cs="Arial"/>
                <w:color w:val="000000"/>
                <w:sz w:val="20"/>
                <w:szCs w:val="20"/>
              </w:rPr>
              <w:t>0.00</w:t>
            </w:r>
          </w:p>
        </w:tc>
        <w:tc>
          <w:tcPr>
            <w:tcW w:w="1044" w:type="dxa"/>
            <w:tcBorders>
              <w:top w:val="nil"/>
              <w:left w:val="nil"/>
              <w:bottom w:val="single" w:sz="4" w:space="0" w:color="auto"/>
              <w:right w:val="single" w:sz="4" w:space="0" w:color="auto"/>
            </w:tcBorders>
            <w:shd w:val="clear" w:color="auto" w:fill="auto"/>
            <w:vAlign w:val="bottom"/>
          </w:tcPr>
          <w:p w:rsidR="005B6F13" w:rsidP="005B6F13" w14:paraId="4AD8D432" w14:textId="2B51E094">
            <w:pPr>
              <w:spacing w:after="0"/>
            </w:pPr>
            <w:r>
              <w:rPr>
                <w:rFonts w:ascii="Arial Narrow" w:hAnsi="Arial Narrow" w:cs="Arial"/>
                <w:color w:val="000000"/>
                <w:sz w:val="20"/>
                <w:szCs w:val="20"/>
              </w:rPr>
              <w:t>5.50</w:t>
            </w:r>
          </w:p>
        </w:tc>
        <w:tc>
          <w:tcPr>
            <w:tcW w:w="1083" w:type="dxa"/>
            <w:tcBorders>
              <w:top w:val="nil"/>
              <w:left w:val="nil"/>
              <w:bottom w:val="single" w:sz="4" w:space="0" w:color="auto"/>
              <w:right w:val="single" w:sz="4" w:space="0" w:color="auto"/>
            </w:tcBorders>
            <w:shd w:val="clear" w:color="auto" w:fill="auto"/>
            <w:vAlign w:val="bottom"/>
          </w:tcPr>
          <w:p w:rsidR="005B6F13" w:rsidP="005B6F13" w14:paraId="5F7D3DFF" w14:textId="7F216979">
            <w:pPr>
              <w:spacing w:after="0"/>
            </w:pPr>
            <w:r>
              <w:rPr>
                <w:rFonts w:ascii="Arial Narrow" w:hAnsi="Arial Narrow" w:cs="Arial"/>
                <w:color w:val="000000"/>
                <w:sz w:val="20"/>
                <w:szCs w:val="20"/>
              </w:rPr>
              <w:t>0.09</w:t>
            </w:r>
          </w:p>
        </w:tc>
        <w:tc>
          <w:tcPr>
            <w:tcW w:w="926" w:type="dxa"/>
            <w:tcBorders>
              <w:top w:val="nil"/>
              <w:left w:val="nil"/>
              <w:bottom w:val="single" w:sz="4" w:space="0" w:color="auto"/>
              <w:right w:val="single" w:sz="4" w:space="0" w:color="auto"/>
            </w:tcBorders>
            <w:shd w:val="clear" w:color="auto" w:fill="auto"/>
            <w:vAlign w:val="bottom"/>
          </w:tcPr>
          <w:p w:rsidR="005B6F13" w:rsidP="005B6F13" w14:paraId="000DE42C" w14:textId="3FD853BF">
            <w:pPr>
              <w:spacing w:after="0"/>
            </w:pPr>
            <w:r>
              <w:rPr>
                <w:rFonts w:ascii="Arial Narrow" w:hAnsi="Arial Narrow" w:cs="Arial"/>
                <w:color w:val="000000"/>
                <w:sz w:val="20"/>
                <w:szCs w:val="20"/>
              </w:rPr>
              <w:t>0.50</w:t>
            </w:r>
          </w:p>
        </w:tc>
      </w:tr>
      <w:tr w14:paraId="27C1BEA6" w14:textId="77777777" w:rsidTr="00F72D91">
        <w:tblPrEx>
          <w:tblW w:w="10255" w:type="dxa"/>
          <w:tblLayout w:type="fixed"/>
          <w:tblLook w:val="06A0"/>
        </w:tblPrEx>
        <w:trPr>
          <w:trHeight w:val="285"/>
        </w:trPr>
        <w:tc>
          <w:tcPr>
            <w:tcW w:w="2186" w:type="dxa"/>
            <w:tcBorders>
              <w:top w:val="single" w:sz="4" w:space="0" w:color="auto"/>
              <w:left w:val="single" w:sz="4" w:space="0" w:color="auto"/>
              <w:bottom w:val="single" w:sz="4" w:space="0" w:color="auto"/>
              <w:right w:val="single" w:sz="4" w:space="0" w:color="auto"/>
            </w:tcBorders>
            <w:vAlign w:val="bottom"/>
          </w:tcPr>
          <w:p w:rsidR="005B6F13" w:rsidP="005B6F13" w14:paraId="22DBB84F" w14:textId="0FEC3254">
            <w:pPr>
              <w:spacing w:after="0"/>
            </w:pPr>
            <w:r w:rsidRPr="6D5BA1AE">
              <w:rPr>
                <w:rFonts w:ascii="Arial Narrow" w:eastAsia="Arial Narrow" w:hAnsi="Arial Narrow" w:cs="Arial Narrow"/>
                <w:color w:val="000000" w:themeColor="text1"/>
                <w:sz w:val="20"/>
                <w:szCs w:val="20"/>
              </w:rPr>
              <w:t xml:space="preserve">   Structural Definition Familiarization for Small Article Importers</w:t>
            </w:r>
          </w:p>
        </w:tc>
        <w:tc>
          <w:tcPr>
            <w:tcW w:w="1298" w:type="dxa"/>
            <w:tcBorders>
              <w:top w:val="nil"/>
              <w:left w:val="single" w:sz="4" w:space="0" w:color="auto"/>
              <w:bottom w:val="single" w:sz="4" w:space="0" w:color="auto"/>
              <w:right w:val="single" w:sz="4" w:space="0" w:color="auto"/>
            </w:tcBorders>
            <w:shd w:val="clear" w:color="auto" w:fill="auto"/>
            <w:vAlign w:val="bottom"/>
          </w:tcPr>
          <w:p w:rsidR="005B6F13" w:rsidP="005B6F13" w14:paraId="67F912A6" w14:textId="6911ABEA">
            <w:pPr>
              <w:spacing w:after="0"/>
            </w:pPr>
            <w:r>
              <w:rPr>
                <w:rFonts w:ascii="Arial Narrow" w:hAnsi="Arial Narrow" w:cs="Arial"/>
                <w:color w:val="000000"/>
                <w:sz w:val="20"/>
                <w:szCs w:val="20"/>
              </w:rPr>
              <w:t>0.00</w:t>
            </w:r>
          </w:p>
        </w:tc>
        <w:tc>
          <w:tcPr>
            <w:tcW w:w="1220" w:type="dxa"/>
            <w:tcBorders>
              <w:top w:val="nil"/>
              <w:left w:val="nil"/>
              <w:bottom w:val="single" w:sz="4" w:space="0" w:color="auto"/>
              <w:right w:val="single" w:sz="4" w:space="0" w:color="auto"/>
            </w:tcBorders>
            <w:shd w:val="clear" w:color="auto" w:fill="auto"/>
            <w:vAlign w:val="bottom"/>
          </w:tcPr>
          <w:p w:rsidR="005B6F13" w:rsidP="005B6F13" w14:paraId="45F75D12" w14:textId="65FD0E91">
            <w:pPr>
              <w:spacing w:after="0"/>
            </w:pPr>
            <w:r>
              <w:rPr>
                <w:rFonts w:ascii="Arial Narrow" w:hAnsi="Arial Narrow" w:cs="Arial"/>
                <w:color w:val="000000"/>
                <w:sz w:val="20"/>
                <w:szCs w:val="20"/>
              </w:rPr>
              <w:t>9.00</w:t>
            </w:r>
          </w:p>
        </w:tc>
        <w:tc>
          <w:tcPr>
            <w:tcW w:w="1356" w:type="dxa"/>
            <w:tcBorders>
              <w:top w:val="nil"/>
              <w:left w:val="nil"/>
              <w:bottom w:val="single" w:sz="4" w:space="0" w:color="auto"/>
              <w:right w:val="single" w:sz="4" w:space="0" w:color="auto"/>
            </w:tcBorders>
            <w:shd w:val="clear" w:color="auto" w:fill="auto"/>
            <w:vAlign w:val="bottom"/>
          </w:tcPr>
          <w:p w:rsidR="005B6F13" w:rsidP="005B6F13" w14:paraId="1690A6D8" w14:textId="3824B35B">
            <w:pPr>
              <w:spacing w:after="0"/>
            </w:pPr>
            <w:r>
              <w:rPr>
                <w:rFonts w:ascii="Arial Narrow" w:hAnsi="Arial Narrow" w:cs="Arial"/>
                <w:color w:val="000000"/>
                <w:sz w:val="20"/>
                <w:szCs w:val="20"/>
              </w:rPr>
              <w:t>0.00</w:t>
            </w:r>
          </w:p>
        </w:tc>
        <w:tc>
          <w:tcPr>
            <w:tcW w:w="1142" w:type="dxa"/>
            <w:tcBorders>
              <w:top w:val="nil"/>
              <w:left w:val="nil"/>
              <w:bottom w:val="single" w:sz="4" w:space="0" w:color="auto"/>
              <w:right w:val="single" w:sz="4" w:space="0" w:color="auto"/>
            </w:tcBorders>
            <w:shd w:val="clear" w:color="auto" w:fill="auto"/>
            <w:vAlign w:val="bottom"/>
          </w:tcPr>
          <w:p w:rsidR="005B6F13" w:rsidP="005B6F13" w14:paraId="30D628D0" w14:textId="73018C5D">
            <w:pPr>
              <w:spacing w:after="0"/>
            </w:pPr>
            <w:r>
              <w:rPr>
                <w:rFonts w:ascii="Arial Narrow" w:hAnsi="Arial Narrow" w:cs="Arial"/>
                <w:color w:val="000000"/>
                <w:sz w:val="20"/>
                <w:szCs w:val="20"/>
              </w:rPr>
              <w:t>1.00</w:t>
            </w:r>
          </w:p>
        </w:tc>
        <w:tc>
          <w:tcPr>
            <w:tcW w:w="1044" w:type="dxa"/>
            <w:tcBorders>
              <w:top w:val="nil"/>
              <w:left w:val="nil"/>
              <w:bottom w:val="single" w:sz="4" w:space="0" w:color="auto"/>
              <w:right w:val="single" w:sz="4" w:space="0" w:color="auto"/>
            </w:tcBorders>
            <w:shd w:val="clear" w:color="auto" w:fill="auto"/>
            <w:vAlign w:val="bottom"/>
          </w:tcPr>
          <w:p w:rsidR="005B6F13" w:rsidP="005B6F13" w14:paraId="3911C752" w14:textId="1D72B19D">
            <w:pPr>
              <w:spacing w:after="0"/>
            </w:pPr>
            <w:r>
              <w:rPr>
                <w:rFonts w:ascii="Arial Narrow" w:hAnsi="Arial Narrow" w:cs="Arial"/>
                <w:color w:val="000000"/>
                <w:sz w:val="20"/>
                <w:szCs w:val="20"/>
              </w:rPr>
              <w:t>10.00</w:t>
            </w:r>
          </w:p>
        </w:tc>
        <w:tc>
          <w:tcPr>
            <w:tcW w:w="1083" w:type="dxa"/>
            <w:tcBorders>
              <w:top w:val="nil"/>
              <w:left w:val="nil"/>
              <w:bottom w:val="single" w:sz="4" w:space="0" w:color="auto"/>
              <w:right w:val="single" w:sz="4" w:space="0" w:color="auto"/>
            </w:tcBorders>
            <w:shd w:val="clear" w:color="auto" w:fill="auto"/>
            <w:vAlign w:val="bottom"/>
          </w:tcPr>
          <w:p w:rsidR="005B6F13" w:rsidP="005B6F13" w14:paraId="100D6965" w14:textId="5414A82E">
            <w:pPr>
              <w:spacing w:after="0"/>
            </w:pPr>
            <w:r>
              <w:rPr>
                <w:rFonts w:ascii="Arial Narrow" w:hAnsi="Arial Narrow" w:cs="Arial"/>
                <w:color w:val="000000"/>
                <w:sz w:val="20"/>
                <w:szCs w:val="20"/>
              </w:rPr>
              <w:t>0.89</w:t>
            </w:r>
          </w:p>
        </w:tc>
        <w:tc>
          <w:tcPr>
            <w:tcW w:w="926" w:type="dxa"/>
            <w:tcBorders>
              <w:top w:val="nil"/>
              <w:left w:val="nil"/>
              <w:bottom w:val="single" w:sz="4" w:space="0" w:color="auto"/>
              <w:right w:val="single" w:sz="4" w:space="0" w:color="auto"/>
            </w:tcBorders>
            <w:shd w:val="clear" w:color="auto" w:fill="auto"/>
            <w:vAlign w:val="bottom"/>
          </w:tcPr>
          <w:p w:rsidR="005B6F13" w:rsidP="005B6F13" w14:paraId="38BAF0B7" w14:textId="3784C5E0">
            <w:pPr>
              <w:spacing w:after="0"/>
            </w:pPr>
            <w:r>
              <w:rPr>
                <w:rFonts w:ascii="Arial Narrow" w:hAnsi="Arial Narrow" w:cs="Arial"/>
                <w:color w:val="000000"/>
                <w:sz w:val="20"/>
                <w:szCs w:val="20"/>
              </w:rPr>
              <w:t>8.85</w:t>
            </w:r>
          </w:p>
        </w:tc>
      </w:tr>
      <w:tr w14:paraId="46B41714" w14:textId="77777777" w:rsidTr="00F72D91">
        <w:tblPrEx>
          <w:tblW w:w="10255" w:type="dxa"/>
          <w:tblLayout w:type="fixed"/>
          <w:tblLook w:val="06A0"/>
        </w:tblPrEx>
        <w:trPr>
          <w:trHeight w:val="285"/>
        </w:trPr>
        <w:tc>
          <w:tcPr>
            <w:tcW w:w="2186" w:type="dxa"/>
            <w:tcBorders>
              <w:top w:val="single" w:sz="4" w:space="0" w:color="auto"/>
              <w:left w:val="single" w:sz="4" w:space="0" w:color="auto"/>
              <w:bottom w:val="single" w:sz="4" w:space="0" w:color="auto"/>
              <w:right w:val="single" w:sz="4" w:space="0" w:color="auto"/>
            </w:tcBorders>
            <w:vAlign w:val="bottom"/>
          </w:tcPr>
          <w:p w:rsidR="005B6F13" w:rsidP="005B6F13" w14:paraId="4BB564DF" w14:textId="154A1617">
            <w:pPr>
              <w:spacing w:after="0"/>
            </w:pPr>
            <w:r w:rsidRPr="6D5BA1AE">
              <w:rPr>
                <w:rFonts w:ascii="Arial Narrow" w:eastAsia="Arial Narrow" w:hAnsi="Arial Narrow" w:cs="Arial Narrow"/>
                <w:color w:val="000000" w:themeColor="text1"/>
                <w:sz w:val="20"/>
                <w:szCs w:val="20"/>
              </w:rPr>
              <w:t xml:space="preserve">   Reporting Firms</w:t>
            </w:r>
          </w:p>
        </w:tc>
        <w:tc>
          <w:tcPr>
            <w:tcW w:w="1298" w:type="dxa"/>
            <w:tcBorders>
              <w:top w:val="nil"/>
              <w:left w:val="single" w:sz="4" w:space="0" w:color="auto"/>
              <w:bottom w:val="single" w:sz="4" w:space="0" w:color="auto"/>
              <w:right w:val="single" w:sz="4" w:space="0" w:color="auto"/>
            </w:tcBorders>
            <w:shd w:val="clear" w:color="auto" w:fill="auto"/>
            <w:vAlign w:val="bottom"/>
          </w:tcPr>
          <w:p w:rsidR="005B6F13" w:rsidP="005B6F13" w14:paraId="5C2EFA98" w14:textId="7BA8020E">
            <w:pPr>
              <w:spacing w:after="0"/>
            </w:pPr>
            <w:r>
              <w:rPr>
                <w:rFonts w:ascii="Arial Narrow" w:hAnsi="Arial Narrow" w:cs="Arial"/>
                <w:color w:val="000000"/>
                <w:sz w:val="20"/>
                <w:szCs w:val="20"/>
              </w:rPr>
              <w:t>0.00</w:t>
            </w:r>
          </w:p>
        </w:tc>
        <w:tc>
          <w:tcPr>
            <w:tcW w:w="1220" w:type="dxa"/>
            <w:tcBorders>
              <w:top w:val="nil"/>
              <w:left w:val="nil"/>
              <w:bottom w:val="single" w:sz="4" w:space="0" w:color="auto"/>
              <w:right w:val="single" w:sz="4" w:space="0" w:color="auto"/>
            </w:tcBorders>
            <w:shd w:val="clear" w:color="auto" w:fill="auto"/>
            <w:vAlign w:val="bottom"/>
          </w:tcPr>
          <w:p w:rsidR="005B6F13" w:rsidP="005B6F13" w14:paraId="3AFC699D" w14:textId="7763D190">
            <w:pPr>
              <w:spacing w:after="0"/>
            </w:pPr>
            <w:r>
              <w:rPr>
                <w:rFonts w:ascii="Arial Narrow" w:hAnsi="Arial Narrow" w:cs="Arial"/>
                <w:color w:val="000000"/>
                <w:sz w:val="20"/>
                <w:szCs w:val="20"/>
              </w:rPr>
              <w:t>17.00</w:t>
            </w:r>
          </w:p>
        </w:tc>
        <w:tc>
          <w:tcPr>
            <w:tcW w:w="1356" w:type="dxa"/>
            <w:tcBorders>
              <w:top w:val="nil"/>
              <w:left w:val="nil"/>
              <w:bottom w:val="single" w:sz="4" w:space="0" w:color="auto"/>
              <w:right w:val="single" w:sz="4" w:space="0" w:color="auto"/>
            </w:tcBorders>
            <w:shd w:val="clear" w:color="auto" w:fill="auto"/>
            <w:vAlign w:val="bottom"/>
          </w:tcPr>
          <w:p w:rsidR="005B6F13" w:rsidP="005B6F13" w14:paraId="6FE93D43" w14:textId="4B6B7287">
            <w:pPr>
              <w:spacing w:after="0"/>
            </w:pPr>
            <w:r>
              <w:rPr>
                <w:rFonts w:ascii="Arial Narrow" w:hAnsi="Arial Narrow" w:cs="Arial"/>
                <w:color w:val="000000"/>
                <w:sz w:val="20"/>
                <w:szCs w:val="20"/>
              </w:rPr>
              <w:t>7.00</w:t>
            </w:r>
          </w:p>
        </w:tc>
        <w:tc>
          <w:tcPr>
            <w:tcW w:w="1142" w:type="dxa"/>
            <w:tcBorders>
              <w:top w:val="nil"/>
              <w:left w:val="nil"/>
              <w:bottom w:val="single" w:sz="4" w:space="0" w:color="auto"/>
              <w:right w:val="single" w:sz="4" w:space="0" w:color="auto"/>
            </w:tcBorders>
            <w:shd w:val="clear" w:color="auto" w:fill="auto"/>
            <w:vAlign w:val="bottom"/>
          </w:tcPr>
          <w:p w:rsidR="005B6F13" w:rsidP="005B6F13" w14:paraId="0495A68C" w14:textId="74159090">
            <w:pPr>
              <w:spacing w:after="0"/>
            </w:pPr>
            <w:r>
              <w:rPr>
                <w:rFonts w:ascii="Arial Narrow" w:hAnsi="Arial Narrow" w:cs="Arial"/>
                <w:color w:val="000000"/>
                <w:sz w:val="20"/>
                <w:szCs w:val="20"/>
              </w:rPr>
              <w:t>0.00</w:t>
            </w:r>
          </w:p>
        </w:tc>
        <w:tc>
          <w:tcPr>
            <w:tcW w:w="1044" w:type="dxa"/>
            <w:tcBorders>
              <w:top w:val="nil"/>
              <w:left w:val="nil"/>
              <w:bottom w:val="single" w:sz="4" w:space="0" w:color="auto"/>
              <w:right w:val="single" w:sz="4" w:space="0" w:color="auto"/>
            </w:tcBorders>
            <w:shd w:val="clear" w:color="auto" w:fill="auto"/>
            <w:vAlign w:val="bottom"/>
          </w:tcPr>
          <w:p w:rsidR="005B6F13" w:rsidP="005B6F13" w14:paraId="19BE060C" w14:textId="7A57D740">
            <w:pPr>
              <w:spacing w:after="0"/>
            </w:pPr>
            <w:r>
              <w:rPr>
                <w:rFonts w:ascii="Arial Narrow" w:hAnsi="Arial Narrow" w:cs="Arial"/>
                <w:color w:val="000000"/>
                <w:sz w:val="20"/>
                <w:szCs w:val="20"/>
              </w:rPr>
              <w:t>24.00</w:t>
            </w:r>
          </w:p>
        </w:tc>
        <w:tc>
          <w:tcPr>
            <w:tcW w:w="1083" w:type="dxa"/>
            <w:tcBorders>
              <w:top w:val="nil"/>
              <w:left w:val="nil"/>
              <w:bottom w:val="single" w:sz="4" w:space="0" w:color="auto"/>
              <w:right w:val="single" w:sz="4" w:space="0" w:color="auto"/>
            </w:tcBorders>
            <w:shd w:val="clear" w:color="auto" w:fill="auto"/>
            <w:vAlign w:val="bottom"/>
          </w:tcPr>
          <w:p w:rsidR="005B6F13" w:rsidP="005B6F13" w14:paraId="49A74BEC" w14:textId="16E9A4AB">
            <w:pPr>
              <w:spacing w:after="0"/>
            </w:pPr>
            <w:r>
              <w:rPr>
                <w:rFonts w:ascii="Arial Narrow" w:hAnsi="Arial Narrow" w:cs="Arial"/>
                <w:color w:val="000000"/>
                <w:sz w:val="20"/>
                <w:szCs w:val="20"/>
              </w:rPr>
              <w:t>0.10</w:t>
            </w:r>
          </w:p>
        </w:tc>
        <w:tc>
          <w:tcPr>
            <w:tcW w:w="926" w:type="dxa"/>
            <w:tcBorders>
              <w:top w:val="nil"/>
              <w:left w:val="nil"/>
              <w:bottom w:val="single" w:sz="4" w:space="0" w:color="auto"/>
              <w:right w:val="single" w:sz="4" w:space="0" w:color="auto"/>
            </w:tcBorders>
            <w:shd w:val="clear" w:color="auto" w:fill="auto"/>
            <w:vAlign w:val="bottom"/>
          </w:tcPr>
          <w:p w:rsidR="005B6F13" w:rsidP="005B6F13" w14:paraId="22F35E37" w14:textId="1C5EF5B0">
            <w:pPr>
              <w:spacing w:after="0"/>
            </w:pPr>
            <w:r>
              <w:rPr>
                <w:rFonts w:ascii="Arial Narrow" w:hAnsi="Arial Narrow" w:cs="Arial"/>
                <w:color w:val="000000"/>
                <w:sz w:val="20"/>
                <w:szCs w:val="20"/>
              </w:rPr>
              <w:t>2.44</w:t>
            </w:r>
          </w:p>
        </w:tc>
      </w:tr>
      <w:tr w14:paraId="2F78DF9C" w14:textId="77777777" w:rsidTr="00F72D91">
        <w:tblPrEx>
          <w:tblW w:w="10255" w:type="dxa"/>
          <w:tblLayout w:type="fixed"/>
          <w:tblLook w:val="06A0"/>
        </w:tblPrEx>
        <w:trPr>
          <w:trHeight w:val="285"/>
        </w:trPr>
        <w:tc>
          <w:tcPr>
            <w:tcW w:w="2186" w:type="dxa"/>
            <w:tcBorders>
              <w:top w:val="single" w:sz="4" w:space="0" w:color="auto"/>
              <w:left w:val="single" w:sz="4" w:space="0" w:color="auto"/>
              <w:bottom w:val="single" w:sz="4" w:space="0" w:color="auto"/>
              <w:right w:val="single" w:sz="4" w:space="0" w:color="auto"/>
            </w:tcBorders>
            <w:vAlign w:val="bottom"/>
          </w:tcPr>
          <w:p w:rsidR="005B6F13" w:rsidP="005B6F13" w14:paraId="1F579E9F" w14:textId="40027235">
            <w:pPr>
              <w:spacing w:after="0"/>
            </w:pPr>
            <w:r w:rsidRPr="6D5BA1AE">
              <w:rPr>
                <w:rFonts w:ascii="Arial Narrow" w:eastAsia="Arial Narrow" w:hAnsi="Arial Narrow" w:cs="Arial Narrow"/>
                <w:color w:val="000000" w:themeColor="text1"/>
                <w:sz w:val="20"/>
                <w:szCs w:val="20"/>
              </w:rPr>
              <w:t xml:space="preserve">   Non-Reporting Firms</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bottom"/>
          </w:tcPr>
          <w:p w:rsidR="005B6F13" w:rsidP="005B6F13" w14:paraId="44AED27E" w14:textId="020411F2">
            <w:pPr>
              <w:spacing w:after="0"/>
            </w:pPr>
            <w:r>
              <w:rPr>
                <w:rFonts w:ascii="Arial Narrow" w:hAnsi="Arial Narrow" w:cs="Arial"/>
                <w:color w:val="000000"/>
                <w:sz w:val="20"/>
                <w:szCs w:val="20"/>
              </w:rPr>
              <w:t>0.00</w:t>
            </w:r>
          </w:p>
        </w:tc>
        <w:tc>
          <w:tcPr>
            <w:tcW w:w="1220" w:type="dxa"/>
            <w:tcBorders>
              <w:top w:val="single" w:sz="4" w:space="0" w:color="auto"/>
              <w:left w:val="nil"/>
              <w:bottom w:val="single" w:sz="4" w:space="0" w:color="auto"/>
              <w:right w:val="single" w:sz="4" w:space="0" w:color="auto"/>
            </w:tcBorders>
            <w:shd w:val="clear" w:color="auto" w:fill="auto"/>
            <w:vAlign w:val="bottom"/>
          </w:tcPr>
          <w:p w:rsidR="005B6F13" w:rsidP="005B6F13" w14:paraId="38F65390" w14:textId="71311C72">
            <w:pPr>
              <w:spacing w:after="0"/>
            </w:pPr>
            <w:r>
              <w:rPr>
                <w:rFonts w:ascii="Arial Narrow" w:hAnsi="Arial Narrow" w:cs="Arial"/>
                <w:color w:val="000000"/>
                <w:sz w:val="20"/>
                <w:szCs w:val="20"/>
              </w:rPr>
              <w:t>6.40</w:t>
            </w:r>
          </w:p>
        </w:tc>
        <w:tc>
          <w:tcPr>
            <w:tcW w:w="1356" w:type="dxa"/>
            <w:tcBorders>
              <w:top w:val="single" w:sz="4" w:space="0" w:color="auto"/>
              <w:left w:val="nil"/>
              <w:bottom w:val="single" w:sz="4" w:space="0" w:color="auto"/>
              <w:right w:val="single" w:sz="4" w:space="0" w:color="auto"/>
            </w:tcBorders>
            <w:shd w:val="clear" w:color="auto" w:fill="auto"/>
            <w:vAlign w:val="bottom"/>
          </w:tcPr>
          <w:p w:rsidR="005B6F13" w:rsidP="005B6F13" w14:paraId="1C61653F" w14:textId="041D2FB7">
            <w:pPr>
              <w:spacing w:after="0"/>
            </w:pPr>
            <w:r>
              <w:rPr>
                <w:rFonts w:ascii="Arial Narrow" w:hAnsi="Arial Narrow" w:cs="Arial"/>
                <w:color w:val="000000"/>
                <w:sz w:val="20"/>
                <w:szCs w:val="20"/>
              </w:rPr>
              <w:t>2.85</w:t>
            </w:r>
          </w:p>
        </w:tc>
        <w:tc>
          <w:tcPr>
            <w:tcW w:w="1142" w:type="dxa"/>
            <w:tcBorders>
              <w:top w:val="single" w:sz="4" w:space="0" w:color="auto"/>
              <w:left w:val="nil"/>
              <w:bottom w:val="single" w:sz="4" w:space="0" w:color="auto"/>
              <w:right w:val="single" w:sz="4" w:space="0" w:color="auto"/>
            </w:tcBorders>
            <w:shd w:val="clear" w:color="auto" w:fill="auto"/>
            <w:vAlign w:val="bottom"/>
          </w:tcPr>
          <w:p w:rsidR="005B6F13" w:rsidP="005B6F13" w14:paraId="74479B1E" w14:textId="6EBC320E">
            <w:pPr>
              <w:spacing w:after="0"/>
            </w:pPr>
            <w:r>
              <w:rPr>
                <w:rFonts w:ascii="Arial Narrow" w:hAnsi="Arial Narrow" w:cs="Arial"/>
                <w:color w:val="000000"/>
                <w:sz w:val="20"/>
                <w:szCs w:val="20"/>
              </w:rPr>
              <w:t>0.00</w:t>
            </w:r>
          </w:p>
        </w:tc>
        <w:tc>
          <w:tcPr>
            <w:tcW w:w="1044" w:type="dxa"/>
            <w:tcBorders>
              <w:top w:val="nil"/>
              <w:left w:val="single" w:sz="4" w:space="0" w:color="auto"/>
              <w:bottom w:val="single" w:sz="4" w:space="0" w:color="auto"/>
              <w:right w:val="single" w:sz="4" w:space="0" w:color="auto"/>
            </w:tcBorders>
            <w:shd w:val="clear" w:color="auto" w:fill="auto"/>
            <w:vAlign w:val="bottom"/>
          </w:tcPr>
          <w:p w:rsidR="005B6F13" w:rsidP="005B6F13" w14:paraId="31D5E342" w14:textId="44D9343A">
            <w:pPr>
              <w:spacing w:after="0"/>
            </w:pPr>
            <w:r>
              <w:rPr>
                <w:rFonts w:ascii="Arial Narrow" w:hAnsi="Arial Narrow" w:cs="Arial"/>
                <w:color w:val="000000"/>
                <w:sz w:val="20"/>
                <w:szCs w:val="20"/>
              </w:rPr>
              <w:t>9.25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bottom"/>
          </w:tcPr>
          <w:p w:rsidR="005B6F13" w:rsidP="005B6F13" w14:paraId="487EDD01" w14:textId="5BB579B3">
            <w:pPr>
              <w:spacing w:after="0"/>
            </w:pPr>
            <w:r>
              <w:rPr>
                <w:rFonts w:ascii="Arial Narrow" w:hAnsi="Arial Narrow" w:cs="Arial"/>
                <w:color w:val="000000"/>
                <w:sz w:val="20"/>
                <w:szCs w:val="20"/>
              </w:rPr>
              <w:t>0.90</w:t>
            </w:r>
          </w:p>
        </w:tc>
        <w:tc>
          <w:tcPr>
            <w:tcW w:w="926" w:type="dxa"/>
            <w:tcBorders>
              <w:top w:val="nil"/>
              <w:left w:val="single" w:sz="4" w:space="0" w:color="auto"/>
              <w:bottom w:val="single" w:sz="4" w:space="0" w:color="auto"/>
              <w:right w:val="single" w:sz="4" w:space="0" w:color="auto"/>
            </w:tcBorders>
            <w:shd w:val="clear" w:color="auto" w:fill="auto"/>
            <w:vAlign w:val="bottom"/>
          </w:tcPr>
          <w:p w:rsidR="005B6F13" w:rsidP="005B6F13" w14:paraId="2DA36104" w14:textId="5C0A9FB1">
            <w:pPr>
              <w:spacing w:after="0"/>
            </w:pPr>
            <w:r>
              <w:rPr>
                <w:rFonts w:ascii="Arial Narrow" w:hAnsi="Arial Narrow" w:cs="Arial"/>
                <w:color w:val="000000"/>
                <w:sz w:val="20"/>
                <w:szCs w:val="20"/>
              </w:rPr>
              <w:t>8.31</w:t>
            </w:r>
          </w:p>
        </w:tc>
      </w:tr>
      <w:tr w14:paraId="0C4C5ACB" w14:textId="77777777" w:rsidTr="00F72D91">
        <w:tblPrEx>
          <w:tblW w:w="10255" w:type="dxa"/>
          <w:tblLayout w:type="fixed"/>
          <w:tblLook w:val="06A0"/>
        </w:tblPrEx>
        <w:trPr>
          <w:trHeight w:val="270"/>
        </w:trPr>
        <w:tc>
          <w:tcPr>
            <w:tcW w:w="2186" w:type="dxa"/>
            <w:tcBorders>
              <w:top w:val="single" w:sz="4" w:space="0" w:color="auto"/>
              <w:left w:val="single" w:sz="4" w:space="0" w:color="auto"/>
              <w:bottom w:val="single" w:sz="4" w:space="0" w:color="auto"/>
              <w:right w:val="single" w:sz="4" w:space="0" w:color="auto"/>
            </w:tcBorders>
            <w:vAlign w:val="bottom"/>
          </w:tcPr>
          <w:p w:rsidR="005B6F13" w:rsidP="005B6F13" w14:paraId="513E40F8" w14:textId="2F408C5C">
            <w:pPr>
              <w:spacing w:after="0"/>
            </w:pPr>
            <w:r w:rsidRPr="6D5BA1AE">
              <w:rPr>
                <w:rFonts w:ascii="Arial Narrow" w:eastAsia="Arial Narrow" w:hAnsi="Arial Narrow" w:cs="Arial Narrow"/>
                <w:color w:val="000000" w:themeColor="text1"/>
                <w:sz w:val="20"/>
                <w:szCs w:val="20"/>
              </w:rPr>
              <w:t>Compliance Determination</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bottom"/>
          </w:tcPr>
          <w:p w:rsidR="005B6F13" w:rsidP="005B6F13" w14:paraId="23BDE850" w14:textId="1E9D3713">
            <w:pPr>
              <w:spacing w:after="0"/>
            </w:pPr>
            <w:r>
              <w:rPr>
                <w:rFonts w:ascii="Arial Narrow" w:hAnsi="Arial Narrow" w:cs="Arial"/>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bottom"/>
          </w:tcPr>
          <w:p w:rsidR="005B6F13" w:rsidP="005B6F13" w14:paraId="4CC2CEDF" w14:textId="10568B5A">
            <w:pPr>
              <w:spacing w:after="0"/>
            </w:pPr>
            <w:r>
              <w:rPr>
                <w:rFonts w:ascii="Arial Narrow" w:hAnsi="Arial Narrow" w:cs="Arial"/>
                <w:color w:val="000000"/>
                <w:sz w:val="20"/>
                <w:szCs w:val="20"/>
              </w:rPr>
              <w:t> </w:t>
            </w:r>
          </w:p>
        </w:tc>
        <w:tc>
          <w:tcPr>
            <w:tcW w:w="1356" w:type="dxa"/>
            <w:tcBorders>
              <w:top w:val="single" w:sz="4" w:space="0" w:color="auto"/>
              <w:left w:val="nil"/>
              <w:bottom w:val="single" w:sz="4" w:space="0" w:color="auto"/>
              <w:right w:val="single" w:sz="4" w:space="0" w:color="auto"/>
            </w:tcBorders>
            <w:shd w:val="clear" w:color="auto" w:fill="auto"/>
            <w:vAlign w:val="bottom"/>
          </w:tcPr>
          <w:p w:rsidR="005B6F13" w:rsidP="005B6F13" w14:paraId="4ED851FB" w14:textId="632CBF0E">
            <w:pPr>
              <w:spacing w:after="0"/>
            </w:pPr>
            <w:r>
              <w:rPr>
                <w:rFonts w:ascii="Arial Narrow" w:hAnsi="Arial Narrow" w:cs="Arial"/>
                <w:color w:val="000000"/>
                <w:sz w:val="20"/>
                <w:szCs w:val="20"/>
              </w:rPr>
              <w:t> </w:t>
            </w:r>
          </w:p>
        </w:tc>
        <w:tc>
          <w:tcPr>
            <w:tcW w:w="1142" w:type="dxa"/>
            <w:tcBorders>
              <w:top w:val="single" w:sz="4" w:space="0" w:color="auto"/>
              <w:left w:val="nil"/>
              <w:bottom w:val="single" w:sz="4" w:space="0" w:color="auto"/>
              <w:right w:val="single" w:sz="4" w:space="0" w:color="auto"/>
            </w:tcBorders>
            <w:shd w:val="clear" w:color="auto" w:fill="auto"/>
            <w:vAlign w:val="bottom"/>
          </w:tcPr>
          <w:p w:rsidR="005B6F13" w:rsidP="005B6F13" w14:paraId="38AB66C0" w14:textId="46AA613D">
            <w:pPr>
              <w:spacing w:after="0"/>
            </w:pPr>
            <w:r>
              <w:rPr>
                <w:rFonts w:ascii="Arial Narrow" w:hAnsi="Arial Narrow" w:cs="Arial"/>
                <w:color w:val="000000"/>
                <w:sz w:val="20"/>
                <w:szCs w:val="20"/>
              </w:rPr>
              <w:t> </w:t>
            </w:r>
          </w:p>
        </w:tc>
        <w:tc>
          <w:tcPr>
            <w:tcW w:w="1044" w:type="dxa"/>
            <w:tcBorders>
              <w:top w:val="nil"/>
              <w:left w:val="nil"/>
              <w:bottom w:val="single" w:sz="4" w:space="0" w:color="auto"/>
              <w:right w:val="single" w:sz="4" w:space="0" w:color="auto"/>
            </w:tcBorders>
            <w:shd w:val="clear" w:color="auto" w:fill="auto"/>
            <w:vAlign w:val="bottom"/>
          </w:tcPr>
          <w:p w:rsidR="005B6F13" w:rsidP="005B6F13" w14:paraId="6C9F7AB3" w14:textId="1161433F">
            <w:pPr>
              <w:spacing w:after="0"/>
            </w:pPr>
            <w:r>
              <w:rPr>
                <w:rFonts w:ascii="Arial Narrow" w:hAnsi="Arial Narrow" w:cs="Arial"/>
                <w:color w:val="000000"/>
                <w:sz w:val="20"/>
                <w:szCs w:val="20"/>
              </w:rPr>
              <w:t> </w:t>
            </w:r>
          </w:p>
        </w:tc>
        <w:tc>
          <w:tcPr>
            <w:tcW w:w="1083" w:type="dxa"/>
            <w:tcBorders>
              <w:top w:val="single" w:sz="4" w:space="0" w:color="auto"/>
              <w:left w:val="nil"/>
              <w:bottom w:val="single" w:sz="4" w:space="0" w:color="auto"/>
              <w:right w:val="single" w:sz="4" w:space="0" w:color="auto"/>
            </w:tcBorders>
            <w:shd w:val="clear" w:color="auto" w:fill="auto"/>
            <w:vAlign w:val="bottom"/>
          </w:tcPr>
          <w:p w:rsidR="005B6F13" w:rsidP="005B6F13" w14:paraId="2C863772" w14:textId="5B5D7272">
            <w:pPr>
              <w:spacing w:after="0"/>
            </w:pPr>
            <w:r>
              <w:rPr>
                <w:rFonts w:ascii="Arial Narrow" w:hAnsi="Arial Narrow" w:cs="Arial"/>
                <w:color w:val="000000"/>
                <w:sz w:val="20"/>
                <w:szCs w:val="20"/>
              </w:rPr>
              <w:t> </w:t>
            </w:r>
          </w:p>
        </w:tc>
        <w:tc>
          <w:tcPr>
            <w:tcW w:w="926" w:type="dxa"/>
            <w:tcBorders>
              <w:top w:val="nil"/>
              <w:left w:val="nil"/>
              <w:bottom w:val="single" w:sz="4" w:space="0" w:color="auto"/>
              <w:right w:val="single" w:sz="4" w:space="0" w:color="auto"/>
            </w:tcBorders>
            <w:shd w:val="clear" w:color="auto" w:fill="auto"/>
            <w:vAlign w:val="bottom"/>
          </w:tcPr>
          <w:p w:rsidR="005B6F13" w:rsidP="005B6F13" w14:paraId="2C4C4B9B" w14:textId="2AFC5FD9">
            <w:pPr>
              <w:spacing w:after="0"/>
            </w:pPr>
            <w:r>
              <w:rPr>
                <w:rFonts w:ascii="Arial Narrow" w:hAnsi="Arial Narrow" w:cs="Arial"/>
                <w:color w:val="000000"/>
                <w:sz w:val="20"/>
                <w:szCs w:val="20"/>
              </w:rPr>
              <w:t> </w:t>
            </w:r>
          </w:p>
        </w:tc>
      </w:tr>
      <w:tr w14:paraId="34A38C2F" w14:textId="77777777" w:rsidTr="00BA175E">
        <w:tblPrEx>
          <w:tblW w:w="10255" w:type="dxa"/>
          <w:tblLayout w:type="fixed"/>
          <w:tblLook w:val="06A0"/>
        </w:tblPrEx>
        <w:trPr>
          <w:trHeight w:val="270"/>
        </w:trPr>
        <w:tc>
          <w:tcPr>
            <w:tcW w:w="2186" w:type="dxa"/>
            <w:tcBorders>
              <w:top w:val="single" w:sz="4" w:space="0" w:color="auto"/>
              <w:left w:val="single" w:sz="4" w:space="0" w:color="auto"/>
              <w:bottom w:val="single" w:sz="4" w:space="0" w:color="auto"/>
              <w:right w:val="single" w:sz="4" w:space="0" w:color="auto"/>
            </w:tcBorders>
            <w:vAlign w:val="bottom"/>
          </w:tcPr>
          <w:p w:rsidR="005B6F13" w:rsidP="005B6F13" w14:paraId="44155291" w14:textId="5A9D8256">
            <w:pPr>
              <w:spacing w:after="0"/>
            </w:pPr>
            <w:r w:rsidRPr="6D5BA1AE">
              <w:rPr>
                <w:rFonts w:ascii="Arial Narrow" w:eastAsia="Arial Narrow" w:hAnsi="Arial Narrow" w:cs="Arial Narrow"/>
                <w:color w:val="000000" w:themeColor="text1"/>
                <w:sz w:val="20"/>
                <w:szCs w:val="20"/>
              </w:rPr>
              <w:t xml:space="preserve">   Manufacturers</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bottom"/>
          </w:tcPr>
          <w:p w:rsidR="005B6F13" w:rsidP="005B6F13" w14:paraId="7F96C62E" w14:textId="2EF5D8E8">
            <w:pPr>
              <w:spacing w:after="0"/>
            </w:pPr>
            <w:r>
              <w:rPr>
                <w:rFonts w:ascii="Arial Narrow" w:hAnsi="Arial Narrow" w:cs="Arial"/>
                <w:color w:val="000000"/>
                <w:sz w:val="20"/>
                <w:szCs w:val="20"/>
              </w:rPr>
              <w:t>0.00</w:t>
            </w:r>
          </w:p>
        </w:tc>
        <w:tc>
          <w:tcPr>
            <w:tcW w:w="1220" w:type="dxa"/>
            <w:tcBorders>
              <w:top w:val="single" w:sz="4" w:space="0" w:color="auto"/>
              <w:left w:val="nil"/>
              <w:bottom w:val="single" w:sz="4" w:space="0" w:color="auto"/>
              <w:right w:val="single" w:sz="4" w:space="0" w:color="auto"/>
            </w:tcBorders>
            <w:shd w:val="clear" w:color="auto" w:fill="auto"/>
            <w:vAlign w:val="bottom"/>
          </w:tcPr>
          <w:p w:rsidR="005B6F13" w:rsidP="005B6F13" w14:paraId="5C13731D" w14:textId="288F044A">
            <w:pPr>
              <w:spacing w:after="0"/>
            </w:pPr>
            <w:r>
              <w:rPr>
                <w:rFonts w:ascii="Arial Narrow" w:hAnsi="Arial Narrow" w:cs="Arial"/>
                <w:color w:val="000000"/>
                <w:sz w:val="20"/>
                <w:szCs w:val="20"/>
              </w:rPr>
              <w:t>5.80</w:t>
            </w:r>
          </w:p>
        </w:tc>
        <w:tc>
          <w:tcPr>
            <w:tcW w:w="1356" w:type="dxa"/>
            <w:tcBorders>
              <w:top w:val="single" w:sz="4" w:space="0" w:color="auto"/>
              <w:left w:val="nil"/>
              <w:bottom w:val="single" w:sz="4" w:space="0" w:color="auto"/>
              <w:right w:val="single" w:sz="4" w:space="0" w:color="auto"/>
            </w:tcBorders>
            <w:shd w:val="clear" w:color="auto" w:fill="auto"/>
            <w:vAlign w:val="bottom"/>
          </w:tcPr>
          <w:p w:rsidR="005B6F13" w:rsidP="005B6F13" w14:paraId="6B416283" w14:textId="11A453B7">
            <w:pPr>
              <w:spacing w:after="0"/>
            </w:pPr>
            <w:r>
              <w:rPr>
                <w:rFonts w:ascii="Arial Narrow" w:hAnsi="Arial Narrow" w:cs="Arial"/>
                <w:color w:val="000000"/>
                <w:sz w:val="20"/>
                <w:szCs w:val="20"/>
              </w:rPr>
              <w:t>0.00</w:t>
            </w:r>
          </w:p>
        </w:tc>
        <w:tc>
          <w:tcPr>
            <w:tcW w:w="1142" w:type="dxa"/>
            <w:tcBorders>
              <w:top w:val="single" w:sz="4" w:space="0" w:color="auto"/>
              <w:left w:val="nil"/>
              <w:bottom w:val="single" w:sz="4" w:space="0" w:color="auto"/>
              <w:right w:val="single" w:sz="4" w:space="0" w:color="auto"/>
            </w:tcBorders>
            <w:shd w:val="clear" w:color="auto" w:fill="auto"/>
            <w:vAlign w:val="bottom"/>
          </w:tcPr>
          <w:p w:rsidR="005B6F13" w:rsidP="005B6F13" w14:paraId="66A137D5" w14:textId="682C5C3C">
            <w:pPr>
              <w:spacing w:after="0"/>
            </w:pPr>
            <w:r>
              <w:rPr>
                <w:rFonts w:ascii="Arial Narrow" w:hAnsi="Arial Narrow" w:cs="Arial"/>
                <w:color w:val="000000"/>
                <w:sz w:val="20"/>
                <w:szCs w:val="20"/>
              </w:rPr>
              <w:t>0.00</w:t>
            </w:r>
          </w:p>
        </w:tc>
        <w:tc>
          <w:tcPr>
            <w:tcW w:w="1044" w:type="dxa"/>
            <w:tcBorders>
              <w:top w:val="nil"/>
              <w:left w:val="single" w:sz="4" w:space="0" w:color="auto"/>
              <w:bottom w:val="single" w:sz="4" w:space="0" w:color="auto"/>
              <w:right w:val="single" w:sz="4" w:space="0" w:color="auto"/>
            </w:tcBorders>
            <w:shd w:val="clear" w:color="auto" w:fill="auto"/>
            <w:vAlign w:val="bottom"/>
          </w:tcPr>
          <w:p w:rsidR="005B6F13" w:rsidP="005B6F13" w14:paraId="4603669C" w14:textId="08DB51F3">
            <w:pPr>
              <w:spacing w:after="0"/>
            </w:pPr>
            <w:r>
              <w:rPr>
                <w:rFonts w:ascii="Arial Narrow" w:hAnsi="Arial Narrow" w:cs="Arial"/>
                <w:color w:val="000000"/>
                <w:sz w:val="20"/>
                <w:szCs w:val="20"/>
              </w:rPr>
              <w:t>5.80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bottom"/>
          </w:tcPr>
          <w:p w:rsidR="005B6F13" w:rsidP="005B6F13" w14:paraId="40BD4AFA" w14:textId="60E39D2F">
            <w:pPr>
              <w:spacing w:after="0"/>
            </w:pPr>
            <w:r>
              <w:rPr>
                <w:rFonts w:ascii="Arial Narrow" w:hAnsi="Arial Narrow" w:cs="Arial"/>
                <w:color w:val="000000"/>
                <w:sz w:val="20"/>
                <w:szCs w:val="20"/>
              </w:rPr>
              <w:t>0.002</w:t>
            </w:r>
          </w:p>
        </w:tc>
        <w:tc>
          <w:tcPr>
            <w:tcW w:w="926" w:type="dxa"/>
            <w:tcBorders>
              <w:top w:val="nil"/>
              <w:left w:val="single" w:sz="4" w:space="0" w:color="auto"/>
              <w:bottom w:val="single" w:sz="4" w:space="0" w:color="auto"/>
              <w:right w:val="single" w:sz="4" w:space="0" w:color="auto"/>
            </w:tcBorders>
            <w:shd w:val="clear" w:color="auto" w:fill="auto"/>
            <w:vAlign w:val="bottom"/>
          </w:tcPr>
          <w:p w:rsidR="005B6F13" w:rsidP="005B6F13" w14:paraId="7F888CC5" w14:textId="1711FFF9">
            <w:pPr>
              <w:spacing w:after="0"/>
            </w:pPr>
            <w:r>
              <w:rPr>
                <w:rFonts w:ascii="Arial Narrow" w:hAnsi="Arial Narrow" w:cs="Arial"/>
                <w:color w:val="000000"/>
                <w:sz w:val="20"/>
                <w:szCs w:val="20"/>
              </w:rPr>
              <w:t>0.01</w:t>
            </w:r>
          </w:p>
        </w:tc>
      </w:tr>
      <w:tr w14:paraId="4D2B02EB" w14:textId="77777777" w:rsidTr="00F72D91">
        <w:tblPrEx>
          <w:tblW w:w="10255" w:type="dxa"/>
          <w:tblLayout w:type="fixed"/>
          <w:tblLook w:val="06A0"/>
        </w:tblPrEx>
        <w:trPr>
          <w:trHeight w:val="270"/>
        </w:trPr>
        <w:tc>
          <w:tcPr>
            <w:tcW w:w="2186" w:type="dxa"/>
            <w:tcBorders>
              <w:top w:val="single" w:sz="4" w:space="0" w:color="auto"/>
              <w:left w:val="single" w:sz="4" w:space="0" w:color="auto"/>
              <w:bottom w:val="single" w:sz="4" w:space="0" w:color="auto"/>
              <w:right w:val="single" w:sz="4" w:space="0" w:color="auto"/>
            </w:tcBorders>
            <w:vAlign w:val="bottom"/>
          </w:tcPr>
          <w:p w:rsidR="005B6F13" w:rsidP="005B6F13" w14:paraId="5320F73D" w14:textId="6D1BB8F0">
            <w:pPr>
              <w:spacing w:after="0"/>
            </w:pPr>
            <w:r w:rsidRPr="6D5BA1AE">
              <w:rPr>
                <w:rFonts w:ascii="Arial Narrow" w:eastAsia="Arial Narrow" w:hAnsi="Arial Narrow" w:cs="Arial Narrow"/>
                <w:color w:val="000000" w:themeColor="text1"/>
                <w:sz w:val="20"/>
                <w:szCs w:val="20"/>
              </w:rPr>
              <w:t xml:space="preserve">   Article Importers</w:t>
            </w:r>
          </w:p>
        </w:tc>
        <w:tc>
          <w:tcPr>
            <w:tcW w:w="1298" w:type="dxa"/>
            <w:tcBorders>
              <w:top w:val="nil"/>
              <w:left w:val="single" w:sz="4" w:space="0" w:color="auto"/>
              <w:bottom w:val="single" w:sz="4" w:space="0" w:color="auto"/>
              <w:right w:val="single" w:sz="4" w:space="0" w:color="auto"/>
            </w:tcBorders>
            <w:shd w:val="clear" w:color="auto" w:fill="auto"/>
            <w:vAlign w:val="bottom"/>
          </w:tcPr>
          <w:p w:rsidR="005B6F13" w:rsidP="005B6F13" w14:paraId="6630D98F" w14:textId="2895BC84">
            <w:pPr>
              <w:spacing w:after="0"/>
            </w:pPr>
            <w:r>
              <w:rPr>
                <w:rFonts w:ascii="Arial Narrow" w:hAnsi="Arial Narrow" w:cs="Arial"/>
                <w:color w:val="000000"/>
                <w:sz w:val="20"/>
                <w:szCs w:val="20"/>
              </w:rPr>
              <w:t>17.00</w:t>
            </w:r>
          </w:p>
        </w:tc>
        <w:tc>
          <w:tcPr>
            <w:tcW w:w="1220" w:type="dxa"/>
            <w:tcBorders>
              <w:top w:val="nil"/>
              <w:left w:val="nil"/>
              <w:bottom w:val="single" w:sz="4" w:space="0" w:color="auto"/>
              <w:right w:val="single" w:sz="4" w:space="0" w:color="auto"/>
            </w:tcBorders>
            <w:shd w:val="clear" w:color="auto" w:fill="auto"/>
            <w:vAlign w:val="bottom"/>
          </w:tcPr>
          <w:p w:rsidR="005B6F13" w:rsidP="005B6F13" w14:paraId="4E5C225B" w14:textId="136DCB41">
            <w:pPr>
              <w:spacing w:after="0"/>
            </w:pPr>
            <w:r>
              <w:rPr>
                <w:rFonts w:ascii="Arial Narrow" w:hAnsi="Arial Narrow" w:cs="Arial"/>
                <w:color w:val="000000"/>
                <w:sz w:val="20"/>
                <w:szCs w:val="20"/>
              </w:rPr>
              <w:t>40.35</w:t>
            </w:r>
          </w:p>
        </w:tc>
        <w:tc>
          <w:tcPr>
            <w:tcW w:w="1356" w:type="dxa"/>
            <w:tcBorders>
              <w:top w:val="nil"/>
              <w:left w:val="nil"/>
              <w:bottom w:val="single" w:sz="4" w:space="0" w:color="auto"/>
              <w:right w:val="single" w:sz="4" w:space="0" w:color="auto"/>
            </w:tcBorders>
            <w:shd w:val="clear" w:color="auto" w:fill="auto"/>
            <w:vAlign w:val="bottom"/>
          </w:tcPr>
          <w:p w:rsidR="005B6F13" w:rsidP="005B6F13" w14:paraId="00932C8B" w14:textId="761B3209">
            <w:pPr>
              <w:spacing w:after="0"/>
            </w:pPr>
            <w:r>
              <w:rPr>
                <w:rFonts w:ascii="Arial Narrow" w:hAnsi="Arial Narrow" w:cs="Arial"/>
                <w:color w:val="000000"/>
                <w:sz w:val="20"/>
                <w:szCs w:val="20"/>
              </w:rPr>
              <w:t>0.00</w:t>
            </w:r>
          </w:p>
        </w:tc>
        <w:tc>
          <w:tcPr>
            <w:tcW w:w="1142" w:type="dxa"/>
            <w:tcBorders>
              <w:top w:val="nil"/>
              <w:left w:val="nil"/>
              <w:bottom w:val="single" w:sz="4" w:space="0" w:color="auto"/>
              <w:right w:val="single" w:sz="4" w:space="0" w:color="auto"/>
            </w:tcBorders>
            <w:shd w:val="clear" w:color="auto" w:fill="auto"/>
            <w:vAlign w:val="bottom"/>
          </w:tcPr>
          <w:p w:rsidR="005B6F13" w:rsidP="005B6F13" w14:paraId="0306AC5C" w14:textId="0C5B70AB">
            <w:pPr>
              <w:spacing w:after="0"/>
            </w:pPr>
            <w:r>
              <w:rPr>
                <w:rFonts w:ascii="Arial Narrow" w:hAnsi="Arial Narrow" w:cs="Arial"/>
                <w:color w:val="000000"/>
                <w:sz w:val="20"/>
                <w:szCs w:val="20"/>
              </w:rPr>
              <w:t>0.00</w:t>
            </w:r>
          </w:p>
        </w:tc>
        <w:tc>
          <w:tcPr>
            <w:tcW w:w="1044" w:type="dxa"/>
            <w:tcBorders>
              <w:top w:val="nil"/>
              <w:left w:val="single" w:sz="4" w:space="0" w:color="auto"/>
              <w:bottom w:val="single" w:sz="4" w:space="0" w:color="auto"/>
              <w:right w:val="single" w:sz="4" w:space="0" w:color="auto"/>
            </w:tcBorders>
            <w:shd w:val="clear" w:color="auto" w:fill="auto"/>
            <w:vAlign w:val="bottom"/>
          </w:tcPr>
          <w:p w:rsidR="005B6F13" w:rsidP="005B6F13" w14:paraId="3D782C79" w14:textId="2AFE0B17">
            <w:pPr>
              <w:spacing w:after="0"/>
            </w:pPr>
            <w:r>
              <w:rPr>
                <w:rFonts w:ascii="Arial Narrow" w:hAnsi="Arial Narrow" w:cs="Arial"/>
                <w:color w:val="000000"/>
                <w:sz w:val="20"/>
                <w:szCs w:val="20"/>
              </w:rPr>
              <w:t>57.35</w:t>
            </w:r>
          </w:p>
        </w:tc>
        <w:tc>
          <w:tcPr>
            <w:tcW w:w="1083" w:type="dxa"/>
            <w:tcBorders>
              <w:top w:val="nil"/>
              <w:left w:val="single" w:sz="4" w:space="0" w:color="auto"/>
              <w:bottom w:val="single" w:sz="4" w:space="0" w:color="auto"/>
              <w:right w:val="single" w:sz="4" w:space="0" w:color="auto"/>
            </w:tcBorders>
            <w:shd w:val="clear" w:color="auto" w:fill="auto"/>
            <w:vAlign w:val="bottom"/>
          </w:tcPr>
          <w:p w:rsidR="005B6F13" w:rsidP="005B6F13" w14:paraId="0951092F" w14:textId="6EFC4952">
            <w:pPr>
              <w:spacing w:after="0"/>
            </w:pPr>
            <w:r>
              <w:rPr>
                <w:rFonts w:ascii="Arial Narrow" w:hAnsi="Arial Narrow" w:cs="Arial"/>
                <w:color w:val="000000"/>
                <w:sz w:val="20"/>
                <w:szCs w:val="20"/>
              </w:rPr>
              <w:t>0.998</w:t>
            </w:r>
          </w:p>
        </w:tc>
        <w:tc>
          <w:tcPr>
            <w:tcW w:w="926" w:type="dxa"/>
            <w:tcBorders>
              <w:top w:val="nil"/>
              <w:left w:val="single" w:sz="4" w:space="0" w:color="auto"/>
              <w:bottom w:val="single" w:sz="4" w:space="0" w:color="auto"/>
              <w:right w:val="single" w:sz="4" w:space="0" w:color="auto"/>
            </w:tcBorders>
            <w:shd w:val="clear" w:color="auto" w:fill="auto"/>
            <w:vAlign w:val="bottom"/>
          </w:tcPr>
          <w:p w:rsidR="005B6F13" w:rsidP="005B6F13" w14:paraId="6FE8C4FB" w14:textId="5F95B211">
            <w:pPr>
              <w:spacing w:after="0"/>
            </w:pPr>
            <w:r>
              <w:rPr>
                <w:rFonts w:ascii="Arial Narrow" w:hAnsi="Arial Narrow" w:cs="Arial"/>
                <w:color w:val="000000"/>
                <w:sz w:val="20"/>
                <w:szCs w:val="20"/>
              </w:rPr>
              <w:t>57.24</w:t>
            </w:r>
          </w:p>
        </w:tc>
      </w:tr>
      <w:tr w14:paraId="6264E638" w14:textId="77777777" w:rsidTr="00F72D91">
        <w:tblPrEx>
          <w:tblW w:w="10255" w:type="dxa"/>
          <w:tblLayout w:type="fixed"/>
          <w:tblLook w:val="06A0"/>
        </w:tblPrEx>
        <w:trPr>
          <w:trHeight w:val="285"/>
        </w:trPr>
        <w:tc>
          <w:tcPr>
            <w:tcW w:w="2186" w:type="dxa"/>
            <w:tcBorders>
              <w:top w:val="single" w:sz="4" w:space="0" w:color="auto"/>
              <w:left w:val="single" w:sz="4" w:space="0" w:color="auto"/>
              <w:bottom w:val="single" w:sz="4" w:space="0" w:color="auto"/>
              <w:right w:val="single" w:sz="4" w:space="0" w:color="auto"/>
            </w:tcBorders>
            <w:vAlign w:val="bottom"/>
          </w:tcPr>
          <w:p w:rsidR="005B6F13" w:rsidP="005B6F13" w14:paraId="1666818C" w14:textId="5EEC0B40">
            <w:pPr>
              <w:spacing w:after="0"/>
            </w:pPr>
            <w:r w:rsidRPr="6D5BA1AE">
              <w:rPr>
                <w:rFonts w:ascii="Arial Narrow" w:eastAsia="Arial Narrow" w:hAnsi="Arial Narrow" w:cs="Arial Narrow"/>
                <w:color w:val="000000" w:themeColor="text1"/>
                <w:sz w:val="20"/>
                <w:szCs w:val="20"/>
              </w:rPr>
              <w:t>Form Completion</w:t>
            </w:r>
          </w:p>
        </w:tc>
        <w:tc>
          <w:tcPr>
            <w:tcW w:w="1298" w:type="dxa"/>
            <w:tcBorders>
              <w:top w:val="single" w:sz="4" w:space="0" w:color="auto"/>
              <w:left w:val="single" w:sz="4" w:space="0" w:color="auto"/>
              <w:bottom w:val="single" w:sz="4" w:space="0" w:color="auto"/>
              <w:right w:val="single" w:sz="4" w:space="0" w:color="auto"/>
            </w:tcBorders>
            <w:shd w:val="clear" w:color="auto" w:fill="auto"/>
            <w:vAlign w:val="bottom"/>
          </w:tcPr>
          <w:p w:rsidR="005B6F13" w:rsidP="005B6F13" w14:paraId="71BB83A7" w14:textId="0CDD29F2">
            <w:pPr>
              <w:spacing w:after="0"/>
            </w:pPr>
            <w:r>
              <w:rPr>
                <w:rFonts w:ascii="Arial Narrow" w:hAnsi="Arial Narrow" w:cs="Arial"/>
                <w:color w:val="000000"/>
                <w:sz w:val="20"/>
                <w:szCs w:val="20"/>
              </w:rPr>
              <w:t> </w:t>
            </w:r>
          </w:p>
        </w:tc>
        <w:tc>
          <w:tcPr>
            <w:tcW w:w="1220" w:type="dxa"/>
            <w:tcBorders>
              <w:top w:val="single" w:sz="4" w:space="0" w:color="auto"/>
              <w:left w:val="nil"/>
              <w:bottom w:val="single" w:sz="4" w:space="0" w:color="auto"/>
              <w:right w:val="single" w:sz="4" w:space="0" w:color="auto"/>
            </w:tcBorders>
            <w:shd w:val="clear" w:color="auto" w:fill="auto"/>
            <w:vAlign w:val="bottom"/>
          </w:tcPr>
          <w:p w:rsidR="005B6F13" w:rsidP="005B6F13" w14:paraId="454B2461" w14:textId="1B9ECE61">
            <w:pPr>
              <w:spacing w:after="0"/>
            </w:pPr>
            <w:r>
              <w:rPr>
                <w:rFonts w:ascii="Arial Narrow" w:hAnsi="Arial Narrow" w:cs="Arial"/>
                <w:color w:val="000000"/>
                <w:sz w:val="20"/>
                <w:szCs w:val="20"/>
              </w:rPr>
              <w:t> </w:t>
            </w:r>
          </w:p>
        </w:tc>
        <w:tc>
          <w:tcPr>
            <w:tcW w:w="1356" w:type="dxa"/>
            <w:tcBorders>
              <w:top w:val="single" w:sz="4" w:space="0" w:color="auto"/>
              <w:left w:val="nil"/>
              <w:bottom w:val="single" w:sz="4" w:space="0" w:color="auto"/>
              <w:right w:val="single" w:sz="4" w:space="0" w:color="auto"/>
            </w:tcBorders>
            <w:shd w:val="clear" w:color="auto" w:fill="auto"/>
            <w:vAlign w:val="bottom"/>
          </w:tcPr>
          <w:p w:rsidR="005B6F13" w:rsidP="005B6F13" w14:paraId="6E05CF3B" w14:textId="3660322F">
            <w:pPr>
              <w:spacing w:after="0"/>
            </w:pPr>
            <w:r>
              <w:rPr>
                <w:rFonts w:ascii="Arial Narrow" w:hAnsi="Arial Narrow" w:cs="Arial"/>
                <w:color w:val="000000"/>
                <w:sz w:val="20"/>
                <w:szCs w:val="20"/>
              </w:rPr>
              <w:t> </w:t>
            </w:r>
          </w:p>
        </w:tc>
        <w:tc>
          <w:tcPr>
            <w:tcW w:w="1142" w:type="dxa"/>
            <w:tcBorders>
              <w:top w:val="single" w:sz="4" w:space="0" w:color="auto"/>
              <w:left w:val="nil"/>
              <w:bottom w:val="single" w:sz="4" w:space="0" w:color="auto"/>
              <w:right w:val="single" w:sz="4" w:space="0" w:color="auto"/>
            </w:tcBorders>
            <w:shd w:val="clear" w:color="auto" w:fill="auto"/>
            <w:vAlign w:val="bottom"/>
          </w:tcPr>
          <w:p w:rsidR="005B6F13" w:rsidP="005B6F13" w14:paraId="5408CC50" w14:textId="237211D6">
            <w:pPr>
              <w:spacing w:after="0"/>
            </w:pPr>
            <w:r>
              <w:rPr>
                <w:rFonts w:cs="Arial"/>
                <w:color w:val="000000"/>
                <w:sz w:val="22"/>
              </w:rPr>
              <w:t> </w:t>
            </w:r>
          </w:p>
        </w:tc>
        <w:tc>
          <w:tcPr>
            <w:tcW w:w="1044" w:type="dxa"/>
            <w:tcBorders>
              <w:top w:val="nil"/>
              <w:left w:val="nil"/>
              <w:bottom w:val="single" w:sz="4" w:space="0" w:color="auto"/>
              <w:right w:val="single" w:sz="4" w:space="0" w:color="auto"/>
            </w:tcBorders>
            <w:shd w:val="clear" w:color="auto" w:fill="auto"/>
            <w:vAlign w:val="bottom"/>
          </w:tcPr>
          <w:p w:rsidR="005B6F13" w:rsidP="005B6F13" w14:paraId="3C77944B" w14:textId="6A2313A2">
            <w:pPr>
              <w:spacing w:after="0"/>
            </w:pPr>
            <w:r>
              <w:rPr>
                <w:rFonts w:ascii="Arial Narrow" w:hAnsi="Arial Narrow" w:cs="Arial"/>
                <w:color w:val="000000"/>
                <w:sz w:val="20"/>
                <w:szCs w:val="20"/>
              </w:rPr>
              <w:t> </w:t>
            </w:r>
          </w:p>
        </w:tc>
        <w:tc>
          <w:tcPr>
            <w:tcW w:w="1083" w:type="dxa"/>
            <w:tcBorders>
              <w:top w:val="single" w:sz="4" w:space="0" w:color="auto"/>
              <w:left w:val="nil"/>
              <w:bottom w:val="single" w:sz="4" w:space="0" w:color="auto"/>
              <w:right w:val="single" w:sz="4" w:space="0" w:color="auto"/>
            </w:tcBorders>
            <w:shd w:val="clear" w:color="auto" w:fill="auto"/>
            <w:vAlign w:val="bottom"/>
          </w:tcPr>
          <w:p w:rsidR="005B6F13" w:rsidP="005B6F13" w14:paraId="131441F9" w14:textId="5EB52656">
            <w:pPr>
              <w:spacing w:after="0"/>
            </w:pPr>
            <w:r>
              <w:rPr>
                <w:rFonts w:ascii="Arial Narrow" w:hAnsi="Arial Narrow" w:cs="Arial"/>
                <w:color w:val="000000"/>
                <w:sz w:val="20"/>
                <w:szCs w:val="20"/>
              </w:rPr>
              <w:t> </w:t>
            </w:r>
          </w:p>
        </w:tc>
        <w:tc>
          <w:tcPr>
            <w:tcW w:w="926" w:type="dxa"/>
            <w:tcBorders>
              <w:top w:val="nil"/>
              <w:left w:val="nil"/>
              <w:bottom w:val="single" w:sz="4" w:space="0" w:color="auto"/>
              <w:right w:val="single" w:sz="4" w:space="0" w:color="auto"/>
            </w:tcBorders>
            <w:shd w:val="clear" w:color="auto" w:fill="auto"/>
            <w:vAlign w:val="bottom"/>
          </w:tcPr>
          <w:p w:rsidR="005B6F13" w:rsidP="005B6F13" w14:paraId="034ABB7D" w14:textId="668C8E14">
            <w:pPr>
              <w:spacing w:after="0"/>
            </w:pPr>
            <w:r>
              <w:rPr>
                <w:rFonts w:ascii="Arial Narrow" w:hAnsi="Arial Narrow" w:cs="Arial"/>
                <w:color w:val="000000"/>
                <w:sz w:val="20"/>
                <w:szCs w:val="20"/>
              </w:rPr>
              <w:t> </w:t>
            </w:r>
          </w:p>
        </w:tc>
      </w:tr>
      <w:tr w14:paraId="331F6B39" w14:textId="77777777" w:rsidTr="00BA175E">
        <w:tblPrEx>
          <w:tblW w:w="10255" w:type="dxa"/>
          <w:tblLayout w:type="fixed"/>
          <w:tblLook w:val="06A0"/>
        </w:tblPrEx>
        <w:trPr>
          <w:trHeight w:val="285"/>
        </w:trPr>
        <w:tc>
          <w:tcPr>
            <w:tcW w:w="2186" w:type="dxa"/>
            <w:tcBorders>
              <w:top w:val="single" w:sz="4" w:space="0" w:color="auto"/>
              <w:left w:val="single" w:sz="4" w:space="0" w:color="auto"/>
              <w:bottom w:val="single" w:sz="4" w:space="0" w:color="auto"/>
              <w:right w:val="single" w:sz="4" w:space="0" w:color="auto"/>
            </w:tcBorders>
            <w:vAlign w:val="bottom"/>
          </w:tcPr>
          <w:p w:rsidR="005B6F13" w:rsidP="005B6F13" w14:paraId="44AA327C" w14:textId="59DC33A7">
            <w:pPr>
              <w:spacing w:after="0"/>
            </w:pPr>
            <w:r w:rsidRPr="6D5BA1AE">
              <w:rPr>
                <w:rFonts w:ascii="Arial Narrow" w:eastAsia="Arial Narrow" w:hAnsi="Arial Narrow" w:cs="Arial Narrow"/>
                <w:color w:val="000000" w:themeColor="text1"/>
                <w:sz w:val="20"/>
                <w:szCs w:val="20"/>
              </w:rPr>
              <w:t xml:space="preserve">   Manufacturers</w:t>
            </w:r>
          </w:p>
        </w:tc>
        <w:tc>
          <w:tcPr>
            <w:tcW w:w="1298" w:type="dxa"/>
            <w:tcBorders>
              <w:top w:val="nil"/>
              <w:left w:val="single" w:sz="4" w:space="0" w:color="auto"/>
              <w:bottom w:val="single" w:sz="4" w:space="0" w:color="auto"/>
              <w:right w:val="single" w:sz="4" w:space="0" w:color="auto"/>
            </w:tcBorders>
            <w:shd w:val="clear" w:color="auto" w:fill="auto"/>
            <w:vAlign w:val="bottom"/>
          </w:tcPr>
          <w:p w:rsidR="005B6F13" w:rsidP="005B6F13" w14:paraId="5BC8C620" w14:textId="39337121">
            <w:pPr>
              <w:spacing w:after="0"/>
            </w:pPr>
            <w:r>
              <w:rPr>
                <w:rFonts w:ascii="Arial Narrow" w:hAnsi="Arial Narrow" w:cs="Arial"/>
                <w:color w:val="000000"/>
                <w:sz w:val="20"/>
                <w:szCs w:val="20"/>
              </w:rPr>
              <w:t>13.55</w:t>
            </w:r>
          </w:p>
        </w:tc>
        <w:tc>
          <w:tcPr>
            <w:tcW w:w="1220" w:type="dxa"/>
            <w:tcBorders>
              <w:top w:val="nil"/>
              <w:left w:val="nil"/>
              <w:bottom w:val="single" w:sz="4" w:space="0" w:color="auto"/>
              <w:right w:val="single" w:sz="4" w:space="0" w:color="auto"/>
            </w:tcBorders>
            <w:shd w:val="clear" w:color="auto" w:fill="auto"/>
            <w:vAlign w:val="bottom"/>
          </w:tcPr>
          <w:p w:rsidR="005B6F13" w:rsidP="005B6F13" w14:paraId="4E4D49E3" w14:textId="0587CCFE">
            <w:pPr>
              <w:spacing w:after="0"/>
            </w:pPr>
            <w:r>
              <w:rPr>
                <w:rFonts w:ascii="Arial Narrow" w:hAnsi="Arial Narrow" w:cs="Arial"/>
                <w:color w:val="000000"/>
                <w:sz w:val="20"/>
                <w:szCs w:val="20"/>
              </w:rPr>
              <w:t>483.64</w:t>
            </w:r>
          </w:p>
        </w:tc>
        <w:tc>
          <w:tcPr>
            <w:tcW w:w="1356" w:type="dxa"/>
            <w:tcBorders>
              <w:top w:val="nil"/>
              <w:left w:val="nil"/>
              <w:bottom w:val="single" w:sz="4" w:space="0" w:color="auto"/>
              <w:right w:val="single" w:sz="4" w:space="0" w:color="auto"/>
            </w:tcBorders>
            <w:shd w:val="clear" w:color="auto" w:fill="auto"/>
            <w:vAlign w:val="bottom"/>
          </w:tcPr>
          <w:p w:rsidR="005B6F13" w:rsidP="005B6F13" w14:paraId="67DCE84D" w14:textId="45CFE31F">
            <w:pPr>
              <w:spacing w:after="0"/>
            </w:pPr>
            <w:r>
              <w:rPr>
                <w:rFonts w:ascii="Arial Narrow" w:hAnsi="Arial Narrow" w:cs="Arial"/>
                <w:color w:val="000000"/>
                <w:sz w:val="20"/>
                <w:szCs w:val="20"/>
              </w:rPr>
              <w:t>35.23</w:t>
            </w:r>
          </w:p>
        </w:tc>
        <w:tc>
          <w:tcPr>
            <w:tcW w:w="1142" w:type="dxa"/>
            <w:tcBorders>
              <w:top w:val="nil"/>
              <w:left w:val="nil"/>
              <w:bottom w:val="single" w:sz="4" w:space="0" w:color="auto"/>
              <w:right w:val="single" w:sz="4" w:space="0" w:color="auto"/>
            </w:tcBorders>
            <w:shd w:val="clear" w:color="auto" w:fill="auto"/>
            <w:vAlign w:val="bottom"/>
          </w:tcPr>
          <w:p w:rsidR="005B6F13" w:rsidP="005B6F13" w14:paraId="3EF80676" w14:textId="5348F49A">
            <w:pPr>
              <w:spacing w:after="0"/>
            </w:pPr>
            <w:r>
              <w:rPr>
                <w:rFonts w:ascii="Arial Narrow" w:hAnsi="Arial Narrow" w:cs="Arial"/>
                <w:color w:val="000000"/>
                <w:sz w:val="20"/>
                <w:szCs w:val="20"/>
              </w:rPr>
              <w:t>0.00</w:t>
            </w:r>
          </w:p>
        </w:tc>
        <w:tc>
          <w:tcPr>
            <w:tcW w:w="1044" w:type="dxa"/>
            <w:tcBorders>
              <w:top w:val="nil"/>
              <w:left w:val="nil"/>
              <w:bottom w:val="single" w:sz="4" w:space="0" w:color="auto"/>
              <w:right w:val="single" w:sz="4" w:space="0" w:color="auto"/>
            </w:tcBorders>
            <w:shd w:val="clear" w:color="auto" w:fill="auto"/>
            <w:vAlign w:val="bottom"/>
          </w:tcPr>
          <w:p w:rsidR="005B6F13" w:rsidP="005B6F13" w14:paraId="281CCC60" w14:textId="30DC97B4">
            <w:pPr>
              <w:spacing w:after="0"/>
            </w:pPr>
            <w:r>
              <w:rPr>
                <w:rFonts w:ascii="Arial Narrow" w:hAnsi="Arial Narrow" w:cs="Arial"/>
                <w:color w:val="000000"/>
                <w:sz w:val="20"/>
                <w:szCs w:val="20"/>
              </w:rPr>
              <w:t>532.42</w:t>
            </w:r>
          </w:p>
        </w:tc>
        <w:tc>
          <w:tcPr>
            <w:tcW w:w="1083" w:type="dxa"/>
            <w:tcBorders>
              <w:top w:val="nil"/>
              <w:left w:val="nil"/>
              <w:bottom w:val="single" w:sz="4" w:space="0" w:color="auto"/>
              <w:right w:val="single" w:sz="4" w:space="0" w:color="auto"/>
            </w:tcBorders>
            <w:shd w:val="clear" w:color="auto" w:fill="auto"/>
            <w:vAlign w:val="bottom"/>
          </w:tcPr>
          <w:p w:rsidR="005B6F13" w:rsidP="005B6F13" w14:paraId="2976B949" w14:textId="19B4B37A">
            <w:pPr>
              <w:spacing w:after="0"/>
            </w:pPr>
            <w:r>
              <w:rPr>
                <w:rFonts w:ascii="Arial Narrow" w:hAnsi="Arial Narrow" w:cs="Arial"/>
                <w:color w:val="000000"/>
                <w:sz w:val="20"/>
                <w:szCs w:val="20"/>
              </w:rPr>
              <w:t>0.002</w:t>
            </w:r>
          </w:p>
        </w:tc>
        <w:tc>
          <w:tcPr>
            <w:tcW w:w="926" w:type="dxa"/>
            <w:tcBorders>
              <w:top w:val="nil"/>
              <w:left w:val="nil"/>
              <w:bottom w:val="single" w:sz="4" w:space="0" w:color="auto"/>
              <w:right w:val="single" w:sz="4" w:space="0" w:color="auto"/>
            </w:tcBorders>
            <w:shd w:val="clear" w:color="auto" w:fill="auto"/>
            <w:vAlign w:val="bottom"/>
          </w:tcPr>
          <w:p w:rsidR="005B6F13" w:rsidP="005B6F13" w14:paraId="1917BE95" w14:textId="4456160D">
            <w:pPr>
              <w:spacing w:after="0"/>
            </w:pPr>
            <w:r>
              <w:rPr>
                <w:rFonts w:ascii="Arial Narrow" w:hAnsi="Arial Narrow" w:cs="Arial"/>
                <w:color w:val="000000"/>
                <w:sz w:val="20"/>
                <w:szCs w:val="20"/>
              </w:rPr>
              <w:t>1.03</w:t>
            </w:r>
          </w:p>
        </w:tc>
      </w:tr>
      <w:tr w14:paraId="4FAA6B3E" w14:textId="77777777" w:rsidTr="00F72D91">
        <w:tblPrEx>
          <w:tblW w:w="10255" w:type="dxa"/>
          <w:tblLayout w:type="fixed"/>
          <w:tblLook w:val="06A0"/>
        </w:tblPrEx>
        <w:trPr>
          <w:trHeight w:val="285"/>
        </w:trPr>
        <w:tc>
          <w:tcPr>
            <w:tcW w:w="2186" w:type="dxa"/>
            <w:tcBorders>
              <w:top w:val="single" w:sz="4" w:space="0" w:color="auto"/>
              <w:left w:val="single" w:sz="4" w:space="0" w:color="auto"/>
              <w:bottom w:val="single" w:sz="4" w:space="0" w:color="auto"/>
              <w:right w:val="single" w:sz="4" w:space="0" w:color="auto"/>
            </w:tcBorders>
            <w:vAlign w:val="bottom"/>
          </w:tcPr>
          <w:p w:rsidR="005B6F13" w:rsidP="005B6F13" w14:paraId="7094C3E7" w14:textId="3C41F6CF">
            <w:pPr>
              <w:spacing w:after="0"/>
            </w:pPr>
            <w:r w:rsidRPr="6D5BA1AE">
              <w:rPr>
                <w:rFonts w:ascii="Arial Narrow" w:eastAsia="Arial Narrow" w:hAnsi="Arial Narrow" w:cs="Arial Narrow"/>
                <w:color w:val="000000" w:themeColor="text1"/>
                <w:sz w:val="20"/>
                <w:szCs w:val="20"/>
              </w:rPr>
              <w:t xml:space="preserve">   Article Importers</w:t>
            </w:r>
          </w:p>
        </w:tc>
        <w:tc>
          <w:tcPr>
            <w:tcW w:w="1298" w:type="dxa"/>
            <w:tcBorders>
              <w:top w:val="nil"/>
              <w:left w:val="single" w:sz="4" w:space="0" w:color="auto"/>
              <w:bottom w:val="single" w:sz="4" w:space="0" w:color="auto"/>
              <w:right w:val="single" w:sz="4" w:space="0" w:color="auto"/>
            </w:tcBorders>
            <w:shd w:val="clear" w:color="auto" w:fill="auto"/>
            <w:vAlign w:val="bottom"/>
          </w:tcPr>
          <w:p w:rsidR="005B6F13" w:rsidP="005B6F13" w14:paraId="059A29D7" w14:textId="3598DC8C">
            <w:pPr>
              <w:spacing w:after="0"/>
            </w:pPr>
            <w:r>
              <w:rPr>
                <w:rFonts w:ascii="Arial Narrow" w:hAnsi="Arial Narrow" w:cs="Arial"/>
                <w:color w:val="000000"/>
                <w:sz w:val="20"/>
                <w:szCs w:val="20"/>
              </w:rPr>
              <w:t>7.50</w:t>
            </w:r>
          </w:p>
        </w:tc>
        <w:tc>
          <w:tcPr>
            <w:tcW w:w="1220" w:type="dxa"/>
            <w:tcBorders>
              <w:top w:val="nil"/>
              <w:left w:val="nil"/>
              <w:bottom w:val="single" w:sz="4" w:space="0" w:color="auto"/>
              <w:right w:val="single" w:sz="4" w:space="0" w:color="auto"/>
            </w:tcBorders>
            <w:shd w:val="clear" w:color="auto" w:fill="auto"/>
            <w:vAlign w:val="bottom"/>
          </w:tcPr>
          <w:p w:rsidR="005B6F13" w:rsidP="005B6F13" w14:paraId="034B936B" w14:textId="4451A8F2">
            <w:pPr>
              <w:spacing w:after="0"/>
            </w:pPr>
            <w:r>
              <w:rPr>
                <w:rFonts w:ascii="Arial Narrow" w:hAnsi="Arial Narrow" w:cs="Arial"/>
                <w:color w:val="000000"/>
                <w:sz w:val="20"/>
                <w:szCs w:val="20"/>
              </w:rPr>
              <w:t>64.47</w:t>
            </w:r>
          </w:p>
        </w:tc>
        <w:tc>
          <w:tcPr>
            <w:tcW w:w="1356" w:type="dxa"/>
            <w:tcBorders>
              <w:top w:val="nil"/>
              <w:left w:val="nil"/>
              <w:bottom w:val="single" w:sz="4" w:space="0" w:color="auto"/>
              <w:right w:val="single" w:sz="4" w:space="0" w:color="auto"/>
            </w:tcBorders>
            <w:shd w:val="clear" w:color="auto" w:fill="auto"/>
            <w:vAlign w:val="bottom"/>
          </w:tcPr>
          <w:p w:rsidR="005B6F13" w:rsidP="005B6F13" w14:paraId="181E49EB" w14:textId="0BCB2DB3">
            <w:pPr>
              <w:spacing w:after="0"/>
            </w:pPr>
            <w:r>
              <w:rPr>
                <w:rFonts w:ascii="Arial Narrow" w:hAnsi="Arial Narrow" w:cs="Arial"/>
                <w:color w:val="000000"/>
                <w:sz w:val="20"/>
                <w:szCs w:val="20"/>
              </w:rPr>
              <w:t>19.74</w:t>
            </w:r>
          </w:p>
        </w:tc>
        <w:tc>
          <w:tcPr>
            <w:tcW w:w="1142" w:type="dxa"/>
            <w:tcBorders>
              <w:top w:val="nil"/>
              <w:left w:val="nil"/>
              <w:bottom w:val="single" w:sz="4" w:space="0" w:color="auto"/>
              <w:right w:val="single" w:sz="4" w:space="0" w:color="auto"/>
            </w:tcBorders>
            <w:shd w:val="clear" w:color="auto" w:fill="auto"/>
            <w:vAlign w:val="bottom"/>
          </w:tcPr>
          <w:p w:rsidR="005B6F13" w:rsidP="005B6F13" w14:paraId="6EA4BE0E" w14:textId="0CA4E114">
            <w:pPr>
              <w:spacing w:after="0"/>
            </w:pPr>
            <w:r>
              <w:rPr>
                <w:rFonts w:ascii="Arial Narrow" w:hAnsi="Arial Narrow" w:cs="Arial"/>
                <w:color w:val="000000"/>
                <w:sz w:val="20"/>
                <w:szCs w:val="20"/>
              </w:rPr>
              <w:t>0.00</w:t>
            </w:r>
          </w:p>
        </w:tc>
        <w:tc>
          <w:tcPr>
            <w:tcW w:w="1044" w:type="dxa"/>
            <w:tcBorders>
              <w:top w:val="nil"/>
              <w:left w:val="nil"/>
              <w:bottom w:val="single" w:sz="4" w:space="0" w:color="auto"/>
              <w:right w:val="single" w:sz="4" w:space="0" w:color="auto"/>
            </w:tcBorders>
            <w:shd w:val="clear" w:color="auto" w:fill="auto"/>
            <w:vAlign w:val="bottom"/>
          </w:tcPr>
          <w:p w:rsidR="005B6F13" w:rsidP="005B6F13" w14:paraId="72E08765" w14:textId="2C5B86D2">
            <w:pPr>
              <w:spacing w:after="0"/>
            </w:pPr>
            <w:r>
              <w:rPr>
                <w:rFonts w:ascii="Arial Narrow" w:hAnsi="Arial Narrow" w:cs="Arial"/>
                <w:color w:val="000000"/>
                <w:sz w:val="20"/>
                <w:szCs w:val="20"/>
              </w:rPr>
              <w:t>91.71</w:t>
            </w:r>
          </w:p>
        </w:tc>
        <w:tc>
          <w:tcPr>
            <w:tcW w:w="1083" w:type="dxa"/>
            <w:tcBorders>
              <w:top w:val="nil"/>
              <w:left w:val="nil"/>
              <w:bottom w:val="single" w:sz="4" w:space="0" w:color="auto"/>
              <w:right w:val="single" w:sz="4" w:space="0" w:color="auto"/>
            </w:tcBorders>
            <w:shd w:val="clear" w:color="auto" w:fill="auto"/>
            <w:vAlign w:val="bottom"/>
          </w:tcPr>
          <w:p w:rsidR="005B6F13" w:rsidP="005B6F13" w14:paraId="1D67D028" w14:textId="4E4FF5DD">
            <w:pPr>
              <w:spacing w:after="0"/>
            </w:pPr>
            <w:r>
              <w:rPr>
                <w:rFonts w:ascii="Arial Narrow" w:hAnsi="Arial Narrow" w:cs="Arial"/>
                <w:color w:val="000000"/>
                <w:sz w:val="20"/>
                <w:szCs w:val="20"/>
              </w:rPr>
              <w:t>0.10</w:t>
            </w:r>
          </w:p>
        </w:tc>
        <w:tc>
          <w:tcPr>
            <w:tcW w:w="926" w:type="dxa"/>
            <w:tcBorders>
              <w:top w:val="nil"/>
              <w:left w:val="nil"/>
              <w:bottom w:val="single" w:sz="4" w:space="0" w:color="auto"/>
              <w:right w:val="single" w:sz="4" w:space="0" w:color="auto"/>
            </w:tcBorders>
            <w:shd w:val="clear" w:color="auto" w:fill="auto"/>
            <w:vAlign w:val="bottom"/>
          </w:tcPr>
          <w:p w:rsidR="005B6F13" w:rsidP="005B6F13" w14:paraId="301752FA" w14:textId="6C97F560">
            <w:pPr>
              <w:spacing w:after="0"/>
            </w:pPr>
            <w:r>
              <w:rPr>
                <w:rFonts w:ascii="Arial Narrow" w:hAnsi="Arial Narrow" w:cs="Arial"/>
                <w:color w:val="000000"/>
                <w:sz w:val="20"/>
                <w:szCs w:val="20"/>
              </w:rPr>
              <w:t>9.15</w:t>
            </w:r>
          </w:p>
        </w:tc>
      </w:tr>
      <w:tr w14:paraId="0B9976EF" w14:textId="77777777" w:rsidTr="00F72D91">
        <w:tblPrEx>
          <w:tblW w:w="10255" w:type="dxa"/>
          <w:tblLayout w:type="fixed"/>
          <w:tblLook w:val="06A0"/>
        </w:tblPrEx>
        <w:trPr>
          <w:trHeight w:val="285"/>
        </w:trPr>
        <w:tc>
          <w:tcPr>
            <w:tcW w:w="2186" w:type="dxa"/>
            <w:tcBorders>
              <w:top w:val="single" w:sz="4" w:space="0" w:color="auto"/>
              <w:left w:val="single" w:sz="4" w:space="0" w:color="auto"/>
              <w:bottom w:val="single" w:sz="4" w:space="0" w:color="auto"/>
              <w:right w:val="single" w:sz="4" w:space="0" w:color="auto"/>
            </w:tcBorders>
            <w:vAlign w:val="bottom"/>
          </w:tcPr>
          <w:p w:rsidR="005B6F13" w:rsidP="005B6F13" w14:paraId="4C3433C3" w14:textId="06EEF892">
            <w:pPr>
              <w:spacing w:after="0"/>
            </w:pPr>
            <w:r w:rsidRPr="6D5BA1AE">
              <w:rPr>
                <w:rFonts w:ascii="Arial Narrow" w:eastAsia="Arial Narrow" w:hAnsi="Arial Narrow" w:cs="Arial Narrow"/>
                <w:color w:val="000000" w:themeColor="text1"/>
                <w:sz w:val="20"/>
                <w:szCs w:val="20"/>
              </w:rPr>
              <w:t>CBI Substantiation</w:t>
            </w:r>
          </w:p>
        </w:tc>
        <w:tc>
          <w:tcPr>
            <w:tcW w:w="1298" w:type="dxa"/>
            <w:tcBorders>
              <w:top w:val="nil"/>
              <w:left w:val="single" w:sz="4" w:space="0" w:color="auto"/>
              <w:bottom w:val="single" w:sz="4" w:space="0" w:color="auto"/>
              <w:right w:val="single" w:sz="4" w:space="0" w:color="auto"/>
            </w:tcBorders>
            <w:shd w:val="clear" w:color="auto" w:fill="auto"/>
            <w:vAlign w:val="bottom"/>
          </w:tcPr>
          <w:p w:rsidR="005B6F13" w:rsidP="005B6F13" w14:paraId="65CBA763" w14:textId="1CAD58C4">
            <w:pPr>
              <w:spacing w:after="0"/>
            </w:pPr>
            <w:r>
              <w:rPr>
                <w:rFonts w:ascii="Arial Narrow" w:hAnsi="Arial Narrow" w:cs="Arial"/>
                <w:color w:val="000000"/>
                <w:sz w:val="20"/>
                <w:szCs w:val="20"/>
              </w:rPr>
              <w:t> </w:t>
            </w:r>
          </w:p>
        </w:tc>
        <w:tc>
          <w:tcPr>
            <w:tcW w:w="1220" w:type="dxa"/>
            <w:tcBorders>
              <w:top w:val="nil"/>
              <w:left w:val="nil"/>
              <w:bottom w:val="single" w:sz="4" w:space="0" w:color="auto"/>
              <w:right w:val="single" w:sz="4" w:space="0" w:color="auto"/>
            </w:tcBorders>
            <w:shd w:val="clear" w:color="auto" w:fill="auto"/>
            <w:vAlign w:val="bottom"/>
          </w:tcPr>
          <w:p w:rsidR="005B6F13" w:rsidP="005B6F13" w14:paraId="3A20DD48" w14:textId="41331877">
            <w:pPr>
              <w:spacing w:after="0"/>
            </w:pPr>
            <w:r>
              <w:rPr>
                <w:rFonts w:ascii="Arial Narrow" w:hAnsi="Arial Narrow" w:cs="Arial"/>
                <w:color w:val="000000"/>
                <w:sz w:val="20"/>
                <w:szCs w:val="20"/>
              </w:rPr>
              <w:t> </w:t>
            </w:r>
          </w:p>
        </w:tc>
        <w:tc>
          <w:tcPr>
            <w:tcW w:w="1356" w:type="dxa"/>
            <w:tcBorders>
              <w:top w:val="nil"/>
              <w:left w:val="nil"/>
              <w:bottom w:val="single" w:sz="4" w:space="0" w:color="auto"/>
              <w:right w:val="single" w:sz="4" w:space="0" w:color="auto"/>
            </w:tcBorders>
            <w:shd w:val="clear" w:color="auto" w:fill="auto"/>
            <w:vAlign w:val="bottom"/>
          </w:tcPr>
          <w:p w:rsidR="005B6F13" w:rsidP="005B6F13" w14:paraId="5D3927C6" w14:textId="603E6F16">
            <w:pPr>
              <w:spacing w:after="0"/>
            </w:pPr>
            <w:r>
              <w:rPr>
                <w:rFonts w:ascii="Arial Narrow" w:hAnsi="Arial Narrow" w:cs="Arial"/>
                <w:color w:val="000000"/>
                <w:sz w:val="20"/>
                <w:szCs w:val="20"/>
              </w:rPr>
              <w:t> </w:t>
            </w:r>
          </w:p>
        </w:tc>
        <w:tc>
          <w:tcPr>
            <w:tcW w:w="1142" w:type="dxa"/>
            <w:tcBorders>
              <w:top w:val="nil"/>
              <w:left w:val="nil"/>
              <w:bottom w:val="single" w:sz="4" w:space="0" w:color="auto"/>
              <w:right w:val="single" w:sz="4" w:space="0" w:color="auto"/>
            </w:tcBorders>
            <w:shd w:val="clear" w:color="auto" w:fill="auto"/>
            <w:vAlign w:val="bottom"/>
          </w:tcPr>
          <w:p w:rsidR="005B6F13" w:rsidP="005B6F13" w14:paraId="3C7473E6" w14:textId="5638815F">
            <w:pPr>
              <w:spacing w:after="0"/>
            </w:pPr>
            <w:r>
              <w:rPr>
                <w:rFonts w:ascii="Arial Narrow" w:hAnsi="Arial Narrow" w:cs="Arial"/>
                <w:color w:val="000000"/>
                <w:sz w:val="20"/>
                <w:szCs w:val="20"/>
              </w:rPr>
              <w:t> </w:t>
            </w:r>
          </w:p>
        </w:tc>
        <w:tc>
          <w:tcPr>
            <w:tcW w:w="1044" w:type="dxa"/>
            <w:tcBorders>
              <w:top w:val="nil"/>
              <w:left w:val="nil"/>
              <w:bottom w:val="single" w:sz="4" w:space="0" w:color="auto"/>
              <w:right w:val="single" w:sz="4" w:space="0" w:color="auto"/>
            </w:tcBorders>
            <w:shd w:val="clear" w:color="auto" w:fill="auto"/>
            <w:vAlign w:val="bottom"/>
          </w:tcPr>
          <w:p w:rsidR="005B6F13" w:rsidP="005B6F13" w14:paraId="7BF778D3" w14:textId="50C8064F">
            <w:pPr>
              <w:spacing w:after="0"/>
            </w:pPr>
            <w:r>
              <w:rPr>
                <w:rFonts w:ascii="Arial Narrow" w:hAnsi="Arial Narrow" w:cs="Arial"/>
                <w:color w:val="000000"/>
                <w:sz w:val="20"/>
                <w:szCs w:val="20"/>
              </w:rPr>
              <w:t> </w:t>
            </w:r>
          </w:p>
        </w:tc>
        <w:tc>
          <w:tcPr>
            <w:tcW w:w="1083" w:type="dxa"/>
            <w:tcBorders>
              <w:top w:val="nil"/>
              <w:left w:val="nil"/>
              <w:bottom w:val="single" w:sz="4" w:space="0" w:color="auto"/>
              <w:right w:val="single" w:sz="4" w:space="0" w:color="auto"/>
            </w:tcBorders>
            <w:shd w:val="clear" w:color="auto" w:fill="auto"/>
            <w:vAlign w:val="bottom"/>
          </w:tcPr>
          <w:p w:rsidR="005B6F13" w:rsidP="005B6F13" w14:paraId="0B2B7CD9" w14:textId="24A6D4A6">
            <w:pPr>
              <w:spacing w:after="0"/>
            </w:pPr>
            <w:r>
              <w:rPr>
                <w:rFonts w:ascii="Arial Narrow" w:hAnsi="Arial Narrow" w:cs="Arial"/>
                <w:color w:val="000000"/>
                <w:sz w:val="20"/>
                <w:szCs w:val="20"/>
              </w:rPr>
              <w:t> </w:t>
            </w:r>
          </w:p>
        </w:tc>
        <w:tc>
          <w:tcPr>
            <w:tcW w:w="926" w:type="dxa"/>
            <w:tcBorders>
              <w:top w:val="nil"/>
              <w:left w:val="nil"/>
              <w:bottom w:val="single" w:sz="4" w:space="0" w:color="auto"/>
              <w:right w:val="single" w:sz="4" w:space="0" w:color="auto"/>
            </w:tcBorders>
            <w:shd w:val="clear" w:color="auto" w:fill="auto"/>
            <w:vAlign w:val="bottom"/>
          </w:tcPr>
          <w:p w:rsidR="005B6F13" w:rsidP="005B6F13" w14:paraId="02BD00A5" w14:textId="2F38B6E1">
            <w:pPr>
              <w:spacing w:after="0"/>
            </w:pPr>
            <w:r>
              <w:rPr>
                <w:rFonts w:ascii="Arial Narrow" w:hAnsi="Arial Narrow" w:cs="Arial"/>
                <w:color w:val="000000"/>
                <w:sz w:val="20"/>
                <w:szCs w:val="20"/>
              </w:rPr>
              <w:t> </w:t>
            </w:r>
          </w:p>
        </w:tc>
      </w:tr>
      <w:tr w14:paraId="4E310514" w14:textId="77777777" w:rsidTr="00BA175E">
        <w:tblPrEx>
          <w:tblW w:w="10255" w:type="dxa"/>
          <w:tblLayout w:type="fixed"/>
          <w:tblLook w:val="06A0"/>
        </w:tblPrEx>
        <w:trPr>
          <w:trHeight w:val="285"/>
        </w:trPr>
        <w:tc>
          <w:tcPr>
            <w:tcW w:w="2186" w:type="dxa"/>
            <w:tcBorders>
              <w:top w:val="single" w:sz="4" w:space="0" w:color="auto"/>
              <w:left w:val="single" w:sz="4" w:space="0" w:color="auto"/>
              <w:bottom w:val="single" w:sz="4" w:space="0" w:color="auto"/>
              <w:right w:val="single" w:sz="4" w:space="0" w:color="auto"/>
            </w:tcBorders>
            <w:vAlign w:val="bottom"/>
          </w:tcPr>
          <w:p w:rsidR="005B6F13" w:rsidP="005B6F13" w14:paraId="07B763D6" w14:textId="5B8F0E37">
            <w:pPr>
              <w:spacing w:after="0"/>
            </w:pPr>
            <w:r w:rsidRPr="6D5BA1AE">
              <w:rPr>
                <w:rFonts w:ascii="Arial Narrow" w:eastAsia="Arial Narrow" w:hAnsi="Arial Narrow" w:cs="Arial Narrow"/>
                <w:color w:val="000000" w:themeColor="text1"/>
                <w:sz w:val="20"/>
                <w:szCs w:val="20"/>
              </w:rPr>
              <w:t xml:space="preserve">   Manufacturers</w:t>
            </w:r>
          </w:p>
        </w:tc>
        <w:tc>
          <w:tcPr>
            <w:tcW w:w="1298" w:type="dxa"/>
            <w:tcBorders>
              <w:top w:val="nil"/>
              <w:left w:val="single" w:sz="4" w:space="0" w:color="auto"/>
              <w:bottom w:val="single" w:sz="4" w:space="0" w:color="auto"/>
              <w:right w:val="single" w:sz="4" w:space="0" w:color="auto"/>
            </w:tcBorders>
            <w:shd w:val="clear" w:color="auto" w:fill="auto"/>
            <w:vAlign w:val="bottom"/>
          </w:tcPr>
          <w:p w:rsidR="005B6F13" w:rsidP="005B6F13" w14:paraId="1AD6ECC7" w14:textId="2DCC8FA9">
            <w:pPr>
              <w:spacing w:after="0"/>
            </w:pPr>
            <w:r>
              <w:rPr>
                <w:rFonts w:ascii="Arial Narrow" w:hAnsi="Arial Narrow" w:cs="Arial"/>
                <w:color w:val="000000"/>
                <w:sz w:val="20"/>
                <w:szCs w:val="20"/>
              </w:rPr>
              <w:t>2.79</w:t>
            </w:r>
          </w:p>
        </w:tc>
        <w:tc>
          <w:tcPr>
            <w:tcW w:w="1220" w:type="dxa"/>
            <w:tcBorders>
              <w:top w:val="nil"/>
              <w:left w:val="nil"/>
              <w:bottom w:val="single" w:sz="4" w:space="0" w:color="auto"/>
              <w:right w:val="single" w:sz="4" w:space="0" w:color="auto"/>
            </w:tcBorders>
            <w:shd w:val="clear" w:color="auto" w:fill="auto"/>
            <w:vAlign w:val="bottom"/>
          </w:tcPr>
          <w:p w:rsidR="005B6F13" w:rsidP="005B6F13" w14:paraId="2F4CBFC2" w14:textId="1BB00988">
            <w:pPr>
              <w:spacing w:after="0"/>
            </w:pPr>
            <w:r>
              <w:rPr>
                <w:rFonts w:ascii="Arial Narrow" w:hAnsi="Arial Narrow" w:cs="Arial"/>
                <w:color w:val="000000"/>
                <w:sz w:val="20"/>
                <w:szCs w:val="20"/>
              </w:rPr>
              <w:t>19.27</w:t>
            </w:r>
          </w:p>
        </w:tc>
        <w:tc>
          <w:tcPr>
            <w:tcW w:w="1356" w:type="dxa"/>
            <w:tcBorders>
              <w:top w:val="nil"/>
              <w:left w:val="nil"/>
              <w:bottom w:val="single" w:sz="4" w:space="0" w:color="auto"/>
              <w:right w:val="single" w:sz="4" w:space="0" w:color="auto"/>
            </w:tcBorders>
            <w:shd w:val="clear" w:color="auto" w:fill="auto"/>
            <w:vAlign w:val="bottom"/>
          </w:tcPr>
          <w:p w:rsidR="005B6F13" w:rsidP="005B6F13" w14:paraId="5909393C" w14:textId="4B6A76A7">
            <w:pPr>
              <w:spacing w:after="0"/>
            </w:pPr>
            <w:r>
              <w:rPr>
                <w:rFonts w:ascii="Arial Narrow" w:hAnsi="Arial Narrow" w:cs="Arial"/>
                <w:color w:val="000000"/>
                <w:sz w:val="20"/>
                <w:szCs w:val="20"/>
              </w:rPr>
              <w:t>11.84</w:t>
            </w:r>
          </w:p>
        </w:tc>
        <w:tc>
          <w:tcPr>
            <w:tcW w:w="1142" w:type="dxa"/>
            <w:tcBorders>
              <w:top w:val="nil"/>
              <w:left w:val="nil"/>
              <w:bottom w:val="single" w:sz="4" w:space="0" w:color="auto"/>
              <w:right w:val="single" w:sz="4" w:space="0" w:color="auto"/>
            </w:tcBorders>
            <w:shd w:val="clear" w:color="auto" w:fill="auto"/>
            <w:vAlign w:val="bottom"/>
          </w:tcPr>
          <w:p w:rsidR="005B6F13" w:rsidP="005B6F13" w14:paraId="085C4E82" w14:textId="4E56D31D">
            <w:pPr>
              <w:spacing w:after="0"/>
            </w:pPr>
            <w:r>
              <w:rPr>
                <w:rFonts w:ascii="Arial Narrow" w:hAnsi="Arial Narrow" w:cs="Arial"/>
                <w:color w:val="000000"/>
                <w:sz w:val="20"/>
                <w:szCs w:val="20"/>
              </w:rPr>
              <w:t>0.00</w:t>
            </w:r>
          </w:p>
        </w:tc>
        <w:tc>
          <w:tcPr>
            <w:tcW w:w="1044" w:type="dxa"/>
            <w:tcBorders>
              <w:top w:val="nil"/>
              <w:left w:val="nil"/>
              <w:bottom w:val="single" w:sz="4" w:space="0" w:color="auto"/>
              <w:right w:val="single" w:sz="4" w:space="0" w:color="auto"/>
            </w:tcBorders>
            <w:shd w:val="clear" w:color="auto" w:fill="auto"/>
            <w:vAlign w:val="bottom"/>
          </w:tcPr>
          <w:p w:rsidR="005B6F13" w:rsidP="005B6F13" w14:paraId="63653AE4" w14:textId="73EDCF55">
            <w:pPr>
              <w:spacing w:after="0"/>
            </w:pPr>
            <w:r>
              <w:rPr>
                <w:rFonts w:ascii="Arial Narrow" w:hAnsi="Arial Narrow" w:cs="Arial"/>
                <w:color w:val="000000"/>
                <w:sz w:val="20"/>
                <w:szCs w:val="20"/>
              </w:rPr>
              <w:t>33.90</w:t>
            </w:r>
          </w:p>
        </w:tc>
        <w:tc>
          <w:tcPr>
            <w:tcW w:w="1083" w:type="dxa"/>
            <w:tcBorders>
              <w:top w:val="nil"/>
              <w:left w:val="nil"/>
              <w:bottom w:val="single" w:sz="4" w:space="0" w:color="auto"/>
              <w:right w:val="single" w:sz="4" w:space="0" w:color="auto"/>
            </w:tcBorders>
            <w:shd w:val="clear" w:color="auto" w:fill="auto"/>
            <w:vAlign w:val="bottom"/>
          </w:tcPr>
          <w:p w:rsidR="005B6F13" w:rsidP="005B6F13" w14:paraId="09645B5A" w14:textId="0537DAE1">
            <w:pPr>
              <w:spacing w:after="0"/>
            </w:pPr>
            <w:r>
              <w:rPr>
                <w:rFonts w:ascii="Arial Narrow" w:hAnsi="Arial Narrow" w:cs="Arial"/>
                <w:color w:val="000000"/>
                <w:sz w:val="20"/>
                <w:szCs w:val="20"/>
              </w:rPr>
              <w:t>0.0003</w:t>
            </w:r>
          </w:p>
        </w:tc>
        <w:tc>
          <w:tcPr>
            <w:tcW w:w="926" w:type="dxa"/>
            <w:tcBorders>
              <w:top w:val="nil"/>
              <w:left w:val="nil"/>
              <w:bottom w:val="single" w:sz="4" w:space="0" w:color="auto"/>
              <w:right w:val="single" w:sz="4" w:space="0" w:color="auto"/>
            </w:tcBorders>
            <w:shd w:val="clear" w:color="auto" w:fill="auto"/>
            <w:vAlign w:val="bottom"/>
          </w:tcPr>
          <w:p w:rsidR="005B6F13" w:rsidP="005B6F13" w14:paraId="2BFFED98" w14:textId="4AD4ABE6">
            <w:pPr>
              <w:spacing w:after="0"/>
            </w:pPr>
            <w:r>
              <w:rPr>
                <w:rFonts w:ascii="Arial Narrow" w:hAnsi="Arial Narrow" w:cs="Arial"/>
                <w:color w:val="000000"/>
                <w:sz w:val="20"/>
                <w:szCs w:val="20"/>
              </w:rPr>
              <w:t>0.01</w:t>
            </w:r>
          </w:p>
        </w:tc>
      </w:tr>
      <w:tr w14:paraId="0A47CCA0" w14:textId="77777777" w:rsidTr="00F72D91">
        <w:tblPrEx>
          <w:tblW w:w="10255" w:type="dxa"/>
          <w:tblLayout w:type="fixed"/>
          <w:tblLook w:val="06A0"/>
        </w:tblPrEx>
        <w:trPr>
          <w:trHeight w:val="285"/>
        </w:trPr>
        <w:tc>
          <w:tcPr>
            <w:tcW w:w="2186" w:type="dxa"/>
            <w:tcBorders>
              <w:top w:val="single" w:sz="4" w:space="0" w:color="auto"/>
              <w:left w:val="single" w:sz="4" w:space="0" w:color="auto"/>
              <w:bottom w:val="single" w:sz="4" w:space="0" w:color="auto"/>
              <w:right w:val="single" w:sz="4" w:space="0" w:color="auto"/>
            </w:tcBorders>
            <w:vAlign w:val="bottom"/>
          </w:tcPr>
          <w:p w:rsidR="005B6F13" w:rsidP="005B6F13" w14:paraId="32079C02" w14:textId="2E2769F8">
            <w:pPr>
              <w:spacing w:after="0"/>
            </w:pPr>
            <w:r w:rsidRPr="6D5BA1AE">
              <w:rPr>
                <w:rFonts w:ascii="Arial Narrow" w:eastAsia="Arial Narrow" w:hAnsi="Arial Narrow" w:cs="Arial Narrow"/>
                <w:color w:val="000000" w:themeColor="text1"/>
                <w:sz w:val="20"/>
                <w:szCs w:val="20"/>
              </w:rPr>
              <w:t xml:space="preserve">   Article Importers</w:t>
            </w:r>
          </w:p>
        </w:tc>
        <w:tc>
          <w:tcPr>
            <w:tcW w:w="1298" w:type="dxa"/>
            <w:tcBorders>
              <w:top w:val="nil"/>
              <w:left w:val="single" w:sz="4" w:space="0" w:color="auto"/>
              <w:bottom w:val="single" w:sz="4" w:space="0" w:color="auto"/>
              <w:right w:val="single" w:sz="4" w:space="0" w:color="auto"/>
            </w:tcBorders>
            <w:shd w:val="clear" w:color="auto" w:fill="auto"/>
            <w:vAlign w:val="bottom"/>
          </w:tcPr>
          <w:p w:rsidR="005B6F13" w:rsidP="005B6F13" w14:paraId="1602810C" w14:textId="5BD37F4E">
            <w:pPr>
              <w:spacing w:after="0"/>
            </w:pPr>
            <w:r>
              <w:rPr>
                <w:rFonts w:ascii="Arial Narrow" w:hAnsi="Arial Narrow" w:cs="Arial"/>
                <w:color w:val="000000"/>
                <w:sz w:val="20"/>
                <w:szCs w:val="20"/>
              </w:rPr>
              <w:t>1.80</w:t>
            </w:r>
          </w:p>
        </w:tc>
        <w:tc>
          <w:tcPr>
            <w:tcW w:w="1220" w:type="dxa"/>
            <w:tcBorders>
              <w:top w:val="nil"/>
              <w:left w:val="nil"/>
              <w:bottom w:val="single" w:sz="4" w:space="0" w:color="auto"/>
              <w:right w:val="single" w:sz="4" w:space="0" w:color="auto"/>
            </w:tcBorders>
            <w:shd w:val="clear" w:color="auto" w:fill="auto"/>
            <w:vAlign w:val="bottom"/>
          </w:tcPr>
          <w:p w:rsidR="005B6F13" w:rsidP="005B6F13" w14:paraId="63D23424" w14:textId="5BC7AAA0">
            <w:pPr>
              <w:spacing w:after="0"/>
            </w:pPr>
            <w:r>
              <w:rPr>
                <w:rFonts w:ascii="Arial Narrow" w:hAnsi="Arial Narrow" w:cs="Arial"/>
                <w:color w:val="000000"/>
                <w:sz w:val="20"/>
                <w:szCs w:val="20"/>
              </w:rPr>
              <w:t>12.45</w:t>
            </w:r>
          </w:p>
        </w:tc>
        <w:tc>
          <w:tcPr>
            <w:tcW w:w="1356" w:type="dxa"/>
            <w:tcBorders>
              <w:top w:val="nil"/>
              <w:left w:val="nil"/>
              <w:bottom w:val="single" w:sz="4" w:space="0" w:color="auto"/>
              <w:right w:val="single" w:sz="4" w:space="0" w:color="auto"/>
            </w:tcBorders>
            <w:shd w:val="clear" w:color="auto" w:fill="auto"/>
            <w:vAlign w:val="bottom"/>
          </w:tcPr>
          <w:p w:rsidR="005B6F13" w:rsidP="005B6F13" w14:paraId="7AF6542E" w14:textId="15E9AD6B">
            <w:pPr>
              <w:spacing w:after="0"/>
            </w:pPr>
            <w:r>
              <w:rPr>
                <w:rFonts w:ascii="Arial Narrow" w:hAnsi="Arial Narrow" w:cs="Arial"/>
                <w:color w:val="000000"/>
                <w:sz w:val="20"/>
                <w:szCs w:val="20"/>
              </w:rPr>
              <w:t>7.65</w:t>
            </w:r>
          </w:p>
        </w:tc>
        <w:tc>
          <w:tcPr>
            <w:tcW w:w="1142" w:type="dxa"/>
            <w:tcBorders>
              <w:top w:val="nil"/>
              <w:left w:val="nil"/>
              <w:bottom w:val="single" w:sz="4" w:space="0" w:color="auto"/>
              <w:right w:val="single" w:sz="4" w:space="0" w:color="auto"/>
            </w:tcBorders>
            <w:shd w:val="clear" w:color="auto" w:fill="auto"/>
            <w:vAlign w:val="bottom"/>
          </w:tcPr>
          <w:p w:rsidR="005B6F13" w:rsidP="005B6F13" w14:paraId="7BD6B809" w14:textId="40AEADEC">
            <w:pPr>
              <w:spacing w:after="0"/>
            </w:pPr>
            <w:r>
              <w:rPr>
                <w:rFonts w:ascii="Arial Narrow" w:hAnsi="Arial Narrow" w:cs="Arial"/>
                <w:color w:val="000000"/>
                <w:sz w:val="20"/>
                <w:szCs w:val="20"/>
              </w:rPr>
              <w:t>0.00</w:t>
            </w:r>
          </w:p>
        </w:tc>
        <w:tc>
          <w:tcPr>
            <w:tcW w:w="1044" w:type="dxa"/>
            <w:tcBorders>
              <w:top w:val="nil"/>
              <w:left w:val="nil"/>
              <w:bottom w:val="single" w:sz="4" w:space="0" w:color="auto"/>
              <w:right w:val="single" w:sz="4" w:space="0" w:color="auto"/>
            </w:tcBorders>
            <w:shd w:val="clear" w:color="auto" w:fill="auto"/>
            <w:vAlign w:val="bottom"/>
          </w:tcPr>
          <w:p w:rsidR="005B6F13" w:rsidP="005B6F13" w14:paraId="739C9B78" w14:textId="08531E97">
            <w:pPr>
              <w:spacing w:after="0"/>
            </w:pPr>
            <w:r>
              <w:rPr>
                <w:rFonts w:ascii="Arial Narrow" w:hAnsi="Arial Narrow" w:cs="Arial"/>
                <w:color w:val="000000"/>
                <w:sz w:val="20"/>
                <w:szCs w:val="20"/>
              </w:rPr>
              <w:t>21.90</w:t>
            </w:r>
          </w:p>
        </w:tc>
        <w:tc>
          <w:tcPr>
            <w:tcW w:w="1083" w:type="dxa"/>
            <w:tcBorders>
              <w:top w:val="nil"/>
              <w:left w:val="nil"/>
              <w:bottom w:val="single" w:sz="4" w:space="0" w:color="auto"/>
              <w:right w:val="single" w:sz="4" w:space="0" w:color="auto"/>
            </w:tcBorders>
            <w:shd w:val="clear" w:color="auto" w:fill="auto"/>
            <w:vAlign w:val="bottom"/>
          </w:tcPr>
          <w:p w:rsidR="005B6F13" w:rsidP="005B6F13" w14:paraId="07686FFB" w14:textId="77C930E3">
            <w:pPr>
              <w:spacing w:after="0"/>
            </w:pPr>
            <w:r>
              <w:rPr>
                <w:rFonts w:ascii="Arial Narrow" w:hAnsi="Arial Narrow" w:cs="Arial"/>
                <w:color w:val="000000"/>
                <w:sz w:val="20"/>
                <w:szCs w:val="20"/>
              </w:rPr>
              <w:t>0.010</w:t>
            </w:r>
          </w:p>
        </w:tc>
        <w:tc>
          <w:tcPr>
            <w:tcW w:w="926" w:type="dxa"/>
            <w:tcBorders>
              <w:top w:val="nil"/>
              <w:left w:val="nil"/>
              <w:bottom w:val="single" w:sz="4" w:space="0" w:color="auto"/>
              <w:right w:val="single" w:sz="4" w:space="0" w:color="auto"/>
            </w:tcBorders>
            <w:shd w:val="clear" w:color="auto" w:fill="auto"/>
            <w:vAlign w:val="bottom"/>
          </w:tcPr>
          <w:p w:rsidR="005B6F13" w:rsidP="005B6F13" w14:paraId="0FE4FB3D" w14:textId="7C6570D8">
            <w:pPr>
              <w:spacing w:after="0"/>
            </w:pPr>
            <w:r>
              <w:rPr>
                <w:rFonts w:ascii="Arial Narrow" w:hAnsi="Arial Narrow" w:cs="Arial"/>
                <w:color w:val="000000"/>
                <w:sz w:val="20"/>
                <w:szCs w:val="20"/>
              </w:rPr>
              <w:t>0.22</w:t>
            </w:r>
          </w:p>
        </w:tc>
      </w:tr>
      <w:tr w14:paraId="2C28D9D1" w14:textId="77777777" w:rsidTr="00F72D91">
        <w:tblPrEx>
          <w:tblW w:w="10255" w:type="dxa"/>
          <w:tblLayout w:type="fixed"/>
          <w:tblLook w:val="06A0"/>
        </w:tblPrEx>
        <w:trPr>
          <w:trHeight w:val="285"/>
        </w:trPr>
        <w:tc>
          <w:tcPr>
            <w:tcW w:w="2186" w:type="dxa"/>
            <w:tcBorders>
              <w:top w:val="single" w:sz="4" w:space="0" w:color="auto"/>
              <w:left w:val="single" w:sz="4" w:space="0" w:color="auto"/>
              <w:bottom w:val="single" w:sz="4" w:space="0" w:color="auto"/>
              <w:right w:val="single" w:sz="4" w:space="0" w:color="auto"/>
            </w:tcBorders>
            <w:vAlign w:val="bottom"/>
          </w:tcPr>
          <w:p w:rsidR="005B6F13" w:rsidP="005B6F13" w14:paraId="3D546153" w14:textId="41452A6D">
            <w:pPr>
              <w:spacing w:after="0"/>
            </w:pPr>
            <w:r w:rsidRPr="6D5BA1AE">
              <w:rPr>
                <w:rFonts w:ascii="Arial Narrow" w:eastAsia="Arial Narrow" w:hAnsi="Arial Narrow" w:cs="Arial Narrow"/>
                <w:color w:val="000000" w:themeColor="text1"/>
                <w:sz w:val="20"/>
                <w:szCs w:val="20"/>
              </w:rPr>
              <w:t>Recordkeeping</w:t>
            </w:r>
          </w:p>
        </w:tc>
        <w:tc>
          <w:tcPr>
            <w:tcW w:w="1298" w:type="dxa"/>
            <w:tcBorders>
              <w:top w:val="nil"/>
              <w:left w:val="single" w:sz="4" w:space="0" w:color="auto"/>
              <w:bottom w:val="single" w:sz="4" w:space="0" w:color="auto"/>
              <w:right w:val="single" w:sz="4" w:space="0" w:color="auto"/>
            </w:tcBorders>
            <w:shd w:val="clear" w:color="auto" w:fill="auto"/>
            <w:vAlign w:val="bottom"/>
          </w:tcPr>
          <w:p w:rsidR="005B6F13" w:rsidP="005B6F13" w14:paraId="11ED65DB" w14:textId="5AA6FC63">
            <w:pPr>
              <w:spacing w:after="0"/>
            </w:pPr>
            <w:r>
              <w:rPr>
                <w:rFonts w:ascii="Arial Narrow" w:hAnsi="Arial Narrow" w:cs="Arial"/>
                <w:color w:val="000000"/>
                <w:sz w:val="20"/>
                <w:szCs w:val="20"/>
              </w:rPr>
              <w:t> </w:t>
            </w:r>
          </w:p>
        </w:tc>
        <w:tc>
          <w:tcPr>
            <w:tcW w:w="1220" w:type="dxa"/>
            <w:tcBorders>
              <w:top w:val="nil"/>
              <w:left w:val="nil"/>
              <w:bottom w:val="single" w:sz="4" w:space="0" w:color="auto"/>
              <w:right w:val="single" w:sz="4" w:space="0" w:color="auto"/>
            </w:tcBorders>
            <w:shd w:val="clear" w:color="auto" w:fill="auto"/>
            <w:vAlign w:val="bottom"/>
          </w:tcPr>
          <w:p w:rsidR="005B6F13" w:rsidP="005B6F13" w14:paraId="71E6B501" w14:textId="532D4DC9">
            <w:pPr>
              <w:spacing w:after="0"/>
            </w:pPr>
            <w:r>
              <w:rPr>
                <w:rFonts w:ascii="Arial Narrow" w:hAnsi="Arial Narrow" w:cs="Arial"/>
                <w:color w:val="000000"/>
                <w:sz w:val="20"/>
                <w:szCs w:val="20"/>
              </w:rPr>
              <w:t> </w:t>
            </w:r>
          </w:p>
        </w:tc>
        <w:tc>
          <w:tcPr>
            <w:tcW w:w="1356" w:type="dxa"/>
            <w:tcBorders>
              <w:top w:val="nil"/>
              <w:left w:val="nil"/>
              <w:bottom w:val="single" w:sz="4" w:space="0" w:color="auto"/>
              <w:right w:val="single" w:sz="4" w:space="0" w:color="auto"/>
            </w:tcBorders>
            <w:shd w:val="clear" w:color="auto" w:fill="auto"/>
            <w:vAlign w:val="bottom"/>
          </w:tcPr>
          <w:p w:rsidR="005B6F13" w:rsidP="005B6F13" w14:paraId="4FBCF07D" w14:textId="0C0E0079">
            <w:pPr>
              <w:spacing w:after="0"/>
            </w:pPr>
            <w:r>
              <w:rPr>
                <w:rFonts w:ascii="Arial Narrow" w:hAnsi="Arial Narrow" w:cs="Arial"/>
                <w:color w:val="000000"/>
                <w:sz w:val="20"/>
                <w:szCs w:val="20"/>
              </w:rPr>
              <w:t> </w:t>
            </w:r>
          </w:p>
        </w:tc>
        <w:tc>
          <w:tcPr>
            <w:tcW w:w="1142" w:type="dxa"/>
            <w:tcBorders>
              <w:top w:val="nil"/>
              <w:left w:val="nil"/>
              <w:bottom w:val="single" w:sz="4" w:space="0" w:color="auto"/>
              <w:right w:val="single" w:sz="4" w:space="0" w:color="auto"/>
            </w:tcBorders>
            <w:shd w:val="clear" w:color="auto" w:fill="auto"/>
            <w:vAlign w:val="bottom"/>
          </w:tcPr>
          <w:p w:rsidR="005B6F13" w:rsidP="005B6F13" w14:paraId="1A774C3D" w14:textId="1034DD61">
            <w:pPr>
              <w:spacing w:after="0"/>
            </w:pPr>
            <w:r>
              <w:rPr>
                <w:rFonts w:ascii="Arial Narrow" w:hAnsi="Arial Narrow" w:cs="Arial"/>
                <w:color w:val="000000"/>
                <w:sz w:val="20"/>
                <w:szCs w:val="20"/>
              </w:rPr>
              <w:t> </w:t>
            </w:r>
          </w:p>
        </w:tc>
        <w:tc>
          <w:tcPr>
            <w:tcW w:w="1044" w:type="dxa"/>
            <w:tcBorders>
              <w:top w:val="nil"/>
              <w:left w:val="nil"/>
              <w:bottom w:val="single" w:sz="4" w:space="0" w:color="auto"/>
              <w:right w:val="single" w:sz="4" w:space="0" w:color="auto"/>
            </w:tcBorders>
            <w:shd w:val="clear" w:color="auto" w:fill="auto"/>
            <w:vAlign w:val="bottom"/>
          </w:tcPr>
          <w:p w:rsidR="005B6F13" w:rsidP="005B6F13" w14:paraId="36AEFA97" w14:textId="571D8749">
            <w:pPr>
              <w:spacing w:after="0"/>
            </w:pPr>
            <w:r>
              <w:rPr>
                <w:rFonts w:ascii="Arial Narrow" w:hAnsi="Arial Narrow" w:cs="Arial"/>
                <w:color w:val="000000"/>
                <w:sz w:val="20"/>
                <w:szCs w:val="20"/>
              </w:rPr>
              <w:t> </w:t>
            </w:r>
          </w:p>
        </w:tc>
        <w:tc>
          <w:tcPr>
            <w:tcW w:w="1083" w:type="dxa"/>
            <w:tcBorders>
              <w:top w:val="nil"/>
              <w:left w:val="nil"/>
              <w:bottom w:val="single" w:sz="4" w:space="0" w:color="auto"/>
              <w:right w:val="single" w:sz="4" w:space="0" w:color="auto"/>
            </w:tcBorders>
            <w:shd w:val="clear" w:color="auto" w:fill="auto"/>
            <w:vAlign w:val="bottom"/>
          </w:tcPr>
          <w:p w:rsidR="005B6F13" w:rsidP="005B6F13" w14:paraId="33387C1F" w14:textId="22DBEC70">
            <w:pPr>
              <w:spacing w:after="0"/>
            </w:pPr>
            <w:r>
              <w:rPr>
                <w:rFonts w:ascii="Arial Narrow" w:hAnsi="Arial Narrow" w:cs="Arial"/>
                <w:color w:val="000000"/>
                <w:sz w:val="20"/>
                <w:szCs w:val="20"/>
              </w:rPr>
              <w:t> </w:t>
            </w:r>
          </w:p>
        </w:tc>
        <w:tc>
          <w:tcPr>
            <w:tcW w:w="926" w:type="dxa"/>
            <w:tcBorders>
              <w:top w:val="nil"/>
              <w:left w:val="nil"/>
              <w:bottom w:val="single" w:sz="4" w:space="0" w:color="auto"/>
              <w:right w:val="single" w:sz="4" w:space="0" w:color="auto"/>
            </w:tcBorders>
            <w:shd w:val="clear" w:color="auto" w:fill="auto"/>
            <w:vAlign w:val="bottom"/>
          </w:tcPr>
          <w:p w:rsidR="005B6F13" w:rsidP="005B6F13" w14:paraId="3847C44A" w14:textId="6A0A5442">
            <w:pPr>
              <w:spacing w:after="0"/>
            </w:pPr>
            <w:r>
              <w:rPr>
                <w:rFonts w:ascii="Arial Narrow" w:hAnsi="Arial Narrow" w:cs="Arial"/>
                <w:color w:val="000000"/>
                <w:sz w:val="20"/>
                <w:szCs w:val="20"/>
              </w:rPr>
              <w:t> </w:t>
            </w:r>
          </w:p>
        </w:tc>
      </w:tr>
      <w:tr w14:paraId="1F89EE74" w14:textId="77777777" w:rsidTr="00BA175E">
        <w:tblPrEx>
          <w:tblW w:w="10255" w:type="dxa"/>
          <w:tblLayout w:type="fixed"/>
          <w:tblLook w:val="06A0"/>
        </w:tblPrEx>
        <w:trPr>
          <w:trHeight w:val="285"/>
        </w:trPr>
        <w:tc>
          <w:tcPr>
            <w:tcW w:w="2186" w:type="dxa"/>
            <w:tcBorders>
              <w:top w:val="single" w:sz="4" w:space="0" w:color="auto"/>
              <w:left w:val="single" w:sz="4" w:space="0" w:color="auto"/>
              <w:bottom w:val="single" w:sz="4" w:space="0" w:color="auto"/>
              <w:right w:val="single" w:sz="4" w:space="0" w:color="auto"/>
            </w:tcBorders>
            <w:vAlign w:val="bottom"/>
          </w:tcPr>
          <w:p w:rsidR="005B6F13" w:rsidP="005B6F13" w14:paraId="38466BC9" w14:textId="25BFE58A">
            <w:pPr>
              <w:spacing w:after="0"/>
            </w:pPr>
            <w:r w:rsidRPr="6D5BA1AE">
              <w:rPr>
                <w:rFonts w:ascii="Arial Narrow" w:eastAsia="Arial Narrow" w:hAnsi="Arial Narrow" w:cs="Arial Narrow"/>
                <w:color w:val="000000" w:themeColor="text1"/>
                <w:sz w:val="20"/>
                <w:szCs w:val="20"/>
              </w:rPr>
              <w:t xml:space="preserve">   Manufacturers</w:t>
            </w:r>
          </w:p>
        </w:tc>
        <w:tc>
          <w:tcPr>
            <w:tcW w:w="1298" w:type="dxa"/>
            <w:tcBorders>
              <w:top w:val="nil"/>
              <w:left w:val="single" w:sz="4" w:space="0" w:color="auto"/>
              <w:bottom w:val="single" w:sz="4" w:space="0" w:color="auto"/>
              <w:right w:val="single" w:sz="4" w:space="0" w:color="auto"/>
            </w:tcBorders>
            <w:shd w:val="clear" w:color="auto" w:fill="auto"/>
            <w:vAlign w:val="bottom"/>
          </w:tcPr>
          <w:p w:rsidR="005B6F13" w:rsidP="005B6F13" w14:paraId="1E901844" w14:textId="294F646F">
            <w:pPr>
              <w:spacing w:after="0"/>
            </w:pPr>
            <w:r>
              <w:rPr>
                <w:rFonts w:ascii="Arial Narrow" w:hAnsi="Arial Narrow" w:cs="Arial"/>
                <w:color w:val="000000"/>
                <w:sz w:val="20"/>
                <w:szCs w:val="20"/>
              </w:rPr>
              <w:t>3.87</w:t>
            </w:r>
          </w:p>
        </w:tc>
        <w:tc>
          <w:tcPr>
            <w:tcW w:w="1220" w:type="dxa"/>
            <w:tcBorders>
              <w:top w:val="nil"/>
              <w:left w:val="nil"/>
              <w:bottom w:val="single" w:sz="4" w:space="0" w:color="auto"/>
              <w:right w:val="single" w:sz="4" w:space="0" w:color="auto"/>
            </w:tcBorders>
            <w:shd w:val="clear" w:color="auto" w:fill="auto"/>
            <w:vAlign w:val="bottom"/>
          </w:tcPr>
          <w:p w:rsidR="005B6F13" w:rsidP="005B6F13" w14:paraId="260F3AB7" w14:textId="65CCC4D9">
            <w:pPr>
              <w:spacing w:after="0"/>
            </w:pPr>
            <w:r>
              <w:rPr>
                <w:rFonts w:ascii="Arial Narrow" w:hAnsi="Arial Narrow" w:cs="Arial"/>
                <w:color w:val="000000"/>
                <w:sz w:val="20"/>
                <w:szCs w:val="20"/>
              </w:rPr>
              <w:t>3.87</w:t>
            </w:r>
          </w:p>
        </w:tc>
        <w:tc>
          <w:tcPr>
            <w:tcW w:w="1356" w:type="dxa"/>
            <w:tcBorders>
              <w:top w:val="nil"/>
              <w:left w:val="nil"/>
              <w:bottom w:val="single" w:sz="4" w:space="0" w:color="auto"/>
              <w:right w:val="single" w:sz="4" w:space="0" w:color="auto"/>
            </w:tcBorders>
            <w:shd w:val="clear" w:color="auto" w:fill="auto"/>
            <w:vAlign w:val="bottom"/>
          </w:tcPr>
          <w:p w:rsidR="005B6F13" w:rsidP="005B6F13" w14:paraId="53756200" w14:textId="7BA8A074">
            <w:pPr>
              <w:spacing w:after="0"/>
            </w:pPr>
            <w:r>
              <w:rPr>
                <w:rFonts w:ascii="Arial Narrow" w:hAnsi="Arial Narrow" w:cs="Arial"/>
                <w:color w:val="000000"/>
                <w:sz w:val="20"/>
                <w:szCs w:val="20"/>
              </w:rPr>
              <w:t>0.00</w:t>
            </w:r>
          </w:p>
        </w:tc>
        <w:tc>
          <w:tcPr>
            <w:tcW w:w="1142" w:type="dxa"/>
            <w:tcBorders>
              <w:top w:val="nil"/>
              <w:left w:val="nil"/>
              <w:bottom w:val="single" w:sz="4" w:space="0" w:color="auto"/>
              <w:right w:val="single" w:sz="4" w:space="0" w:color="auto"/>
            </w:tcBorders>
            <w:shd w:val="clear" w:color="auto" w:fill="auto"/>
            <w:vAlign w:val="bottom"/>
          </w:tcPr>
          <w:p w:rsidR="005B6F13" w:rsidP="005B6F13" w14:paraId="33630F23" w14:textId="0F208A5D">
            <w:pPr>
              <w:spacing w:after="0"/>
            </w:pPr>
            <w:r>
              <w:rPr>
                <w:rFonts w:ascii="Arial Narrow" w:hAnsi="Arial Narrow" w:cs="Arial"/>
                <w:color w:val="000000"/>
                <w:sz w:val="20"/>
                <w:szCs w:val="20"/>
              </w:rPr>
              <w:t>0.00</w:t>
            </w:r>
          </w:p>
        </w:tc>
        <w:tc>
          <w:tcPr>
            <w:tcW w:w="1044" w:type="dxa"/>
            <w:tcBorders>
              <w:top w:val="nil"/>
              <w:left w:val="nil"/>
              <w:bottom w:val="single" w:sz="4" w:space="0" w:color="auto"/>
              <w:right w:val="single" w:sz="4" w:space="0" w:color="auto"/>
            </w:tcBorders>
            <w:shd w:val="clear" w:color="auto" w:fill="auto"/>
            <w:vAlign w:val="bottom"/>
          </w:tcPr>
          <w:p w:rsidR="005B6F13" w:rsidP="005B6F13" w14:paraId="1D16CC08" w14:textId="6E68CDF3">
            <w:pPr>
              <w:spacing w:after="0"/>
            </w:pPr>
            <w:r>
              <w:rPr>
                <w:rFonts w:ascii="Arial Narrow" w:hAnsi="Arial Narrow" w:cs="Arial"/>
                <w:color w:val="000000"/>
                <w:sz w:val="20"/>
                <w:szCs w:val="20"/>
              </w:rPr>
              <w:t>7.74</w:t>
            </w:r>
          </w:p>
        </w:tc>
        <w:tc>
          <w:tcPr>
            <w:tcW w:w="1083" w:type="dxa"/>
            <w:tcBorders>
              <w:top w:val="nil"/>
              <w:left w:val="nil"/>
              <w:bottom w:val="single" w:sz="4" w:space="0" w:color="auto"/>
              <w:right w:val="single" w:sz="4" w:space="0" w:color="auto"/>
            </w:tcBorders>
            <w:shd w:val="clear" w:color="auto" w:fill="auto"/>
            <w:vAlign w:val="bottom"/>
          </w:tcPr>
          <w:p w:rsidR="005B6F13" w:rsidP="005B6F13" w14:paraId="140323D6" w14:textId="45B1DE03">
            <w:pPr>
              <w:spacing w:after="0"/>
            </w:pPr>
            <w:r>
              <w:rPr>
                <w:rFonts w:ascii="Arial Narrow" w:hAnsi="Arial Narrow" w:cs="Arial"/>
                <w:color w:val="000000"/>
                <w:sz w:val="20"/>
                <w:szCs w:val="20"/>
              </w:rPr>
              <w:t>0.002</w:t>
            </w:r>
          </w:p>
        </w:tc>
        <w:tc>
          <w:tcPr>
            <w:tcW w:w="926" w:type="dxa"/>
            <w:tcBorders>
              <w:top w:val="nil"/>
              <w:left w:val="nil"/>
              <w:bottom w:val="single" w:sz="4" w:space="0" w:color="auto"/>
              <w:right w:val="single" w:sz="4" w:space="0" w:color="auto"/>
            </w:tcBorders>
            <w:shd w:val="clear" w:color="auto" w:fill="auto"/>
            <w:vAlign w:val="bottom"/>
          </w:tcPr>
          <w:p w:rsidR="005B6F13" w:rsidP="005B6F13" w14:paraId="1C4FB2A9" w14:textId="539EE0F2">
            <w:pPr>
              <w:spacing w:after="0"/>
            </w:pPr>
            <w:r>
              <w:rPr>
                <w:rFonts w:ascii="Arial Narrow" w:hAnsi="Arial Narrow" w:cs="Arial"/>
                <w:color w:val="000000"/>
                <w:sz w:val="20"/>
                <w:szCs w:val="20"/>
              </w:rPr>
              <w:t>0.01</w:t>
            </w:r>
          </w:p>
        </w:tc>
      </w:tr>
      <w:tr w14:paraId="5F5374DA" w14:textId="77777777" w:rsidTr="00F72D91">
        <w:tblPrEx>
          <w:tblW w:w="10255" w:type="dxa"/>
          <w:tblLayout w:type="fixed"/>
          <w:tblLook w:val="06A0"/>
        </w:tblPrEx>
        <w:trPr>
          <w:trHeight w:val="285"/>
        </w:trPr>
        <w:tc>
          <w:tcPr>
            <w:tcW w:w="2186" w:type="dxa"/>
            <w:tcBorders>
              <w:top w:val="single" w:sz="4" w:space="0" w:color="auto"/>
              <w:left w:val="single" w:sz="4" w:space="0" w:color="auto"/>
              <w:bottom w:val="single" w:sz="4" w:space="0" w:color="auto"/>
              <w:right w:val="single" w:sz="4" w:space="0" w:color="auto"/>
            </w:tcBorders>
            <w:vAlign w:val="bottom"/>
          </w:tcPr>
          <w:p w:rsidR="005B6F13" w:rsidP="005B6F13" w14:paraId="0EB519ED" w14:textId="19950ACE">
            <w:pPr>
              <w:spacing w:after="0"/>
            </w:pPr>
            <w:r w:rsidRPr="6D5BA1AE">
              <w:rPr>
                <w:rFonts w:ascii="Arial Narrow" w:eastAsia="Arial Narrow" w:hAnsi="Arial Narrow" w:cs="Arial Narrow"/>
                <w:color w:val="000000" w:themeColor="text1"/>
                <w:sz w:val="20"/>
                <w:szCs w:val="20"/>
              </w:rPr>
              <w:t xml:space="preserve">   Article Importers</w:t>
            </w:r>
          </w:p>
        </w:tc>
        <w:tc>
          <w:tcPr>
            <w:tcW w:w="1298" w:type="dxa"/>
            <w:tcBorders>
              <w:top w:val="nil"/>
              <w:left w:val="single" w:sz="4" w:space="0" w:color="auto"/>
              <w:bottom w:val="single" w:sz="4" w:space="0" w:color="auto"/>
              <w:right w:val="single" w:sz="4" w:space="0" w:color="auto"/>
            </w:tcBorders>
            <w:shd w:val="clear" w:color="auto" w:fill="auto"/>
            <w:vAlign w:val="bottom"/>
          </w:tcPr>
          <w:p w:rsidR="005B6F13" w:rsidP="005B6F13" w14:paraId="14E7B198" w14:textId="1128852D">
            <w:pPr>
              <w:spacing w:after="0"/>
            </w:pPr>
            <w:r>
              <w:rPr>
                <w:rFonts w:ascii="Arial Narrow" w:hAnsi="Arial Narrow" w:cs="Arial"/>
                <w:color w:val="000000"/>
                <w:sz w:val="20"/>
                <w:szCs w:val="20"/>
              </w:rPr>
              <w:t>2.50</w:t>
            </w:r>
          </w:p>
        </w:tc>
        <w:tc>
          <w:tcPr>
            <w:tcW w:w="1220" w:type="dxa"/>
            <w:tcBorders>
              <w:top w:val="nil"/>
              <w:left w:val="nil"/>
              <w:bottom w:val="single" w:sz="4" w:space="0" w:color="auto"/>
              <w:right w:val="single" w:sz="4" w:space="0" w:color="auto"/>
            </w:tcBorders>
            <w:shd w:val="clear" w:color="auto" w:fill="auto"/>
            <w:vAlign w:val="bottom"/>
          </w:tcPr>
          <w:p w:rsidR="005B6F13" w:rsidP="005B6F13" w14:paraId="526E2A61" w14:textId="5A89B9FB">
            <w:pPr>
              <w:spacing w:after="0"/>
            </w:pPr>
            <w:r>
              <w:rPr>
                <w:rFonts w:ascii="Arial Narrow" w:hAnsi="Arial Narrow" w:cs="Arial"/>
                <w:color w:val="000000"/>
                <w:sz w:val="20"/>
                <w:szCs w:val="20"/>
              </w:rPr>
              <w:t>2.50</w:t>
            </w:r>
          </w:p>
        </w:tc>
        <w:tc>
          <w:tcPr>
            <w:tcW w:w="1356" w:type="dxa"/>
            <w:tcBorders>
              <w:top w:val="nil"/>
              <w:left w:val="nil"/>
              <w:bottom w:val="single" w:sz="4" w:space="0" w:color="auto"/>
              <w:right w:val="single" w:sz="4" w:space="0" w:color="auto"/>
            </w:tcBorders>
            <w:shd w:val="clear" w:color="auto" w:fill="auto"/>
            <w:vAlign w:val="bottom"/>
          </w:tcPr>
          <w:p w:rsidR="005B6F13" w:rsidP="005B6F13" w14:paraId="0070B35D" w14:textId="70B0B995">
            <w:pPr>
              <w:spacing w:after="0"/>
            </w:pPr>
            <w:r>
              <w:rPr>
                <w:rFonts w:ascii="Arial Narrow" w:hAnsi="Arial Narrow" w:cs="Arial"/>
                <w:color w:val="000000"/>
                <w:sz w:val="20"/>
                <w:szCs w:val="20"/>
              </w:rPr>
              <w:t>0.00</w:t>
            </w:r>
          </w:p>
        </w:tc>
        <w:tc>
          <w:tcPr>
            <w:tcW w:w="1142" w:type="dxa"/>
            <w:tcBorders>
              <w:top w:val="nil"/>
              <w:left w:val="nil"/>
              <w:bottom w:val="single" w:sz="4" w:space="0" w:color="auto"/>
              <w:right w:val="single" w:sz="4" w:space="0" w:color="auto"/>
            </w:tcBorders>
            <w:shd w:val="clear" w:color="auto" w:fill="auto"/>
            <w:vAlign w:val="bottom"/>
          </w:tcPr>
          <w:p w:rsidR="005B6F13" w:rsidP="005B6F13" w14:paraId="5E5A2220" w14:textId="46CC7C72">
            <w:pPr>
              <w:spacing w:after="0"/>
            </w:pPr>
            <w:r>
              <w:rPr>
                <w:rFonts w:ascii="Arial Narrow" w:hAnsi="Arial Narrow" w:cs="Arial"/>
                <w:color w:val="000000"/>
                <w:sz w:val="20"/>
                <w:szCs w:val="20"/>
              </w:rPr>
              <w:t>0.00</w:t>
            </w:r>
          </w:p>
        </w:tc>
        <w:tc>
          <w:tcPr>
            <w:tcW w:w="1044" w:type="dxa"/>
            <w:tcBorders>
              <w:top w:val="nil"/>
              <w:left w:val="nil"/>
              <w:bottom w:val="single" w:sz="4" w:space="0" w:color="auto"/>
              <w:right w:val="single" w:sz="4" w:space="0" w:color="auto"/>
            </w:tcBorders>
            <w:shd w:val="clear" w:color="auto" w:fill="auto"/>
            <w:vAlign w:val="bottom"/>
          </w:tcPr>
          <w:p w:rsidR="005B6F13" w:rsidP="005B6F13" w14:paraId="4489D859" w14:textId="2DCEE9DF">
            <w:pPr>
              <w:spacing w:after="0"/>
            </w:pPr>
            <w:r>
              <w:rPr>
                <w:rFonts w:ascii="Arial Narrow" w:hAnsi="Arial Narrow" w:cs="Arial"/>
                <w:color w:val="000000"/>
                <w:sz w:val="20"/>
                <w:szCs w:val="20"/>
              </w:rPr>
              <w:t>5.00</w:t>
            </w:r>
          </w:p>
        </w:tc>
        <w:tc>
          <w:tcPr>
            <w:tcW w:w="1083" w:type="dxa"/>
            <w:tcBorders>
              <w:top w:val="nil"/>
              <w:left w:val="nil"/>
              <w:bottom w:val="single" w:sz="4" w:space="0" w:color="auto"/>
              <w:right w:val="single" w:sz="4" w:space="0" w:color="auto"/>
            </w:tcBorders>
            <w:shd w:val="clear" w:color="auto" w:fill="auto"/>
            <w:vAlign w:val="bottom"/>
          </w:tcPr>
          <w:p w:rsidR="005B6F13" w:rsidP="005B6F13" w14:paraId="7A9FB7DF" w14:textId="75EEDC49">
            <w:pPr>
              <w:spacing w:after="0"/>
            </w:pPr>
            <w:r>
              <w:rPr>
                <w:rFonts w:ascii="Arial Narrow" w:hAnsi="Arial Narrow" w:cs="Arial"/>
                <w:color w:val="000000"/>
                <w:sz w:val="20"/>
                <w:szCs w:val="20"/>
              </w:rPr>
              <w:t>0.10</w:t>
            </w:r>
          </w:p>
        </w:tc>
        <w:tc>
          <w:tcPr>
            <w:tcW w:w="926" w:type="dxa"/>
            <w:tcBorders>
              <w:top w:val="nil"/>
              <w:left w:val="nil"/>
              <w:bottom w:val="single" w:sz="4" w:space="0" w:color="auto"/>
              <w:right w:val="single" w:sz="4" w:space="0" w:color="auto"/>
            </w:tcBorders>
            <w:shd w:val="clear" w:color="auto" w:fill="auto"/>
            <w:vAlign w:val="bottom"/>
          </w:tcPr>
          <w:p w:rsidR="005B6F13" w:rsidP="005B6F13" w14:paraId="4A9DE58E" w14:textId="6785D946">
            <w:pPr>
              <w:spacing w:after="0"/>
            </w:pPr>
            <w:r>
              <w:rPr>
                <w:rFonts w:ascii="Arial Narrow" w:hAnsi="Arial Narrow" w:cs="Arial"/>
                <w:color w:val="000000"/>
                <w:sz w:val="20"/>
                <w:szCs w:val="20"/>
              </w:rPr>
              <w:t>0.50</w:t>
            </w:r>
          </w:p>
        </w:tc>
      </w:tr>
      <w:tr w14:paraId="27ED72CF" w14:textId="77777777" w:rsidTr="00F72D91">
        <w:tblPrEx>
          <w:tblW w:w="10255" w:type="dxa"/>
          <w:tblLayout w:type="fixed"/>
          <w:tblLook w:val="06A0"/>
        </w:tblPrEx>
        <w:trPr>
          <w:trHeight w:val="285"/>
        </w:trPr>
        <w:tc>
          <w:tcPr>
            <w:tcW w:w="2186" w:type="dxa"/>
            <w:tcBorders>
              <w:top w:val="single" w:sz="4" w:space="0" w:color="auto"/>
              <w:left w:val="single" w:sz="4" w:space="0" w:color="auto"/>
              <w:bottom w:val="single" w:sz="4" w:space="0" w:color="auto"/>
              <w:right w:val="single" w:sz="4" w:space="0" w:color="auto"/>
            </w:tcBorders>
            <w:vAlign w:val="bottom"/>
          </w:tcPr>
          <w:p w:rsidR="005B6F13" w:rsidP="005B6F13" w14:paraId="77C8D7F1" w14:textId="749F3C5F">
            <w:pPr>
              <w:spacing w:after="0"/>
            </w:pPr>
            <w:r w:rsidRPr="6D5BA1AE">
              <w:rPr>
                <w:rFonts w:ascii="Arial Narrow" w:eastAsia="Arial Narrow" w:hAnsi="Arial Narrow" w:cs="Arial Narrow"/>
                <w:color w:val="000000" w:themeColor="text1"/>
                <w:sz w:val="20"/>
                <w:szCs w:val="20"/>
              </w:rPr>
              <w:t>CDX Registration</w:t>
            </w:r>
          </w:p>
        </w:tc>
        <w:tc>
          <w:tcPr>
            <w:tcW w:w="1298" w:type="dxa"/>
            <w:tcBorders>
              <w:top w:val="nil"/>
              <w:left w:val="single" w:sz="4" w:space="0" w:color="auto"/>
              <w:bottom w:val="single" w:sz="4" w:space="0" w:color="auto"/>
              <w:right w:val="single" w:sz="4" w:space="0" w:color="auto"/>
            </w:tcBorders>
            <w:shd w:val="clear" w:color="auto" w:fill="auto"/>
            <w:vAlign w:val="bottom"/>
          </w:tcPr>
          <w:p w:rsidR="005B6F13" w:rsidP="005B6F13" w14:paraId="685B22A2" w14:textId="14ED3CE8">
            <w:pPr>
              <w:spacing w:after="0"/>
            </w:pPr>
            <w:r>
              <w:rPr>
                <w:rFonts w:ascii="Arial Narrow" w:hAnsi="Arial Narrow" w:cs="Arial"/>
                <w:color w:val="000000"/>
                <w:sz w:val="20"/>
                <w:szCs w:val="20"/>
              </w:rPr>
              <w:t>0.00</w:t>
            </w:r>
          </w:p>
        </w:tc>
        <w:tc>
          <w:tcPr>
            <w:tcW w:w="1220" w:type="dxa"/>
            <w:tcBorders>
              <w:top w:val="nil"/>
              <w:left w:val="nil"/>
              <w:bottom w:val="single" w:sz="4" w:space="0" w:color="auto"/>
              <w:right w:val="single" w:sz="4" w:space="0" w:color="auto"/>
            </w:tcBorders>
            <w:shd w:val="clear" w:color="auto" w:fill="auto"/>
            <w:vAlign w:val="bottom"/>
          </w:tcPr>
          <w:p w:rsidR="005B6F13" w:rsidP="005B6F13" w14:paraId="4AC94AF7" w14:textId="6C464807">
            <w:pPr>
              <w:spacing w:after="0"/>
            </w:pPr>
            <w:r>
              <w:rPr>
                <w:rFonts w:ascii="Arial Narrow" w:hAnsi="Arial Narrow" w:cs="Arial"/>
                <w:color w:val="000000"/>
                <w:sz w:val="20"/>
                <w:szCs w:val="20"/>
              </w:rPr>
              <w:t>1.73</w:t>
            </w:r>
          </w:p>
        </w:tc>
        <w:tc>
          <w:tcPr>
            <w:tcW w:w="1356" w:type="dxa"/>
            <w:tcBorders>
              <w:top w:val="nil"/>
              <w:left w:val="nil"/>
              <w:bottom w:val="single" w:sz="4" w:space="0" w:color="auto"/>
              <w:right w:val="single" w:sz="4" w:space="0" w:color="auto"/>
            </w:tcBorders>
            <w:shd w:val="clear" w:color="auto" w:fill="auto"/>
            <w:vAlign w:val="bottom"/>
          </w:tcPr>
          <w:p w:rsidR="005B6F13" w:rsidP="005B6F13" w14:paraId="4C3A2FCA" w14:textId="5F4613C6">
            <w:pPr>
              <w:spacing w:after="0"/>
            </w:pPr>
            <w:r>
              <w:rPr>
                <w:rFonts w:ascii="Arial Narrow" w:hAnsi="Arial Narrow" w:cs="Arial"/>
                <w:color w:val="000000"/>
                <w:sz w:val="20"/>
                <w:szCs w:val="20"/>
              </w:rPr>
              <w:t>0.93</w:t>
            </w:r>
          </w:p>
        </w:tc>
        <w:tc>
          <w:tcPr>
            <w:tcW w:w="1142" w:type="dxa"/>
            <w:tcBorders>
              <w:top w:val="nil"/>
              <w:left w:val="nil"/>
              <w:bottom w:val="single" w:sz="4" w:space="0" w:color="auto"/>
              <w:right w:val="single" w:sz="4" w:space="0" w:color="auto"/>
            </w:tcBorders>
            <w:shd w:val="clear" w:color="auto" w:fill="auto"/>
            <w:vAlign w:val="bottom"/>
          </w:tcPr>
          <w:p w:rsidR="005B6F13" w:rsidP="005B6F13" w14:paraId="6BE181D3" w14:textId="1E718E0A">
            <w:pPr>
              <w:spacing w:after="0"/>
            </w:pPr>
            <w:r>
              <w:rPr>
                <w:rFonts w:ascii="Arial Narrow" w:hAnsi="Arial Narrow" w:cs="Arial"/>
                <w:color w:val="000000"/>
                <w:sz w:val="20"/>
                <w:szCs w:val="20"/>
              </w:rPr>
              <w:t>0.00</w:t>
            </w:r>
          </w:p>
        </w:tc>
        <w:tc>
          <w:tcPr>
            <w:tcW w:w="1044" w:type="dxa"/>
            <w:tcBorders>
              <w:top w:val="nil"/>
              <w:left w:val="nil"/>
              <w:bottom w:val="single" w:sz="4" w:space="0" w:color="auto"/>
              <w:right w:val="single" w:sz="4" w:space="0" w:color="auto"/>
            </w:tcBorders>
            <w:shd w:val="clear" w:color="auto" w:fill="auto"/>
            <w:vAlign w:val="bottom"/>
          </w:tcPr>
          <w:p w:rsidR="005B6F13" w:rsidP="005B6F13" w14:paraId="561C1FA5" w14:textId="0562D9D2">
            <w:pPr>
              <w:spacing w:after="0"/>
            </w:pPr>
            <w:r>
              <w:rPr>
                <w:rFonts w:ascii="Arial Narrow" w:hAnsi="Arial Narrow" w:cs="Arial"/>
                <w:color w:val="000000"/>
                <w:sz w:val="20"/>
                <w:szCs w:val="20"/>
              </w:rPr>
              <w:t>2.67</w:t>
            </w:r>
          </w:p>
        </w:tc>
        <w:tc>
          <w:tcPr>
            <w:tcW w:w="1083" w:type="dxa"/>
            <w:tcBorders>
              <w:top w:val="nil"/>
              <w:left w:val="nil"/>
              <w:bottom w:val="single" w:sz="4" w:space="0" w:color="auto"/>
              <w:right w:val="single" w:sz="4" w:space="0" w:color="auto"/>
            </w:tcBorders>
            <w:shd w:val="clear" w:color="auto" w:fill="auto"/>
            <w:vAlign w:val="bottom"/>
          </w:tcPr>
          <w:p w:rsidR="005B6F13" w:rsidP="005B6F13" w14:paraId="473DC1C8" w14:textId="3C4B0C01">
            <w:pPr>
              <w:spacing w:after="0"/>
            </w:pPr>
            <w:r>
              <w:rPr>
                <w:rFonts w:ascii="Arial Narrow" w:hAnsi="Arial Narrow" w:cs="Arial"/>
                <w:color w:val="000000"/>
                <w:sz w:val="20"/>
                <w:szCs w:val="20"/>
              </w:rPr>
              <w:t>0.10</w:t>
            </w:r>
          </w:p>
        </w:tc>
        <w:tc>
          <w:tcPr>
            <w:tcW w:w="926" w:type="dxa"/>
            <w:tcBorders>
              <w:top w:val="nil"/>
              <w:left w:val="nil"/>
              <w:bottom w:val="single" w:sz="4" w:space="0" w:color="auto"/>
              <w:right w:val="single" w:sz="4" w:space="0" w:color="auto"/>
            </w:tcBorders>
            <w:shd w:val="clear" w:color="auto" w:fill="auto"/>
            <w:vAlign w:val="bottom"/>
          </w:tcPr>
          <w:p w:rsidR="005B6F13" w:rsidP="005B6F13" w14:paraId="52564441" w14:textId="26185D7A">
            <w:pPr>
              <w:spacing w:after="0"/>
            </w:pPr>
            <w:r>
              <w:rPr>
                <w:rFonts w:ascii="Arial Narrow" w:hAnsi="Arial Narrow" w:cs="Arial"/>
                <w:color w:val="000000"/>
                <w:sz w:val="20"/>
                <w:szCs w:val="20"/>
              </w:rPr>
              <w:t>0.27</w:t>
            </w:r>
          </w:p>
        </w:tc>
      </w:tr>
      <w:tr w14:paraId="00D2D6F1" w14:textId="77777777" w:rsidTr="00F72D91">
        <w:tblPrEx>
          <w:tblW w:w="10255" w:type="dxa"/>
          <w:tblLayout w:type="fixed"/>
          <w:tblLook w:val="06A0"/>
        </w:tblPrEx>
        <w:trPr>
          <w:trHeight w:val="285"/>
        </w:trPr>
        <w:tc>
          <w:tcPr>
            <w:tcW w:w="9329" w:type="dxa"/>
            <w:gridSpan w:val="7"/>
            <w:tcBorders>
              <w:top w:val="single" w:sz="4" w:space="0" w:color="auto"/>
              <w:left w:val="single" w:sz="4" w:space="0" w:color="auto"/>
              <w:bottom w:val="single" w:sz="4" w:space="0" w:color="auto"/>
              <w:right w:val="single" w:sz="4" w:space="0" w:color="000000" w:themeColor="text1"/>
            </w:tcBorders>
            <w:vAlign w:val="center"/>
          </w:tcPr>
          <w:p w:rsidR="005B6F13" w:rsidP="005B6F13" w14:paraId="5B86EF2F" w14:textId="5E76F6C3">
            <w:pPr>
              <w:spacing w:after="0"/>
              <w:jc w:val="right"/>
              <w:rPr>
                <w:rFonts w:ascii="Arial Narrow" w:eastAsia="Arial Narrow" w:hAnsi="Arial Narrow" w:cs="Arial Narrow"/>
                <w:b/>
                <w:bCs/>
                <w:color w:val="000000" w:themeColor="text1"/>
                <w:sz w:val="20"/>
                <w:szCs w:val="20"/>
              </w:rPr>
            </w:pPr>
            <w:r w:rsidRPr="6D5BA1AE">
              <w:rPr>
                <w:rFonts w:ascii="Arial Narrow" w:eastAsia="Arial Narrow" w:hAnsi="Arial Narrow" w:cs="Arial Narrow"/>
                <w:b/>
                <w:bCs/>
                <w:color w:val="000000" w:themeColor="text1"/>
                <w:sz w:val="20"/>
                <w:szCs w:val="20"/>
              </w:rPr>
              <w:t>Total average unit burden per firm</w:t>
            </w:r>
          </w:p>
        </w:tc>
        <w:tc>
          <w:tcPr>
            <w:tcW w:w="926" w:type="dxa"/>
            <w:tcBorders>
              <w:top w:val="single" w:sz="4" w:space="0" w:color="auto"/>
              <w:left w:val="nil"/>
              <w:bottom w:val="single" w:sz="4" w:space="0" w:color="auto"/>
              <w:right w:val="single" w:sz="4" w:space="0" w:color="auto"/>
            </w:tcBorders>
            <w:vAlign w:val="bottom"/>
          </w:tcPr>
          <w:p w:rsidR="005B6F13" w:rsidP="005B6F13" w14:paraId="167C7A07" w14:textId="0FC6E65E">
            <w:pPr>
              <w:spacing w:after="0"/>
            </w:pPr>
            <w:r>
              <w:rPr>
                <w:rFonts w:ascii="Arial Narrow" w:eastAsia="Arial Narrow" w:hAnsi="Arial Narrow" w:cs="Arial Narrow"/>
                <w:b/>
                <w:bCs/>
                <w:color w:val="000000" w:themeColor="text1"/>
                <w:sz w:val="20"/>
                <w:szCs w:val="20"/>
              </w:rPr>
              <w:t>88.55</w:t>
            </w:r>
          </w:p>
        </w:tc>
      </w:tr>
      <w:tr w14:paraId="6406C186" w14:textId="77777777" w:rsidTr="00F72D91">
        <w:tblPrEx>
          <w:tblW w:w="10255" w:type="dxa"/>
          <w:tblLayout w:type="fixed"/>
          <w:tblLook w:val="06A0"/>
        </w:tblPrEx>
        <w:trPr>
          <w:trHeight w:val="435"/>
        </w:trPr>
        <w:tc>
          <w:tcPr>
            <w:tcW w:w="10255" w:type="dxa"/>
            <w:gridSpan w:val="8"/>
            <w:tcBorders>
              <w:top w:val="single" w:sz="4" w:space="0" w:color="auto"/>
              <w:left w:val="single" w:sz="4" w:space="0" w:color="auto"/>
              <w:bottom w:val="single" w:sz="4" w:space="0" w:color="auto"/>
              <w:right w:val="single" w:sz="4" w:space="0" w:color="000000" w:themeColor="text1"/>
            </w:tcBorders>
            <w:vAlign w:val="center"/>
          </w:tcPr>
          <w:p w:rsidR="005B6F13" w:rsidP="005B6F13" w14:paraId="6BE0E07B" w14:textId="540F6A4D">
            <w:pPr>
              <w:spacing w:after="0"/>
            </w:pPr>
            <w:r w:rsidRPr="6D5BA1AE">
              <w:rPr>
                <w:rFonts w:ascii="Arial Narrow" w:eastAsia="Arial Narrow" w:hAnsi="Arial Narrow" w:cs="Arial Narrow"/>
                <w:color w:val="000000" w:themeColor="text1"/>
                <w:sz w:val="20"/>
                <w:szCs w:val="20"/>
              </w:rPr>
              <w:t>Note: For additional details on development and assumptions associated with items in this table, see the source EA (EPA 2022). Numbers may not sum due to rounding.</w:t>
            </w:r>
          </w:p>
        </w:tc>
      </w:tr>
    </w:tbl>
    <w:p w:rsidR="6D5BA1AE" w:rsidP="6D5BA1AE" w14:paraId="3899ECFF" w14:textId="500C70D5">
      <w:pPr>
        <w:rPr>
          <w:rFonts w:eastAsia="Arial" w:cs="Arial"/>
          <w:szCs w:val="24"/>
        </w:rPr>
      </w:pPr>
    </w:p>
    <w:p w:rsidR="00354DAB" w:rsidP="6D5BA1AE" w14:paraId="3D5C1BB7" w14:textId="787ECE6C">
      <w:pPr>
        <w:spacing w:after="200" w:line="276" w:lineRule="auto"/>
        <w:rPr>
          <w:rFonts w:eastAsia="Arial" w:asciiTheme="minorHAnsi" w:hAnsiTheme="minorHAnsi"/>
        </w:rPr>
      </w:pPr>
      <w:r w:rsidRPr="6D5BA1AE">
        <w:rPr>
          <w:rFonts w:eastAsia="Arial" w:asciiTheme="minorHAnsi" w:hAnsiTheme="minorHAnsi"/>
        </w:rPr>
        <w:t>Unit costs are derived by combining relevant wage information with unit burden estimates. See Appendix B for information on the industry wage rates used in this analysis. In addition, EPA estimates each firm will incur a $3.15 in material costs for filing the electronic signature agreement when registering with CDX. EPA estimates reporter burden and cost at approximately $</w:t>
      </w:r>
      <w:r w:rsidRPr="6D5BA1AE" w:rsidR="35EA010E">
        <w:rPr>
          <w:rFonts w:eastAsia="Arial" w:asciiTheme="minorHAnsi" w:hAnsiTheme="minorHAnsi"/>
        </w:rPr>
        <w:t>6,</w:t>
      </w:r>
      <w:r w:rsidR="003A1275">
        <w:rPr>
          <w:rFonts w:eastAsia="Arial" w:asciiTheme="minorHAnsi" w:hAnsiTheme="minorHAnsi"/>
        </w:rPr>
        <w:t>089</w:t>
      </w:r>
      <w:r w:rsidRPr="6D5BA1AE" w:rsidR="003A1275">
        <w:rPr>
          <w:rFonts w:eastAsia="Arial" w:asciiTheme="minorHAnsi" w:hAnsiTheme="minorHAnsi"/>
        </w:rPr>
        <w:t xml:space="preserve"> </w:t>
      </w:r>
      <w:r w:rsidRPr="6D5BA1AE">
        <w:rPr>
          <w:rFonts w:eastAsia="Arial" w:asciiTheme="minorHAnsi" w:hAnsiTheme="minorHAnsi"/>
        </w:rPr>
        <w:t xml:space="preserve">per firm, shown in Table </w:t>
      </w:r>
      <w:r w:rsidRPr="6D5BA1AE" w:rsidR="2A194FDE">
        <w:rPr>
          <w:rFonts w:eastAsia="Arial" w:asciiTheme="minorHAnsi" w:hAnsiTheme="minorHAnsi"/>
        </w:rPr>
        <w:t>4</w:t>
      </w:r>
      <w:r w:rsidRPr="6D5BA1AE">
        <w:rPr>
          <w:rFonts w:eastAsia="Arial" w:asciiTheme="minorHAnsi" w:hAnsiTheme="minorHAnsi"/>
        </w:rPr>
        <w:t>.</w:t>
      </w:r>
    </w:p>
    <w:p w:rsidR="00C36B45" w:rsidP="6D5BA1AE" w14:paraId="637CDAC0" w14:textId="2F126110">
      <w:pPr>
        <w:pStyle w:val="Heading3"/>
        <w:spacing w:after="200" w:line="276" w:lineRule="auto"/>
        <w:rPr>
          <w:rFonts w:asciiTheme="minorHAnsi" w:hAnsiTheme="minorHAnsi"/>
        </w:rPr>
      </w:pPr>
      <w:bookmarkStart w:id="10" w:name="_Toc57044103"/>
      <w:bookmarkStart w:id="11" w:name="_Toc57044335"/>
      <w:bookmarkStart w:id="12" w:name="_Toc58238282"/>
      <w:r w:rsidRPr="6D5BA1AE">
        <w:rPr>
          <w:rFonts w:eastAsia="Arial" w:asciiTheme="minorHAnsi" w:hAnsiTheme="minorHAnsi"/>
        </w:rPr>
        <w:t xml:space="preserve">Table </w:t>
      </w:r>
      <w:r w:rsidRPr="6D5BA1AE" w:rsidR="10281B63">
        <w:rPr>
          <w:rFonts w:eastAsia="Arial" w:asciiTheme="minorHAnsi" w:hAnsiTheme="minorHAnsi"/>
        </w:rPr>
        <w:t>4</w:t>
      </w:r>
      <w:r w:rsidRPr="6D5BA1AE">
        <w:rPr>
          <w:rFonts w:eastAsia="Arial" w:asciiTheme="minorHAnsi" w:hAnsiTheme="minorHAnsi"/>
        </w:rPr>
        <w:t>:  PFAS Data Call Reporting: Activity-Level Reporter Unit Cost</w:t>
      </w:r>
      <w:bookmarkEnd w:id="10"/>
      <w:bookmarkEnd w:id="11"/>
      <w:bookmarkEnd w:id="12"/>
    </w:p>
    <w:tbl>
      <w:tblPr>
        <w:tblStyle w:val="TableGrid"/>
        <w:tblW w:w="9466" w:type="dxa"/>
        <w:tblLayout w:type="fixed"/>
        <w:tblLook w:val="06A0"/>
      </w:tblPr>
      <w:tblGrid>
        <w:gridCol w:w="3145"/>
        <w:gridCol w:w="2340"/>
        <w:gridCol w:w="1980"/>
        <w:gridCol w:w="1993"/>
        <w:gridCol w:w="8"/>
      </w:tblGrid>
      <w:tr w14:paraId="1B25A291" w14:textId="77777777" w:rsidTr="00170F8A">
        <w:tblPrEx>
          <w:tblW w:w="9466" w:type="dxa"/>
          <w:tblLayout w:type="fixed"/>
          <w:tblLook w:val="06A0"/>
        </w:tblPrEx>
        <w:trPr>
          <w:gridAfter w:val="1"/>
          <w:wAfter w:w="8" w:type="dxa"/>
          <w:trHeight w:val="467"/>
        </w:trPr>
        <w:tc>
          <w:tcPr>
            <w:tcW w:w="3145" w:type="dxa"/>
            <w:vMerge w:val="restart"/>
            <w:tcBorders>
              <w:top w:val="single" w:sz="4" w:space="0" w:color="auto"/>
              <w:left w:val="single" w:sz="4" w:space="0" w:color="auto"/>
              <w:right w:val="single" w:sz="4" w:space="0" w:color="auto"/>
            </w:tcBorders>
            <w:shd w:val="clear" w:color="auto" w:fill="BFBFBF" w:themeFill="accent6" w:themeFillShade="BF"/>
            <w:vAlign w:val="center"/>
          </w:tcPr>
          <w:p w:rsidR="00170F8A" w:rsidRPr="6D5BA1AE" w:rsidP="6D5BA1AE" w14:paraId="6AA67B16" w14:textId="765CDC76">
            <w:pPr>
              <w:jc w:val="center"/>
              <w:rPr>
                <w:rFonts w:ascii="Arial Narrow" w:eastAsia="Arial Narrow" w:hAnsi="Arial Narrow" w:cs="Arial Narrow"/>
                <w:b/>
                <w:bCs/>
                <w:color w:val="000000" w:themeColor="text1"/>
                <w:sz w:val="20"/>
                <w:szCs w:val="20"/>
              </w:rPr>
            </w:pPr>
            <w:r w:rsidRPr="6D5BA1AE">
              <w:rPr>
                <w:rFonts w:ascii="Arial Narrow" w:eastAsia="Arial Narrow" w:hAnsi="Arial Narrow" w:cs="Arial Narrow"/>
                <w:b/>
                <w:bCs/>
                <w:color w:val="000000" w:themeColor="text1"/>
                <w:sz w:val="20"/>
                <w:szCs w:val="20"/>
              </w:rPr>
              <w:t>Activity</w:t>
            </w:r>
          </w:p>
        </w:tc>
        <w:tc>
          <w:tcPr>
            <w:tcW w:w="2340" w:type="dxa"/>
            <w:vMerge w:val="restart"/>
            <w:tcBorders>
              <w:top w:val="single" w:sz="4" w:space="0" w:color="auto"/>
              <w:left w:val="single" w:sz="4" w:space="0" w:color="auto"/>
              <w:right w:val="single" w:sz="4" w:space="0" w:color="auto"/>
            </w:tcBorders>
            <w:shd w:val="clear" w:color="auto" w:fill="BFBFBF" w:themeFill="accent6" w:themeFillShade="BF"/>
            <w:vAlign w:val="center"/>
          </w:tcPr>
          <w:p w:rsidR="00170F8A" w:rsidRPr="6D5BA1AE" w:rsidP="6D5BA1AE" w14:paraId="0FCCFAD3" w14:textId="3D3377B5">
            <w:pPr>
              <w:jc w:val="center"/>
              <w:rPr>
                <w:rFonts w:ascii="Arial Narrow" w:eastAsia="Arial Narrow" w:hAnsi="Arial Narrow" w:cs="Arial Narrow"/>
                <w:b/>
                <w:bCs/>
                <w:color w:val="000000" w:themeColor="text1"/>
                <w:sz w:val="20"/>
                <w:szCs w:val="20"/>
              </w:rPr>
            </w:pPr>
            <w:r w:rsidRPr="6D5BA1AE">
              <w:rPr>
                <w:rFonts w:ascii="Arial Narrow" w:eastAsia="Arial Narrow" w:hAnsi="Arial Narrow" w:cs="Arial Narrow"/>
                <w:b/>
                <w:bCs/>
                <w:color w:val="000000" w:themeColor="text1"/>
                <w:sz w:val="20"/>
                <w:szCs w:val="20"/>
              </w:rPr>
              <w:t>Average Unit Burden per Firm</w:t>
            </w:r>
          </w:p>
        </w:tc>
        <w:tc>
          <w:tcPr>
            <w:tcW w:w="3973" w:type="dxa"/>
            <w:gridSpan w:val="2"/>
            <w:tcBorders>
              <w:top w:val="single" w:sz="4" w:space="0" w:color="auto"/>
              <w:left w:val="single" w:sz="4" w:space="0" w:color="auto"/>
              <w:bottom w:val="single" w:sz="4" w:space="0" w:color="auto"/>
              <w:right w:val="single" w:sz="4" w:space="0" w:color="auto"/>
            </w:tcBorders>
            <w:shd w:val="clear" w:color="auto" w:fill="BFBFBF" w:themeFill="accent6" w:themeFillShade="BF"/>
          </w:tcPr>
          <w:p w:rsidR="00170F8A" w:rsidRPr="6D5BA1AE" w:rsidP="6D5BA1AE" w14:paraId="50279FAD" w14:textId="5893F8EE">
            <w:pPr>
              <w:jc w:val="center"/>
              <w:rPr>
                <w:rFonts w:ascii="Arial Narrow" w:eastAsia="Arial Narrow" w:hAnsi="Arial Narrow" w:cs="Arial Narrow"/>
                <w:b/>
                <w:bCs/>
                <w:color w:val="000000" w:themeColor="text1"/>
                <w:sz w:val="20"/>
                <w:szCs w:val="20"/>
              </w:rPr>
            </w:pPr>
            <w:r w:rsidRPr="6D5BA1AE">
              <w:rPr>
                <w:rFonts w:ascii="Arial Narrow" w:eastAsia="Arial Narrow" w:hAnsi="Arial Narrow" w:cs="Arial Narrow"/>
                <w:b/>
                <w:bCs/>
                <w:color w:val="000000" w:themeColor="text1"/>
                <w:sz w:val="20"/>
                <w:szCs w:val="20"/>
              </w:rPr>
              <w:t>Average Unit Cost per Firm (202</w:t>
            </w:r>
            <w:r>
              <w:rPr>
                <w:rFonts w:ascii="Arial Narrow" w:eastAsia="Arial Narrow" w:hAnsi="Arial Narrow" w:cs="Arial Narrow"/>
                <w:b/>
                <w:bCs/>
                <w:color w:val="000000" w:themeColor="text1"/>
                <w:sz w:val="20"/>
                <w:szCs w:val="20"/>
              </w:rPr>
              <w:t>2</w:t>
            </w:r>
            <w:r w:rsidRPr="6D5BA1AE">
              <w:rPr>
                <w:rFonts w:ascii="Arial Narrow" w:eastAsia="Arial Narrow" w:hAnsi="Arial Narrow" w:cs="Arial Narrow"/>
                <w:b/>
                <w:bCs/>
                <w:color w:val="000000" w:themeColor="text1"/>
                <w:sz w:val="20"/>
                <w:szCs w:val="20"/>
              </w:rPr>
              <w:t>$)</w:t>
            </w:r>
          </w:p>
        </w:tc>
      </w:tr>
      <w:tr w14:paraId="1276DB72" w14:textId="77777777" w:rsidTr="00170F8A">
        <w:tblPrEx>
          <w:tblW w:w="9466" w:type="dxa"/>
          <w:tblLayout w:type="fixed"/>
          <w:tblLook w:val="06A0"/>
        </w:tblPrEx>
        <w:trPr>
          <w:gridAfter w:val="1"/>
          <w:wAfter w:w="8" w:type="dxa"/>
          <w:trHeight w:val="350"/>
        </w:trPr>
        <w:tc>
          <w:tcPr>
            <w:tcW w:w="3145" w:type="dxa"/>
            <w:vMerge/>
            <w:tcBorders>
              <w:left w:val="single" w:sz="4" w:space="0" w:color="auto"/>
              <w:bottom w:val="single" w:sz="4" w:space="0" w:color="auto"/>
              <w:right w:val="single" w:sz="4" w:space="0" w:color="auto"/>
            </w:tcBorders>
            <w:shd w:val="clear" w:color="auto" w:fill="BFBFBF" w:themeFill="accent6" w:themeFillShade="BF"/>
            <w:vAlign w:val="center"/>
          </w:tcPr>
          <w:p w:rsidR="00170F8A" w:rsidP="6D5BA1AE" w14:paraId="77BD3792" w14:textId="465FDA20">
            <w:pPr>
              <w:jc w:val="center"/>
              <w:rPr>
                <w:rFonts w:ascii="Arial Narrow" w:eastAsia="Arial Narrow" w:hAnsi="Arial Narrow" w:cs="Arial Narrow"/>
                <w:b/>
                <w:bCs/>
                <w:color w:val="000000" w:themeColor="text1"/>
                <w:sz w:val="20"/>
                <w:szCs w:val="20"/>
              </w:rPr>
            </w:pPr>
          </w:p>
        </w:tc>
        <w:tc>
          <w:tcPr>
            <w:tcW w:w="2340" w:type="dxa"/>
            <w:vMerge/>
            <w:tcBorders>
              <w:left w:val="single" w:sz="4" w:space="0" w:color="auto"/>
              <w:bottom w:val="single" w:sz="4" w:space="0" w:color="auto"/>
              <w:right w:val="single" w:sz="4" w:space="0" w:color="auto"/>
            </w:tcBorders>
            <w:shd w:val="clear" w:color="auto" w:fill="BFBFBF" w:themeFill="accent6" w:themeFillShade="BF"/>
            <w:vAlign w:val="center"/>
          </w:tcPr>
          <w:p w:rsidR="00170F8A" w:rsidP="6D5BA1AE" w14:paraId="41AE1C4D" w14:textId="297E9797">
            <w:pPr>
              <w:jc w:val="center"/>
              <w:rPr>
                <w:rFonts w:ascii="Arial Narrow" w:eastAsia="Arial Narrow" w:hAnsi="Arial Narrow" w:cs="Arial Narrow"/>
                <w:b/>
                <w:bCs/>
                <w:color w:val="000000" w:themeColor="text1"/>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BFBFBF" w:themeFill="accent6" w:themeFillShade="BF"/>
          </w:tcPr>
          <w:p w:rsidR="00170F8A" w:rsidP="6D5BA1AE" w14:paraId="710E1D7E" w14:textId="28624DC5">
            <w:pPr>
              <w:jc w:val="center"/>
              <w:rPr>
                <w:rFonts w:ascii="Arial Narrow" w:eastAsia="Arial Narrow" w:hAnsi="Arial Narrow" w:cs="Arial Narrow"/>
                <w:b/>
                <w:bCs/>
                <w:color w:val="000000" w:themeColor="text1"/>
                <w:sz w:val="20"/>
                <w:szCs w:val="20"/>
              </w:rPr>
            </w:pPr>
            <w:r>
              <w:rPr>
                <w:rFonts w:ascii="Arial Narrow" w:eastAsia="Arial Narrow" w:hAnsi="Arial Narrow" w:cs="Arial Narrow"/>
                <w:b/>
                <w:bCs/>
                <w:color w:val="000000" w:themeColor="text1"/>
                <w:sz w:val="20"/>
                <w:szCs w:val="20"/>
              </w:rPr>
              <w:t>3% Discount Rate</w:t>
            </w:r>
          </w:p>
        </w:tc>
        <w:tc>
          <w:tcPr>
            <w:tcW w:w="1993" w:type="dxa"/>
            <w:tcBorders>
              <w:top w:val="single" w:sz="4" w:space="0" w:color="auto"/>
              <w:left w:val="single" w:sz="4" w:space="0" w:color="auto"/>
              <w:bottom w:val="single" w:sz="4" w:space="0" w:color="auto"/>
              <w:right w:val="single" w:sz="4" w:space="0" w:color="auto"/>
            </w:tcBorders>
            <w:shd w:val="clear" w:color="auto" w:fill="BFBFBF" w:themeFill="accent6" w:themeFillShade="BF"/>
            <w:vAlign w:val="center"/>
          </w:tcPr>
          <w:p w:rsidR="00170F8A" w:rsidP="6D5BA1AE" w14:paraId="5C0CE421" w14:textId="2AD93452">
            <w:pPr>
              <w:jc w:val="center"/>
              <w:rPr>
                <w:rFonts w:ascii="Arial Narrow" w:eastAsia="Arial Narrow" w:hAnsi="Arial Narrow" w:cs="Arial Narrow"/>
                <w:b/>
                <w:bCs/>
                <w:color w:val="000000" w:themeColor="text1"/>
                <w:sz w:val="20"/>
                <w:szCs w:val="20"/>
              </w:rPr>
            </w:pPr>
            <w:r>
              <w:rPr>
                <w:rFonts w:ascii="Arial Narrow" w:eastAsia="Arial Narrow" w:hAnsi="Arial Narrow" w:cs="Arial Narrow"/>
                <w:b/>
                <w:bCs/>
                <w:color w:val="000000" w:themeColor="text1"/>
                <w:sz w:val="20"/>
                <w:szCs w:val="20"/>
              </w:rPr>
              <w:t>7% Discount Rate</w:t>
            </w:r>
          </w:p>
        </w:tc>
      </w:tr>
      <w:tr w14:paraId="3EDFBAB2" w14:textId="77777777" w:rsidTr="00170F8A">
        <w:tblPrEx>
          <w:tblW w:w="9466" w:type="dxa"/>
          <w:tblLayout w:type="fixed"/>
          <w:tblLook w:val="06A0"/>
        </w:tblPrEx>
        <w:trPr>
          <w:gridAfter w:val="1"/>
          <w:wAfter w:w="8" w:type="dxa"/>
          <w:trHeight w:val="285"/>
        </w:trPr>
        <w:tc>
          <w:tcPr>
            <w:tcW w:w="3145" w:type="dxa"/>
            <w:tcBorders>
              <w:top w:val="single" w:sz="4" w:space="0" w:color="auto"/>
              <w:left w:val="single" w:sz="4" w:space="0" w:color="auto"/>
              <w:bottom w:val="single" w:sz="4" w:space="0" w:color="auto"/>
              <w:right w:val="single" w:sz="4" w:space="0" w:color="auto"/>
            </w:tcBorders>
            <w:vAlign w:val="bottom"/>
          </w:tcPr>
          <w:p w:rsidR="005B6F13" w:rsidP="005B6F13" w14:paraId="1B59405A" w14:textId="4E943DF4">
            <w:r w:rsidRPr="6D5BA1AE">
              <w:rPr>
                <w:rFonts w:ascii="Arial Narrow" w:eastAsia="Arial Narrow" w:hAnsi="Arial Narrow" w:cs="Arial Narrow"/>
                <w:color w:val="000000" w:themeColor="text1"/>
                <w:sz w:val="20"/>
                <w:szCs w:val="20"/>
              </w:rPr>
              <w:t>Rule Familiarization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5B6F13" w:rsidP="005B6F13" w14:paraId="5022E8B3" w14:textId="33C1F28E">
            <w:r>
              <w:rPr>
                <w:rFonts w:ascii="Arial Narrow" w:hAnsi="Arial Narrow" w:cs="Arial"/>
                <w:color w:val="000000"/>
                <w:sz w:val="20"/>
                <w:szCs w:val="20"/>
              </w:rPr>
              <w:t> </w:t>
            </w:r>
          </w:p>
        </w:tc>
        <w:tc>
          <w:tcPr>
            <w:tcW w:w="1980" w:type="dxa"/>
            <w:tcBorders>
              <w:top w:val="single" w:sz="4" w:space="0" w:color="auto"/>
              <w:left w:val="nil"/>
              <w:bottom w:val="single" w:sz="4" w:space="0" w:color="auto"/>
              <w:right w:val="single" w:sz="4" w:space="0" w:color="auto"/>
            </w:tcBorders>
            <w:shd w:val="clear" w:color="auto" w:fill="auto"/>
            <w:vAlign w:val="bottom"/>
          </w:tcPr>
          <w:p w:rsidR="003A1275" w:rsidP="003A1275" w14:paraId="6A189E37" w14:textId="62A4BAA2">
            <w:pPr>
              <w:rPr>
                <w:rFonts w:ascii="Arial Narrow" w:hAnsi="Arial Narrow" w:cs="Arial"/>
                <w:color w:val="000000"/>
                <w:sz w:val="20"/>
                <w:szCs w:val="20"/>
              </w:rPr>
            </w:pPr>
            <w:r>
              <w:rPr>
                <w:rFonts w:ascii="Arial Narrow" w:hAnsi="Arial Narrow" w:cs="Arial"/>
                <w:color w:val="000000"/>
                <w:sz w:val="20"/>
                <w:szCs w:val="20"/>
              </w:rPr>
              <w:t> </w:t>
            </w:r>
          </w:p>
        </w:tc>
        <w:tc>
          <w:tcPr>
            <w:tcW w:w="1993" w:type="dxa"/>
            <w:tcBorders>
              <w:top w:val="single" w:sz="4" w:space="0" w:color="auto"/>
              <w:left w:val="nil"/>
              <w:bottom w:val="single" w:sz="4" w:space="0" w:color="auto"/>
              <w:right w:val="single" w:sz="4" w:space="0" w:color="auto"/>
            </w:tcBorders>
            <w:shd w:val="clear" w:color="auto" w:fill="auto"/>
            <w:vAlign w:val="bottom"/>
          </w:tcPr>
          <w:p w:rsidR="005B6F13" w:rsidP="005B6F13" w14:paraId="047A969D" w14:textId="32830C07">
            <w:r>
              <w:rPr>
                <w:rFonts w:cs="Arial"/>
                <w:color w:val="000000"/>
                <w:sz w:val="22"/>
              </w:rPr>
              <w:t> </w:t>
            </w:r>
          </w:p>
        </w:tc>
      </w:tr>
      <w:tr w14:paraId="570A20F7" w14:textId="77777777" w:rsidTr="00170F8A">
        <w:tblPrEx>
          <w:tblW w:w="9466" w:type="dxa"/>
          <w:tblLayout w:type="fixed"/>
          <w:tblLook w:val="06A0"/>
        </w:tblPrEx>
        <w:trPr>
          <w:gridAfter w:val="1"/>
          <w:wAfter w:w="8" w:type="dxa"/>
          <w:trHeight w:val="665"/>
        </w:trPr>
        <w:tc>
          <w:tcPr>
            <w:tcW w:w="3145" w:type="dxa"/>
            <w:tcBorders>
              <w:top w:val="single" w:sz="4" w:space="0" w:color="auto"/>
              <w:left w:val="single" w:sz="4" w:space="0" w:color="auto"/>
              <w:bottom w:val="single" w:sz="4" w:space="0" w:color="auto"/>
              <w:right w:val="single" w:sz="4" w:space="0" w:color="auto"/>
            </w:tcBorders>
            <w:vAlign w:val="bottom"/>
          </w:tcPr>
          <w:p w:rsidR="005B6F13" w:rsidP="005B6F13" w14:paraId="0DE9D985" w14:textId="4B22B4A9">
            <w:pPr>
              <w:ind w:left="90" w:hanging="90"/>
            </w:pPr>
            <w:r w:rsidRPr="6D5BA1AE">
              <w:rPr>
                <w:rFonts w:ascii="Arial Narrow" w:eastAsia="Arial Narrow" w:hAnsi="Arial Narrow" w:cs="Arial Narrow"/>
                <w:color w:val="000000" w:themeColor="text1"/>
                <w:sz w:val="20"/>
                <w:szCs w:val="20"/>
              </w:rPr>
              <w:t xml:space="preserve">  Structural Definition Familiarization for Manufacturing Firms and Large Article Importers</w:t>
            </w:r>
          </w:p>
        </w:tc>
        <w:tc>
          <w:tcPr>
            <w:tcW w:w="2340" w:type="dxa"/>
            <w:tcBorders>
              <w:top w:val="nil"/>
              <w:left w:val="single" w:sz="4" w:space="0" w:color="auto"/>
              <w:bottom w:val="single" w:sz="4" w:space="0" w:color="auto"/>
              <w:right w:val="single" w:sz="4" w:space="0" w:color="auto"/>
            </w:tcBorders>
            <w:shd w:val="clear" w:color="auto" w:fill="auto"/>
            <w:vAlign w:val="bottom"/>
          </w:tcPr>
          <w:p w:rsidR="005B6F13" w:rsidP="005B6F13" w14:paraId="0A383C9E" w14:textId="6871253C">
            <w:r>
              <w:rPr>
                <w:rFonts w:ascii="Arial Narrow" w:hAnsi="Arial Narrow" w:cs="Arial"/>
                <w:color w:val="000000"/>
                <w:sz w:val="20"/>
                <w:szCs w:val="20"/>
              </w:rPr>
              <w:t>0.50</w:t>
            </w:r>
          </w:p>
        </w:tc>
        <w:tc>
          <w:tcPr>
            <w:tcW w:w="1980" w:type="dxa"/>
            <w:tcBorders>
              <w:top w:val="nil"/>
              <w:left w:val="nil"/>
              <w:bottom w:val="single" w:sz="4" w:space="0" w:color="auto"/>
              <w:right w:val="single" w:sz="4" w:space="0" w:color="auto"/>
            </w:tcBorders>
            <w:shd w:val="clear" w:color="auto" w:fill="auto"/>
            <w:vAlign w:val="bottom"/>
          </w:tcPr>
          <w:p w:rsidR="003A1275" w:rsidP="003A1275" w14:paraId="511A4B73" w14:textId="265B0A82">
            <w:pPr>
              <w:rPr>
                <w:rFonts w:ascii="Arial Narrow" w:hAnsi="Arial Narrow" w:cs="Arial"/>
                <w:color w:val="000000"/>
                <w:sz w:val="20"/>
                <w:szCs w:val="20"/>
              </w:rPr>
            </w:pPr>
            <w:r>
              <w:rPr>
                <w:rFonts w:ascii="Arial Narrow" w:hAnsi="Arial Narrow" w:cs="Arial"/>
                <w:color w:val="000000"/>
                <w:sz w:val="20"/>
                <w:szCs w:val="20"/>
              </w:rPr>
              <w:t xml:space="preserve">$41 </w:t>
            </w:r>
          </w:p>
        </w:tc>
        <w:tc>
          <w:tcPr>
            <w:tcW w:w="1993" w:type="dxa"/>
            <w:tcBorders>
              <w:top w:val="nil"/>
              <w:left w:val="nil"/>
              <w:bottom w:val="single" w:sz="4" w:space="0" w:color="auto"/>
              <w:right w:val="single" w:sz="4" w:space="0" w:color="auto"/>
            </w:tcBorders>
            <w:shd w:val="clear" w:color="auto" w:fill="auto"/>
            <w:vAlign w:val="bottom"/>
          </w:tcPr>
          <w:p w:rsidR="005B6F13" w:rsidP="005B6F13" w14:paraId="1FFA41D6" w14:textId="57AE4D94">
            <w:r>
              <w:rPr>
                <w:rFonts w:ascii="Arial Narrow" w:hAnsi="Arial Narrow" w:cs="Arial"/>
                <w:color w:val="000000"/>
                <w:sz w:val="20"/>
                <w:szCs w:val="20"/>
              </w:rPr>
              <w:t xml:space="preserve">$39 </w:t>
            </w:r>
          </w:p>
        </w:tc>
      </w:tr>
      <w:tr w14:paraId="004699D4" w14:textId="77777777" w:rsidTr="00170F8A">
        <w:tblPrEx>
          <w:tblW w:w="9466" w:type="dxa"/>
          <w:tblLayout w:type="fixed"/>
          <w:tblLook w:val="06A0"/>
        </w:tblPrEx>
        <w:trPr>
          <w:gridAfter w:val="1"/>
          <w:wAfter w:w="8" w:type="dxa"/>
          <w:trHeight w:val="285"/>
        </w:trPr>
        <w:tc>
          <w:tcPr>
            <w:tcW w:w="3145" w:type="dxa"/>
            <w:tcBorders>
              <w:top w:val="single" w:sz="4" w:space="0" w:color="auto"/>
              <w:left w:val="single" w:sz="4" w:space="0" w:color="auto"/>
              <w:bottom w:val="single" w:sz="4" w:space="0" w:color="auto"/>
              <w:right w:val="single" w:sz="4" w:space="0" w:color="auto"/>
            </w:tcBorders>
            <w:vAlign w:val="bottom"/>
          </w:tcPr>
          <w:p w:rsidR="005B6F13" w:rsidP="005B6F13" w14:paraId="2E680497" w14:textId="7F3F92CC">
            <w:pPr>
              <w:ind w:left="90" w:hanging="90"/>
            </w:pPr>
            <w:r w:rsidRPr="6D5BA1AE">
              <w:rPr>
                <w:rFonts w:ascii="Arial Narrow" w:eastAsia="Arial Narrow" w:hAnsi="Arial Narrow" w:cs="Arial Narrow"/>
                <w:color w:val="000000" w:themeColor="text1"/>
                <w:sz w:val="20"/>
                <w:szCs w:val="20"/>
              </w:rPr>
              <w:t xml:space="preserve">  Structural Definition Familiarization for Small Article Importers</w:t>
            </w:r>
          </w:p>
        </w:tc>
        <w:tc>
          <w:tcPr>
            <w:tcW w:w="2340" w:type="dxa"/>
            <w:tcBorders>
              <w:top w:val="nil"/>
              <w:left w:val="single" w:sz="4" w:space="0" w:color="auto"/>
              <w:bottom w:val="single" w:sz="4" w:space="0" w:color="auto"/>
              <w:right w:val="single" w:sz="4" w:space="0" w:color="auto"/>
            </w:tcBorders>
            <w:shd w:val="clear" w:color="auto" w:fill="auto"/>
            <w:vAlign w:val="bottom"/>
          </w:tcPr>
          <w:p w:rsidR="005B6F13" w:rsidP="005B6F13" w14:paraId="61F3D595" w14:textId="54E31E5A">
            <w:r>
              <w:rPr>
                <w:rFonts w:ascii="Arial Narrow" w:hAnsi="Arial Narrow" w:cs="Arial"/>
                <w:color w:val="000000"/>
                <w:sz w:val="20"/>
                <w:szCs w:val="20"/>
              </w:rPr>
              <w:t>8.85</w:t>
            </w:r>
          </w:p>
        </w:tc>
        <w:tc>
          <w:tcPr>
            <w:tcW w:w="1980" w:type="dxa"/>
            <w:tcBorders>
              <w:top w:val="nil"/>
              <w:left w:val="nil"/>
              <w:bottom w:val="single" w:sz="4" w:space="0" w:color="auto"/>
              <w:right w:val="single" w:sz="4" w:space="0" w:color="auto"/>
            </w:tcBorders>
            <w:shd w:val="clear" w:color="auto" w:fill="auto"/>
            <w:vAlign w:val="bottom"/>
          </w:tcPr>
          <w:p w:rsidR="003A1275" w:rsidP="003A1275" w14:paraId="56C71317" w14:textId="5EC68C90">
            <w:pPr>
              <w:rPr>
                <w:rFonts w:ascii="Arial Narrow" w:hAnsi="Arial Narrow" w:cs="Arial"/>
                <w:color w:val="000000"/>
                <w:sz w:val="20"/>
                <w:szCs w:val="20"/>
              </w:rPr>
            </w:pPr>
            <w:r>
              <w:rPr>
                <w:rFonts w:ascii="Arial Narrow" w:hAnsi="Arial Narrow" w:cs="Arial"/>
                <w:color w:val="000000"/>
                <w:sz w:val="20"/>
                <w:szCs w:val="20"/>
              </w:rPr>
              <w:t xml:space="preserve">$747 </w:t>
            </w:r>
          </w:p>
        </w:tc>
        <w:tc>
          <w:tcPr>
            <w:tcW w:w="1993" w:type="dxa"/>
            <w:tcBorders>
              <w:top w:val="nil"/>
              <w:left w:val="nil"/>
              <w:bottom w:val="single" w:sz="4" w:space="0" w:color="auto"/>
              <w:right w:val="single" w:sz="4" w:space="0" w:color="auto"/>
            </w:tcBorders>
            <w:shd w:val="clear" w:color="auto" w:fill="auto"/>
            <w:vAlign w:val="bottom"/>
          </w:tcPr>
          <w:p w:rsidR="005B6F13" w:rsidP="005B6F13" w14:paraId="7A73F9F3" w14:textId="281038A4">
            <w:r>
              <w:rPr>
                <w:rFonts w:ascii="Arial Narrow" w:hAnsi="Arial Narrow" w:cs="Arial"/>
                <w:color w:val="000000"/>
                <w:sz w:val="20"/>
                <w:szCs w:val="20"/>
              </w:rPr>
              <w:t xml:space="preserve">$719 </w:t>
            </w:r>
          </w:p>
        </w:tc>
      </w:tr>
      <w:tr w14:paraId="4EF08133" w14:textId="77777777" w:rsidTr="00170F8A">
        <w:tblPrEx>
          <w:tblW w:w="9466" w:type="dxa"/>
          <w:tblLayout w:type="fixed"/>
          <w:tblLook w:val="06A0"/>
        </w:tblPrEx>
        <w:trPr>
          <w:gridAfter w:val="1"/>
          <w:wAfter w:w="8" w:type="dxa"/>
          <w:trHeight w:val="285"/>
        </w:trPr>
        <w:tc>
          <w:tcPr>
            <w:tcW w:w="3145" w:type="dxa"/>
            <w:tcBorders>
              <w:top w:val="single" w:sz="4" w:space="0" w:color="auto"/>
              <w:left w:val="single" w:sz="4" w:space="0" w:color="auto"/>
              <w:bottom w:val="single" w:sz="4" w:space="0" w:color="auto"/>
              <w:right w:val="single" w:sz="4" w:space="0" w:color="auto"/>
            </w:tcBorders>
            <w:vAlign w:val="bottom"/>
          </w:tcPr>
          <w:p w:rsidR="005B6F13" w:rsidP="005B6F13" w14:paraId="6D4127A6" w14:textId="69E75227">
            <w:r w:rsidRPr="6D5BA1AE">
              <w:rPr>
                <w:rFonts w:ascii="Arial Narrow" w:eastAsia="Arial Narrow" w:hAnsi="Arial Narrow" w:cs="Arial Narrow"/>
                <w:color w:val="000000" w:themeColor="text1"/>
                <w:sz w:val="20"/>
                <w:szCs w:val="20"/>
              </w:rPr>
              <w:t xml:space="preserve">   Reporting Firms</w:t>
            </w:r>
          </w:p>
        </w:tc>
        <w:tc>
          <w:tcPr>
            <w:tcW w:w="2340" w:type="dxa"/>
            <w:tcBorders>
              <w:top w:val="nil"/>
              <w:left w:val="single" w:sz="4" w:space="0" w:color="auto"/>
              <w:bottom w:val="single" w:sz="4" w:space="0" w:color="auto"/>
              <w:right w:val="single" w:sz="4" w:space="0" w:color="auto"/>
            </w:tcBorders>
            <w:shd w:val="clear" w:color="auto" w:fill="auto"/>
            <w:vAlign w:val="bottom"/>
          </w:tcPr>
          <w:p w:rsidR="005B6F13" w:rsidP="005B6F13" w14:paraId="0BB46612" w14:textId="1159AC2B">
            <w:r>
              <w:rPr>
                <w:rFonts w:ascii="Arial Narrow" w:hAnsi="Arial Narrow" w:cs="Arial"/>
                <w:color w:val="000000"/>
                <w:sz w:val="20"/>
                <w:szCs w:val="20"/>
              </w:rPr>
              <w:t>2.44</w:t>
            </w:r>
          </w:p>
        </w:tc>
        <w:tc>
          <w:tcPr>
            <w:tcW w:w="1980" w:type="dxa"/>
            <w:tcBorders>
              <w:top w:val="nil"/>
              <w:left w:val="nil"/>
              <w:bottom w:val="single" w:sz="4" w:space="0" w:color="auto"/>
              <w:right w:val="single" w:sz="4" w:space="0" w:color="auto"/>
            </w:tcBorders>
            <w:shd w:val="clear" w:color="auto" w:fill="auto"/>
            <w:vAlign w:val="bottom"/>
          </w:tcPr>
          <w:p w:rsidR="003A1275" w:rsidP="003A1275" w14:paraId="22DABB78" w14:textId="1B4DA254">
            <w:pPr>
              <w:rPr>
                <w:rFonts w:ascii="Arial Narrow" w:hAnsi="Arial Narrow" w:cs="Arial"/>
                <w:color w:val="000000"/>
                <w:sz w:val="20"/>
                <w:szCs w:val="20"/>
              </w:rPr>
            </w:pPr>
            <w:r>
              <w:rPr>
                <w:rFonts w:ascii="Arial Narrow" w:hAnsi="Arial Narrow" w:cs="Arial"/>
                <w:color w:val="000000"/>
                <w:sz w:val="20"/>
                <w:szCs w:val="20"/>
              </w:rPr>
              <w:t xml:space="preserve">$205 </w:t>
            </w:r>
          </w:p>
        </w:tc>
        <w:tc>
          <w:tcPr>
            <w:tcW w:w="1993" w:type="dxa"/>
            <w:tcBorders>
              <w:top w:val="nil"/>
              <w:left w:val="nil"/>
              <w:bottom w:val="single" w:sz="4" w:space="0" w:color="auto"/>
              <w:right w:val="single" w:sz="4" w:space="0" w:color="auto"/>
            </w:tcBorders>
            <w:shd w:val="clear" w:color="auto" w:fill="auto"/>
            <w:vAlign w:val="bottom"/>
          </w:tcPr>
          <w:p w:rsidR="005B6F13" w:rsidP="005B6F13" w14:paraId="32F33810" w14:textId="382EB720">
            <w:r>
              <w:rPr>
                <w:rFonts w:ascii="Arial Narrow" w:hAnsi="Arial Narrow" w:cs="Arial"/>
                <w:color w:val="000000"/>
                <w:sz w:val="20"/>
                <w:szCs w:val="20"/>
              </w:rPr>
              <w:t xml:space="preserve">$197 </w:t>
            </w:r>
          </w:p>
        </w:tc>
      </w:tr>
      <w:tr w14:paraId="7A5D8169" w14:textId="77777777" w:rsidTr="00170F8A">
        <w:tblPrEx>
          <w:tblW w:w="9466" w:type="dxa"/>
          <w:tblLayout w:type="fixed"/>
          <w:tblLook w:val="06A0"/>
        </w:tblPrEx>
        <w:trPr>
          <w:gridAfter w:val="1"/>
          <w:wAfter w:w="8" w:type="dxa"/>
          <w:trHeight w:val="285"/>
        </w:trPr>
        <w:tc>
          <w:tcPr>
            <w:tcW w:w="3145" w:type="dxa"/>
            <w:tcBorders>
              <w:top w:val="single" w:sz="4" w:space="0" w:color="auto"/>
              <w:left w:val="single" w:sz="4" w:space="0" w:color="auto"/>
              <w:bottom w:val="single" w:sz="4" w:space="0" w:color="auto"/>
              <w:right w:val="single" w:sz="4" w:space="0" w:color="auto"/>
            </w:tcBorders>
            <w:vAlign w:val="bottom"/>
          </w:tcPr>
          <w:p w:rsidR="005B6F13" w:rsidP="005B6F13" w14:paraId="69BE459B" w14:textId="2C774DCD">
            <w:r w:rsidRPr="6D5BA1AE">
              <w:rPr>
                <w:rFonts w:ascii="Arial Narrow" w:eastAsia="Arial Narrow" w:hAnsi="Arial Narrow" w:cs="Arial Narrow"/>
                <w:color w:val="000000" w:themeColor="text1"/>
                <w:sz w:val="20"/>
                <w:szCs w:val="20"/>
              </w:rPr>
              <w:t xml:space="preserve">   Non-Reporting Firms</w:t>
            </w:r>
          </w:p>
        </w:tc>
        <w:tc>
          <w:tcPr>
            <w:tcW w:w="2340" w:type="dxa"/>
            <w:tcBorders>
              <w:top w:val="nil"/>
              <w:left w:val="single" w:sz="4" w:space="0" w:color="auto"/>
              <w:bottom w:val="single" w:sz="4" w:space="0" w:color="auto"/>
              <w:right w:val="single" w:sz="4" w:space="0" w:color="auto"/>
            </w:tcBorders>
            <w:shd w:val="clear" w:color="auto" w:fill="auto"/>
            <w:vAlign w:val="bottom"/>
          </w:tcPr>
          <w:p w:rsidR="005B6F13" w:rsidP="005B6F13" w14:paraId="5AC8EC94" w14:textId="733427BB">
            <w:r>
              <w:rPr>
                <w:rFonts w:ascii="Arial Narrow" w:hAnsi="Arial Narrow" w:cs="Arial"/>
                <w:color w:val="000000"/>
                <w:sz w:val="20"/>
                <w:szCs w:val="20"/>
              </w:rPr>
              <w:t>8.31</w:t>
            </w:r>
          </w:p>
        </w:tc>
        <w:tc>
          <w:tcPr>
            <w:tcW w:w="1980" w:type="dxa"/>
            <w:tcBorders>
              <w:top w:val="nil"/>
              <w:left w:val="nil"/>
              <w:bottom w:val="single" w:sz="4" w:space="0" w:color="auto"/>
              <w:right w:val="single" w:sz="4" w:space="0" w:color="auto"/>
            </w:tcBorders>
            <w:shd w:val="clear" w:color="auto" w:fill="auto"/>
            <w:vAlign w:val="bottom"/>
          </w:tcPr>
          <w:p w:rsidR="003A1275" w:rsidP="003A1275" w14:paraId="6124F235" w14:textId="70F22F5C">
            <w:pPr>
              <w:rPr>
                <w:rFonts w:ascii="Arial Narrow" w:hAnsi="Arial Narrow" w:cs="Arial"/>
                <w:color w:val="000000"/>
                <w:sz w:val="20"/>
                <w:szCs w:val="20"/>
              </w:rPr>
            </w:pPr>
            <w:r>
              <w:rPr>
                <w:rFonts w:ascii="Arial Narrow" w:hAnsi="Arial Narrow" w:cs="Arial"/>
                <w:color w:val="000000"/>
                <w:sz w:val="20"/>
                <w:szCs w:val="20"/>
              </w:rPr>
              <w:t xml:space="preserve">$699 </w:t>
            </w:r>
          </w:p>
        </w:tc>
        <w:tc>
          <w:tcPr>
            <w:tcW w:w="1993" w:type="dxa"/>
            <w:tcBorders>
              <w:top w:val="nil"/>
              <w:left w:val="nil"/>
              <w:bottom w:val="single" w:sz="4" w:space="0" w:color="auto"/>
              <w:right w:val="single" w:sz="4" w:space="0" w:color="auto"/>
            </w:tcBorders>
            <w:shd w:val="clear" w:color="auto" w:fill="auto"/>
            <w:vAlign w:val="bottom"/>
          </w:tcPr>
          <w:p w:rsidR="005B6F13" w:rsidP="005B6F13" w14:paraId="1EA66A2F" w14:textId="32E51A5C">
            <w:r>
              <w:rPr>
                <w:rFonts w:ascii="Arial Narrow" w:hAnsi="Arial Narrow" w:cs="Arial"/>
                <w:color w:val="000000"/>
                <w:sz w:val="20"/>
                <w:szCs w:val="20"/>
              </w:rPr>
              <w:t xml:space="preserve">$673 </w:t>
            </w:r>
          </w:p>
        </w:tc>
      </w:tr>
      <w:tr w14:paraId="45F9E3E3" w14:textId="77777777" w:rsidTr="00170F8A">
        <w:tblPrEx>
          <w:tblW w:w="9466" w:type="dxa"/>
          <w:tblLayout w:type="fixed"/>
          <w:tblLook w:val="06A0"/>
        </w:tblPrEx>
        <w:trPr>
          <w:gridAfter w:val="1"/>
          <w:wAfter w:w="8" w:type="dxa"/>
          <w:trHeight w:val="285"/>
        </w:trPr>
        <w:tc>
          <w:tcPr>
            <w:tcW w:w="3145" w:type="dxa"/>
            <w:tcBorders>
              <w:top w:val="single" w:sz="4" w:space="0" w:color="auto"/>
              <w:left w:val="single" w:sz="4" w:space="0" w:color="auto"/>
              <w:bottom w:val="single" w:sz="4" w:space="0" w:color="auto"/>
              <w:right w:val="single" w:sz="4" w:space="0" w:color="auto"/>
            </w:tcBorders>
            <w:vAlign w:val="bottom"/>
          </w:tcPr>
          <w:p w:rsidR="005B6F13" w:rsidP="005B6F13" w14:paraId="592355D5" w14:textId="54DAC04F">
            <w:r w:rsidRPr="6D5BA1AE">
              <w:rPr>
                <w:rFonts w:ascii="Arial Narrow" w:eastAsia="Arial Narrow" w:hAnsi="Arial Narrow" w:cs="Arial Narrow"/>
                <w:color w:val="000000" w:themeColor="text1"/>
                <w:sz w:val="20"/>
                <w:szCs w:val="20"/>
              </w:rPr>
              <w:t>Compliance Determination</w:t>
            </w:r>
          </w:p>
        </w:tc>
        <w:tc>
          <w:tcPr>
            <w:tcW w:w="2340" w:type="dxa"/>
            <w:tcBorders>
              <w:top w:val="nil"/>
              <w:left w:val="single" w:sz="4" w:space="0" w:color="auto"/>
              <w:bottom w:val="single" w:sz="4" w:space="0" w:color="auto"/>
              <w:right w:val="single" w:sz="4" w:space="0" w:color="auto"/>
            </w:tcBorders>
            <w:shd w:val="clear" w:color="auto" w:fill="auto"/>
            <w:vAlign w:val="bottom"/>
          </w:tcPr>
          <w:p w:rsidR="005B6F13" w:rsidP="005B6F13" w14:paraId="0290EBDC" w14:textId="1A3104C8">
            <w:r>
              <w:rPr>
                <w:rFonts w:cs="Arial"/>
                <w:color w:val="000000"/>
                <w:sz w:val="22"/>
              </w:rPr>
              <w:t> </w:t>
            </w:r>
          </w:p>
        </w:tc>
        <w:tc>
          <w:tcPr>
            <w:tcW w:w="1980" w:type="dxa"/>
            <w:tcBorders>
              <w:top w:val="nil"/>
              <w:left w:val="nil"/>
              <w:bottom w:val="single" w:sz="4" w:space="0" w:color="auto"/>
              <w:right w:val="single" w:sz="4" w:space="0" w:color="auto"/>
            </w:tcBorders>
            <w:shd w:val="clear" w:color="auto" w:fill="auto"/>
            <w:vAlign w:val="bottom"/>
          </w:tcPr>
          <w:p w:rsidR="003A1275" w:rsidP="003A1275" w14:paraId="41FE16FD" w14:textId="01C9860C">
            <w:pPr>
              <w:rPr>
                <w:rFonts w:cs="Arial"/>
                <w:color w:val="000000"/>
                <w:sz w:val="22"/>
              </w:rPr>
            </w:pPr>
            <w:r>
              <w:rPr>
                <w:rFonts w:cs="Arial"/>
                <w:color w:val="000000"/>
                <w:sz w:val="22"/>
              </w:rPr>
              <w:t> </w:t>
            </w:r>
          </w:p>
        </w:tc>
        <w:tc>
          <w:tcPr>
            <w:tcW w:w="1993" w:type="dxa"/>
            <w:tcBorders>
              <w:top w:val="nil"/>
              <w:left w:val="nil"/>
              <w:bottom w:val="single" w:sz="4" w:space="0" w:color="auto"/>
              <w:right w:val="single" w:sz="4" w:space="0" w:color="auto"/>
            </w:tcBorders>
            <w:shd w:val="clear" w:color="auto" w:fill="auto"/>
            <w:vAlign w:val="bottom"/>
          </w:tcPr>
          <w:p w:rsidR="005B6F13" w:rsidP="005B6F13" w14:paraId="76AFBE28" w14:textId="65911976">
            <w:r>
              <w:rPr>
                <w:rFonts w:cs="Arial"/>
                <w:color w:val="000000"/>
                <w:sz w:val="22"/>
              </w:rPr>
              <w:t> </w:t>
            </w:r>
          </w:p>
        </w:tc>
      </w:tr>
      <w:tr w14:paraId="3AC0940B" w14:textId="77777777" w:rsidTr="00170F8A">
        <w:tblPrEx>
          <w:tblW w:w="9466" w:type="dxa"/>
          <w:tblLayout w:type="fixed"/>
          <w:tblLook w:val="06A0"/>
        </w:tblPrEx>
        <w:trPr>
          <w:gridAfter w:val="1"/>
          <w:wAfter w:w="8" w:type="dxa"/>
          <w:trHeight w:val="285"/>
        </w:trPr>
        <w:tc>
          <w:tcPr>
            <w:tcW w:w="3145" w:type="dxa"/>
            <w:tcBorders>
              <w:top w:val="single" w:sz="4" w:space="0" w:color="auto"/>
              <w:left w:val="single" w:sz="4" w:space="0" w:color="auto"/>
              <w:bottom w:val="single" w:sz="4" w:space="0" w:color="auto"/>
              <w:right w:val="single" w:sz="4" w:space="0" w:color="auto"/>
            </w:tcBorders>
            <w:vAlign w:val="bottom"/>
          </w:tcPr>
          <w:p w:rsidR="005B6F13" w:rsidP="005B6F13" w14:paraId="2554DD91" w14:textId="274B6947">
            <w:r w:rsidRPr="6D5BA1AE">
              <w:rPr>
                <w:rFonts w:ascii="Arial Narrow" w:eastAsia="Arial Narrow" w:hAnsi="Arial Narrow" w:cs="Arial Narrow"/>
                <w:color w:val="000000" w:themeColor="text1"/>
                <w:sz w:val="20"/>
                <w:szCs w:val="20"/>
              </w:rPr>
              <w:t xml:space="preserve">   Manufacturers</w:t>
            </w:r>
          </w:p>
        </w:tc>
        <w:tc>
          <w:tcPr>
            <w:tcW w:w="2340" w:type="dxa"/>
            <w:tcBorders>
              <w:top w:val="nil"/>
              <w:left w:val="single" w:sz="4" w:space="0" w:color="auto"/>
              <w:bottom w:val="single" w:sz="4" w:space="0" w:color="auto"/>
              <w:right w:val="single" w:sz="4" w:space="0" w:color="auto"/>
            </w:tcBorders>
            <w:shd w:val="clear" w:color="auto" w:fill="auto"/>
            <w:vAlign w:val="bottom"/>
          </w:tcPr>
          <w:p w:rsidR="005B6F13" w:rsidP="005B6F13" w14:paraId="63DDB74C" w14:textId="0A8AB589">
            <w:r>
              <w:rPr>
                <w:rFonts w:ascii="Arial Narrow" w:hAnsi="Arial Narrow" w:cs="Arial"/>
                <w:color w:val="000000"/>
                <w:sz w:val="20"/>
                <w:szCs w:val="20"/>
              </w:rPr>
              <w:t>0.01</w:t>
            </w:r>
          </w:p>
        </w:tc>
        <w:tc>
          <w:tcPr>
            <w:tcW w:w="1980" w:type="dxa"/>
            <w:tcBorders>
              <w:top w:val="nil"/>
              <w:left w:val="nil"/>
              <w:bottom w:val="single" w:sz="4" w:space="0" w:color="auto"/>
              <w:right w:val="single" w:sz="4" w:space="0" w:color="auto"/>
            </w:tcBorders>
            <w:shd w:val="clear" w:color="auto" w:fill="auto"/>
            <w:vAlign w:val="bottom"/>
          </w:tcPr>
          <w:p w:rsidR="003A1275" w:rsidP="003A1275" w14:paraId="3C7A554F" w14:textId="0BD8B12E">
            <w:pPr>
              <w:rPr>
                <w:rFonts w:ascii="Arial Narrow" w:hAnsi="Arial Narrow" w:cs="Arial"/>
                <w:color w:val="000000"/>
                <w:sz w:val="20"/>
                <w:szCs w:val="20"/>
              </w:rPr>
            </w:pPr>
            <w:r>
              <w:rPr>
                <w:rFonts w:ascii="Arial Narrow" w:hAnsi="Arial Narrow" w:cs="Arial"/>
                <w:color w:val="000000"/>
                <w:sz w:val="20"/>
                <w:szCs w:val="20"/>
              </w:rPr>
              <w:t xml:space="preserve">$1 </w:t>
            </w:r>
          </w:p>
        </w:tc>
        <w:tc>
          <w:tcPr>
            <w:tcW w:w="1993" w:type="dxa"/>
            <w:tcBorders>
              <w:top w:val="nil"/>
              <w:left w:val="nil"/>
              <w:bottom w:val="single" w:sz="4" w:space="0" w:color="auto"/>
              <w:right w:val="single" w:sz="4" w:space="0" w:color="auto"/>
            </w:tcBorders>
            <w:shd w:val="clear" w:color="auto" w:fill="auto"/>
            <w:vAlign w:val="bottom"/>
          </w:tcPr>
          <w:p w:rsidR="005B6F13" w:rsidP="005B6F13" w14:paraId="17C97FB0" w14:textId="0663114E">
            <w:r>
              <w:rPr>
                <w:rFonts w:ascii="Arial Narrow" w:hAnsi="Arial Narrow" w:cs="Arial"/>
                <w:color w:val="000000"/>
                <w:sz w:val="20"/>
                <w:szCs w:val="20"/>
              </w:rPr>
              <w:t xml:space="preserve">$1 </w:t>
            </w:r>
          </w:p>
        </w:tc>
      </w:tr>
      <w:tr w14:paraId="155D54D5" w14:textId="77777777" w:rsidTr="00170F8A">
        <w:tblPrEx>
          <w:tblW w:w="9466" w:type="dxa"/>
          <w:tblLayout w:type="fixed"/>
          <w:tblLook w:val="06A0"/>
        </w:tblPrEx>
        <w:trPr>
          <w:gridAfter w:val="1"/>
          <w:wAfter w:w="8" w:type="dxa"/>
          <w:trHeight w:val="285"/>
        </w:trPr>
        <w:tc>
          <w:tcPr>
            <w:tcW w:w="3145" w:type="dxa"/>
            <w:tcBorders>
              <w:top w:val="single" w:sz="4" w:space="0" w:color="auto"/>
              <w:left w:val="single" w:sz="4" w:space="0" w:color="auto"/>
              <w:bottom w:val="single" w:sz="4" w:space="0" w:color="auto"/>
              <w:right w:val="single" w:sz="4" w:space="0" w:color="auto"/>
            </w:tcBorders>
            <w:vAlign w:val="bottom"/>
          </w:tcPr>
          <w:p w:rsidR="005B6F13" w:rsidP="005B6F13" w14:paraId="506F4C1A" w14:textId="0674F5E8">
            <w:r w:rsidRPr="6D5BA1AE">
              <w:rPr>
                <w:rFonts w:ascii="Arial Narrow" w:eastAsia="Arial Narrow" w:hAnsi="Arial Narrow" w:cs="Arial Narrow"/>
                <w:color w:val="000000" w:themeColor="text1"/>
                <w:sz w:val="20"/>
                <w:szCs w:val="20"/>
              </w:rPr>
              <w:t xml:space="preserve">   Article Importers</w:t>
            </w:r>
          </w:p>
        </w:tc>
        <w:tc>
          <w:tcPr>
            <w:tcW w:w="2340" w:type="dxa"/>
            <w:tcBorders>
              <w:top w:val="nil"/>
              <w:left w:val="single" w:sz="4" w:space="0" w:color="auto"/>
              <w:bottom w:val="single" w:sz="4" w:space="0" w:color="auto"/>
              <w:right w:val="single" w:sz="4" w:space="0" w:color="auto"/>
            </w:tcBorders>
            <w:shd w:val="clear" w:color="auto" w:fill="auto"/>
            <w:vAlign w:val="bottom"/>
          </w:tcPr>
          <w:p w:rsidR="005B6F13" w:rsidP="005B6F13" w14:paraId="5F89452C" w14:textId="219B8A38">
            <w:r>
              <w:rPr>
                <w:rFonts w:ascii="Arial Narrow" w:hAnsi="Arial Narrow" w:cs="Arial"/>
                <w:color w:val="000000"/>
                <w:sz w:val="20"/>
                <w:szCs w:val="20"/>
              </w:rPr>
              <w:t>57.24</w:t>
            </w:r>
          </w:p>
        </w:tc>
        <w:tc>
          <w:tcPr>
            <w:tcW w:w="1980" w:type="dxa"/>
            <w:tcBorders>
              <w:top w:val="nil"/>
              <w:left w:val="nil"/>
              <w:bottom w:val="single" w:sz="4" w:space="0" w:color="auto"/>
              <w:right w:val="single" w:sz="4" w:space="0" w:color="auto"/>
            </w:tcBorders>
            <w:shd w:val="clear" w:color="auto" w:fill="auto"/>
            <w:vAlign w:val="bottom"/>
          </w:tcPr>
          <w:p w:rsidR="003A1275" w:rsidP="003A1275" w14:paraId="62A99BFE" w14:textId="3C0ADFC6">
            <w:pPr>
              <w:rPr>
                <w:rFonts w:ascii="Arial Narrow" w:hAnsi="Arial Narrow" w:cs="Arial"/>
                <w:color w:val="000000"/>
                <w:sz w:val="20"/>
                <w:szCs w:val="20"/>
              </w:rPr>
            </w:pPr>
            <w:r>
              <w:rPr>
                <w:rFonts w:ascii="Arial Narrow" w:hAnsi="Arial Narrow" w:cs="Arial"/>
                <w:color w:val="000000"/>
                <w:sz w:val="20"/>
                <w:szCs w:val="20"/>
              </w:rPr>
              <w:t xml:space="preserve">$3,860 </w:t>
            </w:r>
          </w:p>
        </w:tc>
        <w:tc>
          <w:tcPr>
            <w:tcW w:w="1993" w:type="dxa"/>
            <w:tcBorders>
              <w:top w:val="nil"/>
              <w:left w:val="nil"/>
              <w:bottom w:val="single" w:sz="4" w:space="0" w:color="auto"/>
              <w:right w:val="single" w:sz="4" w:space="0" w:color="auto"/>
            </w:tcBorders>
            <w:shd w:val="clear" w:color="auto" w:fill="auto"/>
            <w:vAlign w:val="bottom"/>
          </w:tcPr>
          <w:p w:rsidR="005B6F13" w:rsidP="005B6F13" w14:paraId="179B39AA" w14:textId="6712589D">
            <w:r>
              <w:rPr>
                <w:rFonts w:ascii="Arial Narrow" w:hAnsi="Arial Narrow" w:cs="Arial"/>
                <w:color w:val="000000"/>
                <w:sz w:val="20"/>
                <w:szCs w:val="20"/>
              </w:rPr>
              <w:t xml:space="preserve">$3,653 </w:t>
            </w:r>
          </w:p>
        </w:tc>
      </w:tr>
      <w:tr w14:paraId="298C8D0C" w14:textId="77777777" w:rsidTr="00170F8A">
        <w:tblPrEx>
          <w:tblW w:w="9466" w:type="dxa"/>
          <w:tblLayout w:type="fixed"/>
          <w:tblLook w:val="06A0"/>
        </w:tblPrEx>
        <w:trPr>
          <w:gridAfter w:val="1"/>
          <w:wAfter w:w="8" w:type="dxa"/>
          <w:trHeight w:val="285"/>
        </w:trPr>
        <w:tc>
          <w:tcPr>
            <w:tcW w:w="3145" w:type="dxa"/>
            <w:tcBorders>
              <w:top w:val="single" w:sz="4" w:space="0" w:color="auto"/>
              <w:left w:val="single" w:sz="4" w:space="0" w:color="auto"/>
              <w:bottom w:val="single" w:sz="4" w:space="0" w:color="auto"/>
              <w:right w:val="single" w:sz="4" w:space="0" w:color="auto"/>
            </w:tcBorders>
            <w:vAlign w:val="bottom"/>
          </w:tcPr>
          <w:p w:rsidR="005B6F13" w:rsidP="005B6F13" w14:paraId="5A262E05" w14:textId="1DA1CC3B">
            <w:r w:rsidRPr="6D5BA1AE">
              <w:rPr>
                <w:rFonts w:ascii="Arial Narrow" w:eastAsia="Arial Narrow" w:hAnsi="Arial Narrow" w:cs="Arial Narrow"/>
                <w:color w:val="000000" w:themeColor="text1"/>
                <w:sz w:val="20"/>
                <w:szCs w:val="20"/>
              </w:rPr>
              <w:t>Form Completion</w:t>
            </w:r>
          </w:p>
        </w:tc>
        <w:tc>
          <w:tcPr>
            <w:tcW w:w="2340" w:type="dxa"/>
            <w:tcBorders>
              <w:top w:val="nil"/>
              <w:left w:val="single" w:sz="4" w:space="0" w:color="auto"/>
              <w:bottom w:val="single" w:sz="4" w:space="0" w:color="auto"/>
              <w:right w:val="single" w:sz="4" w:space="0" w:color="auto"/>
            </w:tcBorders>
            <w:shd w:val="clear" w:color="auto" w:fill="auto"/>
            <w:vAlign w:val="bottom"/>
          </w:tcPr>
          <w:p w:rsidR="005B6F13" w:rsidP="005B6F13" w14:paraId="18B2D4CE" w14:textId="45DE69CF">
            <w:r>
              <w:rPr>
                <w:rFonts w:ascii="Arial Narrow" w:hAnsi="Arial Narrow" w:cs="Arial"/>
                <w:color w:val="000000"/>
                <w:sz w:val="20"/>
                <w:szCs w:val="20"/>
              </w:rPr>
              <w:t> </w:t>
            </w:r>
          </w:p>
        </w:tc>
        <w:tc>
          <w:tcPr>
            <w:tcW w:w="1980" w:type="dxa"/>
            <w:tcBorders>
              <w:top w:val="nil"/>
              <w:left w:val="nil"/>
              <w:bottom w:val="single" w:sz="4" w:space="0" w:color="auto"/>
              <w:right w:val="single" w:sz="4" w:space="0" w:color="auto"/>
            </w:tcBorders>
            <w:shd w:val="clear" w:color="auto" w:fill="auto"/>
            <w:vAlign w:val="bottom"/>
          </w:tcPr>
          <w:p w:rsidR="003A1275" w:rsidP="003A1275" w14:paraId="4FE4627E" w14:textId="638B6F9F">
            <w:pPr>
              <w:rPr>
                <w:rFonts w:ascii="Arial Narrow" w:hAnsi="Arial Narrow" w:cs="Arial"/>
                <w:color w:val="000000"/>
                <w:sz w:val="20"/>
                <w:szCs w:val="20"/>
              </w:rPr>
            </w:pPr>
            <w:r>
              <w:rPr>
                <w:rFonts w:ascii="Arial Narrow" w:hAnsi="Arial Narrow" w:cs="Arial"/>
                <w:color w:val="000000"/>
                <w:sz w:val="20"/>
                <w:szCs w:val="20"/>
              </w:rPr>
              <w:t> </w:t>
            </w:r>
          </w:p>
        </w:tc>
        <w:tc>
          <w:tcPr>
            <w:tcW w:w="1993" w:type="dxa"/>
            <w:tcBorders>
              <w:top w:val="nil"/>
              <w:left w:val="nil"/>
              <w:bottom w:val="single" w:sz="4" w:space="0" w:color="auto"/>
              <w:right w:val="single" w:sz="4" w:space="0" w:color="auto"/>
            </w:tcBorders>
            <w:shd w:val="clear" w:color="auto" w:fill="auto"/>
            <w:vAlign w:val="bottom"/>
          </w:tcPr>
          <w:p w:rsidR="005B6F13" w:rsidP="005B6F13" w14:paraId="51668C42" w14:textId="008DFDD3">
            <w:r>
              <w:rPr>
                <w:rFonts w:cs="Arial"/>
                <w:color w:val="000000"/>
                <w:sz w:val="22"/>
              </w:rPr>
              <w:t> </w:t>
            </w:r>
          </w:p>
        </w:tc>
      </w:tr>
      <w:tr w14:paraId="27F97E37" w14:textId="77777777" w:rsidTr="00170F8A">
        <w:tblPrEx>
          <w:tblW w:w="9466" w:type="dxa"/>
          <w:tblLayout w:type="fixed"/>
          <w:tblLook w:val="06A0"/>
        </w:tblPrEx>
        <w:trPr>
          <w:gridAfter w:val="1"/>
          <w:wAfter w:w="8" w:type="dxa"/>
          <w:trHeight w:val="285"/>
        </w:trPr>
        <w:tc>
          <w:tcPr>
            <w:tcW w:w="3145" w:type="dxa"/>
            <w:tcBorders>
              <w:top w:val="single" w:sz="4" w:space="0" w:color="auto"/>
              <w:left w:val="single" w:sz="4" w:space="0" w:color="auto"/>
              <w:bottom w:val="single" w:sz="4" w:space="0" w:color="auto"/>
              <w:right w:val="single" w:sz="4" w:space="0" w:color="auto"/>
            </w:tcBorders>
            <w:vAlign w:val="bottom"/>
          </w:tcPr>
          <w:p w:rsidR="005B6F13" w:rsidP="005B6F13" w14:paraId="0469EDAA" w14:textId="6C241884">
            <w:r w:rsidRPr="6D5BA1AE">
              <w:rPr>
                <w:rFonts w:ascii="Arial Narrow" w:eastAsia="Arial Narrow" w:hAnsi="Arial Narrow" w:cs="Arial Narrow"/>
                <w:color w:val="000000" w:themeColor="text1"/>
                <w:sz w:val="20"/>
                <w:szCs w:val="20"/>
              </w:rPr>
              <w:t xml:space="preserve">   Manufacturers</w:t>
            </w:r>
          </w:p>
        </w:tc>
        <w:tc>
          <w:tcPr>
            <w:tcW w:w="2340" w:type="dxa"/>
            <w:tcBorders>
              <w:top w:val="nil"/>
              <w:left w:val="single" w:sz="4" w:space="0" w:color="auto"/>
              <w:bottom w:val="single" w:sz="4" w:space="0" w:color="auto"/>
              <w:right w:val="single" w:sz="4" w:space="0" w:color="auto"/>
            </w:tcBorders>
            <w:shd w:val="clear" w:color="auto" w:fill="auto"/>
            <w:vAlign w:val="bottom"/>
          </w:tcPr>
          <w:p w:rsidR="005B6F13" w:rsidP="005B6F13" w14:paraId="1994A3BA" w14:textId="624F3009">
            <w:r>
              <w:rPr>
                <w:rFonts w:ascii="Arial Narrow" w:hAnsi="Arial Narrow" w:cs="Arial"/>
                <w:color w:val="000000"/>
                <w:sz w:val="20"/>
                <w:szCs w:val="20"/>
              </w:rPr>
              <w:t>1.03</w:t>
            </w:r>
          </w:p>
        </w:tc>
        <w:tc>
          <w:tcPr>
            <w:tcW w:w="1980" w:type="dxa"/>
            <w:tcBorders>
              <w:top w:val="nil"/>
              <w:left w:val="nil"/>
              <w:bottom w:val="single" w:sz="4" w:space="0" w:color="auto"/>
              <w:right w:val="single" w:sz="4" w:space="0" w:color="auto"/>
            </w:tcBorders>
            <w:shd w:val="clear" w:color="auto" w:fill="auto"/>
            <w:vAlign w:val="bottom"/>
          </w:tcPr>
          <w:p w:rsidR="003A1275" w:rsidP="003A1275" w14:paraId="46B30AE0" w14:textId="7050CF15">
            <w:pPr>
              <w:rPr>
                <w:rFonts w:ascii="Arial Narrow" w:hAnsi="Arial Narrow" w:cs="Arial"/>
                <w:color w:val="000000"/>
                <w:sz w:val="20"/>
                <w:szCs w:val="20"/>
              </w:rPr>
            </w:pPr>
            <w:r>
              <w:rPr>
                <w:rFonts w:ascii="Arial Narrow" w:hAnsi="Arial Narrow" w:cs="Arial"/>
                <w:color w:val="000000"/>
                <w:sz w:val="20"/>
                <w:szCs w:val="20"/>
              </w:rPr>
              <w:t xml:space="preserve">$82 </w:t>
            </w:r>
          </w:p>
        </w:tc>
        <w:tc>
          <w:tcPr>
            <w:tcW w:w="1993" w:type="dxa"/>
            <w:tcBorders>
              <w:top w:val="nil"/>
              <w:left w:val="nil"/>
              <w:bottom w:val="single" w:sz="4" w:space="0" w:color="auto"/>
              <w:right w:val="single" w:sz="4" w:space="0" w:color="auto"/>
            </w:tcBorders>
            <w:shd w:val="clear" w:color="auto" w:fill="auto"/>
            <w:vAlign w:val="bottom"/>
          </w:tcPr>
          <w:p w:rsidR="005B6F13" w:rsidP="005B6F13" w14:paraId="03635F7E" w14:textId="12F2C5CE">
            <w:r>
              <w:rPr>
                <w:rFonts w:ascii="Arial Narrow" w:hAnsi="Arial Narrow" w:cs="Arial"/>
                <w:color w:val="000000"/>
                <w:sz w:val="20"/>
                <w:szCs w:val="20"/>
              </w:rPr>
              <w:t xml:space="preserve">$79 </w:t>
            </w:r>
          </w:p>
        </w:tc>
      </w:tr>
      <w:tr w14:paraId="0D8AFA08" w14:textId="77777777" w:rsidTr="00170F8A">
        <w:tblPrEx>
          <w:tblW w:w="9466" w:type="dxa"/>
          <w:tblLayout w:type="fixed"/>
          <w:tblLook w:val="06A0"/>
        </w:tblPrEx>
        <w:trPr>
          <w:gridAfter w:val="1"/>
          <w:wAfter w:w="8" w:type="dxa"/>
          <w:trHeight w:val="285"/>
        </w:trPr>
        <w:tc>
          <w:tcPr>
            <w:tcW w:w="3145" w:type="dxa"/>
            <w:tcBorders>
              <w:top w:val="single" w:sz="4" w:space="0" w:color="auto"/>
              <w:left w:val="single" w:sz="4" w:space="0" w:color="auto"/>
              <w:bottom w:val="single" w:sz="4" w:space="0" w:color="auto"/>
              <w:right w:val="single" w:sz="4" w:space="0" w:color="auto"/>
            </w:tcBorders>
            <w:vAlign w:val="bottom"/>
          </w:tcPr>
          <w:p w:rsidR="005B6F13" w:rsidP="005B6F13" w14:paraId="6AD05298" w14:textId="709F53BA">
            <w:r w:rsidRPr="6D5BA1AE">
              <w:rPr>
                <w:rFonts w:ascii="Arial Narrow" w:eastAsia="Arial Narrow" w:hAnsi="Arial Narrow" w:cs="Arial Narrow"/>
                <w:color w:val="000000" w:themeColor="text1"/>
                <w:sz w:val="20"/>
                <w:szCs w:val="20"/>
              </w:rPr>
              <w:t xml:space="preserve">   Article Importers</w:t>
            </w:r>
          </w:p>
        </w:tc>
        <w:tc>
          <w:tcPr>
            <w:tcW w:w="2340" w:type="dxa"/>
            <w:tcBorders>
              <w:top w:val="nil"/>
              <w:left w:val="single" w:sz="4" w:space="0" w:color="auto"/>
              <w:bottom w:val="single" w:sz="4" w:space="0" w:color="auto"/>
              <w:right w:val="single" w:sz="4" w:space="0" w:color="auto"/>
            </w:tcBorders>
            <w:shd w:val="clear" w:color="auto" w:fill="auto"/>
            <w:vAlign w:val="bottom"/>
          </w:tcPr>
          <w:p w:rsidR="005B6F13" w:rsidP="005B6F13" w14:paraId="637402E6" w14:textId="069B2A6F">
            <w:r>
              <w:rPr>
                <w:rFonts w:ascii="Arial Narrow" w:hAnsi="Arial Narrow" w:cs="Arial"/>
                <w:color w:val="000000"/>
                <w:sz w:val="20"/>
                <w:szCs w:val="20"/>
              </w:rPr>
              <w:t>9.15</w:t>
            </w:r>
          </w:p>
        </w:tc>
        <w:tc>
          <w:tcPr>
            <w:tcW w:w="1980" w:type="dxa"/>
            <w:tcBorders>
              <w:top w:val="nil"/>
              <w:left w:val="nil"/>
              <w:bottom w:val="single" w:sz="4" w:space="0" w:color="auto"/>
              <w:right w:val="single" w:sz="4" w:space="0" w:color="auto"/>
            </w:tcBorders>
            <w:shd w:val="clear" w:color="auto" w:fill="auto"/>
            <w:vAlign w:val="bottom"/>
          </w:tcPr>
          <w:p w:rsidR="003A1275" w:rsidP="003A1275" w14:paraId="7322E3D4" w14:textId="55167D3F">
            <w:pPr>
              <w:rPr>
                <w:rFonts w:ascii="Arial Narrow" w:hAnsi="Arial Narrow" w:cs="Arial"/>
                <w:color w:val="000000"/>
                <w:sz w:val="20"/>
                <w:szCs w:val="20"/>
              </w:rPr>
            </w:pPr>
            <w:r>
              <w:rPr>
                <w:rFonts w:ascii="Arial Narrow" w:hAnsi="Arial Narrow" w:cs="Arial"/>
                <w:color w:val="000000"/>
                <w:sz w:val="20"/>
                <w:szCs w:val="20"/>
              </w:rPr>
              <w:t xml:space="preserve">$710 </w:t>
            </w:r>
          </w:p>
        </w:tc>
        <w:tc>
          <w:tcPr>
            <w:tcW w:w="1993" w:type="dxa"/>
            <w:tcBorders>
              <w:top w:val="nil"/>
              <w:left w:val="nil"/>
              <w:bottom w:val="single" w:sz="4" w:space="0" w:color="auto"/>
              <w:right w:val="single" w:sz="4" w:space="0" w:color="auto"/>
            </w:tcBorders>
            <w:shd w:val="clear" w:color="auto" w:fill="auto"/>
            <w:vAlign w:val="bottom"/>
          </w:tcPr>
          <w:p w:rsidR="005B6F13" w:rsidP="005B6F13" w14:paraId="1AF4CC00" w14:textId="09B79974">
            <w:r>
              <w:rPr>
                <w:rFonts w:ascii="Arial Narrow" w:hAnsi="Arial Narrow" w:cs="Arial"/>
                <w:color w:val="000000"/>
                <w:sz w:val="20"/>
                <w:szCs w:val="20"/>
              </w:rPr>
              <w:t xml:space="preserve">$661 </w:t>
            </w:r>
          </w:p>
        </w:tc>
      </w:tr>
      <w:tr w14:paraId="2E7D1B08" w14:textId="77777777" w:rsidTr="00170F8A">
        <w:tblPrEx>
          <w:tblW w:w="9466" w:type="dxa"/>
          <w:tblLayout w:type="fixed"/>
          <w:tblLook w:val="06A0"/>
        </w:tblPrEx>
        <w:trPr>
          <w:gridAfter w:val="1"/>
          <w:wAfter w:w="8" w:type="dxa"/>
          <w:trHeight w:val="285"/>
        </w:trPr>
        <w:tc>
          <w:tcPr>
            <w:tcW w:w="3145" w:type="dxa"/>
            <w:tcBorders>
              <w:top w:val="single" w:sz="4" w:space="0" w:color="auto"/>
              <w:left w:val="single" w:sz="4" w:space="0" w:color="auto"/>
              <w:bottom w:val="single" w:sz="4" w:space="0" w:color="auto"/>
              <w:right w:val="single" w:sz="4" w:space="0" w:color="auto"/>
            </w:tcBorders>
            <w:vAlign w:val="bottom"/>
          </w:tcPr>
          <w:p w:rsidR="005B6F13" w:rsidP="005B6F13" w14:paraId="36B73565" w14:textId="251ABA3D">
            <w:r w:rsidRPr="6D5BA1AE">
              <w:rPr>
                <w:rFonts w:ascii="Arial Narrow" w:eastAsia="Arial Narrow" w:hAnsi="Arial Narrow" w:cs="Arial Narrow"/>
                <w:color w:val="000000" w:themeColor="text1"/>
                <w:sz w:val="20"/>
                <w:szCs w:val="20"/>
              </w:rPr>
              <w:t>CBI Substantiation</w:t>
            </w:r>
          </w:p>
        </w:tc>
        <w:tc>
          <w:tcPr>
            <w:tcW w:w="2340" w:type="dxa"/>
            <w:tcBorders>
              <w:top w:val="nil"/>
              <w:left w:val="single" w:sz="4" w:space="0" w:color="auto"/>
              <w:bottom w:val="single" w:sz="4" w:space="0" w:color="auto"/>
              <w:right w:val="single" w:sz="4" w:space="0" w:color="auto"/>
            </w:tcBorders>
            <w:shd w:val="clear" w:color="auto" w:fill="auto"/>
            <w:vAlign w:val="bottom"/>
          </w:tcPr>
          <w:p w:rsidR="005B6F13" w:rsidP="005B6F13" w14:paraId="27DAE597" w14:textId="6386A24C">
            <w:r>
              <w:rPr>
                <w:rFonts w:ascii="Arial Narrow" w:hAnsi="Arial Narrow" w:cs="Arial"/>
                <w:color w:val="000000"/>
                <w:sz w:val="20"/>
                <w:szCs w:val="20"/>
              </w:rPr>
              <w:t> </w:t>
            </w:r>
          </w:p>
        </w:tc>
        <w:tc>
          <w:tcPr>
            <w:tcW w:w="1980" w:type="dxa"/>
            <w:tcBorders>
              <w:top w:val="nil"/>
              <w:left w:val="nil"/>
              <w:bottom w:val="single" w:sz="4" w:space="0" w:color="auto"/>
              <w:right w:val="single" w:sz="4" w:space="0" w:color="auto"/>
            </w:tcBorders>
            <w:shd w:val="clear" w:color="auto" w:fill="auto"/>
            <w:vAlign w:val="bottom"/>
          </w:tcPr>
          <w:p w:rsidR="003A1275" w:rsidP="003A1275" w14:paraId="74413492" w14:textId="55B51229">
            <w:pPr>
              <w:rPr>
                <w:rFonts w:ascii="Arial Narrow" w:hAnsi="Arial Narrow" w:cs="Arial"/>
                <w:color w:val="000000"/>
                <w:sz w:val="20"/>
                <w:szCs w:val="20"/>
              </w:rPr>
            </w:pPr>
            <w:r>
              <w:rPr>
                <w:rFonts w:ascii="Arial Narrow" w:hAnsi="Arial Narrow" w:cs="Arial"/>
                <w:color w:val="000000"/>
                <w:sz w:val="20"/>
                <w:szCs w:val="20"/>
              </w:rPr>
              <w:t> </w:t>
            </w:r>
          </w:p>
        </w:tc>
        <w:tc>
          <w:tcPr>
            <w:tcW w:w="1993" w:type="dxa"/>
            <w:tcBorders>
              <w:top w:val="nil"/>
              <w:left w:val="nil"/>
              <w:bottom w:val="single" w:sz="4" w:space="0" w:color="auto"/>
              <w:right w:val="single" w:sz="4" w:space="0" w:color="auto"/>
            </w:tcBorders>
            <w:shd w:val="clear" w:color="auto" w:fill="auto"/>
            <w:vAlign w:val="bottom"/>
          </w:tcPr>
          <w:p w:rsidR="005B6F13" w:rsidP="005B6F13" w14:paraId="6978D097" w14:textId="3F0D2F6D">
            <w:r>
              <w:rPr>
                <w:rFonts w:cs="Arial"/>
                <w:color w:val="000000"/>
                <w:sz w:val="22"/>
              </w:rPr>
              <w:t> </w:t>
            </w:r>
          </w:p>
        </w:tc>
      </w:tr>
      <w:tr w14:paraId="1AFAE872" w14:textId="77777777" w:rsidTr="00170F8A">
        <w:tblPrEx>
          <w:tblW w:w="9466" w:type="dxa"/>
          <w:tblLayout w:type="fixed"/>
          <w:tblLook w:val="06A0"/>
        </w:tblPrEx>
        <w:trPr>
          <w:gridAfter w:val="1"/>
          <w:wAfter w:w="8" w:type="dxa"/>
          <w:trHeight w:val="285"/>
        </w:trPr>
        <w:tc>
          <w:tcPr>
            <w:tcW w:w="3145" w:type="dxa"/>
            <w:tcBorders>
              <w:top w:val="single" w:sz="4" w:space="0" w:color="auto"/>
              <w:left w:val="single" w:sz="4" w:space="0" w:color="auto"/>
              <w:bottom w:val="single" w:sz="4" w:space="0" w:color="auto"/>
              <w:right w:val="single" w:sz="4" w:space="0" w:color="auto"/>
            </w:tcBorders>
            <w:vAlign w:val="bottom"/>
          </w:tcPr>
          <w:p w:rsidR="005B6F13" w:rsidP="005B6F13" w14:paraId="7D70DF3B" w14:textId="3C434627">
            <w:r w:rsidRPr="6D5BA1AE">
              <w:rPr>
                <w:rFonts w:ascii="Arial Narrow" w:eastAsia="Arial Narrow" w:hAnsi="Arial Narrow" w:cs="Arial Narrow"/>
                <w:color w:val="000000" w:themeColor="text1"/>
                <w:sz w:val="20"/>
                <w:szCs w:val="20"/>
              </w:rPr>
              <w:t xml:space="preserve">   Manufacturers</w:t>
            </w:r>
          </w:p>
        </w:tc>
        <w:tc>
          <w:tcPr>
            <w:tcW w:w="2340" w:type="dxa"/>
            <w:tcBorders>
              <w:top w:val="nil"/>
              <w:left w:val="single" w:sz="4" w:space="0" w:color="auto"/>
              <w:bottom w:val="single" w:sz="4" w:space="0" w:color="auto"/>
              <w:right w:val="single" w:sz="4" w:space="0" w:color="auto"/>
            </w:tcBorders>
            <w:shd w:val="clear" w:color="auto" w:fill="auto"/>
            <w:vAlign w:val="bottom"/>
          </w:tcPr>
          <w:p w:rsidR="005B6F13" w:rsidP="005B6F13" w14:paraId="7E5A591C" w14:textId="77E13F10">
            <w:r>
              <w:rPr>
                <w:rFonts w:ascii="Arial Narrow" w:hAnsi="Arial Narrow" w:cs="Arial"/>
                <w:color w:val="000000"/>
                <w:sz w:val="20"/>
                <w:szCs w:val="20"/>
              </w:rPr>
              <w:t>0.01</w:t>
            </w:r>
          </w:p>
        </w:tc>
        <w:tc>
          <w:tcPr>
            <w:tcW w:w="1980" w:type="dxa"/>
            <w:tcBorders>
              <w:top w:val="nil"/>
              <w:left w:val="nil"/>
              <w:bottom w:val="single" w:sz="4" w:space="0" w:color="auto"/>
              <w:right w:val="single" w:sz="4" w:space="0" w:color="auto"/>
            </w:tcBorders>
            <w:shd w:val="clear" w:color="auto" w:fill="auto"/>
            <w:vAlign w:val="bottom"/>
          </w:tcPr>
          <w:p w:rsidR="003A1275" w:rsidP="003A1275" w14:paraId="52F62D89" w14:textId="6CA69967">
            <w:pPr>
              <w:rPr>
                <w:rFonts w:ascii="Arial Narrow" w:hAnsi="Arial Narrow" w:cs="Arial"/>
                <w:color w:val="000000"/>
                <w:sz w:val="20"/>
                <w:szCs w:val="20"/>
              </w:rPr>
            </w:pPr>
            <w:r>
              <w:rPr>
                <w:rFonts w:ascii="Arial Narrow" w:hAnsi="Arial Narrow" w:cs="Arial"/>
                <w:color w:val="000000"/>
                <w:sz w:val="20"/>
                <w:szCs w:val="20"/>
              </w:rPr>
              <w:t xml:space="preserve">$1 </w:t>
            </w:r>
          </w:p>
        </w:tc>
        <w:tc>
          <w:tcPr>
            <w:tcW w:w="1993" w:type="dxa"/>
            <w:tcBorders>
              <w:top w:val="nil"/>
              <w:left w:val="nil"/>
              <w:bottom w:val="single" w:sz="4" w:space="0" w:color="auto"/>
              <w:right w:val="single" w:sz="4" w:space="0" w:color="auto"/>
            </w:tcBorders>
            <w:shd w:val="clear" w:color="auto" w:fill="auto"/>
            <w:vAlign w:val="bottom"/>
          </w:tcPr>
          <w:p w:rsidR="005B6F13" w:rsidP="005B6F13" w14:paraId="3F3C8EF3" w14:textId="173D3A2F">
            <w:r>
              <w:rPr>
                <w:rFonts w:ascii="Arial Narrow" w:hAnsi="Arial Narrow" w:cs="Arial"/>
                <w:color w:val="000000"/>
                <w:sz w:val="20"/>
                <w:szCs w:val="20"/>
              </w:rPr>
              <w:t xml:space="preserve">$1 </w:t>
            </w:r>
          </w:p>
        </w:tc>
      </w:tr>
      <w:tr w14:paraId="02E3E96D" w14:textId="77777777" w:rsidTr="00170F8A">
        <w:tblPrEx>
          <w:tblW w:w="9466" w:type="dxa"/>
          <w:tblLayout w:type="fixed"/>
          <w:tblLook w:val="06A0"/>
        </w:tblPrEx>
        <w:trPr>
          <w:gridAfter w:val="1"/>
          <w:wAfter w:w="8" w:type="dxa"/>
          <w:trHeight w:val="285"/>
        </w:trPr>
        <w:tc>
          <w:tcPr>
            <w:tcW w:w="3145" w:type="dxa"/>
            <w:tcBorders>
              <w:top w:val="single" w:sz="4" w:space="0" w:color="auto"/>
              <w:left w:val="single" w:sz="4" w:space="0" w:color="auto"/>
              <w:bottom w:val="single" w:sz="4" w:space="0" w:color="auto"/>
              <w:right w:val="single" w:sz="4" w:space="0" w:color="auto"/>
            </w:tcBorders>
            <w:vAlign w:val="bottom"/>
          </w:tcPr>
          <w:p w:rsidR="005B6F13" w:rsidP="005B6F13" w14:paraId="34505DFE" w14:textId="47E54191">
            <w:r w:rsidRPr="6D5BA1AE">
              <w:rPr>
                <w:rFonts w:ascii="Arial Narrow" w:eastAsia="Arial Narrow" w:hAnsi="Arial Narrow" w:cs="Arial Narrow"/>
                <w:color w:val="000000" w:themeColor="text1"/>
                <w:sz w:val="20"/>
                <w:szCs w:val="20"/>
              </w:rPr>
              <w:t xml:space="preserve">   Article Importers</w:t>
            </w:r>
          </w:p>
        </w:tc>
        <w:tc>
          <w:tcPr>
            <w:tcW w:w="2340" w:type="dxa"/>
            <w:tcBorders>
              <w:top w:val="nil"/>
              <w:left w:val="single" w:sz="4" w:space="0" w:color="auto"/>
              <w:bottom w:val="single" w:sz="4" w:space="0" w:color="auto"/>
              <w:right w:val="single" w:sz="4" w:space="0" w:color="auto"/>
            </w:tcBorders>
            <w:shd w:val="clear" w:color="auto" w:fill="auto"/>
            <w:vAlign w:val="bottom"/>
          </w:tcPr>
          <w:p w:rsidR="005B6F13" w:rsidP="005B6F13" w14:paraId="0BAC1CD2" w14:textId="22EDC9CF">
            <w:r>
              <w:rPr>
                <w:rFonts w:ascii="Arial Narrow" w:hAnsi="Arial Narrow" w:cs="Arial"/>
                <w:color w:val="000000"/>
                <w:sz w:val="20"/>
                <w:szCs w:val="20"/>
              </w:rPr>
              <w:t>0.22</w:t>
            </w:r>
          </w:p>
        </w:tc>
        <w:tc>
          <w:tcPr>
            <w:tcW w:w="1980" w:type="dxa"/>
            <w:tcBorders>
              <w:top w:val="nil"/>
              <w:left w:val="nil"/>
              <w:bottom w:val="single" w:sz="4" w:space="0" w:color="auto"/>
              <w:right w:val="single" w:sz="4" w:space="0" w:color="auto"/>
            </w:tcBorders>
            <w:shd w:val="clear" w:color="auto" w:fill="auto"/>
            <w:vAlign w:val="bottom"/>
          </w:tcPr>
          <w:p w:rsidR="003A1275" w:rsidP="003A1275" w14:paraId="675A857E" w14:textId="3CCFC59A">
            <w:pPr>
              <w:rPr>
                <w:rFonts w:ascii="Arial Narrow" w:hAnsi="Arial Narrow" w:cs="Arial"/>
                <w:color w:val="000000"/>
                <w:sz w:val="20"/>
                <w:szCs w:val="20"/>
              </w:rPr>
            </w:pPr>
            <w:r>
              <w:rPr>
                <w:rFonts w:ascii="Arial Narrow" w:hAnsi="Arial Narrow" w:cs="Arial"/>
                <w:color w:val="000000"/>
                <w:sz w:val="20"/>
                <w:szCs w:val="20"/>
              </w:rPr>
              <w:t xml:space="preserve">$17 </w:t>
            </w:r>
          </w:p>
        </w:tc>
        <w:tc>
          <w:tcPr>
            <w:tcW w:w="1993" w:type="dxa"/>
            <w:tcBorders>
              <w:top w:val="nil"/>
              <w:left w:val="nil"/>
              <w:bottom w:val="single" w:sz="4" w:space="0" w:color="auto"/>
              <w:right w:val="single" w:sz="4" w:space="0" w:color="auto"/>
            </w:tcBorders>
            <w:shd w:val="clear" w:color="auto" w:fill="auto"/>
            <w:vAlign w:val="bottom"/>
          </w:tcPr>
          <w:p w:rsidR="005B6F13" w:rsidP="005B6F13" w14:paraId="3CBD89E2" w14:textId="1763CE89">
            <w:r>
              <w:rPr>
                <w:rFonts w:ascii="Arial Narrow" w:hAnsi="Arial Narrow" w:cs="Arial"/>
                <w:color w:val="000000"/>
                <w:sz w:val="20"/>
                <w:szCs w:val="20"/>
              </w:rPr>
              <w:t xml:space="preserve">$16 </w:t>
            </w:r>
          </w:p>
        </w:tc>
      </w:tr>
      <w:tr w14:paraId="35266C5B" w14:textId="77777777" w:rsidTr="00170F8A">
        <w:tblPrEx>
          <w:tblW w:w="9466" w:type="dxa"/>
          <w:tblLayout w:type="fixed"/>
          <w:tblLook w:val="06A0"/>
        </w:tblPrEx>
        <w:trPr>
          <w:gridAfter w:val="1"/>
          <w:wAfter w:w="8" w:type="dxa"/>
          <w:trHeight w:val="285"/>
        </w:trPr>
        <w:tc>
          <w:tcPr>
            <w:tcW w:w="3145" w:type="dxa"/>
            <w:tcBorders>
              <w:top w:val="single" w:sz="4" w:space="0" w:color="auto"/>
              <w:left w:val="single" w:sz="4" w:space="0" w:color="auto"/>
              <w:bottom w:val="single" w:sz="4" w:space="0" w:color="auto"/>
              <w:right w:val="single" w:sz="4" w:space="0" w:color="auto"/>
            </w:tcBorders>
            <w:vAlign w:val="bottom"/>
          </w:tcPr>
          <w:p w:rsidR="005B6F13" w:rsidP="005B6F13" w14:paraId="48468853" w14:textId="10D6B34D">
            <w:r w:rsidRPr="6D5BA1AE">
              <w:rPr>
                <w:rFonts w:ascii="Arial Narrow" w:eastAsia="Arial Narrow" w:hAnsi="Arial Narrow" w:cs="Arial Narrow"/>
                <w:color w:val="000000" w:themeColor="text1"/>
                <w:sz w:val="20"/>
                <w:szCs w:val="20"/>
              </w:rPr>
              <w:t>Recordkeeping</w:t>
            </w:r>
          </w:p>
        </w:tc>
        <w:tc>
          <w:tcPr>
            <w:tcW w:w="2340" w:type="dxa"/>
            <w:tcBorders>
              <w:top w:val="nil"/>
              <w:left w:val="single" w:sz="4" w:space="0" w:color="auto"/>
              <w:bottom w:val="single" w:sz="4" w:space="0" w:color="auto"/>
              <w:right w:val="single" w:sz="4" w:space="0" w:color="auto"/>
            </w:tcBorders>
            <w:shd w:val="clear" w:color="auto" w:fill="auto"/>
            <w:vAlign w:val="bottom"/>
          </w:tcPr>
          <w:p w:rsidR="005B6F13" w:rsidP="005B6F13" w14:paraId="3425946F" w14:textId="6AF72A6B">
            <w:r>
              <w:rPr>
                <w:rFonts w:ascii="Arial Narrow" w:hAnsi="Arial Narrow" w:cs="Arial"/>
                <w:color w:val="000000"/>
                <w:sz w:val="20"/>
                <w:szCs w:val="20"/>
              </w:rPr>
              <w:t> </w:t>
            </w:r>
          </w:p>
        </w:tc>
        <w:tc>
          <w:tcPr>
            <w:tcW w:w="1980" w:type="dxa"/>
            <w:tcBorders>
              <w:top w:val="nil"/>
              <w:left w:val="nil"/>
              <w:bottom w:val="single" w:sz="4" w:space="0" w:color="auto"/>
              <w:right w:val="single" w:sz="4" w:space="0" w:color="auto"/>
            </w:tcBorders>
            <w:shd w:val="clear" w:color="auto" w:fill="auto"/>
            <w:vAlign w:val="bottom"/>
          </w:tcPr>
          <w:p w:rsidR="003A1275" w:rsidP="003A1275" w14:paraId="1584C9A3" w14:textId="28AD69C3">
            <w:pPr>
              <w:rPr>
                <w:rFonts w:ascii="Arial Narrow" w:hAnsi="Arial Narrow" w:cs="Arial"/>
                <w:color w:val="000000"/>
                <w:sz w:val="20"/>
                <w:szCs w:val="20"/>
              </w:rPr>
            </w:pPr>
            <w:r>
              <w:rPr>
                <w:rFonts w:ascii="Arial Narrow" w:hAnsi="Arial Narrow" w:cs="Arial"/>
                <w:color w:val="000000"/>
                <w:sz w:val="20"/>
                <w:szCs w:val="20"/>
              </w:rPr>
              <w:t> </w:t>
            </w:r>
          </w:p>
        </w:tc>
        <w:tc>
          <w:tcPr>
            <w:tcW w:w="1993" w:type="dxa"/>
            <w:tcBorders>
              <w:top w:val="nil"/>
              <w:left w:val="nil"/>
              <w:bottom w:val="single" w:sz="4" w:space="0" w:color="auto"/>
              <w:right w:val="single" w:sz="4" w:space="0" w:color="auto"/>
            </w:tcBorders>
            <w:shd w:val="clear" w:color="auto" w:fill="auto"/>
            <w:vAlign w:val="bottom"/>
          </w:tcPr>
          <w:p w:rsidR="005B6F13" w:rsidP="005B6F13" w14:paraId="6C43362F" w14:textId="2723441B">
            <w:r>
              <w:rPr>
                <w:rFonts w:cs="Arial"/>
                <w:color w:val="000000"/>
                <w:sz w:val="22"/>
              </w:rPr>
              <w:t> </w:t>
            </w:r>
          </w:p>
        </w:tc>
      </w:tr>
      <w:tr w14:paraId="35770405" w14:textId="77777777" w:rsidTr="00170F8A">
        <w:tblPrEx>
          <w:tblW w:w="9466" w:type="dxa"/>
          <w:tblLayout w:type="fixed"/>
          <w:tblLook w:val="06A0"/>
        </w:tblPrEx>
        <w:trPr>
          <w:gridAfter w:val="1"/>
          <w:wAfter w:w="8" w:type="dxa"/>
          <w:trHeight w:val="285"/>
        </w:trPr>
        <w:tc>
          <w:tcPr>
            <w:tcW w:w="3145" w:type="dxa"/>
            <w:tcBorders>
              <w:top w:val="single" w:sz="4" w:space="0" w:color="auto"/>
              <w:left w:val="single" w:sz="4" w:space="0" w:color="auto"/>
              <w:bottom w:val="single" w:sz="4" w:space="0" w:color="auto"/>
              <w:right w:val="single" w:sz="4" w:space="0" w:color="auto"/>
            </w:tcBorders>
            <w:vAlign w:val="bottom"/>
          </w:tcPr>
          <w:p w:rsidR="005B6F13" w:rsidP="005B6F13" w14:paraId="77A5F923" w14:textId="33AF56AE">
            <w:r w:rsidRPr="6D5BA1AE">
              <w:rPr>
                <w:rFonts w:ascii="Arial Narrow" w:eastAsia="Arial Narrow" w:hAnsi="Arial Narrow" w:cs="Arial Narrow"/>
                <w:color w:val="000000" w:themeColor="text1"/>
                <w:sz w:val="20"/>
                <w:szCs w:val="20"/>
              </w:rPr>
              <w:t xml:space="preserve">   Manufacturers</w:t>
            </w:r>
          </w:p>
        </w:tc>
        <w:tc>
          <w:tcPr>
            <w:tcW w:w="2340" w:type="dxa"/>
            <w:tcBorders>
              <w:top w:val="nil"/>
              <w:left w:val="single" w:sz="4" w:space="0" w:color="auto"/>
              <w:bottom w:val="single" w:sz="4" w:space="0" w:color="auto"/>
              <w:right w:val="single" w:sz="4" w:space="0" w:color="auto"/>
            </w:tcBorders>
            <w:shd w:val="clear" w:color="auto" w:fill="auto"/>
            <w:vAlign w:val="bottom"/>
          </w:tcPr>
          <w:p w:rsidR="005B6F13" w:rsidP="005B6F13" w14:paraId="6B08DD26" w14:textId="0EF895C1">
            <w:r>
              <w:rPr>
                <w:rFonts w:ascii="Arial Narrow" w:hAnsi="Arial Narrow" w:cs="Arial"/>
                <w:color w:val="000000"/>
                <w:sz w:val="20"/>
                <w:szCs w:val="20"/>
              </w:rPr>
              <w:t>0.01</w:t>
            </w:r>
          </w:p>
        </w:tc>
        <w:tc>
          <w:tcPr>
            <w:tcW w:w="1980" w:type="dxa"/>
            <w:tcBorders>
              <w:top w:val="nil"/>
              <w:left w:val="nil"/>
              <w:bottom w:val="single" w:sz="4" w:space="0" w:color="auto"/>
              <w:right w:val="single" w:sz="4" w:space="0" w:color="auto"/>
            </w:tcBorders>
            <w:shd w:val="clear" w:color="auto" w:fill="auto"/>
            <w:vAlign w:val="bottom"/>
          </w:tcPr>
          <w:p w:rsidR="003A1275" w:rsidP="003A1275" w14:paraId="0E841460" w14:textId="06F3B0D3">
            <w:pPr>
              <w:rPr>
                <w:rFonts w:ascii="Arial Narrow" w:hAnsi="Arial Narrow" w:cs="Arial"/>
                <w:color w:val="000000"/>
                <w:sz w:val="20"/>
                <w:szCs w:val="20"/>
              </w:rPr>
            </w:pPr>
            <w:r>
              <w:rPr>
                <w:rFonts w:ascii="Arial Narrow" w:hAnsi="Arial Narrow" w:cs="Arial"/>
                <w:color w:val="000000"/>
                <w:sz w:val="20"/>
                <w:szCs w:val="20"/>
              </w:rPr>
              <w:t xml:space="preserve">$1 </w:t>
            </w:r>
          </w:p>
        </w:tc>
        <w:tc>
          <w:tcPr>
            <w:tcW w:w="1993" w:type="dxa"/>
            <w:tcBorders>
              <w:top w:val="nil"/>
              <w:left w:val="nil"/>
              <w:bottom w:val="single" w:sz="4" w:space="0" w:color="auto"/>
              <w:right w:val="single" w:sz="4" w:space="0" w:color="auto"/>
            </w:tcBorders>
            <w:shd w:val="clear" w:color="auto" w:fill="auto"/>
            <w:vAlign w:val="bottom"/>
          </w:tcPr>
          <w:p w:rsidR="005B6F13" w:rsidP="005B6F13" w14:paraId="52EA8CAD" w14:textId="7195CDB3">
            <w:r>
              <w:rPr>
                <w:rFonts w:ascii="Arial Narrow" w:hAnsi="Arial Narrow" w:cs="Arial"/>
                <w:color w:val="000000"/>
                <w:sz w:val="20"/>
                <w:szCs w:val="20"/>
              </w:rPr>
              <w:t xml:space="preserve">$1 </w:t>
            </w:r>
          </w:p>
        </w:tc>
      </w:tr>
      <w:tr w14:paraId="695C8DD2" w14:textId="77777777" w:rsidTr="00170F8A">
        <w:tblPrEx>
          <w:tblW w:w="9466" w:type="dxa"/>
          <w:tblLayout w:type="fixed"/>
          <w:tblLook w:val="06A0"/>
        </w:tblPrEx>
        <w:trPr>
          <w:gridAfter w:val="1"/>
          <w:wAfter w:w="8" w:type="dxa"/>
          <w:trHeight w:val="285"/>
        </w:trPr>
        <w:tc>
          <w:tcPr>
            <w:tcW w:w="3145" w:type="dxa"/>
            <w:tcBorders>
              <w:top w:val="single" w:sz="4" w:space="0" w:color="auto"/>
              <w:left w:val="single" w:sz="4" w:space="0" w:color="auto"/>
              <w:bottom w:val="single" w:sz="4" w:space="0" w:color="auto"/>
              <w:right w:val="single" w:sz="4" w:space="0" w:color="auto"/>
            </w:tcBorders>
            <w:vAlign w:val="bottom"/>
          </w:tcPr>
          <w:p w:rsidR="005B6F13" w:rsidP="005B6F13" w14:paraId="3928179C" w14:textId="7DF7BB5B">
            <w:r w:rsidRPr="6D5BA1AE">
              <w:rPr>
                <w:rFonts w:ascii="Arial Narrow" w:eastAsia="Arial Narrow" w:hAnsi="Arial Narrow" w:cs="Arial Narrow"/>
                <w:color w:val="000000" w:themeColor="text1"/>
                <w:sz w:val="20"/>
                <w:szCs w:val="20"/>
              </w:rPr>
              <w:t xml:space="preserve">   Article Importers</w:t>
            </w:r>
          </w:p>
        </w:tc>
        <w:tc>
          <w:tcPr>
            <w:tcW w:w="2340" w:type="dxa"/>
            <w:tcBorders>
              <w:top w:val="nil"/>
              <w:left w:val="single" w:sz="4" w:space="0" w:color="auto"/>
              <w:bottom w:val="single" w:sz="4" w:space="0" w:color="auto"/>
              <w:right w:val="single" w:sz="4" w:space="0" w:color="auto"/>
            </w:tcBorders>
            <w:shd w:val="clear" w:color="auto" w:fill="auto"/>
            <w:vAlign w:val="bottom"/>
          </w:tcPr>
          <w:p w:rsidR="005B6F13" w:rsidP="005B6F13" w14:paraId="4C8B0B44" w14:textId="1B013BE6">
            <w:r>
              <w:rPr>
                <w:rFonts w:ascii="Arial Narrow" w:hAnsi="Arial Narrow" w:cs="Arial"/>
                <w:color w:val="000000"/>
                <w:sz w:val="20"/>
                <w:szCs w:val="20"/>
              </w:rPr>
              <w:t>0.50</w:t>
            </w:r>
          </w:p>
        </w:tc>
        <w:tc>
          <w:tcPr>
            <w:tcW w:w="1980" w:type="dxa"/>
            <w:tcBorders>
              <w:top w:val="nil"/>
              <w:left w:val="nil"/>
              <w:bottom w:val="single" w:sz="4" w:space="0" w:color="auto"/>
              <w:right w:val="single" w:sz="4" w:space="0" w:color="auto"/>
            </w:tcBorders>
            <w:shd w:val="clear" w:color="auto" w:fill="auto"/>
            <w:vAlign w:val="bottom"/>
          </w:tcPr>
          <w:p w:rsidR="003A1275" w:rsidP="003A1275" w14:paraId="53792A16" w14:textId="1EB96E00">
            <w:pPr>
              <w:rPr>
                <w:rFonts w:ascii="Arial Narrow" w:hAnsi="Arial Narrow" w:cs="Arial"/>
                <w:color w:val="000000"/>
                <w:sz w:val="20"/>
                <w:szCs w:val="20"/>
              </w:rPr>
            </w:pPr>
            <w:r>
              <w:rPr>
                <w:rFonts w:ascii="Arial Narrow" w:hAnsi="Arial Narrow" w:cs="Arial"/>
                <w:color w:val="000000"/>
                <w:sz w:val="20"/>
                <w:szCs w:val="20"/>
              </w:rPr>
              <w:t xml:space="preserve">$29 </w:t>
            </w:r>
          </w:p>
        </w:tc>
        <w:tc>
          <w:tcPr>
            <w:tcW w:w="1993" w:type="dxa"/>
            <w:tcBorders>
              <w:top w:val="nil"/>
              <w:left w:val="nil"/>
              <w:bottom w:val="single" w:sz="4" w:space="0" w:color="auto"/>
              <w:right w:val="single" w:sz="4" w:space="0" w:color="auto"/>
            </w:tcBorders>
            <w:shd w:val="clear" w:color="auto" w:fill="auto"/>
            <w:vAlign w:val="bottom"/>
          </w:tcPr>
          <w:p w:rsidR="005B6F13" w:rsidP="005B6F13" w14:paraId="5747975C" w14:textId="1963A160">
            <w:r>
              <w:rPr>
                <w:rFonts w:ascii="Arial Narrow" w:hAnsi="Arial Narrow" w:cs="Arial"/>
                <w:color w:val="000000"/>
                <w:sz w:val="20"/>
                <w:szCs w:val="20"/>
              </w:rPr>
              <w:t xml:space="preserve">$27 </w:t>
            </w:r>
          </w:p>
        </w:tc>
      </w:tr>
      <w:tr w14:paraId="486F5F28" w14:textId="77777777" w:rsidTr="00170F8A">
        <w:tblPrEx>
          <w:tblW w:w="9466" w:type="dxa"/>
          <w:tblLayout w:type="fixed"/>
          <w:tblLook w:val="06A0"/>
        </w:tblPrEx>
        <w:trPr>
          <w:gridAfter w:val="1"/>
          <w:wAfter w:w="8" w:type="dxa"/>
          <w:trHeight w:val="285"/>
        </w:trPr>
        <w:tc>
          <w:tcPr>
            <w:tcW w:w="3145" w:type="dxa"/>
            <w:tcBorders>
              <w:top w:val="single" w:sz="4" w:space="0" w:color="auto"/>
              <w:left w:val="single" w:sz="4" w:space="0" w:color="auto"/>
              <w:bottom w:val="single" w:sz="4" w:space="0" w:color="auto"/>
              <w:right w:val="single" w:sz="4" w:space="0" w:color="auto"/>
            </w:tcBorders>
            <w:vAlign w:val="bottom"/>
          </w:tcPr>
          <w:p w:rsidR="005B6F13" w:rsidP="005B6F13" w14:paraId="45DB8790" w14:textId="3534B6AB">
            <w:r w:rsidRPr="6D5BA1AE">
              <w:rPr>
                <w:rFonts w:ascii="Arial Narrow" w:eastAsia="Arial Narrow" w:hAnsi="Arial Narrow" w:cs="Arial Narrow"/>
                <w:color w:val="000000" w:themeColor="text1"/>
                <w:sz w:val="20"/>
                <w:szCs w:val="20"/>
              </w:rPr>
              <w:t>CDX Registration</w:t>
            </w:r>
          </w:p>
        </w:tc>
        <w:tc>
          <w:tcPr>
            <w:tcW w:w="2340" w:type="dxa"/>
            <w:tcBorders>
              <w:top w:val="nil"/>
              <w:left w:val="single" w:sz="4" w:space="0" w:color="auto"/>
              <w:bottom w:val="single" w:sz="4" w:space="0" w:color="auto"/>
              <w:right w:val="single" w:sz="4" w:space="0" w:color="auto"/>
            </w:tcBorders>
            <w:shd w:val="clear" w:color="auto" w:fill="auto"/>
            <w:vAlign w:val="bottom"/>
          </w:tcPr>
          <w:p w:rsidR="005B6F13" w:rsidP="005B6F13" w14:paraId="79918EAA" w14:textId="1E32A9E8">
            <w:r>
              <w:rPr>
                <w:rFonts w:ascii="Arial Narrow" w:hAnsi="Arial Narrow" w:cs="Arial"/>
                <w:color w:val="000000"/>
                <w:sz w:val="20"/>
                <w:szCs w:val="20"/>
              </w:rPr>
              <w:t>0.27</w:t>
            </w:r>
          </w:p>
        </w:tc>
        <w:tc>
          <w:tcPr>
            <w:tcW w:w="1980" w:type="dxa"/>
            <w:tcBorders>
              <w:top w:val="nil"/>
              <w:left w:val="nil"/>
              <w:bottom w:val="single" w:sz="4" w:space="0" w:color="auto"/>
              <w:right w:val="single" w:sz="4" w:space="0" w:color="auto"/>
            </w:tcBorders>
            <w:shd w:val="clear" w:color="auto" w:fill="auto"/>
            <w:vAlign w:val="bottom"/>
          </w:tcPr>
          <w:p w:rsidR="003A1275" w:rsidP="003A1275" w14:paraId="6C67CCC9" w14:textId="614595F9">
            <w:pPr>
              <w:rPr>
                <w:rFonts w:ascii="Arial Narrow" w:hAnsi="Arial Narrow" w:cs="Arial"/>
                <w:color w:val="000000"/>
                <w:sz w:val="20"/>
                <w:szCs w:val="20"/>
              </w:rPr>
            </w:pPr>
            <w:r>
              <w:rPr>
                <w:rFonts w:ascii="Arial Narrow" w:hAnsi="Arial Narrow" w:cs="Arial"/>
                <w:color w:val="000000"/>
                <w:sz w:val="20"/>
                <w:szCs w:val="20"/>
              </w:rPr>
              <w:t xml:space="preserve">$23 </w:t>
            </w:r>
          </w:p>
        </w:tc>
        <w:tc>
          <w:tcPr>
            <w:tcW w:w="1993" w:type="dxa"/>
            <w:tcBorders>
              <w:top w:val="nil"/>
              <w:left w:val="nil"/>
              <w:bottom w:val="single" w:sz="4" w:space="0" w:color="auto"/>
              <w:right w:val="single" w:sz="4" w:space="0" w:color="auto"/>
            </w:tcBorders>
            <w:shd w:val="clear" w:color="auto" w:fill="auto"/>
            <w:vAlign w:val="bottom"/>
          </w:tcPr>
          <w:p w:rsidR="005B6F13" w:rsidP="005B6F13" w14:paraId="23A58812" w14:textId="18ACEE71">
            <w:r>
              <w:rPr>
                <w:rFonts w:ascii="Arial Narrow" w:hAnsi="Arial Narrow" w:cs="Arial"/>
                <w:color w:val="000000"/>
                <w:sz w:val="20"/>
                <w:szCs w:val="20"/>
              </w:rPr>
              <w:t xml:space="preserve">$21 </w:t>
            </w:r>
          </w:p>
        </w:tc>
      </w:tr>
      <w:tr w14:paraId="6A588897" w14:textId="77777777" w:rsidTr="00170F8A">
        <w:tblPrEx>
          <w:tblW w:w="9466" w:type="dxa"/>
          <w:tblLayout w:type="fixed"/>
          <w:tblLook w:val="06A0"/>
        </w:tblPrEx>
        <w:trPr>
          <w:gridAfter w:val="1"/>
          <w:wAfter w:w="8" w:type="dxa"/>
          <w:trHeight w:val="285"/>
        </w:trPr>
        <w:tc>
          <w:tcPr>
            <w:tcW w:w="3145" w:type="dxa"/>
            <w:tcBorders>
              <w:top w:val="single" w:sz="4" w:space="0" w:color="auto"/>
              <w:left w:val="single" w:sz="4" w:space="0" w:color="auto"/>
              <w:bottom w:val="single" w:sz="4" w:space="0" w:color="auto"/>
              <w:right w:val="single" w:sz="4" w:space="0" w:color="auto"/>
            </w:tcBorders>
            <w:vAlign w:val="bottom"/>
          </w:tcPr>
          <w:p w:rsidR="005B6F13" w:rsidP="005B6F13" w14:paraId="41446AE0" w14:textId="269C30F8">
            <w:r w:rsidRPr="6D5BA1AE">
              <w:rPr>
                <w:rFonts w:ascii="Arial Narrow" w:eastAsia="Arial Narrow" w:hAnsi="Arial Narrow" w:cs="Arial Narrow"/>
                <w:color w:val="000000" w:themeColor="text1"/>
                <w:sz w:val="20"/>
                <w:szCs w:val="20"/>
              </w:rPr>
              <w:t>Total</w:t>
            </w:r>
          </w:p>
        </w:tc>
        <w:tc>
          <w:tcPr>
            <w:tcW w:w="2340" w:type="dxa"/>
            <w:tcBorders>
              <w:top w:val="nil"/>
              <w:left w:val="single" w:sz="4" w:space="0" w:color="auto"/>
              <w:bottom w:val="single" w:sz="4" w:space="0" w:color="auto"/>
              <w:right w:val="single" w:sz="4" w:space="0" w:color="auto"/>
            </w:tcBorders>
            <w:shd w:val="clear" w:color="auto" w:fill="auto"/>
            <w:vAlign w:val="bottom"/>
          </w:tcPr>
          <w:p w:rsidR="005B6F13" w:rsidP="005B6F13" w14:paraId="2B030275" w14:textId="3D4431A1">
            <w:r>
              <w:rPr>
                <w:rFonts w:ascii="Arial Narrow" w:hAnsi="Arial Narrow" w:cs="Arial"/>
                <w:b/>
                <w:bCs/>
                <w:color w:val="000000"/>
                <w:sz w:val="20"/>
                <w:szCs w:val="20"/>
              </w:rPr>
              <w:t>88.55</w:t>
            </w:r>
          </w:p>
        </w:tc>
        <w:tc>
          <w:tcPr>
            <w:tcW w:w="1980" w:type="dxa"/>
            <w:tcBorders>
              <w:top w:val="nil"/>
              <w:left w:val="nil"/>
              <w:bottom w:val="single" w:sz="4" w:space="0" w:color="auto"/>
              <w:right w:val="single" w:sz="4" w:space="0" w:color="auto"/>
            </w:tcBorders>
            <w:shd w:val="clear" w:color="auto" w:fill="auto"/>
            <w:vAlign w:val="bottom"/>
          </w:tcPr>
          <w:p w:rsidR="003A1275" w:rsidP="003A1275" w14:paraId="46F69800" w14:textId="0167895B">
            <w:pPr>
              <w:rPr>
                <w:rFonts w:ascii="Arial Narrow" w:hAnsi="Arial Narrow" w:cs="Arial"/>
                <w:b/>
                <w:bCs/>
                <w:color w:val="000000"/>
                <w:sz w:val="20"/>
                <w:szCs w:val="20"/>
              </w:rPr>
            </w:pPr>
            <w:r>
              <w:rPr>
                <w:rFonts w:ascii="Arial Narrow" w:hAnsi="Arial Narrow" w:cs="Arial"/>
                <w:b/>
                <w:bCs/>
                <w:color w:val="000000"/>
                <w:sz w:val="20"/>
                <w:szCs w:val="20"/>
              </w:rPr>
              <w:t xml:space="preserve">$6,417 </w:t>
            </w:r>
          </w:p>
        </w:tc>
        <w:tc>
          <w:tcPr>
            <w:tcW w:w="1993" w:type="dxa"/>
            <w:tcBorders>
              <w:top w:val="nil"/>
              <w:left w:val="nil"/>
              <w:bottom w:val="single" w:sz="4" w:space="0" w:color="auto"/>
              <w:right w:val="single" w:sz="4" w:space="0" w:color="auto"/>
            </w:tcBorders>
            <w:shd w:val="clear" w:color="auto" w:fill="auto"/>
            <w:vAlign w:val="bottom"/>
          </w:tcPr>
          <w:p w:rsidR="005B6F13" w:rsidP="005B6F13" w14:paraId="054397AA" w14:textId="7C30B963">
            <w:r>
              <w:rPr>
                <w:rFonts w:ascii="Arial Narrow" w:hAnsi="Arial Narrow" w:cs="Arial"/>
                <w:b/>
                <w:bCs/>
                <w:color w:val="000000"/>
                <w:sz w:val="20"/>
                <w:szCs w:val="20"/>
              </w:rPr>
              <w:t xml:space="preserve">$6,089 </w:t>
            </w:r>
          </w:p>
        </w:tc>
      </w:tr>
      <w:tr w14:paraId="1A6A4A71" w14:textId="77777777" w:rsidTr="00170F8A">
        <w:tblPrEx>
          <w:tblW w:w="9466" w:type="dxa"/>
          <w:tblLayout w:type="fixed"/>
          <w:tblLook w:val="06A0"/>
        </w:tblPrEx>
        <w:trPr>
          <w:trHeight w:val="270"/>
        </w:trPr>
        <w:tc>
          <w:tcPr>
            <w:tcW w:w="9466" w:type="dxa"/>
            <w:gridSpan w:val="5"/>
            <w:tcBorders>
              <w:top w:val="single" w:sz="4" w:space="0" w:color="auto"/>
              <w:left w:val="single" w:sz="4" w:space="0" w:color="auto"/>
              <w:bottom w:val="single" w:sz="4" w:space="0" w:color="auto"/>
              <w:right w:val="single" w:sz="4" w:space="0" w:color="auto"/>
            </w:tcBorders>
          </w:tcPr>
          <w:p w:rsidR="005B6F13" w:rsidP="00170F8A" w14:paraId="0824D9D1" w14:textId="040CCD3F">
            <w:pPr>
              <w:spacing w:after="0"/>
            </w:pPr>
            <w:r w:rsidRPr="6D5BA1AE">
              <w:rPr>
                <w:rFonts w:ascii="Arial Narrow" w:eastAsia="Arial Narrow" w:hAnsi="Arial Narrow" w:cs="Arial Narrow"/>
                <w:color w:val="000000" w:themeColor="text1"/>
                <w:sz w:val="16"/>
                <w:szCs w:val="16"/>
              </w:rPr>
              <w:t>Note: For additional details on development and assumptions associated with items in this table, see the source EA (EPA 2020). Numbers may not sum due to rounding.</w:t>
            </w:r>
          </w:p>
        </w:tc>
      </w:tr>
    </w:tbl>
    <w:p w:rsidR="00354DAB" w:rsidRPr="00C36B45" w:rsidP="00C36B45" w14:paraId="69D413DE" w14:textId="0CC1022B">
      <w:pPr>
        <w:rPr>
          <w:b/>
          <w:bCs/>
          <w:i/>
          <w:iCs/>
        </w:rPr>
      </w:pPr>
      <w:bookmarkStart w:id="13" w:name="_Toc58238283"/>
      <w:r w:rsidRPr="00C36B45">
        <w:rPr>
          <w:b/>
          <w:bCs/>
          <w:i/>
          <w:iCs/>
        </w:rPr>
        <w:t xml:space="preserve">Respondent Universe, Total, and </w:t>
      </w:r>
      <w:r w:rsidRPr="00C36B45">
        <w:rPr>
          <w:b/>
          <w:bCs/>
          <w:i/>
          <w:iCs/>
        </w:rPr>
        <w:t>Bottom Line</w:t>
      </w:r>
      <w:r w:rsidRPr="00C36B45">
        <w:rPr>
          <w:b/>
          <w:bCs/>
          <w:i/>
          <w:iCs/>
        </w:rPr>
        <w:t xml:space="preserve"> Burden Hours and Costs</w:t>
      </w:r>
      <w:bookmarkEnd w:id="13"/>
    </w:p>
    <w:p w:rsidR="00354DAB" w:rsidRPr="00C36B45" w:rsidP="00C36B45" w14:paraId="080B1D3E" w14:textId="18670DDE">
      <w:pPr>
        <w:rPr>
          <w:b/>
          <w:bCs/>
          <w:i/>
          <w:iCs/>
        </w:rPr>
      </w:pPr>
      <w:bookmarkStart w:id="14" w:name="_Toc58238284"/>
      <w:r w:rsidRPr="00C36B45">
        <w:rPr>
          <w:b/>
          <w:bCs/>
          <w:i/>
          <w:iCs/>
        </w:rPr>
        <w:t>PFAS Data Call Reporting</w:t>
      </w:r>
      <w:bookmarkEnd w:id="14"/>
    </w:p>
    <w:p w:rsidR="00354DAB" w:rsidRPr="00354DAB" w:rsidP="6D5BA1AE" w14:paraId="2D6D9516" w14:textId="33A47A9A">
      <w:pPr>
        <w:spacing w:after="200" w:line="276" w:lineRule="auto"/>
        <w:rPr>
          <w:rFonts w:asciiTheme="minorHAnsi" w:hAnsiTheme="minorHAnsi"/>
        </w:rPr>
      </w:pPr>
      <w:r w:rsidRPr="6D5BA1AE">
        <w:rPr>
          <w:rFonts w:eastAsia="Arial" w:asciiTheme="minorHAnsi" w:hAnsiTheme="minorHAnsi"/>
        </w:rPr>
        <w:t xml:space="preserve">Estimates of the total industry reporting burden and cost are shown in Table </w:t>
      </w:r>
      <w:r w:rsidRPr="6D5BA1AE" w:rsidR="113C9D98">
        <w:rPr>
          <w:rFonts w:eastAsia="Arial" w:asciiTheme="minorHAnsi" w:hAnsiTheme="minorHAnsi"/>
        </w:rPr>
        <w:t>5</w:t>
      </w:r>
      <w:r w:rsidRPr="6D5BA1AE">
        <w:rPr>
          <w:rFonts w:eastAsia="Arial" w:asciiTheme="minorHAnsi" w:hAnsiTheme="minorHAnsi"/>
        </w:rPr>
        <w:t xml:space="preserve">. Total burden and cost are calculated by multiplying the unit burdens and costs in Table </w:t>
      </w:r>
      <w:r w:rsidRPr="6D5BA1AE" w:rsidR="65CA397C">
        <w:rPr>
          <w:rFonts w:eastAsia="Arial" w:asciiTheme="minorHAnsi" w:hAnsiTheme="minorHAnsi"/>
        </w:rPr>
        <w:t>4</w:t>
      </w:r>
      <w:r w:rsidRPr="6D5BA1AE">
        <w:rPr>
          <w:rFonts w:eastAsia="Arial" w:asciiTheme="minorHAnsi" w:hAnsiTheme="minorHAnsi"/>
        </w:rPr>
        <w:t xml:space="preserve"> by the respective number of reporting sites. EPA estimates a total burden of </w:t>
      </w:r>
      <w:r w:rsidRPr="6D5BA1AE" w:rsidR="42158E85">
        <w:rPr>
          <w:rFonts w:eastAsia="Arial" w:asciiTheme="minorHAnsi" w:hAnsiTheme="minorHAnsi"/>
        </w:rPr>
        <w:t>11</w:t>
      </w:r>
      <w:r w:rsidR="003A1275">
        <w:rPr>
          <w:rFonts w:eastAsia="Arial" w:asciiTheme="minorHAnsi" w:hAnsiTheme="minorHAnsi"/>
        </w:rPr>
        <w:t>.6 million</w:t>
      </w:r>
      <w:r w:rsidRPr="6D5BA1AE">
        <w:rPr>
          <w:rFonts w:eastAsia="Arial" w:asciiTheme="minorHAnsi" w:hAnsiTheme="minorHAnsi"/>
        </w:rPr>
        <w:t xml:space="preserve"> hours and a total cost of $</w:t>
      </w:r>
      <w:r w:rsidR="003A1275">
        <w:rPr>
          <w:rFonts w:eastAsia="Arial" w:asciiTheme="minorHAnsi" w:hAnsiTheme="minorHAnsi"/>
        </w:rPr>
        <w:t>843 million and $800 million under a 3 percent and 7 percent discount rate, respectively</w:t>
      </w:r>
      <w:r w:rsidRPr="6D5BA1AE">
        <w:rPr>
          <w:rFonts w:eastAsia="Arial" w:asciiTheme="minorHAnsi" w:hAnsiTheme="minorHAnsi"/>
        </w:rPr>
        <w:t>.</w:t>
      </w:r>
    </w:p>
    <w:p w:rsidR="00354DAB" w:rsidP="6D5BA1AE" w14:paraId="12344F52" w14:textId="47EA3994">
      <w:pPr>
        <w:pStyle w:val="Heading3"/>
        <w:spacing w:after="200" w:line="276" w:lineRule="auto"/>
        <w:rPr>
          <w:rFonts w:eastAsia="Arial" w:asciiTheme="minorHAnsi" w:hAnsiTheme="minorHAnsi"/>
        </w:rPr>
      </w:pPr>
      <w:bookmarkStart w:id="15" w:name="_Toc57044106"/>
      <w:bookmarkStart w:id="16" w:name="_Toc57044338"/>
      <w:bookmarkStart w:id="17" w:name="_Toc58238285"/>
      <w:r w:rsidRPr="6D5BA1AE">
        <w:rPr>
          <w:rFonts w:eastAsia="Arial" w:asciiTheme="minorHAnsi" w:hAnsiTheme="minorHAnsi"/>
        </w:rPr>
        <w:t xml:space="preserve">Table </w:t>
      </w:r>
      <w:r w:rsidRPr="6D5BA1AE" w:rsidR="74A308CD">
        <w:rPr>
          <w:rFonts w:eastAsia="Arial" w:asciiTheme="minorHAnsi" w:hAnsiTheme="minorHAnsi"/>
        </w:rPr>
        <w:t>5</w:t>
      </w:r>
      <w:r w:rsidRPr="6D5BA1AE">
        <w:rPr>
          <w:rFonts w:eastAsia="Arial" w:asciiTheme="minorHAnsi" w:hAnsiTheme="minorHAnsi"/>
        </w:rPr>
        <w:t>:  PFAS Data Call Reporting: Total Estimated Respondent Burden and Costs</w:t>
      </w:r>
      <w:bookmarkEnd w:id="15"/>
      <w:bookmarkEnd w:id="16"/>
      <w:bookmarkEnd w:id="17"/>
    </w:p>
    <w:tbl>
      <w:tblPr>
        <w:tblW w:w="11335" w:type="dxa"/>
        <w:jc w:val="center"/>
        <w:tblLook w:val="04A0"/>
      </w:tblPr>
      <w:tblGrid>
        <w:gridCol w:w="1345"/>
        <w:gridCol w:w="1170"/>
        <w:gridCol w:w="1260"/>
        <w:gridCol w:w="1170"/>
        <w:gridCol w:w="1350"/>
        <w:gridCol w:w="1260"/>
        <w:gridCol w:w="1440"/>
        <w:gridCol w:w="990"/>
        <w:gridCol w:w="1350"/>
      </w:tblGrid>
      <w:tr w14:paraId="5AE22EF8" w14:textId="77777777" w:rsidTr="003A1275">
        <w:tblPrEx>
          <w:tblW w:w="11335" w:type="dxa"/>
          <w:jc w:val="center"/>
          <w:tblLook w:val="04A0"/>
        </w:tblPrEx>
        <w:trPr>
          <w:trHeight w:val="552"/>
          <w:jc w:val="center"/>
        </w:trPr>
        <w:tc>
          <w:tcPr>
            <w:tcW w:w="1345"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3A1275" w:rsidRPr="003A1275" w:rsidP="003A1275" w14:paraId="2AA894B2" w14:textId="77777777">
            <w:pPr>
              <w:spacing w:after="0" w:line="240" w:lineRule="auto"/>
              <w:jc w:val="center"/>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Activity</w:t>
            </w:r>
          </w:p>
        </w:tc>
        <w:tc>
          <w:tcPr>
            <w:tcW w:w="117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3A1275" w:rsidRPr="003A1275" w:rsidP="003A1275" w14:paraId="205D49FB" w14:textId="77777777">
            <w:pPr>
              <w:spacing w:after="0" w:line="240" w:lineRule="auto"/>
              <w:jc w:val="center"/>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Number of Firms</w:t>
            </w:r>
          </w:p>
        </w:tc>
        <w:tc>
          <w:tcPr>
            <w:tcW w:w="126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3A1275" w:rsidRPr="003A1275" w:rsidP="003A1275" w14:paraId="35EBE971" w14:textId="77777777">
            <w:pPr>
              <w:spacing w:after="0" w:line="240" w:lineRule="auto"/>
              <w:jc w:val="center"/>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Number of Responses</w:t>
            </w:r>
          </w:p>
        </w:tc>
        <w:tc>
          <w:tcPr>
            <w:tcW w:w="117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3A1275" w:rsidRPr="003A1275" w:rsidP="003A1275" w14:paraId="366763ED" w14:textId="77777777">
            <w:pPr>
              <w:spacing w:after="0" w:line="240" w:lineRule="auto"/>
              <w:jc w:val="center"/>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Per-Firm Unit Burden</w:t>
            </w:r>
          </w:p>
        </w:tc>
        <w:tc>
          <w:tcPr>
            <w:tcW w:w="135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3A1275" w:rsidRPr="003A1275" w:rsidP="003A1275" w14:paraId="377146B3" w14:textId="77777777">
            <w:pPr>
              <w:spacing w:after="0" w:line="240" w:lineRule="auto"/>
              <w:jc w:val="center"/>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Total 3-Year Burden</w:t>
            </w:r>
          </w:p>
        </w:tc>
        <w:tc>
          <w:tcPr>
            <w:tcW w:w="12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3A1275" w:rsidRPr="003A1275" w:rsidP="003A1275" w14:paraId="0FB2256F" w14:textId="77777777">
            <w:pPr>
              <w:spacing w:after="0" w:line="240" w:lineRule="auto"/>
              <w:jc w:val="center"/>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Per-Firm Unit Cost</w:t>
            </w:r>
          </w:p>
        </w:tc>
        <w:tc>
          <w:tcPr>
            <w:tcW w:w="144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3A1275" w:rsidRPr="003A1275" w:rsidP="003A1275" w14:paraId="4052D616" w14:textId="77777777">
            <w:pPr>
              <w:spacing w:after="0" w:line="240" w:lineRule="auto"/>
              <w:jc w:val="center"/>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Total 3-Year Cost (2022$)</w:t>
            </w:r>
          </w:p>
        </w:tc>
        <w:tc>
          <w:tcPr>
            <w:tcW w:w="99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3A1275" w:rsidRPr="003A1275" w:rsidP="003A1275" w14:paraId="44EBDDC3" w14:textId="77777777">
            <w:pPr>
              <w:spacing w:after="0" w:line="240" w:lineRule="auto"/>
              <w:jc w:val="center"/>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Per-Firm Unit Cost</w:t>
            </w:r>
          </w:p>
        </w:tc>
        <w:tc>
          <w:tcPr>
            <w:tcW w:w="135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3A1275" w:rsidRPr="003A1275" w:rsidP="003A1275" w14:paraId="27A75E87" w14:textId="77777777">
            <w:pPr>
              <w:spacing w:after="0" w:line="240" w:lineRule="auto"/>
              <w:jc w:val="center"/>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Total 3-Year Cost (2022$)</w:t>
            </w:r>
          </w:p>
        </w:tc>
      </w:tr>
      <w:tr w14:paraId="2CDFC2B4" w14:textId="77777777" w:rsidTr="003A1275">
        <w:tblPrEx>
          <w:tblW w:w="11335" w:type="dxa"/>
          <w:jc w:val="center"/>
          <w:tblLook w:val="04A0"/>
        </w:tblPrEx>
        <w:trPr>
          <w:trHeight w:val="276"/>
          <w:jc w:val="center"/>
        </w:trPr>
        <w:tc>
          <w:tcPr>
            <w:tcW w:w="1345" w:type="dxa"/>
            <w:vMerge/>
            <w:tcBorders>
              <w:top w:val="single" w:sz="4" w:space="0" w:color="auto"/>
              <w:left w:val="single" w:sz="4" w:space="0" w:color="auto"/>
              <w:bottom w:val="single" w:sz="4" w:space="0" w:color="000000"/>
              <w:right w:val="single" w:sz="4" w:space="0" w:color="auto"/>
            </w:tcBorders>
            <w:vAlign w:val="center"/>
            <w:hideMark/>
          </w:tcPr>
          <w:p w:rsidR="003A1275" w:rsidRPr="003A1275" w:rsidP="003A1275" w14:paraId="3230B656" w14:textId="77777777">
            <w:pPr>
              <w:spacing w:after="0" w:line="240" w:lineRule="auto"/>
              <w:rPr>
                <w:rFonts w:ascii="Arial Narrow" w:eastAsia="Times New Roman" w:hAnsi="Arial Narrow" w:cs="Arial"/>
                <w:b/>
                <w:bCs/>
                <w:color w:val="000000"/>
                <w:sz w:val="20"/>
                <w:szCs w:val="20"/>
              </w:rPr>
            </w:pPr>
          </w:p>
        </w:tc>
        <w:tc>
          <w:tcPr>
            <w:tcW w:w="1170" w:type="dxa"/>
            <w:vMerge/>
            <w:tcBorders>
              <w:top w:val="single" w:sz="4" w:space="0" w:color="auto"/>
              <w:left w:val="single" w:sz="4" w:space="0" w:color="auto"/>
              <w:bottom w:val="single" w:sz="4" w:space="0" w:color="000000"/>
              <w:right w:val="single" w:sz="4" w:space="0" w:color="auto"/>
            </w:tcBorders>
            <w:vAlign w:val="center"/>
            <w:hideMark/>
          </w:tcPr>
          <w:p w:rsidR="003A1275" w:rsidRPr="003A1275" w:rsidP="003A1275" w14:paraId="11CFDDB5" w14:textId="77777777">
            <w:pPr>
              <w:spacing w:after="0" w:line="240" w:lineRule="auto"/>
              <w:rPr>
                <w:rFonts w:ascii="Arial Narrow" w:eastAsia="Times New Roman" w:hAnsi="Arial Narrow" w:cs="Arial"/>
                <w:b/>
                <w:bCs/>
                <w:color w:val="000000"/>
                <w:sz w:val="20"/>
                <w:szCs w:val="20"/>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3A1275" w:rsidRPr="003A1275" w:rsidP="003A1275" w14:paraId="6E7921C6" w14:textId="77777777">
            <w:pPr>
              <w:spacing w:after="0" w:line="240" w:lineRule="auto"/>
              <w:rPr>
                <w:rFonts w:ascii="Arial Narrow" w:eastAsia="Times New Roman" w:hAnsi="Arial Narrow" w:cs="Arial"/>
                <w:b/>
                <w:bCs/>
                <w:color w:val="000000"/>
                <w:sz w:val="20"/>
                <w:szCs w:val="20"/>
              </w:rPr>
            </w:pPr>
          </w:p>
        </w:tc>
        <w:tc>
          <w:tcPr>
            <w:tcW w:w="1170" w:type="dxa"/>
            <w:vMerge/>
            <w:tcBorders>
              <w:top w:val="single" w:sz="4" w:space="0" w:color="auto"/>
              <w:left w:val="single" w:sz="4" w:space="0" w:color="auto"/>
              <w:bottom w:val="single" w:sz="4" w:space="0" w:color="000000"/>
              <w:right w:val="single" w:sz="4" w:space="0" w:color="auto"/>
            </w:tcBorders>
            <w:vAlign w:val="center"/>
            <w:hideMark/>
          </w:tcPr>
          <w:p w:rsidR="003A1275" w:rsidRPr="003A1275" w:rsidP="003A1275" w14:paraId="38118B89" w14:textId="77777777">
            <w:pPr>
              <w:spacing w:after="0" w:line="240" w:lineRule="auto"/>
              <w:rPr>
                <w:rFonts w:ascii="Arial Narrow" w:eastAsia="Times New Roman" w:hAnsi="Arial Narrow" w:cs="Arial"/>
                <w:b/>
                <w:bCs/>
                <w:color w:val="000000"/>
                <w:sz w:val="20"/>
                <w:szCs w:val="20"/>
              </w:rPr>
            </w:pPr>
          </w:p>
        </w:tc>
        <w:tc>
          <w:tcPr>
            <w:tcW w:w="1350" w:type="dxa"/>
            <w:vMerge/>
            <w:tcBorders>
              <w:top w:val="single" w:sz="4" w:space="0" w:color="auto"/>
              <w:left w:val="single" w:sz="4" w:space="0" w:color="auto"/>
              <w:bottom w:val="single" w:sz="4" w:space="0" w:color="000000"/>
              <w:right w:val="single" w:sz="4" w:space="0" w:color="auto"/>
            </w:tcBorders>
            <w:vAlign w:val="center"/>
            <w:hideMark/>
          </w:tcPr>
          <w:p w:rsidR="003A1275" w:rsidRPr="003A1275" w:rsidP="003A1275" w14:paraId="1422E21C" w14:textId="77777777">
            <w:pPr>
              <w:spacing w:after="0" w:line="240" w:lineRule="auto"/>
              <w:rPr>
                <w:rFonts w:ascii="Arial Narrow" w:eastAsia="Times New Roman" w:hAnsi="Arial Narrow" w:cs="Arial"/>
                <w:b/>
                <w:bCs/>
                <w:color w:val="000000"/>
                <w:sz w:val="20"/>
                <w:szCs w:val="20"/>
              </w:rPr>
            </w:pPr>
          </w:p>
        </w:tc>
        <w:tc>
          <w:tcPr>
            <w:tcW w:w="2700" w:type="dxa"/>
            <w:gridSpan w:val="2"/>
            <w:tcBorders>
              <w:top w:val="single" w:sz="4" w:space="0" w:color="auto"/>
              <w:left w:val="nil"/>
              <w:bottom w:val="single" w:sz="4" w:space="0" w:color="auto"/>
              <w:right w:val="single" w:sz="4" w:space="0" w:color="000000"/>
            </w:tcBorders>
            <w:shd w:val="clear" w:color="000000" w:fill="BFBFBF"/>
            <w:vAlign w:val="center"/>
            <w:hideMark/>
          </w:tcPr>
          <w:p w:rsidR="003A1275" w:rsidRPr="003A1275" w:rsidP="003A1275" w14:paraId="19490FC3" w14:textId="77777777">
            <w:pPr>
              <w:spacing w:after="0" w:line="240" w:lineRule="auto"/>
              <w:jc w:val="center"/>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3% Discount Rate</w:t>
            </w:r>
          </w:p>
        </w:tc>
        <w:tc>
          <w:tcPr>
            <w:tcW w:w="2340" w:type="dxa"/>
            <w:gridSpan w:val="2"/>
            <w:tcBorders>
              <w:top w:val="single" w:sz="4" w:space="0" w:color="auto"/>
              <w:left w:val="nil"/>
              <w:bottom w:val="single" w:sz="4" w:space="0" w:color="auto"/>
              <w:right w:val="single" w:sz="4" w:space="0" w:color="000000"/>
            </w:tcBorders>
            <w:shd w:val="clear" w:color="000000" w:fill="BFBFBF"/>
            <w:vAlign w:val="center"/>
            <w:hideMark/>
          </w:tcPr>
          <w:p w:rsidR="003A1275" w:rsidRPr="003A1275" w:rsidP="003A1275" w14:paraId="22EE592C" w14:textId="77777777">
            <w:pPr>
              <w:spacing w:after="0" w:line="240" w:lineRule="auto"/>
              <w:jc w:val="center"/>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7% Discount Rate</w:t>
            </w:r>
          </w:p>
        </w:tc>
      </w:tr>
      <w:tr w14:paraId="2B06D86A" w14:textId="77777777" w:rsidTr="003529B3">
        <w:tblPrEx>
          <w:tblW w:w="11335" w:type="dxa"/>
          <w:jc w:val="center"/>
          <w:tblLook w:val="04A0"/>
        </w:tblPrEx>
        <w:trPr>
          <w:trHeight w:val="288"/>
          <w:jc w:val="center"/>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275" w:rsidRPr="003A1275" w:rsidP="003A1275" w14:paraId="1F3D4570" w14:textId="77777777">
            <w:pPr>
              <w:spacing w:after="0" w:line="240" w:lineRule="auto"/>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Rule Familiarization</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3A1275" w:rsidRPr="003A1275" w:rsidP="003A1275" w14:paraId="0C9DAF8F"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131,410</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3A1275" w:rsidRPr="003A1275" w:rsidP="003A1275" w14:paraId="1864BA92"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67,536</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3A1275" w:rsidRPr="003A1275" w:rsidP="003A1275" w14:paraId="6B5640AA"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20</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3A1275" w:rsidRPr="003A1275" w:rsidP="003A1275" w14:paraId="66FB9A7D"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2,642,124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3A1275" w:rsidRPr="003A1275" w:rsidP="003A1275" w14:paraId="5D629A6E"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 xml:space="preserve">$1,692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2ACB52D1"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 xml:space="preserve">$222,396,690 </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1275" w:rsidRPr="003A1275" w:rsidP="003A1275" w14:paraId="5534E222"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 xml:space="preserve">$1,629 </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68D413C2"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 xml:space="preserve">$214,082,795 </w:t>
            </w:r>
          </w:p>
        </w:tc>
      </w:tr>
      <w:tr w14:paraId="2F9000FF" w14:textId="77777777" w:rsidTr="003529B3">
        <w:tblPrEx>
          <w:tblW w:w="11335" w:type="dxa"/>
          <w:jc w:val="center"/>
          <w:tblLook w:val="04A0"/>
        </w:tblPrEx>
        <w:trPr>
          <w:trHeight w:val="288"/>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40A9134E" w14:textId="77777777">
            <w:pPr>
              <w:spacing w:after="0" w:line="240" w:lineRule="auto"/>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Compliance Determination</w:t>
            </w:r>
          </w:p>
        </w:tc>
        <w:tc>
          <w:tcPr>
            <w:tcW w:w="117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3156650A"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131,410</w:t>
            </w:r>
          </w:p>
        </w:tc>
        <w:tc>
          <w:tcPr>
            <w:tcW w:w="126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5A6EF1F8"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67,536</w:t>
            </w:r>
          </w:p>
        </w:tc>
        <w:tc>
          <w:tcPr>
            <w:tcW w:w="117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6D459FEA"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57</w:t>
            </w:r>
          </w:p>
        </w:tc>
        <w:tc>
          <w:tcPr>
            <w:tcW w:w="135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2314D8A2"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7,523,295</w:t>
            </w:r>
          </w:p>
        </w:tc>
        <w:tc>
          <w:tcPr>
            <w:tcW w:w="126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71C785CE"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 xml:space="preserve">$3,861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0E653091"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 xml:space="preserve">$507,327,191 </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5B04E08C"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 xml:space="preserve">$3,654 </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65274BB3"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 xml:space="preserve">$480,190,513 </w:t>
            </w:r>
          </w:p>
        </w:tc>
      </w:tr>
      <w:tr w14:paraId="67EECE9F" w14:textId="77777777" w:rsidTr="003529B3">
        <w:tblPrEx>
          <w:tblW w:w="11335" w:type="dxa"/>
          <w:jc w:val="center"/>
          <w:tblLook w:val="04A0"/>
        </w:tblPrEx>
        <w:trPr>
          <w:trHeight w:val="288"/>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428310DA" w14:textId="77777777">
            <w:pPr>
              <w:spacing w:after="0" w:line="240" w:lineRule="auto"/>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Form Completion</w:t>
            </w:r>
          </w:p>
        </w:tc>
        <w:tc>
          <w:tcPr>
            <w:tcW w:w="117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392A4959"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131,410</w:t>
            </w:r>
          </w:p>
        </w:tc>
        <w:tc>
          <w:tcPr>
            <w:tcW w:w="126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264CA01E"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67,536</w:t>
            </w:r>
          </w:p>
        </w:tc>
        <w:tc>
          <w:tcPr>
            <w:tcW w:w="117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64A76EFF"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10</w:t>
            </w:r>
          </w:p>
        </w:tc>
        <w:tc>
          <w:tcPr>
            <w:tcW w:w="135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065A0D26"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1,337,532</w:t>
            </w:r>
          </w:p>
        </w:tc>
        <w:tc>
          <w:tcPr>
            <w:tcW w:w="126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47B71C7B"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 xml:space="preserve">$793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56CC84EE"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 xml:space="preserve">$104,183,912 </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7F148E07"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 xml:space="preserve">$740 </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52998E24"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 xml:space="preserve">$97,240,352 </w:t>
            </w:r>
          </w:p>
        </w:tc>
      </w:tr>
      <w:tr w14:paraId="15A3809D" w14:textId="77777777" w:rsidTr="003529B3">
        <w:tblPrEx>
          <w:tblW w:w="11335" w:type="dxa"/>
          <w:jc w:val="center"/>
          <w:tblLook w:val="04A0"/>
        </w:tblPrEx>
        <w:trPr>
          <w:trHeight w:val="288"/>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4F7997E8" w14:textId="77777777">
            <w:pPr>
              <w:spacing w:after="0" w:line="240" w:lineRule="auto"/>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CBI Substantiation</w:t>
            </w:r>
          </w:p>
        </w:tc>
        <w:tc>
          <w:tcPr>
            <w:tcW w:w="117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06C57993"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131,410</w:t>
            </w:r>
          </w:p>
        </w:tc>
        <w:tc>
          <w:tcPr>
            <w:tcW w:w="126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60D5AB28"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67,536</w:t>
            </w:r>
          </w:p>
        </w:tc>
        <w:tc>
          <w:tcPr>
            <w:tcW w:w="117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00140490"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0.2</w:t>
            </w:r>
          </w:p>
        </w:tc>
        <w:tc>
          <w:tcPr>
            <w:tcW w:w="135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1AFFB26D"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30,096</w:t>
            </w:r>
          </w:p>
        </w:tc>
        <w:tc>
          <w:tcPr>
            <w:tcW w:w="126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5E6CB638"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 xml:space="preserve">$18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0B9779C8"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 xml:space="preserve">$2,382,473 </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4D27B5A9"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 xml:space="preserve">$17 </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07710398"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 xml:space="preserve">$2,219,240 </w:t>
            </w:r>
          </w:p>
        </w:tc>
      </w:tr>
      <w:tr w14:paraId="633C6C2E" w14:textId="77777777" w:rsidTr="003529B3">
        <w:tblPrEx>
          <w:tblW w:w="11335" w:type="dxa"/>
          <w:jc w:val="center"/>
          <w:tblLook w:val="04A0"/>
        </w:tblPrEx>
        <w:trPr>
          <w:trHeight w:val="288"/>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3C89C8D3" w14:textId="77777777">
            <w:pPr>
              <w:spacing w:after="0" w:line="240" w:lineRule="auto"/>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Recordkeeping</w:t>
            </w:r>
          </w:p>
        </w:tc>
        <w:tc>
          <w:tcPr>
            <w:tcW w:w="117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0CEA0C90"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131,410</w:t>
            </w:r>
          </w:p>
        </w:tc>
        <w:tc>
          <w:tcPr>
            <w:tcW w:w="126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09F0B5D9"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67,536</w:t>
            </w:r>
          </w:p>
        </w:tc>
        <w:tc>
          <w:tcPr>
            <w:tcW w:w="117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727D0EE2"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42B0F820"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67,536</w:t>
            </w:r>
          </w:p>
        </w:tc>
        <w:tc>
          <w:tcPr>
            <w:tcW w:w="126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1A2BBF91"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 xml:space="preserve">$30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1B60CC49"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 xml:space="preserve">$3,937,169 </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6B89BF3E"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 xml:space="preserve">$28 </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1E7AAC9B"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 xml:space="preserve">$3,665,229 </w:t>
            </w:r>
          </w:p>
        </w:tc>
      </w:tr>
      <w:tr w14:paraId="04444647" w14:textId="77777777" w:rsidTr="003529B3">
        <w:tblPrEx>
          <w:tblW w:w="11335" w:type="dxa"/>
          <w:jc w:val="center"/>
          <w:tblLook w:val="04A0"/>
        </w:tblPrEx>
        <w:trPr>
          <w:trHeight w:val="288"/>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200F118E" w14:textId="77777777">
            <w:pPr>
              <w:spacing w:after="0" w:line="240" w:lineRule="auto"/>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CDX Registration</w:t>
            </w:r>
          </w:p>
        </w:tc>
        <w:tc>
          <w:tcPr>
            <w:tcW w:w="117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7D213D30"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131,410</w:t>
            </w:r>
          </w:p>
        </w:tc>
        <w:tc>
          <w:tcPr>
            <w:tcW w:w="126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7F355B03"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67,536</w:t>
            </w:r>
          </w:p>
        </w:tc>
        <w:tc>
          <w:tcPr>
            <w:tcW w:w="117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3CF1769B"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0.3</w:t>
            </w:r>
          </w:p>
        </w:tc>
        <w:tc>
          <w:tcPr>
            <w:tcW w:w="135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165FDD2C"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35,650</w:t>
            </w:r>
          </w:p>
        </w:tc>
        <w:tc>
          <w:tcPr>
            <w:tcW w:w="126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76B491AF"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 xml:space="preserve">$23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0845E954"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 xml:space="preserve">$2,980,632 </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7D14EDA4"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 xml:space="preserve">$21 </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26ED9A46" w14:textId="77777777">
            <w:pPr>
              <w:spacing w:after="0" w:line="240" w:lineRule="auto"/>
              <w:jc w:val="right"/>
              <w:rPr>
                <w:rFonts w:ascii="Arial Narrow" w:eastAsia="Times New Roman" w:hAnsi="Arial Narrow" w:cs="Arial"/>
                <w:color w:val="000000"/>
                <w:sz w:val="20"/>
                <w:szCs w:val="20"/>
              </w:rPr>
            </w:pPr>
            <w:r w:rsidRPr="003A1275">
              <w:rPr>
                <w:rFonts w:ascii="Arial Narrow" w:eastAsia="Times New Roman" w:hAnsi="Arial Narrow" w:cs="Arial"/>
                <w:color w:val="000000"/>
                <w:sz w:val="20"/>
                <w:szCs w:val="20"/>
              </w:rPr>
              <w:t xml:space="preserve">$2,773,754 </w:t>
            </w:r>
          </w:p>
        </w:tc>
      </w:tr>
      <w:tr w14:paraId="25703F19" w14:textId="77777777" w:rsidTr="003529B3">
        <w:tblPrEx>
          <w:tblW w:w="11335" w:type="dxa"/>
          <w:jc w:val="center"/>
          <w:tblLook w:val="04A0"/>
        </w:tblPrEx>
        <w:trPr>
          <w:trHeight w:val="288"/>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4A48B2E9" w14:textId="77777777">
            <w:pPr>
              <w:spacing w:after="0" w:line="240" w:lineRule="auto"/>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Respondent Total</w:t>
            </w:r>
          </w:p>
        </w:tc>
        <w:tc>
          <w:tcPr>
            <w:tcW w:w="117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6204796C" w14:textId="77777777">
            <w:pPr>
              <w:spacing w:after="0" w:line="240" w:lineRule="auto"/>
              <w:jc w:val="right"/>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131,410</w:t>
            </w:r>
          </w:p>
        </w:tc>
        <w:tc>
          <w:tcPr>
            <w:tcW w:w="126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60B309D6" w14:textId="77777777">
            <w:pPr>
              <w:spacing w:after="0" w:line="240" w:lineRule="auto"/>
              <w:jc w:val="right"/>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67,536</w:t>
            </w:r>
          </w:p>
        </w:tc>
        <w:tc>
          <w:tcPr>
            <w:tcW w:w="117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4F8D3C45" w14:textId="77777777">
            <w:pPr>
              <w:spacing w:after="0" w:line="240" w:lineRule="auto"/>
              <w:jc w:val="right"/>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89</w:t>
            </w:r>
          </w:p>
        </w:tc>
        <w:tc>
          <w:tcPr>
            <w:tcW w:w="135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784E019F" w14:textId="77777777">
            <w:pPr>
              <w:spacing w:after="0" w:line="240" w:lineRule="auto"/>
              <w:jc w:val="right"/>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11,636,233</w:t>
            </w:r>
          </w:p>
        </w:tc>
        <w:tc>
          <w:tcPr>
            <w:tcW w:w="126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63A139CE" w14:textId="77777777">
            <w:pPr>
              <w:spacing w:after="0" w:line="240" w:lineRule="auto"/>
              <w:jc w:val="right"/>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 xml:space="preserve">$6,417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3B337638" w14:textId="77777777">
            <w:pPr>
              <w:spacing w:after="0" w:line="240" w:lineRule="auto"/>
              <w:jc w:val="right"/>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 xml:space="preserve">$843,208,067 </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404B08C7" w14:textId="77777777">
            <w:pPr>
              <w:spacing w:after="0" w:line="240" w:lineRule="auto"/>
              <w:jc w:val="right"/>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 xml:space="preserve">$6,089 </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199C8A3E" w14:textId="77777777">
            <w:pPr>
              <w:spacing w:after="0" w:line="240" w:lineRule="auto"/>
              <w:jc w:val="right"/>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 xml:space="preserve">$800,171,883 </w:t>
            </w:r>
          </w:p>
        </w:tc>
      </w:tr>
      <w:tr w14:paraId="323DB463" w14:textId="77777777" w:rsidTr="003529B3">
        <w:tblPrEx>
          <w:tblW w:w="11335" w:type="dxa"/>
          <w:jc w:val="center"/>
          <w:tblLook w:val="04A0"/>
        </w:tblPrEx>
        <w:trPr>
          <w:trHeight w:val="288"/>
          <w:jc w:val="cent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5E315C00" w14:textId="77777777">
            <w:pPr>
              <w:spacing w:after="0" w:line="240" w:lineRule="auto"/>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Agency</w:t>
            </w:r>
          </w:p>
        </w:tc>
        <w:tc>
          <w:tcPr>
            <w:tcW w:w="117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26A35580" w14:textId="77777777">
            <w:pPr>
              <w:spacing w:after="0" w:line="240" w:lineRule="auto"/>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6313DFBF" w14:textId="77777777">
            <w:pPr>
              <w:spacing w:after="0" w:line="240" w:lineRule="auto"/>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0C7B90D6" w14:textId="77777777">
            <w:pPr>
              <w:spacing w:after="0" w:line="240" w:lineRule="auto"/>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7B700B2D" w14:textId="77777777">
            <w:pPr>
              <w:spacing w:after="0" w:line="240" w:lineRule="auto"/>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3A1275" w:rsidRPr="003A1275" w:rsidP="003A1275" w14:paraId="1469A859" w14:textId="77777777">
            <w:pPr>
              <w:spacing w:after="0" w:line="240" w:lineRule="auto"/>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 </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346C207F" w14:textId="77777777">
            <w:pPr>
              <w:spacing w:after="0" w:line="240" w:lineRule="auto"/>
              <w:jc w:val="right"/>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 xml:space="preserve">$1,612,702 </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33276A86" w14:textId="77777777">
            <w:pPr>
              <w:spacing w:after="0" w:line="240" w:lineRule="auto"/>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 </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rsidR="003A1275" w:rsidRPr="003A1275" w:rsidP="003A1275" w14:paraId="0A2E6DFA" w14:textId="77777777">
            <w:pPr>
              <w:spacing w:after="0" w:line="240" w:lineRule="auto"/>
              <w:jc w:val="right"/>
              <w:rPr>
                <w:rFonts w:ascii="Arial Narrow" w:eastAsia="Times New Roman" w:hAnsi="Arial Narrow" w:cs="Arial"/>
                <w:b/>
                <w:bCs/>
                <w:color w:val="000000"/>
                <w:sz w:val="20"/>
                <w:szCs w:val="20"/>
              </w:rPr>
            </w:pPr>
            <w:r w:rsidRPr="003A1275">
              <w:rPr>
                <w:rFonts w:ascii="Arial Narrow" w:eastAsia="Times New Roman" w:hAnsi="Arial Narrow" w:cs="Arial"/>
                <w:b/>
                <w:bCs/>
                <w:color w:val="000000"/>
                <w:sz w:val="20"/>
                <w:szCs w:val="20"/>
              </w:rPr>
              <w:t xml:space="preserve">$1,562,613 </w:t>
            </w:r>
          </w:p>
        </w:tc>
      </w:tr>
    </w:tbl>
    <w:p w:rsidR="00EC4305" w:rsidRPr="00B95D15" w:rsidP="0068004C" w14:paraId="175774F0" w14:textId="5C34FBB6">
      <w:pPr>
        <w:pStyle w:val="Heading2"/>
        <w:rPr>
          <w:i w:val="0"/>
          <w:iCs w:val="0"/>
        </w:rPr>
      </w:pPr>
      <w:r w:rsidRPr="00B95D15">
        <w:rPr>
          <w:i w:val="0"/>
          <w:iCs w:val="0"/>
        </w:rPr>
        <w:t xml:space="preserve">13. </w:t>
      </w:r>
      <w:r w:rsidRPr="00B95D15">
        <w:rPr>
          <w:i w:val="0"/>
          <w:iCs w:val="0"/>
        </w:rPr>
        <w:t>Provide an estimate for the total annual cost burden to respondents or recordkeepers resulting from the collection of information.</w:t>
      </w:r>
    </w:p>
    <w:p w:rsidR="007E3456" w:rsidRPr="007E4E7D" w:rsidP="007E3456" w14:paraId="7E7F9369" w14:textId="77777777">
      <w:pPr>
        <w:pStyle w:val="ListParagraph"/>
        <w:numPr>
          <w:ilvl w:val="0"/>
          <w:numId w:val="48"/>
        </w:numPr>
        <w:spacing w:after="200" w:line="240" w:lineRule="auto"/>
        <w:contextualSpacing w:val="0"/>
        <w:rPr>
          <w:b/>
          <w:bCs/>
        </w:rPr>
      </w:pPr>
      <w:r w:rsidRPr="007E4E7D">
        <w:rPr>
          <w:b/>
          <w:bCs/>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7E4E7D">
        <w:rPr>
          <w:b/>
          <w:bCs/>
        </w:rPr>
        <w:t>take into account</w:t>
      </w:r>
      <w:r w:rsidRPr="007E4E7D">
        <w:rPr>
          <w:b/>
          <w:bCs/>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7E4E7D">
        <w:rPr>
          <w:b/>
          <w:bCs/>
        </w:rPr>
        <w:t>time period</w:t>
      </w:r>
      <w:r w:rsidRPr="007E4E7D">
        <w:rPr>
          <w:b/>
          <w:bCs/>
        </w:rPr>
        <w:t xml:space="preserve"> over which costs will be incurred. Capital and start-up costs include, among other items, preparations for collecting information such as purchasing computers and software; monitoring, sampling, </w:t>
      </w:r>
      <w:r w:rsidRPr="007E4E7D">
        <w:rPr>
          <w:b/>
          <w:bCs/>
        </w:rPr>
        <w:t>drilling</w:t>
      </w:r>
      <w:r w:rsidRPr="007E4E7D">
        <w:rPr>
          <w:b/>
          <w:bCs/>
        </w:rPr>
        <w:t xml:space="preserve"> and testing equipment; and record storage facilities.</w:t>
      </w:r>
    </w:p>
    <w:p w:rsidR="007E3456" w:rsidRPr="007E4E7D" w:rsidP="007E3456" w14:paraId="7F472391" w14:textId="77777777">
      <w:pPr>
        <w:pStyle w:val="ListParagraph"/>
        <w:numPr>
          <w:ilvl w:val="0"/>
          <w:numId w:val="48"/>
        </w:numPr>
        <w:spacing w:after="200" w:line="240" w:lineRule="auto"/>
        <w:contextualSpacing w:val="0"/>
        <w:rPr>
          <w:b/>
          <w:bCs/>
        </w:rPr>
      </w:pPr>
      <w:r w:rsidRPr="007E4E7D">
        <w:rPr>
          <w:b/>
          <w:b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7E4E7D">
        <w:rPr>
          <w:b/>
          <w:bCs/>
        </w:rPr>
        <w:t>process</w:t>
      </w:r>
      <w:r w:rsidRPr="007E4E7D">
        <w:rPr>
          <w:b/>
          <w:bCs/>
        </w:rPr>
        <w:t xml:space="preserve"> and use existing economic or regulatory impact </w:t>
      </w:r>
      <w:r w:rsidRPr="007E4E7D">
        <w:rPr>
          <w:b/>
          <w:bCs/>
        </w:rPr>
        <w:t>analysis associated with the rulemaking containing the information collection, as appropriate.</w:t>
      </w:r>
    </w:p>
    <w:p w:rsidR="007E3456" w:rsidRPr="007E4E7D" w:rsidP="007E3456" w14:paraId="672C7EC4" w14:textId="77777777">
      <w:pPr>
        <w:pStyle w:val="ListParagraph"/>
        <w:numPr>
          <w:ilvl w:val="0"/>
          <w:numId w:val="48"/>
        </w:numPr>
        <w:spacing w:after="200" w:line="240" w:lineRule="auto"/>
        <w:contextualSpacing w:val="0"/>
        <w:rPr>
          <w:b/>
          <w:bCs/>
        </w:rPr>
      </w:pPr>
      <w:r w:rsidRPr="007E4E7D">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B6751" w:rsidP="00EC4305" w14:paraId="24D22B28" w14:textId="661C3249">
      <w:r>
        <w:t>There are no operational and/or maintenance costs.</w:t>
      </w:r>
    </w:p>
    <w:p w:rsidR="007E3456" w:rsidP="007E3456" w14:paraId="7F46E2DD" w14:textId="52FC8AC3">
      <w:pPr>
        <w:pStyle w:val="Heading2"/>
        <w:rPr>
          <w:i w:val="0"/>
          <w:iCs w:val="0"/>
        </w:rPr>
      </w:pPr>
      <w:r w:rsidRPr="00B95D15">
        <w:rPr>
          <w:i w:val="0"/>
          <w:iCs w:val="0"/>
        </w:rPr>
        <w:t xml:space="preserve">14. </w:t>
      </w:r>
      <w:r w:rsidRPr="00B95D15">
        <w:rPr>
          <w:i w:val="0"/>
          <w:iCs w:val="0"/>
        </w:rPr>
        <w:t xml:space="preserve">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54DAB" w:rsidRPr="00354DAB" w:rsidP="58920D6B" w14:paraId="46C77A15" w14:textId="0BEE5AE0">
      <w:pPr>
        <w:pStyle w:val="BodyText"/>
        <w:spacing w:after="200" w:line="276" w:lineRule="auto"/>
        <w:rPr>
          <w:rFonts w:asciiTheme="minorHAnsi" w:hAnsiTheme="minorHAnsi" w:cstheme="minorBidi"/>
          <w:sz w:val="24"/>
          <w:szCs w:val="24"/>
        </w:rPr>
      </w:pPr>
      <w:r w:rsidRPr="58920D6B">
        <w:rPr>
          <w:rFonts w:asciiTheme="minorHAnsi" w:hAnsiTheme="minorHAnsi" w:cstheme="minorBidi"/>
          <w:sz w:val="24"/>
          <w:szCs w:val="24"/>
        </w:rPr>
        <w:t xml:space="preserve">The Agency develops and maintains the electronic tool used to collect and verify data and routinely conducts other activities related to the processing, analysis and storage of the information collected under this rule. In this ICR Addendum, only the Agency activities created by the </w:t>
      </w:r>
      <w:r w:rsidRPr="58920D6B" w:rsidR="50817309">
        <w:rPr>
          <w:rFonts w:asciiTheme="minorHAnsi" w:hAnsiTheme="minorHAnsi" w:cstheme="minorBidi"/>
          <w:sz w:val="24"/>
          <w:szCs w:val="24"/>
        </w:rPr>
        <w:t>final</w:t>
      </w:r>
      <w:r w:rsidRPr="58920D6B">
        <w:rPr>
          <w:rFonts w:asciiTheme="minorHAnsi" w:hAnsiTheme="minorHAnsi" w:cstheme="minorBidi"/>
          <w:sz w:val="24"/>
          <w:szCs w:val="24"/>
        </w:rPr>
        <w:t xml:space="preserve"> rule are considered including:</w:t>
      </w:r>
    </w:p>
    <w:p w:rsidR="00354DAB" w:rsidRPr="00354DAB" w:rsidP="58920D6B" w14:paraId="6DA35C08" w14:textId="3CBC04AF">
      <w:pPr>
        <w:pStyle w:val="CommentText"/>
        <w:numPr>
          <w:ilvl w:val="0"/>
          <w:numId w:val="51"/>
        </w:numPr>
        <w:spacing w:after="200" w:line="276" w:lineRule="auto"/>
        <w:rPr>
          <w:rFonts w:asciiTheme="minorHAnsi" w:hAnsiTheme="minorHAnsi"/>
          <w:sz w:val="24"/>
          <w:szCs w:val="24"/>
        </w:rPr>
      </w:pPr>
      <w:r w:rsidRPr="58920D6B">
        <w:rPr>
          <w:rFonts w:asciiTheme="minorHAnsi" w:hAnsiTheme="minorHAnsi"/>
          <w:sz w:val="24"/>
          <w:szCs w:val="24"/>
        </w:rPr>
        <w:t>Data processing</w:t>
      </w:r>
      <w:r w:rsidRPr="58920D6B" w:rsidR="21AC4B85">
        <w:rPr>
          <w:rFonts w:asciiTheme="minorHAnsi" w:hAnsiTheme="minorHAnsi"/>
          <w:sz w:val="24"/>
          <w:szCs w:val="24"/>
        </w:rPr>
        <w:t xml:space="preserve"> and analysis </w:t>
      </w:r>
    </w:p>
    <w:p w:rsidR="00354DAB" w:rsidRPr="00354DAB" w:rsidP="00354DAB" w14:paraId="2F0E8808" w14:textId="77777777">
      <w:pPr>
        <w:pStyle w:val="CommentText"/>
        <w:numPr>
          <w:ilvl w:val="0"/>
          <w:numId w:val="51"/>
        </w:numPr>
        <w:spacing w:after="200" w:line="276" w:lineRule="auto"/>
        <w:rPr>
          <w:rFonts w:asciiTheme="minorHAnsi" w:hAnsiTheme="minorHAnsi" w:cstheme="minorHAnsi"/>
          <w:sz w:val="24"/>
          <w:szCs w:val="24"/>
        </w:rPr>
      </w:pPr>
      <w:r w:rsidRPr="00354DAB">
        <w:rPr>
          <w:rFonts w:asciiTheme="minorHAnsi" w:hAnsiTheme="minorHAnsi" w:cstheme="minorHAnsi"/>
          <w:sz w:val="24"/>
          <w:szCs w:val="24"/>
        </w:rPr>
        <w:t xml:space="preserve">Systems </w:t>
      </w:r>
      <w:r w:rsidRPr="00354DAB">
        <w:rPr>
          <w:rFonts w:asciiTheme="minorHAnsi" w:hAnsiTheme="minorHAnsi" w:cstheme="minorHAnsi"/>
          <w:sz w:val="24"/>
          <w:szCs w:val="24"/>
        </w:rPr>
        <w:t>support</w:t>
      </w:r>
    </w:p>
    <w:p w:rsidR="00354DAB" w:rsidRPr="00354DAB" w:rsidP="00354DAB" w14:paraId="5B856EC0" w14:textId="77777777">
      <w:pPr>
        <w:pStyle w:val="CommentText"/>
        <w:numPr>
          <w:ilvl w:val="0"/>
          <w:numId w:val="51"/>
        </w:numPr>
        <w:spacing w:after="200" w:line="276" w:lineRule="auto"/>
        <w:rPr>
          <w:rFonts w:asciiTheme="minorHAnsi" w:hAnsiTheme="minorHAnsi" w:cstheme="minorHAnsi"/>
          <w:sz w:val="24"/>
          <w:szCs w:val="24"/>
        </w:rPr>
      </w:pPr>
      <w:r w:rsidRPr="00354DAB">
        <w:rPr>
          <w:rFonts w:asciiTheme="minorHAnsi" w:hAnsiTheme="minorHAnsi" w:cstheme="minorHAnsi"/>
          <w:sz w:val="24"/>
          <w:szCs w:val="24"/>
        </w:rPr>
        <w:t xml:space="preserve">Review of CBI claim substantiations </w:t>
      </w:r>
    </w:p>
    <w:p w:rsidR="00354DAB" w:rsidRPr="007E40D2" w:rsidP="007E40D2" w14:paraId="184E2297" w14:textId="439E00F3">
      <w:pPr>
        <w:rPr>
          <w:b/>
          <w:bCs/>
          <w:i/>
          <w:iCs/>
        </w:rPr>
      </w:pPr>
      <w:bookmarkStart w:id="18" w:name="_Toc58238273"/>
      <w:r w:rsidRPr="007E40D2">
        <w:rPr>
          <w:b/>
          <w:bCs/>
          <w:i/>
          <w:iCs/>
        </w:rPr>
        <w:t>Estimated Agency Costs</w:t>
      </w:r>
      <w:bookmarkEnd w:id="18"/>
    </w:p>
    <w:p w:rsidR="007546A8" w:rsidP="58920D6B" w14:paraId="2F079EAB" w14:textId="7171FACE">
      <w:pPr>
        <w:spacing w:after="200" w:line="276" w:lineRule="auto"/>
        <w:rPr>
          <w:rFonts w:asciiTheme="minorHAnsi" w:hAnsiTheme="minorHAnsi"/>
        </w:rPr>
      </w:pPr>
      <w:r w:rsidRPr="58920D6B">
        <w:rPr>
          <w:rFonts w:asciiTheme="minorHAnsi" w:hAnsiTheme="minorHAnsi"/>
        </w:rPr>
        <w:t>The Agency engages in several activities related to TSCA section 8(a) reporting, including: document receipt and tracking; quality control of data, including protection of CBI; backup systems operation; data processing</w:t>
      </w:r>
      <w:r w:rsidRPr="58920D6B" w:rsidR="42FC7931">
        <w:rPr>
          <w:rFonts w:asciiTheme="minorHAnsi" w:hAnsiTheme="minorHAnsi"/>
        </w:rPr>
        <w:t xml:space="preserve"> and analysis</w:t>
      </w:r>
      <w:r w:rsidRPr="58920D6B">
        <w:rPr>
          <w:rFonts w:asciiTheme="minorHAnsi" w:hAnsiTheme="minorHAnsi"/>
        </w:rPr>
        <w:t xml:space="preserve">; systems </w:t>
      </w:r>
      <w:r w:rsidRPr="58920D6B">
        <w:rPr>
          <w:rFonts w:eastAsia="Arial" w:asciiTheme="minorHAnsi" w:hAnsiTheme="minorHAnsi"/>
        </w:rPr>
        <w:t>support; review of CBI claim substantiations; and IT infrastructure</w:t>
      </w:r>
      <w:r w:rsidRPr="58920D6B" w:rsidR="2767C8E2">
        <w:rPr>
          <w:rFonts w:eastAsia="Arial" w:asciiTheme="minorHAnsi" w:hAnsiTheme="minorHAnsi"/>
        </w:rPr>
        <w:t xml:space="preserve"> and guidance development</w:t>
      </w:r>
      <w:r w:rsidRPr="58920D6B">
        <w:rPr>
          <w:rFonts w:eastAsia="Arial" w:asciiTheme="minorHAnsi" w:hAnsiTheme="minorHAnsi"/>
        </w:rPr>
        <w:t xml:space="preserve">. For the PFAS Data Call, EPA estimates a total burden of </w:t>
      </w:r>
      <w:r w:rsidRPr="58920D6B" w:rsidR="4823A88C">
        <w:rPr>
          <w:rFonts w:eastAsia="Arial" w:asciiTheme="minorHAnsi" w:hAnsiTheme="minorHAnsi"/>
        </w:rPr>
        <w:t>6,240</w:t>
      </w:r>
      <w:r w:rsidRPr="58920D6B">
        <w:rPr>
          <w:rFonts w:eastAsia="Arial" w:asciiTheme="minorHAnsi" w:hAnsiTheme="minorHAnsi"/>
        </w:rPr>
        <w:t xml:space="preserve"> hours and a cost of $</w:t>
      </w:r>
      <w:r w:rsidRPr="58920D6B" w:rsidR="013E5630">
        <w:rPr>
          <w:rFonts w:eastAsia="Arial" w:asciiTheme="minorHAnsi" w:hAnsiTheme="minorHAnsi"/>
        </w:rPr>
        <w:t>1,</w:t>
      </w:r>
      <w:r w:rsidR="003E72A1">
        <w:rPr>
          <w:rFonts w:eastAsia="Arial" w:asciiTheme="minorHAnsi" w:hAnsiTheme="minorHAnsi"/>
        </w:rPr>
        <w:t>654,279</w:t>
      </w:r>
      <w:r w:rsidRPr="58920D6B">
        <w:rPr>
          <w:rFonts w:eastAsia="Arial" w:asciiTheme="minorHAnsi" w:hAnsiTheme="minorHAnsi"/>
        </w:rPr>
        <w:t xml:space="preserve"> to the Agency for the one-time reporting. See Appendix A for a detailed derivation of Agency costs.</w:t>
      </w:r>
      <w:r w:rsidRPr="58920D6B">
        <w:rPr>
          <w:rFonts w:asciiTheme="minorHAnsi" w:hAnsiTheme="minorHAnsi"/>
        </w:rPr>
        <w:t xml:space="preserve"> </w:t>
      </w:r>
      <w:bookmarkStart w:id="19" w:name="_Toc58238274"/>
    </w:p>
    <w:p w:rsidR="00354DAB" w:rsidRPr="00354DAB" w:rsidP="00354DAB" w14:paraId="52826550" w14:textId="41727EC8">
      <w:pPr>
        <w:spacing w:after="200" w:line="276" w:lineRule="auto"/>
        <w:rPr>
          <w:rFonts w:asciiTheme="minorHAnsi" w:hAnsiTheme="minorHAnsi" w:cstheme="minorHAnsi"/>
          <w:b/>
          <w:bCs/>
          <w:i/>
          <w:iCs/>
          <w:szCs w:val="24"/>
        </w:rPr>
      </w:pPr>
      <w:r w:rsidRPr="00354DAB">
        <w:rPr>
          <w:rFonts w:asciiTheme="minorHAnsi" w:hAnsiTheme="minorHAnsi" w:cstheme="minorHAnsi"/>
          <w:b/>
          <w:bCs/>
          <w:i/>
          <w:iCs/>
          <w:szCs w:val="24"/>
        </w:rPr>
        <w:t>Collection Schedule</w:t>
      </w:r>
      <w:bookmarkEnd w:id="19"/>
    </w:p>
    <w:p w:rsidR="00354DAB" w:rsidRPr="00354DAB" w:rsidP="00354DAB" w14:paraId="6F75928A" w14:textId="48003B83">
      <w:pPr>
        <w:pStyle w:val="BodyText"/>
        <w:spacing w:after="200" w:line="276" w:lineRule="auto"/>
        <w:rPr>
          <w:rFonts w:asciiTheme="minorHAnsi" w:hAnsiTheme="minorHAnsi" w:cstheme="minorHAnsi"/>
          <w:sz w:val="24"/>
          <w:szCs w:val="24"/>
        </w:rPr>
      </w:pPr>
      <w:r w:rsidRPr="00354DAB">
        <w:rPr>
          <w:rFonts w:asciiTheme="minorHAnsi" w:hAnsiTheme="minorHAnsi" w:cstheme="minorHAnsi"/>
          <w:sz w:val="24"/>
          <w:szCs w:val="24"/>
        </w:rPr>
        <w:t xml:space="preserve">This is a one-time reporting event. The submission period will begin </w:t>
      </w:r>
      <w:r w:rsidR="00E2036C">
        <w:rPr>
          <w:rFonts w:asciiTheme="minorHAnsi" w:hAnsiTheme="minorHAnsi" w:cstheme="minorHAnsi"/>
          <w:sz w:val="24"/>
          <w:szCs w:val="24"/>
        </w:rPr>
        <w:t xml:space="preserve">one year </w:t>
      </w:r>
      <w:r w:rsidRPr="00354DAB">
        <w:rPr>
          <w:rFonts w:asciiTheme="minorHAnsi" w:hAnsiTheme="minorHAnsi" w:cstheme="minorHAnsi"/>
          <w:sz w:val="24"/>
          <w:szCs w:val="24"/>
        </w:rPr>
        <w:t xml:space="preserve">after the final effective date of the rule and will last for </w:t>
      </w:r>
      <w:r w:rsidR="00E2036C">
        <w:rPr>
          <w:rFonts w:asciiTheme="minorHAnsi" w:hAnsiTheme="minorHAnsi" w:cstheme="minorHAnsi"/>
          <w:sz w:val="24"/>
          <w:szCs w:val="24"/>
        </w:rPr>
        <w:t>six</w:t>
      </w:r>
      <w:r w:rsidRPr="00354DAB" w:rsidR="00E2036C">
        <w:rPr>
          <w:rFonts w:asciiTheme="minorHAnsi" w:hAnsiTheme="minorHAnsi" w:cstheme="minorHAnsi"/>
          <w:sz w:val="24"/>
          <w:szCs w:val="24"/>
        </w:rPr>
        <w:t xml:space="preserve"> </w:t>
      </w:r>
      <w:r w:rsidRPr="00354DAB">
        <w:rPr>
          <w:rFonts w:asciiTheme="minorHAnsi" w:hAnsiTheme="minorHAnsi" w:cstheme="minorHAnsi"/>
          <w:sz w:val="24"/>
          <w:szCs w:val="24"/>
        </w:rPr>
        <w:t>months</w:t>
      </w:r>
      <w:r w:rsidRPr="00264BB8" w:rsidR="00264BB8">
        <w:rPr>
          <w:rFonts w:asciiTheme="minorHAnsi" w:hAnsiTheme="minorHAnsi" w:cstheme="minorHAnsi"/>
          <w:sz w:val="24"/>
          <w:szCs w:val="24"/>
        </w:rPr>
        <w:t xml:space="preserve">, and an additional six months </w:t>
      </w:r>
      <w:r w:rsidR="00430A73">
        <w:rPr>
          <w:rFonts w:asciiTheme="minorHAnsi" w:hAnsiTheme="minorHAnsi" w:cstheme="minorHAnsi"/>
          <w:sz w:val="24"/>
          <w:szCs w:val="24"/>
        </w:rPr>
        <w:t xml:space="preserve">will be provided </w:t>
      </w:r>
      <w:r w:rsidRPr="00264BB8" w:rsidR="00264BB8">
        <w:rPr>
          <w:rFonts w:asciiTheme="minorHAnsi" w:hAnsiTheme="minorHAnsi" w:cstheme="minorHAnsi"/>
          <w:sz w:val="24"/>
          <w:szCs w:val="24"/>
        </w:rPr>
        <w:t>for small manufacturers (as defined at 40 CFR 704.3) who</w:t>
      </w:r>
      <w:r w:rsidR="00802354">
        <w:rPr>
          <w:rFonts w:asciiTheme="minorHAnsi" w:hAnsiTheme="minorHAnsi" w:cstheme="minorHAnsi"/>
          <w:sz w:val="24"/>
          <w:szCs w:val="24"/>
        </w:rPr>
        <w:t>se reporting obligations</w:t>
      </w:r>
      <w:r w:rsidR="00951A51">
        <w:rPr>
          <w:rFonts w:asciiTheme="minorHAnsi" w:hAnsiTheme="minorHAnsi" w:cstheme="minorHAnsi"/>
          <w:sz w:val="24"/>
          <w:szCs w:val="24"/>
        </w:rPr>
        <w:t xml:space="preserve"> under this rule</w:t>
      </w:r>
      <w:r w:rsidRPr="00264BB8" w:rsidR="00264BB8">
        <w:rPr>
          <w:rFonts w:asciiTheme="minorHAnsi" w:hAnsiTheme="minorHAnsi" w:cstheme="minorHAnsi"/>
          <w:sz w:val="24"/>
          <w:szCs w:val="24"/>
        </w:rPr>
        <w:t xml:space="preserve"> are exclusively </w:t>
      </w:r>
      <w:r w:rsidR="0062502C">
        <w:rPr>
          <w:rFonts w:asciiTheme="minorHAnsi" w:hAnsiTheme="minorHAnsi" w:cstheme="minorHAnsi"/>
          <w:sz w:val="24"/>
          <w:szCs w:val="24"/>
        </w:rPr>
        <w:t xml:space="preserve">from </w:t>
      </w:r>
      <w:r w:rsidRPr="00264BB8" w:rsidR="00264BB8">
        <w:rPr>
          <w:rFonts w:asciiTheme="minorHAnsi" w:hAnsiTheme="minorHAnsi" w:cstheme="minorHAnsi"/>
          <w:sz w:val="24"/>
          <w:szCs w:val="24"/>
        </w:rPr>
        <w:t>article import</w:t>
      </w:r>
      <w:r w:rsidRPr="00354DAB">
        <w:rPr>
          <w:rFonts w:asciiTheme="minorHAnsi" w:hAnsiTheme="minorHAnsi" w:cstheme="minorHAnsi"/>
          <w:sz w:val="24"/>
          <w:szCs w:val="24"/>
        </w:rPr>
        <w:t xml:space="preserve">. </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95"/>
        <w:gridCol w:w="3150"/>
      </w:tblGrid>
      <w:tr w14:paraId="015ED7E9" w14:textId="77777777" w:rsidTr="5D8F85B4">
        <w:tblPrEx>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7195" w:type="dxa"/>
            <w:shd w:val="clear" w:color="auto" w:fill="BFBFBF" w:themeFill="accent6" w:themeFillShade="BF"/>
          </w:tcPr>
          <w:p w:rsidR="00354DAB" w:rsidRPr="00354DAB" w:rsidP="00354DAB" w14:paraId="0C83A8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eastAsia="Times New Roman" w:asciiTheme="minorHAnsi" w:hAnsiTheme="minorHAnsi" w:cstheme="minorHAnsi"/>
                <w:b/>
                <w:szCs w:val="24"/>
              </w:rPr>
            </w:pPr>
            <w:r w:rsidRPr="00354DAB">
              <w:rPr>
                <w:rFonts w:eastAsia="Times New Roman" w:asciiTheme="minorHAnsi" w:hAnsiTheme="minorHAnsi" w:cstheme="minorHAnsi"/>
                <w:b/>
                <w:szCs w:val="24"/>
              </w:rPr>
              <w:t>Activity</w:t>
            </w:r>
          </w:p>
        </w:tc>
        <w:tc>
          <w:tcPr>
            <w:tcW w:w="3150" w:type="dxa"/>
            <w:shd w:val="clear" w:color="auto" w:fill="BFBFBF" w:themeFill="accent6" w:themeFillShade="BF"/>
          </w:tcPr>
          <w:p w:rsidR="00354DAB" w:rsidRPr="00354DAB" w:rsidP="00354DAB" w14:paraId="31D988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eastAsia="Times New Roman" w:asciiTheme="minorHAnsi" w:hAnsiTheme="minorHAnsi" w:cstheme="minorHAnsi"/>
                <w:b/>
                <w:szCs w:val="24"/>
              </w:rPr>
            </w:pPr>
            <w:r w:rsidRPr="00354DAB">
              <w:rPr>
                <w:rFonts w:eastAsia="Times New Roman" w:asciiTheme="minorHAnsi" w:hAnsiTheme="minorHAnsi" w:cstheme="minorHAnsi"/>
                <w:b/>
                <w:szCs w:val="24"/>
              </w:rPr>
              <w:t>Timeline</w:t>
            </w:r>
          </w:p>
        </w:tc>
      </w:tr>
      <w:tr w14:paraId="013E9F3E" w14:textId="77777777" w:rsidTr="003C26B4">
        <w:tblPrEx>
          <w:tblW w:w="10345" w:type="dxa"/>
          <w:tblLook w:val="01E0"/>
        </w:tblPrEx>
        <w:tc>
          <w:tcPr>
            <w:tcW w:w="7195" w:type="dxa"/>
          </w:tcPr>
          <w:p w:rsidR="00354DAB" w:rsidRPr="00354DAB" w:rsidP="00354DAB" w14:paraId="2E8DA9B0" w14:textId="36C408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eastAsia="Times New Roman" w:asciiTheme="minorHAnsi" w:hAnsiTheme="minorHAnsi" w:cstheme="minorHAnsi"/>
                <w:szCs w:val="24"/>
              </w:rPr>
            </w:pPr>
            <w:r w:rsidRPr="00354DAB">
              <w:rPr>
                <w:rFonts w:eastAsia="Times New Roman" w:asciiTheme="minorHAnsi" w:hAnsiTheme="minorHAnsi" w:cstheme="minorHAnsi"/>
                <w:szCs w:val="24"/>
              </w:rPr>
              <w:t xml:space="preserve">Public outreach efforts: Federal Register publication of proposed rule and </w:t>
            </w:r>
            <w:r w:rsidR="00E00B96">
              <w:rPr>
                <w:rFonts w:eastAsia="Times New Roman" w:asciiTheme="minorHAnsi" w:hAnsiTheme="minorHAnsi" w:cstheme="minorHAnsi"/>
                <w:szCs w:val="24"/>
              </w:rPr>
              <w:t>9</w:t>
            </w:r>
            <w:r w:rsidRPr="00354DAB" w:rsidR="00E00B96">
              <w:rPr>
                <w:rFonts w:eastAsia="Times New Roman" w:asciiTheme="minorHAnsi" w:hAnsiTheme="minorHAnsi" w:cstheme="minorHAnsi"/>
                <w:szCs w:val="24"/>
              </w:rPr>
              <w:t>0</w:t>
            </w:r>
            <w:r w:rsidRPr="00354DAB">
              <w:rPr>
                <w:rFonts w:eastAsia="Times New Roman" w:asciiTheme="minorHAnsi" w:hAnsiTheme="minorHAnsi" w:cstheme="minorHAnsi"/>
                <w:szCs w:val="24"/>
              </w:rPr>
              <w:t xml:space="preserve">-day public comment period open; information </w:t>
            </w:r>
            <w:r w:rsidR="005A0640">
              <w:rPr>
                <w:rFonts w:eastAsia="Times New Roman" w:asciiTheme="minorHAnsi" w:hAnsiTheme="minorHAnsi" w:cstheme="minorHAnsi"/>
                <w:szCs w:val="24"/>
              </w:rPr>
              <w:t xml:space="preserve">posted </w:t>
            </w:r>
            <w:r w:rsidRPr="00354DAB">
              <w:rPr>
                <w:rFonts w:eastAsia="Times New Roman" w:asciiTheme="minorHAnsi" w:hAnsiTheme="minorHAnsi" w:cstheme="minorHAnsi"/>
                <w:szCs w:val="24"/>
              </w:rPr>
              <w:t>on</w:t>
            </w:r>
            <w:r w:rsidR="00E00B96">
              <w:rPr>
                <w:rFonts w:eastAsia="Times New Roman" w:asciiTheme="minorHAnsi" w:hAnsiTheme="minorHAnsi" w:cstheme="minorHAnsi"/>
                <w:szCs w:val="24"/>
              </w:rPr>
              <w:t xml:space="preserve"> EPA’s</w:t>
            </w:r>
            <w:r w:rsidRPr="00354DAB">
              <w:rPr>
                <w:rFonts w:eastAsia="Times New Roman" w:asciiTheme="minorHAnsi" w:hAnsiTheme="minorHAnsi" w:cstheme="minorHAnsi"/>
                <w:szCs w:val="24"/>
              </w:rPr>
              <w:t xml:space="preserve"> website</w:t>
            </w:r>
            <w:r w:rsidR="00014479">
              <w:rPr>
                <w:rFonts w:eastAsia="Times New Roman" w:asciiTheme="minorHAnsi" w:hAnsiTheme="minorHAnsi" w:cstheme="minorHAnsi"/>
                <w:szCs w:val="24"/>
              </w:rPr>
              <w:t xml:space="preserve">; presentations </w:t>
            </w:r>
            <w:r w:rsidR="009E28A8">
              <w:rPr>
                <w:rFonts w:eastAsia="Times New Roman" w:asciiTheme="minorHAnsi" w:hAnsiTheme="minorHAnsi" w:cstheme="minorHAnsi"/>
                <w:szCs w:val="24"/>
              </w:rPr>
              <w:t xml:space="preserve">to conferences and webinars with potentially affected entities </w:t>
            </w:r>
          </w:p>
        </w:tc>
        <w:tc>
          <w:tcPr>
            <w:tcW w:w="3150" w:type="dxa"/>
          </w:tcPr>
          <w:p w:rsidR="00354DAB" w:rsidRPr="00354DAB" w:rsidP="00354DAB" w14:paraId="0BB386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eastAsia="Times New Roman" w:asciiTheme="minorHAnsi" w:hAnsiTheme="minorHAnsi" w:cstheme="minorHAnsi"/>
                <w:szCs w:val="24"/>
              </w:rPr>
            </w:pPr>
            <w:r w:rsidRPr="00354DAB">
              <w:rPr>
                <w:rFonts w:eastAsia="Times New Roman" w:asciiTheme="minorHAnsi" w:hAnsiTheme="minorHAnsi" w:cstheme="minorHAnsi"/>
                <w:szCs w:val="24"/>
              </w:rPr>
              <w:t>2021</w:t>
            </w:r>
          </w:p>
        </w:tc>
      </w:tr>
      <w:tr w14:paraId="04EC68CC" w14:textId="77777777" w:rsidTr="003C26B4">
        <w:tblPrEx>
          <w:tblW w:w="10345" w:type="dxa"/>
          <w:tblLook w:val="01E0"/>
        </w:tblPrEx>
        <w:tc>
          <w:tcPr>
            <w:tcW w:w="7195" w:type="dxa"/>
          </w:tcPr>
          <w:p w:rsidR="00E00B96" w:rsidRPr="00354DAB" w:rsidP="00354DAB" w14:paraId="0D0C3E76" w14:textId="5EB49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eastAsia="Times New Roman" w:asciiTheme="minorHAnsi" w:hAnsiTheme="minorHAnsi" w:cstheme="minorHAnsi"/>
                <w:szCs w:val="24"/>
              </w:rPr>
            </w:pPr>
            <w:r>
              <w:rPr>
                <w:rFonts w:eastAsia="Times New Roman" w:asciiTheme="minorHAnsi" w:hAnsiTheme="minorHAnsi" w:cstheme="minorHAnsi"/>
                <w:szCs w:val="24"/>
              </w:rPr>
              <w:t>Public outreach efforts: SBAR Panel convened</w:t>
            </w:r>
            <w:r w:rsidR="005A0640">
              <w:rPr>
                <w:rFonts w:eastAsia="Times New Roman" w:asciiTheme="minorHAnsi" w:hAnsiTheme="minorHAnsi" w:cstheme="minorHAnsi"/>
                <w:szCs w:val="24"/>
              </w:rPr>
              <w:t xml:space="preserve">; </w:t>
            </w:r>
            <w:r>
              <w:rPr>
                <w:rFonts w:eastAsia="Times New Roman" w:asciiTheme="minorHAnsi" w:hAnsiTheme="minorHAnsi" w:cstheme="minorHAnsi"/>
                <w:szCs w:val="24"/>
              </w:rPr>
              <w:t xml:space="preserve">Federal Register publication of the IRFA </w:t>
            </w:r>
            <w:r w:rsidR="005A0640">
              <w:rPr>
                <w:rFonts w:eastAsia="Times New Roman" w:asciiTheme="minorHAnsi" w:hAnsiTheme="minorHAnsi" w:cstheme="minorHAnsi"/>
                <w:szCs w:val="24"/>
              </w:rPr>
              <w:t>for 30-day public comment period; information posted on EPA’s website</w:t>
            </w:r>
            <w:r w:rsidR="009E28A8">
              <w:rPr>
                <w:rFonts w:eastAsia="Times New Roman" w:asciiTheme="minorHAnsi" w:hAnsiTheme="minorHAnsi" w:cstheme="minorHAnsi"/>
                <w:szCs w:val="24"/>
              </w:rPr>
              <w:t>; presentations to conferences and webinars with potentially affected entities</w:t>
            </w:r>
          </w:p>
        </w:tc>
        <w:tc>
          <w:tcPr>
            <w:tcW w:w="3150" w:type="dxa"/>
          </w:tcPr>
          <w:p w:rsidR="00E00B96" w:rsidRPr="00354DAB" w:rsidP="00354DAB" w14:paraId="29C4FB60" w14:textId="569CE5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eastAsia="Times New Roman" w:asciiTheme="minorHAnsi" w:hAnsiTheme="minorHAnsi" w:cstheme="minorHAnsi"/>
                <w:szCs w:val="24"/>
              </w:rPr>
            </w:pPr>
            <w:r>
              <w:rPr>
                <w:rFonts w:eastAsia="Times New Roman" w:asciiTheme="minorHAnsi" w:hAnsiTheme="minorHAnsi" w:cstheme="minorHAnsi"/>
                <w:szCs w:val="24"/>
              </w:rPr>
              <w:t>2022</w:t>
            </w:r>
          </w:p>
        </w:tc>
      </w:tr>
      <w:tr w14:paraId="3EB48AEB" w14:textId="77777777" w:rsidTr="003C26B4">
        <w:tblPrEx>
          <w:tblW w:w="10345" w:type="dxa"/>
          <w:tblLook w:val="01E0"/>
        </w:tblPrEx>
        <w:tc>
          <w:tcPr>
            <w:tcW w:w="7195" w:type="dxa"/>
          </w:tcPr>
          <w:p w:rsidR="00F3392E" w:rsidRPr="00354DAB" w:rsidP="00354DAB" w14:paraId="6F686E64" w14:textId="2B3C41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eastAsia="Times New Roman" w:asciiTheme="minorHAnsi" w:hAnsiTheme="minorHAnsi" w:cstheme="minorHAnsi"/>
                <w:szCs w:val="24"/>
              </w:rPr>
            </w:pPr>
            <w:r>
              <w:rPr>
                <w:rFonts w:eastAsia="Times New Roman" w:asciiTheme="minorHAnsi" w:hAnsiTheme="minorHAnsi" w:cstheme="minorHAnsi"/>
                <w:szCs w:val="24"/>
              </w:rPr>
              <w:t>Final rule published; effective date 30 days following rule publication in the Federal Register</w:t>
            </w:r>
          </w:p>
        </w:tc>
        <w:tc>
          <w:tcPr>
            <w:tcW w:w="3150" w:type="dxa"/>
          </w:tcPr>
          <w:p w:rsidR="00F3392E" w:rsidRPr="00354DAB" w:rsidP="00354DAB" w14:paraId="145FEA84" w14:textId="231680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eastAsia="Times New Roman" w:asciiTheme="minorHAnsi" w:hAnsiTheme="minorHAnsi" w:cstheme="minorHAnsi"/>
                <w:szCs w:val="24"/>
              </w:rPr>
            </w:pPr>
            <w:r>
              <w:rPr>
                <w:rFonts w:eastAsia="Times New Roman" w:asciiTheme="minorHAnsi" w:hAnsiTheme="minorHAnsi" w:cstheme="minorHAnsi"/>
                <w:szCs w:val="24"/>
              </w:rPr>
              <w:t>Late</w:t>
            </w:r>
            <w:r>
              <w:rPr>
                <w:rFonts w:eastAsia="Times New Roman" w:asciiTheme="minorHAnsi" w:hAnsiTheme="minorHAnsi" w:cstheme="minorHAnsi"/>
                <w:szCs w:val="24"/>
              </w:rPr>
              <w:t xml:space="preserve"> 2023</w:t>
            </w:r>
          </w:p>
        </w:tc>
      </w:tr>
      <w:tr w14:paraId="5297BD67" w14:textId="77777777" w:rsidTr="003C26B4">
        <w:tblPrEx>
          <w:tblW w:w="10345" w:type="dxa"/>
          <w:tblLook w:val="01E0"/>
        </w:tblPrEx>
        <w:tc>
          <w:tcPr>
            <w:tcW w:w="7195" w:type="dxa"/>
          </w:tcPr>
          <w:p w:rsidR="00354DAB" w:rsidRPr="00354DAB" w:rsidP="00354DAB" w14:paraId="2FA60B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eastAsia="Times New Roman" w:asciiTheme="minorHAnsi" w:hAnsiTheme="minorHAnsi" w:cstheme="minorHAnsi"/>
                <w:szCs w:val="24"/>
              </w:rPr>
            </w:pPr>
            <w:r w:rsidRPr="00354DAB">
              <w:rPr>
                <w:rFonts w:eastAsia="Times New Roman" w:asciiTheme="minorHAnsi" w:hAnsiTheme="minorHAnsi" w:cstheme="minorHAnsi"/>
                <w:szCs w:val="24"/>
              </w:rPr>
              <w:t>Open period for submitting reporting forms and existing data</w:t>
            </w:r>
          </w:p>
        </w:tc>
        <w:tc>
          <w:tcPr>
            <w:tcW w:w="3150" w:type="dxa"/>
          </w:tcPr>
          <w:p w:rsidR="00354DAB" w:rsidRPr="00354DAB" w:rsidP="5D8F85B4" w14:paraId="101D6426" w14:textId="4BF7FB1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eastAsia="Times New Roman" w:asciiTheme="minorHAnsi" w:hAnsiTheme="minorHAnsi"/>
              </w:rPr>
            </w:pPr>
            <w:r w:rsidRPr="5D8F85B4">
              <w:rPr>
                <w:rFonts w:eastAsia="Times New Roman" w:asciiTheme="minorHAnsi" w:hAnsiTheme="minorHAnsi"/>
              </w:rPr>
              <w:t xml:space="preserve">Beginning </w:t>
            </w:r>
            <w:r w:rsidRPr="5D8F85B4" w:rsidR="00AB253E">
              <w:rPr>
                <w:rFonts w:eastAsia="Times New Roman" w:asciiTheme="minorHAnsi" w:hAnsiTheme="minorHAnsi"/>
              </w:rPr>
              <w:t xml:space="preserve">12 </w:t>
            </w:r>
            <w:r w:rsidRPr="5D8F85B4">
              <w:rPr>
                <w:rFonts w:eastAsia="Times New Roman" w:asciiTheme="minorHAnsi" w:hAnsiTheme="minorHAnsi"/>
              </w:rPr>
              <w:t>months after final effective date; reporting period lasts for 6 months</w:t>
            </w:r>
            <w:r w:rsidRPr="5D8F85B4" w:rsidR="63B21232">
              <w:rPr>
                <w:rFonts w:eastAsia="Times New Roman" w:asciiTheme="minorHAnsi" w:hAnsiTheme="minorHAnsi"/>
              </w:rPr>
              <w:t xml:space="preserve"> for most manufacturers, and 12 months for small manufacturers (per 40 CFR 704.3) who</w:t>
            </w:r>
            <w:r w:rsidR="005E67DA">
              <w:rPr>
                <w:rFonts w:eastAsia="Times New Roman" w:asciiTheme="minorHAnsi" w:hAnsiTheme="minorHAnsi"/>
              </w:rPr>
              <w:t>se reporting obligations</w:t>
            </w:r>
            <w:r w:rsidR="007D130B">
              <w:rPr>
                <w:rFonts w:eastAsia="Times New Roman" w:asciiTheme="minorHAnsi" w:hAnsiTheme="minorHAnsi"/>
              </w:rPr>
              <w:t xml:space="preserve"> under this rule</w:t>
            </w:r>
            <w:r w:rsidRPr="5D8F85B4" w:rsidR="63B21232">
              <w:rPr>
                <w:rFonts w:eastAsia="Times New Roman" w:asciiTheme="minorHAnsi" w:hAnsiTheme="minorHAnsi"/>
              </w:rPr>
              <w:t xml:space="preserve"> are exclusively </w:t>
            </w:r>
            <w:r w:rsidR="00895491">
              <w:rPr>
                <w:rFonts w:eastAsia="Times New Roman" w:asciiTheme="minorHAnsi" w:hAnsiTheme="minorHAnsi"/>
              </w:rPr>
              <w:t xml:space="preserve">from </w:t>
            </w:r>
            <w:r w:rsidRPr="5D8F85B4" w:rsidR="63B21232">
              <w:rPr>
                <w:rFonts w:eastAsia="Times New Roman" w:asciiTheme="minorHAnsi" w:hAnsiTheme="minorHAnsi"/>
              </w:rPr>
              <w:t>article import</w:t>
            </w:r>
          </w:p>
        </w:tc>
      </w:tr>
    </w:tbl>
    <w:p w:rsidR="00354DAB" w:rsidRPr="00354DAB" w:rsidP="00354DAB" w14:paraId="2249E9B8" w14:textId="77777777">
      <w:pPr>
        <w:keepNext/>
        <w:spacing w:after="200" w:line="276" w:lineRule="auto"/>
        <w:rPr>
          <w:rFonts w:asciiTheme="minorHAnsi" w:hAnsiTheme="minorHAnsi" w:cstheme="minorHAnsi"/>
          <w:szCs w:val="24"/>
        </w:rPr>
      </w:pPr>
    </w:p>
    <w:p w:rsidR="00354DAB" w:rsidRPr="00354DAB" w:rsidP="00354DAB" w14:paraId="0897EE65" w14:textId="42C79AA9">
      <w:pPr>
        <w:rPr>
          <w:b/>
          <w:bCs/>
          <w:i/>
          <w:iCs/>
        </w:rPr>
      </w:pPr>
      <w:bookmarkStart w:id="20" w:name="_Toc58238275"/>
      <w:r w:rsidRPr="00354DAB">
        <w:rPr>
          <w:b/>
          <w:bCs/>
          <w:i/>
          <w:iCs/>
        </w:rPr>
        <w:t>Use of Technology to Facilitate Collection Activities</w:t>
      </w:r>
      <w:bookmarkEnd w:id="20"/>
    </w:p>
    <w:p w:rsidR="00354DAB" w:rsidRPr="00354DAB" w:rsidP="00354DAB" w14:paraId="47A15529" w14:textId="77777777">
      <w:pPr>
        <w:pStyle w:val="BodyText"/>
        <w:spacing w:after="200" w:line="276" w:lineRule="auto"/>
        <w:rPr>
          <w:rFonts w:asciiTheme="minorHAnsi" w:hAnsiTheme="minorHAnsi" w:cstheme="minorHAnsi"/>
          <w:sz w:val="24"/>
          <w:szCs w:val="24"/>
        </w:rPr>
      </w:pPr>
      <w:r w:rsidRPr="00354DAB">
        <w:rPr>
          <w:rFonts w:asciiTheme="minorHAnsi" w:hAnsiTheme="minorHAnsi" w:cstheme="minorHAnsi"/>
          <w:sz w:val="24"/>
          <w:szCs w:val="24"/>
        </w:rPr>
        <w:t>Submitters are required to submit information associated with this data collection electronically via the Internet using the PFAS Reporting Tool within CDX.</w:t>
      </w:r>
    </w:p>
    <w:p w:rsidR="00354DAB" w:rsidRPr="00354DAB" w:rsidP="00354DAB" w14:paraId="134CCFC7" w14:textId="1F00CF9A">
      <w:pPr>
        <w:pStyle w:val="BodyText"/>
        <w:spacing w:after="200" w:line="276" w:lineRule="auto"/>
        <w:rPr>
          <w:rFonts w:asciiTheme="minorHAnsi" w:hAnsiTheme="minorHAnsi" w:cstheme="minorHAnsi"/>
          <w:sz w:val="24"/>
          <w:szCs w:val="24"/>
        </w:rPr>
      </w:pPr>
      <w:r w:rsidRPr="00354DAB">
        <w:rPr>
          <w:rFonts w:asciiTheme="minorHAnsi" w:hAnsiTheme="minorHAnsi" w:cstheme="minorHAnsi"/>
          <w:sz w:val="24"/>
          <w:szCs w:val="24"/>
        </w:rPr>
        <w:t xml:space="preserve">EPA notifies potential submitters of the need to report in three ways: (1) makes available guidance describing reporting requirements through web and listserv announcements, (2) sends email notices to previous </w:t>
      </w:r>
      <w:r w:rsidR="00F12439">
        <w:rPr>
          <w:rFonts w:asciiTheme="minorHAnsi" w:hAnsiTheme="minorHAnsi" w:cstheme="minorHAnsi"/>
          <w:sz w:val="24"/>
          <w:szCs w:val="24"/>
        </w:rPr>
        <w:t>TSCA</w:t>
      </w:r>
      <w:r w:rsidRPr="00354DAB" w:rsidR="00F12439">
        <w:rPr>
          <w:rFonts w:asciiTheme="minorHAnsi" w:hAnsiTheme="minorHAnsi" w:cstheme="minorHAnsi"/>
          <w:sz w:val="24"/>
          <w:szCs w:val="24"/>
        </w:rPr>
        <w:t xml:space="preserve"> </w:t>
      </w:r>
      <w:r w:rsidRPr="00354DAB">
        <w:rPr>
          <w:rFonts w:asciiTheme="minorHAnsi" w:hAnsiTheme="minorHAnsi" w:cstheme="minorHAnsi"/>
          <w:sz w:val="24"/>
          <w:szCs w:val="24"/>
        </w:rPr>
        <w:t xml:space="preserve">submitters and other potential stakeholders, and (3) publishes press releases. The requirement to report is based on TSCA section 8(a)(7); potential submitters that do not receive a notification as listed above or who do not read published articles are still required to report. Reporting materials, including a non-submission version of the required </w:t>
      </w:r>
      <w:r w:rsidRPr="00354DAB">
        <w:rPr>
          <w:rFonts w:asciiTheme="minorHAnsi" w:hAnsiTheme="minorHAnsi" w:cstheme="minorHAnsi"/>
          <w:sz w:val="24"/>
          <w:szCs w:val="24"/>
        </w:rPr>
        <w:t>information</w:t>
      </w:r>
      <w:r w:rsidRPr="00354DAB">
        <w:rPr>
          <w:rFonts w:asciiTheme="minorHAnsi" w:hAnsiTheme="minorHAnsi" w:cstheme="minorHAnsi"/>
          <w:sz w:val="24"/>
          <w:szCs w:val="24"/>
        </w:rPr>
        <w:t xml:space="preserve"> and reporting instructions documents will be available on EPA’s TSCA website. Submitters can also obtain these materials from the TSCA Hotline. Submitters obtain the PFAS Reporting Tool (which enables the completion of the reporting form for submission) as part of the CDX electronic web-based registration process. </w:t>
      </w:r>
    </w:p>
    <w:p w:rsidR="00354DAB" w:rsidRPr="00354DAB" w:rsidP="00354DAB" w14:paraId="04CBBC85" w14:textId="77777777">
      <w:pPr>
        <w:pStyle w:val="BodyText"/>
        <w:spacing w:after="200" w:line="276" w:lineRule="auto"/>
        <w:rPr>
          <w:rFonts w:asciiTheme="minorHAnsi" w:hAnsiTheme="minorHAnsi" w:cstheme="minorHAnsi"/>
          <w:sz w:val="24"/>
          <w:szCs w:val="24"/>
        </w:rPr>
      </w:pPr>
      <w:r w:rsidRPr="00354DAB">
        <w:rPr>
          <w:rFonts w:asciiTheme="minorHAnsi" w:hAnsiTheme="minorHAnsi" w:cstheme="minorHAnsi"/>
          <w:sz w:val="24"/>
          <w:szCs w:val="24"/>
        </w:rPr>
        <w:t xml:space="preserve">EPA will receive all submissions electronically. The CDX registration process, required for all </w:t>
      </w:r>
      <w:r w:rsidRPr="00354DAB">
        <w:rPr>
          <w:rFonts w:asciiTheme="minorHAnsi" w:hAnsiTheme="minorHAnsi" w:cstheme="minorHAnsi"/>
          <w:sz w:val="24"/>
          <w:szCs w:val="24"/>
        </w:rPr>
        <w:t xml:space="preserve">submitters, provides a user ID, which the submitter uses to access the PFAS Reporting Tool. EPA anticipates that many submitters will already have registered for CDX to fulfill other reporting programs, such as CDR or the Toxics Release Inventory. </w:t>
      </w:r>
    </w:p>
    <w:p w:rsidR="00354DAB" w:rsidRPr="00354DAB" w:rsidP="58920D6B" w14:paraId="170BE8C6" w14:textId="7D2905A8">
      <w:pPr>
        <w:pStyle w:val="BodyText"/>
        <w:spacing w:after="200" w:line="276" w:lineRule="auto"/>
        <w:rPr>
          <w:rFonts w:asciiTheme="minorHAnsi" w:hAnsiTheme="minorHAnsi" w:cstheme="minorBidi"/>
          <w:sz w:val="24"/>
          <w:szCs w:val="24"/>
        </w:rPr>
      </w:pPr>
      <w:r w:rsidRPr="58920D6B">
        <w:rPr>
          <w:rFonts w:asciiTheme="minorHAnsi" w:hAnsiTheme="minorHAnsi" w:cstheme="minorBidi"/>
          <w:sz w:val="24"/>
          <w:szCs w:val="24"/>
        </w:rPr>
        <w:t xml:space="preserve">Information quality control and validation will begin with the PFAS Reporting Tool, which is programmed to help the submitter provide the information required, in the correct format, as required by the </w:t>
      </w:r>
      <w:r w:rsidRPr="58920D6B" w:rsidR="08C14DB8">
        <w:rPr>
          <w:rFonts w:asciiTheme="minorHAnsi" w:hAnsiTheme="minorHAnsi" w:cstheme="minorBidi"/>
          <w:sz w:val="24"/>
          <w:szCs w:val="24"/>
        </w:rPr>
        <w:t xml:space="preserve">final </w:t>
      </w:r>
      <w:r w:rsidRPr="58920D6B">
        <w:rPr>
          <w:rFonts w:asciiTheme="minorHAnsi" w:hAnsiTheme="minorHAnsi" w:cstheme="minorBidi"/>
          <w:sz w:val="24"/>
          <w:szCs w:val="24"/>
        </w:rPr>
        <w:t xml:space="preserve">rule. </w:t>
      </w:r>
    </w:p>
    <w:p w:rsidR="00354DAB" w:rsidRPr="00354DAB" w:rsidP="00354DAB" w14:paraId="3EEDBF15" w14:textId="77777777">
      <w:pPr>
        <w:tabs>
          <w:tab w:val="left" w:pos="720"/>
          <w:tab w:val="left" w:pos="1080"/>
        </w:tabs>
        <w:spacing w:after="200" w:line="276" w:lineRule="auto"/>
        <w:rPr>
          <w:rFonts w:asciiTheme="minorHAnsi" w:hAnsiTheme="minorHAnsi" w:cstheme="minorHAnsi"/>
          <w:szCs w:val="24"/>
        </w:rPr>
      </w:pPr>
      <w:r w:rsidRPr="00354DAB">
        <w:rPr>
          <w:rFonts w:asciiTheme="minorHAnsi" w:hAnsiTheme="minorHAnsi" w:cstheme="minorHAnsi"/>
          <w:szCs w:val="24"/>
        </w:rPr>
        <w:t xml:space="preserve">To aid persons subject to this information collection, the Agency’s TSCA and CDX Hotlines will be available to answer questions regarding the reporting requirements or submission process. When Hotline staff is unable to answer questions, the submitter is referred to OPPT programmatic staff. Other divisions within OPPT or the Office of Mission Support (OMS) may respond as necessary. </w:t>
      </w:r>
    </w:p>
    <w:p w:rsidR="00BB139B" w:rsidP="00BB139B" w14:paraId="5047A435" w14:textId="644046DA">
      <w:pPr>
        <w:pStyle w:val="Heading2"/>
      </w:pPr>
      <w:r w:rsidRPr="00B95D15">
        <w:rPr>
          <w:i w:val="0"/>
          <w:iCs w:val="0"/>
        </w:rPr>
        <w:t xml:space="preserve">15. </w:t>
      </w:r>
      <w:r w:rsidRPr="00B95D15" w:rsidR="00EC4305">
        <w:rPr>
          <w:i w:val="0"/>
          <w:iCs w:val="0"/>
        </w:rPr>
        <w:t xml:space="preserve">Explain the reasons for any program changes or adjustments reported in </w:t>
      </w:r>
      <w:r w:rsidRPr="00B95D15" w:rsidR="00917201">
        <w:rPr>
          <w:i w:val="0"/>
          <w:iCs w:val="0"/>
        </w:rPr>
        <w:t>hour or cost burden.</w:t>
      </w:r>
      <w:r w:rsidR="00917201">
        <w:t xml:space="preserve"> </w:t>
      </w:r>
    </w:p>
    <w:p w:rsidR="004F4342" w:rsidRPr="004F4342" w:rsidP="004F4342" w14:paraId="5635A609" w14:textId="3E024CC3">
      <w:pPr>
        <w:spacing w:after="200" w:line="276" w:lineRule="auto"/>
      </w:pPr>
      <w:r>
        <w:t xml:space="preserve">This is a new data collection activity. As such, the change being implemented in this ICR period is the addition of new burden and cost for the one-time collection event. The total burden to industry for this ICR period is approximately </w:t>
      </w:r>
      <w:r w:rsidR="38F7946D">
        <w:t>11</w:t>
      </w:r>
      <w:r w:rsidR="003A1275">
        <w:t>.6 million</w:t>
      </w:r>
      <w:r>
        <w:t xml:space="preserve"> hours. The total cost to industry for this ICR period is approximately $</w:t>
      </w:r>
      <w:r w:rsidR="00EB26FE">
        <w:t>843</w:t>
      </w:r>
      <w:r w:rsidRPr="00EB26FE" w:rsidR="00EB26FE">
        <w:t xml:space="preserve"> </w:t>
      </w:r>
      <w:r w:rsidR="00EB26FE">
        <w:t>million under a 3 percent discount rate and $800.2 million under a 7 percent discount rate</w:t>
      </w:r>
      <w:r w:rsidR="005B6F13">
        <w:t>.</w:t>
      </w:r>
      <w:r>
        <w:t xml:space="preserve"> </w:t>
      </w:r>
    </w:p>
    <w:p w:rsidR="00B41A83" w:rsidRPr="00B95D15" w:rsidP="0068004C" w14:paraId="66BB1DC4" w14:textId="122FFE26">
      <w:pPr>
        <w:pStyle w:val="Heading2"/>
        <w:rPr>
          <w:i w:val="0"/>
          <w:iCs w:val="0"/>
        </w:rPr>
      </w:pPr>
      <w:r w:rsidRPr="00B95D15">
        <w:rPr>
          <w:i w:val="0"/>
          <w:iCs w:val="0"/>
        </w:rPr>
        <w:t xml:space="preserve">16. </w:t>
      </w:r>
      <w:r w:rsidRPr="00B95D15" w:rsidR="00EC4305">
        <w:rPr>
          <w:i w:val="0"/>
          <w:iCs w:val="0"/>
        </w:rPr>
        <w:t>For collections whose results will be published, outline the plans for tabulation and publication.</w:t>
      </w:r>
      <w:r w:rsidRPr="00B95D15">
        <w:rPr>
          <w:i w:val="0"/>
          <w:iCs w:val="0"/>
        </w:rPr>
        <w:t xml:space="preserve"> </w:t>
      </w:r>
      <w:r w:rsidRPr="00B95D15" w:rsidR="00917201">
        <w:rPr>
          <w:i w:val="0"/>
          <w:iCs w:val="0"/>
        </w:rPr>
        <w:t>Address any complex analytical techniques that will be used. Provide the time schedule for the entire project, including beginning and ending dates of the collection of information, completion of report, publication dates, and other actions.</w:t>
      </w:r>
    </w:p>
    <w:p w:rsidR="00EC4305" w:rsidRPr="00F71DB5" w:rsidP="00EF494C" w14:paraId="48838502" w14:textId="101CE19A">
      <w:pPr>
        <w:rPr>
          <w:b/>
          <w:bCs/>
        </w:rPr>
      </w:pPr>
      <w:r>
        <w:t xml:space="preserve">Not applicable. </w:t>
      </w:r>
    </w:p>
    <w:p w:rsidR="00B41A83" w:rsidRPr="00B95D15" w:rsidP="0068004C" w14:paraId="2E9B2CC1" w14:textId="59965ACD">
      <w:pPr>
        <w:pStyle w:val="Heading2"/>
        <w:rPr>
          <w:i w:val="0"/>
          <w:iCs w:val="0"/>
        </w:rPr>
      </w:pPr>
      <w:r w:rsidRPr="00B95D15">
        <w:rPr>
          <w:i w:val="0"/>
          <w:iCs w:val="0"/>
        </w:rPr>
        <w:t xml:space="preserve">17. </w:t>
      </w:r>
      <w:r w:rsidRPr="00B95D15" w:rsidR="00EC4305">
        <w:rPr>
          <w:i w:val="0"/>
          <w:iCs w:val="0"/>
        </w:rPr>
        <w:t>If seeking approval to not display the expiration date for OMB approval of the information collection, explain the reasons why display would be inappropriate.</w:t>
      </w:r>
      <w:r w:rsidRPr="00B95D15">
        <w:rPr>
          <w:i w:val="0"/>
          <w:iCs w:val="0"/>
        </w:rPr>
        <w:t xml:space="preserve"> </w:t>
      </w:r>
    </w:p>
    <w:p w:rsidR="00EC4305" w:rsidP="00EC4305" w14:paraId="267A81EB" w14:textId="3371C4E4">
      <w:r>
        <w:t>This question not applicable to this ICR</w:t>
      </w:r>
    </w:p>
    <w:p w:rsidR="00B41A83" w:rsidRPr="00B95D15" w:rsidP="0068004C" w14:paraId="27638586" w14:textId="35AE8121">
      <w:pPr>
        <w:pStyle w:val="Heading2"/>
        <w:rPr>
          <w:i w:val="0"/>
          <w:iCs w:val="0"/>
        </w:rPr>
      </w:pPr>
      <w:r w:rsidRPr="00B95D15">
        <w:rPr>
          <w:i w:val="0"/>
          <w:iCs w:val="0"/>
        </w:rPr>
        <w:t xml:space="preserve">18. </w:t>
      </w:r>
      <w:r w:rsidRPr="00B95D15" w:rsidR="00EC4305">
        <w:rPr>
          <w:i w:val="0"/>
          <w:iCs w:val="0"/>
        </w:rPr>
        <w:t>Explain each exception to the certification statement identified in Item 19 of OMB Form 83-I.</w:t>
      </w:r>
      <w:r w:rsidRPr="00B95D15">
        <w:rPr>
          <w:i w:val="0"/>
          <w:iCs w:val="0"/>
        </w:rPr>
        <w:t xml:space="preserve"> </w:t>
      </w:r>
    </w:p>
    <w:p w:rsidR="00EC4305" w:rsidP="00EC4305" w14:paraId="13F2093C" w14:textId="09A9C13B">
      <w:r>
        <w:t>EPA does not request an exception to the certification of this information collection.</w:t>
      </w:r>
    </w:p>
    <w:p w:rsidR="005C59B2" w:rsidP="005C59B2" w14:paraId="0C085671" w14:textId="77777777">
      <w:pPr>
        <w:pStyle w:val="Heading1"/>
      </w:pPr>
      <w:r>
        <w:t>SUPPLEMENTAL INFORMATION</w:t>
      </w:r>
    </w:p>
    <w:p w:rsidR="005A4C5B" w:rsidP="005A4C5B" w14:paraId="0A9EB326" w14:textId="20D7FF6D">
      <w:r>
        <w:t>This collection of information is approved by OMB under the Paperwork Reduction Act, 44 U.S.C. 3501 et seq. (OMB Control No. 2070-</w:t>
      </w:r>
      <w:r w:rsidR="001A70E0">
        <w:t>0217</w:t>
      </w:r>
      <w:r>
        <w:t xml:space="preserve">). Responses to this collection of information are mandatory (40 CFR </w:t>
      </w:r>
      <w:r w:rsidR="00C6369B">
        <w:t>705</w:t>
      </w:r>
      <w:r>
        <w:t xml:space="preserve">). An agency may not conduct or sponsor, and a person is not required to respond to, a collection of information unless it displays a currently valid OMB control number. The public reporting and recordkeeping burden for this collection of </w:t>
      </w:r>
      <w:r>
        <w:t xml:space="preserve">information is estimated to </w:t>
      </w:r>
      <w:r w:rsidR="00091005">
        <w:t xml:space="preserve">be </w:t>
      </w:r>
      <w:r w:rsidRPr="003C26B4" w:rsidR="2F218F6A">
        <w:t>89</w:t>
      </w:r>
      <w:r w:rsidR="00091005">
        <w:t xml:space="preserve"> hours</w:t>
      </w:r>
      <w: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4F4342" w:rsidRPr="0068315F" w:rsidP="004F4342" w14:paraId="004E6043" w14:textId="77777777">
      <w:pPr>
        <w:pStyle w:val="Heading1"/>
        <w:pBdr>
          <w:top w:val="none" w:sz="0" w:space="0" w:color="auto"/>
        </w:pBdr>
        <w:spacing w:before="0" w:after="200" w:line="240" w:lineRule="auto"/>
        <w:rPr>
          <w:lang w:bidi="en-US"/>
        </w:rPr>
      </w:pPr>
      <w:bookmarkStart w:id="21" w:name="_Toc58238287"/>
      <w:r>
        <w:rPr>
          <w:lang w:bidi="en-US"/>
        </w:rPr>
        <w:t>REFERENCES</w:t>
      </w:r>
      <w:bookmarkEnd w:id="21"/>
    </w:p>
    <w:p w:rsidR="004F4342" w:rsidP="004F4342" w14:paraId="59CFAB60" w14:textId="11E0BDB2">
      <w:pPr>
        <w:pStyle w:val="Reference"/>
        <w:spacing w:after="240"/>
      </w:pPr>
      <w:bookmarkStart w:id="22" w:name="OLE_LINK6"/>
      <w:bookmarkStart w:id="23" w:name="OLE_LINK7"/>
      <w:r w:rsidRPr="58920D6B">
        <w:rPr>
          <w:rFonts w:ascii="Arial" w:eastAsia="Arial" w:hAnsi="Arial" w:cs="Arial"/>
          <w:sz w:val="24"/>
        </w:rPr>
        <w:t>BLS</w:t>
      </w:r>
      <w:r w:rsidRPr="58920D6B">
        <w:rPr>
          <w:rFonts w:ascii="Arial" w:hAnsi="Arial" w:cs="Arial"/>
          <w:sz w:val="24"/>
        </w:rPr>
        <w:t xml:space="preserve"> (U.S. Bureau of Labor Statistics)</w:t>
      </w:r>
      <w:r w:rsidRPr="58920D6B">
        <w:rPr>
          <w:rFonts w:ascii="Arial" w:eastAsia="Arial" w:hAnsi="Arial" w:cs="Arial"/>
          <w:sz w:val="24"/>
        </w:rPr>
        <w:t>. 202</w:t>
      </w:r>
      <w:r w:rsidR="00FE0F00">
        <w:rPr>
          <w:rFonts w:ascii="Arial" w:eastAsia="Arial" w:hAnsi="Arial" w:cs="Arial"/>
          <w:sz w:val="24"/>
        </w:rPr>
        <w:t>3</w:t>
      </w:r>
      <w:r w:rsidRPr="58920D6B">
        <w:rPr>
          <w:rFonts w:ascii="Arial" w:eastAsia="Arial" w:hAnsi="Arial" w:cs="Arial"/>
          <w:sz w:val="24"/>
        </w:rPr>
        <w:t>a. "Employer Costs for Employee Compensation Supplementary Tables - December 20</w:t>
      </w:r>
      <w:r w:rsidRPr="58920D6B" w:rsidR="5293BA4A">
        <w:rPr>
          <w:rFonts w:ascii="Arial" w:eastAsia="Arial" w:hAnsi="Arial" w:cs="Arial"/>
          <w:sz w:val="24"/>
        </w:rPr>
        <w:t>2</w:t>
      </w:r>
      <w:r w:rsidR="00FE0F00">
        <w:rPr>
          <w:rFonts w:ascii="Arial" w:eastAsia="Arial" w:hAnsi="Arial" w:cs="Arial"/>
          <w:sz w:val="24"/>
        </w:rPr>
        <w:t>2</w:t>
      </w:r>
      <w:r w:rsidRPr="58920D6B">
        <w:rPr>
          <w:rFonts w:ascii="Arial" w:eastAsia="Arial" w:hAnsi="Arial" w:cs="Arial"/>
          <w:sz w:val="24"/>
        </w:rPr>
        <w:t>."</w:t>
      </w:r>
    </w:p>
    <w:p w:rsidR="004F4342" w:rsidP="004F4342" w14:paraId="0EEE7532" w14:textId="4B432543">
      <w:pPr>
        <w:pStyle w:val="Reference"/>
        <w:spacing w:after="240"/>
      </w:pPr>
      <w:r w:rsidRPr="58920D6B">
        <w:rPr>
          <w:rFonts w:ascii="Arial" w:eastAsia="Arial" w:hAnsi="Arial" w:cs="Arial"/>
          <w:sz w:val="24"/>
        </w:rPr>
        <w:t>BLS. 202</w:t>
      </w:r>
      <w:r w:rsidR="00FE0F00">
        <w:rPr>
          <w:rFonts w:ascii="Arial" w:eastAsia="Arial" w:hAnsi="Arial" w:cs="Arial"/>
          <w:sz w:val="24"/>
        </w:rPr>
        <w:t>3</w:t>
      </w:r>
      <w:r w:rsidRPr="58920D6B">
        <w:rPr>
          <w:rFonts w:ascii="Arial" w:eastAsia="Arial" w:hAnsi="Arial" w:cs="Arial"/>
          <w:sz w:val="24"/>
        </w:rPr>
        <w:t>b. National Industry-Specific Occupational Employment and Wage Estimates, May 20</w:t>
      </w:r>
      <w:r w:rsidRPr="58920D6B" w:rsidR="05E4C60E">
        <w:rPr>
          <w:rFonts w:ascii="Arial" w:eastAsia="Arial" w:hAnsi="Arial" w:cs="Arial"/>
          <w:sz w:val="24"/>
        </w:rPr>
        <w:t>2</w:t>
      </w:r>
      <w:r w:rsidR="00FE0F00">
        <w:rPr>
          <w:rFonts w:ascii="Arial" w:eastAsia="Arial" w:hAnsi="Arial" w:cs="Arial"/>
          <w:sz w:val="24"/>
        </w:rPr>
        <w:t>2</w:t>
      </w:r>
      <w:r w:rsidRPr="58920D6B">
        <w:rPr>
          <w:rFonts w:ascii="Arial" w:eastAsia="Arial" w:hAnsi="Arial" w:cs="Arial"/>
          <w:sz w:val="24"/>
        </w:rPr>
        <w:t>.</w:t>
      </w:r>
    </w:p>
    <w:p w:rsidR="004F4342" w:rsidRPr="008F0E7C" w:rsidP="004F4342" w14:paraId="6D12AF91" w14:textId="77777777">
      <w:pPr>
        <w:pStyle w:val="Reference"/>
        <w:spacing w:after="240"/>
        <w:rPr>
          <w:rFonts w:ascii="Arial" w:hAnsi="Arial" w:cs="Arial"/>
          <w:i/>
          <w:sz w:val="24"/>
        </w:rPr>
      </w:pPr>
      <w:r w:rsidRPr="008F0E7C">
        <w:rPr>
          <w:rFonts w:ascii="Arial" w:hAnsi="Arial" w:cs="Arial"/>
          <w:sz w:val="24"/>
        </w:rPr>
        <w:t xml:space="preserve">EPA. 2002. </w:t>
      </w:r>
      <w:r w:rsidRPr="008F0E7C">
        <w:rPr>
          <w:rFonts w:ascii="Arial" w:hAnsi="Arial" w:cs="Arial"/>
          <w:i/>
          <w:sz w:val="24"/>
        </w:rPr>
        <w:t>Revised Economic Analysis for the Amended Inventory Update Rule: Final Report (EPA-HQ-OPPT-2002-0054-0260).</w:t>
      </w:r>
      <w:r w:rsidRPr="008F0E7C">
        <w:rPr>
          <w:rFonts w:ascii="Arial" w:hAnsi="Arial" w:cs="Arial"/>
          <w:sz w:val="24"/>
        </w:rPr>
        <w:t xml:space="preserve"> Office of Pollution Prevention and Toxics, Economic and Policy Analysis Branch. August 2002</w:t>
      </w:r>
      <w:r w:rsidRPr="008F0E7C">
        <w:rPr>
          <w:rFonts w:ascii="Arial" w:hAnsi="Arial" w:cs="Arial"/>
          <w:i/>
          <w:sz w:val="24"/>
        </w:rPr>
        <w:t>.</w:t>
      </w:r>
    </w:p>
    <w:p w:rsidR="004F4342" w:rsidRPr="008A70BD" w:rsidP="004F4342" w14:paraId="00E6348E" w14:textId="77777777">
      <w:pPr>
        <w:pStyle w:val="Reference"/>
        <w:spacing w:after="240"/>
        <w:rPr>
          <w:rFonts w:asciiTheme="minorHAnsi" w:hAnsiTheme="minorHAnsi" w:cstheme="minorHAnsi"/>
          <w:sz w:val="24"/>
        </w:rPr>
      </w:pPr>
      <w:r w:rsidRPr="008F0E7C">
        <w:rPr>
          <w:rFonts w:ascii="Arial" w:hAnsi="Arial" w:cs="Arial"/>
          <w:sz w:val="24"/>
        </w:rPr>
        <w:t xml:space="preserve">EPA. 2009. </w:t>
      </w:r>
      <w:r w:rsidRPr="008F0E7C">
        <w:rPr>
          <w:rFonts w:ascii="Arial" w:hAnsi="Arial" w:cs="Arial"/>
          <w:i/>
          <w:iCs/>
          <w:sz w:val="24"/>
        </w:rPr>
        <w:t xml:space="preserve">ICR </w:t>
      </w:r>
      <w:r w:rsidRPr="008A70BD">
        <w:rPr>
          <w:rFonts w:asciiTheme="minorHAnsi" w:hAnsiTheme="minorHAnsi" w:cstheme="minorHAnsi"/>
          <w:i/>
          <w:iCs/>
          <w:sz w:val="24"/>
        </w:rPr>
        <w:t>Handbook: EPA’s Guide to Writing Information Collection Requests under the Paperwork Reduction Act of 1995</w:t>
      </w:r>
      <w:r w:rsidRPr="008A70BD">
        <w:rPr>
          <w:rFonts w:asciiTheme="minorHAnsi" w:hAnsiTheme="minorHAnsi" w:cstheme="minorHAnsi"/>
          <w:sz w:val="24"/>
        </w:rPr>
        <w:t xml:space="preserve">. Retrieved from </w:t>
      </w:r>
      <w:hyperlink r:id="rId10" w:history="1">
        <w:r w:rsidRPr="008A70BD">
          <w:rPr>
            <w:rStyle w:val="Hyperlink"/>
            <w:rFonts w:asciiTheme="minorHAnsi" w:hAnsiTheme="minorHAnsi" w:cstheme="minorHAnsi"/>
            <w:sz w:val="24"/>
          </w:rPr>
          <w:t>https://www.pdffiller.com/10247637--ICR-Handbook---Environmental-Protection-Agency-</w:t>
        </w:r>
      </w:hyperlink>
      <w:r w:rsidRPr="008A70BD">
        <w:rPr>
          <w:rFonts w:asciiTheme="minorHAnsi" w:hAnsiTheme="minorHAnsi" w:cstheme="minorHAnsi"/>
          <w:sz w:val="24"/>
        </w:rPr>
        <w:t>.</w:t>
      </w:r>
    </w:p>
    <w:p w:rsidR="004F4342" w:rsidRPr="008A70BD" w:rsidP="004F4342" w14:paraId="7910E05C" w14:textId="77777777">
      <w:pPr>
        <w:pStyle w:val="Reference"/>
        <w:spacing w:after="240"/>
        <w:rPr>
          <w:rFonts w:asciiTheme="minorHAnsi" w:hAnsiTheme="minorHAnsi" w:cstheme="minorHAnsi"/>
          <w:sz w:val="24"/>
        </w:rPr>
      </w:pPr>
      <w:r w:rsidRPr="008A70BD">
        <w:rPr>
          <w:rFonts w:asciiTheme="minorHAnsi" w:hAnsiTheme="minorHAnsi" w:cstheme="minorHAnsi"/>
          <w:sz w:val="24"/>
        </w:rPr>
        <w:t xml:space="preserve">EPA. 2017. </w:t>
      </w:r>
      <w:r w:rsidRPr="008A70BD">
        <w:rPr>
          <w:rFonts w:asciiTheme="minorHAnsi" w:hAnsiTheme="minorHAnsi" w:cstheme="minorHAnsi"/>
          <w:i/>
          <w:sz w:val="24"/>
        </w:rPr>
        <w:t xml:space="preserve">Burden and Cost Report for the Final Rule: TSCA Inventory Notification Requirements </w:t>
      </w:r>
      <w:r w:rsidRPr="008A70BD">
        <w:rPr>
          <w:rFonts w:asciiTheme="minorHAnsi" w:hAnsiTheme="minorHAnsi" w:cstheme="minorHAnsi"/>
          <w:sz w:val="24"/>
        </w:rPr>
        <w:t xml:space="preserve">(RIN 2070-AK24) </w:t>
      </w:r>
      <w:r w:rsidRPr="008A70BD">
        <w:rPr>
          <w:rFonts w:asciiTheme="minorHAnsi" w:hAnsiTheme="minorHAnsi" w:cstheme="minorHAnsi"/>
          <w:color w:val="auto"/>
          <w:sz w:val="24"/>
        </w:rPr>
        <w:t>EPA-HQ-OPPT-2016-0426-0072</w:t>
      </w:r>
      <w:r w:rsidRPr="008A70BD">
        <w:rPr>
          <w:rFonts w:asciiTheme="minorHAnsi" w:hAnsiTheme="minorHAnsi" w:cstheme="minorHAnsi"/>
          <w:color w:val="666666"/>
          <w:sz w:val="24"/>
        </w:rPr>
        <w:t>.</w:t>
      </w:r>
    </w:p>
    <w:p w:rsidR="004F4342" w:rsidP="004F4342" w14:paraId="177C19DB" w14:textId="3860C866">
      <w:pPr>
        <w:pStyle w:val="Reference"/>
        <w:spacing w:after="240"/>
        <w:rPr>
          <w:rFonts w:eastAsia="Arial" w:asciiTheme="minorHAnsi" w:hAnsiTheme="minorHAnsi" w:cstheme="minorHAnsi"/>
          <w:sz w:val="24"/>
        </w:rPr>
      </w:pPr>
      <w:r w:rsidRPr="008A70BD">
        <w:rPr>
          <w:rFonts w:eastAsia="Arial" w:asciiTheme="minorHAnsi" w:hAnsiTheme="minorHAnsi" w:cstheme="minorHAnsi"/>
          <w:sz w:val="24"/>
        </w:rPr>
        <w:t xml:space="preserve">EPA. </w:t>
      </w:r>
      <w:r w:rsidRPr="008A70BD" w:rsidR="00DA77C4">
        <w:rPr>
          <w:rFonts w:eastAsia="Arial" w:asciiTheme="minorHAnsi" w:hAnsiTheme="minorHAnsi" w:cstheme="minorHAnsi"/>
          <w:sz w:val="24"/>
        </w:rPr>
        <w:t>202</w:t>
      </w:r>
      <w:r w:rsidR="00DA77C4">
        <w:rPr>
          <w:rFonts w:eastAsia="Arial" w:asciiTheme="minorHAnsi" w:hAnsiTheme="minorHAnsi" w:cstheme="minorHAnsi"/>
          <w:sz w:val="24"/>
        </w:rPr>
        <w:t>1</w:t>
      </w:r>
      <w:r w:rsidRPr="008A70BD">
        <w:rPr>
          <w:rFonts w:eastAsia="Arial" w:asciiTheme="minorHAnsi" w:hAnsiTheme="minorHAnsi" w:cstheme="minorHAnsi"/>
          <w:sz w:val="24"/>
        </w:rPr>
        <w:t xml:space="preserve">. </w:t>
      </w:r>
      <w:r w:rsidRPr="003C26B4">
        <w:rPr>
          <w:rFonts w:eastAsia="Arial" w:asciiTheme="minorHAnsi" w:hAnsiTheme="minorHAnsi" w:cstheme="minorHAnsi"/>
          <w:i/>
          <w:iCs/>
          <w:sz w:val="24"/>
        </w:rPr>
        <w:t>Economic Analysis for the Proposed TSCA Section 8(a)</w:t>
      </w:r>
      <w:r w:rsidRPr="003C26B4" w:rsidR="00DA77C4">
        <w:rPr>
          <w:rFonts w:eastAsia="Arial" w:asciiTheme="minorHAnsi" w:hAnsiTheme="minorHAnsi" w:cstheme="minorHAnsi"/>
          <w:i/>
          <w:iCs/>
          <w:sz w:val="24"/>
        </w:rPr>
        <w:t>(7)</w:t>
      </w:r>
      <w:r w:rsidRPr="003C26B4">
        <w:rPr>
          <w:rFonts w:eastAsia="Arial" w:asciiTheme="minorHAnsi" w:hAnsiTheme="minorHAnsi" w:cstheme="minorHAnsi"/>
          <w:i/>
          <w:iCs/>
          <w:sz w:val="24"/>
        </w:rPr>
        <w:t xml:space="preserve"> reporting Requirements for Perfluoroalkyl </w:t>
      </w:r>
      <w:r w:rsidRPr="003C26B4" w:rsidR="00DA77C4">
        <w:rPr>
          <w:rFonts w:eastAsia="Arial" w:asciiTheme="minorHAnsi" w:hAnsiTheme="minorHAnsi" w:cstheme="minorHAnsi"/>
          <w:i/>
          <w:iCs/>
          <w:sz w:val="24"/>
        </w:rPr>
        <w:t xml:space="preserve">and </w:t>
      </w:r>
      <w:r w:rsidRPr="003C26B4">
        <w:rPr>
          <w:rFonts w:eastAsia="Arial" w:asciiTheme="minorHAnsi" w:hAnsiTheme="minorHAnsi" w:cstheme="minorHAnsi"/>
          <w:i/>
          <w:iCs/>
          <w:sz w:val="24"/>
        </w:rPr>
        <w:t>Polyfluoroalkyl Substances.</w:t>
      </w:r>
    </w:p>
    <w:p w:rsidR="003D5D00" w:rsidRPr="003C26B4" w:rsidP="004F4342" w14:paraId="1D4A8B9F" w14:textId="04EB46F9">
      <w:pPr>
        <w:pStyle w:val="Reference"/>
        <w:spacing w:after="240"/>
        <w:rPr>
          <w:rFonts w:eastAsia="Arial" w:asciiTheme="minorHAnsi" w:hAnsiTheme="minorHAnsi" w:cstheme="minorHAnsi"/>
          <w:i/>
          <w:iCs/>
          <w:sz w:val="24"/>
        </w:rPr>
      </w:pPr>
      <w:r>
        <w:rPr>
          <w:rFonts w:eastAsia="Arial" w:asciiTheme="minorHAnsi" w:hAnsiTheme="minorHAnsi" w:cstheme="minorHAnsi"/>
          <w:sz w:val="24"/>
        </w:rPr>
        <w:t xml:space="preserve">EPA. 2022. </w:t>
      </w:r>
      <w:r w:rsidRPr="003C26B4" w:rsidR="00FB67E1">
        <w:rPr>
          <w:rFonts w:eastAsia="Arial" w:asciiTheme="minorHAnsi" w:hAnsiTheme="minorHAnsi" w:cstheme="minorHAnsi"/>
          <w:i/>
          <w:iCs/>
          <w:sz w:val="24"/>
        </w:rPr>
        <w:t>TSCA section 8(a)(7) Initial Regulatory Flexibility Analysis (IRFA).</w:t>
      </w:r>
    </w:p>
    <w:p w:rsidR="00DA77C4" w:rsidRPr="006E6812" w:rsidP="58920D6B" w14:paraId="47969641" w14:textId="4DF52436">
      <w:pPr>
        <w:pStyle w:val="Reference"/>
        <w:spacing w:after="240"/>
        <w:rPr>
          <w:rFonts w:asciiTheme="minorHAnsi" w:hAnsiTheme="minorHAnsi"/>
          <w:i/>
          <w:iCs/>
          <w:sz w:val="24"/>
        </w:rPr>
      </w:pPr>
      <w:r w:rsidRPr="58920D6B">
        <w:rPr>
          <w:rFonts w:eastAsia="Arial" w:asciiTheme="minorHAnsi" w:hAnsiTheme="minorHAnsi"/>
          <w:sz w:val="24"/>
        </w:rPr>
        <w:t xml:space="preserve">EPA. 2022. </w:t>
      </w:r>
      <w:r w:rsidRPr="003C26B4" w:rsidR="6A82A3E9">
        <w:rPr>
          <w:rFonts w:eastAsia="Arial" w:asciiTheme="minorHAnsi" w:hAnsiTheme="minorHAnsi"/>
          <w:i/>
          <w:iCs/>
          <w:sz w:val="24"/>
        </w:rPr>
        <w:t>TSCA section 8(a)(7) Small Business Advocacy Review (SBAR) Panel Report.</w:t>
      </w:r>
    </w:p>
    <w:p w:rsidR="05319227" w:rsidRPr="003C26B4" w:rsidP="58920D6B" w14:paraId="5D8865D2" w14:textId="6B64FC67">
      <w:pPr>
        <w:pStyle w:val="Reference"/>
        <w:spacing w:after="240"/>
        <w:rPr>
          <w:rFonts w:eastAsia="Arial" w:asciiTheme="minorHAnsi" w:hAnsiTheme="minorHAnsi"/>
          <w:i/>
          <w:iCs/>
          <w:color w:val="000000" w:themeColor="text1"/>
          <w:sz w:val="24"/>
        </w:rPr>
      </w:pPr>
      <w:r w:rsidRPr="003C26B4">
        <w:rPr>
          <w:rFonts w:eastAsia="Arial" w:asciiTheme="minorHAnsi" w:hAnsiTheme="minorHAnsi"/>
          <w:color w:val="000000" w:themeColor="text1"/>
          <w:sz w:val="24"/>
        </w:rPr>
        <w:t>EPA. 2023.</w:t>
      </w:r>
      <w:r w:rsidRPr="58920D6B">
        <w:rPr>
          <w:rFonts w:eastAsia="Arial" w:asciiTheme="minorHAnsi" w:hAnsiTheme="minorHAnsi"/>
          <w:i/>
          <w:iCs/>
          <w:color w:val="000000" w:themeColor="text1"/>
          <w:sz w:val="24"/>
        </w:rPr>
        <w:t xml:space="preserve"> Economic Analysis for the Final TSCA Section 8(a)(7) reporting Requirements for Perfluoroalkyl or and Polyfluoroalkyl Substances.</w:t>
      </w:r>
    </w:p>
    <w:p w:rsidR="004F4342" w:rsidRPr="008A70BD" w:rsidP="004F4342" w14:paraId="0EF89C23" w14:textId="5F435704">
      <w:pPr>
        <w:pStyle w:val="Reference"/>
        <w:spacing w:after="240"/>
        <w:rPr>
          <w:rFonts w:asciiTheme="minorHAnsi" w:hAnsiTheme="minorHAnsi" w:cstheme="minorHAnsi"/>
          <w:sz w:val="24"/>
        </w:rPr>
      </w:pPr>
      <w:r w:rsidRPr="008A70BD">
        <w:rPr>
          <w:rFonts w:eastAsia="Arial" w:asciiTheme="minorHAnsi" w:hAnsiTheme="minorHAnsi" w:cstheme="minorHAnsi"/>
          <w:sz w:val="24"/>
        </w:rPr>
        <w:t>OPM. 20</w:t>
      </w:r>
      <w:r w:rsidR="00FE0F00">
        <w:rPr>
          <w:rFonts w:eastAsia="Arial" w:asciiTheme="minorHAnsi" w:hAnsiTheme="minorHAnsi" w:cstheme="minorHAnsi"/>
          <w:sz w:val="24"/>
        </w:rPr>
        <w:t>22</w:t>
      </w:r>
      <w:r w:rsidRPr="008A70BD">
        <w:rPr>
          <w:rFonts w:eastAsia="Arial" w:asciiTheme="minorHAnsi" w:hAnsiTheme="minorHAnsi" w:cstheme="minorHAnsi"/>
          <w:sz w:val="24"/>
        </w:rPr>
        <w:t xml:space="preserve">. "Salary table </w:t>
      </w:r>
      <w:r w:rsidRPr="008A70BD" w:rsidR="00FE0F00">
        <w:rPr>
          <w:rFonts w:eastAsia="Arial" w:asciiTheme="minorHAnsi" w:hAnsiTheme="minorHAnsi" w:cstheme="minorHAnsi"/>
          <w:sz w:val="24"/>
        </w:rPr>
        <w:t>20</w:t>
      </w:r>
      <w:r w:rsidR="00FE0F00">
        <w:rPr>
          <w:rFonts w:eastAsia="Arial" w:asciiTheme="minorHAnsi" w:hAnsiTheme="minorHAnsi" w:cstheme="minorHAnsi"/>
          <w:sz w:val="24"/>
        </w:rPr>
        <w:t>22</w:t>
      </w:r>
      <w:r w:rsidRPr="008A70BD">
        <w:rPr>
          <w:rFonts w:eastAsia="Arial" w:asciiTheme="minorHAnsi" w:hAnsiTheme="minorHAnsi" w:cstheme="minorHAnsi"/>
          <w:sz w:val="24"/>
        </w:rPr>
        <w:t xml:space="preserve">-DCB."   </w:t>
      </w:r>
    </w:p>
    <w:p w:rsidR="004F4342" w:rsidRPr="00852CB1" w:rsidP="004F4342" w14:paraId="728A9951" w14:textId="77777777">
      <w:pPr>
        <w:pStyle w:val="Reference"/>
        <w:spacing w:after="240"/>
        <w:rPr>
          <w:rFonts w:ascii="Arial" w:hAnsi="Arial" w:cs="Arial"/>
          <w:sz w:val="24"/>
        </w:rPr>
      </w:pPr>
      <w:r w:rsidRPr="00852CB1">
        <w:rPr>
          <w:rFonts w:ascii="Arial" w:hAnsi="Arial" w:cs="Arial"/>
          <w:sz w:val="24"/>
        </w:rPr>
        <w:t>Rice. 2002. Wage Rates for Economic Analysis of the Toxics Release Inventory Program. June 10, 2002.</w:t>
      </w:r>
      <w:bookmarkEnd w:id="22"/>
      <w:bookmarkEnd w:id="23"/>
      <w:r w:rsidRPr="00852CB1">
        <w:rPr>
          <w:rFonts w:ascii="Arial" w:hAnsi="Arial" w:cs="Arial"/>
          <w:sz w:val="24"/>
        </w:rPr>
        <w:t xml:space="preserve"> </w:t>
      </w:r>
    </w:p>
    <w:p w:rsidR="00EC4305" w:rsidP="00E31F81" w14:paraId="53F4082B" w14:textId="0B10EC82">
      <w:pPr>
        <w:pStyle w:val="Heading1"/>
      </w:pPr>
      <w:r>
        <w:t>LIST OF ATTACHMENTS</w:t>
      </w:r>
    </w:p>
    <w:p w:rsidR="005C59B2" w:rsidP="00EC4305" w14:paraId="0DF2DA11" w14:textId="49A2AB9A">
      <w:r w:rsidRPr="005C59B2">
        <w:t xml:space="preserve">The attachments listed below can be found in the docket for this ICR or by using the hyperlink that is provided in the list below. The docket for this ICR is accessible electronically through </w:t>
      </w:r>
      <w:r w:rsidRPr="005C59B2">
        <w:rPr>
          <w:rStyle w:val="Hyperlink"/>
        </w:rPr>
        <w:t>http://www.regulations.gov</w:t>
      </w:r>
      <w:r w:rsidRPr="005C59B2">
        <w:t xml:space="preserve"> using Docket ID Number: EPA-HQ-</w:t>
      </w:r>
      <w:r w:rsidR="00F07541">
        <w:t>OPP</w:t>
      </w:r>
      <w:r w:rsidR="00B11A00">
        <w:t>T</w:t>
      </w:r>
      <w:r w:rsidR="00F07541">
        <w:t>-</w:t>
      </w:r>
      <w:r w:rsidR="005A4C5B">
        <w:t>20</w:t>
      </w:r>
      <w:r w:rsidR="00354DAB">
        <w:t>20</w:t>
      </w:r>
      <w:r w:rsidR="005A4C5B">
        <w:t>-0</w:t>
      </w:r>
      <w:r w:rsidR="00C36B45">
        <w:t>54</w:t>
      </w:r>
      <w:r w:rsidR="00354DAB">
        <w:t>9</w:t>
      </w:r>
      <w:r w:rsidRPr="005C59B2">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17"/>
        <w:gridCol w:w="8043"/>
      </w:tblGrid>
      <w:tr w14:paraId="487CF647" w14:textId="77777777" w:rsidTr="0044529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317" w:type="dxa"/>
          </w:tcPr>
          <w:p w:rsidR="0044529D" w:rsidRPr="00E31F81" w:rsidP="0044529D" w14:paraId="08C8805B" w14:textId="77777777">
            <w:pPr>
              <w:jc w:val="center"/>
              <w:rPr>
                <w:sz w:val="22"/>
                <w:szCs w:val="20"/>
              </w:rPr>
            </w:pPr>
            <w:r w:rsidRPr="00E31F81">
              <w:rPr>
                <w:sz w:val="22"/>
                <w:szCs w:val="20"/>
              </w:rPr>
              <w:t>A</w:t>
            </w:r>
          </w:p>
        </w:tc>
        <w:tc>
          <w:tcPr>
            <w:tcW w:w="8043" w:type="dxa"/>
          </w:tcPr>
          <w:p w:rsidR="0044529D" w:rsidRPr="00F07541" w:rsidP="0044529D" w14:paraId="0EF0D736" w14:textId="03DEF4C7">
            <w:r>
              <w:t xml:space="preserve">Final Rule </w:t>
            </w:r>
            <w:r w:rsidR="004F4342">
              <w:t xml:space="preserve"> </w:t>
            </w:r>
          </w:p>
        </w:tc>
      </w:tr>
      <w:tr w14:paraId="430AA33B" w14:textId="77777777" w:rsidTr="0044529D">
        <w:tblPrEx>
          <w:tblW w:w="0" w:type="auto"/>
          <w:tblLook w:val="04A0"/>
        </w:tblPrEx>
        <w:tc>
          <w:tcPr>
            <w:tcW w:w="1317" w:type="dxa"/>
          </w:tcPr>
          <w:p w:rsidR="004F4342" w:rsidRPr="00E31F81" w:rsidP="0044529D" w14:paraId="48945DC9" w14:textId="4A05F6E7">
            <w:pPr>
              <w:jc w:val="center"/>
              <w:rPr>
                <w:sz w:val="22"/>
                <w:szCs w:val="20"/>
              </w:rPr>
            </w:pPr>
            <w:r>
              <w:rPr>
                <w:sz w:val="22"/>
                <w:szCs w:val="20"/>
              </w:rPr>
              <w:t>B</w:t>
            </w:r>
          </w:p>
        </w:tc>
        <w:tc>
          <w:tcPr>
            <w:tcW w:w="8043" w:type="dxa"/>
          </w:tcPr>
          <w:p w:rsidR="004F4342" w:rsidP="0044529D" w14:paraId="7EDEC3CE" w14:textId="21E174B7">
            <w:hyperlink r:id="rId11" w:history="1">
              <w:r w:rsidR="00D5586D">
                <w:rPr>
                  <w:rStyle w:val="Hyperlink"/>
                  <w:szCs w:val="24"/>
                </w:rPr>
                <w:t>15 U.S.C 2607</w:t>
              </w:r>
            </w:hyperlink>
          </w:p>
        </w:tc>
      </w:tr>
      <w:tr w14:paraId="39C74DA5" w14:textId="77777777" w:rsidTr="0044529D">
        <w:tblPrEx>
          <w:tblW w:w="0" w:type="auto"/>
          <w:tblLook w:val="04A0"/>
        </w:tblPrEx>
        <w:tc>
          <w:tcPr>
            <w:tcW w:w="1317" w:type="dxa"/>
          </w:tcPr>
          <w:p w:rsidR="001A70E0" w:rsidP="0044529D" w14:paraId="7A58AD38" w14:textId="582346BD">
            <w:pPr>
              <w:jc w:val="center"/>
              <w:rPr>
                <w:sz w:val="22"/>
                <w:szCs w:val="20"/>
              </w:rPr>
            </w:pPr>
            <w:r>
              <w:rPr>
                <w:sz w:val="22"/>
                <w:szCs w:val="20"/>
              </w:rPr>
              <w:t>C</w:t>
            </w:r>
          </w:p>
        </w:tc>
        <w:tc>
          <w:tcPr>
            <w:tcW w:w="8043" w:type="dxa"/>
          </w:tcPr>
          <w:p w:rsidR="001A70E0" w:rsidP="0044529D" w14:paraId="36FA421E" w14:textId="2DFA7721">
            <w:r>
              <w:t>PFAS Reporting Tool Mockups (EPA Form No. 9600-046)</w:t>
            </w:r>
          </w:p>
        </w:tc>
      </w:tr>
      <w:tr w14:paraId="2A31A233" w14:textId="77777777" w:rsidTr="0044529D">
        <w:tblPrEx>
          <w:tblW w:w="0" w:type="auto"/>
          <w:tblLook w:val="04A0"/>
        </w:tblPrEx>
        <w:tc>
          <w:tcPr>
            <w:tcW w:w="1317" w:type="dxa"/>
          </w:tcPr>
          <w:p w:rsidR="001A70E0" w:rsidP="0044529D" w14:paraId="29BFB0E9" w14:textId="4D285B23">
            <w:pPr>
              <w:jc w:val="center"/>
              <w:rPr>
                <w:sz w:val="22"/>
                <w:szCs w:val="20"/>
              </w:rPr>
            </w:pPr>
            <w:r>
              <w:rPr>
                <w:sz w:val="22"/>
                <w:szCs w:val="20"/>
              </w:rPr>
              <w:t>D</w:t>
            </w:r>
          </w:p>
        </w:tc>
        <w:tc>
          <w:tcPr>
            <w:tcW w:w="8043" w:type="dxa"/>
          </w:tcPr>
          <w:p w:rsidR="001A70E0" w:rsidP="0044529D" w14:paraId="39F29457" w14:textId="700A59C8">
            <w:r>
              <w:t xml:space="preserve">Economic Analysis </w:t>
            </w:r>
          </w:p>
        </w:tc>
      </w:tr>
      <w:tr w14:paraId="627CBEEB" w14:textId="77777777" w:rsidTr="0044529D">
        <w:tblPrEx>
          <w:tblW w:w="0" w:type="auto"/>
          <w:tblLook w:val="04A0"/>
        </w:tblPrEx>
        <w:tc>
          <w:tcPr>
            <w:tcW w:w="1317" w:type="dxa"/>
          </w:tcPr>
          <w:p w:rsidR="00D327C5" w:rsidP="0044529D" w14:paraId="163083A0" w14:textId="3F9567F1">
            <w:pPr>
              <w:jc w:val="center"/>
              <w:rPr>
                <w:sz w:val="22"/>
                <w:szCs w:val="20"/>
              </w:rPr>
            </w:pPr>
            <w:r>
              <w:rPr>
                <w:sz w:val="22"/>
                <w:szCs w:val="20"/>
              </w:rPr>
              <w:t xml:space="preserve">E </w:t>
            </w:r>
          </w:p>
        </w:tc>
        <w:tc>
          <w:tcPr>
            <w:tcW w:w="8043" w:type="dxa"/>
          </w:tcPr>
          <w:p w:rsidR="00D327C5" w:rsidP="0044529D" w14:paraId="5E364187" w14:textId="093EB819">
            <w:r>
              <w:t xml:space="preserve">Response to Comment Document </w:t>
            </w:r>
          </w:p>
        </w:tc>
      </w:tr>
    </w:tbl>
    <w:p w:rsidR="0044529D" w:rsidP="0044529D" w14:paraId="1EB323DD" w14:textId="77777777">
      <w:pPr>
        <w:pStyle w:val="ListParagraph"/>
        <w:widowControl w:val="0"/>
        <w:adjustRightInd w:val="0"/>
        <w:spacing w:after="0" w:line="240" w:lineRule="auto"/>
        <w:ind w:left="360"/>
        <w:contextualSpacing w:val="0"/>
        <w:rPr>
          <w:b/>
          <w:bCs/>
        </w:rPr>
      </w:pPr>
    </w:p>
    <w:p w:rsidR="008A70BD" w:rsidRPr="008A70BD" w:rsidP="008A70BD" w14:paraId="18DCD917" w14:textId="544A3EAF">
      <w:pPr>
        <w:pStyle w:val="Heading1"/>
        <w:rPr>
          <w:rFonts w:asciiTheme="minorHAnsi" w:hAnsiTheme="minorHAnsi"/>
          <w:szCs w:val="24"/>
        </w:rPr>
      </w:pPr>
      <w:bookmarkStart w:id="24" w:name="_Toc58238288"/>
      <w:r w:rsidRPr="008A70BD">
        <w:rPr>
          <w:rFonts w:asciiTheme="minorHAnsi" w:hAnsiTheme="minorHAnsi"/>
          <w:szCs w:val="24"/>
        </w:rPr>
        <w:t xml:space="preserve">Appendix </w:t>
      </w:r>
    </w:p>
    <w:p w:rsidR="004F4342" w:rsidRPr="008A70BD" w:rsidP="008A70BD" w14:paraId="3AF7C21E" w14:textId="72DA4BAC">
      <w:pPr>
        <w:pStyle w:val="Heading2"/>
        <w:rPr>
          <w:rFonts w:asciiTheme="minorHAnsi" w:hAnsiTheme="minorHAnsi"/>
          <w:szCs w:val="24"/>
        </w:rPr>
      </w:pPr>
      <w:r>
        <w:rPr>
          <w:rFonts w:asciiTheme="minorHAnsi" w:hAnsiTheme="minorHAnsi"/>
          <w:szCs w:val="24"/>
        </w:rPr>
        <w:t xml:space="preserve">Appendix A. </w:t>
      </w:r>
      <w:r w:rsidRPr="008A70BD">
        <w:rPr>
          <w:rFonts w:asciiTheme="minorHAnsi" w:hAnsiTheme="minorHAnsi"/>
          <w:szCs w:val="24"/>
        </w:rPr>
        <w:t>Detailed Derivation of Agency Burden and Cost</w:t>
      </w:r>
      <w:bookmarkEnd w:id="24"/>
    </w:p>
    <w:p w:rsidR="004F4342" w:rsidRPr="008A70BD" w:rsidP="004F4342" w14:paraId="4DDEDB5B" w14:textId="77777777">
      <w:pPr>
        <w:rPr>
          <w:rFonts w:asciiTheme="minorHAnsi" w:hAnsiTheme="minorHAnsi" w:cstheme="minorHAnsi"/>
          <w:b/>
          <w:szCs w:val="24"/>
        </w:rPr>
      </w:pPr>
      <w:bookmarkStart w:id="25" w:name="_Hlk23940184"/>
      <w:r w:rsidRPr="008A70BD">
        <w:rPr>
          <w:rFonts w:asciiTheme="minorHAnsi" w:hAnsiTheme="minorHAnsi" w:cstheme="minorHAnsi"/>
          <w:b/>
          <w:szCs w:val="24"/>
        </w:rPr>
        <w:t>EPA Staff Activities</w:t>
      </w:r>
    </w:p>
    <w:p w:rsidR="004F4342" w:rsidP="004F4342" w14:paraId="71021DB1" w14:textId="63422063">
      <w:pPr>
        <w:pStyle w:val="BodyText"/>
        <w:rPr>
          <w:rFonts w:asciiTheme="minorHAnsi" w:hAnsiTheme="minorHAnsi" w:cstheme="minorHAnsi"/>
          <w:sz w:val="24"/>
          <w:szCs w:val="24"/>
        </w:rPr>
      </w:pPr>
      <w:r w:rsidRPr="008A70BD">
        <w:rPr>
          <w:rFonts w:asciiTheme="minorHAnsi" w:hAnsiTheme="minorHAnsi" w:cstheme="minorHAnsi"/>
          <w:sz w:val="24"/>
          <w:szCs w:val="24"/>
        </w:rPr>
        <w:t xml:space="preserve">EPA activities affected by the rule involve </w:t>
      </w:r>
      <w:r w:rsidRPr="008A70BD">
        <w:rPr>
          <w:rFonts w:eastAsia="Arial" w:asciiTheme="minorHAnsi" w:hAnsiTheme="minorHAnsi" w:cstheme="minorHAnsi"/>
          <w:sz w:val="24"/>
          <w:szCs w:val="24"/>
        </w:rPr>
        <w:t xml:space="preserve">data processing, systems support, review of CBI claim substantiations, and IT infrastructure. </w:t>
      </w:r>
      <w:r w:rsidRPr="008A70BD">
        <w:rPr>
          <w:rFonts w:asciiTheme="minorHAnsi" w:hAnsiTheme="minorHAnsi" w:cstheme="minorHAnsi"/>
          <w:sz w:val="24"/>
          <w:szCs w:val="24"/>
        </w:rPr>
        <w:t xml:space="preserve">Costs related to EPA activities that involve data use are not included. </w:t>
      </w:r>
    </w:p>
    <w:p w:rsidR="008A70BD" w:rsidRPr="008A70BD" w:rsidP="004F4342" w14:paraId="7AE15B57" w14:textId="77777777">
      <w:pPr>
        <w:pStyle w:val="BodyText"/>
        <w:rPr>
          <w:rFonts w:asciiTheme="minorHAnsi" w:hAnsiTheme="minorHAnsi" w:cstheme="minorHAnsi"/>
          <w:sz w:val="24"/>
          <w:szCs w:val="24"/>
        </w:rPr>
      </w:pPr>
    </w:p>
    <w:p w:rsidR="005B6F13" w:rsidP="58920D6B" w14:paraId="1F468A74" w14:textId="6671B931">
      <w:pPr>
        <w:pStyle w:val="BodyText"/>
        <w:rPr>
          <w:rFonts w:eastAsia="Arial" w:asciiTheme="minorHAnsi" w:hAnsiTheme="minorHAnsi" w:cstheme="minorBidi"/>
          <w:sz w:val="24"/>
          <w:szCs w:val="24"/>
        </w:rPr>
      </w:pPr>
      <w:r w:rsidRPr="6D5BA1AE">
        <w:rPr>
          <w:rFonts w:asciiTheme="minorHAnsi" w:hAnsiTheme="minorHAnsi" w:cstheme="minorBidi"/>
          <w:sz w:val="24"/>
          <w:szCs w:val="24"/>
        </w:rPr>
        <w:t xml:space="preserve">EPA labor costs are based on annual federal wage rates, as presented in </w:t>
      </w:r>
      <w:r w:rsidRPr="6D5BA1AE" w:rsidR="004F4342">
        <w:rPr>
          <w:rFonts w:asciiTheme="minorHAnsi" w:hAnsiTheme="minorHAnsi" w:cstheme="minorBidi"/>
          <w:sz w:val="24"/>
          <w:szCs w:val="24"/>
        </w:rPr>
        <w:fldChar w:fldCharType="begin"/>
      </w:r>
      <w:r w:rsidRPr="6D5BA1AE" w:rsidR="004F4342">
        <w:rPr>
          <w:rFonts w:asciiTheme="minorHAnsi" w:hAnsiTheme="minorHAnsi" w:cstheme="minorBidi"/>
          <w:sz w:val="24"/>
          <w:szCs w:val="24"/>
        </w:rPr>
        <w:instrText xml:space="preserve"> REF _Ref33098931 \h </w:instrText>
      </w:r>
      <w:r w:rsidRPr="6D5BA1AE" w:rsidR="008A70BD">
        <w:rPr>
          <w:rFonts w:asciiTheme="minorHAnsi" w:hAnsiTheme="minorHAnsi" w:cstheme="minorBidi"/>
          <w:sz w:val="24"/>
          <w:szCs w:val="24"/>
        </w:rPr>
        <w:instrText xml:space="preserve"> \* MERGEFORMAT </w:instrText>
      </w:r>
      <w:r w:rsidRPr="6D5BA1AE" w:rsidR="004F4342">
        <w:rPr>
          <w:rFonts w:asciiTheme="minorHAnsi" w:hAnsiTheme="minorHAnsi" w:cstheme="minorBidi"/>
          <w:sz w:val="24"/>
          <w:szCs w:val="24"/>
        </w:rPr>
        <w:fldChar w:fldCharType="separate"/>
      </w:r>
      <w:r w:rsidRPr="6D5BA1AE">
        <w:rPr>
          <w:rFonts w:asciiTheme="minorHAnsi" w:hAnsiTheme="minorHAnsi" w:cstheme="minorBidi"/>
          <w:sz w:val="24"/>
          <w:szCs w:val="24"/>
        </w:rPr>
        <w:t xml:space="preserve">Table A- </w:t>
      </w:r>
      <w:r w:rsidRPr="6D5BA1AE">
        <w:rPr>
          <w:rFonts w:asciiTheme="minorHAnsi" w:hAnsiTheme="minorHAnsi" w:cstheme="minorBidi"/>
          <w:noProof/>
          <w:sz w:val="24"/>
          <w:szCs w:val="24"/>
        </w:rPr>
        <w:t>1</w:t>
      </w:r>
      <w:r w:rsidRPr="6D5BA1AE" w:rsidR="004F4342">
        <w:rPr>
          <w:rFonts w:asciiTheme="minorHAnsi" w:hAnsiTheme="minorHAnsi" w:cstheme="minorBidi"/>
          <w:sz w:val="24"/>
          <w:szCs w:val="24"/>
        </w:rPr>
        <w:fldChar w:fldCharType="end"/>
      </w:r>
      <w:r w:rsidRPr="6D5BA1AE">
        <w:rPr>
          <w:rFonts w:asciiTheme="minorHAnsi" w:hAnsiTheme="minorHAnsi" w:cstheme="minorBidi"/>
          <w:sz w:val="24"/>
          <w:szCs w:val="24"/>
        </w:rPr>
        <w:t xml:space="preserve">. </w:t>
      </w:r>
      <w:r w:rsidRPr="6D5BA1AE">
        <w:rPr>
          <w:rFonts w:eastAsia="Arial" w:asciiTheme="minorHAnsi" w:hAnsiTheme="minorHAnsi" w:cstheme="minorBidi"/>
          <w:sz w:val="24"/>
          <w:szCs w:val="24"/>
        </w:rPr>
        <w:t xml:space="preserve">EPA assumes that the collection and administrative activities (technical labor) associated with Agency responses to the </w:t>
      </w:r>
      <w:r w:rsidRPr="6D5BA1AE" w:rsidR="2D04A9F1">
        <w:rPr>
          <w:rFonts w:eastAsia="Arial" w:asciiTheme="minorHAnsi" w:hAnsiTheme="minorHAnsi" w:cstheme="minorBidi"/>
          <w:sz w:val="24"/>
          <w:szCs w:val="24"/>
        </w:rPr>
        <w:t xml:space="preserve">final </w:t>
      </w:r>
      <w:r w:rsidRPr="6D5BA1AE">
        <w:rPr>
          <w:rFonts w:eastAsia="Arial" w:asciiTheme="minorHAnsi" w:hAnsiTheme="minorHAnsi" w:cstheme="minorBidi"/>
          <w:sz w:val="24"/>
          <w:szCs w:val="24"/>
        </w:rPr>
        <w:t xml:space="preserve">rule will be accomplished by a GS-13, Step 5 federal employee in the Washington-Baltimore-Northern Virginia area. </w:t>
      </w:r>
    </w:p>
    <w:p w:rsidR="6D5BA1AE" w:rsidRPr="005B6F13" w:rsidP="005B6F13" w14:paraId="11A7A97C" w14:textId="5292A7CF">
      <w:pPr>
        <w:spacing w:after="160"/>
        <w:rPr>
          <w:rFonts w:eastAsia="Arial" w:asciiTheme="minorHAnsi" w:hAnsiTheme="minorHAnsi"/>
          <w:szCs w:val="24"/>
        </w:rPr>
      </w:pPr>
      <w:r>
        <w:rPr>
          <w:rFonts w:eastAsia="Arial" w:asciiTheme="minorHAnsi" w:hAnsiTheme="minorHAnsi"/>
          <w:szCs w:val="24"/>
        </w:rPr>
        <w:br w:type="page"/>
      </w:r>
    </w:p>
    <w:p w:rsidR="757F3DCA" w:rsidP="58920D6B" w14:paraId="6F46C87C" w14:textId="00A4DB6B">
      <w:pPr>
        <w:pStyle w:val="BodyText"/>
        <w:rPr>
          <w:rFonts w:ascii="Arial" w:eastAsia="Arial" w:hAnsi="Arial" w:cs="Arial"/>
          <w:b/>
          <w:bCs/>
          <w:sz w:val="24"/>
          <w:szCs w:val="24"/>
        </w:rPr>
      </w:pPr>
      <w:r w:rsidRPr="006254B2">
        <w:rPr>
          <w:rFonts w:eastAsia="Arial" w:asciiTheme="minorHAnsi" w:hAnsiTheme="minorHAnsi" w:cstheme="minorBidi"/>
          <w:b/>
          <w:bCs/>
          <w:sz w:val="24"/>
          <w:szCs w:val="24"/>
        </w:rPr>
        <w:t>Table: A-1: Agency Wage Rates (202</w:t>
      </w:r>
      <w:r w:rsidR="00FE0F00">
        <w:rPr>
          <w:rFonts w:eastAsia="Arial" w:asciiTheme="minorHAnsi" w:hAnsiTheme="minorHAnsi" w:cstheme="minorBidi"/>
          <w:b/>
          <w:bCs/>
          <w:sz w:val="24"/>
          <w:szCs w:val="24"/>
        </w:rPr>
        <w:t>2</w:t>
      </w:r>
      <w:r w:rsidRPr="006254B2">
        <w:rPr>
          <w:rFonts w:eastAsia="Arial" w:asciiTheme="minorHAnsi" w:hAnsiTheme="minorHAnsi" w:cstheme="minorBidi"/>
          <w:b/>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4"/>
        <w:gridCol w:w="1495"/>
        <w:gridCol w:w="781"/>
        <w:gridCol w:w="906"/>
        <w:gridCol w:w="846"/>
        <w:gridCol w:w="1484"/>
        <w:gridCol w:w="1595"/>
        <w:gridCol w:w="1049"/>
        <w:gridCol w:w="900"/>
      </w:tblGrid>
      <w:tr w14:paraId="01064F17" w14:textId="77777777" w:rsidTr="003C26B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72"/>
        </w:trPr>
        <w:tc>
          <w:tcPr>
            <w:tcW w:w="503" w:type="pct"/>
            <w:vMerge w:val="restart"/>
            <w:shd w:val="clear" w:color="auto" w:fill="BFBFBF" w:themeFill="accent6" w:themeFillShade="BF"/>
            <w:vAlign w:val="center"/>
          </w:tcPr>
          <w:p w:rsidR="58920D6B" w:rsidRPr="006254B2" w:rsidP="006254B2" w14:paraId="1F2CEAE7" w14:textId="000A1E7C">
            <w:pPr>
              <w:spacing w:after="0"/>
              <w:jc w:val="center"/>
              <w:rPr>
                <w:rFonts w:ascii="Arial Narrow" w:eastAsia="Arial Narrow" w:hAnsi="Arial Narrow" w:cs="Arial Narrow"/>
                <w:b/>
                <w:bCs/>
                <w:sz w:val="22"/>
              </w:rPr>
            </w:pPr>
            <w:r w:rsidRPr="006254B2">
              <w:rPr>
                <w:rFonts w:ascii="Arial Narrow" w:eastAsia="Arial Narrow" w:hAnsi="Arial Narrow" w:cs="Arial Narrow"/>
                <w:b/>
                <w:bCs/>
                <w:sz w:val="22"/>
              </w:rPr>
              <w:t>Labor Category</w:t>
            </w:r>
          </w:p>
        </w:tc>
        <w:tc>
          <w:tcPr>
            <w:tcW w:w="742" w:type="pct"/>
            <w:vMerge w:val="restart"/>
            <w:shd w:val="clear" w:color="auto" w:fill="BFBFBF" w:themeFill="accent6" w:themeFillShade="BF"/>
            <w:vAlign w:val="center"/>
          </w:tcPr>
          <w:p w:rsidR="58920D6B" w:rsidRPr="006254B2" w:rsidP="006254B2" w14:paraId="2CF34355" w14:textId="1714084F">
            <w:pPr>
              <w:spacing w:after="0"/>
              <w:jc w:val="center"/>
              <w:rPr>
                <w:rFonts w:ascii="Arial Narrow" w:eastAsia="Arial Narrow" w:hAnsi="Arial Narrow" w:cs="Arial Narrow"/>
                <w:b/>
                <w:bCs/>
                <w:sz w:val="22"/>
              </w:rPr>
            </w:pPr>
            <w:r w:rsidRPr="006254B2">
              <w:rPr>
                <w:rFonts w:ascii="Arial Narrow" w:eastAsia="Arial Narrow" w:hAnsi="Arial Narrow" w:cs="Arial Narrow"/>
                <w:b/>
                <w:bCs/>
                <w:sz w:val="22"/>
              </w:rPr>
              <w:t>Data Source for Wage Information</w:t>
            </w:r>
          </w:p>
        </w:tc>
        <w:tc>
          <w:tcPr>
            <w:tcW w:w="388" w:type="pct"/>
            <w:shd w:val="clear" w:color="auto" w:fill="BFBFBF" w:themeFill="accent6" w:themeFillShade="BF"/>
            <w:vAlign w:val="center"/>
          </w:tcPr>
          <w:p w:rsidR="58920D6B" w:rsidRPr="006254B2" w:rsidP="006254B2" w14:paraId="1CF70BE0" w14:textId="47B3BE48">
            <w:pPr>
              <w:spacing w:after="0"/>
              <w:jc w:val="center"/>
              <w:rPr>
                <w:rFonts w:ascii="Arial Narrow" w:eastAsia="Arial Narrow" w:hAnsi="Arial Narrow" w:cs="Arial Narrow"/>
                <w:b/>
                <w:bCs/>
                <w:sz w:val="22"/>
              </w:rPr>
            </w:pPr>
            <w:r w:rsidRPr="006254B2">
              <w:rPr>
                <w:rFonts w:ascii="Arial Narrow" w:eastAsia="Arial Narrow" w:hAnsi="Arial Narrow" w:cs="Arial Narrow"/>
                <w:b/>
                <w:bCs/>
                <w:sz w:val="22"/>
              </w:rPr>
              <w:t>Wage ($/hr)</w:t>
            </w:r>
          </w:p>
        </w:tc>
        <w:tc>
          <w:tcPr>
            <w:tcW w:w="450" w:type="pct"/>
            <w:shd w:val="clear" w:color="auto" w:fill="BFBFBF" w:themeFill="accent6" w:themeFillShade="BF"/>
            <w:vAlign w:val="center"/>
          </w:tcPr>
          <w:p w:rsidR="58920D6B" w:rsidRPr="006254B2" w:rsidP="006254B2" w14:paraId="55029E47" w14:textId="11E3B8EA">
            <w:pPr>
              <w:spacing w:after="0"/>
              <w:jc w:val="center"/>
              <w:rPr>
                <w:rFonts w:ascii="Arial Narrow" w:eastAsia="Arial Narrow" w:hAnsi="Arial Narrow" w:cs="Arial Narrow"/>
                <w:b/>
                <w:bCs/>
                <w:sz w:val="22"/>
                <w:vertAlign w:val="superscript"/>
              </w:rPr>
            </w:pPr>
            <w:r w:rsidRPr="006254B2">
              <w:rPr>
                <w:rFonts w:ascii="Arial Narrow" w:eastAsia="Arial Narrow" w:hAnsi="Arial Narrow" w:cs="Arial Narrow"/>
                <w:b/>
                <w:bCs/>
                <w:sz w:val="22"/>
              </w:rPr>
              <w:t>Fringes as % of Wage</w:t>
            </w:r>
            <w:r w:rsidRPr="006254B2">
              <w:rPr>
                <w:rFonts w:ascii="Arial Narrow" w:eastAsia="Arial Narrow" w:hAnsi="Arial Narrow" w:cs="Arial Narrow"/>
                <w:b/>
                <w:bCs/>
                <w:sz w:val="22"/>
                <w:vertAlign w:val="superscript"/>
              </w:rPr>
              <w:t>2</w:t>
            </w:r>
          </w:p>
        </w:tc>
        <w:tc>
          <w:tcPr>
            <w:tcW w:w="420" w:type="pct"/>
            <w:shd w:val="clear" w:color="auto" w:fill="BFBFBF" w:themeFill="accent6" w:themeFillShade="BF"/>
            <w:vAlign w:val="center"/>
          </w:tcPr>
          <w:p w:rsidR="58920D6B" w:rsidRPr="006254B2" w:rsidP="006254B2" w14:paraId="2BA5E719" w14:textId="4EF7CC4E">
            <w:pPr>
              <w:spacing w:after="0"/>
              <w:jc w:val="center"/>
              <w:rPr>
                <w:rFonts w:ascii="Arial Narrow" w:eastAsia="Arial Narrow" w:hAnsi="Arial Narrow" w:cs="Arial Narrow"/>
                <w:b/>
                <w:bCs/>
                <w:sz w:val="22"/>
              </w:rPr>
            </w:pPr>
            <w:r w:rsidRPr="006254B2">
              <w:rPr>
                <w:rFonts w:ascii="Arial Narrow" w:eastAsia="Arial Narrow" w:hAnsi="Arial Narrow" w:cs="Arial Narrow"/>
                <w:b/>
                <w:bCs/>
                <w:sz w:val="22"/>
              </w:rPr>
              <w:t>Fringe Benefit</w:t>
            </w:r>
          </w:p>
        </w:tc>
        <w:tc>
          <w:tcPr>
            <w:tcW w:w="737" w:type="pct"/>
            <w:shd w:val="clear" w:color="auto" w:fill="BFBFBF" w:themeFill="accent6" w:themeFillShade="BF"/>
            <w:vAlign w:val="center"/>
          </w:tcPr>
          <w:p w:rsidR="58920D6B" w:rsidRPr="006254B2" w:rsidP="006254B2" w14:paraId="1E30BB15" w14:textId="486E6642">
            <w:pPr>
              <w:spacing w:after="0"/>
              <w:jc w:val="center"/>
              <w:rPr>
                <w:rFonts w:ascii="Arial Narrow" w:eastAsia="Arial Narrow" w:hAnsi="Arial Narrow" w:cs="Arial Narrow"/>
                <w:b/>
                <w:bCs/>
                <w:sz w:val="22"/>
              </w:rPr>
            </w:pPr>
            <w:r w:rsidRPr="006254B2">
              <w:rPr>
                <w:rFonts w:ascii="Arial Narrow" w:eastAsia="Arial Narrow" w:hAnsi="Arial Narrow" w:cs="Arial Narrow"/>
                <w:b/>
                <w:bCs/>
                <w:sz w:val="22"/>
              </w:rPr>
              <w:t>Total Compensation</w:t>
            </w:r>
          </w:p>
        </w:tc>
        <w:tc>
          <w:tcPr>
            <w:tcW w:w="792" w:type="pct"/>
            <w:shd w:val="clear" w:color="auto" w:fill="BFBFBF" w:themeFill="accent6" w:themeFillShade="BF"/>
            <w:vAlign w:val="center"/>
          </w:tcPr>
          <w:p w:rsidR="58920D6B" w:rsidRPr="006254B2" w:rsidP="006254B2" w14:paraId="10BBE1F7" w14:textId="25189916">
            <w:pPr>
              <w:spacing w:after="0"/>
              <w:jc w:val="center"/>
              <w:rPr>
                <w:rFonts w:ascii="Arial Narrow" w:eastAsia="Arial Narrow" w:hAnsi="Arial Narrow" w:cs="Arial Narrow"/>
                <w:b/>
                <w:bCs/>
                <w:sz w:val="22"/>
                <w:vertAlign w:val="superscript"/>
              </w:rPr>
            </w:pPr>
            <w:r w:rsidRPr="006254B2">
              <w:rPr>
                <w:rFonts w:ascii="Arial Narrow" w:eastAsia="Arial Narrow" w:hAnsi="Arial Narrow" w:cs="Arial Narrow"/>
                <w:b/>
                <w:bCs/>
                <w:sz w:val="22"/>
              </w:rPr>
              <w:t>Overhead as % of Total Compensation</w:t>
            </w:r>
            <w:r w:rsidRPr="006254B2">
              <w:rPr>
                <w:rFonts w:ascii="Arial Narrow" w:eastAsia="Arial Narrow" w:hAnsi="Arial Narrow" w:cs="Arial Narrow"/>
                <w:b/>
                <w:bCs/>
                <w:sz w:val="22"/>
                <w:vertAlign w:val="superscript"/>
              </w:rPr>
              <w:t>3</w:t>
            </w:r>
          </w:p>
        </w:tc>
        <w:tc>
          <w:tcPr>
            <w:tcW w:w="521" w:type="pct"/>
            <w:shd w:val="clear" w:color="auto" w:fill="BFBFBF" w:themeFill="accent6" w:themeFillShade="BF"/>
            <w:vAlign w:val="center"/>
          </w:tcPr>
          <w:p w:rsidR="58920D6B" w:rsidRPr="006254B2" w:rsidP="006254B2" w14:paraId="28FA7379" w14:textId="35B4CA40">
            <w:pPr>
              <w:spacing w:after="0"/>
              <w:jc w:val="center"/>
              <w:rPr>
                <w:rFonts w:ascii="Arial Narrow" w:eastAsia="Arial Narrow" w:hAnsi="Arial Narrow" w:cs="Arial Narrow"/>
                <w:b/>
                <w:bCs/>
                <w:sz w:val="22"/>
              </w:rPr>
            </w:pPr>
            <w:r w:rsidRPr="006254B2">
              <w:rPr>
                <w:rFonts w:ascii="Arial Narrow" w:eastAsia="Arial Narrow" w:hAnsi="Arial Narrow" w:cs="Arial Narrow"/>
                <w:b/>
                <w:bCs/>
                <w:sz w:val="22"/>
              </w:rPr>
              <w:t>Overhead</w:t>
            </w:r>
          </w:p>
        </w:tc>
        <w:tc>
          <w:tcPr>
            <w:tcW w:w="447" w:type="pct"/>
            <w:shd w:val="clear" w:color="auto" w:fill="BFBFBF" w:themeFill="accent6" w:themeFillShade="BF"/>
            <w:vAlign w:val="center"/>
          </w:tcPr>
          <w:p w:rsidR="58920D6B" w:rsidRPr="006254B2" w:rsidP="006254B2" w14:paraId="1A4E27D1" w14:textId="1E48CC25">
            <w:pPr>
              <w:spacing w:after="0"/>
              <w:jc w:val="center"/>
              <w:rPr>
                <w:rFonts w:ascii="Arial Narrow" w:eastAsia="Arial Narrow" w:hAnsi="Arial Narrow" w:cs="Arial Narrow"/>
                <w:b/>
                <w:bCs/>
                <w:sz w:val="22"/>
              </w:rPr>
            </w:pPr>
            <w:r w:rsidRPr="006254B2">
              <w:rPr>
                <w:rFonts w:ascii="Arial Narrow" w:eastAsia="Arial Narrow" w:hAnsi="Arial Narrow" w:cs="Arial Narrow"/>
                <w:b/>
                <w:bCs/>
                <w:sz w:val="22"/>
              </w:rPr>
              <w:t>Loaded Wage ($/hr)</w:t>
            </w:r>
          </w:p>
        </w:tc>
      </w:tr>
      <w:tr w14:paraId="2675110F" w14:textId="77777777" w:rsidTr="003C26B4">
        <w:tblPrEx>
          <w:tblW w:w="5000" w:type="pct"/>
          <w:tblLook w:val="04A0"/>
        </w:tblPrEx>
        <w:trPr>
          <w:trHeight w:val="735"/>
        </w:trPr>
        <w:tc>
          <w:tcPr>
            <w:tcW w:w="503" w:type="pct"/>
            <w:vMerge/>
            <w:vAlign w:val="center"/>
          </w:tcPr>
          <w:p w:rsidR="0066704F" w:rsidRPr="00B3157B" w14:paraId="0D4641D3" w14:textId="77777777">
            <w:pPr>
              <w:rPr>
                <w:szCs w:val="24"/>
              </w:rPr>
            </w:pPr>
          </w:p>
        </w:tc>
        <w:tc>
          <w:tcPr>
            <w:tcW w:w="742" w:type="pct"/>
            <w:vMerge/>
            <w:vAlign w:val="center"/>
          </w:tcPr>
          <w:p w:rsidR="0066704F" w:rsidRPr="00B3157B" w14:paraId="7E22CAB6" w14:textId="77777777">
            <w:pPr>
              <w:rPr>
                <w:szCs w:val="24"/>
              </w:rPr>
            </w:pPr>
          </w:p>
        </w:tc>
        <w:tc>
          <w:tcPr>
            <w:tcW w:w="388" w:type="pct"/>
            <w:shd w:val="clear" w:color="auto" w:fill="BFBFBF" w:themeFill="accent6" w:themeFillShade="BF"/>
            <w:vAlign w:val="center"/>
          </w:tcPr>
          <w:p w:rsidR="58920D6B" w:rsidRPr="006254B2" w:rsidP="006254B2" w14:paraId="3EB45AE3" w14:textId="557E6DC3">
            <w:pPr>
              <w:spacing w:after="0"/>
              <w:jc w:val="center"/>
              <w:rPr>
                <w:rFonts w:ascii="Arial Narrow" w:eastAsia="Arial Narrow" w:hAnsi="Arial Narrow" w:cs="Arial Narrow"/>
                <w:b/>
                <w:bCs/>
                <w:sz w:val="22"/>
              </w:rPr>
            </w:pPr>
            <w:r w:rsidRPr="006254B2">
              <w:rPr>
                <w:rFonts w:ascii="Arial Narrow" w:eastAsia="Arial Narrow" w:hAnsi="Arial Narrow" w:cs="Arial Narrow"/>
                <w:b/>
                <w:bCs/>
                <w:sz w:val="22"/>
              </w:rPr>
              <w:t>A</w:t>
            </w:r>
          </w:p>
        </w:tc>
        <w:tc>
          <w:tcPr>
            <w:tcW w:w="450" w:type="pct"/>
            <w:shd w:val="clear" w:color="auto" w:fill="BFBFBF" w:themeFill="accent6" w:themeFillShade="BF"/>
            <w:vAlign w:val="center"/>
          </w:tcPr>
          <w:p w:rsidR="58920D6B" w:rsidRPr="006254B2" w:rsidP="006254B2" w14:paraId="3859F20A" w14:textId="1B29B975">
            <w:pPr>
              <w:spacing w:after="0"/>
              <w:jc w:val="center"/>
              <w:rPr>
                <w:rFonts w:ascii="Arial Narrow" w:eastAsia="Arial Narrow" w:hAnsi="Arial Narrow" w:cs="Arial Narrow"/>
                <w:b/>
                <w:bCs/>
                <w:sz w:val="22"/>
              </w:rPr>
            </w:pPr>
            <w:r w:rsidRPr="006254B2">
              <w:rPr>
                <w:rFonts w:ascii="Arial Narrow" w:eastAsia="Arial Narrow" w:hAnsi="Arial Narrow" w:cs="Arial Narrow"/>
                <w:b/>
                <w:bCs/>
                <w:sz w:val="22"/>
              </w:rPr>
              <w:t>B</w:t>
            </w:r>
          </w:p>
        </w:tc>
        <w:tc>
          <w:tcPr>
            <w:tcW w:w="420" w:type="pct"/>
            <w:shd w:val="clear" w:color="auto" w:fill="BFBFBF" w:themeFill="accent6" w:themeFillShade="BF"/>
            <w:vAlign w:val="center"/>
          </w:tcPr>
          <w:p w:rsidR="58920D6B" w:rsidRPr="006254B2" w:rsidP="006254B2" w14:paraId="725F8842" w14:textId="4805BE5A">
            <w:pPr>
              <w:spacing w:after="0"/>
              <w:jc w:val="center"/>
              <w:rPr>
                <w:rFonts w:ascii="Arial Narrow" w:eastAsia="Arial Narrow" w:hAnsi="Arial Narrow" w:cs="Arial Narrow"/>
                <w:b/>
                <w:bCs/>
                <w:sz w:val="22"/>
              </w:rPr>
            </w:pPr>
            <w:r w:rsidRPr="006254B2">
              <w:rPr>
                <w:rFonts w:ascii="Arial Narrow" w:eastAsia="Arial Narrow" w:hAnsi="Arial Narrow" w:cs="Arial Narrow"/>
                <w:b/>
                <w:bCs/>
                <w:sz w:val="22"/>
              </w:rPr>
              <w:t>C = A * B</w:t>
            </w:r>
          </w:p>
        </w:tc>
        <w:tc>
          <w:tcPr>
            <w:tcW w:w="737" w:type="pct"/>
            <w:shd w:val="clear" w:color="auto" w:fill="BFBFBF" w:themeFill="accent6" w:themeFillShade="BF"/>
            <w:vAlign w:val="center"/>
          </w:tcPr>
          <w:p w:rsidR="58920D6B" w:rsidRPr="006254B2" w:rsidP="006254B2" w14:paraId="0F0F5A0D" w14:textId="3E6FC967">
            <w:pPr>
              <w:spacing w:after="0"/>
              <w:jc w:val="center"/>
              <w:rPr>
                <w:rFonts w:ascii="Arial Narrow" w:eastAsia="Arial Narrow" w:hAnsi="Arial Narrow" w:cs="Arial Narrow"/>
                <w:b/>
                <w:bCs/>
                <w:sz w:val="22"/>
              </w:rPr>
            </w:pPr>
            <w:r w:rsidRPr="006254B2">
              <w:rPr>
                <w:rFonts w:ascii="Arial Narrow" w:eastAsia="Arial Narrow" w:hAnsi="Arial Narrow" w:cs="Arial Narrow"/>
                <w:b/>
                <w:bCs/>
                <w:sz w:val="22"/>
              </w:rPr>
              <w:t>D = A + C</w:t>
            </w:r>
          </w:p>
        </w:tc>
        <w:tc>
          <w:tcPr>
            <w:tcW w:w="792" w:type="pct"/>
            <w:shd w:val="clear" w:color="auto" w:fill="BFBFBF" w:themeFill="accent6" w:themeFillShade="BF"/>
            <w:vAlign w:val="center"/>
          </w:tcPr>
          <w:p w:rsidR="58920D6B" w:rsidRPr="006254B2" w:rsidP="006254B2" w14:paraId="4E19495C" w14:textId="1C588943">
            <w:pPr>
              <w:spacing w:after="0"/>
              <w:jc w:val="center"/>
              <w:rPr>
                <w:rFonts w:ascii="Arial Narrow" w:eastAsia="Arial Narrow" w:hAnsi="Arial Narrow" w:cs="Arial Narrow"/>
                <w:b/>
                <w:bCs/>
                <w:sz w:val="22"/>
              </w:rPr>
            </w:pPr>
            <w:r w:rsidRPr="006254B2">
              <w:rPr>
                <w:rFonts w:ascii="Arial Narrow" w:eastAsia="Arial Narrow" w:hAnsi="Arial Narrow" w:cs="Arial Narrow"/>
                <w:b/>
                <w:bCs/>
                <w:sz w:val="22"/>
              </w:rPr>
              <w:t>E</w:t>
            </w:r>
          </w:p>
        </w:tc>
        <w:tc>
          <w:tcPr>
            <w:tcW w:w="521" w:type="pct"/>
            <w:shd w:val="clear" w:color="auto" w:fill="BFBFBF" w:themeFill="accent6" w:themeFillShade="BF"/>
            <w:vAlign w:val="center"/>
          </w:tcPr>
          <w:p w:rsidR="58920D6B" w:rsidRPr="006254B2" w:rsidP="006254B2" w14:paraId="46A94A77" w14:textId="5B525DBF">
            <w:pPr>
              <w:spacing w:after="0"/>
              <w:jc w:val="center"/>
              <w:rPr>
                <w:rFonts w:ascii="Arial Narrow" w:eastAsia="Arial Narrow" w:hAnsi="Arial Narrow" w:cs="Arial Narrow"/>
                <w:b/>
                <w:bCs/>
                <w:sz w:val="22"/>
              </w:rPr>
            </w:pPr>
            <w:r w:rsidRPr="006254B2">
              <w:rPr>
                <w:rFonts w:ascii="Arial Narrow" w:eastAsia="Arial Narrow" w:hAnsi="Arial Narrow" w:cs="Arial Narrow"/>
                <w:b/>
                <w:bCs/>
                <w:sz w:val="22"/>
              </w:rPr>
              <w:t>F = D * E</w:t>
            </w:r>
          </w:p>
        </w:tc>
        <w:tc>
          <w:tcPr>
            <w:tcW w:w="447" w:type="pct"/>
            <w:shd w:val="clear" w:color="auto" w:fill="BFBFBF" w:themeFill="accent6" w:themeFillShade="BF"/>
            <w:vAlign w:val="center"/>
          </w:tcPr>
          <w:p w:rsidR="58920D6B" w:rsidRPr="006254B2" w:rsidP="006254B2" w14:paraId="442CA08F" w14:textId="51CE1ABF">
            <w:pPr>
              <w:spacing w:after="0"/>
              <w:jc w:val="center"/>
              <w:rPr>
                <w:rFonts w:ascii="Arial Narrow" w:eastAsia="Arial Narrow" w:hAnsi="Arial Narrow" w:cs="Arial Narrow"/>
                <w:b/>
                <w:bCs/>
                <w:sz w:val="22"/>
              </w:rPr>
            </w:pPr>
            <w:r w:rsidRPr="006254B2">
              <w:rPr>
                <w:rFonts w:ascii="Arial Narrow" w:eastAsia="Arial Narrow" w:hAnsi="Arial Narrow" w:cs="Arial Narrow"/>
                <w:b/>
                <w:bCs/>
                <w:sz w:val="22"/>
              </w:rPr>
              <w:t>G = D + F</w:t>
            </w:r>
          </w:p>
        </w:tc>
      </w:tr>
      <w:tr w14:paraId="29204C1D" w14:textId="77777777" w:rsidTr="007546A8">
        <w:tblPrEx>
          <w:tblW w:w="5000" w:type="pct"/>
          <w:tblLook w:val="04A0"/>
        </w:tblPrEx>
        <w:tc>
          <w:tcPr>
            <w:tcW w:w="503" w:type="pct"/>
            <w:vAlign w:val="center"/>
          </w:tcPr>
          <w:p w:rsidR="00FE0F00" w:rsidRPr="00B3157B" w:rsidP="00FE0F00" w14:paraId="04692DA8" w14:textId="5E3607EE">
            <w:pPr>
              <w:spacing w:after="0"/>
              <w:rPr>
                <w:rFonts w:ascii="Arial Narrow" w:eastAsia="Arial Narrow" w:hAnsi="Arial Narrow" w:cs="Arial Narrow"/>
                <w:color w:val="000000" w:themeColor="text1"/>
                <w:sz w:val="22"/>
              </w:rPr>
            </w:pPr>
            <w:r w:rsidRPr="006254B2">
              <w:rPr>
                <w:rFonts w:ascii="Arial Narrow" w:eastAsia="Arial Narrow" w:hAnsi="Arial Narrow" w:cs="Arial Narrow"/>
                <w:color w:val="000000" w:themeColor="text1"/>
                <w:sz w:val="22"/>
              </w:rPr>
              <w:t>Technical</w:t>
            </w:r>
          </w:p>
        </w:tc>
        <w:tc>
          <w:tcPr>
            <w:tcW w:w="742" w:type="pct"/>
            <w:vAlign w:val="center"/>
          </w:tcPr>
          <w:p w:rsidR="00FE0F00" w:rsidRPr="00B3157B" w:rsidP="00FE0F00" w14:paraId="5992EB62" w14:textId="75D521AA">
            <w:pPr>
              <w:spacing w:after="0"/>
              <w:rPr>
                <w:rFonts w:ascii="Arial Narrow" w:eastAsia="Arial Narrow" w:hAnsi="Arial Narrow" w:cs="Arial Narrow"/>
                <w:color w:val="000000" w:themeColor="text1"/>
                <w:sz w:val="22"/>
                <w:vertAlign w:val="superscript"/>
              </w:rPr>
            </w:pPr>
            <w:r w:rsidRPr="0506DD0C">
              <w:rPr>
                <w:rFonts w:ascii="Arial Narrow" w:eastAsia="Arial Narrow" w:hAnsi="Arial Narrow" w:cs="Arial Narrow"/>
                <w:color w:val="000000" w:themeColor="text1"/>
                <w:sz w:val="22"/>
              </w:rPr>
              <w:t>Annual federal staff cost: OPM Washington-Baltimore-Northern Virginia, DC-MD-PA-VA-WV area, GS-13 Step 5 pay rates</w:t>
            </w:r>
            <w:r w:rsidRPr="0506DD0C">
              <w:rPr>
                <w:rFonts w:ascii="Arial Narrow" w:eastAsia="Arial Narrow" w:hAnsi="Arial Narrow" w:cs="Arial Narrow"/>
                <w:color w:val="000000" w:themeColor="text1"/>
                <w:sz w:val="22"/>
                <w:vertAlign w:val="superscript"/>
              </w:rPr>
              <w:t>1</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tcPr>
          <w:p w:rsidR="00FE0F00" w:rsidRPr="006254B2" w:rsidP="00FE0F00" w14:paraId="3C84ADFD" w14:textId="4F825310">
            <w:pPr>
              <w:spacing w:after="0"/>
              <w:jc w:val="right"/>
              <w:rPr>
                <w:rFonts w:ascii="Arial Narrow" w:eastAsia="Arial Narrow" w:hAnsi="Arial Narrow" w:cs="Arial Narrow"/>
                <w:color w:val="000000" w:themeColor="text1"/>
                <w:sz w:val="22"/>
              </w:rPr>
            </w:pPr>
            <w:r>
              <w:rPr>
                <w:rFonts w:ascii="Arial Narrow" w:hAnsi="Arial Narrow" w:cs="Arial"/>
                <w:color w:val="000000"/>
                <w:sz w:val="20"/>
                <w:szCs w:val="20"/>
              </w:rPr>
              <w:t xml:space="preserve">$58.20 </w:t>
            </w:r>
          </w:p>
        </w:tc>
        <w:tc>
          <w:tcPr>
            <w:tcW w:w="450" w:type="pct"/>
            <w:tcBorders>
              <w:top w:val="single" w:sz="4" w:space="0" w:color="auto"/>
              <w:left w:val="nil"/>
              <w:bottom w:val="single" w:sz="4" w:space="0" w:color="auto"/>
              <w:right w:val="single" w:sz="4" w:space="0" w:color="auto"/>
            </w:tcBorders>
            <w:shd w:val="clear" w:color="auto" w:fill="auto"/>
            <w:vAlign w:val="center"/>
          </w:tcPr>
          <w:p w:rsidR="00FE0F00" w:rsidRPr="006254B2" w:rsidP="00FE0F00" w14:paraId="55EB6FEE" w14:textId="55B979AF">
            <w:pPr>
              <w:spacing w:after="0"/>
              <w:jc w:val="right"/>
              <w:rPr>
                <w:rFonts w:ascii="Arial Narrow" w:eastAsia="Arial Narrow" w:hAnsi="Arial Narrow" w:cs="Arial Narrow"/>
                <w:color w:val="000000" w:themeColor="text1"/>
                <w:sz w:val="22"/>
              </w:rPr>
            </w:pPr>
            <w:r>
              <w:rPr>
                <w:rFonts w:ascii="Arial Narrow" w:hAnsi="Arial Narrow" w:cs="Arial"/>
                <w:color w:val="000000"/>
                <w:sz w:val="20"/>
                <w:szCs w:val="20"/>
              </w:rPr>
              <w:t>63.9%</w:t>
            </w:r>
          </w:p>
        </w:tc>
        <w:tc>
          <w:tcPr>
            <w:tcW w:w="420" w:type="pct"/>
            <w:tcBorders>
              <w:top w:val="single" w:sz="4" w:space="0" w:color="auto"/>
              <w:left w:val="nil"/>
              <w:bottom w:val="single" w:sz="4" w:space="0" w:color="auto"/>
              <w:right w:val="single" w:sz="4" w:space="0" w:color="auto"/>
            </w:tcBorders>
            <w:shd w:val="clear" w:color="auto" w:fill="auto"/>
            <w:vAlign w:val="center"/>
          </w:tcPr>
          <w:p w:rsidR="00FE0F00" w:rsidRPr="006254B2" w:rsidP="00FE0F00" w14:paraId="6A2797FB" w14:textId="477E10F4">
            <w:pPr>
              <w:spacing w:after="0"/>
              <w:jc w:val="right"/>
              <w:rPr>
                <w:rFonts w:ascii="Arial Narrow" w:eastAsia="Arial Narrow" w:hAnsi="Arial Narrow" w:cs="Arial Narrow"/>
                <w:color w:val="000000" w:themeColor="text1"/>
                <w:sz w:val="22"/>
              </w:rPr>
            </w:pPr>
            <w:r>
              <w:rPr>
                <w:rFonts w:ascii="Arial Narrow" w:hAnsi="Arial Narrow" w:cs="Arial"/>
                <w:color w:val="000000"/>
                <w:sz w:val="20"/>
                <w:szCs w:val="20"/>
              </w:rPr>
              <w:t xml:space="preserve">$37.19 </w:t>
            </w:r>
          </w:p>
        </w:tc>
        <w:tc>
          <w:tcPr>
            <w:tcW w:w="737" w:type="pct"/>
            <w:tcBorders>
              <w:top w:val="single" w:sz="4" w:space="0" w:color="auto"/>
              <w:left w:val="nil"/>
              <w:bottom w:val="single" w:sz="4" w:space="0" w:color="auto"/>
              <w:right w:val="single" w:sz="4" w:space="0" w:color="auto"/>
            </w:tcBorders>
            <w:shd w:val="clear" w:color="auto" w:fill="auto"/>
            <w:vAlign w:val="center"/>
          </w:tcPr>
          <w:p w:rsidR="00FE0F00" w:rsidRPr="006254B2" w:rsidP="00FE0F00" w14:paraId="6C0A0408" w14:textId="4A5D4D70">
            <w:pPr>
              <w:spacing w:after="0"/>
              <w:jc w:val="right"/>
              <w:rPr>
                <w:rFonts w:ascii="Arial Narrow" w:eastAsia="Arial Narrow" w:hAnsi="Arial Narrow" w:cs="Arial Narrow"/>
                <w:color w:val="000000" w:themeColor="text1"/>
                <w:sz w:val="22"/>
              </w:rPr>
            </w:pPr>
            <w:r>
              <w:rPr>
                <w:rFonts w:ascii="Arial Narrow" w:hAnsi="Arial Narrow" w:cs="Arial"/>
                <w:color w:val="000000"/>
                <w:sz w:val="20"/>
                <w:szCs w:val="20"/>
              </w:rPr>
              <w:t xml:space="preserve">$95.39 </w:t>
            </w:r>
          </w:p>
        </w:tc>
        <w:tc>
          <w:tcPr>
            <w:tcW w:w="792" w:type="pct"/>
            <w:tcBorders>
              <w:top w:val="single" w:sz="4" w:space="0" w:color="auto"/>
              <w:left w:val="nil"/>
              <w:bottom w:val="single" w:sz="4" w:space="0" w:color="auto"/>
              <w:right w:val="single" w:sz="4" w:space="0" w:color="auto"/>
            </w:tcBorders>
            <w:shd w:val="clear" w:color="auto" w:fill="auto"/>
            <w:vAlign w:val="center"/>
          </w:tcPr>
          <w:p w:rsidR="00FE0F00" w:rsidRPr="006254B2" w:rsidP="00FE0F00" w14:paraId="36CCAF9C" w14:textId="787091A2">
            <w:pPr>
              <w:spacing w:after="0"/>
              <w:jc w:val="right"/>
              <w:rPr>
                <w:rFonts w:ascii="Arial Narrow" w:eastAsia="Arial Narrow" w:hAnsi="Arial Narrow" w:cs="Arial Narrow"/>
                <w:color w:val="000000" w:themeColor="text1"/>
                <w:sz w:val="22"/>
              </w:rPr>
            </w:pPr>
            <w:r>
              <w:rPr>
                <w:rFonts w:ascii="Arial Narrow" w:hAnsi="Arial Narrow" w:cs="Arial"/>
                <w:color w:val="000000"/>
                <w:sz w:val="20"/>
                <w:szCs w:val="20"/>
              </w:rPr>
              <w:t>20.0%</w:t>
            </w:r>
          </w:p>
        </w:tc>
        <w:tc>
          <w:tcPr>
            <w:tcW w:w="521" w:type="pct"/>
            <w:tcBorders>
              <w:top w:val="single" w:sz="4" w:space="0" w:color="auto"/>
              <w:left w:val="nil"/>
              <w:bottom w:val="single" w:sz="4" w:space="0" w:color="auto"/>
              <w:right w:val="single" w:sz="4" w:space="0" w:color="auto"/>
            </w:tcBorders>
            <w:shd w:val="clear" w:color="auto" w:fill="auto"/>
            <w:vAlign w:val="center"/>
          </w:tcPr>
          <w:p w:rsidR="00FE0F00" w:rsidRPr="006254B2" w:rsidP="00FE0F00" w14:paraId="102CFFC4" w14:textId="118FECCA">
            <w:pPr>
              <w:spacing w:after="0"/>
              <w:jc w:val="right"/>
              <w:rPr>
                <w:rFonts w:ascii="Arial Narrow" w:eastAsia="Arial Narrow" w:hAnsi="Arial Narrow" w:cs="Arial Narrow"/>
                <w:color w:val="000000" w:themeColor="text1"/>
                <w:sz w:val="22"/>
              </w:rPr>
            </w:pPr>
            <w:r>
              <w:rPr>
                <w:rFonts w:ascii="Arial Narrow" w:hAnsi="Arial Narrow" w:cs="Arial"/>
                <w:color w:val="000000"/>
                <w:sz w:val="20"/>
                <w:szCs w:val="20"/>
              </w:rPr>
              <w:t xml:space="preserve">$19.08 </w:t>
            </w:r>
          </w:p>
        </w:tc>
        <w:tc>
          <w:tcPr>
            <w:tcW w:w="447" w:type="pct"/>
            <w:tcBorders>
              <w:top w:val="single" w:sz="4" w:space="0" w:color="auto"/>
              <w:left w:val="nil"/>
              <w:bottom w:val="single" w:sz="4" w:space="0" w:color="auto"/>
              <w:right w:val="single" w:sz="4" w:space="0" w:color="auto"/>
            </w:tcBorders>
            <w:shd w:val="clear" w:color="auto" w:fill="auto"/>
            <w:vAlign w:val="center"/>
          </w:tcPr>
          <w:p w:rsidR="00FE0F00" w:rsidRPr="006254B2" w:rsidP="00FE0F00" w14:paraId="3EF19BC2" w14:textId="597BBB73">
            <w:pPr>
              <w:spacing w:after="0"/>
              <w:jc w:val="right"/>
              <w:rPr>
                <w:rFonts w:ascii="Arial Narrow" w:eastAsia="Arial Narrow" w:hAnsi="Arial Narrow" w:cs="Arial Narrow"/>
                <w:color w:val="000000" w:themeColor="text1"/>
                <w:sz w:val="22"/>
              </w:rPr>
            </w:pPr>
            <w:r>
              <w:rPr>
                <w:rFonts w:ascii="Arial Narrow" w:hAnsi="Arial Narrow" w:cs="Arial"/>
                <w:color w:val="000000"/>
                <w:sz w:val="20"/>
                <w:szCs w:val="20"/>
              </w:rPr>
              <w:t xml:space="preserve">$114.47 </w:t>
            </w:r>
          </w:p>
        </w:tc>
      </w:tr>
      <w:tr w14:paraId="6A0B68CA" w14:textId="77777777" w:rsidTr="003C26B4">
        <w:tblPrEx>
          <w:tblW w:w="5000" w:type="pct"/>
          <w:tblLook w:val="04A0"/>
        </w:tblPrEx>
        <w:trPr>
          <w:trHeight w:val="890"/>
        </w:trPr>
        <w:tc>
          <w:tcPr>
            <w:tcW w:w="5000" w:type="pct"/>
            <w:gridSpan w:val="9"/>
          </w:tcPr>
          <w:p w:rsidR="00FE0F00" w:rsidRPr="006254B2" w:rsidP="00FE0F00" w14:paraId="6FCE8916" w14:textId="7AD32236">
            <w:pPr>
              <w:spacing w:after="0"/>
              <w:rPr>
                <w:rFonts w:ascii="Arial Narrow" w:eastAsia="Arial Narrow" w:hAnsi="Arial Narrow" w:cs="Arial Narrow"/>
                <w:color w:val="000000" w:themeColor="text1"/>
                <w:sz w:val="22"/>
              </w:rPr>
            </w:pPr>
            <w:r w:rsidRPr="0506DD0C">
              <w:rPr>
                <w:rFonts w:ascii="Arial Narrow" w:eastAsia="Arial Narrow" w:hAnsi="Arial Narrow" w:cs="Arial Narrow"/>
                <w:color w:val="000000" w:themeColor="text1"/>
                <w:sz w:val="22"/>
                <w:vertAlign w:val="superscript"/>
              </w:rPr>
              <w:t xml:space="preserve">1 </w:t>
            </w:r>
            <w:r w:rsidRPr="0506DD0C">
              <w:rPr>
                <w:rFonts w:ascii="Arial Narrow" w:eastAsia="Arial Narrow" w:hAnsi="Arial Narrow" w:cs="Arial Narrow"/>
                <w:color w:val="000000" w:themeColor="text1"/>
                <w:sz w:val="22"/>
              </w:rPr>
              <w:t>Source: U.S. Office of Personnel Management 202</w:t>
            </w:r>
            <w:r>
              <w:rPr>
                <w:rFonts w:ascii="Arial Narrow" w:eastAsia="Arial Narrow" w:hAnsi="Arial Narrow" w:cs="Arial Narrow"/>
                <w:color w:val="000000" w:themeColor="text1"/>
                <w:sz w:val="22"/>
              </w:rPr>
              <w:t>2</w:t>
            </w:r>
          </w:p>
          <w:p w:rsidR="00FE0F00" w:rsidRPr="006254B2" w:rsidP="00FE0F00" w14:paraId="7A4E1EC1" w14:textId="50D832E6">
            <w:pPr>
              <w:spacing w:after="0"/>
              <w:rPr>
                <w:rFonts w:ascii="Arial Narrow" w:eastAsia="Arial Narrow" w:hAnsi="Arial Narrow" w:cs="Arial Narrow"/>
                <w:color w:val="000000" w:themeColor="text1"/>
                <w:sz w:val="22"/>
              </w:rPr>
            </w:pPr>
            <w:r w:rsidRPr="0506DD0C">
              <w:rPr>
                <w:rFonts w:ascii="Arial Narrow" w:eastAsia="Arial Narrow" w:hAnsi="Arial Narrow" w:cs="Arial Narrow"/>
                <w:color w:val="000000" w:themeColor="text1"/>
                <w:sz w:val="22"/>
                <w:vertAlign w:val="superscript"/>
              </w:rPr>
              <w:t>2</w:t>
            </w:r>
            <w:r w:rsidRPr="0506DD0C">
              <w:rPr>
                <w:rFonts w:ascii="Arial Narrow" w:eastAsia="Arial Narrow" w:hAnsi="Arial Narrow" w:cs="Arial Narrow"/>
                <w:color w:val="000000" w:themeColor="text1"/>
                <w:sz w:val="22"/>
              </w:rPr>
              <w:t xml:space="preserve"> Source: Falk 2012</w:t>
            </w:r>
          </w:p>
          <w:p w:rsidR="00FE0F00" w:rsidRPr="006254B2" w:rsidP="00FE0F00" w14:paraId="5CB9B8A2" w14:textId="389EA03D">
            <w:pPr>
              <w:spacing w:after="0"/>
              <w:rPr>
                <w:rFonts w:ascii="Arial Narrow" w:eastAsia="Arial Narrow" w:hAnsi="Arial Narrow" w:cs="Arial Narrow"/>
                <w:color w:val="000000" w:themeColor="text1"/>
                <w:sz w:val="22"/>
              </w:rPr>
            </w:pPr>
            <w:r w:rsidRPr="0506DD0C">
              <w:rPr>
                <w:rFonts w:ascii="Arial Narrow" w:eastAsia="Arial Narrow" w:hAnsi="Arial Narrow" w:cs="Arial Narrow"/>
                <w:color w:val="000000" w:themeColor="text1"/>
                <w:sz w:val="22"/>
                <w:vertAlign w:val="superscript"/>
              </w:rPr>
              <w:t>3</w:t>
            </w:r>
            <w:r w:rsidRPr="0506DD0C">
              <w:rPr>
                <w:rFonts w:ascii="Arial Narrow" w:eastAsia="Arial Narrow" w:hAnsi="Arial Narrow" w:cs="Arial Narrow"/>
                <w:color w:val="000000" w:themeColor="text1"/>
                <w:sz w:val="22"/>
              </w:rPr>
              <w:t xml:space="preserve"> An overhead rate of 20% is used based on assumptions in </w:t>
            </w:r>
            <w:r w:rsidRPr="0506DD0C">
              <w:rPr>
                <w:rFonts w:ascii="Arial Narrow" w:eastAsia="Arial Narrow" w:hAnsi="Arial Narrow" w:cs="Arial Narrow"/>
                <w:i/>
                <w:iCs/>
                <w:color w:val="000000" w:themeColor="text1"/>
                <w:sz w:val="22"/>
              </w:rPr>
              <w:t xml:space="preserve">Handbook on Valuing Changes in Time Use Induced by Regulatory Requirements and Other U.S. EPA Actions </w:t>
            </w:r>
            <w:r w:rsidRPr="0506DD0C">
              <w:rPr>
                <w:rFonts w:ascii="Arial Narrow" w:eastAsia="Arial Narrow" w:hAnsi="Arial Narrow" w:cs="Arial Narrow"/>
                <w:color w:val="000000" w:themeColor="text1"/>
                <w:sz w:val="22"/>
              </w:rPr>
              <w:t>(EPA 2020c)</w:t>
            </w:r>
          </w:p>
        </w:tc>
      </w:tr>
    </w:tbl>
    <w:p w:rsidR="004F4342" w:rsidRPr="008A70BD" w:rsidP="58920D6B" w14:paraId="4DCF749F" w14:textId="0DC80FD0">
      <w:pPr>
        <w:pStyle w:val="BodyText"/>
        <w:spacing w:before="240"/>
        <w:rPr>
          <w:rFonts w:asciiTheme="minorHAnsi" w:hAnsiTheme="minorHAnsi" w:cstheme="minorBidi"/>
          <w:sz w:val="24"/>
          <w:szCs w:val="24"/>
        </w:rPr>
      </w:pPr>
      <w:r w:rsidRPr="58920D6B">
        <w:rPr>
          <w:rFonts w:asciiTheme="minorHAnsi" w:hAnsiTheme="minorHAnsi" w:cstheme="minorBidi"/>
          <w:sz w:val="24"/>
          <w:szCs w:val="24"/>
        </w:rPr>
        <w:t xml:space="preserve">Unit burden and cost associated with EPA staff activities are the same as in the economic analysis for the </w:t>
      </w:r>
      <w:r w:rsidRPr="58920D6B" w:rsidR="52C12111">
        <w:rPr>
          <w:rFonts w:asciiTheme="minorHAnsi" w:hAnsiTheme="minorHAnsi" w:cstheme="minorBidi"/>
          <w:sz w:val="24"/>
          <w:szCs w:val="24"/>
        </w:rPr>
        <w:t>final</w:t>
      </w:r>
      <w:r w:rsidRPr="58920D6B">
        <w:rPr>
          <w:rFonts w:asciiTheme="minorHAnsi" w:hAnsiTheme="minorHAnsi" w:cstheme="minorBidi"/>
          <w:sz w:val="24"/>
          <w:szCs w:val="24"/>
        </w:rPr>
        <w:t xml:space="preserve"> rule (EPA, 2020) and are presented in </w:t>
      </w:r>
      <w:r w:rsidRPr="58920D6B">
        <w:rPr>
          <w:rFonts w:asciiTheme="minorHAnsi" w:hAnsiTheme="minorHAnsi" w:cstheme="minorBidi"/>
          <w:sz w:val="24"/>
          <w:szCs w:val="24"/>
        </w:rPr>
        <w:fldChar w:fldCharType="begin"/>
      </w:r>
      <w:r w:rsidRPr="58920D6B">
        <w:rPr>
          <w:rFonts w:asciiTheme="minorHAnsi" w:hAnsiTheme="minorHAnsi" w:cstheme="minorBidi"/>
          <w:sz w:val="24"/>
          <w:szCs w:val="24"/>
        </w:rPr>
        <w:instrText xml:space="preserve"> REF _Ref33099217 \h </w:instrText>
      </w:r>
      <w:r w:rsidRPr="58920D6B" w:rsidR="008A70BD">
        <w:rPr>
          <w:rFonts w:asciiTheme="minorHAnsi" w:hAnsiTheme="minorHAnsi" w:cstheme="minorBidi"/>
          <w:sz w:val="24"/>
          <w:szCs w:val="24"/>
        </w:rPr>
        <w:instrText xml:space="preserve"> \* MERGEFORMAT </w:instrText>
      </w:r>
      <w:r w:rsidRPr="58920D6B">
        <w:rPr>
          <w:rFonts w:asciiTheme="minorHAnsi" w:hAnsiTheme="minorHAnsi" w:cstheme="minorBidi"/>
          <w:sz w:val="24"/>
          <w:szCs w:val="24"/>
        </w:rPr>
        <w:fldChar w:fldCharType="separate"/>
      </w:r>
      <w:r w:rsidRPr="58920D6B">
        <w:rPr>
          <w:rFonts w:asciiTheme="minorHAnsi" w:hAnsiTheme="minorHAnsi" w:cstheme="minorBidi"/>
          <w:sz w:val="24"/>
          <w:szCs w:val="24"/>
        </w:rPr>
        <w:t xml:space="preserve">Table A- </w:t>
      </w:r>
      <w:r w:rsidRPr="58920D6B">
        <w:rPr>
          <w:rFonts w:asciiTheme="minorHAnsi" w:hAnsiTheme="minorHAnsi" w:cstheme="minorBidi"/>
          <w:noProof/>
          <w:sz w:val="24"/>
          <w:szCs w:val="24"/>
        </w:rPr>
        <w:t>2</w:t>
      </w:r>
      <w:r w:rsidRPr="58920D6B">
        <w:rPr>
          <w:rFonts w:asciiTheme="minorHAnsi" w:hAnsiTheme="minorHAnsi" w:cstheme="minorBidi"/>
          <w:sz w:val="24"/>
          <w:szCs w:val="24"/>
        </w:rPr>
        <w:fldChar w:fldCharType="end"/>
      </w:r>
      <w:r w:rsidRPr="58920D6B">
        <w:rPr>
          <w:rFonts w:asciiTheme="minorHAnsi" w:hAnsiTheme="minorHAnsi" w:cstheme="minorBidi"/>
          <w:sz w:val="24"/>
          <w:szCs w:val="24"/>
        </w:rPr>
        <w:t xml:space="preserve">. </w:t>
      </w:r>
    </w:p>
    <w:p w:rsidR="004F4342" w:rsidRPr="008A70BD" w:rsidP="58920D6B" w14:paraId="6AB6CCDC" w14:textId="10D45FFD">
      <w:pPr>
        <w:pStyle w:val="Caption"/>
        <w:outlineLvl w:val="2"/>
        <w:rPr>
          <w:rFonts w:asciiTheme="minorHAnsi" w:hAnsiTheme="minorHAnsi" w:cstheme="minorBidi"/>
        </w:rPr>
      </w:pPr>
      <w:r w:rsidRPr="58920D6B">
        <w:rPr>
          <w:rFonts w:asciiTheme="minorHAnsi" w:hAnsiTheme="minorHAnsi" w:cstheme="minorBidi"/>
        </w:rPr>
        <w:t xml:space="preserve">Table A- </w:t>
      </w:r>
      <w:r w:rsidRPr="58920D6B">
        <w:rPr>
          <w:rFonts w:asciiTheme="minorHAnsi" w:hAnsiTheme="minorHAnsi" w:cstheme="minorBidi"/>
        </w:rPr>
        <w:fldChar w:fldCharType="begin"/>
      </w:r>
      <w:r w:rsidRPr="58920D6B">
        <w:rPr>
          <w:rFonts w:asciiTheme="minorHAnsi" w:hAnsiTheme="minorHAnsi" w:cstheme="minorBidi"/>
        </w:rPr>
        <w:instrText>SEQ Table_A- \* ARABIC</w:instrText>
      </w:r>
      <w:r w:rsidRPr="58920D6B">
        <w:rPr>
          <w:rFonts w:asciiTheme="minorHAnsi" w:hAnsiTheme="minorHAnsi" w:cstheme="minorBidi"/>
        </w:rPr>
        <w:fldChar w:fldCharType="separate"/>
      </w:r>
      <w:r w:rsidRPr="58920D6B">
        <w:rPr>
          <w:rFonts w:asciiTheme="minorHAnsi" w:hAnsiTheme="minorHAnsi" w:cstheme="minorBidi"/>
          <w:noProof/>
        </w:rPr>
        <w:t>2</w:t>
      </w:r>
      <w:r w:rsidRPr="58920D6B">
        <w:rPr>
          <w:rFonts w:asciiTheme="minorHAnsi" w:hAnsiTheme="minorHAnsi" w:cstheme="minorBidi"/>
        </w:rPr>
        <w:fldChar w:fldCharType="end"/>
      </w:r>
      <w:r w:rsidRPr="58920D6B">
        <w:rPr>
          <w:rFonts w:asciiTheme="minorHAnsi" w:hAnsiTheme="minorHAnsi" w:cstheme="minorBidi"/>
        </w:rPr>
        <w:t>: Total Agency Burden and Cost (202</w:t>
      </w:r>
      <w:r w:rsidR="00FE0F00">
        <w:rPr>
          <w:rFonts w:asciiTheme="minorHAnsi" w:hAnsiTheme="minorHAnsi" w:cstheme="minorBidi"/>
        </w:rPr>
        <w:t>2</w:t>
      </w:r>
      <w:r w:rsidRPr="58920D6B">
        <w:rPr>
          <w:rFonts w:asciiTheme="minorHAnsi" w:hAnsiTheme="minorHAnsi" w:cstheme="minorBidi"/>
        </w:rPr>
        <w:t>$)</w:t>
      </w:r>
    </w:p>
    <w:tbl>
      <w:tblPr>
        <w:tblStyle w:val="TableGrid"/>
        <w:tblW w:w="0" w:type="auto"/>
        <w:tblLayout w:type="fixed"/>
        <w:tblLook w:val="06A0"/>
      </w:tblPr>
      <w:tblGrid>
        <w:gridCol w:w="4065"/>
        <w:gridCol w:w="2325"/>
        <w:gridCol w:w="2055"/>
      </w:tblGrid>
      <w:tr w14:paraId="46BAB4F0" w14:textId="77777777" w:rsidTr="6D5BA1AE">
        <w:tblPrEx>
          <w:tblW w:w="0" w:type="auto"/>
          <w:tblLayout w:type="fixed"/>
          <w:tblLook w:val="06A0"/>
        </w:tblPrEx>
        <w:trPr>
          <w:trHeight w:val="270"/>
        </w:trPr>
        <w:tc>
          <w:tcPr>
            <w:tcW w:w="4065" w:type="dxa"/>
            <w:shd w:val="clear" w:color="auto" w:fill="BFBFBF" w:themeFill="accent6" w:themeFillShade="BF"/>
            <w:vAlign w:val="center"/>
          </w:tcPr>
          <w:bookmarkEnd w:id="25"/>
          <w:p w:rsidR="58920D6B" w:rsidRPr="00B3157B" w:rsidP="00B3157B" w14:paraId="3B0627EC" w14:textId="3371F6BF">
            <w:pPr>
              <w:jc w:val="center"/>
              <w:rPr>
                <w:rFonts w:ascii="Arial Narrow" w:eastAsia="Arial" w:hAnsi="Arial Narrow" w:cs="Arial"/>
                <w:b/>
                <w:bCs/>
                <w:szCs w:val="24"/>
              </w:rPr>
            </w:pPr>
            <w:r w:rsidRPr="00B3157B">
              <w:rPr>
                <w:rFonts w:ascii="Arial Narrow" w:eastAsia="Arial" w:hAnsi="Arial Narrow" w:cs="Arial"/>
                <w:b/>
                <w:bCs/>
                <w:szCs w:val="24"/>
              </w:rPr>
              <w:t>EPA Activity</w:t>
            </w:r>
          </w:p>
        </w:tc>
        <w:tc>
          <w:tcPr>
            <w:tcW w:w="2325" w:type="dxa"/>
            <w:shd w:val="clear" w:color="auto" w:fill="BFBFBF" w:themeFill="accent6" w:themeFillShade="BF"/>
            <w:vAlign w:val="center"/>
          </w:tcPr>
          <w:p w:rsidR="58920D6B" w:rsidRPr="00B3157B" w:rsidP="00B3157B" w14:paraId="18E4C798" w14:textId="6963576F">
            <w:pPr>
              <w:jc w:val="center"/>
              <w:rPr>
                <w:rFonts w:ascii="Arial Narrow" w:eastAsia="Arial" w:hAnsi="Arial Narrow" w:cs="Arial"/>
                <w:b/>
                <w:bCs/>
                <w:szCs w:val="24"/>
              </w:rPr>
            </w:pPr>
            <w:r w:rsidRPr="00B3157B">
              <w:rPr>
                <w:rFonts w:ascii="Arial Narrow" w:eastAsia="Arial" w:hAnsi="Arial Narrow" w:cs="Arial"/>
                <w:b/>
                <w:bCs/>
                <w:szCs w:val="24"/>
              </w:rPr>
              <w:t>Burden (hours)</w:t>
            </w:r>
          </w:p>
        </w:tc>
        <w:tc>
          <w:tcPr>
            <w:tcW w:w="2055" w:type="dxa"/>
            <w:shd w:val="clear" w:color="auto" w:fill="BFBFBF" w:themeFill="accent6" w:themeFillShade="BF"/>
            <w:vAlign w:val="center"/>
          </w:tcPr>
          <w:p w:rsidR="58920D6B" w:rsidRPr="00B3157B" w:rsidP="00B3157B" w14:paraId="37E9A6E4" w14:textId="0494CF87">
            <w:pPr>
              <w:jc w:val="center"/>
              <w:rPr>
                <w:rFonts w:ascii="Arial Narrow" w:eastAsia="Arial" w:hAnsi="Arial Narrow" w:cs="Arial"/>
                <w:b/>
                <w:bCs/>
                <w:szCs w:val="24"/>
              </w:rPr>
            </w:pPr>
            <w:r w:rsidRPr="00B3157B">
              <w:rPr>
                <w:rFonts w:ascii="Arial Narrow" w:eastAsia="Arial" w:hAnsi="Arial Narrow" w:cs="Arial"/>
                <w:b/>
                <w:bCs/>
                <w:szCs w:val="24"/>
              </w:rPr>
              <w:t>Cost (202</w:t>
            </w:r>
            <w:r w:rsidR="00FE0F00">
              <w:rPr>
                <w:rFonts w:ascii="Arial Narrow" w:eastAsia="Arial" w:hAnsi="Arial Narrow" w:cs="Arial"/>
                <w:b/>
                <w:bCs/>
                <w:szCs w:val="24"/>
              </w:rPr>
              <w:t>2</w:t>
            </w:r>
            <w:r w:rsidRPr="00B3157B">
              <w:rPr>
                <w:rFonts w:ascii="Arial Narrow" w:eastAsia="Arial" w:hAnsi="Arial Narrow" w:cs="Arial"/>
                <w:b/>
                <w:bCs/>
                <w:szCs w:val="24"/>
              </w:rPr>
              <w:t>$)</w:t>
            </w:r>
          </w:p>
        </w:tc>
      </w:tr>
      <w:tr w14:paraId="699F5453" w14:textId="77777777" w:rsidTr="003344CF">
        <w:tblPrEx>
          <w:tblW w:w="0" w:type="auto"/>
          <w:tblLayout w:type="fixed"/>
          <w:tblLook w:val="06A0"/>
        </w:tblPrEx>
        <w:trPr>
          <w:trHeight w:val="270"/>
        </w:trPr>
        <w:tc>
          <w:tcPr>
            <w:tcW w:w="4065" w:type="dxa"/>
            <w:vAlign w:val="center"/>
          </w:tcPr>
          <w:p w:rsidR="00FE0F00" w:rsidRPr="00B3157B" w:rsidP="00FE0F00" w14:paraId="04914981" w14:textId="7F2C268B">
            <w:pPr>
              <w:rPr>
                <w:rFonts w:ascii="Arial Narrow" w:hAnsi="Arial Narrow"/>
                <w:szCs w:val="24"/>
              </w:rPr>
            </w:pPr>
            <w:r w:rsidRPr="00B3157B">
              <w:rPr>
                <w:rFonts w:ascii="Arial Narrow" w:eastAsia="Arial Narrow" w:hAnsi="Arial Narrow" w:cs="Arial Narrow"/>
                <w:color w:val="000000" w:themeColor="text1"/>
                <w:szCs w:val="24"/>
              </w:rPr>
              <w:t>Data Processing</w:t>
            </w:r>
          </w:p>
        </w:tc>
        <w:tc>
          <w:tcPr>
            <w:tcW w:w="2325" w:type="dxa"/>
            <w:vAlign w:val="center"/>
          </w:tcPr>
          <w:p w:rsidR="00FE0F00" w:rsidRPr="00B3157B" w:rsidP="00FE0F00" w14:paraId="3A67CB31" w14:textId="4AB2D80B">
            <w:pPr>
              <w:jc w:val="right"/>
              <w:rPr>
                <w:rFonts w:ascii="Arial Narrow" w:hAnsi="Arial Narrow"/>
              </w:rPr>
            </w:pPr>
            <w:r w:rsidRPr="6D5BA1AE">
              <w:rPr>
                <w:rFonts w:ascii="Arial Narrow" w:eastAsia="Arial Narrow" w:hAnsi="Arial Narrow" w:cs="Arial Narrow"/>
                <w:color w:val="000000" w:themeColor="text1"/>
              </w:rPr>
              <w:t>4,160</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rsidR="00FE0F00" w:rsidRPr="00B3157B" w:rsidP="00FE0F00" w14:paraId="27E77BBE" w14:textId="5BEA300E">
            <w:pPr>
              <w:jc w:val="right"/>
              <w:rPr>
                <w:rFonts w:ascii="Arial Narrow" w:hAnsi="Arial Narrow"/>
              </w:rPr>
            </w:pPr>
            <w:r>
              <w:rPr>
                <w:rFonts w:ascii="Arial Narrow" w:hAnsi="Arial Narrow" w:cs="Arial"/>
                <w:color w:val="000000"/>
                <w:sz w:val="20"/>
                <w:szCs w:val="20"/>
              </w:rPr>
              <w:t xml:space="preserve">$476,186 </w:t>
            </w:r>
          </w:p>
        </w:tc>
      </w:tr>
      <w:tr w14:paraId="4A77E9CB" w14:textId="77777777" w:rsidTr="003344CF">
        <w:tblPrEx>
          <w:tblW w:w="0" w:type="auto"/>
          <w:tblLayout w:type="fixed"/>
          <w:tblLook w:val="06A0"/>
        </w:tblPrEx>
        <w:trPr>
          <w:trHeight w:val="270"/>
        </w:trPr>
        <w:tc>
          <w:tcPr>
            <w:tcW w:w="4065" w:type="dxa"/>
            <w:vAlign w:val="center"/>
          </w:tcPr>
          <w:p w:rsidR="00FE0F00" w:rsidRPr="00B3157B" w:rsidP="00FE0F00" w14:paraId="5A273C4B" w14:textId="2FCEFF78">
            <w:pPr>
              <w:rPr>
                <w:rFonts w:ascii="Arial Narrow" w:hAnsi="Arial Narrow"/>
                <w:szCs w:val="24"/>
              </w:rPr>
            </w:pPr>
            <w:r w:rsidRPr="00B3157B">
              <w:rPr>
                <w:rFonts w:ascii="Arial Narrow" w:eastAsia="Arial Narrow" w:hAnsi="Arial Narrow" w:cs="Arial Narrow"/>
                <w:color w:val="000000" w:themeColor="text1"/>
                <w:szCs w:val="24"/>
              </w:rPr>
              <w:t>Data Analysis</w:t>
            </w:r>
          </w:p>
        </w:tc>
        <w:tc>
          <w:tcPr>
            <w:tcW w:w="2325" w:type="dxa"/>
            <w:vAlign w:val="center"/>
          </w:tcPr>
          <w:p w:rsidR="00FE0F00" w:rsidRPr="00B3157B" w:rsidP="00FE0F00" w14:paraId="7D4A68C4" w14:textId="61131D9C">
            <w:pPr>
              <w:jc w:val="right"/>
              <w:rPr>
                <w:rFonts w:ascii="Arial Narrow" w:hAnsi="Arial Narrow"/>
              </w:rPr>
            </w:pPr>
            <w:r w:rsidRPr="6D5BA1AE">
              <w:rPr>
                <w:rFonts w:ascii="Arial Narrow" w:eastAsia="Arial Narrow" w:hAnsi="Arial Narrow" w:cs="Arial Narrow"/>
                <w:color w:val="000000" w:themeColor="text1"/>
              </w:rPr>
              <w:t>2,080</w:t>
            </w:r>
          </w:p>
        </w:tc>
        <w:tc>
          <w:tcPr>
            <w:tcW w:w="2055" w:type="dxa"/>
            <w:tcBorders>
              <w:top w:val="nil"/>
              <w:left w:val="single" w:sz="4" w:space="0" w:color="auto"/>
              <w:bottom w:val="single" w:sz="4" w:space="0" w:color="auto"/>
              <w:right w:val="single" w:sz="4" w:space="0" w:color="auto"/>
            </w:tcBorders>
            <w:shd w:val="clear" w:color="auto" w:fill="auto"/>
            <w:vAlign w:val="center"/>
          </w:tcPr>
          <w:p w:rsidR="00FE0F00" w:rsidRPr="00B3157B" w:rsidP="00FE0F00" w14:paraId="2F60AA21" w14:textId="424263E6">
            <w:pPr>
              <w:jc w:val="right"/>
              <w:rPr>
                <w:rFonts w:ascii="Arial Narrow" w:hAnsi="Arial Narrow"/>
              </w:rPr>
            </w:pPr>
            <w:r>
              <w:rPr>
                <w:rFonts w:ascii="Arial Narrow" w:hAnsi="Arial Narrow" w:cs="Arial"/>
                <w:color w:val="000000"/>
                <w:sz w:val="20"/>
                <w:szCs w:val="20"/>
              </w:rPr>
              <w:t xml:space="preserve">$238,093 </w:t>
            </w:r>
          </w:p>
        </w:tc>
      </w:tr>
      <w:tr w14:paraId="28616217" w14:textId="77777777" w:rsidTr="003344CF">
        <w:tblPrEx>
          <w:tblW w:w="0" w:type="auto"/>
          <w:tblLayout w:type="fixed"/>
          <w:tblLook w:val="06A0"/>
        </w:tblPrEx>
        <w:trPr>
          <w:trHeight w:val="270"/>
        </w:trPr>
        <w:tc>
          <w:tcPr>
            <w:tcW w:w="4065" w:type="dxa"/>
            <w:vAlign w:val="center"/>
          </w:tcPr>
          <w:p w:rsidR="00FE0F00" w:rsidRPr="00B3157B" w:rsidP="00FE0F00" w14:paraId="3921BF45" w14:textId="12009A5D">
            <w:pPr>
              <w:rPr>
                <w:rFonts w:ascii="Arial Narrow" w:hAnsi="Arial Narrow"/>
                <w:szCs w:val="24"/>
              </w:rPr>
            </w:pPr>
            <w:r w:rsidRPr="00B3157B">
              <w:rPr>
                <w:rFonts w:ascii="Arial Narrow" w:eastAsia="Arial Narrow" w:hAnsi="Arial Narrow" w:cs="Arial Narrow"/>
                <w:color w:val="000000" w:themeColor="text1"/>
                <w:szCs w:val="24"/>
              </w:rPr>
              <w:t>Contractor Data Processing Support</w:t>
            </w:r>
          </w:p>
        </w:tc>
        <w:tc>
          <w:tcPr>
            <w:tcW w:w="2325" w:type="dxa"/>
            <w:vAlign w:val="center"/>
          </w:tcPr>
          <w:p w:rsidR="00FE0F00" w:rsidRPr="00B3157B" w:rsidP="00FE0F00" w14:paraId="6726EE7C" w14:textId="519F3D86">
            <w:pPr>
              <w:jc w:val="right"/>
              <w:rPr>
                <w:rFonts w:ascii="Arial Narrow" w:eastAsia="Arial Narrow" w:hAnsi="Arial Narrow" w:cs="Arial Narrow"/>
                <w:color w:val="000000" w:themeColor="text1"/>
                <w:szCs w:val="24"/>
              </w:rPr>
            </w:pPr>
            <w:r w:rsidRPr="00B3157B">
              <w:rPr>
                <w:rFonts w:ascii="Arial Narrow" w:eastAsia="Arial Narrow" w:hAnsi="Arial Narrow" w:cs="Arial Narrow"/>
                <w:color w:val="000000" w:themeColor="text1"/>
                <w:szCs w:val="24"/>
              </w:rPr>
              <w:t>-</w:t>
            </w:r>
          </w:p>
        </w:tc>
        <w:tc>
          <w:tcPr>
            <w:tcW w:w="2055" w:type="dxa"/>
            <w:tcBorders>
              <w:top w:val="nil"/>
              <w:left w:val="single" w:sz="4" w:space="0" w:color="auto"/>
              <w:bottom w:val="single" w:sz="4" w:space="0" w:color="auto"/>
              <w:right w:val="single" w:sz="4" w:space="0" w:color="auto"/>
            </w:tcBorders>
            <w:shd w:val="clear" w:color="auto" w:fill="auto"/>
            <w:vAlign w:val="center"/>
          </w:tcPr>
          <w:p w:rsidR="00FE0F00" w:rsidRPr="00B3157B" w:rsidP="00FE0F00" w14:paraId="2A8C837B" w14:textId="07FF4E18">
            <w:pPr>
              <w:jc w:val="right"/>
              <w:rPr>
                <w:rFonts w:ascii="Arial Narrow" w:hAnsi="Arial Narrow"/>
              </w:rPr>
            </w:pPr>
            <w:r>
              <w:rPr>
                <w:rFonts w:ascii="Arial Narrow" w:hAnsi="Arial Narrow" w:cs="Arial"/>
                <w:color w:val="000000"/>
                <w:sz w:val="20"/>
                <w:szCs w:val="20"/>
              </w:rPr>
              <w:t xml:space="preserve">$10,000 </w:t>
            </w:r>
          </w:p>
        </w:tc>
      </w:tr>
      <w:tr w14:paraId="7822D134" w14:textId="77777777" w:rsidTr="003344CF">
        <w:tblPrEx>
          <w:tblW w:w="0" w:type="auto"/>
          <w:tblLayout w:type="fixed"/>
          <w:tblLook w:val="06A0"/>
        </w:tblPrEx>
        <w:trPr>
          <w:trHeight w:val="270"/>
        </w:trPr>
        <w:tc>
          <w:tcPr>
            <w:tcW w:w="4065" w:type="dxa"/>
            <w:vAlign w:val="center"/>
          </w:tcPr>
          <w:p w:rsidR="00FE0F00" w:rsidRPr="00B3157B" w:rsidP="00FE0F00" w14:paraId="6E2C0777" w14:textId="018ADEB7">
            <w:pPr>
              <w:rPr>
                <w:rFonts w:ascii="Arial Narrow" w:hAnsi="Arial Narrow"/>
                <w:szCs w:val="24"/>
              </w:rPr>
            </w:pPr>
            <w:r w:rsidRPr="00B3157B">
              <w:rPr>
                <w:rFonts w:ascii="Arial Narrow" w:eastAsia="Arial Narrow" w:hAnsi="Arial Narrow" w:cs="Arial Narrow"/>
                <w:color w:val="000000" w:themeColor="text1"/>
                <w:szCs w:val="24"/>
              </w:rPr>
              <w:t>IT Infrastructure</w:t>
            </w:r>
          </w:p>
        </w:tc>
        <w:tc>
          <w:tcPr>
            <w:tcW w:w="2325" w:type="dxa"/>
            <w:vAlign w:val="center"/>
          </w:tcPr>
          <w:p w:rsidR="00FE0F00" w:rsidRPr="00B3157B" w:rsidP="00FE0F00" w14:paraId="060FD832" w14:textId="65FBAEF5">
            <w:pPr>
              <w:jc w:val="right"/>
              <w:rPr>
                <w:rFonts w:ascii="Arial Narrow" w:eastAsia="Arial Narrow" w:hAnsi="Arial Narrow" w:cs="Arial Narrow"/>
                <w:color w:val="000000" w:themeColor="text1"/>
                <w:szCs w:val="24"/>
              </w:rPr>
            </w:pPr>
            <w:r w:rsidRPr="00B3157B">
              <w:rPr>
                <w:rFonts w:ascii="Arial Narrow" w:eastAsia="Arial Narrow" w:hAnsi="Arial Narrow" w:cs="Arial Narrow"/>
                <w:color w:val="000000" w:themeColor="text1"/>
                <w:szCs w:val="24"/>
              </w:rPr>
              <w:t>-</w:t>
            </w:r>
          </w:p>
        </w:tc>
        <w:tc>
          <w:tcPr>
            <w:tcW w:w="2055" w:type="dxa"/>
            <w:tcBorders>
              <w:top w:val="nil"/>
              <w:left w:val="single" w:sz="4" w:space="0" w:color="auto"/>
              <w:bottom w:val="single" w:sz="4" w:space="0" w:color="auto"/>
              <w:right w:val="single" w:sz="4" w:space="0" w:color="auto"/>
            </w:tcBorders>
            <w:shd w:val="clear" w:color="auto" w:fill="auto"/>
            <w:vAlign w:val="center"/>
          </w:tcPr>
          <w:p w:rsidR="00FE0F00" w:rsidRPr="00B3157B" w:rsidP="00FE0F00" w14:paraId="021CB5AB" w14:textId="68639288">
            <w:pPr>
              <w:jc w:val="right"/>
              <w:rPr>
                <w:rFonts w:ascii="Arial Narrow" w:hAnsi="Arial Narrow"/>
              </w:rPr>
            </w:pPr>
            <w:r>
              <w:rPr>
                <w:rFonts w:ascii="Arial Narrow" w:hAnsi="Arial Narrow" w:cs="Arial"/>
                <w:color w:val="000000"/>
                <w:sz w:val="20"/>
                <w:szCs w:val="20"/>
              </w:rPr>
              <w:t xml:space="preserve">$930,000 </w:t>
            </w:r>
          </w:p>
        </w:tc>
      </w:tr>
      <w:tr w14:paraId="1A15E395" w14:textId="77777777" w:rsidTr="003344CF">
        <w:tblPrEx>
          <w:tblW w:w="0" w:type="auto"/>
          <w:tblLayout w:type="fixed"/>
          <w:tblLook w:val="06A0"/>
        </w:tblPrEx>
        <w:trPr>
          <w:trHeight w:val="270"/>
        </w:trPr>
        <w:tc>
          <w:tcPr>
            <w:tcW w:w="4065" w:type="dxa"/>
            <w:vAlign w:val="center"/>
          </w:tcPr>
          <w:p w:rsidR="00FE0F00" w:rsidRPr="00B3157B" w:rsidP="00FE0F00" w14:paraId="7EC74D2E" w14:textId="511A0F21">
            <w:pPr>
              <w:rPr>
                <w:rFonts w:ascii="Arial Narrow" w:hAnsi="Arial Narrow"/>
                <w:szCs w:val="24"/>
              </w:rPr>
            </w:pPr>
            <w:r w:rsidRPr="00B3157B">
              <w:rPr>
                <w:rFonts w:ascii="Arial Narrow" w:eastAsia="Arial Narrow" w:hAnsi="Arial Narrow" w:cs="Arial Narrow"/>
                <w:b/>
                <w:bCs/>
                <w:color w:val="000000" w:themeColor="text1"/>
                <w:szCs w:val="24"/>
              </w:rPr>
              <w:t>Total Agency Burden and Cost</w:t>
            </w:r>
          </w:p>
        </w:tc>
        <w:tc>
          <w:tcPr>
            <w:tcW w:w="2325" w:type="dxa"/>
            <w:vAlign w:val="center"/>
          </w:tcPr>
          <w:p w:rsidR="00FE0F00" w:rsidRPr="00B3157B" w:rsidP="00FE0F00" w14:paraId="4DBA5AF1" w14:textId="6305D5D9">
            <w:pPr>
              <w:jc w:val="right"/>
              <w:rPr>
                <w:rFonts w:ascii="Arial Narrow" w:hAnsi="Arial Narrow"/>
              </w:rPr>
            </w:pPr>
            <w:r w:rsidRPr="6D5BA1AE">
              <w:rPr>
                <w:rFonts w:ascii="Arial Narrow" w:eastAsia="Arial Narrow" w:hAnsi="Arial Narrow" w:cs="Arial Narrow"/>
                <w:b/>
                <w:bCs/>
                <w:color w:val="000000" w:themeColor="text1"/>
              </w:rPr>
              <w:t>6,240</w:t>
            </w:r>
          </w:p>
        </w:tc>
        <w:tc>
          <w:tcPr>
            <w:tcW w:w="2055" w:type="dxa"/>
            <w:tcBorders>
              <w:top w:val="nil"/>
              <w:left w:val="single" w:sz="4" w:space="0" w:color="auto"/>
              <w:bottom w:val="single" w:sz="4" w:space="0" w:color="auto"/>
              <w:right w:val="single" w:sz="4" w:space="0" w:color="auto"/>
            </w:tcBorders>
            <w:shd w:val="clear" w:color="auto" w:fill="auto"/>
            <w:vAlign w:val="center"/>
          </w:tcPr>
          <w:p w:rsidR="00FE0F00" w:rsidRPr="00B3157B" w:rsidP="00FE0F00" w14:paraId="4E75983B" w14:textId="4EF964DD">
            <w:pPr>
              <w:jc w:val="right"/>
              <w:rPr>
                <w:rFonts w:ascii="Arial Narrow" w:hAnsi="Arial Narrow"/>
              </w:rPr>
            </w:pPr>
            <w:r>
              <w:rPr>
                <w:rFonts w:ascii="Arial Narrow" w:hAnsi="Arial Narrow" w:cs="Arial"/>
                <w:b/>
                <w:bCs/>
                <w:color w:val="000000"/>
                <w:sz w:val="20"/>
                <w:szCs w:val="20"/>
              </w:rPr>
              <w:t xml:space="preserve">$1,654,279 </w:t>
            </w:r>
          </w:p>
        </w:tc>
      </w:tr>
    </w:tbl>
    <w:p w:rsidR="004F4342" w:rsidRPr="008A70BD" w:rsidP="58920D6B" w14:paraId="01DE1075" w14:textId="5AF189DA">
      <w:pPr>
        <w:pStyle w:val="NoSpacing"/>
        <w:rPr>
          <w:rFonts w:eastAsia="Arial" w:cs="Arial"/>
          <w:szCs w:val="24"/>
        </w:rPr>
        <w:sectPr w:rsidSect="006E6812">
          <w:footerReference w:type="default" r:id="rId12"/>
          <w:pgSz w:w="12240" w:h="15840"/>
          <w:pgMar w:top="1080" w:right="1080" w:bottom="1080" w:left="1080" w:header="720" w:footer="720" w:gutter="0"/>
          <w:cols w:space="720"/>
          <w:docGrid w:linePitch="360"/>
        </w:sectPr>
      </w:pPr>
    </w:p>
    <w:p w:rsidR="004F4342" w:rsidRPr="008A70BD" w:rsidP="008A70BD" w14:paraId="3F2A07A2" w14:textId="0B694399">
      <w:pPr>
        <w:pStyle w:val="Heading2"/>
        <w:rPr>
          <w:rFonts w:asciiTheme="minorHAnsi" w:hAnsiTheme="minorHAnsi"/>
          <w:szCs w:val="24"/>
        </w:rPr>
      </w:pPr>
      <w:bookmarkStart w:id="26" w:name="_Toc58238294"/>
      <w:r>
        <w:rPr>
          <w:rFonts w:asciiTheme="minorHAnsi" w:hAnsiTheme="minorHAnsi"/>
          <w:szCs w:val="24"/>
        </w:rPr>
        <w:t xml:space="preserve">Appendix B. </w:t>
      </w:r>
      <w:r w:rsidRPr="008A70BD">
        <w:rPr>
          <w:rFonts w:asciiTheme="minorHAnsi" w:hAnsiTheme="minorHAnsi"/>
          <w:szCs w:val="24"/>
        </w:rPr>
        <w:t>Industry Wage Rates</w:t>
      </w:r>
      <w:bookmarkEnd w:id="26"/>
    </w:p>
    <w:p w:rsidR="004F4342" w:rsidRPr="008A70BD" w:rsidP="004F4342" w14:paraId="4A73B55C" w14:textId="77777777">
      <w:pPr>
        <w:rPr>
          <w:rFonts w:asciiTheme="minorHAnsi" w:hAnsiTheme="minorHAnsi" w:cstheme="minorHAnsi"/>
          <w:szCs w:val="24"/>
        </w:rPr>
      </w:pPr>
      <w:r w:rsidRPr="008A70BD">
        <w:rPr>
          <w:rFonts w:eastAsia="Arial" w:asciiTheme="minorHAnsi" w:hAnsiTheme="minorHAnsi" w:cstheme="minorHAnsi"/>
          <w:szCs w:val="24"/>
        </w:rPr>
        <w:t>This section describes the industry wage data used to develop reporting burden estimates. Wage rates for managerial, technical, clerical, and attorney labor are derived and presented in Table B</w:t>
      </w:r>
      <w:r w:rsidRPr="008A70BD">
        <w:rPr>
          <w:rFonts w:ascii="Cambria Math" w:eastAsia="Arial" w:hAnsi="Cambria Math" w:cs="Cambria Math"/>
          <w:szCs w:val="24"/>
        </w:rPr>
        <w:t>‑</w:t>
      </w:r>
      <w:r w:rsidRPr="008A70BD">
        <w:rPr>
          <w:rFonts w:eastAsia="Arial" w:asciiTheme="minorHAnsi" w:hAnsiTheme="minorHAnsi" w:cstheme="minorHAnsi"/>
          <w:szCs w:val="24"/>
        </w:rPr>
        <w:t>1.</w:t>
      </w:r>
      <w:r w:rsidRPr="008A70BD">
        <w:rPr>
          <w:rFonts w:asciiTheme="minorHAnsi" w:hAnsiTheme="minorHAnsi" w:cstheme="minorHAnsi"/>
          <w:szCs w:val="24"/>
        </w:rPr>
        <w:t xml:space="preserve"> </w:t>
      </w:r>
    </w:p>
    <w:p w:rsidR="004F4342" w:rsidRPr="008A70BD" w:rsidP="58920D6B" w14:paraId="5364DC0A" w14:textId="013535DA">
      <w:pPr>
        <w:pStyle w:val="NoSpacing"/>
      </w:pPr>
      <w:r w:rsidRPr="58920D6B">
        <w:rPr>
          <w:rFonts w:asciiTheme="minorHAnsi" w:hAnsiTheme="minorHAnsi"/>
        </w:rPr>
        <w:t>Loaded wage rates for each labor category are derived by combining data on wages and fringe benefits with estimates of overhead rates. Wage rates and fringe benefits for clerical, professional/technical, managerial, and attorney labor are calculated using the U.S. Bureau of Labor Statistics’ (BLS) Employer Costs for Employee Compensation (ECEC) data for December 202</w:t>
      </w:r>
      <w:r w:rsidR="00FE0F00">
        <w:rPr>
          <w:rFonts w:asciiTheme="minorHAnsi" w:hAnsiTheme="minorHAnsi"/>
        </w:rPr>
        <w:t>2</w:t>
      </w:r>
      <w:r w:rsidRPr="58920D6B" w:rsidR="29E4EDFB">
        <w:rPr>
          <w:rFonts w:asciiTheme="minorHAnsi" w:hAnsiTheme="minorHAnsi"/>
        </w:rPr>
        <w:t>(BLS, 202</w:t>
      </w:r>
      <w:r w:rsidR="00FE0F00">
        <w:rPr>
          <w:rFonts w:asciiTheme="minorHAnsi" w:hAnsiTheme="minorHAnsi"/>
        </w:rPr>
        <w:t>3</w:t>
      </w:r>
      <w:r w:rsidRPr="58920D6B" w:rsidR="29E4EDFB">
        <w:rPr>
          <w:rFonts w:asciiTheme="minorHAnsi" w:hAnsiTheme="minorHAnsi"/>
        </w:rPr>
        <w:t>a))</w:t>
      </w:r>
      <w:r w:rsidRPr="003C26B4" w:rsidR="29E4EDFB">
        <w:rPr>
          <w:rFonts w:asciiTheme="minorHAnsi" w:hAnsiTheme="minorHAnsi"/>
        </w:rPr>
        <w:t>.</w:t>
      </w:r>
      <w:r w:rsidRPr="003C26B4" w:rsidR="7A975FC5">
        <w:rPr>
          <w:rFonts w:asciiTheme="minorHAnsi" w:hAnsiTheme="minorHAnsi"/>
        </w:rPr>
        <w:t xml:space="preserve"> The industry wage rate for attorney labor is derived from the National Industry-Specific Occupational Employment and Wage Estimates</w:t>
      </w:r>
      <w:r w:rsidRPr="58920D6B" w:rsidR="29E4EDFB">
        <w:rPr>
          <w:rFonts w:eastAsia="Arial" w:asciiTheme="minorHAnsi" w:hAnsiTheme="minorHAnsi"/>
        </w:rPr>
        <w:t xml:space="preserve"> (BLS, 202</w:t>
      </w:r>
      <w:r w:rsidR="00FE0F00">
        <w:rPr>
          <w:rFonts w:eastAsia="Arial" w:asciiTheme="minorHAnsi" w:hAnsiTheme="minorHAnsi"/>
        </w:rPr>
        <w:t>3</w:t>
      </w:r>
      <w:r w:rsidRPr="58920D6B" w:rsidR="29E4EDFB">
        <w:rPr>
          <w:rFonts w:eastAsia="Arial" w:asciiTheme="minorHAnsi" w:hAnsiTheme="minorHAnsi"/>
        </w:rPr>
        <w:t>b)</w:t>
      </w:r>
      <w:r w:rsidRPr="58920D6B" w:rsidR="29E4EDFB">
        <w:rPr>
          <w:rFonts w:eastAsia="Arial" w:asciiTheme="minorHAnsi" w:hAnsiTheme="minorHAnsi"/>
          <w:i/>
          <w:iCs/>
        </w:rPr>
        <w:t>.</w:t>
      </w:r>
    </w:p>
    <w:p w:rsidR="0FC1728E" w:rsidP="58920D6B" w14:paraId="449A36F1" w14:textId="100019AE">
      <w:pPr>
        <w:rPr>
          <w:rFonts w:eastAsia="Arial" w:cs="Arial"/>
          <w:szCs w:val="24"/>
        </w:rPr>
      </w:pPr>
      <w:r w:rsidRPr="58920D6B">
        <w:rPr>
          <w:rFonts w:eastAsia="Arial" w:cs="Arial"/>
          <w:szCs w:val="24"/>
        </w:rPr>
        <w:t>Overhead costs are assumed to equal 20% of the sum of wages plus fringe benefits. This loading factor is described in Handbook on Valuing Changes in Time Use Induced by Regulatory Requirements and other U.S. EPA Actions (EPA 2020) and is reflective of multiplier values used in prior EPA economic analyses and Information Collection Requests (ICRs) that are based on industry- and occupation-specific overhead rates affected by EPA regulations.</w:t>
      </w:r>
    </w:p>
    <w:p w:rsidR="004F4342" w:rsidRPr="008A70BD" w:rsidP="58920D6B" w14:paraId="5F5A44A5" w14:textId="233F47C6">
      <w:pPr>
        <w:pStyle w:val="BodyText"/>
        <w:rPr>
          <w:rFonts w:asciiTheme="minorHAnsi" w:hAnsiTheme="minorHAnsi" w:cstheme="minorBidi"/>
          <w:sz w:val="24"/>
          <w:szCs w:val="24"/>
        </w:rPr>
      </w:pPr>
      <w:r w:rsidRPr="58920D6B">
        <w:rPr>
          <w:rFonts w:asciiTheme="minorHAnsi" w:hAnsiTheme="minorHAnsi" w:cstheme="minorBidi"/>
          <w:sz w:val="24"/>
          <w:szCs w:val="24"/>
        </w:rPr>
        <w:fldChar w:fldCharType="begin"/>
      </w:r>
      <w:r w:rsidRPr="58920D6B">
        <w:rPr>
          <w:rFonts w:asciiTheme="minorHAnsi" w:hAnsiTheme="minorHAnsi" w:cstheme="minorBidi"/>
          <w:sz w:val="24"/>
          <w:szCs w:val="24"/>
        </w:rPr>
        <w:instrText xml:space="preserve"> REF _Ref24463307 \h </w:instrText>
      </w:r>
      <w:r w:rsidRPr="58920D6B" w:rsidR="008A70BD">
        <w:rPr>
          <w:rFonts w:asciiTheme="minorHAnsi" w:hAnsiTheme="minorHAnsi" w:cstheme="minorBidi"/>
          <w:sz w:val="24"/>
          <w:szCs w:val="24"/>
        </w:rPr>
        <w:instrText xml:space="preserve"> \* MERGEFORMAT </w:instrText>
      </w:r>
      <w:r w:rsidRPr="58920D6B">
        <w:rPr>
          <w:rFonts w:asciiTheme="minorHAnsi" w:hAnsiTheme="minorHAnsi" w:cstheme="minorBidi"/>
          <w:sz w:val="24"/>
          <w:szCs w:val="24"/>
        </w:rPr>
        <w:fldChar w:fldCharType="separate"/>
      </w:r>
      <w:r w:rsidRPr="58920D6B" w:rsidR="29E4EDFB">
        <w:rPr>
          <w:rFonts w:asciiTheme="minorHAnsi" w:hAnsiTheme="minorHAnsi" w:cstheme="minorBidi"/>
          <w:sz w:val="24"/>
          <w:szCs w:val="24"/>
        </w:rPr>
        <w:t xml:space="preserve">Table </w:t>
      </w:r>
      <w:r w:rsidRPr="58920D6B" w:rsidR="29E4EDFB">
        <w:rPr>
          <w:rFonts w:asciiTheme="minorHAnsi" w:hAnsiTheme="minorHAnsi" w:cstheme="minorBidi"/>
          <w:noProof/>
          <w:sz w:val="24"/>
          <w:szCs w:val="24"/>
        </w:rPr>
        <w:t>B</w:t>
      </w:r>
      <w:r w:rsidRPr="008A70BD">
        <w:rPr>
          <w:rFonts w:asciiTheme="minorHAnsi" w:hAnsiTheme="minorHAnsi" w:cstheme="minorHAnsi"/>
          <w:sz w:val="24"/>
          <w:szCs w:val="24"/>
        </w:rPr>
        <w:noBreakHyphen/>
      </w:r>
      <w:r w:rsidRPr="58920D6B" w:rsidR="29E4EDFB">
        <w:rPr>
          <w:rFonts w:asciiTheme="minorHAnsi" w:hAnsiTheme="minorHAnsi" w:cstheme="minorBidi"/>
          <w:noProof/>
          <w:sz w:val="24"/>
          <w:szCs w:val="24"/>
        </w:rPr>
        <w:t>1</w:t>
      </w:r>
      <w:r w:rsidRPr="58920D6B">
        <w:rPr>
          <w:rFonts w:asciiTheme="minorHAnsi" w:hAnsiTheme="minorHAnsi" w:cstheme="minorBidi"/>
          <w:sz w:val="24"/>
          <w:szCs w:val="24"/>
        </w:rPr>
        <w:fldChar w:fldCharType="end"/>
      </w:r>
      <w:r w:rsidRPr="58920D6B" w:rsidR="29E4EDFB">
        <w:rPr>
          <w:rFonts w:asciiTheme="minorHAnsi" w:hAnsiTheme="minorHAnsi" w:cstheme="minorBidi"/>
          <w:sz w:val="24"/>
          <w:szCs w:val="24"/>
        </w:rPr>
        <w:t xml:space="preserve"> contains the loaded wage rates for the managerial, technical, clerical, and attorney occupation categories.</w:t>
      </w:r>
    </w:p>
    <w:p w:rsidR="004F4342" w:rsidRPr="008A70BD" w:rsidP="58920D6B" w14:paraId="2508660E" w14:textId="715F9ED8">
      <w:pPr>
        <w:pStyle w:val="Caption"/>
        <w:outlineLvl w:val="2"/>
        <w:rPr>
          <w:rFonts w:asciiTheme="minorHAnsi" w:hAnsiTheme="minorHAnsi" w:cstheme="minorBidi"/>
        </w:rPr>
      </w:pPr>
      <w:r w:rsidRPr="58920D6B">
        <w:rPr>
          <w:rFonts w:asciiTheme="minorHAnsi" w:hAnsiTheme="minorHAnsi" w:cstheme="minorBidi"/>
        </w:rPr>
        <w:t>Table B</w:t>
      </w:r>
      <w:r w:rsidR="006254B2">
        <w:rPr>
          <w:rFonts w:asciiTheme="minorHAnsi" w:hAnsiTheme="minorHAnsi" w:cstheme="minorBidi"/>
        </w:rPr>
        <w:t>-</w:t>
      </w:r>
      <w:r w:rsidRPr="58920D6B">
        <w:rPr>
          <w:rFonts w:asciiTheme="minorHAnsi" w:hAnsiTheme="minorHAnsi" w:cstheme="minorBidi"/>
        </w:rPr>
        <w:fldChar w:fldCharType="begin"/>
      </w:r>
      <w:r w:rsidRPr="58920D6B">
        <w:rPr>
          <w:rFonts w:asciiTheme="minorHAnsi" w:hAnsiTheme="minorHAnsi" w:cstheme="minorBidi"/>
        </w:rPr>
        <w:instrText>SEQ Table_Apx \* ARABIC \s 7</w:instrText>
      </w:r>
      <w:r w:rsidRPr="58920D6B">
        <w:rPr>
          <w:rFonts w:asciiTheme="minorHAnsi" w:hAnsiTheme="minorHAnsi" w:cstheme="minorBidi"/>
        </w:rPr>
        <w:fldChar w:fldCharType="separate"/>
      </w:r>
      <w:r w:rsidRPr="58920D6B">
        <w:rPr>
          <w:rFonts w:asciiTheme="minorHAnsi" w:hAnsiTheme="minorHAnsi" w:cstheme="minorBidi"/>
          <w:noProof/>
        </w:rPr>
        <w:t>1</w:t>
      </w:r>
      <w:r w:rsidRPr="58920D6B">
        <w:rPr>
          <w:rFonts w:asciiTheme="minorHAnsi" w:hAnsiTheme="minorHAnsi" w:cstheme="minorBidi"/>
        </w:rPr>
        <w:fldChar w:fldCharType="end"/>
      </w:r>
      <w:r w:rsidRPr="58920D6B">
        <w:rPr>
          <w:rFonts w:asciiTheme="minorHAnsi" w:hAnsiTheme="minorHAnsi" w:cstheme="minorBidi"/>
        </w:rPr>
        <w:t>: Reporter Wage Rates (202</w:t>
      </w:r>
      <w:r w:rsidR="00FE0F00">
        <w:rPr>
          <w:rFonts w:asciiTheme="minorHAnsi" w:hAnsiTheme="minorHAnsi" w:cstheme="minorBidi"/>
        </w:rPr>
        <w:t>2</w:t>
      </w:r>
      <w:r w:rsidRPr="58920D6B">
        <w:rPr>
          <w:rFonts w:asciiTheme="minorHAnsi" w:hAnsiTheme="minorHAnsi" w:cstheme="minorBid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5"/>
        <w:gridCol w:w="975"/>
        <w:gridCol w:w="1335"/>
        <w:gridCol w:w="1655"/>
        <w:gridCol w:w="1175"/>
        <w:gridCol w:w="1335"/>
        <w:gridCol w:w="1635"/>
        <w:gridCol w:w="6"/>
      </w:tblGrid>
      <w:tr w14:paraId="5032EA21" w14:textId="77777777" w:rsidTr="006254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6" w:type="dxa"/>
        </w:trPr>
        <w:tc>
          <w:tcPr>
            <w:tcW w:w="1695" w:type="dxa"/>
            <w:vMerge w:val="restart"/>
            <w:shd w:val="clear" w:color="auto" w:fill="BFBFBF" w:themeFill="accent6" w:themeFillShade="BF"/>
            <w:vAlign w:val="center"/>
          </w:tcPr>
          <w:p w:rsidR="58920D6B" w:rsidRPr="00B3157B" w:rsidP="00B3157B" w14:paraId="0973D0D8" w14:textId="16B05BCB">
            <w:pPr>
              <w:jc w:val="center"/>
              <w:rPr>
                <w:rFonts w:ascii="Arial Narrow" w:eastAsia="Arial Narrow" w:hAnsi="Arial Narrow" w:cs="Arial Narrow"/>
                <w:b/>
                <w:bCs/>
                <w:szCs w:val="24"/>
              </w:rPr>
            </w:pPr>
            <w:r w:rsidRPr="00B3157B">
              <w:rPr>
                <w:rFonts w:ascii="Arial Narrow" w:eastAsia="Arial Narrow" w:hAnsi="Arial Narrow" w:cs="Arial Narrow"/>
                <w:b/>
                <w:bCs/>
                <w:szCs w:val="24"/>
              </w:rPr>
              <w:t>Labor Category</w:t>
            </w:r>
          </w:p>
        </w:tc>
        <w:tc>
          <w:tcPr>
            <w:tcW w:w="975" w:type="dxa"/>
            <w:shd w:val="clear" w:color="auto" w:fill="BFBFBF" w:themeFill="accent6" w:themeFillShade="BF"/>
            <w:vAlign w:val="center"/>
          </w:tcPr>
          <w:p w:rsidR="58920D6B" w:rsidRPr="00B3157B" w:rsidP="00B3157B" w14:paraId="190BF4D8" w14:textId="027CD4F4">
            <w:pPr>
              <w:jc w:val="center"/>
              <w:rPr>
                <w:rFonts w:ascii="Arial Narrow" w:eastAsia="Arial Narrow" w:hAnsi="Arial Narrow" w:cs="Arial Narrow"/>
                <w:b/>
                <w:bCs/>
                <w:szCs w:val="24"/>
                <w:vertAlign w:val="superscript"/>
              </w:rPr>
            </w:pPr>
            <w:r w:rsidRPr="00B3157B">
              <w:rPr>
                <w:rFonts w:ascii="Arial Narrow" w:eastAsia="Arial Narrow" w:hAnsi="Arial Narrow" w:cs="Arial Narrow"/>
                <w:b/>
                <w:bCs/>
                <w:szCs w:val="24"/>
              </w:rPr>
              <w:t>Wage</w:t>
            </w:r>
            <w:r w:rsidRPr="00B3157B">
              <w:rPr>
                <w:rFonts w:ascii="Arial Narrow" w:eastAsia="Arial Narrow" w:hAnsi="Arial Narrow" w:cs="Arial Narrow"/>
                <w:b/>
                <w:bCs/>
                <w:szCs w:val="24"/>
                <w:vertAlign w:val="superscript"/>
              </w:rPr>
              <w:t>1</w:t>
            </w:r>
          </w:p>
        </w:tc>
        <w:tc>
          <w:tcPr>
            <w:tcW w:w="1335" w:type="dxa"/>
            <w:shd w:val="clear" w:color="auto" w:fill="BFBFBF" w:themeFill="accent6" w:themeFillShade="BF"/>
            <w:vAlign w:val="center"/>
          </w:tcPr>
          <w:p w:rsidR="58920D6B" w:rsidRPr="00B3157B" w:rsidP="00B3157B" w14:paraId="4392A3A4" w14:textId="357C8EC6">
            <w:pPr>
              <w:jc w:val="center"/>
              <w:rPr>
                <w:rFonts w:ascii="Arial Narrow" w:eastAsia="Arial Narrow" w:hAnsi="Arial Narrow" w:cs="Arial Narrow"/>
                <w:b/>
                <w:bCs/>
                <w:szCs w:val="24"/>
                <w:vertAlign w:val="superscript"/>
              </w:rPr>
            </w:pPr>
            <w:r w:rsidRPr="00B3157B">
              <w:rPr>
                <w:rFonts w:ascii="Arial Narrow" w:eastAsia="Arial Narrow" w:hAnsi="Arial Narrow" w:cs="Arial Narrow"/>
                <w:b/>
                <w:bCs/>
                <w:szCs w:val="24"/>
              </w:rPr>
              <w:t>Fringe Benefit</w:t>
            </w:r>
            <w:r w:rsidRPr="00B3157B">
              <w:rPr>
                <w:rFonts w:ascii="Arial Narrow" w:eastAsia="Arial Narrow" w:hAnsi="Arial Narrow" w:cs="Arial Narrow"/>
                <w:b/>
                <w:bCs/>
                <w:szCs w:val="24"/>
                <w:vertAlign w:val="superscript"/>
              </w:rPr>
              <w:t>2</w:t>
            </w:r>
          </w:p>
        </w:tc>
        <w:tc>
          <w:tcPr>
            <w:tcW w:w="1655" w:type="dxa"/>
            <w:shd w:val="clear" w:color="auto" w:fill="BFBFBF" w:themeFill="accent6" w:themeFillShade="BF"/>
            <w:vAlign w:val="center"/>
          </w:tcPr>
          <w:p w:rsidR="58920D6B" w:rsidRPr="00B3157B" w:rsidP="00B3157B" w14:paraId="564DC017" w14:textId="4E59BDE6">
            <w:pPr>
              <w:jc w:val="center"/>
              <w:rPr>
                <w:rFonts w:ascii="Arial Narrow" w:eastAsia="Arial Narrow" w:hAnsi="Arial Narrow" w:cs="Arial Narrow"/>
                <w:b/>
                <w:bCs/>
                <w:szCs w:val="24"/>
              </w:rPr>
            </w:pPr>
            <w:r w:rsidRPr="00B3157B">
              <w:rPr>
                <w:rFonts w:ascii="Arial Narrow" w:eastAsia="Arial Narrow" w:hAnsi="Arial Narrow" w:cs="Arial Narrow"/>
                <w:b/>
                <w:bCs/>
                <w:szCs w:val="24"/>
              </w:rPr>
              <w:t>Total Compensation</w:t>
            </w:r>
          </w:p>
        </w:tc>
        <w:tc>
          <w:tcPr>
            <w:tcW w:w="1175" w:type="dxa"/>
            <w:shd w:val="clear" w:color="auto" w:fill="BFBFBF" w:themeFill="accent6" w:themeFillShade="BF"/>
            <w:vAlign w:val="center"/>
          </w:tcPr>
          <w:p w:rsidR="58920D6B" w:rsidRPr="00B3157B" w:rsidP="00B3157B" w14:paraId="3BA71964" w14:textId="1295004B">
            <w:pPr>
              <w:jc w:val="center"/>
              <w:rPr>
                <w:rFonts w:ascii="Arial Narrow" w:eastAsia="Arial Narrow" w:hAnsi="Arial Narrow" w:cs="Arial Narrow"/>
                <w:b/>
                <w:bCs/>
                <w:szCs w:val="24"/>
                <w:vertAlign w:val="superscript"/>
              </w:rPr>
            </w:pPr>
            <w:r w:rsidRPr="00B3157B">
              <w:rPr>
                <w:rFonts w:ascii="Arial Narrow" w:eastAsia="Arial Narrow" w:hAnsi="Arial Narrow" w:cs="Arial Narrow"/>
                <w:b/>
                <w:bCs/>
                <w:szCs w:val="24"/>
              </w:rPr>
              <w:t>Overhead % Wage</w:t>
            </w:r>
            <w:r w:rsidRPr="00B3157B">
              <w:rPr>
                <w:rFonts w:ascii="Arial Narrow" w:eastAsia="Arial Narrow" w:hAnsi="Arial Narrow" w:cs="Arial Narrow"/>
                <w:b/>
                <w:bCs/>
                <w:szCs w:val="24"/>
                <w:vertAlign w:val="superscript"/>
              </w:rPr>
              <w:t>3</w:t>
            </w:r>
          </w:p>
        </w:tc>
        <w:tc>
          <w:tcPr>
            <w:tcW w:w="1335" w:type="dxa"/>
            <w:shd w:val="clear" w:color="auto" w:fill="BFBFBF" w:themeFill="accent6" w:themeFillShade="BF"/>
            <w:vAlign w:val="center"/>
          </w:tcPr>
          <w:p w:rsidR="58920D6B" w:rsidRPr="00B3157B" w:rsidP="00B3157B" w14:paraId="2306A8B2" w14:textId="18C35DC1">
            <w:pPr>
              <w:jc w:val="center"/>
              <w:rPr>
                <w:rFonts w:ascii="Arial Narrow" w:eastAsia="Arial Narrow" w:hAnsi="Arial Narrow" w:cs="Arial Narrow"/>
                <w:b/>
                <w:bCs/>
                <w:szCs w:val="24"/>
              </w:rPr>
            </w:pPr>
            <w:r w:rsidRPr="00B3157B">
              <w:rPr>
                <w:rFonts w:ascii="Arial Narrow" w:eastAsia="Arial Narrow" w:hAnsi="Arial Narrow" w:cs="Arial Narrow"/>
                <w:b/>
                <w:bCs/>
                <w:szCs w:val="24"/>
              </w:rPr>
              <w:t>Overhead</w:t>
            </w:r>
          </w:p>
        </w:tc>
        <w:tc>
          <w:tcPr>
            <w:tcW w:w="1635" w:type="dxa"/>
            <w:shd w:val="clear" w:color="auto" w:fill="BFBFBF" w:themeFill="accent6" w:themeFillShade="BF"/>
            <w:vAlign w:val="center"/>
          </w:tcPr>
          <w:p w:rsidR="58920D6B" w:rsidRPr="00B3157B" w:rsidP="00B3157B" w14:paraId="040D401A" w14:textId="718F2B9B">
            <w:pPr>
              <w:jc w:val="center"/>
              <w:rPr>
                <w:rFonts w:ascii="Arial Narrow" w:eastAsia="Arial Narrow" w:hAnsi="Arial Narrow" w:cs="Arial Narrow"/>
                <w:b/>
                <w:bCs/>
                <w:szCs w:val="24"/>
                <w:vertAlign w:val="superscript"/>
              </w:rPr>
            </w:pPr>
            <w:r w:rsidRPr="00B3157B">
              <w:rPr>
                <w:rFonts w:ascii="Arial Narrow" w:eastAsia="Arial Narrow" w:hAnsi="Arial Narrow" w:cs="Arial Narrow"/>
                <w:b/>
                <w:bCs/>
                <w:szCs w:val="24"/>
              </w:rPr>
              <w:t>Hourly Loaded Wages</w:t>
            </w:r>
            <w:r w:rsidRPr="00B3157B">
              <w:rPr>
                <w:rFonts w:ascii="Arial Narrow" w:eastAsia="Arial Narrow" w:hAnsi="Arial Narrow" w:cs="Arial Narrow"/>
                <w:b/>
                <w:bCs/>
                <w:szCs w:val="24"/>
                <w:vertAlign w:val="superscript"/>
              </w:rPr>
              <w:t>4</w:t>
            </w:r>
          </w:p>
        </w:tc>
      </w:tr>
      <w:tr w14:paraId="3BAB18B1" w14:textId="77777777" w:rsidTr="006254B2">
        <w:tblPrEx>
          <w:tblW w:w="0" w:type="auto"/>
          <w:tblLayout w:type="fixed"/>
          <w:tblLook w:val="04A0"/>
        </w:tblPrEx>
        <w:trPr>
          <w:gridAfter w:val="1"/>
          <w:wAfter w:w="6" w:type="dxa"/>
        </w:trPr>
        <w:tc>
          <w:tcPr>
            <w:tcW w:w="1695" w:type="dxa"/>
            <w:vMerge/>
            <w:vAlign w:val="center"/>
          </w:tcPr>
          <w:p w:rsidR="0066704F" w:rsidRPr="00B3157B" w14:paraId="4B8F7B8E" w14:textId="77777777">
            <w:pPr>
              <w:rPr>
                <w:rFonts w:ascii="Arial Narrow" w:hAnsi="Arial Narrow"/>
                <w:szCs w:val="24"/>
              </w:rPr>
            </w:pPr>
          </w:p>
        </w:tc>
        <w:tc>
          <w:tcPr>
            <w:tcW w:w="975" w:type="dxa"/>
            <w:shd w:val="clear" w:color="auto" w:fill="BFBFBF" w:themeFill="accent6" w:themeFillShade="BF"/>
            <w:vAlign w:val="center"/>
          </w:tcPr>
          <w:p w:rsidR="58920D6B" w:rsidRPr="00B3157B" w:rsidP="00B3157B" w14:paraId="16C4B297" w14:textId="16B0EBD5">
            <w:pPr>
              <w:jc w:val="center"/>
              <w:rPr>
                <w:rFonts w:ascii="Arial Narrow" w:eastAsia="Arial Narrow" w:hAnsi="Arial Narrow" w:cs="Arial Narrow"/>
                <w:b/>
                <w:bCs/>
                <w:szCs w:val="24"/>
              </w:rPr>
            </w:pPr>
            <w:r w:rsidRPr="00B3157B">
              <w:rPr>
                <w:rFonts w:ascii="Arial Narrow" w:eastAsia="Arial Narrow" w:hAnsi="Arial Narrow" w:cs="Arial Narrow"/>
                <w:b/>
                <w:bCs/>
                <w:szCs w:val="24"/>
              </w:rPr>
              <w:t>A</w:t>
            </w:r>
          </w:p>
        </w:tc>
        <w:tc>
          <w:tcPr>
            <w:tcW w:w="1335" w:type="dxa"/>
            <w:shd w:val="clear" w:color="auto" w:fill="BFBFBF" w:themeFill="accent6" w:themeFillShade="BF"/>
            <w:vAlign w:val="center"/>
          </w:tcPr>
          <w:p w:rsidR="58920D6B" w:rsidRPr="00B3157B" w:rsidP="00B3157B" w14:paraId="34C83B50" w14:textId="276C90F1">
            <w:pPr>
              <w:jc w:val="center"/>
              <w:rPr>
                <w:rFonts w:ascii="Arial Narrow" w:eastAsia="Arial Narrow" w:hAnsi="Arial Narrow" w:cs="Arial Narrow"/>
                <w:b/>
                <w:bCs/>
                <w:szCs w:val="24"/>
              </w:rPr>
            </w:pPr>
            <w:r w:rsidRPr="00B3157B">
              <w:rPr>
                <w:rFonts w:ascii="Arial Narrow" w:eastAsia="Arial Narrow" w:hAnsi="Arial Narrow" w:cs="Arial Narrow"/>
                <w:b/>
                <w:bCs/>
                <w:szCs w:val="24"/>
              </w:rPr>
              <w:t>B</w:t>
            </w:r>
          </w:p>
        </w:tc>
        <w:tc>
          <w:tcPr>
            <w:tcW w:w="1655" w:type="dxa"/>
            <w:shd w:val="clear" w:color="auto" w:fill="BFBFBF" w:themeFill="accent6" w:themeFillShade="BF"/>
            <w:vAlign w:val="center"/>
          </w:tcPr>
          <w:p w:rsidR="58920D6B" w:rsidRPr="00B3157B" w:rsidP="00B3157B" w14:paraId="1AEEC543" w14:textId="482AD84C">
            <w:pPr>
              <w:jc w:val="center"/>
              <w:rPr>
                <w:rFonts w:ascii="Arial Narrow" w:eastAsia="Arial Narrow" w:hAnsi="Arial Narrow" w:cs="Arial Narrow"/>
                <w:b/>
                <w:bCs/>
                <w:szCs w:val="24"/>
              </w:rPr>
            </w:pPr>
            <w:r w:rsidRPr="00B3157B">
              <w:rPr>
                <w:rFonts w:ascii="Arial Narrow" w:eastAsia="Arial Narrow" w:hAnsi="Arial Narrow" w:cs="Arial Narrow"/>
                <w:b/>
                <w:bCs/>
                <w:szCs w:val="24"/>
              </w:rPr>
              <w:t>C = A + B</w:t>
            </w:r>
          </w:p>
        </w:tc>
        <w:tc>
          <w:tcPr>
            <w:tcW w:w="1175" w:type="dxa"/>
            <w:shd w:val="clear" w:color="auto" w:fill="BFBFBF" w:themeFill="accent6" w:themeFillShade="BF"/>
            <w:vAlign w:val="center"/>
          </w:tcPr>
          <w:p w:rsidR="58920D6B" w:rsidRPr="00B3157B" w:rsidP="00B3157B" w14:paraId="630E3282" w14:textId="1D201B64">
            <w:pPr>
              <w:jc w:val="center"/>
              <w:rPr>
                <w:rFonts w:ascii="Arial Narrow" w:eastAsia="Arial Narrow" w:hAnsi="Arial Narrow" w:cs="Arial Narrow"/>
                <w:b/>
                <w:bCs/>
                <w:szCs w:val="24"/>
              </w:rPr>
            </w:pPr>
            <w:r w:rsidRPr="00B3157B">
              <w:rPr>
                <w:rFonts w:ascii="Arial Narrow" w:eastAsia="Arial Narrow" w:hAnsi="Arial Narrow" w:cs="Arial Narrow"/>
                <w:b/>
                <w:bCs/>
                <w:szCs w:val="24"/>
              </w:rPr>
              <w:t>D</w:t>
            </w:r>
          </w:p>
        </w:tc>
        <w:tc>
          <w:tcPr>
            <w:tcW w:w="1335" w:type="dxa"/>
            <w:shd w:val="clear" w:color="auto" w:fill="BFBFBF" w:themeFill="accent6" w:themeFillShade="BF"/>
            <w:vAlign w:val="center"/>
          </w:tcPr>
          <w:p w:rsidR="58920D6B" w:rsidRPr="00B3157B" w:rsidP="00B3157B" w14:paraId="56E17448" w14:textId="79843D6F">
            <w:pPr>
              <w:jc w:val="center"/>
              <w:rPr>
                <w:rFonts w:ascii="Arial Narrow" w:eastAsia="Arial Narrow" w:hAnsi="Arial Narrow" w:cs="Arial Narrow"/>
                <w:b/>
                <w:bCs/>
                <w:szCs w:val="24"/>
              </w:rPr>
            </w:pPr>
            <w:r w:rsidRPr="00B3157B">
              <w:rPr>
                <w:rFonts w:ascii="Arial Narrow" w:eastAsia="Arial Narrow" w:hAnsi="Arial Narrow" w:cs="Arial Narrow"/>
                <w:b/>
                <w:bCs/>
                <w:szCs w:val="24"/>
              </w:rPr>
              <w:t>E = C x D</w:t>
            </w:r>
          </w:p>
        </w:tc>
        <w:tc>
          <w:tcPr>
            <w:tcW w:w="1635" w:type="dxa"/>
            <w:shd w:val="clear" w:color="auto" w:fill="BFBFBF" w:themeFill="accent6" w:themeFillShade="BF"/>
            <w:vAlign w:val="center"/>
          </w:tcPr>
          <w:p w:rsidR="58920D6B" w:rsidRPr="00B3157B" w:rsidP="00B3157B" w14:paraId="3C03E5F4" w14:textId="78B0B850">
            <w:pPr>
              <w:jc w:val="center"/>
              <w:rPr>
                <w:rFonts w:ascii="Arial Narrow" w:eastAsia="Arial Narrow" w:hAnsi="Arial Narrow" w:cs="Arial Narrow"/>
                <w:b/>
                <w:bCs/>
                <w:szCs w:val="24"/>
              </w:rPr>
            </w:pPr>
            <w:r w:rsidRPr="00B3157B">
              <w:rPr>
                <w:rFonts w:ascii="Arial Narrow" w:eastAsia="Arial Narrow" w:hAnsi="Arial Narrow" w:cs="Arial Narrow"/>
                <w:b/>
                <w:bCs/>
                <w:szCs w:val="24"/>
              </w:rPr>
              <w:t>F = C + E</w:t>
            </w:r>
          </w:p>
        </w:tc>
      </w:tr>
      <w:tr w14:paraId="5F5ABB69" w14:textId="77777777" w:rsidTr="00EB4AC7">
        <w:tblPrEx>
          <w:tblW w:w="0" w:type="auto"/>
          <w:tblLayout w:type="fixed"/>
          <w:tblLook w:val="04A0"/>
        </w:tblPrEx>
        <w:trPr>
          <w:gridAfter w:val="1"/>
          <w:wAfter w:w="6" w:type="dxa"/>
        </w:trPr>
        <w:tc>
          <w:tcPr>
            <w:tcW w:w="1695" w:type="dxa"/>
          </w:tcPr>
          <w:p w:rsidR="00FE0F00" w:rsidRPr="00B3157B" w:rsidP="00FE0F00" w14:paraId="6D523D85" w14:textId="69E8C8D4">
            <w:pPr>
              <w:rPr>
                <w:rFonts w:ascii="Arial Narrow" w:hAnsi="Arial Narrow"/>
                <w:szCs w:val="24"/>
              </w:rPr>
            </w:pPr>
            <w:r w:rsidRPr="00B3157B">
              <w:rPr>
                <w:rFonts w:ascii="Arial Narrow" w:eastAsia="Arial Narrow" w:hAnsi="Arial Narrow" w:cs="Arial Narrow"/>
                <w:color w:val="000000" w:themeColor="text1"/>
                <w:szCs w:val="24"/>
              </w:rPr>
              <w:t>Clerical</w:t>
            </w:r>
          </w:p>
        </w:tc>
        <w:tc>
          <w:tcPr>
            <w:tcW w:w="975" w:type="dxa"/>
            <w:tcBorders>
              <w:top w:val="single" w:sz="4" w:space="0" w:color="auto"/>
              <w:left w:val="single" w:sz="4" w:space="0" w:color="auto"/>
              <w:bottom w:val="single" w:sz="4" w:space="0" w:color="auto"/>
              <w:right w:val="single" w:sz="4" w:space="0" w:color="auto"/>
            </w:tcBorders>
            <w:shd w:val="clear" w:color="auto" w:fill="auto"/>
            <w:vAlign w:val="bottom"/>
          </w:tcPr>
          <w:p w:rsidR="00FE0F00" w:rsidRPr="00B3157B" w:rsidP="00FE0F00" w14:paraId="4FD8E408" w14:textId="7C5DBC94">
            <w:pPr>
              <w:jc w:val="right"/>
              <w:rPr>
                <w:rFonts w:ascii="Arial Narrow" w:eastAsia="Arial Narrow" w:hAnsi="Arial Narrow" w:cs="Arial Narrow"/>
                <w:color w:val="000000" w:themeColor="text1"/>
                <w:szCs w:val="24"/>
              </w:rPr>
            </w:pPr>
            <w:r>
              <w:rPr>
                <w:rFonts w:ascii="Arial Narrow" w:hAnsi="Arial Narrow" w:cs="Arial"/>
                <w:color w:val="000000"/>
                <w:sz w:val="20"/>
                <w:szCs w:val="20"/>
              </w:rPr>
              <w:t xml:space="preserve">$23.11 </w:t>
            </w:r>
          </w:p>
        </w:tc>
        <w:tc>
          <w:tcPr>
            <w:tcW w:w="1335" w:type="dxa"/>
            <w:tcBorders>
              <w:top w:val="single" w:sz="4" w:space="0" w:color="auto"/>
              <w:left w:val="nil"/>
              <w:bottom w:val="single" w:sz="4" w:space="0" w:color="auto"/>
              <w:right w:val="single" w:sz="4" w:space="0" w:color="auto"/>
            </w:tcBorders>
            <w:shd w:val="clear" w:color="auto" w:fill="auto"/>
            <w:vAlign w:val="bottom"/>
          </w:tcPr>
          <w:p w:rsidR="00FE0F00" w:rsidRPr="00B3157B" w:rsidP="00FE0F00" w14:paraId="3CFCE592" w14:textId="331865BD">
            <w:pPr>
              <w:jc w:val="right"/>
              <w:rPr>
                <w:rFonts w:ascii="Arial Narrow" w:eastAsia="Arial Narrow" w:hAnsi="Arial Narrow" w:cs="Arial Narrow"/>
                <w:color w:val="000000" w:themeColor="text1"/>
                <w:szCs w:val="24"/>
              </w:rPr>
            </w:pPr>
            <w:r>
              <w:rPr>
                <w:rFonts w:ascii="Arial Narrow" w:hAnsi="Arial Narrow" w:cs="Arial"/>
                <w:color w:val="000000"/>
                <w:sz w:val="20"/>
                <w:szCs w:val="20"/>
              </w:rPr>
              <w:t xml:space="preserve">$10.33 </w:t>
            </w:r>
          </w:p>
        </w:tc>
        <w:tc>
          <w:tcPr>
            <w:tcW w:w="1655" w:type="dxa"/>
            <w:tcBorders>
              <w:top w:val="single" w:sz="4" w:space="0" w:color="auto"/>
              <w:left w:val="nil"/>
              <w:bottom w:val="single" w:sz="4" w:space="0" w:color="auto"/>
              <w:right w:val="single" w:sz="4" w:space="0" w:color="auto"/>
            </w:tcBorders>
            <w:shd w:val="clear" w:color="auto" w:fill="auto"/>
            <w:vAlign w:val="bottom"/>
          </w:tcPr>
          <w:p w:rsidR="00FE0F00" w:rsidRPr="00B3157B" w:rsidP="00FE0F00" w14:paraId="7CE464D3" w14:textId="4A03D3C2">
            <w:pPr>
              <w:jc w:val="right"/>
              <w:rPr>
                <w:rFonts w:ascii="Arial Narrow" w:eastAsia="Arial Narrow" w:hAnsi="Arial Narrow" w:cs="Arial Narrow"/>
                <w:color w:val="000000" w:themeColor="text1"/>
                <w:szCs w:val="24"/>
              </w:rPr>
            </w:pPr>
            <w:r>
              <w:rPr>
                <w:rFonts w:ascii="Arial Narrow" w:hAnsi="Arial Narrow" w:cs="Arial"/>
                <w:color w:val="000000"/>
                <w:sz w:val="20"/>
                <w:szCs w:val="20"/>
              </w:rPr>
              <w:t xml:space="preserve">$33.44 </w:t>
            </w:r>
          </w:p>
        </w:tc>
        <w:tc>
          <w:tcPr>
            <w:tcW w:w="1175" w:type="dxa"/>
            <w:tcBorders>
              <w:top w:val="single" w:sz="4" w:space="0" w:color="auto"/>
              <w:left w:val="nil"/>
              <w:bottom w:val="single" w:sz="4" w:space="0" w:color="auto"/>
              <w:right w:val="single" w:sz="4" w:space="0" w:color="auto"/>
            </w:tcBorders>
            <w:shd w:val="clear" w:color="auto" w:fill="auto"/>
            <w:vAlign w:val="bottom"/>
          </w:tcPr>
          <w:p w:rsidR="00FE0F00" w:rsidRPr="00B3157B" w:rsidP="00FE0F00" w14:paraId="1BA5DBF4" w14:textId="0FDF99FD">
            <w:pPr>
              <w:jc w:val="right"/>
              <w:rPr>
                <w:rFonts w:ascii="Arial Narrow" w:eastAsia="Arial Narrow" w:hAnsi="Arial Narrow" w:cs="Arial Narrow"/>
                <w:color w:val="000000" w:themeColor="text1"/>
                <w:szCs w:val="24"/>
              </w:rPr>
            </w:pPr>
            <w:r>
              <w:rPr>
                <w:rFonts w:ascii="Arial Narrow" w:hAnsi="Arial Narrow" w:cs="Arial"/>
                <w:color w:val="000000"/>
                <w:sz w:val="20"/>
                <w:szCs w:val="20"/>
              </w:rPr>
              <w:t>20%</w:t>
            </w:r>
          </w:p>
        </w:tc>
        <w:tc>
          <w:tcPr>
            <w:tcW w:w="1335" w:type="dxa"/>
            <w:tcBorders>
              <w:top w:val="single" w:sz="4" w:space="0" w:color="auto"/>
              <w:left w:val="nil"/>
              <w:bottom w:val="single" w:sz="4" w:space="0" w:color="auto"/>
              <w:right w:val="single" w:sz="4" w:space="0" w:color="auto"/>
            </w:tcBorders>
            <w:shd w:val="clear" w:color="auto" w:fill="auto"/>
            <w:vAlign w:val="bottom"/>
          </w:tcPr>
          <w:p w:rsidR="00FE0F00" w:rsidRPr="00B3157B" w:rsidP="00FE0F00" w14:paraId="1CFEEC7F" w14:textId="10233097">
            <w:pPr>
              <w:jc w:val="right"/>
              <w:rPr>
                <w:rFonts w:ascii="Arial Narrow" w:eastAsia="Arial Narrow" w:hAnsi="Arial Narrow" w:cs="Arial Narrow"/>
                <w:color w:val="000000" w:themeColor="text1"/>
                <w:szCs w:val="24"/>
              </w:rPr>
            </w:pPr>
            <w:r>
              <w:rPr>
                <w:rFonts w:ascii="Arial Narrow" w:hAnsi="Arial Narrow" w:cs="Arial"/>
                <w:color w:val="000000"/>
                <w:sz w:val="20"/>
                <w:szCs w:val="20"/>
              </w:rPr>
              <w:t xml:space="preserve">$6.69 </w:t>
            </w:r>
          </w:p>
        </w:tc>
        <w:tc>
          <w:tcPr>
            <w:tcW w:w="1635" w:type="dxa"/>
            <w:tcBorders>
              <w:top w:val="single" w:sz="4" w:space="0" w:color="auto"/>
              <w:left w:val="nil"/>
              <w:bottom w:val="single" w:sz="4" w:space="0" w:color="auto"/>
              <w:right w:val="single" w:sz="4" w:space="0" w:color="auto"/>
            </w:tcBorders>
            <w:shd w:val="clear" w:color="auto" w:fill="auto"/>
            <w:vAlign w:val="bottom"/>
          </w:tcPr>
          <w:p w:rsidR="00FE0F00" w:rsidRPr="00B3157B" w:rsidP="00FE0F00" w14:paraId="2A2E3859" w14:textId="310BD4BE">
            <w:pPr>
              <w:jc w:val="right"/>
              <w:rPr>
                <w:rFonts w:ascii="Arial Narrow" w:eastAsia="Arial Narrow" w:hAnsi="Arial Narrow" w:cs="Arial Narrow"/>
                <w:b/>
                <w:bCs/>
                <w:color w:val="000000" w:themeColor="text1"/>
                <w:szCs w:val="24"/>
              </w:rPr>
            </w:pPr>
            <w:r>
              <w:rPr>
                <w:rFonts w:ascii="Arial Narrow" w:hAnsi="Arial Narrow" w:cs="Arial"/>
                <w:b/>
                <w:bCs/>
                <w:color w:val="000000"/>
                <w:sz w:val="20"/>
                <w:szCs w:val="20"/>
              </w:rPr>
              <w:t xml:space="preserve">$40.13 </w:t>
            </w:r>
          </w:p>
        </w:tc>
      </w:tr>
      <w:tr w14:paraId="02ECC2CD" w14:textId="77777777" w:rsidTr="00EB4AC7">
        <w:tblPrEx>
          <w:tblW w:w="0" w:type="auto"/>
          <w:tblLayout w:type="fixed"/>
          <w:tblLook w:val="04A0"/>
        </w:tblPrEx>
        <w:trPr>
          <w:gridAfter w:val="1"/>
          <w:wAfter w:w="6" w:type="dxa"/>
        </w:trPr>
        <w:tc>
          <w:tcPr>
            <w:tcW w:w="1695" w:type="dxa"/>
          </w:tcPr>
          <w:p w:rsidR="00FE0F00" w:rsidRPr="00B3157B" w:rsidP="00FE0F00" w14:paraId="3F8C6ACC" w14:textId="566EB295">
            <w:pPr>
              <w:rPr>
                <w:rFonts w:ascii="Arial Narrow" w:hAnsi="Arial Narrow"/>
                <w:szCs w:val="24"/>
              </w:rPr>
            </w:pPr>
            <w:r w:rsidRPr="00B3157B">
              <w:rPr>
                <w:rFonts w:ascii="Arial Narrow" w:eastAsia="Arial Narrow" w:hAnsi="Arial Narrow" w:cs="Arial Narrow"/>
                <w:color w:val="000000" w:themeColor="text1"/>
                <w:szCs w:val="24"/>
              </w:rPr>
              <w:t>Professional/ Technical</w:t>
            </w:r>
          </w:p>
        </w:tc>
        <w:tc>
          <w:tcPr>
            <w:tcW w:w="975" w:type="dxa"/>
            <w:tcBorders>
              <w:top w:val="nil"/>
              <w:left w:val="single" w:sz="4" w:space="0" w:color="auto"/>
              <w:bottom w:val="single" w:sz="4" w:space="0" w:color="auto"/>
              <w:right w:val="single" w:sz="4" w:space="0" w:color="auto"/>
            </w:tcBorders>
            <w:shd w:val="clear" w:color="auto" w:fill="auto"/>
            <w:vAlign w:val="bottom"/>
          </w:tcPr>
          <w:p w:rsidR="00FE0F00" w:rsidRPr="00B3157B" w:rsidP="00FE0F00" w14:paraId="4EEDB71D" w14:textId="2DED463B">
            <w:pPr>
              <w:jc w:val="right"/>
              <w:rPr>
                <w:rFonts w:ascii="Arial Narrow" w:eastAsia="Arial Narrow" w:hAnsi="Arial Narrow" w:cs="Arial Narrow"/>
                <w:color w:val="000000" w:themeColor="text1"/>
                <w:szCs w:val="24"/>
              </w:rPr>
            </w:pPr>
            <w:r>
              <w:rPr>
                <w:rFonts w:ascii="Arial Narrow" w:hAnsi="Arial Narrow" w:cs="Arial"/>
                <w:color w:val="000000"/>
                <w:sz w:val="20"/>
                <w:szCs w:val="20"/>
              </w:rPr>
              <w:t xml:space="preserve">$46.01 </w:t>
            </w:r>
          </w:p>
        </w:tc>
        <w:tc>
          <w:tcPr>
            <w:tcW w:w="1335" w:type="dxa"/>
            <w:tcBorders>
              <w:top w:val="nil"/>
              <w:left w:val="nil"/>
              <w:bottom w:val="single" w:sz="4" w:space="0" w:color="auto"/>
              <w:right w:val="single" w:sz="4" w:space="0" w:color="auto"/>
            </w:tcBorders>
            <w:shd w:val="clear" w:color="auto" w:fill="auto"/>
            <w:vAlign w:val="bottom"/>
          </w:tcPr>
          <w:p w:rsidR="00FE0F00" w:rsidRPr="00B3157B" w:rsidP="00FE0F00" w14:paraId="00D2E8C1" w14:textId="02AC0AAC">
            <w:pPr>
              <w:jc w:val="right"/>
              <w:rPr>
                <w:rFonts w:ascii="Arial Narrow" w:eastAsia="Arial Narrow" w:hAnsi="Arial Narrow" w:cs="Arial Narrow"/>
                <w:color w:val="000000" w:themeColor="text1"/>
                <w:szCs w:val="24"/>
              </w:rPr>
            </w:pPr>
            <w:r>
              <w:rPr>
                <w:rFonts w:ascii="Arial Narrow" w:hAnsi="Arial Narrow" w:cs="Arial"/>
                <w:color w:val="000000"/>
                <w:sz w:val="20"/>
                <w:szCs w:val="20"/>
              </w:rPr>
              <w:t xml:space="preserve">$23.27 </w:t>
            </w:r>
          </w:p>
        </w:tc>
        <w:tc>
          <w:tcPr>
            <w:tcW w:w="1655" w:type="dxa"/>
            <w:tcBorders>
              <w:top w:val="nil"/>
              <w:left w:val="nil"/>
              <w:bottom w:val="single" w:sz="4" w:space="0" w:color="auto"/>
              <w:right w:val="single" w:sz="4" w:space="0" w:color="auto"/>
            </w:tcBorders>
            <w:shd w:val="clear" w:color="auto" w:fill="auto"/>
            <w:vAlign w:val="bottom"/>
          </w:tcPr>
          <w:p w:rsidR="00FE0F00" w:rsidRPr="00B3157B" w:rsidP="00FE0F00" w14:paraId="101BF52D" w14:textId="1D2215AB">
            <w:pPr>
              <w:jc w:val="right"/>
              <w:rPr>
                <w:rFonts w:ascii="Arial Narrow" w:eastAsia="Arial Narrow" w:hAnsi="Arial Narrow" w:cs="Arial Narrow"/>
                <w:color w:val="000000" w:themeColor="text1"/>
                <w:szCs w:val="24"/>
              </w:rPr>
            </w:pPr>
            <w:r>
              <w:rPr>
                <w:rFonts w:ascii="Arial Narrow" w:hAnsi="Arial Narrow" w:cs="Arial"/>
                <w:color w:val="000000"/>
                <w:sz w:val="20"/>
                <w:szCs w:val="20"/>
              </w:rPr>
              <w:t xml:space="preserve">$69.28 </w:t>
            </w:r>
          </w:p>
        </w:tc>
        <w:tc>
          <w:tcPr>
            <w:tcW w:w="1175" w:type="dxa"/>
            <w:tcBorders>
              <w:top w:val="nil"/>
              <w:left w:val="nil"/>
              <w:bottom w:val="single" w:sz="4" w:space="0" w:color="auto"/>
              <w:right w:val="single" w:sz="4" w:space="0" w:color="auto"/>
            </w:tcBorders>
            <w:shd w:val="clear" w:color="auto" w:fill="auto"/>
            <w:vAlign w:val="bottom"/>
          </w:tcPr>
          <w:p w:rsidR="00FE0F00" w:rsidRPr="00B3157B" w:rsidP="00FE0F00" w14:paraId="10389A3D" w14:textId="3FA608E8">
            <w:pPr>
              <w:jc w:val="right"/>
              <w:rPr>
                <w:rFonts w:ascii="Arial Narrow" w:eastAsia="Arial Narrow" w:hAnsi="Arial Narrow" w:cs="Arial Narrow"/>
                <w:color w:val="000000" w:themeColor="text1"/>
                <w:szCs w:val="24"/>
              </w:rPr>
            </w:pPr>
            <w:r>
              <w:rPr>
                <w:rFonts w:ascii="Arial Narrow" w:hAnsi="Arial Narrow" w:cs="Arial"/>
                <w:color w:val="000000"/>
                <w:sz w:val="20"/>
                <w:szCs w:val="20"/>
              </w:rPr>
              <w:t>20%</w:t>
            </w:r>
          </w:p>
        </w:tc>
        <w:tc>
          <w:tcPr>
            <w:tcW w:w="1335" w:type="dxa"/>
            <w:tcBorders>
              <w:top w:val="nil"/>
              <w:left w:val="nil"/>
              <w:bottom w:val="single" w:sz="4" w:space="0" w:color="auto"/>
              <w:right w:val="single" w:sz="4" w:space="0" w:color="auto"/>
            </w:tcBorders>
            <w:shd w:val="clear" w:color="auto" w:fill="auto"/>
            <w:vAlign w:val="bottom"/>
          </w:tcPr>
          <w:p w:rsidR="00FE0F00" w:rsidRPr="00B3157B" w:rsidP="00FE0F00" w14:paraId="68C17C04" w14:textId="5FB07735">
            <w:pPr>
              <w:jc w:val="right"/>
              <w:rPr>
                <w:rFonts w:ascii="Arial Narrow" w:eastAsia="Arial Narrow" w:hAnsi="Arial Narrow" w:cs="Arial Narrow"/>
                <w:color w:val="000000" w:themeColor="text1"/>
                <w:szCs w:val="24"/>
              </w:rPr>
            </w:pPr>
            <w:r>
              <w:rPr>
                <w:rFonts w:ascii="Arial Narrow" w:hAnsi="Arial Narrow" w:cs="Arial"/>
                <w:color w:val="000000"/>
                <w:sz w:val="20"/>
                <w:szCs w:val="20"/>
              </w:rPr>
              <w:t xml:space="preserve">$13.86 </w:t>
            </w:r>
          </w:p>
        </w:tc>
        <w:tc>
          <w:tcPr>
            <w:tcW w:w="1635" w:type="dxa"/>
            <w:tcBorders>
              <w:top w:val="nil"/>
              <w:left w:val="nil"/>
              <w:bottom w:val="single" w:sz="4" w:space="0" w:color="auto"/>
              <w:right w:val="single" w:sz="4" w:space="0" w:color="auto"/>
            </w:tcBorders>
            <w:shd w:val="clear" w:color="auto" w:fill="auto"/>
            <w:vAlign w:val="bottom"/>
          </w:tcPr>
          <w:p w:rsidR="00FE0F00" w:rsidRPr="00B3157B" w:rsidP="00FE0F00" w14:paraId="4605BD7A" w14:textId="0FDA1EAC">
            <w:pPr>
              <w:jc w:val="right"/>
              <w:rPr>
                <w:rFonts w:ascii="Arial Narrow" w:eastAsia="Arial Narrow" w:hAnsi="Arial Narrow" w:cs="Arial Narrow"/>
                <w:b/>
                <w:bCs/>
                <w:color w:val="000000" w:themeColor="text1"/>
                <w:szCs w:val="24"/>
              </w:rPr>
            </w:pPr>
            <w:r>
              <w:rPr>
                <w:rFonts w:ascii="Arial Narrow" w:hAnsi="Arial Narrow" w:cs="Arial"/>
                <w:b/>
                <w:bCs/>
                <w:color w:val="000000"/>
                <w:sz w:val="20"/>
                <w:szCs w:val="20"/>
              </w:rPr>
              <w:t xml:space="preserve">$83.14 </w:t>
            </w:r>
          </w:p>
        </w:tc>
      </w:tr>
      <w:tr w14:paraId="2BD39FED" w14:textId="77777777" w:rsidTr="00EB4AC7">
        <w:tblPrEx>
          <w:tblW w:w="0" w:type="auto"/>
          <w:tblLayout w:type="fixed"/>
          <w:tblLook w:val="04A0"/>
        </w:tblPrEx>
        <w:trPr>
          <w:gridAfter w:val="1"/>
          <w:wAfter w:w="6" w:type="dxa"/>
        </w:trPr>
        <w:tc>
          <w:tcPr>
            <w:tcW w:w="1695" w:type="dxa"/>
          </w:tcPr>
          <w:p w:rsidR="00FE0F00" w:rsidRPr="00B3157B" w:rsidP="00FE0F00" w14:paraId="1C461015" w14:textId="2FE6AF95">
            <w:pPr>
              <w:rPr>
                <w:rFonts w:ascii="Arial Narrow" w:hAnsi="Arial Narrow"/>
                <w:szCs w:val="24"/>
              </w:rPr>
            </w:pPr>
            <w:r w:rsidRPr="00B3157B">
              <w:rPr>
                <w:rFonts w:ascii="Arial Narrow" w:eastAsia="Arial Narrow" w:hAnsi="Arial Narrow" w:cs="Arial Narrow"/>
                <w:color w:val="000000" w:themeColor="text1"/>
                <w:szCs w:val="24"/>
              </w:rPr>
              <w:t>Managerial</w:t>
            </w:r>
          </w:p>
        </w:tc>
        <w:tc>
          <w:tcPr>
            <w:tcW w:w="975" w:type="dxa"/>
            <w:tcBorders>
              <w:top w:val="nil"/>
              <w:left w:val="single" w:sz="4" w:space="0" w:color="auto"/>
              <w:bottom w:val="single" w:sz="4" w:space="0" w:color="auto"/>
              <w:right w:val="single" w:sz="4" w:space="0" w:color="auto"/>
            </w:tcBorders>
            <w:shd w:val="clear" w:color="auto" w:fill="auto"/>
            <w:vAlign w:val="bottom"/>
          </w:tcPr>
          <w:p w:rsidR="00FE0F00" w:rsidRPr="00B3157B" w:rsidP="00FE0F00" w14:paraId="55477113" w14:textId="3DD76DF9">
            <w:pPr>
              <w:jc w:val="right"/>
              <w:rPr>
                <w:rFonts w:ascii="Arial Narrow" w:eastAsia="Arial Narrow" w:hAnsi="Arial Narrow" w:cs="Arial Narrow"/>
                <w:color w:val="000000" w:themeColor="text1"/>
                <w:szCs w:val="24"/>
              </w:rPr>
            </w:pPr>
            <w:r>
              <w:rPr>
                <w:rFonts w:ascii="Arial Narrow" w:hAnsi="Arial Narrow" w:cs="Arial"/>
                <w:color w:val="000000"/>
                <w:sz w:val="20"/>
                <w:szCs w:val="20"/>
              </w:rPr>
              <w:t xml:space="preserve">$54.29 </w:t>
            </w:r>
          </w:p>
        </w:tc>
        <w:tc>
          <w:tcPr>
            <w:tcW w:w="1335" w:type="dxa"/>
            <w:tcBorders>
              <w:top w:val="nil"/>
              <w:left w:val="nil"/>
              <w:bottom w:val="single" w:sz="4" w:space="0" w:color="auto"/>
              <w:right w:val="single" w:sz="4" w:space="0" w:color="auto"/>
            </w:tcBorders>
            <w:shd w:val="clear" w:color="auto" w:fill="auto"/>
            <w:vAlign w:val="bottom"/>
          </w:tcPr>
          <w:p w:rsidR="00FE0F00" w:rsidRPr="00B3157B" w:rsidP="00FE0F00" w14:paraId="58E2A1ED" w14:textId="0CA2B9DC">
            <w:pPr>
              <w:jc w:val="right"/>
              <w:rPr>
                <w:rFonts w:ascii="Arial Narrow" w:eastAsia="Arial Narrow" w:hAnsi="Arial Narrow" w:cs="Arial Narrow"/>
                <w:color w:val="000000" w:themeColor="text1"/>
                <w:szCs w:val="24"/>
              </w:rPr>
            </w:pPr>
            <w:r>
              <w:rPr>
                <w:rFonts w:ascii="Arial Narrow" w:hAnsi="Arial Narrow" w:cs="Arial"/>
                <w:color w:val="000000"/>
                <w:sz w:val="20"/>
                <w:szCs w:val="20"/>
              </w:rPr>
              <w:t xml:space="preserve">$24.66 </w:t>
            </w:r>
          </w:p>
        </w:tc>
        <w:tc>
          <w:tcPr>
            <w:tcW w:w="1655" w:type="dxa"/>
            <w:tcBorders>
              <w:top w:val="nil"/>
              <w:left w:val="nil"/>
              <w:bottom w:val="single" w:sz="4" w:space="0" w:color="auto"/>
              <w:right w:val="single" w:sz="4" w:space="0" w:color="auto"/>
            </w:tcBorders>
            <w:shd w:val="clear" w:color="auto" w:fill="auto"/>
            <w:vAlign w:val="bottom"/>
          </w:tcPr>
          <w:p w:rsidR="00FE0F00" w:rsidRPr="00B3157B" w:rsidP="00FE0F00" w14:paraId="6ED8B176" w14:textId="59C0DC93">
            <w:pPr>
              <w:jc w:val="right"/>
              <w:rPr>
                <w:rFonts w:ascii="Arial Narrow" w:eastAsia="Arial Narrow" w:hAnsi="Arial Narrow" w:cs="Arial Narrow"/>
                <w:color w:val="000000" w:themeColor="text1"/>
                <w:szCs w:val="24"/>
              </w:rPr>
            </w:pPr>
            <w:r>
              <w:rPr>
                <w:rFonts w:ascii="Arial Narrow" w:hAnsi="Arial Narrow" w:cs="Arial"/>
                <w:color w:val="000000"/>
                <w:sz w:val="20"/>
                <w:szCs w:val="20"/>
              </w:rPr>
              <w:t xml:space="preserve">$78.95 </w:t>
            </w:r>
          </w:p>
        </w:tc>
        <w:tc>
          <w:tcPr>
            <w:tcW w:w="1175" w:type="dxa"/>
            <w:tcBorders>
              <w:top w:val="nil"/>
              <w:left w:val="nil"/>
              <w:bottom w:val="single" w:sz="4" w:space="0" w:color="auto"/>
              <w:right w:val="single" w:sz="4" w:space="0" w:color="auto"/>
            </w:tcBorders>
            <w:shd w:val="clear" w:color="auto" w:fill="auto"/>
            <w:vAlign w:val="bottom"/>
          </w:tcPr>
          <w:p w:rsidR="00FE0F00" w:rsidRPr="00B3157B" w:rsidP="00FE0F00" w14:paraId="536AA225" w14:textId="56DAE152">
            <w:pPr>
              <w:jc w:val="right"/>
              <w:rPr>
                <w:rFonts w:ascii="Arial Narrow" w:eastAsia="Arial Narrow" w:hAnsi="Arial Narrow" w:cs="Arial Narrow"/>
                <w:color w:val="000000" w:themeColor="text1"/>
                <w:szCs w:val="24"/>
              </w:rPr>
            </w:pPr>
            <w:r>
              <w:rPr>
                <w:rFonts w:ascii="Arial Narrow" w:hAnsi="Arial Narrow" w:cs="Arial"/>
                <w:color w:val="000000"/>
                <w:sz w:val="20"/>
                <w:szCs w:val="20"/>
              </w:rPr>
              <w:t>20%</w:t>
            </w:r>
          </w:p>
        </w:tc>
        <w:tc>
          <w:tcPr>
            <w:tcW w:w="1335" w:type="dxa"/>
            <w:tcBorders>
              <w:top w:val="nil"/>
              <w:left w:val="nil"/>
              <w:bottom w:val="single" w:sz="4" w:space="0" w:color="auto"/>
              <w:right w:val="single" w:sz="4" w:space="0" w:color="auto"/>
            </w:tcBorders>
            <w:shd w:val="clear" w:color="auto" w:fill="auto"/>
            <w:vAlign w:val="bottom"/>
          </w:tcPr>
          <w:p w:rsidR="00FE0F00" w:rsidRPr="00B3157B" w:rsidP="00FE0F00" w14:paraId="6F93C134" w14:textId="2602F28A">
            <w:pPr>
              <w:jc w:val="right"/>
              <w:rPr>
                <w:rFonts w:ascii="Arial Narrow" w:eastAsia="Arial Narrow" w:hAnsi="Arial Narrow" w:cs="Arial Narrow"/>
                <w:color w:val="000000" w:themeColor="text1"/>
                <w:szCs w:val="24"/>
              </w:rPr>
            </w:pPr>
            <w:r>
              <w:rPr>
                <w:rFonts w:ascii="Arial Narrow" w:hAnsi="Arial Narrow" w:cs="Arial"/>
                <w:color w:val="000000"/>
                <w:sz w:val="20"/>
                <w:szCs w:val="20"/>
              </w:rPr>
              <w:t xml:space="preserve">$15.79 </w:t>
            </w:r>
          </w:p>
        </w:tc>
        <w:tc>
          <w:tcPr>
            <w:tcW w:w="1635" w:type="dxa"/>
            <w:tcBorders>
              <w:top w:val="nil"/>
              <w:left w:val="nil"/>
              <w:bottom w:val="single" w:sz="4" w:space="0" w:color="auto"/>
              <w:right w:val="single" w:sz="4" w:space="0" w:color="auto"/>
            </w:tcBorders>
            <w:shd w:val="clear" w:color="auto" w:fill="auto"/>
            <w:vAlign w:val="bottom"/>
          </w:tcPr>
          <w:p w:rsidR="00FE0F00" w:rsidRPr="00B3157B" w:rsidP="00FE0F00" w14:paraId="79B478D5" w14:textId="5A1F5340">
            <w:pPr>
              <w:jc w:val="right"/>
              <w:rPr>
                <w:rFonts w:ascii="Arial Narrow" w:eastAsia="Arial Narrow" w:hAnsi="Arial Narrow" w:cs="Arial Narrow"/>
                <w:b/>
                <w:bCs/>
                <w:color w:val="000000" w:themeColor="text1"/>
                <w:szCs w:val="24"/>
              </w:rPr>
            </w:pPr>
            <w:r>
              <w:rPr>
                <w:rFonts w:ascii="Arial Narrow" w:hAnsi="Arial Narrow" w:cs="Arial"/>
                <w:b/>
                <w:bCs/>
                <w:color w:val="000000"/>
                <w:sz w:val="20"/>
                <w:szCs w:val="20"/>
              </w:rPr>
              <w:t xml:space="preserve">$94.74 </w:t>
            </w:r>
          </w:p>
        </w:tc>
      </w:tr>
      <w:tr w14:paraId="4D964CC9" w14:textId="77777777" w:rsidTr="00EB4AC7">
        <w:tblPrEx>
          <w:tblW w:w="0" w:type="auto"/>
          <w:tblLayout w:type="fixed"/>
          <w:tblLook w:val="04A0"/>
        </w:tblPrEx>
        <w:trPr>
          <w:gridAfter w:val="1"/>
          <w:wAfter w:w="6" w:type="dxa"/>
        </w:trPr>
        <w:tc>
          <w:tcPr>
            <w:tcW w:w="1695" w:type="dxa"/>
          </w:tcPr>
          <w:p w:rsidR="00FE0F00" w:rsidRPr="00B3157B" w:rsidP="00FE0F00" w14:paraId="6E50ED8D" w14:textId="581CA54E">
            <w:pPr>
              <w:rPr>
                <w:rFonts w:ascii="Arial Narrow" w:hAnsi="Arial Narrow"/>
                <w:szCs w:val="24"/>
              </w:rPr>
            </w:pPr>
            <w:r w:rsidRPr="00B3157B">
              <w:rPr>
                <w:rFonts w:ascii="Arial Narrow" w:eastAsia="Arial Narrow" w:hAnsi="Arial Narrow" w:cs="Arial Narrow"/>
                <w:color w:val="000000" w:themeColor="text1"/>
                <w:szCs w:val="24"/>
              </w:rPr>
              <w:t>Attorney</w:t>
            </w:r>
          </w:p>
        </w:tc>
        <w:tc>
          <w:tcPr>
            <w:tcW w:w="975" w:type="dxa"/>
            <w:tcBorders>
              <w:top w:val="nil"/>
              <w:left w:val="single" w:sz="4" w:space="0" w:color="auto"/>
              <w:bottom w:val="single" w:sz="4" w:space="0" w:color="auto"/>
              <w:right w:val="single" w:sz="4" w:space="0" w:color="auto"/>
            </w:tcBorders>
            <w:shd w:val="clear" w:color="auto" w:fill="auto"/>
            <w:vAlign w:val="bottom"/>
          </w:tcPr>
          <w:p w:rsidR="00FE0F00" w:rsidRPr="00B3157B" w:rsidP="00FE0F00" w14:paraId="7B744301" w14:textId="7EC9A426">
            <w:pPr>
              <w:jc w:val="right"/>
              <w:rPr>
                <w:rFonts w:ascii="Arial Narrow" w:eastAsia="Arial Narrow" w:hAnsi="Arial Narrow" w:cs="Arial Narrow"/>
                <w:color w:val="000000" w:themeColor="text1"/>
                <w:szCs w:val="24"/>
              </w:rPr>
            </w:pPr>
            <w:r>
              <w:rPr>
                <w:rFonts w:ascii="Arial Narrow" w:hAnsi="Arial Narrow" w:cs="Arial"/>
                <w:color w:val="000000"/>
                <w:sz w:val="20"/>
                <w:szCs w:val="20"/>
              </w:rPr>
              <w:t xml:space="preserve">$78.74 </w:t>
            </w:r>
          </w:p>
        </w:tc>
        <w:tc>
          <w:tcPr>
            <w:tcW w:w="1335" w:type="dxa"/>
            <w:tcBorders>
              <w:top w:val="nil"/>
              <w:left w:val="nil"/>
              <w:bottom w:val="single" w:sz="4" w:space="0" w:color="auto"/>
              <w:right w:val="single" w:sz="4" w:space="0" w:color="auto"/>
            </w:tcBorders>
            <w:shd w:val="clear" w:color="auto" w:fill="auto"/>
            <w:vAlign w:val="bottom"/>
          </w:tcPr>
          <w:p w:rsidR="00FE0F00" w:rsidRPr="00B3157B" w:rsidP="00FE0F00" w14:paraId="3850AB51" w14:textId="18AB4735">
            <w:pPr>
              <w:jc w:val="right"/>
              <w:rPr>
                <w:rFonts w:ascii="Arial Narrow" w:eastAsia="Arial Narrow" w:hAnsi="Arial Narrow" w:cs="Arial Narrow"/>
                <w:color w:val="000000" w:themeColor="text1"/>
                <w:szCs w:val="24"/>
              </w:rPr>
            </w:pPr>
            <w:r>
              <w:rPr>
                <w:rFonts w:ascii="Arial Narrow" w:hAnsi="Arial Narrow" w:cs="Arial"/>
                <w:color w:val="000000"/>
                <w:sz w:val="20"/>
                <w:szCs w:val="20"/>
              </w:rPr>
              <w:t xml:space="preserve">$22.27 </w:t>
            </w:r>
          </w:p>
        </w:tc>
        <w:tc>
          <w:tcPr>
            <w:tcW w:w="1655" w:type="dxa"/>
            <w:tcBorders>
              <w:top w:val="nil"/>
              <w:left w:val="nil"/>
              <w:bottom w:val="single" w:sz="4" w:space="0" w:color="auto"/>
              <w:right w:val="single" w:sz="4" w:space="0" w:color="auto"/>
            </w:tcBorders>
            <w:shd w:val="clear" w:color="auto" w:fill="auto"/>
            <w:vAlign w:val="bottom"/>
          </w:tcPr>
          <w:p w:rsidR="00FE0F00" w:rsidRPr="00B3157B" w:rsidP="00FE0F00" w14:paraId="5F110405" w14:textId="7DD78A67">
            <w:pPr>
              <w:jc w:val="right"/>
              <w:rPr>
                <w:rFonts w:ascii="Arial Narrow" w:eastAsia="Arial Narrow" w:hAnsi="Arial Narrow" w:cs="Arial Narrow"/>
                <w:color w:val="000000" w:themeColor="text1"/>
                <w:szCs w:val="24"/>
              </w:rPr>
            </w:pPr>
            <w:r>
              <w:rPr>
                <w:rFonts w:ascii="Arial Narrow" w:hAnsi="Arial Narrow" w:cs="Arial"/>
                <w:color w:val="000000"/>
                <w:sz w:val="20"/>
                <w:szCs w:val="20"/>
              </w:rPr>
              <w:t xml:space="preserve">$101.01 </w:t>
            </w:r>
          </w:p>
        </w:tc>
        <w:tc>
          <w:tcPr>
            <w:tcW w:w="1175" w:type="dxa"/>
            <w:tcBorders>
              <w:top w:val="nil"/>
              <w:left w:val="nil"/>
              <w:bottom w:val="single" w:sz="4" w:space="0" w:color="auto"/>
              <w:right w:val="single" w:sz="4" w:space="0" w:color="auto"/>
            </w:tcBorders>
            <w:shd w:val="clear" w:color="auto" w:fill="auto"/>
            <w:vAlign w:val="bottom"/>
          </w:tcPr>
          <w:p w:rsidR="00FE0F00" w:rsidRPr="00B3157B" w:rsidP="00FE0F00" w14:paraId="487878BB" w14:textId="50E57C91">
            <w:pPr>
              <w:jc w:val="right"/>
              <w:rPr>
                <w:rFonts w:ascii="Arial Narrow" w:eastAsia="Arial Narrow" w:hAnsi="Arial Narrow" w:cs="Arial Narrow"/>
                <w:color w:val="000000" w:themeColor="text1"/>
                <w:szCs w:val="24"/>
              </w:rPr>
            </w:pPr>
            <w:r>
              <w:rPr>
                <w:rFonts w:ascii="Arial Narrow" w:hAnsi="Arial Narrow" w:cs="Arial"/>
                <w:color w:val="000000"/>
                <w:sz w:val="20"/>
                <w:szCs w:val="20"/>
              </w:rPr>
              <w:t>20%</w:t>
            </w:r>
          </w:p>
        </w:tc>
        <w:tc>
          <w:tcPr>
            <w:tcW w:w="1335" w:type="dxa"/>
            <w:tcBorders>
              <w:top w:val="nil"/>
              <w:left w:val="nil"/>
              <w:bottom w:val="single" w:sz="4" w:space="0" w:color="auto"/>
              <w:right w:val="single" w:sz="4" w:space="0" w:color="auto"/>
            </w:tcBorders>
            <w:shd w:val="clear" w:color="auto" w:fill="auto"/>
            <w:vAlign w:val="bottom"/>
          </w:tcPr>
          <w:p w:rsidR="00FE0F00" w:rsidRPr="00B3157B" w:rsidP="00FE0F00" w14:paraId="6A397552" w14:textId="0EE896ED">
            <w:pPr>
              <w:jc w:val="right"/>
              <w:rPr>
                <w:rFonts w:ascii="Arial Narrow" w:eastAsia="Arial Narrow" w:hAnsi="Arial Narrow" w:cs="Arial Narrow"/>
                <w:color w:val="000000" w:themeColor="text1"/>
                <w:szCs w:val="24"/>
              </w:rPr>
            </w:pPr>
            <w:r>
              <w:rPr>
                <w:rFonts w:ascii="Arial Narrow" w:hAnsi="Arial Narrow" w:cs="Arial"/>
                <w:color w:val="000000"/>
                <w:sz w:val="20"/>
                <w:szCs w:val="20"/>
              </w:rPr>
              <w:t xml:space="preserve">$20.20 </w:t>
            </w:r>
          </w:p>
        </w:tc>
        <w:tc>
          <w:tcPr>
            <w:tcW w:w="1635" w:type="dxa"/>
            <w:tcBorders>
              <w:top w:val="nil"/>
              <w:left w:val="nil"/>
              <w:bottom w:val="single" w:sz="4" w:space="0" w:color="auto"/>
              <w:right w:val="single" w:sz="4" w:space="0" w:color="auto"/>
            </w:tcBorders>
            <w:shd w:val="clear" w:color="auto" w:fill="auto"/>
            <w:vAlign w:val="bottom"/>
          </w:tcPr>
          <w:p w:rsidR="00FE0F00" w:rsidRPr="00B3157B" w:rsidP="00FE0F00" w14:paraId="70B1904D" w14:textId="0BF2CA2F">
            <w:pPr>
              <w:jc w:val="right"/>
              <w:rPr>
                <w:rFonts w:ascii="Arial Narrow" w:eastAsia="Arial Narrow" w:hAnsi="Arial Narrow" w:cs="Arial Narrow"/>
                <w:b/>
                <w:bCs/>
                <w:color w:val="000000" w:themeColor="text1"/>
                <w:szCs w:val="24"/>
              </w:rPr>
            </w:pPr>
            <w:r>
              <w:rPr>
                <w:rFonts w:ascii="Arial Narrow" w:hAnsi="Arial Narrow" w:cs="Arial"/>
                <w:b/>
                <w:bCs/>
                <w:color w:val="000000"/>
                <w:sz w:val="20"/>
                <w:szCs w:val="20"/>
              </w:rPr>
              <w:t xml:space="preserve">$121.21 </w:t>
            </w:r>
          </w:p>
        </w:tc>
      </w:tr>
      <w:tr w14:paraId="565CA160" w14:textId="77777777" w:rsidTr="006254B2">
        <w:tblPrEx>
          <w:tblW w:w="0" w:type="auto"/>
          <w:tblLayout w:type="fixed"/>
          <w:tblLook w:val="04A0"/>
        </w:tblPrEx>
        <w:tc>
          <w:tcPr>
            <w:tcW w:w="9811" w:type="dxa"/>
            <w:gridSpan w:val="8"/>
          </w:tcPr>
          <w:p w:rsidR="00FE0F00" w:rsidRPr="00B3157B" w:rsidP="00FE0F00" w14:paraId="354125D5" w14:textId="6B300B2E">
            <w:pPr>
              <w:spacing w:after="0"/>
              <w:rPr>
                <w:rFonts w:ascii="Arial Narrow" w:hAnsi="Arial Narrow"/>
                <w:sz w:val="22"/>
              </w:rPr>
            </w:pPr>
            <w:r w:rsidRPr="0506DD0C">
              <w:rPr>
                <w:rFonts w:ascii="Arial Narrow" w:eastAsia="Arial Narrow" w:hAnsi="Arial Narrow" w:cs="Arial Narrow"/>
                <w:color w:val="000000" w:themeColor="text1"/>
                <w:sz w:val="22"/>
                <w:vertAlign w:val="superscript"/>
              </w:rPr>
              <w:t xml:space="preserve">1 </w:t>
            </w:r>
            <w:r w:rsidRPr="0506DD0C">
              <w:rPr>
                <w:rFonts w:ascii="Arial Narrow" w:eastAsia="Arial Narrow" w:hAnsi="Arial Narrow" w:cs="Arial Narrow"/>
                <w:color w:val="000000" w:themeColor="text1"/>
                <w:sz w:val="22"/>
              </w:rPr>
              <w:t>Source: Employer Costs for Employee Compensation: December 202</w:t>
            </w:r>
            <w:r>
              <w:rPr>
                <w:rFonts w:ascii="Arial Narrow" w:eastAsia="Arial Narrow" w:hAnsi="Arial Narrow" w:cs="Arial Narrow"/>
                <w:color w:val="000000" w:themeColor="text1"/>
                <w:sz w:val="22"/>
              </w:rPr>
              <w:t>2</w:t>
            </w:r>
            <w:r w:rsidRPr="0506DD0C">
              <w:rPr>
                <w:rFonts w:ascii="Arial Narrow" w:eastAsia="Arial Narrow" w:hAnsi="Arial Narrow" w:cs="Arial Narrow"/>
                <w:color w:val="000000" w:themeColor="text1"/>
                <w:sz w:val="22"/>
              </w:rPr>
              <w:t xml:space="preserve"> (</w:t>
            </w:r>
            <w:r w:rsidRPr="0506DD0C">
              <w:rPr>
                <w:rFonts w:ascii="Arial Narrow" w:eastAsia="Arial Narrow" w:hAnsi="Arial Narrow" w:cs="Arial Narrow"/>
                <w:sz w:val="22"/>
              </w:rPr>
              <w:t>BLS 202</w:t>
            </w:r>
            <w:r>
              <w:rPr>
                <w:rFonts w:ascii="Arial Narrow" w:eastAsia="Arial Narrow" w:hAnsi="Arial Narrow" w:cs="Arial Narrow"/>
                <w:sz w:val="22"/>
              </w:rPr>
              <w:t>3</w:t>
            </w:r>
            <w:r w:rsidRPr="0506DD0C">
              <w:rPr>
                <w:rFonts w:ascii="Arial Narrow" w:eastAsia="Arial Narrow" w:hAnsi="Arial Narrow" w:cs="Arial Narrow"/>
                <w:sz w:val="22"/>
              </w:rPr>
              <w:t>a</w:t>
            </w:r>
            <w:r w:rsidRPr="0506DD0C">
              <w:rPr>
                <w:rFonts w:ascii="Arial Narrow" w:eastAsia="Arial Narrow" w:hAnsi="Arial Narrow" w:cs="Arial Narrow"/>
                <w:color w:val="000000" w:themeColor="text1"/>
                <w:sz w:val="22"/>
              </w:rPr>
              <w:t>); National Industry-Specific Occupational Employment and Wage Estimates, May 202</w:t>
            </w:r>
            <w:r>
              <w:rPr>
                <w:rFonts w:ascii="Arial Narrow" w:eastAsia="Arial Narrow" w:hAnsi="Arial Narrow" w:cs="Arial Narrow"/>
                <w:color w:val="000000" w:themeColor="text1"/>
                <w:sz w:val="22"/>
              </w:rPr>
              <w:t>2</w:t>
            </w:r>
            <w:r w:rsidRPr="0506DD0C">
              <w:rPr>
                <w:rFonts w:ascii="Arial Narrow" w:eastAsia="Arial Narrow" w:hAnsi="Arial Narrow" w:cs="Arial Narrow"/>
                <w:color w:val="000000" w:themeColor="text1"/>
                <w:sz w:val="22"/>
              </w:rPr>
              <w:t xml:space="preserve"> (</w:t>
            </w:r>
            <w:r w:rsidRPr="0506DD0C">
              <w:rPr>
                <w:rFonts w:ascii="Arial Narrow" w:eastAsia="Arial Narrow" w:hAnsi="Arial Narrow" w:cs="Arial Narrow"/>
                <w:sz w:val="22"/>
              </w:rPr>
              <w:t>BLS 202</w:t>
            </w:r>
            <w:r>
              <w:rPr>
                <w:rFonts w:ascii="Arial Narrow" w:eastAsia="Arial Narrow" w:hAnsi="Arial Narrow" w:cs="Arial Narrow"/>
                <w:sz w:val="22"/>
              </w:rPr>
              <w:t>3</w:t>
            </w:r>
            <w:r w:rsidRPr="0506DD0C">
              <w:rPr>
                <w:rFonts w:ascii="Arial Narrow" w:eastAsia="Arial Narrow" w:hAnsi="Arial Narrow" w:cs="Arial Narrow"/>
                <w:sz w:val="22"/>
              </w:rPr>
              <w:t>b</w:t>
            </w:r>
            <w:r w:rsidRPr="0506DD0C">
              <w:rPr>
                <w:rFonts w:ascii="Arial Narrow" w:eastAsia="Arial Narrow" w:hAnsi="Arial Narrow" w:cs="Arial Narrow"/>
                <w:color w:val="000000" w:themeColor="text1"/>
                <w:sz w:val="22"/>
              </w:rPr>
              <w:t>).</w:t>
            </w:r>
          </w:p>
          <w:p w:rsidR="00FE0F00" w:rsidRPr="00B3157B" w:rsidP="00FE0F00" w14:paraId="435E258E" w14:textId="3AB79E27">
            <w:pPr>
              <w:spacing w:after="0"/>
              <w:rPr>
                <w:rFonts w:ascii="Arial Narrow" w:hAnsi="Arial Narrow"/>
                <w:sz w:val="22"/>
              </w:rPr>
            </w:pPr>
            <w:r w:rsidRPr="0506DD0C">
              <w:rPr>
                <w:rFonts w:ascii="Arial Narrow" w:eastAsia="Arial Narrow" w:hAnsi="Arial Narrow" w:cs="Arial Narrow"/>
                <w:color w:val="000000" w:themeColor="text1"/>
                <w:sz w:val="22"/>
                <w:vertAlign w:val="superscript"/>
              </w:rPr>
              <w:t xml:space="preserve">2 </w:t>
            </w:r>
            <w:r w:rsidRPr="0506DD0C">
              <w:rPr>
                <w:rFonts w:ascii="Arial Narrow" w:eastAsia="Arial Narrow" w:hAnsi="Arial Narrow" w:cs="Arial Narrow"/>
                <w:color w:val="000000" w:themeColor="text1"/>
                <w:sz w:val="22"/>
              </w:rPr>
              <w:t>Source: Employer Costs for Employee Compensation: December 202</w:t>
            </w:r>
            <w:r>
              <w:rPr>
                <w:rFonts w:ascii="Arial Narrow" w:eastAsia="Arial Narrow" w:hAnsi="Arial Narrow" w:cs="Arial Narrow"/>
                <w:color w:val="000000" w:themeColor="text1"/>
                <w:sz w:val="22"/>
              </w:rPr>
              <w:t>2</w:t>
            </w:r>
            <w:r w:rsidRPr="0506DD0C">
              <w:rPr>
                <w:rFonts w:ascii="Arial Narrow" w:eastAsia="Arial Narrow" w:hAnsi="Arial Narrow" w:cs="Arial Narrow"/>
                <w:color w:val="000000" w:themeColor="text1"/>
                <w:sz w:val="22"/>
              </w:rPr>
              <w:t xml:space="preserve"> (</w:t>
            </w:r>
            <w:r w:rsidRPr="0506DD0C">
              <w:rPr>
                <w:rFonts w:ascii="Arial Narrow" w:eastAsia="Arial Narrow" w:hAnsi="Arial Narrow" w:cs="Arial Narrow"/>
                <w:sz w:val="22"/>
              </w:rPr>
              <w:t>BLS 202</w:t>
            </w:r>
            <w:r>
              <w:rPr>
                <w:rFonts w:ascii="Arial Narrow" w:eastAsia="Arial Narrow" w:hAnsi="Arial Narrow" w:cs="Arial Narrow"/>
                <w:sz w:val="22"/>
              </w:rPr>
              <w:t>3</w:t>
            </w:r>
            <w:r w:rsidRPr="0506DD0C">
              <w:rPr>
                <w:rFonts w:ascii="Arial Narrow" w:eastAsia="Arial Narrow" w:hAnsi="Arial Narrow" w:cs="Arial Narrow"/>
                <w:sz w:val="22"/>
              </w:rPr>
              <w:t>a</w:t>
            </w:r>
            <w:r w:rsidRPr="0506DD0C">
              <w:rPr>
                <w:rFonts w:ascii="Arial Narrow" w:eastAsia="Arial Narrow" w:hAnsi="Arial Narrow" w:cs="Arial Narrow"/>
                <w:color w:val="000000" w:themeColor="text1"/>
                <w:sz w:val="22"/>
              </w:rPr>
              <w:t>)</w:t>
            </w:r>
          </w:p>
          <w:p w:rsidR="00FE0F00" w:rsidRPr="00B3157B" w:rsidP="00FE0F00" w14:paraId="25B5AB17" w14:textId="61116126">
            <w:pPr>
              <w:spacing w:after="0"/>
              <w:rPr>
                <w:rFonts w:ascii="Arial Narrow" w:hAnsi="Arial Narrow"/>
                <w:sz w:val="22"/>
              </w:rPr>
            </w:pPr>
            <w:r w:rsidRPr="0506DD0C">
              <w:rPr>
                <w:rFonts w:ascii="Arial Narrow" w:eastAsia="Arial Narrow" w:hAnsi="Arial Narrow" w:cs="Arial Narrow"/>
                <w:color w:val="000000" w:themeColor="text1"/>
                <w:sz w:val="22"/>
                <w:vertAlign w:val="superscript"/>
              </w:rPr>
              <w:t xml:space="preserve">3 </w:t>
            </w:r>
            <w:r w:rsidRPr="0506DD0C">
              <w:rPr>
                <w:rFonts w:ascii="Arial Narrow" w:eastAsia="Arial Narrow" w:hAnsi="Arial Narrow" w:cs="Arial Narrow"/>
                <w:color w:val="000000" w:themeColor="text1"/>
                <w:sz w:val="22"/>
              </w:rPr>
              <w:t xml:space="preserve">An overhead rate of 20% is used based on assumptions in </w:t>
            </w:r>
            <w:r w:rsidRPr="0506DD0C">
              <w:rPr>
                <w:rFonts w:ascii="Arial Narrow" w:eastAsia="Arial Narrow" w:hAnsi="Arial Narrow" w:cs="Arial Narrow"/>
                <w:i/>
                <w:iCs/>
                <w:sz w:val="22"/>
              </w:rPr>
              <w:t>Handbook on Valuing Changes in Time Use Induced by Regulatory Requirements and other U.S. EPA Actions</w:t>
            </w:r>
            <w:r w:rsidRPr="0506DD0C">
              <w:rPr>
                <w:rFonts w:ascii="Arial Narrow" w:eastAsia="Arial Narrow" w:hAnsi="Arial Narrow" w:cs="Arial Narrow"/>
                <w:sz w:val="22"/>
              </w:rPr>
              <w:t xml:space="preserve"> (EPA 2020c)</w:t>
            </w:r>
            <w:r w:rsidRPr="0506DD0C">
              <w:rPr>
                <w:rFonts w:ascii="Arial Narrow" w:eastAsia="Arial Narrow" w:hAnsi="Arial Narrow" w:cs="Arial Narrow"/>
                <w:color w:val="000000" w:themeColor="text1"/>
                <w:sz w:val="22"/>
              </w:rPr>
              <w:t>.</w:t>
            </w:r>
          </w:p>
          <w:p w:rsidR="00FE0F00" w:rsidRPr="00B3157B" w:rsidP="00FE0F00" w14:paraId="3C01E18E" w14:textId="0E5EF834">
            <w:pPr>
              <w:spacing w:after="0"/>
              <w:rPr>
                <w:rFonts w:ascii="Arial Narrow" w:hAnsi="Arial Narrow"/>
                <w:sz w:val="22"/>
              </w:rPr>
            </w:pPr>
            <w:r w:rsidRPr="0506DD0C">
              <w:rPr>
                <w:rFonts w:ascii="Arial Narrow" w:eastAsia="Arial Narrow" w:hAnsi="Arial Narrow" w:cs="Arial Narrow"/>
                <w:color w:val="000000" w:themeColor="text1"/>
                <w:sz w:val="22"/>
                <w:vertAlign w:val="superscript"/>
              </w:rPr>
              <w:t xml:space="preserve">4 </w:t>
            </w:r>
            <w:r w:rsidRPr="0506DD0C">
              <w:rPr>
                <w:rFonts w:ascii="Arial Narrow" w:eastAsia="Arial Narrow" w:hAnsi="Arial Narrow" w:cs="Arial Narrow"/>
                <w:color w:val="000000" w:themeColor="text1"/>
                <w:sz w:val="22"/>
              </w:rPr>
              <w:t>Values may not sum due to rounding. Wage rates are rounded to the nearest cent.</w:t>
            </w:r>
          </w:p>
        </w:tc>
      </w:tr>
    </w:tbl>
    <w:p w:rsidR="0044529D" w:rsidRPr="008A70BD" w:rsidP="58920D6B" w14:paraId="7A50F510" w14:textId="2DE7B591">
      <w:pPr>
        <w:rPr>
          <w:rFonts w:eastAsia="Arial" w:cs="Arial"/>
          <w:szCs w:val="24"/>
        </w:rPr>
      </w:pPr>
    </w:p>
    <w:p w:rsidR="0044529D" w:rsidRPr="008A70BD" w:rsidP="58920D6B" w14:paraId="7A375674" w14:textId="020062AA">
      <w:pPr>
        <w:pStyle w:val="Heading1"/>
        <w:rPr>
          <w:rFonts w:eastAsia="MS PMincho" w:cs="Arial"/>
          <w:szCs w:val="24"/>
        </w:rPr>
      </w:pPr>
    </w:p>
    <w:sectPr w:rsidSect="003379A4">
      <w:headerReference w:type="default" r:id="rId13"/>
      <w:footerReference w:type="default" r:id="rId14"/>
      <w:pgSz w:w="12240" w:h="15840" w:code="1"/>
      <w:pgMar w:top="1440" w:right="806" w:bottom="1440" w:left="994" w:header="576" w:footer="288"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0380649"/>
      <w:docPartObj>
        <w:docPartGallery w:val="Page Numbers (Bottom of Page)"/>
        <w:docPartUnique/>
      </w:docPartObj>
    </w:sdtPr>
    <w:sdtContent>
      <w:sdt>
        <w:sdtPr>
          <w:id w:val="-261991045"/>
          <w:docPartObj>
            <w:docPartGallery w:val="Page Numbers (Top of Page)"/>
            <w:docPartUnique/>
          </w:docPartObj>
        </w:sdtPr>
        <w:sdtContent>
          <w:p w:rsidR="004F4342" w:rsidP="006E6812" w14:paraId="51FF8415" w14:textId="77777777">
            <w:pPr>
              <w:pStyle w:val="Footer"/>
              <w:spacing w:before="120"/>
            </w:pPr>
            <w:r w:rsidRPr="002B34A0">
              <w:rPr>
                <w:sz w:val="20"/>
                <w:szCs w:val="20"/>
              </w:rPr>
              <w:t xml:space="preserve">Page </w:t>
            </w:r>
            <w:r w:rsidRPr="002B34A0">
              <w:rPr>
                <w:sz w:val="20"/>
                <w:szCs w:val="20"/>
              </w:rPr>
              <w:fldChar w:fldCharType="begin"/>
            </w:r>
            <w:r w:rsidRPr="002B34A0">
              <w:rPr>
                <w:sz w:val="20"/>
                <w:szCs w:val="20"/>
              </w:rPr>
              <w:instrText xml:space="preserve"> PAGE </w:instrText>
            </w:r>
            <w:r w:rsidRPr="002B34A0">
              <w:rPr>
                <w:sz w:val="20"/>
                <w:szCs w:val="20"/>
              </w:rPr>
              <w:fldChar w:fldCharType="separate"/>
            </w:r>
            <w:r>
              <w:rPr>
                <w:noProof/>
                <w:sz w:val="20"/>
                <w:szCs w:val="20"/>
              </w:rPr>
              <w:t>1</w:t>
            </w:r>
            <w:r w:rsidRPr="002B34A0">
              <w:rPr>
                <w:sz w:val="20"/>
                <w:szCs w:val="20"/>
              </w:rPr>
              <w:fldChar w:fldCharType="end"/>
            </w:r>
            <w:r w:rsidRPr="002B34A0">
              <w:rPr>
                <w:sz w:val="20"/>
                <w:szCs w:val="20"/>
              </w:rPr>
              <w:t xml:space="preserve"> of </w:t>
            </w:r>
            <w:r w:rsidRPr="002B34A0">
              <w:rPr>
                <w:sz w:val="20"/>
                <w:szCs w:val="20"/>
              </w:rPr>
              <w:fldChar w:fldCharType="begin"/>
            </w:r>
            <w:r w:rsidRPr="002B34A0">
              <w:rPr>
                <w:sz w:val="20"/>
                <w:szCs w:val="20"/>
              </w:rPr>
              <w:instrText xml:space="preserve"> NUMPAGES  </w:instrText>
            </w:r>
            <w:r w:rsidRPr="002B34A0">
              <w:rPr>
                <w:sz w:val="20"/>
                <w:szCs w:val="20"/>
              </w:rPr>
              <w:fldChar w:fldCharType="separate"/>
            </w:r>
            <w:r>
              <w:rPr>
                <w:noProof/>
                <w:sz w:val="20"/>
                <w:szCs w:val="20"/>
              </w:rPr>
              <w:t>33</w:t>
            </w:r>
            <w:r w:rsidRPr="002B34A0">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9382630"/>
      <w:docPartObj>
        <w:docPartGallery w:val="Page Numbers (Bottom of Page)"/>
        <w:docPartUnique/>
      </w:docPartObj>
    </w:sdtPr>
    <w:sdtContent>
      <w:sdt>
        <w:sdtPr>
          <w:id w:val="-1705238520"/>
          <w:docPartObj>
            <w:docPartGallery w:val="Page Numbers (Top of Page)"/>
            <w:docPartUnique/>
          </w:docPartObj>
        </w:sdtPr>
        <w:sdtContent>
          <w:p w:rsidR="002E64B1" w:rsidRPr="00041E4F" w:rsidP="00041E4F" w14:paraId="7F6369D3" w14:textId="62726952">
            <w:pPr>
              <w:pStyle w:val="Footer"/>
            </w:pPr>
            <w:r w:rsidRPr="00041E4F">
              <w:t xml:space="preserve">Page </w:t>
            </w:r>
            <w:r w:rsidRPr="00041E4F">
              <w:fldChar w:fldCharType="begin"/>
            </w:r>
            <w:r w:rsidRPr="00041E4F">
              <w:instrText xml:space="preserve"> PAGE </w:instrText>
            </w:r>
            <w:r w:rsidRPr="00041E4F">
              <w:fldChar w:fldCharType="separate"/>
            </w:r>
            <w:r w:rsidRPr="00041E4F">
              <w:t>2</w:t>
            </w:r>
            <w:r w:rsidRPr="00041E4F">
              <w:fldChar w:fldCharType="end"/>
            </w:r>
            <w:r w:rsidRPr="00041E4F">
              <w:t xml:space="preserve"> of </w:t>
            </w:r>
            <w:r>
              <w:fldChar w:fldCharType="begin"/>
            </w:r>
            <w:r>
              <w:instrText>NUMPAGES</w:instrText>
            </w:r>
            <w:r>
              <w:fldChar w:fldCharType="separate"/>
            </w:r>
            <w:r w:rsidRPr="00041E4F">
              <w:t>2</w:t>
            </w:r>
            <w: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4B1" w:rsidRPr="00041E4F" w:rsidP="00041E4F" w14:paraId="6AD744E1" w14:textId="001F6FE0">
    <w:pPr>
      <w:pStyle w:val="Header"/>
    </w:pPr>
    <w:sdt>
      <w:sdtPr>
        <w:alias w:val="Version"/>
        <w:tag w:val="Version"/>
        <w:id w:val="1456983313"/>
        <w:placeholder>
          <w:docPart w:val="E43A35DED13B4AE096B05542BEB87C4D"/>
        </w:placeholder>
        <w:dropDownList w:lastValue="OMB Review Version">
          <w:listItem w:value="Public Review Version" w:displayText="Public Review Version"/>
          <w:listItem w:value="OMB Review Version" w:displayText="OMB Review Version"/>
        </w:dropDownList>
      </w:sdtPr>
      <w:sdtContent>
        <w:r>
          <w:t>OMB Review Version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A905C00"/>
    <w:lvl w:ilvl="0">
      <w:start w:val="1"/>
      <w:numFmt w:val="decimal"/>
      <w:lvlText w:val="%1."/>
      <w:lvlJc w:val="left"/>
      <w:pPr>
        <w:tabs>
          <w:tab w:val="num" w:pos="1800"/>
        </w:tabs>
        <w:ind w:left="1800" w:hanging="360"/>
      </w:pPr>
    </w:lvl>
  </w:abstractNum>
  <w:abstractNum w:abstractNumId="1">
    <w:nsid w:val="FFFFFF7D"/>
    <w:multiLevelType w:val="singleLevel"/>
    <w:tmpl w:val="B52E3F82"/>
    <w:lvl w:ilvl="0">
      <w:start w:val="1"/>
      <w:numFmt w:val="decimal"/>
      <w:lvlText w:val="%1."/>
      <w:lvlJc w:val="left"/>
      <w:pPr>
        <w:tabs>
          <w:tab w:val="num" w:pos="1440"/>
        </w:tabs>
        <w:ind w:left="1440" w:hanging="360"/>
      </w:pPr>
    </w:lvl>
  </w:abstractNum>
  <w:abstractNum w:abstractNumId="2">
    <w:nsid w:val="FFFFFF7E"/>
    <w:multiLevelType w:val="singleLevel"/>
    <w:tmpl w:val="EBACA476"/>
    <w:lvl w:ilvl="0">
      <w:start w:val="1"/>
      <w:numFmt w:val="decimal"/>
      <w:lvlText w:val="%1."/>
      <w:lvlJc w:val="left"/>
      <w:pPr>
        <w:tabs>
          <w:tab w:val="num" w:pos="1080"/>
        </w:tabs>
        <w:ind w:left="1080" w:hanging="360"/>
      </w:pPr>
    </w:lvl>
  </w:abstractNum>
  <w:abstractNum w:abstractNumId="3">
    <w:nsid w:val="FFFFFF7F"/>
    <w:multiLevelType w:val="singleLevel"/>
    <w:tmpl w:val="1E145E24"/>
    <w:lvl w:ilvl="0">
      <w:start w:val="1"/>
      <w:numFmt w:val="decimal"/>
      <w:lvlText w:val="%1."/>
      <w:lvlJc w:val="left"/>
      <w:pPr>
        <w:tabs>
          <w:tab w:val="num" w:pos="720"/>
        </w:tabs>
        <w:ind w:left="720" w:hanging="360"/>
      </w:pPr>
    </w:lvl>
  </w:abstractNum>
  <w:abstractNum w:abstractNumId="4">
    <w:nsid w:val="FFFFFF80"/>
    <w:multiLevelType w:val="singleLevel"/>
    <w:tmpl w:val="80EC7F3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31CBE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684C5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196A9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6823AC6"/>
    <w:lvl w:ilvl="0">
      <w:start w:val="1"/>
      <w:numFmt w:val="decimal"/>
      <w:lvlText w:val="%1."/>
      <w:lvlJc w:val="left"/>
      <w:pPr>
        <w:tabs>
          <w:tab w:val="num" w:pos="360"/>
        </w:tabs>
        <w:ind w:left="360" w:hanging="360"/>
      </w:pPr>
    </w:lvl>
  </w:abstractNum>
  <w:abstractNum w:abstractNumId="9">
    <w:nsid w:val="FFFFFF89"/>
    <w:multiLevelType w:val="singleLevel"/>
    <w:tmpl w:val="B57CC7B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4C1A13B4"/>
    <w:lvl w:ilvl="0">
      <w:start w:val="1"/>
      <w:numFmt w:val="decimal"/>
      <w:lvlText w:val="%1."/>
      <w:lvlJc w:val="left"/>
      <w:pPr>
        <w:tabs>
          <w:tab w:val="num" w:pos="1440"/>
        </w:tabs>
        <w:ind w:left="1440" w:hanging="720"/>
      </w:p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11">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1BB0C35"/>
    <w:multiLevelType w:val="hybridMultilevel"/>
    <w:tmpl w:val="F8E28AC8"/>
    <w:lvl w:ilvl="0">
      <w:start w:val="3"/>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5611428"/>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05A1231B"/>
    <w:multiLevelType w:val="hybridMultilevel"/>
    <w:tmpl w:val="F3D60D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08CD4E5E"/>
    <w:multiLevelType w:val="hybridMultilevel"/>
    <w:tmpl w:val="69287F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1FC1CB7"/>
    <w:multiLevelType w:val="hybridMultilevel"/>
    <w:tmpl w:val="8FB453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595279B"/>
    <w:multiLevelType w:val="hybridMultilevel"/>
    <w:tmpl w:val="BA8AE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5B450A3"/>
    <w:multiLevelType w:val="hybridMultilevel"/>
    <w:tmpl w:val="AC8288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7763E67"/>
    <w:multiLevelType w:val="hybridMultilevel"/>
    <w:tmpl w:val="54F6F188"/>
    <w:lvl w:ilvl="0">
      <w:start w:val="1"/>
      <w:numFmt w:val="bullet"/>
      <w:lvlText w:val=""/>
      <w:lvlJc w:val="left"/>
      <w:pPr>
        <w:tabs>
          <w:tab w:val="num" w:pos="432"/>
        </w:tabs>
        <w:ind w:left="72" w:firstLine="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17AB41BF"/>
    <w:multiLevelType w:val="hybridMultilevel"/>
    <w:tmpl w:val="0D6EAE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1CD00714"/>
    <w:multiLevelType w:val="hybridMultilevel"/>
    <w:tmpl w:val="41E8CA4C"/>
    <w:lvl w:ilvl="0">
      <w:start w:val="1"/>
      <w:numFmt w:val="bullet"/>
      <w:lvlText w:val=""/>
      <w:lvlJc w:val="left"/>
      <w:pPr>
        <w:tabs>
          <w:tab w:val="num" w:pos="1181"/>
        </w:tabs>
        <w:ind w:left="1181" w:hanging="389"/>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1CEC522B"/>
    <w:multiLevelType w:val="multilevel"/>
    <w:tmpl w:val="6DB41724"/>
    <w:lvl w:ilvl="0">
      <w:start w:val="1"/>
      <w:numFmt w:val="decimal"/>
      <w:lvlText w:val="%1"/>
      <w:lvlJc w:val="left"/>
      <w:pPr>
        <w:ind w:left="1440" w:hanging="21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23">
    <w:nsid w:val="251D7E40"/>
    <w:multiLevelType w:val="hybridMultilevel"/>
    <w:tmpl w:val="51FC84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6E00E00"/>
    <w:multiLevelType w:val="multilevel"/>
    <w:tmpl w:val="F370AFD8"/>
    <w:lvl w:ilvl="0">
      <w:start w:val="2"/>
      <w:numFmt w:val="decimal"/>
      <w:lvlText w:val="%1. "/>
      <w:lvlJc w:val="left"/>
      <w:pPr>
        <w:tabs>
          <w:tab w:val="num" w:pos="360"/>
        </w:tabs>
        <w:ind w:left="360" w:hanging="360"/>
      </w:pPr>
      <w:rPr>
        <w:rFonts w:hint="default"/>
        <w:b/>
        <w:i w:val="0"/>
      </w:rPr>
    </w:lvl>
    <w:lvl w:ilvl="1">
      <w:start w:val="1"/>
      <w:numFmt w:val="lowerLetter"/>
      <w:lvlText w:val="%1(%2). "/>
      <w:lvlJc w:val="left"/>
      <w:pPr>
        <w:tabs>
          <w:tab w:val="num" w:pos="720"/>
        </w:tabs>
        <w:ind w:left="720" w:hanging="360"/>
      </w:pPr>
      <w:rPr>
        <w:rFonts w:hint="default"/>
        <w:b/>
        <w:i w:val="0"/>
      </w:rPr>
    </w:lvl>
    <w:lvl w:ilvl="2">
      <w:start w:val="1"/>
      <w:numFmt w:val="lowerRoman"/>
      <w:lvlText w:val="%1(%2)(%3). "/>
      <w:lvlJc w:val="left"/>
      <w:pPr>
        <w:tabs>
          <w:tab w:val="num" w:pos="1080"/>
        </w:tabs>
        <w:ind w:left="1080" w:hanging="360"/>
      </w:pPr>
      <w:rPr>
        <w:rFonts w:hint="default"/>
        <w:b/>
        <w:i w:val="0"/>
      </w:rPr>
    </w:lvl>
    <w:lvl w:ilvl="3">
      <w:start w:val="1"/>
      <w:numFmt w:val="decimal"/>
      <w:lvlText w:val="%1(%2)(%3)(%4). "/>
      <w:lvlJc w:val="left"/>
      <w:pPr>
        <w:tabs>
          <w:tab w:val="num" w:pos="1440"/>
        </w:tabs>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272C7609"/>
    <w:multiLevelType w:val="multilevel"/>
    <w:tmpl w:val="F370AFD8"/>
    <w:lvl w:ilvl="0">
      <w:start w:val="2"/>
      <w:numFmt w:val="decimal"/>
      <w:lvlText w:val="%1. "/>
      <w:lvlJc w:val="left"/>
      <w:pPr>
        <w:tabs>
          <w:tab w:val="num" w:pos="360"/>
        </w:tabs>
        <w:ind w:left="360" w:hanging="360"/>
      </w:pPr>
      <w:rPr>
        <w:rFonts w:hint="default"/>
        <w:b/>
        <w:i w:val="0"/>
      </w:rPr>
    </w:lvl>
    <w:lvl w:ilvl="1">
      <w:start w:val="1"/>
      <w:numFmt w:val="lowerLetter"/>
      <w:lvlText w:val="%1(%2). "/>
      <w:lvlJc w:val="left"/>
      <w:pPr>
        <w:tabs>
          <w:tab w:val="num" w:pos="720"/>
        </w:tabs>
        <w:ind w:left="720" w:hanging="360"/>
      </w:pPr>
      <w:rPr>
        <w:rFonts w:hint="default"/>
        <w:b/>
        <w:i w:val="0"/>
      </w:rPr>
    </w:lvl>
    <w:lvl w:ilvl="2">
      <w:start w:val="1"/>
      <w:numFmt w:val="lowerRoman"/>
      <w:lvlText w:val="%1(%2)(%3). "/>
      <w:lvlJc w:val="left"/>
      <w:pPr>
        <w:tabs>
          <w:tab w:val="num" w:pos="1080"/>
        </w:tabs>
        <w:ind w:left="1080" w:hanging="360"/>
      </w:pPr>
      <w:rPr>
        <w:rFonts w:hint="default"/>
        <w:b/>
        <w:i w:val="0"/>
      </w:rPr>
    </w:lvl>
    <w:lvl w:ilvl="3">
      <w:start w:val="1"/>
      <w:numFmt w:val="decimal"/>
      <w:lvlText w:val="%1(%2)(%3)(%4). "/>
      <w:lvlJc w:val="left"/>
      <w:pPr>
        <w:tabs>
          <w:tab w:val="num" w:pos="1440"/>
        </w:tabs>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2E3E4E9B"/>
    <w:multiLevelType w:val="hybridMultilevel"/>
    <w:tmpl w:val="CA026D66"/>
    <w:lvl w:ilvl="0">
      <w:start w:val="0"/>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nsid w:val="31315396"/>
    <w:multiLevelType w:val="hybridMultilevel"/>
    <w:tmpl w:val="7F3A38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4CD47A6"/>
    <w:multiLevelType w:val="hybridMultilevel"/>
    <w:tmpl w:val="12C6B7EE"/>
    <w:lvl w:ilvl="0">
      <w:start w:val="1"/>
      <w:numFmt w:val="bullet"/>
      <w:lvlText w:val=""/>
      <w:lvlJc w:val="left"/>
      <w:pPr>
        <w:tabs>
          <w:tab w:val="num" w:pos="1512"/>
        </w:tabs>
        <w:ind w:left="1224" w:hanging="72"/>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9">
    <w:nsid w:val="3A033D3F"/>
    <w:multiLevelType w:val="hybridMultilevel"/>
    <w:tmpl w:val="41E8CA4C"/>
    <w:lvl w:ilvl="0">
      <w:start w:val="1"/>
      <w:numFmt w:val="bullet"/>
      <w:lvlText w:val=""/>
      <w:lvlJc w:val="left"/>
      <w:pPr>
        <w:tabs>
          <w:tab w:val="num" w:pos="418"/>
        </w:tabs>
        <w:ind w:left="72" w:hanging="14"/>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3B9A4936"/>
    <w:multiLevelType w:val="hybridMultilevel"/>
    <w:tmpl w:val="16F05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CAF3C84"/>
    <w:multiLevelType w:val="hybridMultilevel"/>
    <w:tmpl w:val="194E275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42E041D7"/>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33">
    <w:nsid w:val="43D217E4"/>
    <w:multiLevelType w:val="hybridMultilevel"/>
    <w:tmpl w:val="97B4518A"/>
    <w:lvl w:ilvl="0">
      <w:start w:val="1"/>
      <w:numFmt w:val="bullet"/>
      <w:lvlText w:val=""/>
      <w:lvlJc w:val="left"/>
      <w:pPr>
        <w:tabs>
          <w:tab w:val="num" w:pos="432"/>
        </w:tabs>
        <w:ind w:left="72" w:firstLine="0"/>
      </w:pPr>
      <w:rPr>
        <w:rFonts w:ascii="Symbol" w:hAnsi="Symbol" w:hint="default"/>
        <w:sz w:val="20"/>
      </w:rPr>
    </w:lvl>
    <w:lvl w:ilvl="1">
      <w:start w:val="1"/>
      <w:numFmt w:val="bullet"/>
      <w:lvlText w:val=""/>
      <w:lvlJc w:val="left"/>
      <w:pPr>
        <w:tabs>
          <w:tab w:val="num" w:pos="1469"/>
        </w:tabs>
        <w:ind w:left="1469" w:hanging="389"/>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45505BB7"/>
    <w:multiLevelType w:val="hybridMultilevel"/>
    <w:tmpl w:val="6C604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63059B8"/>
    <w:multiLevelType w:val="multilevel"/>
    <w:tmpl w:val="CD000710"/>
    <w:lvl w:ilvl="0">
      <w:start w:val="1"/>
      <w:numFmt w:val="decimal"/>
      <w:lvlText w:val="%1. "/>
      <w:lvlJc w:val="left"/>
      <w:pPr>
        <w:ind w:left="360" w:hanging="360"/>
      </w:pPr>
      <w:rPr>
        <w:rFonts w:hint="default"/>
        <w:b/>
      </w:rPr>
    </w:lvl>
    <w:lvl w:ilvl="1">
      <w:start w:val="1"/>
      <w:numFmt w:val="lowerLetter"/>
      <w:lvlText w:val="%1(%2). "/>
      <w:lvlJc w:val="left"/>
      <w:pPr>
        <w:ind w:left="720" w:hanging="360"/>
      </w:pPr>
      <w:rPr>
        <w:rFonts w:hint="default"/>
        <w:b/>
      </w:rPr>
    </w:lvl>
    <w:lvl w:ilvl="2">
      <w:start w:val="1"/>
      <w:numFmt w:val="lowerRoman"/>
      <w:lvlText w:val="%1(%2)(%3). "/>
      <w:lvlJc w:val="left"/>
      <w:pPr>
        <w:ind w:left="1080" w:hanging="360"/>
      </w:pPr>
      <w:rPr>
        <w:rFonts w:hint="default"/>
      </w:rPr>
    </w:lvl>
    <w:lvl w:ilvl="3">
      <w:start w:val="1"/>
      <w:numFmt w:val="decimal"/>
      <w:lvlText w:val="%1(%2)(%3)(%4). "/>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A5E2EC8"/>
    <w:multiLevelType w:val="hybridMultilevel"/>
    <w:tmpl w:val="B47EDA22"/>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4DFE3FF5"/>
    <w:multiLevelType w:val="hybridMultilevel"/>
    <w:tmpl w:val="41E8CA4C"/>
    <w:lvl w:ilvl="0">
      <w:start w:val="1"/>
      <w:numFmt w:val="bullet"/>
      <w:lvlText w:val=""/>
      <w:lvlJc w:val="left"/>
      <w:pPr>
        <w:tabs>
          <w:tab w:val="num" w:pos="1152"/>
        </w:tabs>
        <w:ind w:left="1152"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nsid w:val="4F60520F"/>
    <w:multiLevelType w:val="hybridMultilevel"/>
    <w:tmpl w:val="113EF8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3B1795D"/>
    <w:multiLevelType w:val="hybridMultilevel"/>
    <w:tmpl w:val="5E822F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5A7A55BD"/>
    <w:multiLevelType w:val="hybridMultilevel"/>
    <w:tmpl w:val="065C749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B226AF9"/>
    <w:multiLevelType w:val="hybridMultilevel"/>
    <w:tmpl w:val="493841B0"/>
    <w:lvl w:ilvl="0">
      <w:start w:val="1"/>
      <w:numFmt w:val="bullet"/>
      <w:lvlText w:val=""/>
      <w:lvlJc w:val="left"/>
      <w:pPr>
        <w:tabs>
          <w:tab w:val="num" w:pos="1152"/>
        </w:tabs>
        <w:ind w:left="115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5B3839E0"/>
    <w:multiLevelType w:val="hybridMultilevel"/>
    <w:tmpl w:val="2786BC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F616262"/>
    <w:multiLevelType w:val="hybridMultilevel"/>
    <w:tmpl w:val="047077F0"/>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3643F2B"/>
    <w:multiLevelType w:val="hybridMultilevel"/>
    <w:tmpl w:val="44DAF4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66366440"/>
    <w:multiLevelType w:val="hybridMultilevel"/>
    <w:tmpl w:val="54546F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6C827D4A"/>
    <w:multiLevelType w:val="hybridMultilevel"/>
    <w:tmpl w:val="1988E978"/>
    <w:lvl w:ilvl="0">
      <w:start w:val="1"/>
      <w:numFmt w:val="bullet"/>
      <w:lvlText w:val=""/>
      <w:lvlJc w:val="left"/>
      <w:pPr>
        <w:tabs>
          <w:tab w:val="num" w:pos="1080"/>
        </w:tabs>
        <w:ind w:left="792" w:hanging="72"/>
      </w:pPr>
      <w:rPr>
        <w:rFonts w:ascii="Symbol" w:hAnsi="Symbol" w:hint="default"/>
        <w:sz w:val="20"/>
      </w:rPr>
    </w:lvl>
    <w:lvl w:ilvl="1">
      <w:start w:val="1"/>
      <w:numFmt w:val="bullet"/>
      <w:lvlText w:val=""/>
      <w:lvlJc w:val="left"/>
      <w:pPr>
        <w:tabs>
          <w:tab w:val="num" w:pos="2088"/>
        </w:tabs>
        <w:ind w:left="1728" w:firstLine="0"/>
      </w:pPr>
      <w:rPr>
        <w:rFonts w:ascii="Symbol" w:hAnsi="Symbol" w:hint="default"/>
        <w:sz w:val="20"/>
      </w:rPr>
    </w:lvl>
    <w:lvl w:ilvl="2">
      <w:start w:val="0"/>
      <w:numFmt w:val="bullet"/>
      <w:lvlText w:val="–"/>
      <w:lvlJc w:val="left"/>
      <w:pPr>
        <w:tabs>
          <w:tab w:val="num" w:pos="2808"/>
        </w:tabs>
        <w:ind w:left="2808" w:hanging="360"/>
      </w:pPr>
      <w:rPr>
        <w:rFonts w:ascii="Times New Roman" w:eastAsia="Times New Roman" w:hAnsi="Times New Roman" w:cs="Times New Roman" w:hint="default"/>
      </w:rPr>
    </w:lvl>
    <w:lvl w:ilvl="3" w:tentative="1">
      <w:start w:val="1"/>
      <w:numFmt w:val="bullet"/>
      <w:lvlText w:val=""/>
      <w:lvlJc w:val="left"/>
      <w:pPr>
        <w:tabs>
          <w:tab w:val="num" w:pos="3528"/>
        </w:tabs>
        <w:ind w:left="3528" w:hanging="360"/>
      </w:pPr>
      <w:rPr>
        <w:rFonts w:ascii="Symbol" w:hAnsi="Symbol" w:hint="default"/>
      </w:rPr>
    </w:lvl>
    <w:lvl w:ilvl="4" w:tentative="1">
      <w:start w:val="1"/>
      <w:numFmt w:val="bullet"/>
      <w:lvlText w:val="o"/>
      <w:lvlJc w:val="left"/>
      <w:pPr>
        <w:tabs>
          <w:tab w:val="num" w:pos="4248"/>
        </w:tabs>
        <w:ind w:left="4248" w:hanging="360"/>
      </w:pPr>
      <w:rPr>
        <w:rFonts w:ascii="Courier New" w:hAnsi="Courier New" w:hint="default"/>
      </w:rPr>
    </w:lvl>
    <w:lvl w:ilvl="5" w:tentative="1">
      <w:start w:val="1"/>
      <w:numFmt w:val="bullet"/>
      <w:lvlText w:val=""/>
      <w:lvlJc w:val="left"/>
      <w:pPr>
        <w:tabs>
          <w:tab w:val="num" w:pos="4968"/>
        </w:tabs>
        <w:ind w:left="4968" w:hanging="360"/>
      </w:pPr>
      <w:rPr>
        <w:rFonts w:ascii="Wingdings" w:hAnsi="Wingdings" w:hint="default"/>
      </w:rPr>
    </w:lvl>
    <w:lvl w:ilvl="6" w:tentative="1">
      <w:start w:val="1"/>
      <w:numFmt w:val="bullet"/>
      <w:lvlText w:val=""/>
      <w:lvlJc w:val="left"/>
      <w:pPr>
        <w:tabs>
          <w:tab w:val="num" w:pos="5688"/>
        </w:tabs>
        <w:ind w:left="5688" w:hanging="360"/>
      </w:pPr>
      <w:rPr>
        <w:rFonts w:ascii="Symbol" w:hAnsi="Symbol" w:hint="default"/>
      </w:rPr>
    </w:lvl>
    <w:lvl w:ilvl="7" w:tentative="1">
      <w:start w:val="1"/>
      <w:numFmt w:val="bullet"/>
      <w:lvlText w:val="o"/>
      <w:lvlJc w:val="left"/>
      <w:pPr>
        <w:tabs>
          <w:tab w:val="num" w:pos="6408"/>
        </w:tabs>
        <w:ind w:left="6408" w:hanging="360"/>
      </w:pPr>
      <w:rPr>
        <w:rFonts w:ascii="Courier New" w:hAnsi="Courier New" w:hint="default"/>
      </w:rPr>
    </w:lvl>
    <w:lvl w:ilvl="8" w:tentative="1">
      <w:start w:val="1"/>
      <w:numFmt w:val="bullet"/>
      <w:lvlText w:val=""/>
      <w:lvlJc w:val="left"/>
      <w:pPr>
        <w:tabs>
          <w:tab w:val="num" w:pos="7128"/>
        </w:tabs>
        <w:ind w:left="7128" w:hanging="360"/>
      </w:pPr>
      <w:rPr>
        <w:rFonts w:ascii="Wingdings" w:hAnsi="Wingdings" w:hint="default"/>
      </w:rPr>
    </w:lvl>
  </w:abstractNum>
  <w:abstractNum w:abstractNumId="47">
    <w:nsid w:val="6DB91FFE"/>
    <w:multiLevelType w:val="multilevel"/>
    <w:tmpl w:val="F370AFD8"/>
    <w:lvl w:ilvl="0">
      <w:start w:val="2"/>
      <w:numFmt w:val="decimal"/>
      <w:lvlText w:val="%1. "/>
      <w:lvlJc w:val="left"/>
      <w:pPr>
        <w:tabs>
          <w:tab w:val="num" w:pos="360"/>
        </w:tabs>
        <w:ind w:left="360" w:hanging="360"/>
      </w:pPr>
      <w:rPr>
        <w:rFonts w:hint="default"/>
        <w:b/>
        <w:i w:val="0"/>
      </w:rPr>
    </w:lvl>
    <w:lvl w:ilvl="1">
      <w:start w:val="1"/>
      <w:numFmt w:val="lowerLetter"/>
      <w:lvlText w:val="%1(%2). "/>
      <w:lvlJc w:val="left"/>
      <w:pPr>
        <w:tabs>
          <w:tab w:val="num" w:pos="720"/>
        </w:tabs>
        <w:ind w:left="720" w:hanging="360"/>
      </w:pPr>
      <w:rPr>
        <w:rFonts w:hint="default"/>
        <w:b/>
        <w:i w:val="0"/>
      </w:rPr>
    </w:lvl>
    <w:lvl w:ilvl="2">
      <w:start w:val="1"/>
      <w:numFmt w:val="lowerRoman"/>
      <w:lvlText w:val="%1(%2)(%3). "/>
      <w:lvlJc w:val="left"/>
      <w:pPr>
        <w:tabs>
          <w:tab w:val="num" w:pos="1080"/>
        </w:tabs>
        <w:ind w:left="1080" w:hanging="360"/>
      </w:pPr>
      <w:rPr>
        <w:rFonts w:hint="default"/>
        <w:b/>
        <w:i w:val="0"/>
      </w:rPr>
    </w:lvl>
    <w:lvl w:ilvl="3">
      <w:start w:val="1"/>
      <w:numFmt w:val="decimal"/>
      <w:lvlText w:val="%1(%2)(%3)(%4). "/>
      <w:lvlJc w:val="left"/>
      <w:pPr>
        <w:tabs>
          <w:tab w:val="num" w:pos="1440"/>
        </w:tabs>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6E7E353A"/>
    <w:multiLevelType w:val="multilevel"/>
    <w:tmpl w:val="F370AFD8"/>
    <w:lvl w:ilvl="0">
      <w:start w:val="2"/>
      <w:numFmt w:val="decimal"/>
      <w:lvlText w:val="%1. "/>
      <w:lvlJc w:val="left"/>
      <w:pPr>
        <w:tabs>
          <w:tab w:val="num" w:pos="360"/>
        </w:tabs>
        <w:ind w:left="360" w:hanging="360"/>
      </w:pPr>
      <w:rPr>
        <w:rFonts w:hint="default"/>
        <w:b/>
        <w:i w:val="0"/>
      </w:rPr>
    </w:lvl>
    <w:lvl w:ilvl="1">
      <w:start w:val="1"/>
      <w:numFmt w:val="lowerLetter"/>
      <w:lvlText w:val="%1(%2). "/>
      <w:lvlJc w:val="left"/>
      <w:pPr>
        <w:tabs>
          <w:tab w:val="num" w:pos="720"/>
        </w:tabs>
        <w:ind w:left="720" w:hanging="360"/>
      </w:pPr>
      <w:rPr>
        <w:rFonts w:hint="default"/>
        <w:b/>
        <w:i w:val="0"/>
      </w:rPr>
    </w:lvl>
    <w:lvl w:ilvl="2">
      <w:start w:val="1"/>
      <w:numFmt w:val="lowerRoman"/>
      <w:lvlText w:val="%1(%2)(%3). "/>
      <w:lvlJc w:val="left"/>
      <w:pPr>
        <w:tabs>
          <w:tab w:val="num" w:pos="1080"/>
        </w:tabs>
        <w:ind w:left="1080" w:hanging="360"/>
      </w:pPr>
      <w:rPr>
        <w:rFonts w:hint="default"/>
        <w:b/>
        <w:i w:val="0"/>
      </w:rPr>
    </w:lvl>
    <w:lvl w:ilvl="3">
      <w:start w:val="1"/>
      <w:numFmt w:val="decimal"/>
      <w:lvlText w:val="%1(%2)(%3)(%4). "/>
      <w:lvlJc w:val="left"/>
      <w:pPr>
        <w:tabs>
          <w:tab w:val="num" w:pos="1440"/>
        </w:tabs>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716849C4"/>
    <w:multiLevelType w:val="hybridMultilevel"/>
    <w:tmpl w:val="F2BCA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7D18566B"/>
    <w:multiLevelType w:val="hybridMultilevel"/>
    <w:tmpl w:val="41E8CA4C"/>
    <w:lvl w:ilvl="0">
      <w:start w:val="1"/>
      <w:numFmt w:val="bullet"/>
      <w:lvlText w:val=""/>
      <w:lvlJc w:val="left"/>
      <w:pPr>
        <w:tabs>
          <w:tab w:val="num" w:pos="1152"/>
        </w:tabs>
        <w:ind w:left="792" w:firstLine="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1">
    <w:nsid w:val="7D6603BF"/>
    <w:multiLevelType w:val="multilevel"/>
    <w:tmpl w:val="CB7E2BA8"/>
    <w:styleLink w:val="StyleBulletedLatinCalibriLeft025Hanging025"/>
    <w:lvl w:ilvl="0">
      <w:start w:val="1"/>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05216156">
    <w:abstractNumId w:val="49"/>
  </w:num>
  <w:num w:numId="2" w16cid:durableId="1777754433">
    <w:abstractNumId w:val="44"/>
  </w:num>
  <w:num w:numId="3" w16cid:durableId="1650162735">
    <w:abstractNumId w:val="51"/>
  </w:num>
  <w:num w:numId="4" w16cid:durableId="24067239">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619680131">
    <w:abstractNumId w:val="19"/>
  </w:num>
  <w:num w:numId="6" w16cid:durableId="2002463949">
    <w:abstractNumId w:val="46"/>
  </w:num>
  <w:num w:numId="7" w16cid:durableId="2028024445">
    <w:abstractNumId w:val="33"/>
  </w:num>
  <w:num w:numId="8" w16cid:durableId="745886075">
    <w:abstractNumId w:val="50"/>
  </w:num>
  <w:num w:numId="9" w16cid:durableId="1720207795">
    <w:abstractNumId w:val="21"/>
  </w:num>
  <w:num w:numId="10" w16cid:durableId="1692563944">
    <w:abstractNumId w:val="37"/>
  </w:num>
  <w:num w:numId="11" w16cid:durableId="534199264">
    <w:abstractNumId w:val="29"/>
  </w:num>
  <w:num w:numId="12" w16cid:durableId="557670113">
    <w:abstractNumId w:val="14"/>
  </w:num>
  <w:num w:numId="13" w16cid:durableId="1113937029">
    <w:abstractNumId w:val="20"/>
  </w:num>
  <w:num w:numId="14" w16cid:durableId="1124156818">
    <w:abstractNumId w:val="34"/>
  </w:num>
  <w:num w:numId="15" w16cid:durableId="1889031352">
    <w:abstractNumId w:val="43"/>
  </w:num>
  <w:num w:numId="16" w16cid:durableId="1978799556">
    <w:abstractNumId w:val="30"/>
  </w:num>
  <w:num w:numId="17" w16cid:durableId="379213175">
    <w:abstractNumId w:val="38"/>
  </w:num>
  <w:num w:numId="18" w16cid:durableId="1427581412">
    <w:abstractNumId w:val="16"/>
  </w:num>
  <w:num w:numId="19" w16cid:durableId="1816868796">
    <w:abstractNumId w:val="23"/>
  </w:num>
  <w:num w:numId="20" w16cid:durableId="47188778">
    <w:abstractNumId w:val="10"/>
  </w:num>
  <w:num w:numId="21" w16cid:durableId="133647403">
    <w:abstractNumId w:val="22"/>
  </w:num>
  <w:num w:numId="22" w16cid:durableId="350037727">
    <w:abstractNumId w:val="28"/>
  </w:num>
  <w:num w:numId="23" w16cid:durableId="1876118425">
    <w:abstractNumId w:val="41"/>
  </w:num>
  <w:num w:numId="24" w16cid:durableId="978417431">
    <w:abstractNumId w:val="32"/>
  </w:num>
  <w:num w:numId="25" w16cid:durableId="7217271">
    <w:abstractNumId w:val="35"/>
  </w:num>
  <w:num w:numId="26" w16cid:durableId="545414238">
    <w:abstractNumId w:val="48"/>
  </w:num>
  <w:num w:numId="27" w16cid:durableId="464196385">
    <w:abstractNumId w:val="47"/>
  </w:num>
  <w:num w:numId="28" w16cid:durableId="121962798">
    <w:abstractNumId w:val="24"/>
  </w:num>
  <w:num w:numId="29" w16cid:durableId="458845282">
    <w:abstractNumId w:val="42"/>
  </w:num>
  <w:num w:numId="30" w16cid:durableId="1354695596">
    <w:abstractNumId w:val="25"/>
  </w:num>
  <w:num w:numId="31" w16cid:durableId="1777629310">
    <w:abstractNumId w:val="9"/>
  </w:num>
  <w:num w:numId="32" w16cid:durableId="2133478706">
    <w:abstractNumId w:val="7"/>
  </w:num>
  <w:num w:numId="33" w16cid:durableId="193928453">
    <w:abstractNumId w:val="6"/>
  </w:num>
  <w:num w:numId="34" w16cid:durableId="1110785507">
    <w:abstractNumId w:val="5"/>
  </w:num>
  <w:num w:numId="35" w16cid:durableId="279804852">
    <w:abstractNumId w:val="4"/>
  </w:num>
  <w:num w:numId="36" w16cid:durableId="1392389986">
    <w:abstractNumId w:val="8"/>
  </w:num>
  <w:num w:numId="37" w16cid:durableId="259683344">
    <w:abstractNumId w:val="3"/>
  </w:num>
  <w:num w:numId="38" w16cid:durableId="1644771398">
    <w:abstractNumId w:val="2"/>
  </w:num>
  <w:num w:numId="39" w16cid:durableId="268856475">
    <w:abstractNumId w:val="1"/>
  </w:num>
  <w:num w:numId="40" w16cid:durableId="458456314">
    <w:abstractNumId w:val="0"/>
  </w:num>
  <w:num w:numId="41" w16cid:durableId="1221475299">
    <w:abstractNumId w:val="27"/>
  </w:num>
  <w:num w:numId="42" w16cid:durableId="1236470157">
    <w:abstractNumId w:val="13"/>
  </w:num>
  <w:num w:numId="43" w16cid:durableId="1060907372">
    <w:abstractNumId w:val="26"/>
  </w:num>
  <w:num w:numId="44" w16cid:durableId="786199440">
    <w:abstractNumId w:val="36"/>
  </w:num>
  <w:num w:numId="45" w16cid:durableId="1501853058">
    <w:abstractNumId w:val="12"/>
  </w:num>
  <w:num w:numId="46" w16cid:durableId="1724017596">
    <w:abstractNumId w:val="31"/>
  </w:num>
  <w:num w:numId="47" w16cid:durableId="1591431198">
    <w:abstractNumId w:val="17"/>
  </w:num>
  <w:num w:numId="48" w16cid:durableId="1952275505">
    <w:abstractNumId w:val="40"/>
  </w:num>
  <w:num w:numId="49" w16cid:durableId="658265421">
    <w:abstractNumId w:val="15"/>
  </w:num>
  <w:num w:numId="50" w16cid:durableId="1893231222">
    <w:abstractNumId w:val="18"/>
  </w:num>
  <w:num w:numId="51" w16cid:durableId="2055693875">
    <w:abstractNumId w:val="45"/>
  </w:num>
  <w:num w:numId="52" w16cid:durableId="1210612145">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04" w:allStyles="0" w:alternateStyleNames="0" w:clearFormatting="1" w:customStyles="0" w:directFormattingOnNumbering="1" w:directFormattingOnParagraphs="1" w:directFormattingOnRuns="1" w:directFormattingOnTables="0" w:headingStyles="0" w:latentStyles="1" w:numberingStyles="0" w:stylesInUse="0" w:tableStyles="0" w:top3HeadingStyles="0" w:visibleStyles="0"/>
  <w:stylePaneSortMethod w:val="name"/>
  <w:defaultTabStop w:val="36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05"/>
    <w:rsid w:val="00003E2E"/>
    <w:rsid w:val="00006525"/>
    <w:rsid w:val="000067D1"/>
    <w:rsid w:val="000068F1"/>
    <w:rsid w:val="00014479"/>
    <w:rsid w:val="0002766F"/>
    <w:rsid w:val="00041E4F"/>
    <w:rsid w:val="000543D3"/>
    <w:rsid w:val="000545BA"/>
    <w:rsid w:val="0005463F"/>
    <w:rsid w:val="00060052"/>
    <w:rsid w:val="000675B2"/>
    <w:rsid w:val="0007164A"/>
    <w:rsid w:val="00073148"/>
    <w:rsid w:val="000752C2"/>
    <w:rsid w:val="000761E2"/>
    <w:rsid w:val="00091005"/>
    <w:rsid w:val="000917BA"/>
    <w:rsid w:val="00092804"/>
    <w:rsid w:val="00095AAB"/>
    <w:rsid w:val="000B20D2"/>
    <w:rsid w:val="000C048E"/>
    <w:rsid w:val="000C5328"/>
    <w:rsid w:val="000D0921"/>
    <w:rsid w:val="000D0A8D"/>
    <w:rsid w:val="000D7865"/>
    <w:rsid w:val="000E18FF"/>
    <w:rsid w:val="000F5B15"/>
    <w:rsid w:val="000F731C"/>
    <w:rsid w:val="001024B4"/>
    <w:rsid w:val="0011345B"/>
    <w:rsid w:val="0012344B"/>
    <w:rsid w:val="00124B7D"/>
    <w:rsid w:val="00124D37"/>
    <w:rsid w:val="00132F5B"/>
    <w:rsid w:val="00141AFB"/>
    <w:rsid w:val="00142031"/>
    <w:rsid w:val="00143EC0"/>
    <w:rsid w:val="00154E4C"/>
    <w:rsid w:val="00161C84"/>
    <w:rsid w:val="00170F8A"/>
    <w:rsid w:val="001A2D54"/>
    <w:rsid w:val="001A4CF3"/>
    <w:rsid w:val="001A70E0"/>
    <w:rsid w:val="001D0E40"/>
    <w:rsid w:val="001D170D"/>
    <w:rsid w:val="001E2385"/>
    <w:rsid w:val="001E3B05"/>
    <w:rsid w:val="00202B28"/>
    <w:rsid w:val="002038ED"/>
    <w:rsid w:val="00215DDF"/>
    <w:rsid w:val="002162F8"/>
    <w:rsid w:val="002203F1"/>
    <w:rsid w:val="00224288"/>
    <w:rsid w:val="00225654"/>
    <w:rsid w:val="00226441"/>
    <w:rsid w:val="002269E3"/>
    <w:rsid w:val="00230AE4"/>
    <w:rsid w:val="00234D66"/>
    <w:rsid w:val="002367F6"/>
    <w:rsid w:val="00236D62"/>
    <w:rsid w:val="00240BFC"/>
    <w:rsid w:val="0024176F"/>
    <w:rsid w:val="002466BE"/>
    <w:rsid w:val="0025624A"/>
    <w:rsid w:val="00260C22"/>
    <w:rsid w:val="00263B15"/>
    <w:rsid w:val="00264BB8"/>
    <w:rsid w:val="00267A89"/>
    <w:rsid w:val="00270EEC"/>
    <w:rsid w:val="002712A0"/>
    <w:rsid w:val="002736EA"/>
    <w:rsid w:val="00276204"/>
    <w:rsid w:val="0028625D"/>
    <w:rsid w:val="00286863"/>
    <w:rsid w:val="002879AB"/>
    <w:rsid w:val="00295031"/>
    <w:rsid w:val="00297450"/>
    <w:rsid w:val="002978EF"/>
    <w:rsid w:val="002A237C"/>
    <w:rsid w:val="002A523B"/>
    <w:rsid w:val="002B0013"/>
    <w:rsid w:val="002B3061"/>
    <w:rsid w:val="002B34A0"/>
    <w:rsid w:val="002B6B8F"/>
    <w:rsid w:val="002E2F58"/>
    <w:rsid w:val="002E64B1"/>
    <w:rsid w:val="002E6946"/>
    <w:rsid w:val="003029BC"/>
    <w:rsid w:val="00302DEA"/>
    <w:rsid w:val="00305CF1"/>
    <w:rsid w:val="00307E78"/>
    <w:rsid w:val="00310785"/>
    <w:rsid w:val="00310BC6"/>
    <w:rsid w:val="003247E0"/>
    <w:rsid w:val="00325158"/>
    <w:rsid w:val="00326D02"/>
    <w:rsid w:val="00327629"/>
    <w:rsid w:val="003344CF"/>
    <w:rsid w:val="00335583"/>
    <w:rsid w:val="003379A4"/>
    <w:rsid w:val="00344837"/>
    <w:rsid w:val="0034639D"/>
    <w:rsid w:val="003529B3"/>
    <w:rsid w:val="00354DAB"/>
    <w:rsid w:val="00357839"/>
    <w:rsid w:val="00366C95"/>
    <w:rsid w:val="003677F3"/>
    <w:rsid w:val="003679B0"/>
    <w:rsid w:val="00370771"/>
    <w:rsid w:val="003731AD"/>
    <w:rsid w:val="003757DA"/>
    <w:rsid w:val="00381810"/>
    <w:rsid w:val="0038312B"/>
    <w:rsid w:val="00383BA3"/>
    <w:rsid w:val="0039486D"/>
    <w:rsid w:val="003A1275"/>
    <w:rsid w:val="003A1ABD"/>
    <w:rsid w:val="003A5D50"/>
    <w:rsid w:val="003B1E19"/>
    <w:rsid w:val="003C072E"/>
    <w:rsid w:val="003C26B4"/>
    <w:rsid w:val="003C3448"/>
    <w:rsid w:val="003C3B1C"/>
    <w:rsid w:val="003D5D00"/>
    <w:rsid w:val="003E1D7F"/>
    <w:rsid w:val="003E3DDF"/>
    <w:rsid w:val="003E4CE6"/>
    <w:rsid w:val="003E72A1"/>
    <w:rsid w:val="0040064C"/>
    <w:rsid w:val="0040431E"/>
    <w:rsid w:val="00405905"/>
    <w:rsid w:val="00406B9A"/>
    <w:rsid w:val="00413039"/>
    <w:rsid w:val="0042010E"/>
    <w:rsid w:val="00425E2E"/>
    <w:rsid w:val="00430A73"/>
    <w:rsid w:val="00434537"/>
    <w:rsid w:val="00440DA6"/>
    <w:rsid w:val="00441E34"/>
    <w:rsid w:val="0044529D"/>
    <w:rsid w:val="00445C8C"/>
    <w:rsid w:val="004524E4"/>
    <w:rsid w:val="00467A65"/>
    <w:rsid w:val="00480D81"/>
    <w:rsid w:val="00480EE8"/>
    <w:rsid w:val="004A1C18"/>
    <w:rsid w:val="004A4334"/>
    <w:rsid w:val="004A60F5"/>
    <w:rsid w:val="004B43A1"/>
    <w:rsid w:val="004B4496"/>
    <w:rsid w:val="004B51DB"/>
    <w:rsid w:val="004C247C"/>
    <w:rsid w:val="004C31DC"/>
    <w:rsid w:val="004C3C61"/>
    <w:rsid w:val="004C680B"/>
    <w:rsid w:val="004D2235"/>
    <w:rsid w:val="004D569C"/>
    <w:rsid w:val="004D63B9"/>
    <w:rsid w:val="004E03D5"/>
    <w:rsid w:val="004F2B21"/>
    <w:rsid w:val="004F2BBA"/>
    <w:rsid w:val="004F4342"/>
    <w:rsid w:val="004F478B"/>
    <w:rsid w:val="0050366F"/>
    <w:rsid w:val="00505B99"/>
    <w:rsid w:val="00525600"/>
    <w:rsid w:val="00525701"/>
    <w:rsid w:val="00536FCD"/>
    <w:rsid w:val="00541934"/>
    <w:rsid w:val="00544DBA"/>
    <w:rsid w:val="00544EE7"/>
    <w:rsid w:val="0055539F"/>
    <w:rsid w:val="005558B3"/>
    <w:rsid w:val="00575882"/>
    <w:rsid w:val="00576EF7"/>
    <w:rsid w:val="005A0321"/>
    <w:rsid w:val="005A0640"/>
    <w:rsid w:val="005A4C5B"/>
    <w:rsid w:val="005B1D7F"/>
    <w:rsid w:val="005B6F13"/>
    <w:rsid w:val="005C04DD"/>
    <w:rsid w:val="005C59B2"/>
    <w:rsid w:val="005E071C"/>
    <w:rsid w:val="005E162F"/>
    <w:rsid w:val="005E43EB"/>
    <w:rsid w:val="005E67DA"/>
    <w:rsid w:val="005F144B"/>
    <w:rsid w:val="005F7E67"/>
    <w:rsid w:val="006016D2"/>
    <w:rsid w:val="006047A2"/>
    <w:rsid w:val="00610E9C"/>
    <w:rsid w:val="00612973"/>
    <w:rsid w:val="0061795A"/>
    <w:rsid w:val="00617FDB"/>
    <w:rsid w:val="00620F25"/>
    <w:rsid w:val="0062502C"/>
    <w:rsid w:val="006254B2"/>
    <w:rsid w:val="006436AD"/>
    <w:rsid w:val="00654A4D"/>
    <w:rsid w:val="00661C48"/>
    <w:rsid w:val="0066498E"/>
    <w:rsid w:val="0066564A"/>
    <w:rsid w:val="0066628F"/>
    <w:rsid w:val="0066704F"/>
    <w:rsid w:val="0067294F"/>
    <w:rsid w:val="00673A0D"/>
    <w:rsid w:val="00676127"/>
    <w:rsid w:val="0068004C"/>
    <w:rsid w:val="00680429"/>
    <w:rsid w:val="00682BFD"/>
    <w:rsid w:val="0068315F"/>
    <w:rsid w:val="006879DC"/>
    <w:rsid w:val="00691472"/>
    <w:rsid w:val="0069542C"/>
    <w:rsid w:val="006A1061"/>
    <w:rsid w:val="006A73EB"/>
    <w:rsid w:val="006B1337"/>
    <w:rsid w:val="006C42DA"/>
    <w:rsid w:val="006D1DD5"/>
    <w:rsid w:val="006D3104"/>
    <w:rsid w:val="006D3AA7"/>
    <w:rsid w:val="006D3F29"/>
    <w:rsid w:val="006D3F69"/>
    <w:rsid w:val="006D4E39"/>
    <w:rsid w:val="006E6812"/>
    <w:rsid w:val="006F3FE7"/>
    <w:rsid w:val="0070120F"/>
    <w:rsid w:val="007078AE"/>
    <w:rsid w:val="00716C39"/>
    <w:rsid w:val="007175D6"/>
    <w:rsid w:val="007209B8"/>
    <w:rsid w:val="007224F0"/>
    <w:rsid w:val="0072302A"/>
    <w:rsid w:val="00725A6B"/>
    <w:rsid w:val="00725D82"/>
    <w:rsid w:val="00727542"/>
    <w:rsid w:val="007346B1"/>
    <w:rsid w:val="00737E17"/>
    <w:rsid w:val="007546A8"/>
    <w:rsid w:val="0076282D"/>
    <w:rsid w:val="0076488C"/>
    <w:rsid w:val="00765B29"/>
    <w:rsid w:val="00774E80"/>
    <w:rsid w:val="007B2960"/>
    <w:rsid w:val="007B497F"/>
    <w:rsid w:val="007C2171"/>
    <w:rsid w:val="007C359D"/>
    <w:rsid w:val="007C5B6B"/>
    <w:rsid w:val="007D130B"/>
    <w:rsid w:val="007E137F"/>
    <w:rsid w:val="007E3456"/>
    <w:rsid w:val="007E40D2"/>
    <w:rsid w:val="007E4E7D"/>
    <w:rsid w:val="007F3293"/>
    <w:rsid w:val="007F5030"/>
    <w:rsid w:val="00802354"/>
    <w:rsid w:val="008109E3"/>
    <w:rsid w:val="008223CD"/>
    <w:rsid w:val="00827450"/>
    <w:rsid w:val="00835E19"/>
    <w:rsid w:val="00847D0A"/>
    <w:rsid w:val="00852CB1"/>
    <w:rsid w:val="00853475"/>
    <w:rsid w:val="008550CF"/>
    <w:rsid w:val="00862841"/>
    <w:rsid w:val="00864E56"/>
    <w:rsid w:val="0087157C"/>
    <w:rsid w:val="00873585"/>
    <w:rsid w:val="008817D2"/>
    <w:rsid w:val="00886A38"/>
    <w:rsid w:val="00891FFB"/>
    <w:rsid w:val="00895491"/>
    <w:rsid w:val="008973F3"/>
    <w:rsid w:val="008A18CD"/>
    <w:rsid w:val="008A70BD"/>
    <w:rsid w:val="008B2A97"/>
    <w:rsid w:val="008C38D9"/>
    <w:rsid w:val="008C4805"/>
    <w:rsid w:val="008C58AF"/>
    <w:rsid w:val="008C5DF7"/>
    <w:rsid w:val="008D3451"/>
    <w:rsid w:val="008D5DA1"/>
    <w:rsid w:val="008D68EA"/>
    <w:rsid w:val="008E13F2"/>
    <w:rsid w:val="008E4DFE"/>
    <w:rsid w:val="008E6AD7"/>
    <w:rsid w:val="008F0E7C"/>
    <w:rsid w:val="008F41F5"/>
    <w:rsid w:val="00905FF3"/>
    <w:rsid w:val="00912873"/>
    <w:rsid w:val="00912D01"/>
    <w:rsid w:val="009162A8"/>
    <w:rsid w:val="00917201"/>
    <w:rsid w:val="00923813"/>
    <w:rsid w:val="00926932"/>
    <w:rsid w:val="00927EF6"/>
    <w:rsid w:val="00936A2B"/>
    <w:rsid w:val="00941F04"/>
    <w:rsid w:val="0094772E"/>
    <w:rsid w:val="00947E69"/>
    <w:rsid w:val="00951A51"/>
    <w:rsid w:val="009533EA"/>
    <w:rsid w:val="009538B4"/>
    <w:rsid w:val="00955CA2"/>
    <w:rsid w:val="009618EA"/>
    <w:rsid w:val="00967AEC"/>
    <w:rsid w:val="009707AD"/>
    <w:rsid w:val="00973863"/>
    <w:rsid w:val="00976DCC"/>
    <w:rsid w:val="00977E7F"/>
    <w:rsid w:val="009826C1"/>
    <w:rsid w:val="009863F2"/>
    <w:rsid w:val="0099299A"/>
    <w:rsid w:val="00993EEB"/>
    <w:rsid w:val="009A0220"/>
    <w:rsid w:val="009A0A1A"/>
    <w:rsid w:val="009A65A9"/>
    <w:rsid w:val="009A6D8B"/>
    <w:rsid w:val="009A6F3A"/>
    <w:rsid w:val="009B4E00"/>
    <w:rsid w:val="009B74BC"/>
    <w:rsid w:val="009C0CA7"/>
    <w:rsid w:val="009C52C0"/>
    <w:rsid w:val="009C56CB"/>
    <w:rsid w:val="009D3490"/>
    <w:rsid w:val="009D42FC"/>
    <w:rsid w:val="009E28A8"/>
    <w:rsid w:val="009E5C18"/>
    <w:rsid w:val="009F4398"/>
    <w:rsid w:val="00A01ACA"/>
    <w:rsid w:val="00A04701"/>
    <w:rsid w:val="00A10CD2"/>
    <w:rsid w:val="00A136D2"/>
    <w:rsid w:val="00A2040B"/>
    <w:rsid w:val="00A33537"/>
    <w:rsid w:val="00A37D58"/>
    <w:rsid w:val="00A43619"/>
    <w:rsid w:val="00A4537D"/>
    <w:rsid w:val="00A502DF"/>
    <w:rsid w:val="00A67332"/>
    <w:rsid w:val="00A806F0"/>
    <w:rsid w:val="00A83E86"/>
    <w:rsid w:val="00A86F68"/>
    <w:rsid w:val="00A918D7"/>
    <w:rsid w:val="00A93837"/>
    <w:rsid w:val="00AB044F"/>
    <w:rsid w:val="00AB253E"/>
    <w:rsid w:val="00AB3A2A"/>
    <w:rsid w:val="00AB6751"/>
    <w:rsid w:val="00AC09FB"/>
    <w:rsid w:val="00AC3FB6"/>
    <w:rsid w:val="00AC4A22"/>
    <w:rsid w:val="00AC7DF9"/>
    <w:rsid w:val="00AD0AF1"/>
    <w:rsid w:val="00AE3608"/>
    <w:rsid w:val="00AE4017"/>
    <w:rsid w:val="00AE457B"/>
    <w:rsid w:val="00AE4DAA"/>
    <w:rsid w:val="00AE7A19"/>
    <w:rsid w:val="00B00E82"/>
    <w:rsid w:val="00B10EA0"/>
    <w:rsid w:val="00B11A00"/>
    <w:rsid w:val="00B12242"/>
    <w:rsid w:val="00B223C6"/>
    <w:rsid w:val="00B26E0B"/>
    <w:rsid w:val="00B2765C"/>
    <w:rsid w:val="00B3157B"/>
    <w:rsid w:val="00B33FAF"/>
    <w:rsid w:val="00B37541"/>
    <w:rsid w:val="00B41A83"/>
    <w:rsid w:val="00B42025"/>
    <w:rsid w:val="00B43FCE"/>
    <w:rsid w:val="00B50739"/>
    <w:rsid w:val="00B52ABB"/>
    <w:rsid w:val="00B53C69"/>
    <w:rsid w:val="00B55152"/>
    <w:rsid w:val="00B5681A"/>
    <w:rsid w:val="00B575FB"/>
    <w:rsid w:val="00B64815"/>
    <w:rsid w:val="00B649C9"/>
    <w:rsid w:val="00B74CE3"/>
    <w:rsid w:val="00B81020"/>
    <w:rsid w:val="00B90385"/>
    <w:rsid w:val="00B91B6D"/>
    <w:rsid w:val="00B94C98"/>
    <w:rsid w:val="00B95D15"/>
    <w:rsid w:val="00B95F51"/>
    <w:rsid w:val="00B97489"/>
    <w:rsid w:val="00B97CCC"/>
    <w:rsid w:val="00BA14A5"/>
    <w:rsid w:val="00BA3236"/>
    <w:rsid w:val="00BB139B"/>
    <w:rsid w:val="00BB25A2"/>
    <w:rsid w:val="00BC0077"/>
    <w:rsid w:val="00BD3A16"/>
    <w:rsid w:val="00BE0218"/>
    <w:rsid w:val="00BE07F5"/>
    <w:rsid w:val="00BE6350"/>
    <w:rsid w:val="00BE68F9"/>
    <w:rsid w:val="00BF07C2"/>
    <w:rsid w:val="00BF7348"/>
    <w:rsid w:val="00C075F6"/>
    <w:rsid w:val="00C10986"/>
    <w:rsid w:val="00C1234B"/>
    <w:rsid w:val="00C148E3"/>
    <w:rsid w:val="00C20CC4"/>
    <w:rsid w:val="00C26B8C"/>
    <w:rsid w:val="00C303F8"/>
    <w:rsid w:val="00C32422"/>
    <w:rsid w:val="00C35586"/>
    <w:rsid w:val="00C35FCA"/>
    <w:rsid w:val="00C36B45"/>
    <w:rsid w:val="00C37C67"/>
    <w:rsid w:val="00C41283"/>
    <w:rsid w:val="00C47AD9"/>
    <w:rsid w:val="00C50265"/>
    <w:rsid w:val="00C50D02"/>
    <w:rsid w:val="00C6016C"/>
    <w:rsid w:val="00C62909"/>
    <w:rsid w:val="00C6369B"/>
    <w:rsid w:val="00C72EA4"/>
    <w:rsid w:val="00C764AC"/>
    <w:rsid w:val="00C816F1"/>
    <w:rsid w:val="00C81D17"/>
    <w:rsid w:val="00C82C11"/>
    <w:rsid w:val="00C85927"/>
    <w:rsid w:val="00C93B81"/>
    <w:rsid w:val="00C94B87"/>
    <w:rsid w:val="00C9603F"/>
    <w:rsid w:val="00C971F6"/>
    <w:rsid w:val="00C97745"/>
    <w:rsid w:val="00CA464D"/>
    <w:rsid w:val="00CB0BA0"/>
    <w:rsid w:val="00CB6BF9"/>
    <w:rsid w:val="00CE0170"/>
    <w:rsid w:val="00CE186C"/>
    <w:rsid w:val="00CF078F"/>
    <w:rsid w:val="00CF4801"/>
    <w:rsid w:val="00D130DE"/>
    <w:rsid w:val="00D31053"/>
    <w:rsid w:val="00D327C5"/>
    <w:rsid w:val="00D45AD7"/>
    <w:rsid w:val="00D4720F"/>
    <w:rsid w:val="00D52BC4"/>
    <w:rsid w:val="00D5586D"/>
    <w:rsid w:val="00D62EA2"/>
    <w:rsid w:val="00D931BC"/>
    <w:rsid w:val="00D97CA7"/>
    <w:rsid w:val="00DA77C4"/>
    <w:rsid w:val="00DC76D3"/>
    <w:rsid w:val="00DD0C28"/>
    <w:rsid w:val="00DD2D37"/>
    <w:rsid w:val="00DE0931"/>
    <w:rsid w:val="00DE29B7"/>
    <w:rsid w:val="00DE486F"/>
    <w:rsid w:val="00DE551C"/>
    <w:rsid w:val="00DF2C93"/>
    <w:rsid w:val="00DF37C4"/>
    <w:rsid w:val="00DF7F34"/>
    <w:rsid w:val="00E00B96"/>
    <w:rsid w:val="00E073B8"/>
    <w:rsid w:val="00E1045A"/>
    <w:rsid w:val="00E121B8"/>
    <w:rsid w:val="00E2036C"/>
    <w:rsid w:val="00E30E6E"/>
    <w:rsid w:val="00E31F81"/>
    <w:rsid w:val="00E43E02"/>
    <w:rsid w:val="00E6036A"/>
    <w:rsid w:val="00E605CF"/>
    <w:rsid w:val="00E64AAB"/>
    <w:rsid w:val="00E6686B"/>
    <w:rsid w:val="00E66AD3"/>
    <w:rsid w:val="00E6742D"/>
    <w:rsid w:val="00E703A9"/>
    <w:rsid w:val="00E710C4"/>
    <w:rsid w:val="00E7134B"/>
    <w:rsid w:val="00E76339"/>
    <w:rsid w:val="00E765FA"/>
    <w:rsid w:val="00E85F41"/>
    <w:rsid w:val="00E934F6"/>
    <w:rsid w:val="00E95964"/>
    <w:rsid w:val="00EA5A82"/>
    <w:rsid w:val="00EA7E7E"/>
    <w:rsid w:val="00EB080F"/>
    <w:rsid w:val="00EB26FE"/>
    <w:rsid w:val="00EB4AC7"/>
    <w:rsid w:val="00EB567B"/>
    <w:rsid w:val="00EC2688"/>
    <w:rsid w:val="00EC4046"/>
    <w:rsid w:val="00EC4305"/>
    <w:rsid w:val="00EC4B1B"/>
    <w:rsid w:val="00EC4F35"/>
    <w:rsid w:val="00EC511B"/>
    <w:rsid w:val="00ED17A1"/>
    <w:rsid w:val="00ED2BE5"/>
    <w:rsid w:val="00EE494D"/>
    <w:rsid w:val="00EE4A03"/>
    <w:rsid w:val="00EE74D3"/>
    <w:rsid w:val="00EF494C"/>
    <w:rsid w:val="00F02996"/>
    <w:rsid w:val="00F05865"/>
    <w:rsid w:val="00F07448"/>
    <w:rsid w:val="00F07541"/>
    <w:rsid w:val="00F12439"/>
    <w:rsid w:val="00F20957"/>
    <w:rsid w:val="00F22028"/>
    <w:rsid w:val="00F22F59"/>
    <w:rsid w:val="00F32B9A"/>
    <w:rsid w:val="00F3392E"/>
    <w:rsid w:val="00F3427A"/>
    <w:rsid w:val="00F44B08"/>
    <w:rsid w:val="00F44F94"/>
    <w:rsid w:val="00F5676B"/>
    <w:rsid w:val="00F5683E"/>
    <w:rsid w:val="00F61809"/>
    <w:rsid w:val="00F61B3D"/>
    <w:rsid w:val="00F708D7"/>
    <w:rsid w:val="00F71DB5"/>
    <w:rsid w:val="00F72D91"/>
    <w:rsid w:val="00F83AFF"/>
    <w:rsid w:val="00F863CC"/>
    <w:rsid w:val="00F90499"/>
    <w:rsid w:val="00F92416"/>
    <w:rsid w:val="00F94161"/>
    <w:rsid w:val="00F94A85"/>
    <w:rsid w:val="00FA6527"/>
    <w:rsid w:val="00FA7A4C"/>
    <w:rsid w:val="00FB67E1"/>
    <w:rsid w:val="00FB6AEB"/>
    <w:rsid w:val="00FC4F79"/>
    <w:rsid w:val="00FC5E9D"/>
    <w:rsid w:val="00FD08B7"/>
    <w:rsid w:val="00FD2982"/>
    <w:rsid w:val="00FD3EBB"/>
    <w:rsid w:val="00FD5BA5"/>
    <w:rsid w:val="00FD6325"/>
    <w:rsid w:val="00FE0F00"/>
    <w:rsid w:val="00FE177E"/>
    <w:rsid w:val="00FE5082"/>
    <w:rsid w:val="00FE51FD"/>
    <w:rsid w:val="00FE6739"/>
    <w:rsid w:val="00FE775A"/>
    <w:rsid w:val="00FF3DA9"/>
    <w:rsid w:val="0126C143"/>
    <w:rsid w:val="013899CA"/>
    <w:rsid w:val="013E5630"/>
    <w:rsid w:val="0192BF06"/>
    <w:rsid w:val="02098F41"/>
    <w:rsid w:val="02845850"/>
    <w:rsid w:val="02B5EF91"/>
    <w:rsid w:val="02EACF06"/>
    <w:rsid w:val="032CE3C3"/>
    <w:rsid w:val="0373D7E9"/>
    <w:rsid w:val="042028B1"/>
    <w:rsid w:val="044725A4"/>
    <w:rsid w:val="0506DD0C"/>
    <w:rsid w:val="05319227"/>
    <w:rsid w:val="05E4C60E"/>
    <w:rsid w:val="066F1CFA"/>
    <w:rsid w:val="06F7170C"/>
    <w:rsid w:val="07BCE9FB"/>
    <w:rsid w:val="08750225"/>
    <w:rsid w:val="08B48001"/>
    <w:rsid w:val="08C14DB8"/>
    <w:rsid w:val="08CB2B79"/>
    <w:rsid w:val="0B657A36"/>
    <w:rsid w:val="0BFD015E"/>
    <w:rsid w:val="0D2DD9A0"/>
    <w:rsid w:val="0D87E943"/>
    <w:rsid w:val="0DFDF475"/>
    <w:rsid w:val="0E1DCD2B"/>
    <w:rsid w:val="0E25C7F3"/>
    <w:rsid w:val="0F137CDC"/>
    <w:rsid w:val="0FAC93F7"/>
    <w:rsid w:val="0FB7397D"/>
    <w:rsid w:val="0FC1728E"/>
    <w:rsid w:val="10281B63"/>
    <w:rsid w:val="10BBEFD4"/>
    <w:rsid w:val="110C6F14"/>
    <w:rsid w:val="1123BCB0"/>
    <w:rsid w:val="113C9D98"/>
    <w:rsid w:val="11F5C87F"/>
    <w:rsid w:val="121E11A0"/>
    <w:rsid w:val="1236CFE3"/>
    <w:rsid w:val="123EB45B"/>
    <w:rsid w:val="13158147"/>
    <w:rsid w:val="1389FBB3"/>
    <w:rsid w:val="14950977"/>
    <w:rsid w:val="156CD1FB"/>
    <w:rsid w:val="1655F233"/>
    <w:rsid w:val="172B841D"/>
    <w:rsid w:val="177B4CE3"/>
    <w:rsid w:val="17F2C856"/>
    <w:rsid w:val="17FA59D8"/>
    <w:rsid w:val="181CB162"/>
    <w:rsid w:val="188BCE8B"/>
    <w:rsid w:val="188FE2DA"/>
    <w:rsid w:val="18BB046A"/>
    <w:rsid w:val="1976CBAC"/>
    <w:rsid w:val="19A67AB9"/>
    <w:rsid w:val="1A8367EB"/>
    <w:rsid w:val="1B129C0D"/>
    <w:rsid w:val="1B57E1DD"/>
    <w:rsid w:val="1B81ABD7"/>
    <w:rsid w:val="1BC81CEE"/>
    <w:rsid w:val="1BFF4ED5"/>
    <w:rsid w:val="1C80E305"/>
    <w:rsid w:val="1D1DF527"/>
    <w:rsid w:val="1D5A324A"/>
    <w:rsid w:val="1DB2ACFE"/>
    <w:rsid w:val="1DD7C5AC"/>
    <w:rsid w:val="1E1D1385"/>
    <w:rsid w:val="1EBB2C48"/>
    <w:rsid w:val="1FF18661"/>
    <w:rsid w:val="21972008"/>
    <w:rsid w:val="21AC4B85"/>
    <w:rsid w:val="21ECD176"/>
    <w:rsid w:val="21EDAB25"/>
    <w:rsid w:val="2255561C"/>
    <w:rsid w:val="225E1F8B"/>
    <w:rsid w:val="23B04B71"/>
    <w:rsid w:val="24BC61ED"/>
    <w:rsid w:val="261E321D"/>
    <w:rsid w:val="266970EA"/>
    <w:rsid w:val="2723A0B2"/>
    <w:rsid w:val="2767C8E2"/>
    <w:rsid w:val="27CF35B8"/>
    <w:rsid w:val="27E18BA2"/>
    <w:rsid w:val="2814C572"/>
    <w:rsid w:val="28157990"/>
    <w:rsid w:val="284FB921"/>
    <w:rsid w:val="29A231ED"/>
    <w:rsid w:val="29E4EDFB"/>
    <w:rsid w:val="2A194FDE"/>
    <w:rsid w:val="2B0F66A4"/>
    <w:rsid w:val="2B580ED4"/>
    <w:rsid w:val="2B99F68B"/>
    <w:rsid w:val="2CA949B1"/>
    <w:rsid w:val="2D04A9F1"/>
    <w:rsid w:val="2F218F6A"/>
    <w:rsid w:val="2FD63DEF"/>
    <w:rsid w:val="2FED5308"/>
    <w:rsid w:val="309D4DFC"/>
    <w:rsid w:val="3239BE57"/>
    <w:rsid w:val="329BE093"/>
    <w:rsid w:val="32DD664C"/>
    <w:rsid w:val="33278380"/>
    <w:rsid w:val="338B98D8"/>
    <w:rsid w:val="33A94BCA"/>
    <w:rsid w:val="33F23404"/>
    <w:rsid w:val="34FCA765"/>
    <w:rsid w:val="35EA010E"/>
    <w:rsid w:val="37460D14"/>
    <w:rsid w:val="37F6F1D9"/>
    <w:rsid w:val="385919A1"/>
    <w:rsid w:val="38982E38"/>
    <w:rsid w:val="38F7946D"/>
    <w:rsid w:val="39C90FE6"/>
    <w:rsid w:val="3A0D3A3A"/>
    <w:rsid w:val="3A13A5F0"/>
    <w:rsid w:val="3A6313E3"/>
    <w:rsid w:val="3D18B7AC"/>
    <w:rsid w:val="3DA4219D"/>
    <w:rsid w:val="3DE9E06B"/>
    <w:rsid w:val="3EA21846"/>
    <w:rsid w:val="3FF0A014"/>
    <w:rsid w:val="402E479F"/>
    <w:rsid w:val="40F2CECE"/>
    <w:rsid w:val="41A9C46F"/>
    <w:rsid w:val="41E6D38A"/>
    <w:rsid w:val="42158E85"/>
    <w:rsid w:val="42A253FC"/>
    <w:rsid w:val="42B1775F"/>
    <w:rsid w:val="42FC7931"/>
    <w:rsid w:val="43CB0030"/>
    <w:rsid w:val="4417CD38"/>
    <w:rsid w:val="4473E1B4"/>
    <w:rsid w:val="4610083D"/>
    <w:rsid w:val="46CD8D8B"/>
    <w:rsid w:val="4703B9C7"/>
    <w:rsid w:val="473911ED"/>
    <w:rsid w:val="4823A88C"/>
    <w:rsid w:val="487D4E00"/>
    <w:rsid w:val="48C0E34A"/>
    <w:rsid w:val="48EF3975"/>
    <w:rsid w:val="49D29BD5"/>
    <w:rsid w:val="4A017E40"/>
    <w:rsid w:val="4A086EC3"/>
    <w:rsid w:val="4C9D9249"/>
    <w:rsid w:val="4CB15608"/>
    <w:rsid w:val="4E78F545"/>
    <w:rsid w:val="4EA76326"/>
    <w:rsid w:val="4EE43332"/>
    <w:rsid w:val="50817309"/>
    <w:rsid w:val="51C313C7"/>
    <w:rsid w:val="51DDADBA"/>
    <w:rsid w:val="52467DD7"/>
    <w:rsid w:val="527EDBB3"/>
    <w:rsid w:val="5293BA4A"/>
    <w:rsid w:val="52C12111"/>
    <w:rsid w:val="53BF7129"/>
    <w:rsid w:val="53F09BC6"/>
    <w:rsid w:val="53F5A97C"/>
    <w:rsid w:val="54ABEA9A"/>
    <w:rsid w:val="54EEBD9B"/>
    <w:rsid w:val="557897CC"/>
    <w:rsid w:val="55863DF5"/>
    <w:rsid w:val="574B430D"/>
    <w:rsid w:val="583A1203"/>
    <w:rsid w:val="58920D6B"/>
    <w:rsid w:val="58B0388E"/>
    <w:rsid w:val="5939B8EC"/>
    <w:rsid w:val="599191D1"/>
    <w:rsid w:val="59A8B00E"/>
    <w:rsid w:val="5A15C3F3"/>
    <w:rsid w:val="5B7EBD88"/>
    <w:rsid w:val="5BC80E25"/>
    <w:rsid w:val="5C23C891"/>
    <w:rsid w:val="5CE2C048"/>
    <w:rsid w:val="5D284DE7"/>
    <w:rsid w:val="5D495256"/>
    <w:rsid w:val="5D8F85B4"/>
    <w:rsid w:val="5F56AC14"/>
    <w:rsid w:val="627800FF"/>
    <w:rsid w:val="6360A18D"/>
    <w:rsid w:val="637015FC"/>
    <w:rsid w:val="63B21232"/>
    <w:rsid w:val="64DAC3F4"/>
    <w:rsid w:val="6534B5FA"/>
    <w:rsid w:val="656BEE67"/>
    <w:rsid w:val="659C2FE9"/>
    <w:rsid w:val="65CA397C"/>
    <w:rsid w:val="65CC8F48"/>
    <w:rsid w:val="65E8ED9C"/>
    <w:rsid w:val="6619FA39"/>
    <w:rsid w:val="66F84D0B"/>
    <w:rsid w:val="67144E5A"/>
    <w:rsid w:val="67201D70"/>
    <w:rsid w:val="6801745A"/>
    <w:rsid w:val="6846B799"/>
    <w:rsid w:val="686B008E"/>
    <w:rsid w:val="692313AB"/>
    <w:rsid w:val="69B7FF4F"/>
    <w:rsid w:val="6A4CC3FD"/>
    <w:rsid w:val="6A82A3E9"/>
    <w:rsid w:val="6ADBA90E"/>
    <w:rsid w:val="6B98AABC"/>
    <w:rsid w:val="6C05EAA0"/>
    <w:rsid w:val="6C1390C9"/>
    <w:rsid w:val="6C8F0E35"/>
    <w:rsid w:val="6D5BA1AE"/>
    <w:rsid w:val="6DD10F30"/>
    <w:rsid w:val="6DDA30E3"/>
    <w:rsid w:val="6E7A56B4"/>
    <w:rsid w:val="6F3BB58B"/>
    <w:rsid w:val="6F3D8B62"/>
    <w:rsid w:val="6F760144"/>
    <w:rsid w:val="6FA68B96"/>
    <w:rsid w:val="70141A79"/>
    <w:rsid w:val="702B490C"/>
    <w:rsid w:val="7105E6E2"/>
    <w:rsid w:val="7111D1A5"/>
    <w:rsid w:val="71B9AEFC"/>
    <w:rsid w:val="71E6030E"/>
    <w:rsid w:val="7295B37D"/>
    <w:rsid w:val="72C5DE62"/>
    <w:rsid w:val="73B598D3"/>
    <w:rsid w:val="73BAE4A2"/>
    <w:rsid w:val="73BF8BEF"/>
    <w:rsid w:val="74A308CD"/>
    <w:rsid w:val="74B8EE5D"/>
    <w:rsid w:val="74F14FBE"/>
    <w:rsid w:val="750AD1C0"/>
    <w:rsid w:val="7566B393"/>
    <w:rsid w:val="757F3DCA"/>
    <w:rsid w:val="7604EEF6"/>
    <w:rsid w:val="765464B1"/>
    <w:rsid w:val="770C4FB2"/>
    <w:rsid w:val="773C9B5A"/>
    <w:rsid w:val="778900AF"/>
    <w:rsid w:val="779ED0CC"/>
    <w:rsid w:val="79BFF361"/>
    <w:rsid w:val="79F467D7"/>
    <w:rsid w:val="7A975FC5"/>
    <w:rsid w:val="7ADA0116"/>
    <w:rsid w:val="7B142B19"/>
    <w:rsid w:val="7BDABB3F"/>
    <w:rsid w:val="7C15D9EF"/>
    <w:rsid w:val="7C59E21C"/>
    <w:rsid w:val="7CDD6586"/>
    <w:rsid w:val="7DF84233"/>
    <w:rsid w:val="7E07B6A2"/>
    <w:rsid w:val="7E131569"/>
    <w:rsid w:val="7E1607B4"/>
    <w:rsid w:val="7E90569F"/>
    <w:rsid w:val="7F9182DE"/>
    <w:rsid w:val="7F9CC968"/>
    <w:rsid w:val="7FFA877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FB52F17"/>
  <w15:chartTrackingRefBased/>
  <w15:docId w15:val="{5602BF92-8CB9-4977-9FB8-F64C6036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B1C"/>
    <w:pPr>
      <w:spacing w:after="240"/>
    </w:pPr>
    <w:rPr>
      <w:rFonts w:ascii="Arial" w:hAnsi="Arial"/>
      <w:sz w:val="24"/>
    </w:rPr>
  </w:style>
  <w:style w:type="paragraph" w:styleId="Heading1">
    <w:name w:val="heading 1"/>
    <w:basedOn w:val="Normal"/>
    <w:next w:val="Normal"/>
    <w:link w:val="Heading1Char"/>
    <w:qFormat/>
    <w:rsid w:val="00E31F81"/>
    <w:pPr>
      <w:keepNext/>
      <w:keepLines/>
      <w:pBdr>
        <w:top w:val="single" w:sz="4" w:space="1" w:color="auto"/>
      </w:pBdr>
      <w:spacing w:before="240"/>
      <w:outlineLvl w:val="0"/>
    </w:pPr>
    <w:rPr>
      <w:rFonts w:eastAsiaTheme="majorEastAsia" w:cstheme="minorHAnsi"/>
      <w:b/>
      <w:bCs/>
      <w:szCs w:val="32"/>
    </w:rPr>
  </w:style>
  <w:style w:type="paragraph" w:styleId="Heading2">
    <w:name w:val="heading 2"/>
    <w:basedOn w:val="Normal"/>
    <w:next w:val="Normal"/>
    <w:link w:val="Heading2Char"/>
    <w:unhideWhenUsed/>
    <w:qFormat/>
    <w:rsid w:val="00041E4F"/>
    <w:pPr>
      <w:keepNext/>
      <w:keepLines/>
      <w:spacing w:before="240"/>
      <w:outlineLvl w:val="1"/>
    </w:pPr>
    <w:rPr>
      <w:rFonts w:eastAsiaTheme="majorEastAsia" w:cstheme="minorHAnsi"/>
      <w:b/>
      <w:i/>
      <w:iCs/>
    </w:rPr>
  </w:style>
  <w:style w:type="paragraph" w:styleId="Heading3">
    <w:name w:val="heading 3"/>
    <w:basedOn w:val="Normal"/>
    <w:next w:val="Normal"/>
    <w:link w:val="Heading3Char"/>
    <w:unhideWhenUsed/>
    <w:qFormat/>
    <w:rsid w:val="00C20CC4"/>
    <w:pPr>
      <w:outlineLvl w:val="2"/>
    </w:pPr>
    <w:rPr>
      <w:b/>
      <w:i/>
      <w:u w:val="single"/>
    </w:rPr>
  </w:style>
  <w:style w:type="paragraph" w:styleId="Heading4">
    <w:name w:val="heading 4"/>
    <w:basedOn w:val="Normal"/>
    <w:next w:val="Normal"/>
    <w:link w:val="Heading4Char"/>
    <w:unhideWhenUsed/>
    <w:qFormat/>
    <w:rsid w:val="005C59B2"/>
    <w:pPr>
      <w:keepNext/>
      <w:keepLines/>
      <w:spacing w:before="40" w:after="0"/>
      <w:outlineLvl w:val="3"/>
    </w:pPr>
    <w:rPr>
      <w:rFonts w:asciiTheme="majorHAnsi" w:eastAsiaTheme="majorEastAsia" w:hAnsiTheme="majorHAnsi" w:cstheme="majorBidi"/>
      <w:i/>
      <w:iCs/>
      <w:color w:val="0000BF" w:themeColor="accent1" w:themeShade="BF"/>
    </w:rPr>
  </w:style>
  <w:style w:type="paragraph" w:styleId="Heading5">
    <w:name w:val="heading 5"/>
    <w:basedOn w:val="Normal"/>
    <w:next w:val="Normal"/>
    <w:link w:val="Heading5Char"/>
    <w:qFormat/>
    <w:rsid w:val="0076282D"/>
    <w:pPr>
      <w:widowControl w:val="0"/>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76282D"/>
    <w:pPr>
      <w:widowControl w:val="0"/>
      <w:adjustRightInd w:val="0"/>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qFormat/>
    <w:rsid w:val="0076282D"/>
    <w:pPr>
      <w:widowControl w:val="0"/>
      <w:adjustRightInd w:val="0"/>
      <w:spacing w:before="240" w:after="60" w:line="240" w:lineRule="auto"/>
      <w:outlineLvl w:val="6"/>
    </w:pPr>
    <w:rPr>
      <w:rFonts w:ascii="Times New Roman" w:eastAsia="Times New Roman" w:hAnsi="Times New Roman" w:cs="Times New Roman"/>
      <w:szCs w:val="24"/>
    </w:rPr>
  </w:style>
  <w:style w:type="paragraph" w:styleId="Heading8">
    <w:name w:val="heading 8"/>
    <w:basedOn w:val="Normal"/>
    <w:next w:val="Normal"/>
    <w:link w:val="Heading8Char"/>
    <w:qFormat/>
    <w:rsid w:val="0076282D"/>
    <w:pPr>
      <w:widowControl w:val="0"/>
      <w:adjustRightInd w:val="0"/>
      <w:spacing w:before="240" w:after="60" w:line="240" w:lineRule="auto"/>
      <w:outlineLvl w:val="7"/>
    </w:pPr>
    <w:rPr>
      <w:rFonts w:ascii="Times New Roman" w:eastAsia="Times New Roman" w:hAnsi="Times New Roman" w:cs="Times New Roman"/>
      <w:i/>
      <w:iCs/>
      <w:szCs w:val="24"/>
    </w:rPr>
  </w:style>
  <w:style w:type="paragraph" w:styleId="Heading9">
    <w:name w:val="heading 9"/>
    <w:basedOn w:val="Normal"/>
    <w:next w:val="Normal"/>
    <w:link w:val="Heading9Char"/>
    <w:qFormat/>
    <w:rsid w:val="0076282D"/>
    <w:pPr>
      <w:keepNext/>
      <w:widowControl w:val="0"/>
      <w:adjustRightInd w:val="0"/>
      <w:spacing w:after="0" w:line="240" w:lineRule="auto"/>
      <w:jc w:val="center"/>
      <w:outlineLvl w:val="8"/>
    </w:pPr>
    <w:rPr>
      <w:rFonts w:ascii="Times New Roman" w:eastAsia="Times New Roman" w:hAnsi="Times New Roman" w:cs="Times New Roman"/>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E4F"/>
    <w:pPr>
      <w:spacing w:after="0" w:line="240" w:lineRule="auto"/>
      <w:jc w:val="right"/>
    </w:pPr>
  </w:style>
  <w:style w:type="character" w:customStyle="1" w:styleId="HeaderChar">
    <w:name w:val="Header Char"/>
    <w:basedOn w:val="DefaultParagraphFont"/>
    <w:link w:val="Header"/>
    <w:uiPriority w:val="99"/>
    <w:rsid w:val="00041E4F"/>
    <w:rPr>
      <w:rFonts w:ascii="Arial" w:hAnsi="Arial"/>
      <w:sz w:val="24"/>
    </w:rPr>
  </w:style>
  <w:style w:type="paragraph" w:styleId="Footer">
    <w:name w:val="footer"/>
    <w:basedOn w:val="Normal"/>
    <w:link w:val="FooterChar"/>
    <w:uiPriority w:val="99"/>
    <w:unhideWhenUsed/>
    <w:rsid w:val="00041E4F"/>
    <w:pPr>
      <w:spacing w:after="0" w:line="240" w:lineRule="auto"/>
      <w:jc w:val="center"/>
    </w:pPr>
    <w:rPr>
      <w:sz w:val="22"/>
    </w:rPr>
  </w:style>
  <w:style w:type="character" w:customStyle="1" w:styleId="FooterChar">
    <w:name w:val="Footer Char"/>
    <w:basedOn w:val="DefaultParagraphFont"/>
    <w:link w:val="Footer"/>
    <w:uiPriority w:val="99"/>
    <w:rsid w:val="00041E4F"/>
    <w:rPr>
      <w:rFonts w:ascii="Arial" w:hAnsi="Arial"/>
    </w:rPr>
  </w:style>
  <w:style w:type="character" w:customStyle="1" w:styleId="Heading1Char">
    <w:name w:val="Heading 1 Char"/>
    <w:basedOn w:val="DefaultParagraphFont"/>
    <w:link w:val="Heading1"/>
    <w:uiPriority w:val="9"/>
    <w:rsid w:val="00E31F81"/>
    <w:rPr>
      <w:rFonts w:ascii="Arial" w:hAnsi="Arial" w:eastAsiaTheme="majorEastAsia" w:cstheme="minorHAnsi"/>
      <w:b/>
      <w:bCs/>
      <w:sz w:val="24"/>
      <w:szCs w:val="32"/>
    </w:rPr>
  </w:style>
  <w:style w:type="character" w:styleId="Strong">
    <w:name w:val="Strong"/>
    <w:basedOn w:val="DefaultParagraphFont"/>
    <w:qFormat/>
    <w:rsid w:val="00B41A83"/>
    <w:rPr>
      <w:b/>
      <w:bCs/>
    </w:rPr>
  </w:style>
  <w:style w:type="paragraph" w:styleId="FootnoteText">
    <w:name w:val="footnote text"/>
    <w:basedOn w:val="Normal"/>
    <w:link w:val="FootnoteTextChar"/>
    <w:unhideWhenUsed/>
    <w:qFormat/>
    <w:rsid w:val="00B41A83"/>
    <w:pPr>
      <w:spacing w:after="0" w:line="240" w:lineRule="auto"/>
    </w:pPr>
    <w:rPr>
      <w:sz w:val="20"/>
      <w:szCs w:val="20"/>
    </w:rPr>
  </w:style>
  <w:style w:type="character" w:customStyle="1" w:styleId="FootnoteTextChar">
    <w:name w:val="Footnote Text Char"/>
    <w:basedOn w:val="DefaultParagraphFont"/>
    <w:link w:val="FootnoteText"/>
    <w:rsid w:val="00B41A83"/>
    <w:rPr>
      <w:sz w:val="20"/>
      <w:szCs w:val="20"/>
    </w:rPr>
  </w:style>
  <w:style w:type="character" w:styleId="FootnoteReference">
    <w:name w:val="footnote reference"/>
    <w:basedOn w:val="DefaultParagraphFont"/>
    <w:uiPriority w:val="99"/>
    <w:unhideWhenUsed/>
    <w:rsid w:val="00B41A83"/>
    <w:rPr>
      <w:vertAlign w:val="superscript"/>
    </w:rPr>
  </w:style>
  <w:style w:type="character" w:styleId="Emphasis">
    <w:name w:val="Emphasis"/>
    <w:basedOn w:val="DefaultParagraphFont"/>
    <w:uiPriority w:val="20"/>
    <w:qFormat/>
    <w:rsid w:val="00B41A83"/>
    <w:rPr>
      <w:i/>
      <w:iCs/>
    </w:rPr>
  </w:style>
  <w:style w:type="character" w:styleId="Hyperlink">
    <w:name w:val="Hyperlink"/>
    <w:basedOn w:val="DefaultParagraphFont"/>
    <w:uiPriority w:val="99"/>
    <w:unhideWhenUsed/>
    <w:qFormat/>
    <w:rsid w:val="00B41A83"/>
    <w:rPr>
      <w:color w:val="000000" w:themeColor="hyperlink"/>
      <w:u w:val="single"/>
    </w:rPr>
  </w:style>
  <w:style w:type="character" w:styleId="UnresolvedMention">
    <w:name w:val="Unresolved Mention"/>
    <w:basedOn w:val="DefaultParagraphFont"/>
    <w:uiPriority w:val="99"/>
    <w:unhideWhenUsed/>
    <w:rsid w:val="00B41A83"/>
    <w:rPr>
      <w:color w:val="605E5C"/>
      <w:shd w:val="clear" w:color="auto" w:fill="E1DFDD"/>
    </w:rPr>
  </w:style>
  <w:style w:type="character" w:customStyle="1" w:styleId="Heading2Char">
    <w:name w:val="Heading 2 Char"/>
    <w:basedOn w:val="DefaultParagraphFont"/>
    <w:link w:val="Heading2"/>
    <w:uiPriority w:val="9"/>
    <w:rsid w:val="003E4CE6"/>
    <w:rPr>
      <w:rFonts w:ascii="Arial" w:hAnsi="Arial" w:eastAsiaTheme="majorEastAsia" w:cstheme="minorHAnsi"/>
      <w:b/>
      <w:i/>
      <w:iCs/>
      <w:sz w:val="24"/>
    </w:rPr>
  </w:style>
  <w:style w:type="paragraph" w:styleId="ListParagraph">
    <w:name w:val="List Paragraph"/>
    <w:basedOn w:val="Normal"/>
    <w:uiPriority w:val="34"/>
    <w:qFormat/>
    <w:rsid w:val="00F44B08"/>
    <w:pPr>
      <w:ind w:left="720"/>
      <w:contextualSpacing/>
    </w:pPr>
  </w:style>
  <w:style w:type="character" w:customStyle="1" w:styleId="Heading3Char">
    <w:name w:val="Heading 3 Char"/>
    <w:basedOn w:val="DefaultParagraphFont"/>
    <w:link w:val="Heading3"/>
    <w:uiPriority w:val="9"/>
    <w:rsid w:val="00C20CC4"/>
    <w:rPr>
      <w:b/>
      <w:i/>
      <w:u w:val="single"/>
    </w:rPr>
  </w:style>
  <w:style w:type="table" w:styleId="TableGrid">
    <w:name w:val="Table Grid"/>
    <w:basedOn w:val="TableNormal"/>
    <w:rsid w:val="00F2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4"/>
    <w:next w:val="Normal"/>
    <w:uiPriority w:val="35"/>
    <w:unhideWhenUsed/>
    <w:qFormat/>
    <w:rsid w:val="005C59B2"/>
    <w:pPr>
      <w:spacing w:before="240"/>
    </w:pPr>
    <w:rPr>
      <w:rFonts w:ascii="Arial" w:hAnsi="Arial"/>
      <w:b/>
      <w:bCs/>
      <w:i w:val="0"/>
      <w:color w:val="auto"/>
    </w:rPr>
  </w:style>
  <w:style w:type="character" w:styleId="CommentReference">
    <w:name w:val="annotation reference"/>
    <w:basedOn w:val="DefaultParagraphFont"/>
    <w:semiHidden/>
    <w:unhideWhenUsed/>
    <w:rsid w:val="00973863"/>
    <w:rPr>
      <w:sz w:val="16"/>
      <w:szCs w:val="16"/>
    </w:rPr>
  </w:style>
  <w:style w:type="paragraph" w:styleId="CommentText">
    <w:name w:val="annotation text"/>
    <w:basedOn w:val="Normal"/>
    <w:link w:val="CommentTextChar"/>
    <w:uiPriority w:val="99"/>
    <w:unhideWhenUsed/>
    <w:rsid w:val="00973863"/>
    <w:pPr>
      <w:spacing w:line="240" w:lineRule="auto"/>
    </w:pPr>
    <w:rPr>
      <w:sz w:val="20"/>
      <w:szCs w:val="20"/>
    </w:rPr>
  </w:style>
  <w:style w:type="character" w:customStyle="1" w:styleId="CommentTextChar">
    <w:name w:val="Comment Text Char"/>
    <w:basedOn w:val="DefaultParagraphFont"/>
    <w:link w:val="CommentText"/>
    <w:uiPriority w:val="99"/>
    <w:rsid w:val="00973863"/>
    <w:rPr>
      <w:rFonts w:ascii="Arial" w:hAnsi="Arial"/>
      <w:sz w:val="20"/>
      <w:szCs w:val="20"/>
    </w:rPr>
  </w:style>
  <w:style w:type="paragraph" w:styleId="CommentSubject">
    <w:name w:val="annotation subject"/>
    <w:basedOn w:val="CommentText"/>
    <w:next w:val="CommentText"/>
    <w:link w:val="CommentSubjectChar"/>
    <w:semiHidden/>
    <w:unhideWhenUsed/>
    <w:rsid w:val="00973863"/>
    <w:rPr>
      <w:b/>
      <w:bCs/>
    </w:rPr>
  </w:style>
  <w:style w:type="character" w:customStyle="1" w:styleId="CommentSubjectChar">
    <w:name w:val="Comment Subject Char"/>
    <w:basedOn w:val="CommentTextChar"/>
    <w:link w:val="CommentSubject"/>
    <w:uiPriority w:val="99"/>
    <w:semiHidden/>
    <w:rsid w:val="00973863"/>
    <w:rPr>
      <w:rFonts w:ascii="Arial" w:hAnsi="Arial"/>
      <w:b/>
      <w:bCs/>
      <w:sz w:val="20"/>
      <w:szCs w:val="20"/>
    </w:rPr>
  </w:style>
  <w:style w:type="paragraph" w:styleId="NoSpacing">
    <w:name w:val="No Spacing"/>
    <w:uiPriority w:val="1"/>
    <w:qFormat/>
    <w:rsid w:val="00305CF1"/>
    <w:pPr>
      <w:spacing w:after="0" w:line="240" w:lineRule="auto"/>
    </w:pPr>
    <w:rPr>
      <w:rFonts w:ascii="Arial" w:hAnsi="Arial"/>
      <w:sz w:val="24"/>
    </w:rPr>
  </w:style>
  <w:style w:type="character" w:styleId="PlaceholderText">
    <w:name w:val="Placeholder Text"/>
    <w:basedOn w:val="DefaultParagraphFont"/>
    <w:uiPriority w:val="99"/>
    <w:semiHidden/>
    <w:rsid w:val="00041E4F"/>
    <w:rPr>
      <w:color w:val="808080"/>
    </w:rPr>
  </w:style>
  <w:style w:type="paragraph" w:styleId="Title">
    <w:name w:val="Title"/>
    <w:basedOn w:val="Normal"/>
    <w:next w:val="Normal"/>
    <w:link w:val="TitleChar"/>
    <w:uiPriority w:val="10"/>
    <w:rsid w:val="000F731C"/>
    <w:pPr>
      <w:jc w:val="center"/>
    </w:pPr>
    <w:rPr>
      <w:b/>
      <w:bCs/>
    </w:rPr>
  </w:style>
  <w:style w:type="character" w:customStyle="1" w:styleId="TitleChar">
    <w:name w:val="Title Char"/>
    <w:basedOn w:val="DefaultParagraphFont"/>
    <w:link w:val="Title"/>
    <w:uiPriority w:val="10"/>
    <w:rsid w:val="000F731C"/>
    <w:rPr>
      <w:rFonts w:ascii="Arial" w:hAnsi="Arial"/>
      <w:b/>
      <w:bCs/>
      <w:sz w:val="24"/>
    </w:rPr>
  </w:style>
  <w:style w:type="character" w:customStyle="1" w:styleId="Heading4Char">
    <w:name w:val="Heading 4 Char"/>
    <w:basedOn w:val="DefaultParagraphFont"/>
    <w:link w:val="Heading4"/>
    <w:uiPriority w:val="9"/>
    <w:semiHidden/>
    <w:rsid w:val="005C59B2"/>
    <w:rPr>
      <w:rFonts w:asciiTheme="majorHAnsi" w:eastAsiaTheme="majorEastAsia" w:hAnsiTheme="majorHAnsi" w:cstheme="majorBidi"/>
      <w:i/>
      <w:iCs/>
      <w:color w:val="0000BF" w:themeColor="accent1" w:themeShade="BF"/>
      <w:sz w:val="24"/>
    </w:rPr>
  </w:style>
  <w:style w:type="numbering" w:customStyle="1" w:styleId="StyleBulletedLatinCalibriLeft025Hanging025">
    <w:name w:val="Style Bulleted (Latin) Calibri Left:  0.25&quot; Hanging:  0.25&quot;"/>
    <w:basedOn w:val="NoList"/>
    <w:rsid w:val="00D130DE"/>
    <w:pPr>
      <w:numPr>
        <w:numId w:val="3"/>
      </w:numPr>
    </w:pPr>
  </w:style>
  <w:style w:type="character" w:customStyle="1" w:styleId="Instructions">
    <w:name w:val="Instructions"/>
    <w:basedOn w:val="DefaultParagraphFont"/>
    <w:rsid w:val="00E76339"/>
    <w:rPr>
      <w:color w:val="7030A0"/>
    </w:rPr>
  </w:style>
  <w:style w:type="paragraph" w:customStyle="1" w:styleId="Level1">
    <w:name w:val="Level 1"/>
    <w:basedOn w:val="Normal"/>
    <w:rsid w:val="00AB6751"/>
    <w:pPr>
      <w:widowControl w:val="0"/>
      <w:numPr>
        <w:numId w:val="4"/>
      </w:numPr>
      <w:autoSpaceDE w:val="0"/>
      <w:autoSpaceDN w:val="0"/>
      <w:adjustRightInd w:val="0"/>
      <w:spacing w:after="0" w:line="240" w:lineRule="auto"/>
      <w:ind w:left="720" w:hanging="720"/>
      <w:outlineLvl w:val="0"/>
    </w:pPr>
    <w:rPr>
      <w:rFonts w:ascii="Times New Roman" w:eastAsia="Times New Roman" w:hAnsi="Times New Roman" w:cs="Times New Roman"/>
      <w:szCs w:val="24"/>
      <w:lang w:eastAsia="ko-KR"/>
    </w:rPr>
  </w:style>
  <w:style w:type="character" w:customStyle="1" w:styleId="GPOBold">
    <w:name w:val="GPO Bold"/>
    <w:rsid w:val="00F71DB5"/>
    <w:rPr>
      <w:b/>
      <w:bCs/>
    </w:rPr>
  </w:style>
  <w:style w:type="paragraph" w:customStyle="1" w:styleId="Level2">
    <w:name w:val="Level 2"/>
    <w:basedOn w:val="Normal"/>
    <w:rsid w:val="0076282D"/>
    <w:pPr>
      <w:widowControl w:val="0"/>
      <w:adjustRightInd w:val="0"/>
      <w:spacing w:after="0" w:line="240" w:lineRule="auto"/>
      <w:ind w:left="1440" w:hanging="720"/>
    </w:pPr>
    <w:rPr>
      <w:rFonts w:ascii="Times New Roman" w:eastAsia="Times New Roman" w:hAnsi="Times New Roman" w:cs="Times New Roman"/>
      <w:szCs w:val="24"/>
    </w:rPr>
  </w:style>
  <w:style w:type="character" w:styleId="PageNumber">
    <w:name w:val="page number"/>
    <w:basedOn w:val="DefaultParagraphFont"/>
    <w:rsid w:val="0076282D"/>
  </w:style>
  <w:style w:type="paragraph" w:styleId="BodyTextIndent">
    <w:name w:val="Body Text Indent"/>
    <w:basedOn w:val="Normal"/>
    <w:link w:val="BodyTextIndentChar"/>
    <w:rsid w:val="0076282D"/>
    <w:pPr>
      <w:spacing w:after="0" w:line="240" w:lineRule="auto"/>
      <w:ind w:firstLine="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76282D"/>
    <w:rPr>
      <w:rFonts w:ascii="Times New Roman" w:eastAsia="Times New Roman" w:hAnsi="Times New Roman" w:cs="Times New Roman"/>
      <w:sz w:val="24"/>
      <w:szCs w:val="20"/>
    </w:rPr>
  </w:style>
  <w:style w:type="paragraph" w:styleId="BodyTextIndent2">
    <w:name w:val="Body Text Indent 2"/>
    <w:basedOn w:val="Normal"/>
    <w:link w:val="BodyTextIndent2Char"/>
    <w:unhideWhenUsed/>
    <w:rsid w:val="0076282D"/>
    <w:pPr>
      <w:spacing w:after="120" w:line="480" w:lineRule="auto"/>
      <w:ind w:left="360"/>
    </w:pPr>
  </w:style>
  <w:style w:type="character" w:customStyle="1" w:styleId="BodyTextIndent2Char">
    <w:name w:val="Body Text Indent 2 Char"/>
    <w:basedOn w:val="DefaultParagraphFont"/>
    <w:link w:val="BodyTextIndent2"/>
    <w:uiPriority w:val="99"/>
    <w:semiHidden/>
    <w:rsid w:val="0076282D"/>
    <w:rPr>
      <w:rFonts w:ascii="Arial" w:hAnsi="Arial"/>
      <w:sz w:val="24"/>
    </w:rPr>
  </w:style>
  <w:style w:type="character" w:customStyle="1" w:styleId="Heading5Char">
    <w:name w:val="Heading 5 Char"/>
    <w:basedOn w:val="DefaultParagraphFont"/>
    <w:link w:val="Heading5"/>
    <w:rsid w:val="0076282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76282D"/>
    <w:rPr>
      <w:rFonts w:ascii="Times New Roman" w:eastAsia="Times New Roman" w:hAnsi="Times New Roman" w:cs="Times New Roman"/>
      <w:b/>
      <w:bCs/>
    </w:rPr>
  </w:style>
  <w:style w:type="character" w:customStyle="1" w:styleId="Heading7Char">
    <w:name w:val="Heading 7 Char"/>
    <w:basedOn w:val="DefaultParagraphFont"/>
    <w:link w:val="Heading7"/>
    <w:rsid w:val="0076282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6282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76282D"/>
    <w:rPr>
      <w:rFonts w:ascii="Times New Roman" w:eastAsia="Times New Roman" w:hAnsi="Times New Roman" w:cs="Times New Roman"/>
      <w:b/>
      <w:bCs/>
      <w:sz w:val="16"/>
      <w:szCs w:val="24"/>
    </w:rPr>
  </w:style>
  <w:style w:type="paragraph" w:styleId="Macro">
    <w:name w:val="macro"/>
    <w:link w:val="MacroTextChar"/>
    <w:semiHidden/>
    <w:rsid w:val="0076282D"/>
    <w:pPr>
      <w:widowControl w:val="0"/>
      <w:tabs>
        <w:tab w:val="left" w:pos="480"/>
        <w:tab w:val="left" w:pos="960"/>
        <w:tab w:val="left" w:pos="1440"/>
        <w:tab w:val="left" w:pos="1920"/>
        <w:tab w:val="left" w:pos="2400"/>
        <w:tab w:val="left" w:pos="2880"/>
        <w:tab w:val="left" w:pos="3360"/>
        <w:tab w:val="left" w:pos="3840"/>
        <w:tab w:val="left" w:pos="4320"/>
      </w:tabs>
      <w:adjustRightInd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
    <w:semiHidden/>
    <w:rsid w:val="0076282D"/>
    <w:rPr>
      <w:rFonts w:ascii="Courier New" w:eastAsia="Times New Roman" w:hAnsi="Courier New" w:cs="Courier New"/>
      <w:sz w:val="20"/>
      <w:szCs w:val="20"/>
    </w:rPr>
  </w:style>
  <w:style w:type="paragraph" w:styleId="BalloonText">
    <w:name w:val="Balloon Text"/>
    <w:basedOn w:val="Normal"/>
    <w:link w:val="BalloonTextChar"/>
    <w:semiHidden/>
    <w:rsid w:val="0076282D"/>
    <w:pPr>
      <w:widowControl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6282D"/>
    <w:rPr>
      <w:rFonts w:ascii="Tahoma" w:eastAsia="Times New Roman" w:hAnsi="Tahoma" w:cs="Tahoma"/>
      <w:sz w:val="16"/>
      <w:szCs w:val="16"/>
    </w:rPr>
  </w:style>
  <w:style w:type="paragraph" w:styleId="DocumentMap">
    <w:name w:val="Document Map"/>
    <w:basedOn w:val="Normal"/>
    <w:link w:val="DocumentMapChar"/>
    <w:semiHidden/>
    <w:rsid w:val="0076282D"/>
    <w:pPr>
      <w:widowControl w:val="0"/>
      <w:shd w:val="clear" w:color="auto" w:fill="000080"/>
      <w:adjustRightInd w:val="0"/>
      <w:spacing w:after="0" w:line="240" w:lineRule="auto"/>
    </w:pPr>
    <w:rPr>
      <w:rFonts w:ascii="Tahoma" w:eastAsia="Times New Roman" w:hAnsi="Tahoma" w:cs="Tahoma"/>
      <w:szCs w:val="24"/>
    </w:rPr>
  </w:style>
  <w:style w:type="character" w:customStyle="1" w:styleId="DocumentMapChar">
    <w:name w:val="Document Map Char"/>
    <w:basedOn w:val="DefaultParagraphFont"/>
    <w:link w:val="DocumentMap"/>
    <w:semiHidden/>
    <w:rsid w:val="0076282D"/>
    <w:rPr>
      <w:rFonts w:ascii="Tahoma" w:eastAsia="Times New Roman" w:hAnsi="Tahoma" w:cs="Tahoma"/>
      <w:sz w:val="24"/>
      <w:szCs w:val="24"/>
      <w:shd w:val="clear" w:color="auto" w:fill="000080"/>
    </w:rPr>
  </w:style>
  <w:style w:type="paragraph" w:styleId="BodyText">
    <w:name w:val="Body Text"/>
    <w:basedOn w:val="Normal"/>
    <w:link w:val="BodyTextChar"/>
    <w:rsid w:val="0076282D"/>
    <w:pPr>
      <w:widowControl w:val="0"/>
      <w:tabs>
        <w:tab w:val="left" w:pos="-1440"/>
      </w:tabs>
      <w:adjustRightInd w:val="0"/>
      <w:spacing w:after="0" w:line="240" w:lineRule="auto"/>
    </w:pPr>
    <w:rPr>
      <w:rFonts w:ascii="Times New Roman" w:eastAsia="Times New Roman" w:hAnsi="Times New Roman" w:cs="Times New Roman"/>
      <w:sz w:val="22"/>
    </w:rPr>
  </w:style>
  <w:style w:type="character" w:customStyle="1" w:styleId="BodyTextChar">
    <w:name w:val="Body Text Char"/>
    <w:basedOn w:val="DefaultParagraphFont"/>
    <w:link w:val="BodyText"/>
    <w:rsid w:val="0076282D"/>
    <w:rPr>
      <w:rFonts w:ascii="Times New Roman" w:eastAsia="Times New Roman" w:hAnsi="Times New Roman" w:cs="Times New Roman"/>
    </w:rPr>
  </w:style>
  <w:style w:type="paragraph" w:customStyle="1" w:styleId="Style1">
    <w:name w:val="Style1"/>
    <w:basedOn w:val="Normal"/>
    <w:next w:val="Heading1"/>
    <w:link w:val="Style1Char"/>
    <w:qFormat/>
    <w:rsid w:val="0076282D"/>
    <w:pPr>
      <w:widowControl w:val="0"/>
      <w:adjustRightInd w:val="0"/>
      <w:spacing w:after="0" w:line="240" w:lineRule="auto"/>
    </w:pPr>
    <w:rPr>
      <w:rFonts w:ascii="Times New Roman" w:eastAsia="Times New Roman" w:hAnsi="Times New Roman" w:cs="Times New Roman"/>
      <w:b/>
      <w:bCs/>
      <w:szCs w:val="24"/>
      <w:lang w:val="x-none" w:eastAsia="x-none"/>
    </w:rPr>
  </w:style>
  <w:style w:type="character" w:customStyle="1" w:styleId="Style1Char">
    <w:name w:val="Style1 Char"/>
    <w:link w:val="Style1"/>
    <w:rsid w:val="0076282D"/>
    <w:rPr>
      <w:rFonts w:ascii="Times New Roman" w:eastAsia="Times New Roman" w:hAnsi="Times New Roman" w:cs="Times New Roman"/>
      <w:b/>
      <w:bCs/>
      <w:sz w:val="24"/>
      <w:szCs w:val="24"/>
      <w:lang w:val="x-none" w:eastAsia="x-none"/>
    </w:rPr>
  </w:style>
  <w:style w:type="paragraph" w:styleId="Revision">
    <w:name w:val="Revision"/>
    <w:hidden/>
    <w:uiPriority w:val="99"/>
    <w:semiHidden/>
    <w:rsid w:val="0076282D"/>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6282D"/>
    <w:rPr>
      <w:color w:val="808080"/>
      <w:shd w:val="clear" w:color="auto" w:fill="E6E6E6"/>
    </w:rPr>
  </w:style>
  <w:style w:type="character" w:styleId="FollowedHyperlink">
    <w:name w:val="FollowedHyperlink"/>
    <w:basedOn w:val="DefaultParagraphFont"/>
    <w:semiHidden/>
    <w:unhideWhenUsed/>
    <w:rsid w:val="0076282D"/>
    <w:rPr>
      <w:color w:val="00B0F0" w:themeColor="followedHyperlink"/>
      <w:u w:val="single"/>
    </w:rPr>
  </w:style>
  <w:style w:type="character" w:customStyle="1" w:styleId="fdmstext">
    <w:name w:val="fdmstext"/>
    <w:basedOn w:val="DefaultParagraphFont"/>
    <w:rsid w:val="0076282D"/>
    <w:rPr>
      <w:b/>
      <w:bCs/>
      <w:color w:val="0000CC"/>
    </w:rPr>
  </w:style>
  <w:style w:type="character" w:styleId="Mention">
    <w:name w:val="Mention"/>
    <w:basedOn w:val="DefaultParagraphFont"/>
    <w:uiPriority w:val="99"/>
    <w:unhideWhenUsed/>
    <w:rsid w:val="00C971F6"/>
    <w:rPr>
      <w:color w:val="2B579A"/>
      <w:shd w:val="clear" w:color="auto" w:fill="E1DFDD"/>
    </w:rPr>
  </w:style>
  <w:style w:type="character" w:customStyle="1" w:styleId="normaltextrun">
    <w:name w:val="normaltextrun"/>
    <w:basedOn w:val="DefaultParagraphFont"/>
    <w:rsid w:val="009C52C0"/>
  </w:style>
  <w:style w:type="paragraph" w:styleId="ListBullet">
    <w:name w:val="List Bullet"/>
    <w:basedOn w:val="Normal"/>
    <w:uiPriority w:val="99"/>
    <w:unhideWhenUsed/>
    <w:rsid w:val="00354DAB"/>
    <w:pPr>
      <w:tabs>
        <w:tab w:val="num" w:pos="360"/>
      </w:tabs>
      <w:spacing w:after="0" w:line="240" w:lineRule="auto"/>
      <w:ind w:left="360" w:hanging="360"/>
      <w:contextualSpacing/>
    </w:pPr>
  </w:style>
  <w:style w:type="table" w:customStyle="1" w:styleId="TableGrid1">
    <w:name w:val="Table Grid1"/>
    <w:basedOn w:val="TableNormal"/>
    <w:next w:val="TableGrid"/>
    <w:rsid w:val="00354DAB"/>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qFormat/>
    <w:rsid w:val="004F4342"/>
    <w:pPr>
      <w:autoSpaceDE w:val="0"/>
      <w:autoSpaceDN w:val="0"/>
      <w:adjustRightInd w:val="0"/>
      <w:spacing w:after="120" w:line="240" w:lineRule="auto"/>
      <w:ind w:left="360" w:hanging="360"/>
    </w:pPr>
    <w:rPr>
      <w:rFonts w:ascii="Times New Roman" w:hAnsi="Times New Roman"/>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dffiller.com/10247637--ICR-Handbook---Environmental-Protection-Agency-" TargetMode="External" /><Relationship Id="rId11" Type="http://schemas.openxmlformats.org/officeDocument/2006/relationships/hyperlink" Target="https://www.govinfo.gov/content/pkg/USCODE-2012-title15/pdf/USCODE-2012-title15-chap53-subchapI-sec2607.pdf"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footer" Target="footer2.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federalregister.gov/documents/2017/01/19/2017-01235/statutory-requirements-for-substantiation-of-confidential-business-information-cbi-claims-under-the"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E43A35DED13B4AE096B05542BEB87C4D"/>
        <w:category>
          <w:name w:val="General"/>
          <w:gallery w:val="placeholder"/>
        </w:category>
        <w:types>
          <w:type w:val="bbPlcHdr"/>
        </w:types>
        <w:behaviors>
          <w:behavior w:val="content"/>
        </w:behaviors>
        <w:guid w:val="{2A6C4860-9197-4B0D-A348-02B00C2E5B2E}"/>
      </w:docPartPr>
      <w:docPartBody>
        <w:p w:rsidR="00276204" w:rsidP="008E13F2">
          <w:pPr>
            <w:pStyle w:val="E43A35DED13B4AE096B05542BEB87C4D1"/>
          </w:pPr>
          <w:r w:rsidRPr="007C5B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F2"/>
    <w:rsid w:val="0000387F"/>
    <w:rsid w:val="001B17DA"/>
    <w:rsid w:val="001E02C2"/>
    <w:rsid w:val="001E3C9E"/>
    <w:rsid w:val="001F7191"/>
    <w:rsid w:val="0021295C"/>
    <w:rsid w:val="00276204"/>
    <w:rsid w:val="002F4E07"/>
    <w:rsid w:val="00373C3D"/>
    <w:rsid w:val="00431174"/>
    <w:rsid w:val="004A79EF"/>
    <w:rsid w:val="00562E62"/>
    <w:rsid w:val="00647617"/>
    <w:rsid w:val="006B0456"/>
    <w:rsid w:val="00713385"/>
    <w:rsid w:val="007213BF"/>
    <w:rsid w:val="007417DD"/>
    <w:rsid w:val="0075252F"/>
    <w:rsid w:val="007B417A"/>
    <w:rsid w:val="007C4D09"/>
    <w:rsid w:val="007F0600"/>
    <w:rsid w:val="00820A42"/>
    <w:rsid w:val="008E13F2"/>
    <w:rsid w:val="008E2E7B"/>
    <w:rsid w:val="00BF5EC9"/>
    <w:rsid w:val="00BF6455"/>
    <w:rsid w:val="00C16555"/>
    <w:rsid w:val="00C50EAC"/>
    <w:rsid w:val="00C92602"/>
    <w:rsid w:val="00D03134"/>
    <w:rsid w:val="00D64E84"/>
    <w:rsid w:val="00D806A4"/>
    <w:rsid w:val="00E305BF"/>
    <w:rsid w:val="00E61A9C"/>
    <w:rsid w:val="00ED1756"/>
    <w:rsid w:val="00FC4F5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17DA"/>
    <w:rPr>
      <w:color w:val="808080"/>
    </w:rPr>
  </w:style>
  <w:style w:type="paragraph" w:customStyle="1" w:styleId="E43A35DED13B4AE096B05542BEB87C4D1">
    <w:name w:val="E43A35DED13B4AE096B05542BEB87C4D1"/>
    <w:rsid w:val="008E13F2"/>
    <w:pPr>
      <w:spacing w:after="0" w:line="240" w:lineRule="auto"/>
      <w:jc w:val="right"/>
    </w:pPr>
    <w:rPr>
      <w:rFonts w:ascii="Arial" w:hAnsi="Arial" w:eastAsiaTheme="minorHAns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FR Notices">
  <a:themeElements>
    <a:clrScheme name="FR Notices">
      <a:dk1>
        <a:sysClr val="windowText" lastClr="000000"/>
      </a:dk1>
      <a:lt1>
        <a:sysClr val="window" lastClr="FFFFFF"/>
      </a:lt1>
      <a:dk2>
        <a:srgbClr val="44546A"/>
      </a:dk2>
      <a:lt2>
        <a:srgbClr val="E7E6E6"/>
      </a:lt2>
      <a:accent1>
        <a:srgbClr val="0000FF"/>
      </a:accent1>
      <a:accent2>
        <a:srgbClr val="FF6600"/>
      </a:accent2>
      <a:accent3>
        <a:srgbClr val="FF0000"/>
      </a:accent3>
      <a:accent4>
        <a:srgbClr val="008000"/>
      </a:accent4>
      <a:accent5>
        <a:srgbClr val="800080"/>
      </a:accent5>
      <a:accent6>
        <a:srgbClr val="FFFFFF"/>
      </a:accent6>
      <a:hlink>
        <a:srgbClr val="000000"/>
      </a:hlink>
      <a:folHlink>
        <a:srgbClr val="00B0F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SharedWithUsers xmlns="a5d1ca4e-0a3f-4119-b619-e20b93ebd1aa">
      <UserInfo>
        <DisplayName/>
        <AccountId xsi:nil="true"/>
        <AccountType/>
      </UserInfo>
    </SharedWithUsers>
    <_ip_UnifiedCompliancePolicyUIAction xmlns="http://schemas.microsoft.com/sharepoint/v3" xsi:nil="true"/>
    <_ip_UnifiedCompliancePolicyProperties xmlns="http://schemas.microsoft.com/sharepoint/v3" xsi:nil="true"/>
    <FRN_x0020_List_x0020_Item_x0020_ID xmlns="118f882f-1e32-4cf2-ad69-9de43d57f4c6">4481</FRN_x0020_List_x0020_Item_x0020_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4" ma:contentTypeDescription="Create a new document." ma:contentTypeScope="" ma:versionID="4ca9ae3a18f3799ae7de94c87e38686a">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8eb7a2a63042dd8acd52b8cd74bf6d63"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8B62B6C6-7D31-4CBF-AFEE-B172C5246E8E}">
  <ds:schemaRefs>
    <ds:schemaRef ds:uri="http://schemas.microsoft.com/sharepoint/v3/contenttype/forms"/>
  </ds:schemaRefs>
</ds:datastoreItem>
</file>

<file path=customXml/itemProps2.xml><?xml version="1.0" encoding="utf-8"?>
<ds:datastoreItem xmlns:ds="http://schemas.openxmlformats.org/officeDocument/2006/customXml" ds:itemID="{1ACC76EA-381F-485B-AAEB-CECCAE595265}">
  <ds:schemaRef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2006/metadata/properties"/>
    <ds:schemaRef ds:uri="4ffa91fb-a0ff-4ac5-b2db-65c790d184a4"/>
    <ds:schemaRef ds:uri="http://www.w3.org/XML/1998/namespace"/>
    <ds:schemaRef ds:uri="http://schemas.microsoft.com/office/infopath/2007/PartnerControls"/>
    <ds:schemaRef ds:uri="http://purl.org/dc/terms/"/>
    <ds:schemaRef ds:uri="a5d1ca4e-0a3f-4119-b619-e20b93ebd1aa"/>
    <ds:schemaRef ds:uri="118f882f-1e32-4cf2-ad69-9de43d57f4c6"/>
    <ds:schemaRef ds:uri="http://schemas.microsoft.com/sharepoint.v3"/>
    <ds:schemaRef ds:uri="http://schemas.microsoft.com/sharepoint/v3"/>
  </ds:schemaRefs>
</ds:datastoreItem>
</file>

<file path=customXml/itemProps3.xml><?xml version="1.0" encoding="utf-8"?>
<ds:datastoreItem xmlns:ds="http://schemas.openxmlformats.org/officeDocument/2006/customXml" ds:itemID="{EAF9337C-1AB5-4383-B740-ED0F78271945}">
  <ds:schemaRefs>
    <ds:schemaRef ds:uri="http://schemas.openxmlformats.org/officeDocument/2006/bibliography"/>
  </ds:schemaRefs>
</ds:datastoreItem>
</file>

<file path=customXml/itemProps4.xml><?xml version="1.0" encoding="utf-8"?>
<ds:datastoreItem xmlns:ds="http://schemas.openxmlformats.org/officeDocument/2006/customXml" ds:itemID="{8274C4E2-F84A-4B4A-A425-43854FCFA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87C33C-BCF5-41A7-B3AB-4279A5D6795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23</Pages>
  <Words>8213</Words>
  <Characters>47157</Characters>
  <Application>Microsoft Office Word</Application>
  <DocSecurity>0</DocSecurity>
  <Lines>1372</Lines>
  <Paragraphs>718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Green</dc:creator>
  <cp:lastModifiedBy>Schultz, Eric</cp:lastModifiedBy>
  <cp:revision>3</cp:revision>
  <dcterms:created xsi:type="dcterms:W3CDTF">2023-10-12T01:49:00Z</dcterms:created>
  <dcterms:modified xsi:type="dcterms:W3CDTF">2023-10-12T02:11:00Z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0x010100E8F945D3E4F86649B7BD7D579B37A57A</vt:lpwstr>
  </property>
  <property fmtid="{D5CDD505-2E9C-101B-9397-08002B2CF9AE}" pid="4" name="Document Type">
    <vt:lpwstr/>
  </property>
  <property fmtid="{D5CDD505-2E9C-101B-9397-08002B2CF9AE}" pid="5" name="EPA Subject">
    <vt:lpwstr/>
  </property>
  <property fmtid="{D5CDD505-2E9C-101B-9397-08002B2CF9AE}" pid="6" name="GrammarlyDocumentId">
    <vt:lpwstr>d27cee260cadcad4125e586f1a8e3a28fd57833f6ff1ccea15c3adb3d83622f6</vt:lpwstr>
  </property>
  <property fmtid="{D5CDD505-2E9C-101B-9397-08002B2CF9AE}" pid="7" name="Order">
    <vt:r8>900</vt:r8>
  </property>
  <property fmtid="{D5CDD505-2E9C-101B-9397-08002B2CF9AE}" pid="8" name="TaxKeyword">
    <vt:lpwstr/>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ExtendedDescription">
    <vt:lpwstr/>
  </property>
</Properties>
</file>