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0A1D" w:rsidRPr="00CD1CFF" w:rsidP="00CD1CFF" w14:paraId="6A701D54" w14:textId="77777777">
      <w:pPr>
        <w:spacing w:after="200" w:line="276" w:lineRule="auto"/>
        <w:jc w:val="center"/>
        <w:rPr>
          <w:rFonts w:cs="Arial"/>
          <w:b/>
          <w:bCs/>
        </w:rPr>
      </w:pPr>
      <w:bookmarkStart w:id="0" w:name="_Hlk109647816"/>
      <w:r w:rsidRPr="00CD1CFF">
        <w:rPr>
          <w:rFonts w:cs="Arial"/>
          <w:b/>
          <w:bCs/>
        </w:rPr>
        <w:t>Supporting Statement for a</w:t>
      </w:r>
      <w:r w:rsidRPr="00CD1CFF" w:rsidR="00A40BD4">
        <w:rPr>
          <w:rFonts w:cs="Arial"/>
          <w:b/>
          <w:bCs/>
        </w:rPr>
        <w:t>n Information Collection</w:t>
      </w:r>
      <w:r w:rsidRPr="00CD1CFF">
        <w:rPr>
          <w:rFonts w:cs="Arial"/>
          <w:b/>
          <w:bCs/>
        </w:rPr>
        <w:t xml:space="preserve"> </w:t>
      </w:r>
      <w:r w:rsidRPr="00CD1CFF" w:rsidR="009D766C">
        <w:rPr>
          <w:rFonts w:cs="Arial"/>
          <w:b/>
          <w:bCs/>
        </w:rPr>
        <w:t>Request</w:t>
      </w:r>
      <w:r w:rsidRPr="00CD1CFF">
        <w:rPr>
          <w:rFonts w:cs="Arial"/>
          <w:b/>
          <w:bCs/>
        </w:rPr>
        <w:t xml:space="preserve"> </w:t>
      </w:r>
      <w:r w:rsidRPr="00CD1CFF" w:rsidR="00A40BD4">
        <w:rPr>
          <w:rFonts w:cs="Arial"/>
          <w:b/>
          <w:bCs/>
        </w:rPr>
        <w:t>(ICR)</w:t>
      </w:r>
      <w:r w:rsidR="00D248EC">
        <w:rPr>
          <w:rFonts w:cs="Arial"/>
          <w:b/>
          <w:bCs/>
        </w:rPr>
        <w:br/>
      </w:r>
      <w:r w:rsidRPr="00CD1CFF" w:rsidR="00A40BD4">
        <w:rPr>
          <w:rFonts w:cs="Arial"/>
          <w:b/>
          <w:bCs/>
        </w:rPr>
        <w:t>U</w:t>
      </w:r>
      <w:r w:rsidRPr="00CD1CFF">
        <w:rPr>
          <w:rFonts w:cs="Arial"/>
          <w:b/>
          <w:bCs/>
        </w:rPr>
        <w:t>nder</w:t>
      </w:r>
      <w:r w:rsidR="00D248EC">
        <w:rPr>
          <w:rFonts w:cs="Arial"/>
          <w:b/>
          <w:bCs/>
        </w:rPr>
        <w:t xml:space="preserve"> t</w:t>
      </w:r>
      <w:r w:rsidRPr="00CD1CFF">
        <w:rPr>
          <w:rFonts w:cs="Arial"/>
          <w:b/>
          <w:bCs/>
        </w:rPr>
        <w:t>he Paperwork Reduction Act</w:t>
      </w:r>
      <w:r w:rsidRPr="00CD1CFF" w:rsidR="00A40BD4">
        <w:rPr>
          <w:rFonts w:cs="Arial"/>
          <w:b/>
          <w:bCs/>
        </w:rPr>
        <w:t xml:space="preserve"> (PRA)</w:t>
      </w:r>
    </w:p>
    <w:bookmarkEnd w:id="0"/>
    <w:p w:rsidR="007414C8" w:rsidRPr="00CD1CFF" w:rsidP="00997DE2" w14:paraId="6A220DA8" w14:textId="77777777">
      <w:pPr>
        <w:pStyle w:val="Heading1"/>
      </w:pPr>
      <w:r w:rsidRPr="00CD1CFF">
        <w:t xml:space="preserve">EXECUTIVE SUMMARY </w:t>
      </w:r>
    </w:p>
    <w:p w:rsidR="007414C8" w:rsidRPr="00CD1CFF" w:rsidP="00997DE2" w14:paraId="3772E6AF" w14:textId="77777777">
      <w:pPr>
        <w:pStyle w:val="Heading1"/>
      </w:pPr>
      <w:r w:rsidRPr="00CD1CFF">
        <w:t xml:space="preserve">Identification of the Information Collection – Title and Numbers </w:t>
      </w:r>
    </w:p>
    <w:p w:rsidR="007414C8" w:rsidP="00F97489" w14:paraId="4E089CB1" w14:textId="77777777">
      <w:pPr>
        <w:pStyle w:val="Heading1"/>
        <w:spacing w:before="120"/>
        <w:ind w:left="1530" w:hanging="810"/>
        <w:rPr>
          <w:rFonts w:cs="Arial"/>
        </w:rPr>
      </w:pPr>
      <w:r w:rsidRPr="00CD1CFF">
        <w:rPr>
          <w:rFonts w:cs="Arial"/>
        </w:rPr>
        <w:t>Title:</w:t>
      </w:r>
      <w:r w:rsidRPr="00CD1CFF">
        <w:rPr>
          <w:rFonts w:cs="Arial"/>
        </w:rPr>
        <w:tab/>
      </w:r>
      <w:bookmarkStart w:id="1" w:name="_Hlk109660416"/>
      <w:r w:rsidR="00315A5F">
        <w:rPr>
          <w:rFonts w:cs="Arial"/>
        </w:rPr>
        <w:t>Rule-</w:t>
      </w:r>
      <w:r w:rsidR="00033560">
        <w:rPr>
          <w:rFonts w:cs="Arial"/>
        </w:rPr>
        <w:t>Related ICR</w:t>
      </w:r>
      <w:r w:rsidR="00315A5F">
        <w:rPr>
          <w:rFonts w:cs="Arial"/>
        </w:rPr>
        <w:t xml:space="preserve">; </w:t>
      </w:r>
      <w:r w:rsidRPr="00D37F82" w:rsidR="00D37F82">
        <w:rPr>
          <w:rFonts w:cs="Arial"/>
        </w:rPr>
        <w:t>Changes to Reporting Requirements</w:t>
      </w:r>
      <w:r w:rsidR="00982025">
        <w:rPr>
          <w:rFonts w:cs="Arial"/>
        </w:rPr>
        <w:t>:</w:t>
      </w:r>
      <w:r w:rsidRPr="00D37F82" w:rsidR="00D37F82">
        <w:rPr>
          <w:rFonts w:cs="Arial"/>
        </w:rPr>
        <w:t xml:space="preserve"> Per- and Polyfluoroalkyl Substances</w:t>
      </w:r>
      <w:r w:rsidR="00982025">
        <w:rPr>
          <w:rFonts w:cs="Arial"/>
        </w:rPr>
        <w:t xml:space="preserve"> and to Supplier Notifications for Chemicals of Special Concern</w:t>
      </w:r>
      <w:r w:rsidRPr="00D37F82" w:rsidR="00D37F82">
        <w:rPr>
          <w:rFonts w:cs="Arial"/>
        </w:rPr>
        <w:t>; Community Right-to-Know Toxic Chemical Release Reporting</w:t>
      </w:r>
      <w:r w:rsidR="0031680C">
        <w:rPr>
          <w:rFonts w:cs="Arial"/>
        </w:rPr>
        <w:t>;</w:t>
      </w:r>
      <w:r w:rsidRPr="00D37F82" w:rsidR="00D37F82">
        <w:rPr>
          <w:rFonts w:cs="Arial"/>
        </w:rPr>
        <w:t xml:space="preserve"> </w:t>
      </w:r>
      <w:r w:rsidR="00982025">
        <w:rPr>
          <w:rFonts w:cs="Arial"/>
        </w:rPr>
        <w:t>Final</w:t>
      </w:r>
      <w:r w:rsidRPr="00CD1CFF" w:rsidR="00982025">
        <w:rPr>
          <w:rFonts w:cs="Arial"/>
        </w:rPr>
        <w:t xml:space="preserve"> </w:t>
      </w:r>
      <w:r w:rsidRPr="00CD1CFF" w:rsidR="0080573E">
        <w:rPr>
          <w:rFonts w:cs="Arial"/>
        </w:rPr>
        <w:t>Rule</w:t>
      </w:r>
      <w:r w:rsidR="00315A5F">
        <w:rPr>
          <w:rFonts w:cs="Arial"/>
        </w:rPr>
        <w:t xml:space="preserve"> (RIN 2070-AK97)</w:t>
      </w:r>
      <w:bookmarkEnd w:id="1"/>
    </w:p>
    <w:p w:rsidR="007414C8" w:rsidP="00FA2444" w14:paraId="3B701954" w14:textId="77777777">
      <w:pPr>
        <w:tabs>
          <w:tab w:val="left" w:pos="2880"/>
        </w:tabs>
        <w:autoSpaceDE/>
        <w:autoSpaceDN/>
        <w:spacing w:after="200" w:line="276" w:lineRule="auto"/>
        <w:ind w:left="2880" w:hanging="2160"/>
        <w:rPr>
          <w:rFonts w:cs="Arial"/>
          <w:b/>
          <w:bCs/>
          <w:lang w:val="es-DO"/>
        </w:rPr>
      </w:pPr>
      <w:r w:rsidRPr="00CD1CFF">
        <w:rPr>
          <w:rFonts w:cs="Arial"/>
          <w:b/>
          <w:bCs/>
          <w:lang w:val="es-DO"/>
        </w:rPr>
        <w:t>EPA ICR No.:</w:t>
      </w:r>
      <w:r w:rsidR="00FA2444">
        <w:rPr>
          <w:rFonts w:cs="Arial"/>
          <w:b/>
          <w:bCs/>
          <w:lang w:val="es-DO"/>
        </w:rPr>
        <w:tab/>
      </w:r>
      <w:bookmarkStart w:id="2" w:name="_Hlk110422581"/>
      <w:r w:rsidR="00847B11">
        <w:rPr>
          <w:rFonts w:cs="Arial"/>
          <w:b/>
          <w:bCs/>
          <w:lang w:val="es-DO"/>
        </w:rPr>
        <w:t>2724.0</w:t>
      </w:r>
      <w:r w:rsidR="005D4C16">
        <w:rPr>
          <w:rFonts w:cs="Arial"/>
          <w:b/>
          <w:bCs/>
          <w:lang w:val="es-DO"/>
        </w:rPr>
        <w:t>2</w:t>
      </w:r>
      <w:bookmarkEnd w:id="2"/>
    </w:p>
    <w:p w:rsidR="007414C8" w:rsidRPr="00CD1CFF" w:rsidP="00FA2444" w14:paraId="56887BFD" w14:textId="77777777">
      <w:pPr>
        <w:tabs>
          <w:tab w:val="left" w:pos="720"/>
          <w:tab w:val="left" w:pos="1440"/>
          <w:tab w:val="left" w:pos="2160"/>
          <w:tab w:val="left" w:pos="2880"/>
          <w:tab w:val="left" w:pos="3600"/>
          <w:tab w:val="left" w:pos="4320"/>
        </w:tabs>
        <w:spacing w:after="200" w:line="276" w:lineRule="auto"/>
        <w:ind w:left="2880" w:hanging="2160"/>
        <w:rPr>
          <w:rFonts w:cs="Arial"/>
          <w:b/>
          <w:bCs/>
          <w:lang w:val="es-DO"/>
        </w:rPr>
      </w:pPr>
      <w:r w:rsidRPr="00CD1CFF">
        <w:rPr>
          <w:rFonts w:cs="Arial"/>
          <w:b/>
          <w:bCs/>
          <w:lang w:val="es-DO"/>
        </w:rPr>
        <w:t>OMB Control No.:</w:t>
      </w:r>
      <w:r w:rsidRPr="00CD1CFF">
        <w:rPr>
          <w:rFonts w:cs="Arial"/>
          <w:b/>
          <w:bCs/>
          <w:lang w:val="es-DO"/>
        </w:rPr>
        <w:tab/>
      </w:r>
      <w:r w:rsidRPr="00CD1CFF" w:rsidR="00421B48">
        <w:rPr>
          <w:rFonts w:cs="Arial"/>
          <w:b/>
          <w:bCs/>
          <w:lang w:val="es-DO"/>
        </w:rPr>
        <w:t>2070-</w:t>
      </w:r>
      <w:r w:rsidR="00AE49F9">
        <w:rPr>
          <w:rFonts w:cs="Arial"/>
          <w:b/>
          <w:bCs/>
          <w:lang w:val="es-DO"/>
        </w:rPr>
        <w:t>0225</w:t>
      </w:r>
    </w:p>
    <w:p w:rsidR="00FC2B91" w:rsidRPr="00CD1CFF" w:rsidP="00FA2444" w14:paraId="4D0975E5" w14:textId="77777777">
      <w:pPr>
        <w:tabs>
          <w:tab w:val="left" w:pos="2880"/>
        </w:tabs>
        <w:autoSpaceDE/>
        <w:autoSpaceDN/>
        <w:spacing w:after="200" w:line="276" w:lineRule="auto"/>
        <w:ind w:left="2880" w:hanging="2160"/>
        <w:rPr>
          <w:rFonts w:eastAsia="Calibri" w:cs="Arial"/>
          <w:b/>
        </w:rPr>
      </w:pPr>
      <w:r w:rsidRPr="00CD1CFF">
        <w:rPr>
          <w:rFonts w:eastAsia="Calibri" w:cs="Arial"/>
          <w:b/>
        </w:rPr>
        <w:t>Docket ID No.:</w:t>
      </w:r>
      <w:r w:rsidR="00FA2444">
        <w:rPr>
          <w:rFonts w:eastAsia="Calibri" w:cs="Arial"/>
          <w:b/>
        </w:rPr>
        <w:tab/>
        <w:t>E</w:t>
      </w:r>
      <w:r w:rsidRPr="00CD1CFF" w:rsidR="00421B48">
        <w:rPr>
          <w:rFonts w:eastAsia="Calibri" w:cs="Arial"/>
          <w:b/>
        </w:rPr>
        <w:t>PA-HQ-</w:t>
      </w:r>
      <w:r w:rsidR="0027605D">
        <w:rPr>
          <w:rFonts w:eastAsia="Calibri" w:cs="Arial"/>
          <w:b/>
        </w:rPr>
        <w:t>TRI</w:t>
      </w:r>
      <w:r w:rsidRPr="00CD1CFF" w:rsidR="00421B48">
        <w:rPr>
          <w:rFonts w:eastAsia="Calibri" w:cs="Arial"/>
          <w:b/>
        </w:rPr>
        <w:t>-</w:t>
      </w:r>
      <w:r w:rsidRPr="004B07AE" w:rsidR="004B07AE">
        <w:rPr>
          <w:rFonts w:eastAsia="Calibri" w:cs="Arial"/>
          <w:b/>
        </w:rPr>
        <w:t>2022-0270</w:t>
      </w:r>
    </w:p>
    <w:p w:rsidR="00FC2B91" w:rsidRPr="00FA2444" w:rsidP="00315A5F" w14:paraId="7EFCBBFD" w14:textId="77777777">
      <w:pPr>
        <w:pStyle w:val="Caption"/>
        <w:keepNext/>
        <w:spacing w:after="60"/>
        <w:jc w:val="left"/>
        <w:rPr>
          <w:b/>
          <w:bCs/>
          <w:sz w:val="24"/>
          <w:szCs w:val="24"/>
        </w:rPr>
      </w:pPr>
      <w:r>
        <w:rPr>
          <w:b/>
          <w:bCs/>
          <w:sz w:val="24"/>
          <w:szCs w:val="24"/>
        </w:rPr>
        <w:t xml:space="preserve">Annual </w:t>
      </w:r>
      <w:r w:rsidRPr="00FA2444">
        <w:rPr>
          <w:b/>
          <w:bCs/>
          <w:sz w:val="24"/>
          <w:szCs w:val="24"/>
        </w:rPr>
        <w:t>Summary Total Burden and Costs</w:t>
      </w:r>
    </w:p>
    <w:tbl>
      <w:tblPr>
        <w:tblW w:w="5102"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CellMar>
          <w:left w:w="100" w:type="dxa"/>
          <w:right w:w="100" w:type="dxa"/>
        </w:tblCellMar>
        <w:tblLook w:val="0000"/>
      </w:tblPr>
      <w:tblGrid>
        <w:gridCol w:w="4831"/>
        <w:gridCol w:w="1721"/>
        <w:gridCol w:w="1254"/>
        <w:gridCol w:w="1725"/>
      </w:tblGrid>
      <w:tr w14:paraId="0D530D4C" w14:textId="77777777" w:rsidTr="00886A73">
        <w:tblPrEx>
          <w:tblW w:w="5102"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CellMar>
            <w:left w:w="100" w:type="dxa"/>
            <w:right w:w="100" w:type="dxa"/>
          </w:tblCellMar>
          <w:tblLook w:val="0000"/>
        </w:tblPrEx>
        <w:trPr>
          <w:cantSplit/>
          <w:jc w:val="center"/>
        </w:trPr>
        <w:tc>
          <w:tcPr>
            <w:tcW w:w="2534" w:type="pct"/>
            <w:shd w:val="clear" w:color="auto" w:fill="BFBFBF" w:themeFill="background1" w:themeFillShade="BF"/>
          </w:tcPr>
          <w:p w:rsidR="00FC2B91" w:rsidP="007912E3" w14:paraId="40C4C508" w14:textId="77777777">
            <w:pPr>
              <w:jc w:val="center"/>
              <w:rPr>
                <w:bCs/>
                <w:color w:val="000000"/>
              </w:rPr>
            </w:pPr>
          </w:p>
          <w:p w:rsidR="00FC2B91" w:rsidRPr="009C41B7" w:rsidP="007912E3" w14:paraId="57C7A1F1" w14:textId="77777777">
            <w:pPr>
              <w:jc w:val="center"/>
              <w:rPr>
                <w:b/>
                <w:color w:val="000000"/>
              </w:rPr>
            </w:pPr>
            <w:r w:rsidRPr="009C41B7">
              <w:rPr>
                <w:b/>
                <w:color w:val="000000"/>
              </w:rPr>
              <w:t>IC Activity</w:t>
            </w:r>
          </w:p>
        </w:tc>
        <w:tc>
          <w:tcPr>
            <w:tcW w:w="903" w:type="pct"/>
            <w:shd w:val="clear" w:color="auto" w:fill="BFBFBF" w:themeFill="background1" w:themeFillShade="BF"/>
          </w:tcPr>
          <w:p w:rsidR="00FC2B91" w:rsidRPr="00303AA7" w:rsidP="007912E3" w14:paraId="209C72D2" w14:textId="77777777">
            <w:pPr>
              <w:jc w:val="center"/>
              <w:rPr>
                <w:b/>
                <w:bCs/>
              </w:rPr>
            </w:pPr>
            <w:r w:rsidRPr="00303AA7">
              <w:rPr>
                <w:b/>
                <w:bCs/>
              </w:rPr>
              <w:t xml:space="preserve">Total Number </w:t>
            </w:r>
            <w:r>
              <w:br/>
            </w:r>
            <w:r w:rsidRPr="00303AA7">
              <w:rPr>
                <w:b/>
                <w:bCs/>
              </w:rPr>
              <w:t xml:space="preserve">of Respondents </w:t>
            </w:r>
          </w:p>
        </w:tc>
        <w:tc>
          <w:tcPr>
            <w:tcW w:w="658" w:type="pct"/>
            <w:shd w:val="clear" w:color="auto" w:fill="BFBFBF" w:themeFill="background1" w:themeFillShade="BF"/>
          </w:tcPr>
          <w:p w:rsidR="00FC2B91" w:rsidRPr="00303AA7" w:rsidP="007912E3" w14:paraId="2CED94B8" w14:textId="77777777">
            <w:pPr>
              <w:jc w:val="center"/>
              <w:rPr>
                <w:b/>
                <w:bCs/>
              </w:rPr>
            </w:pPr>
            <w:r w:rsidRPr="00303AA7">
              <w:rPr>
                <w:b/>
                <w:bCs/>
              </w:rPr>
              <w:t>Annual</w:t>
            </w:r>
            <w:r w:rsidRPr="00303AA7">
              <w:rPr>
                <w:b/>
                <w:bCs/>
              </w:rPr>
              <w:br/>
              <w:t xml:space="preserve">Burden Hours </w:t>
            </w:r>
          </w:p>
        </w:tc>
        <w:tc>
          <w:tcPr>
            <w:tcW w:w="905" w:type="pct"/>
            <w:shd w:val="clear" w:color="auto" w:fill="BFBFBF" w:themeFill="background1" w:themeFillShade="BF"/>
          </w:tcPr>
          <w:p w:rsidR="00FC2B91" w:rsidRPr="00303AA7" w:rsidP="007912E3" w14:paraId="316F13B0" w14:textId="00768AE5">
            <w:pPr>
              <w:jc w:val="center"/>
              <w:rPr>
                <w:b/>
                <w:bCs/>
                <w:color w:val="000000"/>
              </w:rPr>
            </w:pPr>
            <w:r w:rsidRPr="00303AA7">
              <w:rPr>
                <w:b/>
                <w:bCs/>
                <w:color w:val="000000"/>
              </w:rPr>
              <w:br/>
              <w:t>Costs</w:t>
            </w:r>
          </w:p>
        </w:tc>
      </w:tr>
      <w:tr w14:paraId="05C9948F" w14:textId="77777777" w:rsidTr="00886A73">
        <w:tblPrEx>
          <w:tblW w:w="5102" w:type="pct"/>
          <w:jc w:val="center"/>
          <w:tblCellMar>
            <w:left w:w="100" w:type="dxa"/>
            <w:right w:w="100" w:type="dxa"/>
          </w:tblCellMar>
          <w:tblLook w:val="0000"/>
        </w:tblPrEx>
        <w:trPr>
          <w:cantSplit/>
          <w:trHeight w:val="408"/>
          <w:jc w:val="center"/>
        </w:trPr>
        <w:tc>
          <w:tcPr>
            <w:tcW w:w="2534" w:type="pct"/>
            <w:shd w:val="clear" w:color="auto" w:fill="auto"/>
            <w:vAlign w:val="center"/>
          </w:tcPr>
          <w:p w:rsidR="00FC2B91" w:rsidRPr="009D5FA6" w:rsidP="00FA2444" w14:paraId="4631E597" w14:textId="77777777">
            <w:pPr>
              <w:widowControl w:val="0"/>
              <w:rPr>
                <w:bCs/>
                <w:color w:val="000000"/>
              </w:rPr>
            </w:pPr>
            <w:bookmarkStart w:id="3" w:name="_Hlk105083250"/>
            <w:bookmarkStart w:id="4" w:name="_Hlk102644131"/>
            <w:r>
              <w:rPr>
                <w:bCs/>
                <w:color w:val="000000"/>
              </w:rPr>
              <w:t xml:space="preserve">Toxic Chemical Release Reporting </w:t>
            </w:r>
            <w:bookmarkEnd w:id="3"/>
            <w:r>
              <w:rPr>
                <w:bCs/>
                <w:color w:val="000000"/>
              </w:rPr>
              <w:t>Form A</w:t>
            </w:r>
          </w:p>
        </w:tc>
        <w:tc>
          <w:tcPr>
            <w:tcW w:w="903" w:type="pct"/>
            <w:shd w:val="clear" w:color="auto" w:fill="auto"/>
            <w:vAlign w:val="center"/>
          </w:tcPr>
          <w:p w:rsidR="00FC2B91" w:rsidRPr="00C84AE8" w:rsidP="00FA2444" w14:paraId="0341A88D" w14:textId="77777777">
            <w:r w:rsidRPr="00C84AE8">
              <w:t>NA</w:t>
            </w:r>
          </w:p>
        </w:tc>
        <w:tc>
          <w:tcPr>
            <w:tcW w:w="658" w:type="pct"/>
            <w:shd w:val="clear" w:color="auto" w:fill="auto"/>
            <w:vAlign w:val="center"/>
          </w:tcPr>
          <w:p w:rsidR="00FC2B91" w:rsidRPr="00C84AE8" w:rsidP="00FA2444" w14:paraId="08EBE2C5" w14:textId="77777777">
            <w:r w:rsidRPr="00C84AE8">
              <w:t>NA</w:t>
            </w:r>
          </w:p>
        </w:tc>
        <w:tc>
          <w:tcPr>
            <w:tcW w:w="905" w:type="pct"/>
            <w:shd w:val="clear" w:color="auto" w:fill="auto"/>
            <w:vAlign w:val="center"/>
          </w:tcPr>
          <w:p w:rsidR="00FC2B91" w:rsidRPr="00C84AE8" w:rsidP="00FA2444" w14:paraId="5C67663A" w14:textId="77777777">
            <w:pPr>
              <w:rPr>
                <w:bCs/>
                <w:color w:val="000000"/>
              </w:rPr>
            </w:pPr>
            <w:r w:rsidRPr="00C84AE8">
              <w:rPr>
                <w:bCs/>
                <w:color w:val="000000"/>
              </w:rPr>
              <w:t>NA</w:t>
            </w:r>
          </w:p>
        </w:tc>
      </w:tr>
      <w:bookmarkEnd w:id="4"/>
      <w:tr w14:paraId="2FC9A52E" w14:textId="77777777" w:rsidTr="00886A73">
        <w:tblPrEx>
          <w:tblW w:w="5102" w:type="pct"/>
          <w:jc w:val="center"/>
          <w:tblCellMar>
            <w:left w:w="100" w:type="dxa"/>
            <w:right w:w="100" w:type="dxa"/>
          </w:tblCellMar>
          <w:tblLook w:val="0000"/>
        </w:tblPrEx>
        <w:trPr>
          <w:cantSplit/>
          <w:trHeight w:val="435"/>
          <w:jc w:val="center"/>
        </w:trPr>
        <w:tc>
          <w:tcPr>
            <w:tcW w:w="2534" w:type="pct"/>
            <w:shd w:val="clear" w:color="auto" w:fill="auto"/>
            <w:vAlign w:val="center"/>
          </w:tcPr>
          <w:p w:rsidR="00886A73" w:rsidP="00886A73" w14:paraId="1FFBB0A5" w14:textId="7D860162">
            <w:pPr>
              <w:widowControl w:val="0"/>
              <w:rPr>
                <w:bCs/>
                <w:color w:val="000000"/>
              </w:rPr>
            </w:pPr>
            <w:r>
              <w:rPr>
                <w:bCs/>
                <w:color w:val="000000"/>
              </w:rPr>
              <w:t>Toxic Chemical Release Reporting Form R</w:t>
            </w:r>
            <w:r>
              <w:rPr>
                <w:bCs/>
                <w:color w:val="000000"/>
              </w:rPr>
              <w:t xml:space="preserve"> (Year 1)</w:t>
            </w:r>
          </w:p>
        </w:tc>
        <w:tc>
          <w:tcPr>
            <w:tcW w:w="903" w:type="pct"/>
            <w:shd w:val="clear" w:color="auto" w:fill="auto"/>
            <w:vAlign w:val="center"/>
          </w:tcPr>
          <w:p w:rsidR="00886A73" w:rsidRPr="00C84AE8" w:rsidP="00886A73" w14:paraId="15B48056" w14:textId="3A7FA958">
            <w:r w:rsidRPr="00C84AE8">
              <w:t>6</w:t>
            </w:r>
            <w:r>
              <w:t>23</w:t>
            </w:r>
            <w:r w:rsidRPr="00C84AE8">
              <w:t>-</w:t>
            </w:r>
            <w:r>
              <w:t>2,015</w:t>
            </w:r>
          </w:p>
        </w:tc>
        <w:tc>
          <w:tcPr>
            <w:tcW w:w="658" w:type="pct"/>
            <w:shd w:val="clear" w:color="auto" w:fill="auto"/>
            <w:vAlign w:val="center"/>
          </w:tcPr>
          <w:p w:rsidR="00886A73" w:rsidP="00886A73" w14:paraId="48AC2747" w14:textId="6E2A2F5E">
            <w:r>
              <w:t>46,713 – 151,086</w:t>
            </w:r>
          </w:p>
        </w:tc>
        <w:tc>
          <w:tcPr>
            <w:tcW w:w="905" w:type="pct"/>
            <w:shd w:val="clear" w:color="auto" w:fill="auto"/>
            <w:vAlign w:val="center"/>
          </w:tcPr>
          <w:p w:rsidR="00886A73" w:rsidRPr="007A0017" w:rsidP="00886A73" w14:paraId="0F6BA5F0" w14:textId="236E50CD">
            <w:pPr>
              <w:rPr>
                <w:bCs/>
                <w:color w:val="000000"/>
              </w:rPr>
            </w:pPr>
            <w:r>
              <w:rPr>
                <w:bCs/>
                <w:color w:val="000000"/>
              </w:rPr>
              <w:t>$3,318,492 - $10,733,149</w:t>
            </w:r>
          </w:p>
        </w:tc>
      </w:tr>
      <w:tr w14:paraId="29F35F03" w14:textId="77777777" w:rsidTr="00886A73">
        <w:tblPrEx>
          <w:tblW w:w="5102" w:type="pct"/>
          <w:jc w:val="center"/>
          <w:tblCellMar>
            <w:left w:w="100" w:type="dxa"/>
            <w:right w:w="100" w:type="dxa"/>
          </w:tblCellMar>
          <w:tblLook w:val="0000"/>
        </w:tblPrEx>
        <w:trPr>
          <w:cantSplit/>
          <w:trHeight w:val="435"/>
          <w:jc w:val="center"/>
        </w:trPr>
        <w:tc>
          <w:tcPr>
            <w:tcW w:w="2534" w:type="pct"/>
            <w:shd w:val="clear" w:color="auto" w:fill="auto"/>
            <w:vAlign w:val="center"/>
          </w:tcPr>
          <w:p w:rsidR="00886A73" w:rsidRPr="009D5FA6" w:rsidP="00886A73" w14:paraId="2154DFCF" w14:textId="4487BBEC">
            <w:pPr>
              <w:widowControl w:val="0"/>
              <w:rPr>
                <w:bCs/>
                <w:color w:val="000000"/>
              </w:rPr>
            </w:pPr>
            <w:r>
              <w:rPr>
                <w:bCs/>
                <w:color w:val="000000"/>
              </w:rPr>
              <w:t>Toxic Chemical Release Reporting Form R (Steady State)</w:t>
            </w:r>
          </w:p>
        </w:tc>
        <w:tc>
          <w:tcPr>
            <w:tcW w:w="903" w:type="pct"/>
            <w:shd w:val="clear" w:color="auto" w:fill="auto"/>
            <w:vAlign w:val="center"/>
          </w:tcPr>
          <w:p w:rsidR="00886A73" w:rsidRPr="00C84AE8" w:rsidP="00886A73" w14:paraId="501AC1F8" w14:textId="77777777">
            <w:r w:rsidRPr="00C84AE8">
              <w:t>6</w:t>
            </w:r>
            <w:r>
              <w:t>23</w:t>
            </w:r>
            <w:r w:rsidRPr="00C84AE8">
              <w:t>-</w:t>
            </w:r>
            <w:r>
              <w:t>2,015</w:t>
            </w:r>
          </w:p>
        </w:tc>
        <w:tc>
          <w:tcPr>
            <w:tcW w:w="658" w:type="pct"/>
            <w:shd w:val="clear" w:color="auto" w:fill="auto"/>
            <w:vAlign w:val="center"/>
          </w:tcPr>
          <w:p w:rsidR="00886A73" w:rsidRPr="00C84AE8" w:rsidP="00886A73" w14:paraId="2D9022A8" w14:textId="77777777">
            <w:r>
              <w:t>22,244</w:t>
            </w:r>
            <w:r w:rsidRPr="00C84AE8">
              <w:t>-</w:t>
            </w:r>
            <w:r w:rsidRPr="007A0017">
              <w:t>71,946</w:t>
            </w:r>
          </w:p>
        </w:tc>
        <w:tc>
          <w:tcPr>
            <w:tcW w:w="905" w:type="pct"/>
            <w:shd w:val="clear" w:color="auto" w:fill="auto"/>
            <w:vAlign w:val="center"/>
          </w:tcPr>
          <w:p w:rsidR="00886A73" w:rsidRPr="00C84AE8" w:rsidP="00886A73" w14:paraId="0D8E5F86" w14:textId="1569E488">
            <w:pPr>
              <w:rPr>
                <w:bCs/>
                <w:color w:val="000000"/>
              </w:rPr>
            </w:pPr>
            <w:r>
              <w:rPr>
                <w:bCs/>
                <w:color w:val="000000"/>
              </w:rPr>
              <w:t>$1,580,214 - $5,111,044</w:t>
            </w:r>
          </w:p>
        </w:tc>
      </w:tr>
      <w:tr w14:paraId="6A61FF2C" w14:textId="77777777" w:rsidTr="00886A73">
        <w:tblPrEx>
          <w:tblW w:w="5102" w:type="pct"/>
          <w:jc w:val="center"/>
          <w:tblCellMar>
            <w:left w:w="100" w:type="dxa"/>
            <w:right w:w="100" w:type="dxa"/>
          </w:tblCellMar>
          <w:tblLook w:val="0000"/>
        </w:tblPrEx>
        <w:trPr>
          <w:cantSplit/>
          <w:trHeight w:val="435"/>
          <w:jc w:val="center"/>
        </w:trPr>
        <w:tc>
          <w:tcPr>
            <w:tcW w:w="2534" w:type="pct"/>
            <w:shd w:val="clear" w:color="auto" w:fill="auto"/>
            <w:vAlign w:val="center"/>
          </w:tcPr>
          <w:p w:rsidR="00886A73" w:rsidP="00886A73" w14:paraId="7890CCEE" w14:textId="77777777">
            <w:pPr>
              <w:widowControl w:val="0"/>
              <w:rPr>
                <w:bCs/>
                <w:color w:val="000000"/>
              </w:rPr>
            </w:pPr>
            <w:r>
              <w:rPr>
                <w:bCs/>
                <w:color w:val="000000"/>
              </w:rPr>
              <w:t>Non-Form Burden (Supplier Notification)</w:t>
            </w:r>
          </w:p>
        </w:tc>
        <w:tc>
          <w:tcPr>
            <w:tcW w:w="903" w:type="pct"/>
            <w:shd w:val="clear" w:color="auto" w:fill="auto"/>
            <w:vAlign w:val="center"/>
          </w:tcPr>
          <w:p w:rsidR="00886A73" w:rsidRPr="00C84AE8" w:rsidP="00886A73" w14:paraId="6612B44E" w14:textId="77777777">
            <w:r>
              <w:t>560</w:t>
            </w:r>
          </w:p>
        </w:tc>
        <w:tc>
          <w:tcPr>
            <w:tcW w:w="658" w:type="pct"/>
            <w:shd w:val="clear" w:color="auto" w:fill="auto"/>
            <w:vAlign w:val="center"/>
          </w:tcPr>
          <w:p w:rsidR="00886A73" w:rsidP="00886A73" w14:paraId="769BF943" w14:textId="77777777">
            <w:r>
              <w:t>13,440</w:t>
            </w:r>
          </w:p>
        </w:tc>
        <w:tc>
          <w:tcPr>
            <w:tcW w:w="905" w:type="pct"/>
            <w:shd w:val="clear" w:color="auto" w:fill="auto"/>
            <w:vAlign w:val="center"/>
          </w:tcPr>
          <w:p w:rsidR="00886A73" w:rsidRPr="007A0017" w:rsidP="00886A73" w14:paraId="58B672E1" w14:textId="77777777">
            <w:pPr>
              <w:rPr>
                <w:bCs/>
                <w:color w:val="000000"/>
              </w:rPr>
            </w:pPr>
            <w:r w:rsidRPr="00AC0A2D">
              <w:rPr>
                <w:bCs/>
                <w:color w:val="000000"/>
              </w:rPr>
              <w:t>$954,948</w:t>
            </w:r>
          </w:p>
        </w:tc>
      </w:tr>
      <w:tr w14:paraId="74971887" w14:textId="77777777" w:rsidTr="00886A73">
        <w:tblPrEx>
          <w:tblW w:w="5102" w:type="pct"/>
          <w:jc w:val="center"/>
          <w:tblCellMar>
            <w:left w:w="100" w:type="dxa"/>
            <w:right w:w="100" w:type="dxa"/>
          </w:tblCellMar>
          <w:tblLook w:val="0000"/>
        </w:tblPrEx>
        <w:trPr>
          <w:cantSplit/>
          <w:trHeight w:val="435"/>
          <w:jc w:val="center"/>
        </w:trPr>
        <w:tc>
          <w:tcPr>
            <w:tcW w:w="2534" w:type="pct"/>
            <w:shd w:val="clear" w:color="auto" w:fill="auto"/>
            <w:vAlign w:val="center"/>
          </w:tcPr>
          <w:p w:rsidR="00886A73" w:rsidRPr="009C41B7" w:rsidP="00886A73" w14:paraId="4C87283B" w14:textId="22C3A86D">
            <w:pPr>
              <w:widowControl w:val="0"/>
              <w:rPr>
                <w:b/>
                <w:color w:val="000000"/>
              </w:rPr>
            </w:pPr>
            <w:r w:rsidRPr="009C41B7">
              <w:rPr>
                <w:b/>
                <w:color w:val="000000"/>
              </w:rPr>
              <w:t xml:space="preserve">Respondent </w:t>
            </w:r>
            <w:r>
              <w:rPr>
                <w:b/>
                <w:color w:val="000000"/>
              </w:rPr>
              <w:t xml:space="preserve">Average Annual </w:t>
            </w:r>
            <w:r w:rsidRPr="009C41B7">
              <w:rPr>
                <w:b/>
                <w:color w:val="000000"/>
              </w:rPr>
              <w:t xml:space="preserve">Total </w:t>
            </w:r>
          </w:p>
        </w:tc>
        <w:tc>
          <w:tcPr>
            <w:tcW w:w="903" w:type="pct"/>
            <w:shd w:val="clear" w:color="auto" w:fill="auto"/>
            <w:vAlign w:val="center"/>
          </w:tcPr>
          <w:p w:rsidR="00886A73" w:rsidRPr="00C84AE8" w:rsidP="00886A73" w14:paraId="781F32D3" w14:textId="77777777">
            <w:r>
              <w:t>1,183-2,575</w:t>
            </w:r>
          </w:p>
        </w:tc>
        <w:tc>
          <w:tcPr>
            <w:tcW w:w="658" w:type="pct"/>
            <w:shd w:val="clear" w:color="auto" w:fill="auto"/>
            <w:vAlign w:val="center"/>
          </w:tcPr>
          <w:p w:rsidR="00886A73" w:rsidRPr="00C84AE8" w:rsidP="00886A73" w14:paraId="5FEDCF39" w14:textId="34DD9F8D">
            <w:r>
              <w:t>43,840-111,766</w:t>
            </w:r>
          </w:p>
        </w:tc>
        <w:tc>
          <w:tcPr>
            <w:tcW w:w="905" w:type="pct"/>
            <w:shd w:val="clear" w:color="auto" w:fill="auto"/>
            <w:vAlign w:val="center"/>
          </w:tcPr>
          <w:p w:rsidR="00886A73" w:rsidRPr="00C84AE8" w:rsidP="00886A73" w14:paraId="4133A03D" w14:textId="4992A69D">
            <w:pPr>
              <w:rPr>
                <w:color w:val="000000"/>
              </w:rPr>
            </w:pPr>
            <w:r>
              <w:rPr>
                <w:color w:val="000000"/>
              </w:rPr>
              <w:t>$3,114,588 – 7,940,027</w:t>
            </w:r>
          </w:p>
        </w:tc>
      </w:tr>
      <w:tr w14:paraId="096DF71E" w14:textId="77777777" w:rsidTr="00886A73">
        <w:tblPrEx>
          <w:tblW w:w="5102" w:type="pct"/>
          <w:jc w:val="center"/>
          <w:tblCellMar>
            <w:left w:w="100" w:type="dxa"/>
            <w:right w:w="100" w:type="dxa"/>
          </w:tblCellMar>
          <w:tblLook w:val="0000"/>
        </w:tblPrEx>
        <w:trPr>
          <w:cantSplit/>
          <w:trHeight w:val="435"/>
          <w:jc w:val="center"/>
        </w:trPr>
        <w:tc>
          <w:tcPr>
            <w:tcW w:w="2534" w:type="pct"/>
            <w:shd w:val="clear" w:color="auto" w:fill="auto"/>
            <w:vAlign w:val="center"/>
          </w:tcPr>
          <w:p w:rsidR="00886A73" w:rsidRPr="009C41B7" w:rsidP="00886A73" w14:paraId="6394E11C" w14:textId="06ADEE04">
            <w:pPr>
              <w:widowControl w:val="0"/>
              <w:rPr>
                <w:b/>
                <w:color w:val="000000"/>
              </w:rPr>
            </w:pPr>
            <w:r w:rsidRPr="009C41B7">
              <w:rPr>
                <w:b/>
                <w:color w:val="000000"/>
              </w:rPr>
              <w:t xml:space="preserve">Agency </w:t>
            </w:r>
            <w:r>
              <w:rPr>
                <w:b/>
                <w:color w:val="000000"/>
              </w:rPr>
              <w:t xml:space="preserve">Average Annual </w:t>
            </w:r>
            <w:r w:rsidRPr="009C41B7">
              <w:rPr>
                <w:b/>
                <w:color w:val="000000"/>
              </w:rPr>
              <w:t xml:space="preserve">Total </w:t>
            </w:r>
          </w:p>
        </w:tc>
        <w:tc>
          <w:tcPr>
            <w:tcW w:w="903" w:type="pct"/>
            <w:shd w:val="clear" w:color="auto" w:fill="auto"/>
            <w:vAlign w:val="center"/>
          </w:tcPr>
          <w:p w:rsidR="00886A73" w:rsidRPr="00C84AE8" w:rsidP="00886A73" w14:paraId="618CE8EE" w14:textId="77777777">
            <w:r w:rsidRPr="00C84AE8">
              <w:t>6</w:t>
            </w:r>
            <w:r>
              <w:t>23</w:t>
            </w:r>
            <w:r w:rsidRPr="00C84AE8">
              <w:t>-</w:t>
            </w:r>
            <w:r>
              <w:t>2,015</w:t>
            </w:r>
          </w:p>
        </w:tc>
        <w:tc>
          <w:tcPr>
            <w:tcW w:w="658" w:type="pct"/>
            <w:shd w:val="clear" w:color="auto" w:fill="auto"/>
            <w:vAlign w:val="center"/>
          </w:tcPr>
          <w:p w:rsidR="00886A73" w:rsidRPr="00C84AE8" w:rsidP="00886A73" w14:paraId="75D0D2AA" w14:textId="77777777">
            <w:r>
              <w:t>-</w:t>
            </w:r>
          </w:p>
        </w:tc>
        <w:tc>
          <w:tcPr>
            <w:tcW w:w="905" w:type="pct"/>
            <w:shd w:val="clear" w:color="auto" w:fill="auto"/>
            <w:vAlign w:val="center"/>
          </w:tcPr>
          <w:p w:rsidR="00886A73" w:rsidRPr="00C84AE8" w:rsidP="00886A73" w14:paraId="672ECCA6" w14:textId="77777777">
            <w:pPr>
              <w:rPr>
                <w:bCs/>
                <w:color w:val="000000"/>
              </w:rPr>
            </w:pPr>
            <w:r w:rsidRPr="00020FE5">
              <w:t>$4,</w:t>
            </w:r>
            <w:r>
              <w:t>687</w:t>
            </w:r>
            <w:r w:rsidRPr="00020FE5">
              <w:t>- $</w:t>
            </w:r>
            <w:r>
              <w:t>15,159</w:t>
            </w:r>
          </w:p>
        </w:tc>
      </w:tr>
    </w:tbl>
    <w:p w:rsidR="00116075" w:rsidRPr="00FA2444" w:rsidP="00CD1CFF" w14:paraId="5AADE235" w14:textId="77777777">
      <w:pPr>
        <w:pStyle w:val="Heading1"/>
        <w:rPr>
          <w:rFonts w:cs="Arial"/>
          <w:b w:val="0"/>
          <w:bCs w:val="0"/>
        </w:rPr>
      </w:pPr>
      <w:r w:rsidRPr="00FA2444">
        <w:rPr>
          <w:rStyle w:val="Heading1Char"/>
          <w:rFonts w:cs="Arial"/>
          <w:b/>
          <w:bCs/>
        </w:rPr>
        <w:t xml:space="preserve">Abstract </w:t>
      </w:r>
    </w:p>
    <w:p w:rsidR="00A64CE8" w:rsidRPr="00102EDA" w:rsidP="00444F9D" w14:paraId="5BCC00D1" w14:textId="77777777">
      <w:pPr>
        <w:spacing w:after="200" w:line="276" w:lineRule="auto"/>
      </w:pPr>
      <w:r w:rsidRPr="00CD1CFF">
        <w:rPr>
          <w:rFonts w:cs="Arial"/>
        </w:rPr>
        <w:t xml:space="preserve">This ICR addresses the information collection activities that are contained in the </w:t>
      </w:r>
      <w:r w:rsidR="00982025">
        <w:rPr>
          <w:rFonts w:cs="Arial"/>
        </w:rPr>
        <w:t>final</w:t>
      </w:r>
      <w:r w:rsidRPr="00CD1CFF" w:rsidR="00982025">
        <w:rPr>
          <w:rFonts w:cs="Arial"/>
        </w:rPr>
        <w:t xml:space="preserve"> </w:t>
      </w:r>
      <w:r w:rsidRPr="00CD1CFF">
        <w:rPr>
          <w:rFonts w:cs="Arial"/>
        </w:rPr>
        <w:t xml:space="preserve">rule to </w:t>
      </w:r>
      <w:r w:rsidR="00D37F82">
        <w:rPr>
          <w:rFonts w:cs="Arial"/>
        </w:rPr>
        <w:t xml:space="preserve">change the </w:t>
      </w:r>
      <w:r w:rsidRPr="00CD1CFF">
        <w:rPr>
          <w:rFonts w:cs="Arial"/>
        </w:rPr>
        <w:t xml:space="preserve">reporting requirements </w:t>
      </w:r>
      <w:r w:rsidR="00D37F82">
        <w:rPr>
          <w:rFonts w:cs="Arial"/>
        </w:rPr>
        <w:t xml:space="preserve">for </w:t>
      </w:r>
      <w:r w:rsidR="009863E2">
        <w:rPr>
          <w:rFonts w:cs="Arial"/>
        </w:rPr>
        <w:t>p</w:t>
      </w:r>
      <w:r w:rsidRPr="009863E2" w:rsidR="009863E2">
        <w:rPr>
          <w:rFonts w:cs="Arial"/>
        </w:rPr>
        <w:t xml:space="preserve">er- and </w:t>
      </w:r>
      <w:r w:rsidR="009863E2">
        <w:rPr>
          <w:rFonts w:cs="Arial"/>
        </w:rPr>
        <w:t>p</w:t>
      </w:r>
      <w:r w:rsidRPr="009863E2" w:rsidR="009863E2">
        <w:rPr>
          <w:rFonts w:cs="Arial"/>
        </w:rPr>
        <w:t xml:space="preserve">olyfluoroalkyl </w:t>
      </w:r>
      <w:r w:rsidR="009863E2">
        <w:rPr>
          <w:rFonts w:cs="Arial"/>
        </w:rPr>
        <w:t>s</w:t>
      </w:r>
      <w:r w:rsidRPr="009863E2" w:rsidR="009863E2">
        <w:rPr>
          <w:rFonts w:cs="Arial"/>
        </w:rPr>
        <w:t xml:space="preserve">ubstances </w:t>
      </w:r>
      <w:r w:rsidR="009863E2">
        <w:rPr>
          <w:rFonts w:cs="Arial"/>
        </w:rPr>
        <w:t>(</w:t>
      </w:r>
      <w:r w:rsidR="00D37F82">
        <w:rPr>
          <w:rFonts w:cs="Arial"/>
        </w:rPr>
        <w:t>PFAS</w:t>
      </w:r>
      <w:r w:rsidR="009863E2">
        <w:rPr>
          <w:rFonts w:cs="Arial"/>
        </w:rPr>
        <w:t>)</w:t>
      </w:r>
      <w:r w:rsidR="00D37F82">
        <w:rPr>
          <w:rFonts w:cs="Arial"/>
        </w:rPr>
        <w:t xml:space="preserve"> under </w:t>
      </w:r>
      <w:r w:rsidRPr="00CD1CFF">
        <w:rPr>
          <w:rFonts w:cs="Arial"/>
        </w:rPr>
        <w:t xml:space="preserve">section 313 of the Emergency Planning and Community Right-to-Know Act (EPCRA), 42 U.S.C. section 11023, commonly known as the Toxics Release Inventory (TRI). Estimated burden and costs associated with the </w:t>
      </w:r>
      <w:r w:rsidR="00893872">
        <w:rPr>
          <w:rFonts w:cs="Arial"/>
        </w:rPr>
        <w:t>final</w:t>
      </w:r>
      <w:r w:rsidRPr="00CD1CFF" w:rsidR="00893872">
        <w:rPr>
          <w:rFonts w:cs="Arial"/>
        </w:rPr>
        <w:t xml:space="preserve"> </w:t>
      </w:r>
      <w:r w:rsidRPr="00CD1CFF">
        <w:rPr>
          <w:rFonts w:cs="Arial"/>
        </w:rPr>
        <w:t>rule are incremental to existing reporting bu</w:t>
      </w:r>
      <w:r w:rsidRPr="00CD1CFF">
        <w:rPr>
          <w:rFonts w:cs="Arial"/>
        </w:rPr>
        <w:t>rden for the TRI Program overall</w:t>
      </w:r>
      <w:r w:rsidRPr="00CD1CFF" w:rsidR="009B2C12">
        <w:rPr>
          <w:rFonts w:cs="Arial"/>
        </w:rPr>
        <w:t>,</w:t>
      </w:r>
      <w:r w:rsidRPr="00CD1CFF">
        <w:rPr>
          <w:rFonts w:cs="Arial"/>
        </w:rPr>
        <w:t xml:space="preserve"> as documented in the TRI Form R and Form A Toxic Chemical Release Reporting ICR Supporting Statement (Docket ID# EPA-HQ</w:t>
      </w:r>
      <w:r w:rsidRPr="00CD1CFF" w:rsidR="009B2C12">
        <w:rPr>
          <w:rFonts w:cs="Arial"/>
        </w:rPr>
        <w:t>-OPPT</w:t>
      </w:r>
      <w:r w:rsidRPr="00CD1CFF">
        <w:rPr>
          <w:rFonts w:cs="Arial"/>
        </w:rPr>
        <w:t>-</w:t>
      </w:r>
      <w:r w:rsidRPr="00CD1CFF" w:rsidR="009B2C12">
        <w:rPr>
          <w:rFonts w:cs="Arial"/>
        </w:rPr>
        <w:t>2020</w:t>
      </w:r>
      <w:r w:rsidRPr="00CD1CFF">
        <w:rPr>
          <w:rFonts w:cs="Arial"/>
        </w:rPr>
        <w:t>-</w:t>
      </w:r>
      <w:r w:rsidRPr="00CD1CFF" w:rsidR="009B2C12">
        <w:rPr>
          <w:rFonts w:cs="Arial"/>
        </w:rPr>
        <w:t>0078</w:t>
      </w:r>
      <w:r w:rsidRPr="00CD1CFF">
        <w:rPr>
          <w:rFonts w:cs="Arial"/>
        </w:rPr>
        <w:t xml:space="preserve">). Under the Paperwork Reduction Act (PRA), 44 U.S.C. 3501 </w:t>
      </w:r>
      <w:r w:rsidRPr="0007774F">
        <w:rPr>
          <w:rFonts w:cs="Arial"/>
          <w:i/>
          <w:iCs/>
        </w:rPr>
        <w:t>et seq</w:t>
      </w:r>
      <w:r w:rsidRPr="00CD1CFF">
        <w:rPr>
          <w:rFonts w:cs="Arial"/>
        </w:rPr>
        <w:t>., an agency may not co</w:t>
      </w:r>
      <w:r w:rsidRPr="00CD1CFF">
        <w:rPr>
          <w:rFonts w:cs="Arial"/>
        </w:rPr>
        <w:t xml:space="preserve">nduct or sponsor, and a person is not required to respond to, a collection of information, unless it displays a currently valid control number issued by the Office of Management and Budget (OMB). </w:t>
      </w:r>
      <w:r w:rsidRPr="00CD1CFF">
        <w:rPr>
          <w:rFonts w:cs="Arial"/>
        </w:rPr>
        <w:t xml:space="preserve">The OMB control numbers are displayed either by publication </w:t>
      </w:r>
      <w:r w:rsidRPr="00CD1CFF">
        <w:rPr>
          <w:rFonts w:cs="Arial"/>
        </w:rPr>
        <w:t>in the Federal Register or by other appropriate means, such as on the related collection instrument or form, if applicable. The display of OMB control numbers for certain EPA regulations is consolidated in 40 CFR part 9.</w:t>
      </w:r>
      <w:r w:rsidR="00246FA0">
        <w:rPr>
          <w:rFonts w:cs="Arial"/>
        </w:rPr>
        <w:t xml:space="preserve"> </w:t>
      </w:r>
      <w:r w:rsidRPr="00CD1CFF" w:rsidR="00946B49">
        <w:rPr>
          <w:rFonts w:cs="Arial"/>
        </w:rPr>
        <w:t xml:space="preserve">Currently, facilities subject to the TRI reporting requirements may use either the EPA Toxics Release Inventory Form R (EPA Form </w:t>
      </w:r>
      <w:r w:rsidRPr="00CD1CFF" w:rsidR="00EB7860">
        <w:rPr>
          <w:rFonts w:cs="Arial"/>
        </w:rPr>
        <w:t xml:space="preserve">No. </w:t>
      </w:r>
      <w:r w:rsidRPr="00CD1CFF" w:rsidR="00946B49">
        <w:rPr>
          <w:rFonts w:cs="Arial"/>
        </w:rPr>
        <w:t>9350-1), or, if they meet alternate threshold requirements, the EPA Toxics Release Inventory Form A Certification Statement</w:t>
      </w:r>
      <w:r>
        <w:rPr>
          <w:rStyle w:val="FootnoteReference"/>
          <w:rFonts w:cs="Arial"/>
        </w:rPr>
        <w:footnoteReference w:id="3"/>
      </w:r>
      <w:r w:rsidRPr="00CD1CFF" w:rsidR="00946B49">
        <w:rPr>
          <w:rFonts w:cs="Arial"/>
        </w:rPr>
        <w:t xml:space="preserve"> (simply referred to as “Form A” - EPA Form </w:t>
      </w:r>
      <w:r w:rsidRPr="00CD1CFF" w:rsidR="00EB7860">
        <w:rPr>
          <w:rFonts w:cs="Arial"/>
        </w:rPr>
        <w:t xml:space="preserve">No. </w:t>
      </w:r>
      <w:r w:rsidRPr="00CD1CFF" w:rsidR="00946B49">
        <w:rPr>
          <w:rFonts w:cs="Arial"/>
        </w:rPr>
        <w:t>9350-2). With Form R, a facility reports one chemical per form; with Form A, a facility may report multiple chemicals per form.</w:t>
      </w:r>
      <w:r>
        <w:rPr>
          <w:rStyle w:val="FootnoteReference"/>
          <w:rFonts w:cs="Arial"/>
        </w:rPr>
        <w:footnoteReference w:id="4"/>
      </w:r>
    </w:p>
    <w:p w:rsidR="005A21B4" w:rsidRPr="00CD1CFF" w:rsidP="00CD1CFF" w14:paraId="3C482B8A" w14:textId="77777777">
      <w:pPr>
        <w:spacing w:after="200" w:line="276" w:lineRule="auto"/>
        <w:rPr>
          <w:rFonts w:cs="Arial"/>
        </w:rPr>
      </w:pPr>
      <w:r w:rsidRPr="00CD1CFF">
        <w:rPr>
          <w:rFonts w:cs="Arial"/>
        </w:rPr>
        <w:t xml:space="preserve">Pursuant to EPCRA </w:t>
      </w:r>
      <w:r w:rsidRPr="00CD1CFF" w:rsidR="00EB7860">
        <w:rPr>
          <w:rFonts w:cs="Arial"/>
        </w:rPr>
        <w:t xml:space="preserve">section </w:t>
      </w:r>
      <w:r w:rsidRPr="00CD1CFF">
        <w:rPr>
          <w:rFonts w:cs="Arial"/>
        </w:rPr>
        <w:t xml:space="preserve">313 (and PPA </w:t>
      </w:r>
      <w:r w:rsidRPr="00CD1CFF" w:rsidR="00EB7860">
        <w:rPr>
          <w:rFonts w:cs="Arial"/>
        </w:rPr>
        <w:t xml:space="preserve">section </w:t>
      </w:r>
      <w:r w:rsidRPr="00CD1CFF">
        <w:rPr>
          <w:rFonts w:cs="Arial"/>
        </w:rPr>
        <w:t>6607</w:t>
      </w:r>
      <w:r w:rsidRPr="00CD1CFF" w:rsidR="00EB7860">
        <w:rPr>
          <w:rFonts w:cs="Arial"/>
        </w:rPr>
        <w:t>,</w:t>
      </w:r>
      <w:r w:rsidRPr="00CD1CFF">
        <w:rPr>
          <w:rFonts w:cs="Arial"/>
        </w:rPr>
        <w:t xml:space="preserve"> because of its linkage to EPCRA), EPA's Office of </w:t>
      </w:r>
      <w:r w:rsidRPr="00CD1CFF" w:rsidR="00AC3962">
        <w:rPr>
          <w:rFonts w:cs="Arial"/>
        </w:rPr>
        <w:t>Chemical Safety and Pollution Prevention</w:t>
      </w:r>
      <w:r w:rsidRPr="00CD1CFF">
        <w:rPr>
          <w:rFonts w:cs="Arial"/>
        </w:rPr>
        <w:t xml:space="preserve"> (O</w:t>
      </w:r>
      <w:r w:rsidRPr="00CD1CFF" w:rsidR="00AC3962">
        <w:rPr>
          <w:rFonts w:cs="Arial"/>
        </w:rPr>
        <w:t>CSPP</w:t>
      </w:r>
      <w:r w:rsidRPr="00CD1CFF">
        <w:rPr>
          <w:rFonts w:cs="Arial"/>
        </w:rPr>
        <w:t xml:space="preserve">) collects, processes, and makes available to the public all of the information collected. EPA stores the information gathered under these authorities in a database available through the Internet. EPA, other federal, </w:t>
      </w:r>
      <w:r w:rsidRPr="00CD1CFF">
        <w:rPr>
          <w:rFonts w:cs="Arial"/>
        </w:rPr>
        <w:t xml:space="preserve">state, </w:t>
      </w:r>
      <w:r w:rsidR="00CC7980">
        <w:rPr>
          <w:rFonts w:cs="Arial"/>
        </w:rPr>
        <w:t xml:space="preserve">tribal, </w:t>
      </w:r>
      <w:r w:rsidRPr="00CD1CFF">
        <w:rPr>
          <w:rFonts w:cs="Arial"/>
        </w:rPr>
        <w:t xml:space="preserve">and local government agencies; industry; and the public use TRI extensively. Program offices within EPA and other government agencies have used TRI, along with other </w:t>
      </w:r>
      <w:r w:rsidRPr="00CD1CFF">
        <w:rPr>
          <w:rFonts w:cs="Arial"/>
          <w:spacing w:val="-2"/>
        </w:rPr>
        <w:t>sources of data, to establish priorities, evaluate potential exposure scena</w:t>
      </w:r>
      <w:r w:rsidRPr="00CD1CFF">
        <w:rPr>
          <w:rFonts w:cs="Arial"/>
          <w:spacing w:val="-2"/>
        </w:rPr>
        <w:t>rios, and conduct enforcement</w:t>
      </w:r>
      <w:r w:rsidRPr="00CD1CFF">
        <w:rPr>
          <w:rFonts w:cs="Arial"/>
        </w:rPr>
        <w:t xml:space="preserve"> activities. Industries use TRI data to identify pollution prevention opportunities and set goals for emissions reductions. Environmental and public interest groups use TRI data to make the public more aware of releases of chem</w:t>
      </w:r>
      <w:r w:rsidRPr="00CD1CFF">
        <w:rPr>
          <w:rFonts w:cs="Arial"/>
        </w:rPr>
        <w:t>icals in their communities, as well as to initiate direct negotiation and risk reduction with facilities.</w:t>
      </w:r>
    </w:p>
    <w:p w:rsidR="00D15F5E" w:rsidRPr="00CD1CFF" w:rsidP="00CD1CFF" w14:paraId="37BB3044" w14:textId="77777777">
      <w:pPr>
        <w:spacing w:after="200" w:line="276" w:lineRule="auto"/>
        <w:ind w:right="360"/>
        <w:rPr>
          <w:rFonts w:cs="Arial"/>
        </w:rPr>
      </w:pPr>
      <w:r w:rsidRPr="00CD1CFF">
        <w:rPr>
          <w:rFonts w:cs="Arial"/>
        </w:rPr>
        <w:t>The TRI data are unique in providing a multi-media (air, water, and land) picture of toxic chemical releases, transfers, and other waste management activities by covered facilities on a yearly basis. With a centralized database and electronic data access t</w:t>
      </w:r>
      <w:r w:rsidRPr="00CD1CFF">
        <w:rPr>
          <w:rFonts w:cs="Arial"/>
        </w:rPr>
        <w:t xml:space="preserve">ools, TRI provides a wide range of capabilities for a variety of users. </w:t>
      </w:r>
      <w:r w:rsidRPr="00CD1CFF">
        <w:rPr>
          <w:rFonts w:cs="Arial"/>
          <w:spacing w:val="-2"/>
        </w:rPr>
        <w:t>Communities and governments</w:t>
      </w:r>
      <w:r w:rsidRPr="00CD1CFF">
        <w:rPr>
          <w:rFonts w:cs="Arial"/>
        </w:rPr>
        <w:t xml:space="preserve"> can access the identities and quantities of listed toxic chemicals that many industrial facilities in their area release, transfer, or otherwise manage as w</w:t>
      </w:r>
      <w:r w:rsidRPr="00CD1CFF">
        <w:rPr>
          <w:rFonts w:cs="Arial"/>
        </w:rPr>
        <w:t>aste. In addition, industries can use TRI as a tool for evaluating progress on their pollution prevention goals.</w:t>
      </w:r>
    </w:p>
    <w:p w:rsidR="000600E1" w:rsidRPr="00CD1CFF" w:rsidP="00CD1CFF" w14:paraId="23376018" w14:textId="77777777">
      <w:pPr>
        <w:pStyle w:val="Heading1"/>
        <w:spacing w:before="0" w:after="200" w:line="276" w:lineRule="auto"/>
        <w:rPr>
          <w:rFonts w:cs="Arial"/>
          <w:b w:val="0"/>
          <w:bCs w:val="0"/>
        </w:rPr>
      </w:pPr>
      <w:r w:rsidRPr="00CD1CFF">
        <w:rPr>
          <w:rFonts w:cs="Arial"/>
        </w:rPr>
        <w:t xml:space="preserve">1. Explain the circumstances that make the collection of information necessary. Identify any legal or administrative requirements that necessitate the collection. </w:t>
      </w:r>
      <w:r w:rsidRPr="00CD1CFF">
        <w:rPr>
          <w:rFonts w:cs="Arial"/>
        </w:rPr>
        <w:t>Attach a copy of the appropriate section of each statute and regulation mandating or authoriz</w:t>
      </w:r>
      <w:r w:rsidRPr="00CD1CFF">
        <w:rPr>
          <w:rFonts w:cs="Arial"/>
        </w:rPr>
        <w:t>ing the collection of information.</w:t>
      </w:r>
    </w:p>
    <w:p w:rsidR="002E10D2" w:rsidP="00AF594A" w14:paraId="1E6E45D3" w14:textId="77777777">
      <w:pPr>
        <w:adjustRightInd w:val="0"/>
        <w:spacing w:after="200" w:line="276" w:lineRule="auto"/>
        <w:rPr>
          <w:rFonts w:cs="Arial"/>
        </w:rPr>
      </w:pPr>
      <w:r w:rsidRPr="00735D69">
        <w:rPr>
          <w:rFonts w:cs="Arial"/>
        </w:rPr>
        <w:t xml:space="preserve">On December 20, </w:t>
      </w:r>
      <w:r w:rsidRPr="00735D69" w:rsidR="009863E2">
        <w:rPr>
          <w:rFonts w:cs="Arial"/>
        </w:rPr>
        <w:t>2019,</w:t>
      </w:r>
      <w:r w:rsidRPr="00735D69">
        <w:rPr>
          <w:rFonts w:cs="Arial"/>
        </w:rPr>
        <w:t xml:space="preserve"> the National Defense Authorization Act for Fiscal Year 2020 (NDAA) was signed into law (Pub. L. 116-92, https://www.congress.gov/public-laws/116th-congress). </w:t>
      </w:r>
      <w:r w:rsidRPr="00AF594A" w:rsidR="00AF594A">
        <w:rPr>
          <w:rFonts w:cs="Arial"/>
        </w:rPr>
        <w:t xml:space="preserve">The NDAA included two provisions that automatically add PFAS to the TRI list. First, section 7321(b) of the NDAA added to the TRI list, effective January 1, 2020, 14 chemicals by name and/or Chemical Abstracts Service Registry Number (CASRN) and additional PFAS that meet specific criteria. On June 22, 2020 (85 FR 37354), EPA updated the TRI list in the CFR to reflect the PFAS added to TRI by section 7321(b). A second group of PFAS are added to the TRI list on an annual basis by the NDAA. Specifically, PFAS that meet the criteria in section 7321(c) of the NDAA are deemed added to the TRI list on January 1 of the year after specific criteria are met. </w:t>
      </w:r>
      <w:r w:rsidR="00AF594A">
        <w:rPr>
          <w:rFonts w:cs="Arial"/>
        </w:rPr>
        <w:t xml:space="preserve">Under the automatic listing provisions of section 7321 of the NDAA, an additional 8 PFAS have been added to the EPCRA section 313 list. </w:t>
      </w:r>
      <w:r w:rsidRPr="00AF594A" w:rsidR="00AF594A">
        <w:rPr>
          <w:rFonts w:cs="Arial"/>
        </w:rPr>
        <w:t>Through this provision, the NDAA will continue to add PFAS to the TRI list over time as additional PFAS meet the criteria outlined in 7321(c). To date, section</w:t>
      </w:r>
      <w:r w:rsidR="00CA4A12">
        <w:rPr>
          <w:rFonts w:cs="Arial"/>
        </w:rPr>
        <w:t>s</w:t>
      </w:r>
      <w:r w:rsidRPr="00AF594A" w:rsidR="00AF594A">
        <w:rPr>
          <w:rFonts w:cs="Arial"/>
        </w:rPr>
        <w:t xml:space="preserve"> 7321</w:t>
      </w:r>
      <w:r w:rsidR="00CA4A12">
        <w:rPr>
          <w:rFonts w:cs="Arial"/>
        </w:rPr>
        <w:t xml:space="preserve">(b) and </w:t>
      </w:r>
      <w:r w:rsidRPr="00CA4A12" w:rsidR="00CA4A12">
        <w:rPr>
          <w:rFonts w:cs="Arial"/>
        </w:rPr>
        <w:t>7321</w:t>
      </w:r>
      <w:r w:rsidR="00CA4A12">
        <w:rPr>
          <w:rFonts w:cs="Arial"/>
        </w:rPr>
        <w:t>(c)</w:t>
      </w:r>
      <w:r w:rsidRPr="00AF594A" w:rsidR="00AF594A">
        <w:rPr>
          <w:rFonts w:cs="Arial"/>
        </w:rPr>
        <w:t xml:space="preserve"> of the NDAA ha</w:t>
      </w:r>
      <w:r w:rsidR="00CA4A12">
        <w:rPr>
          <w:rFonts w:cs="Arial"/>
        </w:rPr>
        <w:t>ve</w:t>
      </w:r>
      <w:r w:rsidRPr="00AF594A" w:rsidR="00AF594A">
        <w:rPr>
          <w:rFonts w:cs="Arial"/>
        </w:rPr>
        <w:t xml:space="preserve"> added a total of 18</w:t>
      </w:r>
      <w:r w:rsidR="000E49BF">
        <w:rPr>
          <w:rFonts w:cs="Arial"/>
        </w:rPr>
        <w:t>9</w:t>
      </w:r>
      <w:r w:rsidRPr="00AF594A" w:rsidR="00AF594A">
        <w:rPr>
          <w:rFonts w:cs="Arial"/>
        </w:rPr>
        <w:t xml:space="preserve"> PFAS to the TRI list (</w:t>
      </w:r>
      <w:r w:rsidR="000E49BF">
        <w:t>88 FR 41035 June 23, 2023 (FRL-10781-01-OCSPP)</w:t>
      </w:r>
      <w:r w:rsidRPr="00AF594A" w:rsidR="00AF594A">
        <w:rPr>
          <w:rFonts w:cs="Arial"/>
        </w:rPr>
        <w:t xml:space="preserve">). </w:t>
      </w:r>
      <w:r w:rsidR="009863E2">
        <w:rPr>
          <w:rFonts w:cs="Arial"/>
        </w:rPr>
        <w:t xml:space="preserve">All added PFAS have been added to the CFR at </w:t>
      </w:r>
      <w:r w:rsidRPr="009863E2" w:rsidR="009863E2">
        <w:rPr>
          <w:rFonts w:cs="Arial"/>
        </w:rPr>
        <w:t>40 CFR 372.65(d) and (e)</w:t>
      </w:r>
      <w:r w:rsidR="009863E2">
        <w:rPr>
          <w:rFonts w:cs="Arial"/>
        </w:rPr>
        <w:t xml:space="preserve">. </w:t>
      </w:r>
      <w:r w:rsidRPr="002E10D2">
        <w:rPr>
          <w:rFonts w:cs="Arial"/>
        </w:rPr>
        <w:t xml:space="preserve">In addition, the NDAA established a manufacture, processing, or otherwise use reporting threshold of 100 pounds for each of the PFAS added to the TRI list by sections </w:t>
      </w:r>
      <w:r w:rsidRPr="002E10D2">
        <w:rPr>
          <w:rFonts w:cs="Arial"/>
        </w:rPr>
        <w:t>7321(b) and 7321(c) of the NDAA.</w:t>
      </w:r>
    </w:p>
    <w:p w:rsidR="00735D69" w:rsidP="00AF594A" w14:paraId="07795F9C" w14:textId="77777777">
      <w:pPr>
        <w:adjustRightInd w:val="0"/>
        <w:spacing w:after="200" w:line="276" w:lineRule="auto"/>
        <w:rPr>
          <w:rFonts w:cs="Arial"/>
        </w:rPr>
      </w:pPr>
      <w:r w:rsidRPr="00735D69">
        <w:rPr>
          <w:rFonts w:cs="Arial"/>
        </w:rPr>
        <w:t>EPA is add</w:t>
      </w:r>
      <w:r w:rsidR="00982025">
        <w:rPr>
          <w:rFonts w:cs="Arial"/>
        </w:rPr>
        <w:t>ing</w:t>
      </w:r>
      <w:r w:rsidRPr="00735D69">
        <w:rPr>
          <w:rFonts w:cs="Arial"/>
        </w:rPr>
        <w:t xml:space="preserve"> </w:t>
      </w:r>
      <w:r w:rsidR="00613E0E">
        <w:rPr>
          <w:rFonts w:cs="Arial"/>
        </w:rPr>
        <w:t xml:space="preserve">all </w:t>
      </w:r>
      <w:r w:rsidRPr="00735D69" w:rsidR="00613E0E">
        <w:rPr>
          <w:rFonts w:cs="Arial"/>
        </w:rPr>
        <w:t xml:space="preserve">EPCRA section 313 PFAS </w:t>
      </w:r>
      <w:r w:rsidR="00613E0E">
        <w:rPr>
          <w:rFonts w:cs="Arial"/>
        </w:rPr>
        <w:t xml:space="preserve">added pursuant to sections 7321(b) and </w:t>
      </w:r>
      <w:r w:rsidRPr="00CA4A12" w:rsidR="00CA4A12">
        <w:rPr>
          <w:rFonts w:cs="Arial"/>
        </w:rPr>
        <w:t>7321(c)</w:t>
      </w:r>
      <w:r w:rsidR="00613E0E">
        <w:rPr>
          <w:rFonts w:cs="Arial"/>
        </w:rPr>
        <w:t xml:space="preserve"> of the NDAA and </w:t>
      </w:r>
      <w:r w:rsidRPr="00735D69">
        <w:rPr>
          <w:rFonts w:cs="Arial"/>
        </w:rPr>
        <w:t xml:space="preserve">listed at 40 CFR 372.65(d) and (e) to </w:t>
      </w:r>
      <w:r w:rsidRPr="000758E7" w:rsidR="000758E7">
        <w:rPr>
          <w:rFonts w:cs="Arial"/>
        </w:rPr>
        <w:t>the list of Lower Thresholds for Chemicals of Special Concern (</w:t>
      </w:r>
      <w:r w:rsidR="007C46FF">
        <w:rPr>
          <w:rFonts w:cs="Arial"/>
        </w:rPr>
        <w:t>chemicals of special concern</w:t>
      </w:r>
      <w:r w:rsidRPr="000758E7" w:rsidR="000758E7">
        <w:rPr>
          <w:rFonts w:cs="Arial"/>
        </w:rPr>
        <w:t>)</w:t>
      </w:r>
      <w:r w:rsidR="000758E7">
        <w:rPr>
          <w:rFonts w:cs="Arial"/>
        </w:rPr>
        <w:t xml:space="preserve"> </w:t>
      </w:r>
      <w:r w:rsidRPr="00735D69">
        <w:rPr>
          <w:rFonts w:cs="Arial"/>
        </w:rPr>
        <w:t xml:space="preserve">at 40 CFR § 372.28. Chemicals of </w:t>
      </w:r>
      <w:r w:rsidR="007C46FF">
        <w:rPr>
          <w:rFonts w:cs="Arial"/>
        </w:rPr>
        <w:t>s</w:t>
      </w:r>
      <w:r w:rsidRPr="00735D69" w:rsidR="007C46FF">
        <w:rPr>
          <w:rFonts w:cs="Arial"/>
        </w:rPr>
        <w:t xml:space="preserve">pecial </w:t>
      </w:r>
      <w:r w:rsidR="007C46FF">
        <w:rPr>
          <w:rFonts w:cs="Arial"/>
        </w:rPr>
        <w:t>c</w:t>
      </w:r>
      <w:r w:rsidRPr="00735D69">
        <w:rPr>
          <w:rFonts w:cs="Arial"/>
        </w:rPr>
        <w:t xml:space="preserve">oncern have lower reporting thresholds because even small quantities of releases of these chemicals can be of concern. </w:t>
      </w:r>
      <w:r w:rsidR="00613E0E">
        <w:rPr>
          <w:rFonts w:cs="Arial"/>
        </w:rPr>
        <w:t>By setting a 100-pound reporting threshold</w:t>
      </w:r>
      <w:r w:rsidR="002E10D2">
        <w:rPr>
          <w:rFonts w:cs="Arial"/>
        </w:rPr>
        <w:t xml:space="preserve"> </w:t>
      </w:r>
      <w:r w:rsidRPr="002E10D2" w:rsidR="002E10D2">
        <w:rPr>
          <w:rFonts w:cs="Arial"/>
        </w:rPr>
        <w:t xml:space="preserve">for PFAS added by sections 7321(b) and 7321(c), </w:t>
      </w:r>
      <w:r w:rsidR="002E10D2">
        <w:rPr>
          <w:rFonts w:cs="Arial"/>
        </w:rPr>
        <w:t>the NDAA recognized there is</w:t>
      </w:r>
      <w:r w:rsidRPr="002E10D2" w:rsidR="002E10D2">
        <w:rPr>
          <w:rFonts w:cs="Arial"/>
        </w:rPr>
        <w:t xml:space="preserve"> concern for small quantities of such</w:t>
      </w:r>
      <w:r w:rsidR="00CA4A12">
        <w:rPr>
          <w:rFonts w:cs="Arial"/>
        </w:rPr>
        <w:t xml:space="preserve"> PFAS</w:t>
      </w:r>
      <w:r w:rsidRPr="000758E7" w:rsidR="000758E7">
        <w:rPr>
          <w:rFonts w:cs="Arial"/>
        </w:rPr>
        <w:t xml:space="preserve">. </w:t>
      </w:r>
      <w:r w:rsidRPr="00735D69">
        <w:rPr>
          <w:rFonts w:cs="Arial"/>
        </w:rPr>
        <w:t xml:space="preserve">Chemicals of </w:t>
      </w:r>
      <w:r w:rsidR="007C46FF">
        <w:rPr>
          <w:rFonts w:cs="Arial"/>
        </w:rPr>
        <w:t>s</w:t>
      </w:r>
      <w:r w:rsidRPr="00735D69">
        <w:rPr>
          <w:rFonts w:cs="Arial"/>
        </w:rPr>
        <w:t xml:space="preserve">pecial </w:t>
      </w:r>
      <w:r w:rsidR="007C46FF">
        <w:rPr>
          <w:rFonts w:cs="Arial"/>
        </w:rPr>
        <w:t>c</w:t>
      </w:r>
      <w:r w:rsidRPr="00735D69">
        <w:rPr>
          <w:rFonts w:cs="Arial"/>
        </w:rPr>
        <w:t xml:space="preserve">oncern are excluded from the </w:t>
      </w:r>
      <w:r w:rsidRPr="00316234">
        <w:rPr>
          <w:rFonts w:cs="Arial"/>
          <w:i/>
          <w:iCs/>
        </w:rPr>
        <w:t>de minimis</w:t>
      </w:r>
      <w:r w:rsidRPr="00735D69">
        <w:rPr>
          <w:rFonts w:cs="Arial"/>
        </w:rPr>
        <w:t xml:space="preserve"> exemption, reporting on Form A, and have limits on the use of range reporting because use of these </w:t>
      </w:r>
      <w:r w:rsidRPr="002E10D2" w:rsidR="00CA4A12">
        <w:rPr>
          <w:rFonts w:cs="Arial"/>
        </w:rPr>
        <w:t xml:space="preserve">burden reduction tools </w:t>
      </w:r>
      <w:r w:rsidRPr="00735D69">
        <w:rPr>
          <w:rFonts w:cs="Arial"/>
        </w:rPr>
        <w:t>is inconsistent with a concern for small quant</w:t>
      </w:r>
      <w:r w:rsidRPr="00735D69">
        <w:rPr>
          <w:rFonts w:cs="Arial"/>
        </w:rPr>
        <w:t xml:space="preserve">ities. </w:t>
      </w:r>
      <w:r w:rsidRPr="002E10D2" w:rsidR="002E10D2">
        <w:rPr>
          <w:rFonts w:cs="Arial"/>
        </w:rPr>
        <w:t xml:space="preserve">EPA </w:t>
      </w:r>
      <w:r w:rsidR="00982025">
        <w:rPr>
          <w:rFonts w:cs="Arial"/>
        </w:rPr>
        <w:t xml:space="preserve">has </w:t>
      </w:r>
      <w:r w:rsidRPr="002E10D2" w:rsidR="002E10D2">
        <w:rPr>
          <w:rFonts w:cs="Arial"/>
        </w:rPr>
        <w:t>determine</w:t>
      </w:r>
      <w:r w:rsidR="00982025">
        <w:rPr>
          <w:rFonts w:cs="Arial"/>
        </w:rPr>
        <w:t>d</w:t>
      </w:r>
      <w:r w:rsidRPr="002E10D2" w:rsidR="002E10D2">
        <w:rPr>
          <w:rFonts w:cs="Arial"/>
        </w:rPr>
        <w:t xml:space="preserve"> that the availability of the</w:t>
      </w:r>
      <w:r w:rsidR="002E10D2">
        <w:rPr>
          <w:rFonts w:cs="Arial"/>
        </w:rPr>
        <w:t>se</w:t>
      </w:r>
      <w:r w:rsidRPr="002E10D2" w:rsidR="002E10D2">
        <w:rPr>
          <w:rFonts w:cs="Arial"/>
        </w:rPr>
        <w:t xml:space="preserve"> burden reduction tools </w:t>
      </w:r>
      <w:r w:rsidRPr="002E10D2" w:rsidR="007C46FF">
        <w:rPr>
          <w:rFonts w:cs="Arial"/>
        </w:rPr>
        <w:t>is</w:t>
      </w:r>
      <w:r w:rsidRPr="002E10D2" w:rsidR="002E10D2">
        <w:rPr>
          <w:rFonts w:cs="Arial"/>
        </w:rPr>
        <w:t xml:space="preserve"> not justified for these </w:t>
      </w:r>
      <w:r w:rsidR="002E10D2">
        <w:rPr>
          <w:rFonts w:cs="Arial"/>
        </w:rPr>
        <w:t xml:space="preserve">PFAS </w:t>
      </w:r>
      <w:r w:rsidRPr="002E10D2" w:rsidR="002E10D2">
        <w:rPr>
          <w:rFonts w:cs="Arial"/>
        </w:rPr>
        <w:t>as the availability of these tools is inconsistent with a concern for small quantities.</w:t>
      </w:r>
    </w:p>
    <w:p w:rsidR="004A1DCE" w:rsidP="0028374B" w14:paraId="5655A0BD" w14:textId="77777777">
      <w:pPr>
        <w:spacing w:line="276" w:lineRule="auto"/>
        <w:ind w:right="-22"/>
        <w:rPr>
          <w:rFonts w:cs="Arial"/>
        </w:rPr>
      </w:pPr>
      <w:r w:rsidRPr="00735D69">
        <w:rPr>
          <w:rFonts w:cs="Arial"/>
        </w:rPr>
        <w:t xml:space="preserve">In the first year of reporting for the listed PFAS, EPA </w:t>
      </w:r>
      <w:r w:rsidRPr="00735D69">
        <w:rPr>
          <w:rFonts w:cs="Arial"/>
        </w:rPr>
        <w:t xml:space="preserve">only received </w:t>
      </w:r>
      <w:r w:rsidR="0028374B">
        <w:rPr>
          <w:rFonts w:cs="Arial"/>
        </w:rPr>
        <w:t>89</w:t>
      </w:r>
      <w:r w:rsidRPr="00735D69">
        <w:rPr>
          <w:rFonts w:cs="Arial"/>
        </w:rPr>
        <w:t xml:space="preserve"> reports</w:t>
      </w:r>
      <w:r w:rsidR="0028374B">
        <w:rPr>
          <w:rFonts w:cs="Arial"/>
        </w:rPr>
        <w:t xml:space="preserve"> for 43 different PFAS</w:t>
      </w:r>
      <w:r w:rsidRPr="00735D69">
        <w:rPr>
          <w:rFonts w:cs="Arial"/>
        </w:rPr>
        <w:t xml:space="preserve">. Given the widespread use of PFAS, EPA believes that the availability of the </w:t>
      </w:r>
      <w:r w:rsidRPr="00316234">
        <w:rPr>
          <w:rFonts w:cs="Arial"/>
          <w:i/>
          <w:iCs/>
        </w:rPr>
        <w:t>de minimis</w:t>
      </w:r>
      <w:r w:rsidRPr="00735D69">
        <w:rPr>
          <w:rFonts w:cs="Arial"/>
        </w:rPr>
        <w:t xml:space="preserve"> exemption and lack of supplier notification are likely responsible for the </w:t>
      </w:r>
      <w:r w:rsidRPr="00735D69" w:rsidR="00316234">
        <w:rPr>
          <w:rFonts w:cs="Arial"/>
        </w:rPr>
        <w:t>lower-than-expected</w:t>
      </w:r>
      <w:r w:rsidRPr="00735D69">
        <w:rPr>
          <w:rFonts w:cs="Arial"/>
        </w:rPr>
        <w:t xml:space="preserve"> number of reports received</w:t>
      </w:r>
      <w:r w:rsidRPr="00735D69">
        <w:rPr>
          <w:rFonts w:cs="Arial"/>
        </w:rPr>
        <w:t xml:space="preserve">. </w:t>
      </w:r>
      <w:r w:rsidR="00982025">
        <w:rPr>
          <w:rFonts w:cs="Arial"/>
        </w:rPr>
        <w:t>L</w:t>
      </w:r>
      <w:r w:rsidRPr="00735D69">
        <w:rPr>
          <w:rFonts w:cs="Arial"/>
        </w:rPr>
        <w:t>ist</w:t>
      </w:r>
      <w:r w:rsidR="00982025">
        <w:rPr>
          <w:rFonts w:cs="Arial"/>
        </w:rPr>
        <w:t>ing</w:t>
      </w:r>
      <w:r w:rsidRPr="00735D69">
        <w:rPr>
          <w:rFonts w:cs="Arial"/>
        </w:rPr>
        <w:t xml:space="preserve"> PFAS as chemicals of special concern will help ensure that reporting occurs where a TRI facility is dealing with mixtures containing a small concentration of one or more PFAS. </w:t>
      </w:r>
    </w:p>
    <w:p w:rsidR="004A1DCE" w:rsidP="0028374B" w14:paraId="2E044DED" w14:textId="77777777">
      <w:pPr>
        <w:spacing w:line="276" w:lineRule="auto"/>
        <w:ind w:right="-22"/>
        <w:rPr>
          <w:rFonts w:cs="Arial"/>
        </w:rPr>
      </w:pPr>
    </w:p>
    <w:p w:rsidR="00735D69" w:rsidP="0028374B" w14:paraId="762E39B6" w14:textId="77777777">
      <w:pPr>
        <w:spacing w:line="276" w:lineRule="auto"/>
        <w:ind w:right="-22"/>
        <w:rPr>
          <w:rFonts w:cs="Arial"/>
        </w:rPr>
      </w:pPr>
      <w:r w:rsidRPr="00735D69">
        <w:rPr>
          <w:rFonts w:cs="Arial"/>
        </w:rPr>
        <w:t>EPA is also eliminat</w:t>
      </w:r>
      <w:r w:rsidR="00982025">
        <w:rPr>
          <w:rFonts w:cs="Arial"/>
        </w:rPr>
        <w:t>ing</w:t>
      </w:r>
      <w:r w:rsidRPr="00735D69">
        <w:rPr>
          <w:rFonts w:cs="Arial"/>
        </w:rPr>
        <w:t xml:space="preserve"> the use of the </w:t>
      </w:r>
      <w:r w:rsidRPr="008F3817">
        <w:rPr>
          <w:rFonts w:cs="Arial"/>
          <w:i/>
          <w:iCs/>
        </w:rPr>
        <w:t>de minimis</w:t>
      </w:r>
      <w:r w:rsidRPr="00735D69">
        <w:rPr>
          <w:rFonts w:cs="Arial"/>
        </w:rPr>
        <w:t xml:space="preserve"> exemption under the Supplier Notification Requirements at 40 CFR § 372.45(d)(1) for all </w:t>
      </w:r>
      <w:r w:rsidR="007C46FF">
        <w:rPr>
          <w:rFonts w:cs="Arial"/>
        </w:rPr>
        <w:t>c</w:t>
      </w:r>
      <w:r w:rsidRPr="00735D69" w:rsidR="007C46FF">
        <w:rPr>
          <w:rFonts w:cs="Arial"/>
        </w:rPr>
        <w:t xml:space="preserve">hemicals </w:t>
      </w:r>
      <w:r w:rsidRPr="00735D69">
        <w:rPr>
          <w:rFonts w:cs="Arial"/>
        </w:rPr>
        <w:t xml:space="preserve">of </w:t>
      </w:r>
      <w:r w:rsidR="007C46FF">
        <w:rPr>
          <w:rFonts w:cs="Arial"/>
        </w:rPr>
        <w:t>s</w:t>
      </w:r>
      <w:r w:rsidRPr="00735D69">
        <w:rPr>
          <w:rFonts w:cs="Arial"/>
        </w:rPr>
        <w:t xml:space="preserve">pecial </w:t>
      </w:r>
      <w:r w:rsidR="007C46FF">
        <w:rPr>
          <w:rFonts w:cs="Arial"/>
        </w:rPr>
        <w:t>c</w:t>
      </w:r>
      <w:r w:rsidRPr="00735D69">
        <w:rPr>
          <w:rFonts w:cs="Arial"/>
        </w:rPr>
        <w:t>oncern</w:t>
      </w:r>
      <w:r w:rsidR="00AF594A">
        <w:rPr>
          <w:rFonts w:cs="Arial"/>
        </w:rPr>
        <w:t xml:space="preserve">. </w:t>
      </w:r>
      <w:r w:rsidRPr="00735D69">
        <w:rPr>
          <w:rFonts w:cs="Arial"/>
        </w:rPr>
        <w:t xml:space="preserve"> </w:t>
      </w:r>
      <w:r w:rsidR="00AF594A">
        <w:rPr>
          <w:rFonts w:cs="Arial"/>
        </w:rPr>
        <w:t>E</w:t>
      </w:r>
      <w:r w:rsidRPr="00AF594A" w:rsidR="00AF594A">
        <w:rPr>
          <w:rFonts w:cs="Arial"/>
        </w:rPr>
        <w:t xml:space="preserve">liminating the use of the </w:t>
      </w:r>
      <w:r w:rsidRPr="00DF0132" w:rsidR="00AF594A">
        <w:rPr>
          <w:rFonts w:cs="Arial"/>
          <w:i/>
          <w:iCs/>
        </w:rPr>
        <w:t>de minimis</w:t>
      </w:r>
      <w:r w:rsidRPr="00AF594A" w:rsidR="00AF594A">
        <w:rPr>
          <w:rFonts w:cs="Arial"/>
        </w:rPr>
        <w:t xml:space="preserve"> exemption for supplier notification purposes for all chemicals of special concern will ensure that </w:t>
      </w:r>
      <w:r w:rsidR="00DD3F39">
        <w:rPr>
          <w:rFonts w:cs="Arial"/>
        </w:rPr>
        <w:t xml:space="preserve">facilities will </w:t>
      </w:r>
      <w:r w:rsidR="007402C2">
        <w:rPr>
          <w:rFonts w:cs="Arial"/>
        </w:rPr>
        <w:t>provide</w:t>
      </w:r>
      <w:r w:rsidR="00DD3F39">
        <w:rPr>
          <w:rFonts w:cs="Arial"/>
        </w:rPr>
        <w:t xml:space="preserve"> notice of </w:t>
      </w:r>
      <w:r w:rsidRPr="00AF594A" w:rsidR="00AF594A">
        <w:rPr>
          <w:rFonts w:cs="Arial"/>
        </w:rPr>
        <w:t>potentially significant quantities of such chemicals</w:t>
      </w:r>
      <w:r w:rsidRPr="00735D69">
        <w:rPr>
          <w:rFonts w:cs="Arial"/>
        </w:rPr>
        <w:t>.</w:t>
      </w:r>
    </w:p>
    <w:p w:rsidR="000758E7" w:rsidRPr="000758E7" w:rsidP="000758E7" w14:paraId="6668F94B" w14:textId="77777777">
      <w:pPr>
        <w:rPr>
          <w:rFonts w:eastAsia="Calibri"/>
        </w:rPr>
      </w:pPr>
    </w:p>
    <w:p w:rsidR="00A64CE8" w:rsidRPr="00D27D02" w:rsidP="00CD1CFF" w14:paraId="6430ADF3" w14:textId="77777777">
      <w:pPr>
        <w:adjustRightInd w:val="0"/>
        <w:spacing w:after="200" w:line="276" w:lineRule="auto"/>
        <w:rPr>
          <w:rFonts w:cs="Arial"/>
        </w:rPr>
      </w:pPr>
      <w:r w:rsidRPr="00246FA0">
        <w:rPr>
          <w:rFonts w:cs="Arial"/>
        </w:rPr>
        <w:t xml:space="preserve">This information collection activity is a statutory requirement pursuant to EPCRA </w:t>
      </w:r>
      <w:r w:rsidRPr="00246FA0" w:rsidR="00EB7860">
        <w:rPr>
          <w:rFonts w:cs="Arial"/>
        </w:rPr>
        <w:t xml:space="preserve">section 313 </w:t>
      </w:r>
      <w:r w:rsidRPr="00246FA0">
        <w:rPr>
          <w:rFonts w:cs="Arial"/>
        </w:rPr>
        <w:t xml:space="preserve">and PPA </w:t>
      </w:r>
      <w:r w:rsidRPr="00246FA0" w:rsidR="00EB7860">
        <w:rPr>
          <w:rFonts w:cs="Arial"/>
        </w:rPr>
        <w:t xml:space="preserve">section </w:t>
      </w:r>
      <w:r w:rsidRPr="00246FA0">
        <w:rPr>
          <w:rFonts w:cs="Arial"/>
        </w:rPr>
        <w:t xml:space="preserve">6607. According to EPCRA </w:t>
      </w:r>
      <w:r w:rsidRPr="00246FA0" w:rsidR="00EB7860">
        <w:rPr>
          <w:rFonts w:cs="Arial"/>
        </w:rPr>
        <w:t xml:space="preserve">section </w:t>
      </w:r>
      <w:r w:rsidRPr="00246FA0">
        <w:rPr>
          <w:rFonts w:cs="Arial"/>
        </w:rPr>
        <w:t xml:space="preserve">313(h), the purpose of </w:t>
      </w:r>
      <w:r w:rsidRPr="00246FA0">
        <w:rPr>
          <w:rFonts w:cs="Arial"/>
        </w:rPr>
        <w:t xml:space="preserve">the data collected by the forms </w:t>
      </w:r>
      <w:r w:rsidRPr="00246FA0" w:rsidR="00082560">
        <w:rPr>
          <w:rFonts w:cs="Arial"/>
        </w:rPr>
        <w:t>is</w:t>
      </w:r>
      <w:r w:rsidRPr="00246FA0">
        <w:rPr>
          <w:rFonts w:cs="Arial"/>
        </w:rPr>
        <w:t xml:space="preserve"> to "inform </w:t>
      </w:r>
      <w:r w:rsidRPr="00246FA0">
        <w:rPr>
          <w:rFonts w:cs="Arial"/>
          <w:spacing w:val="-2"/>
        </w:rPr>
        <w:t xml:space="preserve">persons about releases of toxic chemicals to the </w:t>
      </w:r>
      <w:r w:rsidRPr="00D27D02">
        <w:rPr>
          <w:rFonts w:cs="Arial"/>
          <w:spacing w:val="-2"/>
        </w:rPr>
        <w:t>environment; to assist governmental agencies,</w:t>
      </w:r>
      <w:r w:rsidRPr="00D27D02">
        <w:rPr>
          <w:rFonts w:cs="Arial"/>
        </w:rPr>
        <w:t xml:space="preserve"> researchers, and other persons in the conduct of research and data gathering; to aid in the development of appropri</w:t>
      </w:r>
      <w:r w:rsidRPr="00D27D02">
        <w:rPr>
          <w:rFonts w:cs="Arial"/>
        </w:rPr>
        <w:t>ate regulations, guidelines, and standards; and for other similar purposes."</w:t>
      </w:r>
      <w:r w:rsidRPr="00D27D02" w:rsidR="00473DCB">
        <w:rPr>
          <w:rFonts w:cs="Arial"/>
        </w:rPr>
        <w:t xml:space="preserve"> </w:t>
      </w:r>
    </w:p>
    <w:p w:rsidR="00A64CE8" w:rsidRPr="00D27D02" w:rsidP="00CD1CFF" w14:paraId="3A8E3F36" w14:textId="77777777">
      <w:pPr>
        <w:spacing w:after="200" w:line="276" w:lineRule="auto"/>
        <w:rPr>
          <w:rFonts w:cs="Arial"/>
        </w:rPr>
      </w:pPr>
      <w:r w:rsidRPr="00D27D02">
        <w:rPr>
          <w:rFonts w:cs="Arial"/>
        </w:rPr>
        <w:t xml:space="preserve">Section 6602 of the PPA establishes a national policy to prevent or reduce pollution at the source whenever feasible. To further this goal, EPA </w:t>
      </w:r>
      <w:r w:rsidRPr="00D27D02">
        <w:rPr>
          <w:rFonts w:cs="Arial"/>
          <w:spacing w:val="-2"/>
        </w:rPr>
        <w:t>collects and disseminates informat</w:t>
      </w:r>
      <w:r w:rsidRPr="00D27D02">
        <w:rPr>
          <w:rFonts w:cs="Arial"/>
          <w:spacing w:val="-2"/>
        </w:rPr>
        <w:t>ion</w:t>
      </w:r>
      <w:r w:rsidRPr="00D27D02">
        <w:rPr>
          <w:rFonts w:cs="Arial"/>
        </w:rPr>
        <w:t xml:space="preserve"> intended to fulfill that responsibility in part and to provide a basis for measuring progress in pollution prevention.</w:t>
      </w:r>
    </w:p>
    <w:p w:rsidR="00A64CE8" w:rsidRPr="00D27D02" w:rsidP="00CD1CFF" w14:paraId="7E1BBEB9" w14:textId="77777777">
      <w:pPr>
        <w:spacing w:after="200" w:line="276" w:lineRule="auto"/>
        <w:rPr>
          <w:rFonts w:cs="Arial"/>
        </w:rPr>
      </w:pPr>
      <w:r w:rsidRPr="00D27D02">
        <w:rPr>
          <w:rFonts w:cs="Arial"/>
        </w:rPr>
        <w:t>EPA’s regulations implementing TRI reporting are codified at 40 CFR part 372. Each covered facility must report on each listed chemic</w:t>
      </w:r>
      <w:r w:rsidRPr="00D27D02">
        <w:rPr>
          <w:rFonts w:cs="Arial"/>
        </w:rPr>
        <w:t>al manufactured, processed or otherwise used in excess of the reporting thresholds e</w:t>
      </w:r>
      <w:r w:rsidRPr="00D27D02" w:rsidR="00EB7860">
        <w:rPr>
          <w:rFonts w:cs="Arial"/>
        </w:rPr>
        <w:t>stablished in EPCRA section 313(f)(1).</w:t>
      </w:r>
    </w:p>
    <w:p w:rsidR="00A64CE8" w:rsidRPr="0028374B" w:rsidP="00CD1CFF" w14:paraId="0970C3AF" w14:textId="77777777">
      <w:pPr>
        <w:spacing w:after="200" w:line="276" w:lineRule="auto"/>
        <w:ind w:right="144"/>
        <w:rPr>
          <w:rFonts w:cs="Arial"/>
        </w:rPr>
      </w:pPr>
      <w:r w:rsidRPr="0028374B">
        <w:rPr>
          <w:rFonts w:cs="Arial"/>
        </w:rPr>
        <w:t xml:space="preserve">EPA established an alternate </w:t>
      </w:r>
      <w:r w:rsidRPr="0028374B">
        <w:rPr>
          <w:rFonts w:cs="Arial"/>
          <w:spacing w:val="-2"/>
        </w:rPr>
        <w:t>threshold</w:t>
      </w:r>
      <w:r>
        <w:rPr>
          <w:rStyle w:val="FootnoteReference"/>
          <w:rFonts w:cs="Arial"/>
          <w:spacing w:val="-2"/>
        </w:rPr>
        <w:footnoteReference w:id="5"/>
      </w:r>
      <w:r w:rsidRPr="0028374B">
        <w:rPr>
          <w:rFonts w:cs="Arial"/>
          <w:spacing w:val="-2"/>
        </w:rPr>
        <w:t xml:space="preserve"> under EPCRA </w:t>
      </w:r>
      <w:r w:rsidRPr="0028374B" w:rsidR="00EB7860">
        <w:rPr>
          <w:rFonts w:cs="Arial"/>
        </w:rPr>
        <w:t xml:space="preserve">section </w:t>
      </w:r>
      <w:r w:rsidRPr="0028374B">
        <w:rPr>
          <w:rFonts w:cs="Arial"/>
          <w:spacing w:val="-2"/>
        </w:rPr>
        <w:t xml:space="preserve">313(f)(2) for a category of facilities with low amounts of a </w:t>
      </w:r>
      <w:r w:rsidRPr="0028374B">
        <w:rPr>
          <w:rFonts w:cs="Arial"/>
          <w:spacing w:val="-2"/>
        </w:rPr>
        <w:t>listed</w:t>
      </w:r>
      <w:r w:rsidRPr="0028374B">
        <w:rPr>
          <w:rFonts w:cs="Arial"/>
        </w:rPr>
        <w:t xml:space="preserve"> toxic chemical in wastes. A facility with such lower amounts of listed chemicals in wastes may submit an EPA Toxics Release Inventory Form A for the reportable chemicals instead of a Form R for each reportable chemical. Note that a Form A may contai</w:t>
      </w:r>
      <w:r w:rsidRPr="0028374B">
        <w:rPr>
          <w:rFonts w:cs="Arial"/>
        </w:rPr>
        <w:t xml:space="preserve">n multiple chemicals. </w:t>
      </w:r>
      <w:r w:rsidRPr="0028374B">
        <w:rPr>
          <w:rFonts w:cs="Arial"/>
          <w:spacing w:val="-2"/>
        </w:rPr>
        <w:t>Form A submissions foster continued attention to chemical</w:t>
      </w:r>
      <w:r w:rsidRPr="0028374B">
        <w:rPr>
          <w:rFonts w:cs="Arial"/>
        </w:rPr>
        <w:t xml:space="preserve"> management practices and provide important facility identification information. With a Form A, EPA and the general public receive a specific indication annually that a facility</w:t>
      </w:r>
      <w:r w:rsidRPr="0028374B">
        <w:rPr>
          <w:rFonts w:cs="Arial"/>
        </w:rPr>
        <w:t xml:space="preserve"> has a certain chemical; however, facilities provide less extensive reporting on chemicals when</w:t>
      </w:r>
      <w:r w:rsidRPr="0028374B" w:rsidR="00EB7860">
        <w:rPr>
          <w:rFonts w:cs="Arial"/>
        </w:rPr>
        <w:t xml:space="preserve"> using the alternate threshold.</w:t>
      </w:r>
    </w:p>
    <w:p w:rsidR="00A64CE8" w:rsidRPr="00CD1CFF" w:rsidP="00CD1CFF" w14:paraId="460FC972" w14:textId="77777777">
      <w:pPr>
        <w:spacing w:after="200" w:line="276" w:lineRule="auto"/>
        <w:rPr>
          <w:rFonts w:cs="Arial"/>
        </w:rPr>
      </w:pPr>
      <w:r w:rsidRPr="00CD1CFF">
        <w:rPr>
          <w:rFonts w:cs="Arial"/>
        </w:rPr>
        <w:t xml:space="preserve">The information collected on the Form R, </w:t>
      </w:r>
      <w:r w:rsidRPr="0028374B">
        <w:rPr>
          <w:rFonts w:cs="Arial"/>
        </w:rPr>
        <w:t xml:space="preserve">or alternatively on the shorter Form A, </w:t>
      </w:r>
      <w:r w:rsidRPr="00CD1CFF">
        <w:rPr>
          <w:rFonts w:cs="Arial"/>
        </w:rPr>
        <w:t xml:space="preserve">fulfills EPA’s responsibilities under EPCRA </w:t>
      </w:r>
      <w:r w:rsidRPr="00CD1CFF" w:rsidR="00EB7860">
        <w:rPr>
          <w:rFonts w:cs="Arial"/>
        </w:rPr>
        <w:t xml:space="preserve">section </w:t>
      </w:r>
      <w:r w:rsidRPr="00CD1CFF">
        <w:rPr>
          <w:rFonts w:cs="Arial"/>
        </w:rPr>
        <w:t>313(f)(2), addressing the statutory mandates and the public's right-to-know. Table 1 summarizes the information reported by facilities on the two types of TRI reporting forms.</w:t>
      </w:r>
    </w:p>
    <w:p w:rsidR="00A64CE8" w:rsidRPr="009A54BC" w:rsidP="009A54BC" w14:paraId="66AFEF15" w14:textId="77777777">
      <w:pPr>
        <w:pStyle w:val="Heading2"/>
        <w:spacing w:before="240" w:after="120"/>
        <w:rPr>
          <w:b/>
          <w:bCs/>
          <w:u w:val="none"/>
        </w:rPr>
      </w:pPr>
      <w:r w:rsidRPr="009A54BC">
        <w:rPr>
          <w:b/>
          <w:bCs/>
          <w:u w:val="none"/>
        </w:rPr>
        <w:t>Table 1</w:t>
      </w:r>
      <w:r w:rsidR="00F97489">
        <w:rPr>
          <w:b/>
          <w:bCs/>
          <w:u w:val="none"/>
        </w:rPr>
        <w:t xml:space="preserve">. </w:t>
      </w:r>
      <w:r w:rsidRPr="009A54BC">
        <w:rPr>
          <w:b/>
          <w:bCs/>
          <w:u w:val="none"/>
        </w:rPr>
        <w:t>Form</w:t>
      </w:r>
      <w:r w:rsidRPr="009A54BC" w:rsidR="00F71EF7">
        <w:rPr>
          <w:b/>
          <w:bCs/>
          <w:u w:val="none"/>
        </w:rPr>
        <w:t xml:space="preserve"> </w:t>
      </w:r>
      <w:r w:rsidRPr="009A54BC">
        <w:rPr>
          <w:b/>
          <w:bCs/>
          <w:u w:val="none"/>
        </w:rPr>
        <w:t>R and Form A Information Collection</w:t>
      </w:r>
    </w:p>
    <w:tbl>
      <w:tblPr>
        <w:tblW w:w="97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7593"/>
        <w:gridCol w:w="1080"/>
        <w:gridCol w:w="1080"/>
      </w:tblGrid>
      <w:tr w14:paraId="3886D24E" w14:textId="77777777" w:rsidTr="008F38FD">
        <w:tblPrEx>
          <w:tblW w:w="97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Ex>
        <w:trPr>
          <w:trHeight w:val="167"/>
          <w:jc w:val="center"/>
        </w:trPr>
        <w:tc>
          <w:tcPr>
            <w:tcW w:w="7593" w:type="dxa"/>
            <w:tcBorders>
              <w:top w:val="double" w:sz="4" w:space="0" w:color="auto"/>
            </w:tcBorders>
          </w:tcPr>
          <w:p w:rsidR="00A64CE8" w:rsidRPr="00CD1CFF" w:rsidP="00CD1CFF" w14:paraId="0673DC36" w14:textId="77777777">
            <w:pPr>
              <w:autoSpaceDE/>
              <w:autoSpaceDN/>
              <w:spacing w:after="200" w:line="276" w:lineRule="auto"/>
              <w:ind w:right="144"/>
              <w:jc w:val="center"/>
              <w:rPr>
                <w:rFonts w:cs="Arial"/>
                <w:b/>
              </w:rPr>
            </w:pPr>
            <w:r w:rsidRPr="00CD1CFF">
              <w:rPr>
                <w:rFonts w:cs="Arial"/>
                <w:b/>
              </w:rPr>
              <w:t>Information Collected</w:t>
            </w:r>
          </w:p>
        </w:tc>
        <w:tc>
          <w:tcPr>
            <w:tcW w:w="1080" w:type="dxa"/>
            <w:tcBorders>
              <w:top w:val="double" w:sz="4" w:space="0" w:color="auto"/>
            </w:tcBorders>
          </w:tcPr>
          <w:p w:rsidR="00A64CE8" w:rsidRPr="00CD1CFF" w:rsidP="00CD1CFF" w14:paraId="25D3C675" w14:textId="77777777">
            <w:pPr>
              <w:spacing w:after="200" w:line="276" w:lineRule="auto"/>
              <w:jc w:val="center"/>
              <w:rPr>
                <w:rFonts w:cs="Arial"/>
                <w:b/>
              </w:rPr>
            </w:pPr>
            <w:r w:rsidRPr="00CD1CFF">
              <w:rPr>
                <w:rFonts w:cs="Arial"/>
                <w:b/>
              </w:rPr>
              <w:t>Form R</w:t>
            </w:r>
          </w:p>
        </w:tc>
        <w:tc>
          <w:tcPr>
            <w:tcW w:w="1080" w:type="dxa"/>
            <w:tcBorders>
              <w:top w:val="double" w:sz="4" w:space="0" w:color="auto"/>
            </w:tcBorders>
          </w:tcPr>
          <w:p w:rsidR="00A64CE8" w:rsidRPr="0028374B" w:rsidP="00CD1CFF" w14:paraId="48712AE1" w14:textId="77777777">
            <w:pPr>
              <w:spacing w:after="200" w:line="276" w:lineRule="auto"/>
              <w:jc w:val="center"/>
              <w:rPr>
                <w:rFonts w:cs="Arial"/>
                <w:b/>
              </w:rPr>
            </w:pPr>
            <w:r w:rsidRPr="0028374B">
              <w:rPr>
                <w:rFonts w:cs="Arial"/>
                <w:b/>
              </w:rPr>
              <w:t>Form A</w:t>
            </w:r>
          </w:p>
        </w:tc>
      </w:tr>
      <w:tr w14:paraId="31594941" w14:textId="77777777" w:rsidTr="008F38FD">
        <w:tblPrEx>
          <w:tblW w:w="9753" w:type="dxa"/>
          <w:jc w:val="center"/>
          <w:tblLook w:val="01E0"/>
        </w:tblPrEx>
        <w:trPr>
          <w:trHeight w:val="300"/>
          <w:jc w:val="center"/>
        </w:trPr>
        <w:tc>
          <w:tcPr>
            <w:tcW w:w="7593" w:type="dxa"/>
          </w:tcPr>
          <w:p w:rsidR="00A64CE8" w:rsidRPr="00CD1CFF" w:rsidP="00CD1CFF" w14:paraId="273EC8A3" w14:textId="77777777">
            <w:pPr>
              <w:autoSpaceDE/>
              <w:autoSpaceDN/>
              <w:spacing w:after="200" w:line="276" w:lineRule="auto"/>
              <w:ind w:right="144"/>
              <w:rPr>
                <w:rFonts w:cs="Arial"/>
              </w:rPr>
            </w:pPr>
            <w:r w:rsidRPr="00CD1CFF">
              <w:rPr>
                <w:rFonts w:cs="Arial"/>
              </w:rPr>
              <w:t>Location of facilities manufacturing, processing or otherwise using these chemicals</w:t>
            </w:r>
          </w:p>
        </w:tc>
        <w:tc>
          <w:tcPr>
            <w:tcW w:w="1080" w:type="dxa"/>
            <w:vAlign w:val="center"/>
          </w:tcPr>
          <w:p w:rsidR="00A64CE8" w:rsidRPr="00CD1CFF" w:rsidP="00CD1CFF" w14:paraId="2EA3E7F0" w14:textId="77777777">
            <w:pPr>
              <w:spacing w:after="200" w:line="276" w:lineRule="auto"/>
              <w:jc w:val="center"/>
              <w:rPr>
                <w:rFonts w:cs="Arial"/>
              </w:rPr>
            </w:pPr>
            <w:r w:rsidRPr="00CD1CFF">
              <w:rPr>
                <w:rFonts w:cs="Arial"/>
              </w:rPr>
              <w:t>√</w:t>
            </w:r>
          </w:p>
        </w:tc>
        <w:tc>
          <w:tcPr>
            <w:tcW w:w="1080" w:type="dxa"/>
            <w:vAlign w:val="center"/>
          </w:tcPr>
          <w:p w:rsidR="00A64CE8" w:rsidRPr="0028374B" w:rsidP="00CD1CFF" w14:paraId="6105AA0B" w14:textId="77777777">
            <w:pPr>
              <w:spacing w:after="200" w:line="276" w:lineRule="auto"/>
              <w:jc w:val="center"/>
              <w:rPr>
                <w:rFonts w:cs="Arial"/>
              </w:rPr>
            </w:pPr>
            <w:r w:rsidRPr="0028374B">
              <w:rPr>
                <w:rFonts w:cs="Arial"/>
              </w:rPr>
              <w:t>√</w:t>
            </w:r>
          </w:p>
        </w:tc>
      </w:tr>
      <w:tr w14:paraId="19A37204" w14:textId="77777777" w:rsidTr="008F38FD">
        <w:tblPrEx>
          <w:tblW w:w="9753" w:type="dxa"/>
          <w:jc w:val="center"/>
          <w:tblLook w:val="01E0"/>
        </w:tblPrEx>
        <w:trPr>
          <w:trHeight w:val="588"/>
          <w:jc w:val="center"/>
        </w:trPr>
        <w:tc>
          <w:tcPr>
            <w:tcW w:w="7593" w:type="dxa"/>
          </w:tcPr>
          <w:p w:rsidR="00A64CE8" w:rsidRPr="00CD1CFF" w:rsidP="00CD1CFF" w14:paraId="495C139C" w14:textId="77777777">
            <w:pPr>
              <w:autoSpaceDE/>
              <w:autoSpaceDN/>
              <w:spacing w:after="200" w:line="276" w:lineRule="auto"/>
              <w:ind w:right="144"/>
              <w:rPr>
                <w:rFonts w:cs="Arial"/>
              </w:rPr>
            </w:pPr>
            <w:r w:rsidRPr="00CD1CFF">
              <w:rPr>
                <w:rFonts w:cs="Arial"/>
              </w:rPr>
              <w:t>Indication that the chemicals are being manufactured, processed or otherwise used at current reporting thresholds</w:t>
            </w:r>
          </w:p>
        </w:tc>
        <w:tc>
          <w:tcPr>
            <w:tcW w:w="1080" w:type="dxa"/>
            <w:vAlign w:val="center"/>
          </w:tcPr>
          <w:p w:rsidR="00A64CE8" w:rsidRPr="00CD1CFF" w:rsidP="00CD1CFF" w14:paraId="6C692F12" w14:textId="77777777">
            <w:pPr>
              <w:spacing w:after="200" w:line="276" w:lineRule="auto"/>
              <w:jc w:val="center"/>
              <w:rPr>
                <w:rFonts w:cs="Arial"/>
              </w:rPr>
            </w:pPr>
            <w:r w:rsidRPr="00CD1CFF">
              <w:rPr>
                <w:rFonts w:cs="Arial"/>
              </w:rPr>
              <w:t>√</w:t>
            </w:r>
          </w:p>
        </w:tc>
        <w:tc>
          <w:tcPr>
            <w:tcW w:w="1080" w:type="dxa"/>
            <w:vAlign w:val="center"/>
          </w:tcPr>
          <w:p w:rsidR="00A64CE8" w:rsidRPr="0028374B" w:rsidP="00CD1CFF" w14:paraId="1A3FB8DB" w14:textId="77777777">
            <w:pPr>
              <w:spacing w:after="200" w:line="276" w:lineRule="auto"/>
              <w:jc w:val="center"/>
              <w:rPr>
                <w:rFonts w:cs="Arial"/>
              </w:rPr>
            </w:pPr>
            <w:r w:rsidRPr="0028374B">
              <w:rPr>
                <w:rFonts w:cs="Arial"/>
              </w:rPr>
              <w:t>√</w:t>
            </w:r>
          </w:p>
        </w:tc>
      </w:tr>
      <w:tr w14:paraId="06AD715E" w14:textId="77777777" w:rsidTr="008F38FD">
        <w:tblPrEx>
          <w:tblW w:w="9753" w:type="dxa"/>
          <w:jc w:val="center"/>
          <w:tblLook w:val="01E0"/>
        </w:tblPrEx>
        <w:trPr>
          <w:jc w:val="center"/>
        </w:trPr>
        <w:tc>
          <w:tcPr>
            <w:tcW w:w="7593" w:type="dxa"/>
          </w:tcPr>
          <w:p w:rsidR="00A64CE8" w:rsidRPr="00CD1CFF" w:rsidP="00CD1CFF" w14:paraId="2E59CFBB" w14:textId="77777777">
            <w:pPr>
              <w:spacing w:after="200" w:line="276" w:lineRule="auto"/>
              <w:rPr>
                <w:rFonts w:cs="Arial"/>
              </w:rPr>
            </w:pPr>
            <w:r w:rsidRPr="00CD1CFF">
              <w:rPr>
                <w:rFonts w:cs="Arial"/>
              </w:rPr>
              <w:t xml:space="preserve">Certification that the sum of </w:t>
            </w:r>
            <w:r w:rsidRPr="00CD1CFF">
              <w:rPr>
                <w:rFonts w:cs="Arial"/>
              </w:rPr>
              <w:t>amounts of the chemical in releases and waste did not exceed the appropriate Non-PBT or PBT (lead in stainless steel, brass, or bronze alloy) release and waste annual reportable amounts for that reporting year</w:t>
            </w:r>
          </w:p>
        </w:tc>
        <w:tc>
          <w:tcPr>
            <w:tcW w:w="1080" w:type="dxa"/>
            <w:vAlign w:val="center"/>
          </w:tcPr>
          <w:p w:rsidR="00A64CE8" w:rsidRPr="00CD1CFF" w:rsidP="00CD1CFF" w14:paraId="46830F53" w14:textId="77777777">
            <w:pPr>
              <w:spacing w:after="200" w:line="276" w:lineRule="auto"/>
              <w:jc w:val="center"/>
              <w:rPr>
                <w:rFonts w:cs="Arial"/>
              </w:rPr>
            </w:pPr>
          </w:p>
        </w:tc>
        <w:tc>
          <w:tcPr>
            <w:tcW w:w="1080" w:type="dxa"/>
            <w:vAlign w:val="center"/>
          </w:tcPr>
          <w:p w:rsidR="00A64CE8" w:rsidRPr="0028374B" w:rsidP="00CD1CFF" w14:paraId="2CEFCD8D" w14:textId="77777777">
            <w:pPr>
              <w:spacing w:after="200" w:line="276" w:lineRule="auto"/>
              <w:jc w:val="center"/>
              <w:rPr>
                <w:rFonts w:cs="Arial"/>
              </w:rPr>
            </w:pPr>
            <w:r w:rsidRPr="0028374B">
              <w:rPr>
                <w:rFonts w:cs="Arial"/>
              </w:rPr>
              <w:t>√</w:t>
            </w:r>
          </w:p>
        </w:tc>
      </w:tr>
      <w:tr w14:paraId="79043679" w14:textId="77777777" w:rsidTr="008F38FD">
        <w:tblPrEx>
          <w:tblW w:w="9753" w:type="dxa"/>
          <w:jc w:val="center"/>
          <w:tblLook w:val="01E0"/>
        </w:tblPrEx>
        <w:trPr>
          <w:trHeight w:val="54"/>
          <w:jc w:val="center"/>
        </w:trPr>
        <w:tc>
          <w:tcPr>
            <w:tcW w:w="7593" w:type="dxa"/>
          </w:tcPr>
          <w:p w:rsidR="00A64CE8" w:rsidRPr="00CD1CFF" w:rsidP="00CD1CFF" w14:paraId="46E2E024" w14:textId="77777777">
            <w:pPr>
              <w:spacing w:after="200" w:line="276" w:lineRule="auto"/>
              <w:rPr>
                <w:rFonts w:cs="Arial"/>
              </w:rPr>
            </w:pPr>
            <w:r w:rsidRPr="00CD1CFF">
              <w:rPr>
                <w:rFonts w:cs="Arial"/>
              </w:rPr>
              <w:t>Accounting of quantities of chemicals ente</w:t>
            </w:r>
            <w:r w:rsidRPr="00CD1CFF">
              <w:rPr>
                <w:rFonts w:cs="Arial"/>
              </w:rPr>
              <w:t>ring environmental mediums on</w:t>
            </w:r>
            <w:r w:rsidRPr="00CD1CFF" w:rsidR="00BB5A26">
              <w:rPr>
                <w:rFonts w:cs="Arial"/>
              </w:rPr>
              <w:t xml:space="preserve"> </w:t>
            </w:r>
            <w:r w:rsidRPr="00CD1CFF">
              <w:rPr>
                <w:rFonts w:cs="Arial"/>
              </w:rPr>
              <w:t>site</w:t>
            </w:r>
          </w:p>
        </w:tc>
        <w:tc>
          <w:tcPr>
            <w:tcW w:w="1080" w:type="dxa"/>
            <w:vAlign w:val="center"/>
          </w:tcPr>
          <w:p w:rsidR="00A64CE8" w:rsidRPr="00CD1CFF" w:rsidP="00CD1CFF" w14:paraId="08BD9960" w14:textId="77777777">
            <w:pPr>
              <w:spacing w:after="200" w:line="276" w:lineRule="auto"/>
              <w:jc w:val="center"/>
              <w:rPr>
                <w:rFonts w:cs="Arial"/>
              </w:rPr>
            </w:pPr>
            <w:r w:rsidRPr="00CD1CFF">
              <w:rPr>
                <w:rFonts w:cs="Arial"/>
              </w:rPr>
              <w:t>√</w:t>
            </w:r>
          </w:p>
        </w:tc>
        <w:tc>
          <w:tcPr>
            <w:tcW w:w="1080" w:type="dxa"/>
            <w:vAlign w:val="center"/>
          </w:tcPr>
          <w:p w:rsidR="00A64CE8" w:rsidRPr="0028374B" w:rsidP="00CD1CFF" w14:paraId="6CB1B89C" w14:textId="77777777">
            <w:pPr>
              <w:spacing w:after="200" w:line="276" w:lineRule="auto"/>
              <w:jc w:val="center"/>
              <w:rPr>
                <w:rFonts w:cs="Arial"/>
              </w:rPr>
            </w:pPr>
          </w:p>
        </w:tc>
      </w:tr>
      <w:tr w14:paraId="4920AC02" w14:textId="77777777" w:rsidTr="008F38FD">
        <w:tblPrEx>
          <w:tblW w:w="9753" w:type="dxa"/>
          <w:jc w:val="center"/>
          <w:tblLook w:val="01E0"/>
        </w:tblPrEx>
        <w:trPr>
          <w:trHeight w:val="54"/>
          <w:jc w:val="center"/>
        </w:trPr>
        <w:tc>
          <w:tcPr>
            <w:tcW w:w="7593" w:type="dxa"/>
          </w:tcPr>
          <w:p w:rsidR="00A64CE8" w:rsidRPr="00CD1CFF" w:rsidP="00CD1CFF" w14:paraId="31AABF43" w14:textId="77777777">
            <w:pPr>
              <w:spacing w:after="200" w:line="276" w:lineRule="auto"/>
              <w:rPr>
                <w:rFonts w:cs="Arial"/>
              </w:rPr>
            </w:pPr>
            <w:r w:rsidRPr="00CD1CFF">
              <w:rPr>
                <w:rFonts w:cs="Arial"/>
              </w:rPr>
              <w:t>Disclosure of chemical transfers to off</w:t>
            </w:r>
            <w:r w:rsidRPr="00CD1CFF" w:rsidR="00955076">
              <w:rPr>
                <w:rFonts w:cs="Arial"/>
              </w:rPr>
              <w:t>-</w:t>
            </w:r>
            <w:r w:rsidRPr="00CD1CFF">
              <w:rPr>
                <w:rFonts w:cs="Arial"/>
              </w:rPr>
              <w:t>site locations</w:t>
            </w:r>
          </w:p>
        </w:tc>
        <w:tc>
          <w:tcPr>
            <w:tcW w:w="1080" w:type="dxa"/>
            <w:vAlign w:val="center"/>
          </w:tcPr>
          <w:p w:rsidR="00A64CE8" w:rsidRPr="00CD1CFF" w:rsidP="00CD1CFF" w14:paraId="7E783831" w14:textId="77777777">
            <w:pPr>
              <w:spacing w:after="200" w:line="276" w:lineRule="auto"/>
              <w:jc w:val="center"/>
              <w:rPr>
                <w:rFonts w:cs="Arial"/>
              </w:rPr>
            </w:pPr>
            <w:r w:rsidRPr="00CD1CFF">
              <w:rPr>
                <w:rFonts w:cs="Arial"/>
              </w:rPr>
              <w:t>√</w:t>
            </w:r>
          </w:p>
        </w:tc>
        <w:tc>
          <w:tcPr>
            <w:tcW w:w="1080" w:type="dxa"/>
            <w:vAlign w:val="center"/>
          </w:tcPr>
          <w:p w:rsidR="00A64CE8" w:rsidRPr="0028374B" w:rsidP="00CD1CFF" w14:paraId="65109B3F" w14:textId="77777777">
            <w:pPr>
              <w:spacing w:after="200" w:line="276" w:lineRule="auto"/>
              <w:jc w:val="center"/>
              <w:rPr>
                <w:rFonts w:cs="Arial"/>
              </w:rPr>
            </w:pPr>
          </w:p>
        </w:tc>
      </w:tr>
      <w:tr w14:paraId="4758EB96" w14:textId="77777777" w:rsidTr="008F38FD">
        <w:tblPrEx>
          <w:tblW w:w="9753" w:type="dxa"/>
          <w:jc w:val="center"/>
          <w:tblLook w:val="01E0"/>
        </w:tblPrEx>
        <w:trPr>
          <w:trHeight w:val="54"/>
          <w:jc w:val="center"/>
        </w:trPr>
        <w:tc>
          <w:tcPr>
            <w:tcW w:w="7593" w:type="dxa"/>
          </w:tcPr>
          <w:p w:rsidR="00A64CE8" w:rsidRPr="00CD1CFF" w:rsidP="00CD1CFF" w14:paraId="0573A6B1" w14:textId="77777777">
            <w:pPr>
              <w:spacing w:after="200" w:line="276" w:lineRule="auto"/>
              <w:rPr>
                <w:rFonts w:cs="Arial"/>
              </w:rPr>
            </w:pPr>
            <w:r w:rsidRPr="00CD1CFF">
              <w:rPr>
                <w:rFonts w:cs="Arial"/>
              </w:rPr>
              <w:t>Description of on</w:t>
            </w:r>
            <w:r w:rsidRPr="00CD1CFF" w:rsidR="00BB5A26">
              <w:rPr>
                <w:rFonts w:cs="Arial"/>
              </w:rPr>
              <w:t>-</w:t>
            </w:r>
            <w:r w:rsidRPr="00CD1CFF">
              <w:rPr>
                <w:rFonts w:cs="Arial"/>
              </w:rPr>
              <w:t>site waste treatment, energy recovery, and recycling processes</w:t>
            </w:r>
          </w:p>
        </w:tc>
        <w:tc>
          <w:tcPr>
            <w:tcW w:w="1080" w:type="dxa"/>
            <w:vAlign w:val="center"/>
          </w:tcPr>
          <w:p w:rsidR="00A64CE8" w:rsidRPr="00CD1CFF" w:rsidP="00CD1CFF" w14:paraId="40CE7F3C" w14:textId="77777777">
            <w:pPr>
              <w:spacing w:after="200" w:line="276" w:lineRule="auto"/>
              <w:jc w:val="center"/>
              <w:rPr>
                <w:rFonts w:cs="Arial"/>
              </w:rPr>
            </w:pPr>
            <w:r w:rsidRPr="00CD1CFF">
              <w:rPr>
                <w:rFonts w:cs="Arial"/>
              </w:rPr>
              <w:t>√</w:t>
            </w:r>
          </w:p>
        </w:tc>
        <w:tc>
          <w:tcPr>
            <w:tcW w:w="1080" w:type="dxa"/>
            <w:vAlign w:val="center"/>
          </w:tcPr>
          <w:p w:rsidR="00A64CE8" w:rsidRPr="0028374B" w:rsidP="00CD1CFF" w14:paraId="4CF3FDB5" w14:textId="77777777">
            <w:pPr>
              <w:spacing w:after="200" w:line="276" w:lineRule="auto"/>
              <w:jc w:val="center"/>
              <w:rPr>
                <w:rFonts w:cs="Arial"/>
              </w:rPr>
            </w:pPr>
          </w:p>
        </w:tc>
      </w:tr>
      <w:tr w14:paraId="1D756913" w14:textId="77777777" w:rsidTr="008F38FD">
        <w:tblPrEx>
          <w:tblW w:w="9753" w:type="dxa"/>
          <w:jc w:val="center"/>
          <w:tblLook w:val="01E0"/>
        </w:tblPrEx>
        <w:trPr>
          <w:trHeight w:val="54"/>
          <w:jc w:val="center"/>
        </w:trPr>
        <w:tc>
          <w:tcPr>
            <w:tcW w:w="7593" w:type="dxa"/>
          </w:tcPr>
          <w:p w:rsidR="00A64CE8" w:rsidRPr="00CD1CFF" w:rsidP="00CD1CFF" w14:paraId="3952A35F" w14:textId="77777777">
            <w:pPr>
              <w:spacing w:after="200" w:line="276" w:lineRule="auto"/>
              <w:rPr>
                <w:rFonts w:cs="Arial"/>
              </w:rPr>
            </w:pPr>
            <w:r w:rsidRPr="00CD1CFF">
              <w:rPr>
                <w:rFonts w:cs="Arial"/>
              </w:rPr>
              <w:t xml:space="preserve">Accounting of other disposal, source reduction and recycling </w:t>
            </w:r>
            <w:r w:rsidRPr="00CD1CFF">
              <w:rPr>
                <w:rFonts w:cs="Arial"/>
              </w:rPr>
              <w:t>activities</w:t>
            </w:r>
          </w:p>
        </w:tc>
        <w:tc>
          <w:tcPr>
            <w:tcW w:w="1080" w:type="dxa"/>
            <w:vAlign w:val="center"/>
          </w:tcPr>
          <w:p w:rsidR="00A64CE8" w:rsidRPr="00CD1CFF" w:rsidP="00CD1CFF" w14:paraId="32525119" w14:textId="77777777">
            <w:pPr>
              <w:spacing w:after="200" w:line="276" w:lineRule="auto"/>
              <w:jc w:val="center"/>
              <w:rPr>
                <w:rFonts w:cs="Arial"/>
              </w:rPr>
            </w:pPr>
            <w:r w:rsidRPr="00CD1CFF">
              <w:rPr>
                <w:rFonts w:cs="Arial"/>
              </w:rPr>
              <w:t>√</w:t>
            </w:r>
          </w:p>
        </w:tc>
        <w:tc>
          <w:tcPr>
            <w:tcW w:w="1080" w:type="dxa"/>
            <w:vAlign w:val="center"/>
          </w:tcPr>
          <w:p w:rsidR="00A64CE8" w:rsidRPr="0028374B" w:rsidP="00CD1CFF" w14:paraId="1AFE00E7" w14:textId="77777777">
            <w:pPr>
              <w:spacing w:after="200" w:line="276" w:lineRule="auto"/>
              <w:jc w:val="center"/>
              <w:rPr>
                <w:rFonts w:cs="Arial"/>
              </w:rPr>
            </w:pPr>
          </w:p>
        </w:tc>
      </w:tr>
      <w:tr w14:paraId="66853DC1" w14:textId="77777777" w:rsidTr="008F38FD">
        <w:tblPrEx>
          <w:tblW w:w="9753" w:type="dxa"/>
          <w:jc w:val="center"/>
          <w:tblLook w:val="01E0"/>
        </w:tblPrEx>
        <w:trPr>
          <w:trHeight w:val="54"/>
          <w:jc w:val="center"/>
        </w:trPr>
        <w:tc>
          <w:tcPr>
            <w:tcW w:w="7593" w:type="dxa"/>
            <w:tcBorders>
              <w:bottom w:val="double" w:sz="4" w:space="0" w:color="auto"/>
            </w:tcBorders>
          </w:tcPr>
          <w:p w:rsidR="00A64CE8" w:rsidRPr="00CD1CFF" w:rsidP="00CD1CFF" w14:paraId="3C4CB87F" w14:textId="77777777">
            <w:pPr>
              <w:spacing w:after="200" w:line="276" w:lineRule="auto"/>
              <w:rPr>
                <w:rFonts w:cs="Arial"/>
              </w:rPr>
            </w:pPr>
            <w:r w:rsidRPr="00CD1CFF">
              <w:rPr>
                <w:rFonts w:cs="Arial"/>
              </w:rPr>
              <w:t>Additional optional information on source reduction, recycling and pollution control activities</w:t>
            </w:r>
          </w:p>
        </w:tc>
        <w:tc>
          <w:tcPr>
            <w:tcW w:w="1080" w:type="dxa"/>
            <w:tcBorders>
              <w:bottom w:val="double" w:sz="4" w:space="0" w:color="auto"/>
            </w:tcBorders>
            <w:vAlign w:val="center"/>
          </w:tcPr>
          <w:p w:rsidR="00A64CE8" w:rsidRPr="00CD1CFF" w:rsidP="00CD1CFF" w14:paraId="664EBB9F" w14:textId="77777777">
            <w:pPr>
              <w:spacing w:after="200" w:line="276" w:lineRule="auto"/>
              <w:jc w:val="center"/>
              <w:rPr>
                <w:rFonts w:cs="Arial"/>
              </w:rPr>
            </w:pPr>
            <w:r w:rsidRPr="00CD1CFF">
              <w:rPr>
                <w:rFonts w:cs="Arial"/>
              </w:rPr>
              <w:t>√</w:t>
            </w:r>
          </w:p>
        </w:tc>
        <w:tc>
          <w:tcPr>
            <w:tcW w:w="1080" w:type="dxa"/>
            <w:tcBorders>
              <w:bottom w:val="double" w:sz="4" w:space="0" w:color="auto"/>
            </w:tcBorders>
            <w:vAlign w:val="center"/>
          </w:tcPr>
          <w:p w:rsidR="00A64CE8" w:rsidRPr="0028374B" w:rsidP="00CD1CFF" w14:paraId="7580BAA5" w14:textId="77777777">
            <w:pPr>
              <w:spacing w:after="200" w:line="276" w:lineRule="auto"/>
              <w:jc w:val="center"/>
              <w:rPr>
                <w:rFonts w:cs="Arial"/>
              </w:rPr>
            </w:pPr>
          </w:p>
        </w:tc>
      </w:tr>
    </w:tbl>
    <w:p w:rsidR="00743940" w:rsidRPr="00CD1CFF" w:rsidP="00CD1CFF" w14:paraId="209F1205" w14:textId="77777777">
      <w:pPr>
        <w:spacing w:after="200" w:line="276" w:lineRule="auto"/>
        <w:ind w:right="144"/>
        <w:rPr>
          <w:rFonts w:cs="Arial"/>
          <w:b/>
          <w:bCs/>
        </w:rPr>
      </w:pPr>
    </w:p>
    <w:p w:rsidR="000600E1" w:rsidRPr="00246FA0" w:rsidP="00246FA0" w14:paraId="11831BCB" w14:textId="77777777">
      <w:pPr>
        <w:pStyle w:val="Heading1"/>
        <w:spacing w:before="100" w:beforeAutospacing="1" w:after="200" w:line="276" w:lineRule="auto"/>
        <w:rPr>
          <w:rFonts w:cs="Arial"/>
        </w:rPr>
      </w:pPr>
      <w:r w:rsidRPr="00CD1CFF">
        <w:rPr>
          <w:rFonts w:cs="Arial"/>
        </w:rPr>
        <w:t xml:space="preserve">2. Indicate how, by whom, and for what purpose the information is to be used. Except for a new collection, indicate the actual use the </w:t>
      </w:r>
      <w:r w:rsidRPr="00CD1CFF">
        <w:rPr>
          <w:rFonts w:cs="Arial"/>
        </w:rPr>
        <w:t>agency has made of the information received from the current collection.</w:t>
      </w:r>
    </w:p>
    <w:p w:rsidR="004A750B" w:rsidRPr="00CD1CFF" w:rsidP="00246FA0" w14:paraId="6DCDE348" w14:textId="77777777">
      <w:pPr>
        <w:spacing w:after="200" w:line="276" w:lineRule="auto"/>
        <w:rPr>
          <w:rFonts w:cs="Arial"/>
        </w:rPr>
      </w:pPr>
      <w:r w:rsidRPr="00CD1CFF">
        <w:rPr>
          <w:rFonts w:cs="Arial"/>
        </w:rPr>
        <w:t>The overall goal of the T</w:t>
      </w:r>
      <w:r w:rsidRPr="00CD1CFF" w:rsidR="004202F5">
        <w:rPr>
          <w:rFonts w:cs="Arial"/>
        </w:rPr>
        <w:t>RI</w:t>
      </w:r>
      <w:r w:rsidRPr="00CD1CFF">
        <w:rPr>
          <w:rFonts w:cs="Arial"/>
        </w:rPr>
        <w:t xml:space="preserve"> Program is to provide communities with information about toxic chemical releases and other waste management activities and to support informed decision mak</w:t>
      </w:r>
      <w:r w:rsidRPr="00CD1CFF">
        <w:rPr>
          <w:rFonts w:cs="Arial"/>
        </w:rPr>
        <w:t>ing by industry, government, non-governmental organizations, and the public.</w:t>
      </w:r>
      <w:r>
        <w:rPr>
          <w:rStyle w:val="FootnoteReference"/>
          <w:rFonts w:cs="Arial"/>
        </w:rPr>
        <w:footnoteReference w:id="6"/>
      </w:r>
      <w:r w:rsidRPr="00CD1CFF">
        <w:rPr>
          <w:rFonts w:cs="Arial"/>
        </w:rPr>
        <w:t xml:space="preserve"> The Program’s success is due, in large part, to the right-to-know provisions contained in the legislation. By requiring that the resulting data be made publicly available "by el</w:t>
      </w:r>
      <w:r w:rsidRPr="00CD1CFF">
        <w:rPr>
          <w:rFonts w:cs="Arial"/>
        </w:rPr>
        <w:t>ectronic and other means," Congress ensured that the general public, the media, environmental advocates, researchers, the business community, and others could evaluate and influence industry's efforts to manage toxic emissions. Consequently, EPA makes avai</w:t>
      </w:r>
      <w:r w:rsidRPr="00CD1CFF">
        <w:rPr>
          <w:rFonts w:cs="Arial"/>
        </w:rPr>
        <w:t xml:space="preserve">lable data collected under EPCRA </w:t>
      </w:r>
      <w:r w:rsidRPr="00CD1CFF" w:rsidR="00EB7860">
        <w:rPr>
          <w:rFonts w:cs="Arial"/>
        </w:rPr>
        <w:t xml:space="preserve">section </w:t>
      </w:r>
      <w:r w:rsidRPr="00CD1CFF">
        <w:rPr>
          <w:rFonts w:cs="Arial"/>
        </w:rPr>
        <w:t xml:space="preserve">313 and PPA </w:t>
      </w:r>
      <w:r w:rsidRPr="00CD1CFF" w:rsidR="00EB7860">
        <w:rPr>
          <w:rFonts w:cs="Arial"/>
        </w:rPr>
        <w:t xml:space="preserve">section </w:t>
      </w:r>
      <w:r w:rsidRPr="00CD1CFF">
        <w:rPr>
          <w:rFonts w:cs="Arial"/>
        </w:rPr>
        <w:t>6607 through access tools such as EPA's Envirofacts, TRI Explorer</w:t>
      </w:r>
      <w:r w:rsidRPr="00CD1CFF" w:rsidR="00402C1F">
        <w:rPr>
          <w:rFonts w:cs="Arial"/>
        </w:rPr>
        <w:t xml:space="preserve">, </w:t>
      </w:r>
      <w:r w:rsidRPr="00CD1CFF" w:rsidR="00A71BFA">
        <w:rPr>
          <w:rFonts w:cs="Arial"/>
        </w:rPr>
        <w:t>and TRI SEARCH</w:t>
      </w:r>
      <w:r w:rsidRPr="00CD1CFF" w:rsidR="00EB7860">
        <w:rPr>
          <w:rFonts w:cs="Arial"/>
        </w:rPr>
        <w:t>.</w:t>
      </w:r>
    </w:p>
    <w:p w:rsidR="004A750B" w:rsidRPr="00CD1CFF" w:rsidP="00CD1CFF" w14:paraId="0E952544" w14:textId="77777777">
      <w:pPr>
        <w:spacing w:after="200" w:line="276" w:lineRule="auto"/>
        <w:rPr>
          <w:rFonts w:cs="Arial"/>
        </w:rPr>
      </w:pPr>
      <w:r w:rsidRPr="00CD1CFF">
        <w:rPr>
          <w:rFonts w:cs="Arial"/>
        </w:rPr>
        <w:t xml:space="preserve">The TRI Program now provides the TRI Preliminary Dataset within weeks after the annual July 1 TRI reporting deadline. The release consists of downloadable files on the TRI </w:t>
      </w:r>
      <w:r w:rsidRPr="00CD1CFF" w:rsidR="00082560">
        <w:rPr>
          <w:rFonts w:cs="Arial"/>
        </w:rPr>
        <w:t>w</w:t>
      </w:r>
      <w:r w:rsidRPr="00CD1CFF">
        <w:rPr>
          <w:rFonts w:cs="Arial"/>
        </w:rPr>
        <w:t>ebsite (also accessible through Data.gov), as well as updated online data access to</w:t>
      </w:r>
      <w:r w:rsidRPr="00CD1CFF">
        <w:rPr>
          <w:rFonts w:cs="Arial"/>
        </w:rPr>
        <w:t xml:space="preserve">ols </w:t>
      </w:r>
      <w:r w:rsidRPr="00CD1CFF" w:rsidR="00EB7860">
        <w:rPr>
          <w:rFonts w:cs="Arial"/>
        </w:rPr>
        <w:t>(Envirofacts and TRI Explorer).</w:t>
      </w:r>
    </w:p>
    <w:p w:rsidR="00743940" w:rsidRPr="00CD1CFF" w:rsidP="00CD1CFF" w14:paraId="0AC34898" w14:textId="77777777">
      <w:pPr>
        <w:spacing w:after="200" w:line="276" w:lineRule="auto"/>
        <w:rPr>
          <w:rFonts w:cs="Arial"/>
        </w:rPr>
      </w:pPr>
      <w:r w:rsidRPr="00CD1CFF">
        <w:rPr>
          <w:rFonts w:cs="Arial"/>
        </w:rPr>
        <w:t xml:space="preserve">The EPA generally makes available the annual TRI National Analysis and the final dataset used for that analysis within </w:t>
      </w:r>
      <w:r w:rsidRPr="00CD1CFF" w:rsidR="002274BB">
        <w:rPr>
          <w:rFonts w:cs="Arial"/>
        </w:rPr>
        <w:t>seven</w:t>
      </w:r>
      <w:r w:rsidRPr="00CD1CFF">
        <w:rPr>
          <w:rFonts w:cs="Arial"/>
        </w:rPr>
        <w:t xml:space="preserve"> months after the reporting deadline. In addition to providing information to the public via ele</w:t>
      </w:r>
      <w:r w:rsidRPr="00CD1CFF">
        <w:rPr>
          <w:rFonts w:cs="Arial"/>
        </w:rPr>
        <w:t>ctronic means, EPA also conducts outreach activities to make key groups and the public aware of TRI. Libraries in communities all across the United States (in particular, members of the Federal Depository Library Program) provide public access to TRI data</w:t>
      </w:r>
      <w:r w:rsidRPr="00CD1CFF" w:rsidR="00560D2F">
        <w:rPr>
          <w:rFonts w:cs="Arial"/>
        </w:rPr>
        <w:t xml:space="preserve">. </w:t>
      </w:r>
      <w:r w:rsidRPr="00CD1CFF">
        <w:rPr>
          <w:rFonts w:cs="Arial"/>
        </w:rPr>
        <w:t>Environmental agencies, industry, and the public use TRI data</w:t>
      </w:r>
      <w:r w:rsidRPr="00CD1CFF" w:rsidR="00560D2F">
        <w:rPr>
          <w:rFonts w:cs="Arial"/>
        </w:rPr>
        <w:t xml:space="preserve">. </w:t>
      </w:r>
      <w:r w:rsidRPr="00CD1CFF">
        <w:rPr>
          <w:rFonts w:cs="Arial"/>
        </w:rPr>
        <w:t>EPA program offices use TRI data, along with other data, to help establish programmatic priorities, evaluate potential hazards to human health and the natural environment, and undertake approp</w:t>
      </w:r>
      <w:r w:rsidRPr="00CD1CFF">
        <w:rPr>
          <w:rFonts w:cs="Arial"/>
        </w:rPr>
        <w:t>riate regulatory and/or enforcement activities. Environmental and public interest groups use the data to better understand toxic chemical releases at the community level and to work with industry, government agencies, and others to promote reductions in to</w:t>
      </w:r>
      <w:r w:rsidRPr="00CD1CFF">
        <w:rPr>
          <w:rFonts w:cs="Arial"/>
        </w:rPr>
        <w:t>xic chemical releases. Industrial facilities use the TRI data to evaluate the efficiency of their production processes and to help track and communicate their progress in achieving pollution prevention goals. States use the TRI data to compare toxic chemic</w:t>
      </w:r>
      <w:r w:rsidRPr="00CD1CFF">
        <w:rPr>
          <w:rFonts w:cs="Arial"/>
        </w:rPr>
        <w:t>al releases and other waste management approaches within specific industries and to set environmental priorities at the state level</w:t>
      </w:r>
      <w:r w:rsidRPr="00CD1CFF" w:rsidR="00560D2F">
        <w:rPr>
          <w:rFonts w:cs="Arial"/>
        </w:rPr>
        <w:t xml:space="preserve">. </w:t>
      </w:r>
      <w:r w:rsidRPr="00CD1CFF">
        <w:rPr>
          <w:rFonts w:cs="Arial"/>
        </w:rPr>
        <w:t xml:space="preserve">See EPA’s </w:t>
      </w:r>
      <w:r w:rsidRPr="00CD1CFF">
        <w:rPr>
          <w:rFonts w:cs="Arial"/>
          <w:i/>
        </w:rPr>
        <w:t>The Toxics Release Inventory in Action: Media, Government, Business, Community and Academic Uses of TRI Data</w:t>
      </w:r>
      <w:r w:rsidRPr="00CD1CFF" w:rsidR="00A64CE8">
        <w:rPr>
          <w:rFonts w:cs="Arial"/>
        </w:rPr>
        <w:t xml:space="preserve"> for more detailed descriptions of how these organizations use TRI data.</w:t>
      </w:r>
      <w:r>
        <w:rPr>
          <w:rStyle w:val="FootnoteReference"/>
          <w:rFonts w:cs="Arial"/>
        </w:rPr>
        <w:footnoteReference w:id="7"/>
      </w:r>
      <w:r w:rsidRPr="00CD1CFF" w:rsidR="00A64CE8">
        <w:rPr>
          <w:rFonts w:cs="Arial"/>
        </w:rPr>
        <w:t xml:space="preserve"> </w:t>
      </w:r>
      <w:r w:rsidRPr="00CD1CFF" w:rsidR="00A64CE8">
        <w:rPr>
          <w:rFonts w:cs="Arial"/>
          <w:spacing w:val="-2"/>
        </w:rPr>
        <w:t xml:space="preserve">EPA encourages TRI data users </w:t>
      </w:r>
      <w:r w:rsidRPr="00CD1CFF" w:rsidR="00A64CE8">
        <w:rPr>
          <w:rFonts w:cs="Arial"/>
        </w:rPr>
        <w:t>to provide feedback on ways to imp</w:t>
      </w:r>
      <w:r w:rsidRPr="00CD1CFF" w:rsidR="0078453A">
        <w:rPr>
          <w:rFonts w:cs="Arial"/>
        </w:rPr>
        <w:t>rove TRI products and services.</w:t>
      </w:r>
    </w:p>
    <w:p w:rsidR="0078453A" w:rsidRPr="00CD1CFF" w:rsidP="00CD1CFF" w14:paraId="00C4AD1D" w14:textId="77777777">
      <w:pPr>
        <w:pStyle w:val="Heading1"/>
        <w:spacing w:before="0" w:after="200" w:line="276" w:lineRule="auto"/>
        <w:rPr>
          <w:rFonts w:cs="Arial"/>
          <w:b w:val="0"/>
        </w:rPr>
      </w:pPr>
      <w:r w:rsidRPr="00CD1CFF">
        <w:rPr>
          <w:rFonts w:cs="Arial"/>
        </w:rPr>
        <w:t>3. Describe whether, and to what extent, the collection of information involves the use of</w:t>
      </w:r>
      <w:r w:rsidRPr="00CD1CFF">
        <w:rPr>
          <w:rFonts w:cs="Arial"/>
        </w:rPr>
        <w:t xml:space="preserve"> automated, electronic, mechanical, or other technological collection techniques or other forms of information technology, e.g., permitting electronic submission of responses, and the basis for the decision for adopting this means of collection. Also descr</w:t>
      </w:r>
      <w:r w:rsidRPr="00CD1CFF">
        <w:rPr>
          <w:rFonts w:cs="Arial"/>
        </w:rPr>
        <w:t>ibe any consideration of using information technology to reduce burden.</w:t>
      </w:r>
    </w:p>
    <w:p w:rsidR="009147D7" w:rsidRPr="00CD1CFF" w:rsidP="00CD1CFF" w14:paraId="1431E65D" w14:textId="77777777">
      <w:pPr>
        <w:spacing w:after="200" w:line="276" w:lineRule="auto"/>
        <w:ind w:right="216"/>
        <w:rPr>
          <w:rFonts w:cs="Arial"/>
        </w:rPr>
      </w:pPr>
      <w:r w:rsidRPr="00CD1CFF">
        <w:rPr>
          <w:rFonts w:cs="Arial"/>
        </w:rPr>
        <w:t>Effective January 21, 2014, EPA requires the electronic submission of TRI Form R/Form A through the Internet via EPA’s Central Data Exchange (CDX) by using the Toxics Release Inventory</w:t>
      </w:r>
      <w:r w:rsidRPr="00CD1CFF">
        <w:rPr>
          <w:rFonts w:cs="Arial"/>
        </w:rPr>
        <w:t xml:space="preserve"> Made Easy Web (TRI-MEweb) reporting software (except for trade secret reports, which must be submitted on hard copy). TRI-MEweb helps facilities prepare high-quality reports more easily than they could by using paper reporting forms due to a number of tec</w:t>
      </w:r>
      <w:r w:rsidRPr="00CD1CFF">
        <w:rPr>
          <w:rFonts w:cs="Arial"/>
        </w:rPr>
        <w:t>hnology advances, including built-in data quality checks.</w:t>
      </w:r>
    </w:p>
    <w:p w:rsidR="000600E1" w:rsidRPr="00CD1CFF" w:rsidP="00CD1CFF" w14:paraId="595F336F" w14:textId="77777777">
      <w:pPr>
        <w:pStyle w:val="Heading1"/>
        <w:spacing w:before="0" w:after="200" w:line="276" w:lineRule="auto"/>
        <w:rPr>
          <w:rFonts w:cs="Arial"/>
          <w:b w:val="0"/>
        </w:rPr>
      </w:pPr>
      <w:r w:rsidRPr="00CD1CFF">
        <w:rPr>
          <w:rFonts w:cs="Arial"/>
        </w:rPr>
        <w:t>4. Describe efforts to identify duplication. Show specifically why any similar information already available cannot be used or modified for use for the purposes described in Item 2 above.</w:t>
      </w:r>
    </w:p>
    <w:p w:rsidR="00A64CE8" w:rsidRPr="00CD1CFF" w:rsidP="00CD1CFF" w14:paraId="344510C4" w14:textId="77777777">
      <w:pPr>
        <w:spacing w:after="200" w:line="276" w:lineRule="auto"/>
        <w:rPr>
          <w:rFonts w:cs="Arial"/>
        </w:rPr>
      </w:pPr>
      <w:r w:rsidRPr="00CD1CFF">
        <w:rPr>
          <w:rFonts w:cs="Arial"/>
        </w:rPr>
        <w:t>The basic information requested on Form R/Form A is required to be reported by law. Other statutes, however, also necessitate the reporting of information about releases of chemicals to the environment, as well as transfers, treatment, and source reduction</w:t>
      </w:r>
      <w:r w:rsidRPr="00CD1CFF">
        <w:rPr>
          <w:rFonts w:cs="Arial"/>
        </w:rPr>
        <w:t xml:space="preserve"> and recycling activities, creating the possibility of overlap or duplication of reporting requirements. EPA anticipates some overlap and notes that section 313(g)(2) of EPCRA specifies that respondents may use readily available data collected pursuant to </w:t>
      </w:r>
      <w:r w:rsidRPr="00CD1CFF">
        <w:rPr>
          <w:rFonts w:cs="Arial"/>
        </w:rPr>
        <w:t xml:space="preserve">other provisions of law to complete the EPCRA </w:t>
      </w:r>
      <w:r w:rsidRPr="00CD1CFF" w:rsidR="00D90795">
        <w:rPr>
          <w:rFonts w:cs="Arial"/>
        </w:rPr>
        <w:t>section</w:t>
      </w:r>
      <w:r w:rsidRPr="00CD1CFF" w:rsidR="00DF0651">
        <w:rPr>
          <w:rFonts w:cs="Arial"/>
        </w:rPr>
        <w:t xml:space="preserve"> </w:t>
      </w:r>
      <w:r w:rsidRPr="00CD1CFF">
        <w:rPr>
          <w:rFonts w:cs="Arial"/>
        </w:rPr>
        <w:t xml:space="preserve">313 reports. Information required by these other statutes </w:t>
      </w:r>
      <w:r w:rsidRPr="00CD1CFF" w:rsidR="00945679">
        <w:rPr>
          <w:rFonts w:cs="Arial"/>
        </w:rPr>
        <w:t xml:space="preserve">might </w:t>
      </w:r>
      <w:r w:rsidRPr="00CD1CFF">
        <w:rPr>
          <w:rFonts w:cs="Arial"/>
        </w:rPr>
        <w:t xml:space="preserve">not provide readily </w:t>
      </w:r>
      <w:r w:rsidRPr="00CD1CFF">
        <w:rPr>
          <w:rFonts w:cs="Arial"/>
          <w:spacing w:val="-2"/>
        </w:rPr>
        <w:t>accessible multi-media release and transfer, inventory, or pollution prevention data with the same scope, level of</w:t>
      </w:r>
      <w:r w:rsidRPr="00CD1CFF">
        <w:rPr>
          <w:rFonts w:cs="Arial"/>
        </w:rPr>
        <w:t xml:space="preserve"> detail, chemical coverage, and frequency of collection as data currently included in TRI.</w:t>
      </w:r>
      <w:r w:rsidR="00145110">
        <w:rPr>
          <w:rFonts w:cs="Arial"/>
        </w:rPr>
        <w:t xml:space="preserve"> A</w:t>
      </w:r>
      <w:r w:rsidRPr="00145110" w:rsidR="00145110">
        <w:rPr>
          <w:rFonts w:cs="Arial"/>
        </w:rPr>
        <w:t>ny overlap is highly unlikely for this particular rule since none of the other statutory reporting requirements would apply to PFAS and that the other substances impacted by the rule are chemicals of special concern for which information already has to be reported (since this rule only requires new notice requirements for those chemicals).</w:t>
      </w:r>
    </w:p>
    <w:p w:rsidR="00A64CE8" w:rsidRPr="00CD1CFF" w:rsidP="00CD1CFF" w14:paraId="58A0EC7E" w14:textId="77777777">
      <w:pPr>
        <w:spacing w:after="200" w:line="276" w:lineRule="auto"/>
        <w:rPr>
          <w:rFonts w:cs="Arial"/>
        </w:rPr>
      </w:pPr>
      <w:r w:rsidRPr="00CD1CFF">
        <w:rPr>
          <w:rFonts w:cs="Arial"/>
          <w:spacing w:val="-2"/>
        </w:rPr>
        <w:t>S</w:t>
      </w:r>
      <w:r w:rsidRPr="00CD1CFF">
        <w:rPr>
          <w:rFonts w:cs="Arial"/>
        </w:rPr>
        <w:t>everal existing data sources contain media-specific data on releases and tran</w:t>
      </w:r>
      <w:r w:rsidRPr="00CD1CFF">
        <w:rPr>
          <w:rFonts w:cs="Arial"/>
        </w:rPr>
        <w:t>sfers, chemical inventory data, or pollution prevention information. In theory, information from these databases could be combined to form an analog of release and transfer data contained in TRI. However, given the currently available data sources (see Tab</w:t>
      </w:r>
      <w:r w:rsidRPr="00CD1CFF">
        <w:rPr>
          <w:rFonts w:cs="Arial"/>
        </w:rPr>
        <w:t xml:space="preserve">le 2 and Appendix </w:t>
      </w:r>
      <w:r w:rsidRPr="00CD1CFF" w:rsidR="00EF7BF8">
        <w:rPr>
          <w:rFonts w:cs="Arial"/>
        </w:rPr>
        <w:t>A</w:t>
      </w:r>
      <w:r w:rsidRPr="00CD1CFF">
        <w:rPr>
          <w:rFonts w:cs="Arial"/>
        </w:rPr>
        <w:t>), this substitution is extremely unlikely. For example, differences exist across the databases in chemical coverage and facility coverage, as well as differences in the level of public access, reporting frequency, and the integration of</w:t>
      </w:r>
      <w:r w:rsidRPr="00CD1CFF">
        <w:rPr>
          <w:rFonts w:cs="Arial"/>
        </w:rPr>
        <w:t xml:space="preserve"> data from various sources at the facility level. TRI contains information on releases, transfers, and other waste management </w:t>
      </w:r>
      <w:r w:rsidRPr="00CD1CFF">
        <w:rPr>
          <w:rFonts w:cs="Arial"/>
          <w:spacing w:val="-2"/>
        </w:rPr>
        <w:t xml:space="preserve">activities for </w:t>
      </w:r>
      <w:r w:rsidRPr="00CD1CFF" w:rsidR="00352780">
        <w:rPr>
          <w:rFonts w:cs="Arial"/>
          <w:spacing w:val="-2"/>
        </w:rPr>
        <w:t>7</w:t>
      </w:r>
      <w:r w:rsidRPr="00CD1CFF" w:rsidR="00BD73FA">
        <w:rPr>
          <w:rFonts w:cs="Arial"/>
          <w:spacing w:val="-2"/>
        </w:rPr>
        <w:t>7</w:t>
      </w:r>
      <w:r w:rsidR="00DE1407">
        <w:rPr>
          <w:rFonts w:cs="Arial"/>
          <w:spacing w:val="-2"/>
        </w:rPr>
        <w:t>5</w:t>
      </w:r>
      <w:r w:rsidRPr="00CD1CFF" w:rsidR="00352780">
        <w:rPr>
          <w:rFonts w:cs="Arial"/>
          <w:spacing w:val="-2"/>
        </w:rPr>
        <w:t xml:space="preserve"> </w:t>
      </w:r>
      <w:r w:rsidRPr="00CD1CFF">
        <w:rPr>
          <w:rFonts w:cs="Arial"/>
          <w:spacing w:val="-2"/>
        </w:rPr>
        <w:t xml:space="preserve">individually listed chemicals </w:t>
      </w:r>
      <w:r w:rsidR="00DE1407">
        <w:rPr>
          <w:rFonts w:cs="Arial"/>
          <w:spacing w:val="-2"/>
        </w:rPr>
        <w:t>(of which 18</w:t>
      </w:r>
      <w:r w:rsidR="000E49BF">
        <w:rPr>
          <w:rFonts w:cs="Arial"/>
          <w:spacing w:val="-2"/>
        </w:rPr>
        <w:t>9</w:t>
      </w:r>
      <w:r w:rsidR="00DE1407">
        <w:rPr>
          <w:rFonts w:cs="Arial"/>
          <w:spacing w:val="-2"/>
        </w:rPr>
        <w:t xml:space="preserve"> are PFAS) </w:t>
      </w:r>
      <w:r w:rsidRPr="00CD1CFF">
        <w:rPr>
          <w:rFonts w:cs="Arial"/>
          <w:spacing w:val="-2"/>
        </w:rPr>
        <w:t xml:space="preserve">and </w:t>
      </w:r>
      <w:r w:rsidRPr="00CD1CFF" w:rsidR="00352780">
        <w:rPr>
          <w:rFonts w:cs="Arial"/>
          <w:spacing w:val="-2"/>
        </w:rPr>
        <w:t xml:space="preserve">33 </w:t>
      </w:r>
      <w:r w:rsidRPr="00CD1CFF">
        <w:rPr>
          <w:rFonts w:cs="Arial"/>
          <w:spacing w:val="-2"/>
        </w:rPr>
        <w:t>chemical categories</w:t>
      </w:r>
      <w:r w:rsidRPr="00CD1CFF" w:rsidR="00352780">
        <w:rPr>
          <w:rFonts w:cs="Arial"/>
          <w:spacing w:val="-2"/>
        </w:rPr>
        <w:t>.</w:t>
      </w:r>
      <w:r w:rsidRPr="00CD1CFF">
        <w:rPr>
          <w:rFonts w:cs="Arial"/>
          <w:spacing w:val="-2"/>
        </w:rPr>
        <w:t xml:space="preserve"> </w:t>
      </w:r>
      <w:r w:rsidRPr="00CD1CFF">
        <w:rPr>
          <w:rFonts w:cs="Arial"/>
        </w:rPr>
        <w:t>The following sections descri</w:t>
      </w:r>
      <w:r w:rsidRPr="00CD1CFF">
        <w:rPr>
          <w:rFonts w:cs="Arial"/>
        </w:rPr>
        <w:t>be other sources of chemical releases and transfers, chemical inventory, and pollution prevention data and compare these sources with TRI.</w:t>
      </w:r>
    </w:p>
    <w:p w:rsidR="00A64CE8" w:rsidRPr="00CD1CFF" w:rsidP="00CD1CFF" w14:paraId="309D8DF1" w14:textId="77777777">
      <w:pPr>
        <w:spacing w:after="200" w:line="276" w:lineRule="auto"/>
        <w:rPr>
          <w:rFonts w:cs="Arial"/>
          <w:b/>
        </w:rPr>
      </w:pPr>
      <w:r w:rsidRPr="00CD1CFF">
        <w:rPr>
          <w:rFonts w:cs="Arial"/>
          <w:b/>
        </w:rPr>
        <w:t>Chemical Release and Transfer Data</w:t>
      </w:r>
    </w:p>
    <w:p w:rsidR="00A64CE8" w:rsidRPr="00CD1CFF" w:rsidP="00CD1CFF" w14:paraId="275B2D2B" w14:textId="77777777">
      <w:pPr>
        <w:spacing w:after="200" w:line="276" w:lineRule="auto"/>
        <w:rPr>
          <w:rFonts w:cs="Arial"/>
          <w:bCs/>
        </w:rPr>
      </w:pPr>
      <w:r w:rsidRPr="00CD1CFF">
        <w:rPr>
          <w:rFonts w:cs="Arial"/>
        </w:rPr>
        <w:t>TRI contains information on toxic chemicals handled by facilities, including detai</w:t>
      </w:r>
      <w:r w:rsidRPr="00CD1CFF">
        <w:rPr>
          <w:rFonts w:cs="Arial"/>
        </w:rPr>
        <w:t>ls on quantities of chemicals managed through disposal or other release, recycling, energy recovery or treatment. These data include: 1) on-site releases with details on releases by environmental media (e.g., stack or point air emissions, discharges to rec</w:t>
      </w:r>
      <w:r w:rsidRPr="00CD1CFF">
        <w:rPr>
          <w:rFonts w:cs="Arial"/>
        </w:rPr>
        <w:t>eiving streams or water bodies, etc.), and 2) off-site transfer data with details on the off-site locations that receive transfers and the disposal, treatment, energy recovery, or recycling methods used to manage the chemicals at the off-site locations. Wa</w:t>
      </w:r>
      <w:r w:rsidRPr="00CD1CFF">
        <w:rPr>
          <w:rFonts w:cs="Arial"/>
        </w:rPr>
        <w:t>ste management data include quantities that are treated, used for energy recovery, or recycled and are discussed in the section on pollution prevention below</w:t>
      </w:r>
      <w:r w:rsidRPr="00CD1CFF" w:rsidR="008F38FD">
        <w:rPr>
          <w:rFonts w:cs="Arial"/>
          <w:bCs/>
        </w:rPr>
        <w:t>.</w:t>
      </w:r>
    </w:p>
    <w:p w:rsidR="00BF0BB1" w:rsidP="007414C8" w14:paraId="6FE0A38F" w14:textId="77777777">
      <w:pPr>
        <w:spacing w:after="200" w:line="276" w:lineRule="auto"/>
        <w:rPr>
          <w:rFonts w:cs="Arial"/>
          <w:bCs/>
        </w:rPr>
      </w:pPr>
      <w:r w:rsidRPr="00CD1CFF">
        <w:rPr>
          <w:rFonts w:cs="Arial"/>
          <w:bCs/>
        </w:rPr>
        <w:t>Table 2 presents a summary of national databases containing fixed location data on chemical relea</w:t>
      </w:r>
      <w:r w:rsidRPr="00CD1CFF">
        <w:rPr>
          <w:rFonts w:cs="Arial"/>
          <w:bCs/>
        </w:rPr>
        <w:t xml:space="preserve">ses and transfers, each of which are discussed in this section. Appendix </w:t>
      </w:r>
      <w:r w:rsidRPr="00CD1CFF" w:rsidR="00EF7BF8">
        <w:rPr>
          <w:rFonts w:cs="Arial"/>
          <w:bCs/>
        </w:rPr>
        <w:t>A</w:t>
      </w:r>
      <w:r w:rsidRPr="00CD1CFF">
        <w:rPr>
          <w:rFonts w:cs="Arial"/>
          <w:bCs/>
        </w:rPr>
        <w:t xml:space="preserve"> provides a comprehensive</w:t>
      </w:r>
      <w:r w:rsidRPr="00CD1CFF" w:rsidR="008F38FD">
        <w:rPr>
          <w:rFonts w:cs="Arial"/>
          <w:bCs/>
        </w:rPr>
        <w:t xml:space="preserve"> list of relevant data sources.</w:t>
      </w:r>
    </w:p>
    <w:p w:rsidR="00BF0BB1" w14:paraId="17EF9618" w14:textId="77777777">
      <w:pPr>
        <w:autoSpaceDE/>
        <w:autoSpaceDN/>
        <w:rPr>
          <w:rFonts w:cs="Arial"/>
          <w:bCs/>
        </w:rPr>
      </w:pPr>
      <w:r>
        <w:rPr>
          <w:rFonts w:cs="Arial"/>
          <w:bCs/>
        </w:rPr>
        <w:br w:type="page"/>
      </w:r>
    </w:p>
    <w:p w:rsidR="00A64CE8" w:rsidRPr="00F97489" w:rsidP="00F97489" w14:paraId="5D5DD4FC" w14:textId="77777777">
      <w:pPr>
        <w:pStyle w:val="Heading2"/>
        <w:rPr>
          <w:b/>
          <w:bCs/>
          <w:u w:val="none"/>
        </w:rPr>
      </w:pPr>
      <w:r w:rsidRPr="00F97489">
        <w:rPr>
          <w:b/>
          <w:bCs/>
          <w:u w:val="none"/>
        </w:rPr>
        <w:t>Table 2</w:t>
      </w:r>
      <w:r w:rsidRPr="00F97489" w:rsidR="00BF0BB1">
        <w:rPr>
          <w:b/>
          <w:bCs/>
          <w:u w:val="none"/>
        </w:rPr>
        <w:t xml:space="preserve">. </w:t>
      </w:r>
      <w:r w:rsidRPr="00F97489">
        <w:rPr>
          <w:b/>
          <w:bCs/>
          <w:u w:val="none"/>
        </w:rPr>
        <w:t xml:space="preserve">Federal Databases with Air Release, Water Discharge, and Waste </w:t>
      </w:r>
      <w:r w:rsidRPr="00F97489" w:rsidR="00B63AA1">
        <w:rPr>
          <w:b/>
          <w:bCs/>
          <w:u w:val="none"/>
        </w:rPr>
        <w:t xml:space="preserve">Management </w:t>
      </w:r>
      <w:r w:rsidRPr="00F97489">
        <w:rPr>
          <w:b/>
          <w:bCs/>
          <w:u w:val="none"/>
        </w:rPr>
        <w:t>Data</w:t>
      </w:r>
      <w:r w:rsidRPr="00F97489" w:rsidR="00BF0BB1">
        <w:rPr>
          <w:b/>
          <w:bCs/>
          <w:u w:val="none"/>
        </w:rPr>
        <w:t xml:space="preserve"> </w:t>
      </w:r>
    </w:p>
    <w:tbl>
      <w:tblPr>
        <w:tblW w:w="0" w:type="auto"/>
        <w:jc w:val="center"/>
        <w:tblLayout w:type="fixed"/>
        <w:tblCellMar>
          <w:left w:w="29" w:type="dxa"/>
          <w:right w:w="29" w:type="dxa"/>
        </w:tblCellMar>
        <w:tblLook w:val="0000"/>
      </w:tblPr>
      <w:tblGrid>
        <w:gridCol w:w="1811"/>
        <w:gridCol w:w="2420"/>
        <w:gridCol w:w="2080"/>
        <w:gridCol w:w="2869"/>
      </w:tblGrid>
      <w:tr w14:paraId="7574E9B5" w14:textId="77777777">
        <w:tblPrEx>
          <w:tblW w:w="0" w:type="auto"/>
          <w:jc w:val="center"/>
          <w:tblLayout w:type="fixed"/>
          <w:tblCellMar>
            <w:left w:w="29" w:type="dxa"/>
            <w:right w:w="29" w:type="dxa"/>
          </w:tblCellMar>
          <w:tblLook w:val="0000"/>
        </w:tblPrEx>
        <w:trPr>
          <w:cantSplit/>
          <w:jc w:val="center"/>
        </w:trPr>
        <w:tc>
          <w:tcPr>
            <w:tcW w:w="1811" w:type="dxa"/>
            <w:tcBorders>
              <w:top w:val="double" w:sz="8" w:space="0" w:color="000000"/>
              <w:left w:val="double" w:sz="8" w:space="0" w:color="000000"/>
              <w:bottom w:val="nil"/>
              <w:right w:val="nil"/>
            </w:tcBorders>
            <w:vAlign w:val="center"/>
          </w:tcPr>
          <w:p w:rsidR="00A64CE8" w:rsidRPr="00CD1CFF" w:rsidP="00CD1CFF" w14:paraId="73C09F36" w14:textId="77777777">
            <w:pPr>
              <w:keepNext/>
              <w:tabs>
                <w:tab w:val="left" w:pos="0"/>
                <w:tab w:val="left" w:pos="720"/>
                <w:tab w:val="left" w:pos="1440"/>
              </w:tabs>
              <w:spacing w:after="200" w:line="276" w:lineRule="auto"/>
              <w:jc w:val="center"/>
              <w:rPr>
                <w:rFonts w:cs="Arial"/>
                <w:b/>
                <w:sz w:val="18"/>
                <w:szCs w:val="18"/>
              </w:rPr>
            </w:pPr>
            <w:r w:rsidRPr="00CD1CFF">
              <w:rPr>
                <w:rFonts w:cs="Arial"/>
                <w:b/>
                <w:bCs/>
                <w:sz w:val="18"/>
                <w:szCs w:val="18"/>
              </w:rPr>
              <w:t>Data Source</w:t>
            </w:r>
          </w:p>
        </w:tc>
        <w:tc>
          <w:tcPr>
            <w:tcW w:w="2420" w:type="dxa"/>
            <w:tcBorders>
              <w:top w:val="double" w:sz="8" w:space="0" w:color="000000"/>
              <w:left w:val="single" w:sz="6" w:space="0" w:color="000000"/>
              <w:bottom w:val="nil"/>
              <w:right w:val="nil"/>
            </w:tcBorders>
            <w:vAlign w:val="center"/>
          </w:tcPr>
          <w:p w:rsidR="00A64CE8" w:rsidRPr="00CD1CFF" w:rsidP="00CD1CFF" w14:paraId="3FA8C863" w14:textId="77777777">
            <w:pPr>
              <w:keepNext/>
              <w:tabs>
                <w:tab w:val="left" w:pos="0"/>
                <w:tab w:val="left" w:pos="720"/>
                <w:tab w:val="left" w:pos="1440"/>
              </w:tabs>
              <w:spacing w:after="200" w:line="276" w:lineRule="auto"/>
              <w:jc w:val="center"/>
              <w:rPr>
                <w:rFonts w:cs="Arial"/>
                <w:b/>
                <w:sz w:val="18"/>
                <w:szCs w:val="18"/>
              </w:rPr>
            </w:pPr>
            <w:r w:rsidRPr="00CD1CFF">
              <w:rPr>
                <w:rFonts w:cs="Arial"/>
                <w:b/>
                <w:bCs/>
                <w:sz w:val="18"/>
                <w:szCs w:val="18"/>
              </w:rPr>
              <w:t>Media and Chemical Coverage</w:t>
            </w:r>
          </w:p>
        </w:tc>
        <w:tc>
          <w:tcPr>
            <w:tcW w:w="2080" w:type="dxa"/>
            <w:tcBorders>
              <w:top w:val="double" w:sz="8" w:space="0" w:color="000000"/>
              <w:left w:val="single" w:sz="6" w:space="0" w:color="000000"/>
              <w:bottom w:val="nil"/>
              <w:right w:val="nil"/>
            </w:tcBorders>
            <w:vAlign w:val="center"/>
          </w:tcPr>
          <w:p w:rsidR="00A64CE8" w:rsidRPr="00CD1CFF" w:rsidP="00CD1CFF" w14:paraId="491C5BDA" w14:textId="77777777">
            <w:pPr>
              <w:keepNext/>
              <w:tabs>
                <w:tab w:val="left" w:pos="0"/>
                <w:tab w:val="left" w:pos="720"/>
                <w:tab w:val="left" w:pos="1440"/>
                <w:tab w:val="left" w:pos="2160"/>
              </w:tabs>
              <w:spacing w:after="200" w:line="276" w:lineRule="auto"/>
              <w:jc w:val="center"/>
              <w:rPr>
                <w:rFonts w:cs="Arial"/>
                <w:b/>
                <w:sz w:val="18"/>
                <w:szCs w:val="18"/>
              </w:rPr>
            </w:pPr>
            <w:r w:rsidRPr="00CD1CFF">
              <w:rPr>
                <w:rFonts w:cs="Arial"/>
                <w:b/>
                <w:sz w:val="18"/>
                <w:szCs w:val="18"/>
              </w:rPr>
              <w:t xml:space="preserve">Relevant Release </w:t>
            </w:r>
            <w:r w:rsidRPr="00CD1CFF">
              <w:rPr>
                <w:rFonts w:cs="Arial"/>
                <w:b/>
                <w:bCs/>
                <w:sz w:val="18"/>
                <w:szCs w:val="18"/>
              </w:rPr>
              <w:t>Statistics Available</w:t>
            </w:r>
          </w:p>
        </w:tc>
        <w:tc>
          <w:tcPr>
            <w:tcW w:w="2869" w:type="dxa"/>
            <w:tcBorders>
              <w:top w:val="double" w:sz="8" w:space="0" w:color="000000"/>
              <w:left w:val="single" w:sz="6" w:space="0" w:color="000000"/>
              <w:bottom w:val="nil"/>
              <w:right w:val="double" w:sz="8" w:space="0" w:color="000000"/>
            </w:tcBorders>
            <w:vAlign w:val="center"/>
          </w:tcPr>
          <w:p w:rsidR="00A64CE8" w:rsidRPr="00CD1CFF" w:rsidP="00CD1CFF" w14:paraId="5FFC8486" w14:textId="77777777">
            <w:pPr>
              <w:keepNext/>
              <w:tabs>
                <w:tab w:val="left" w:pos="0"/>
                <w:tab w:val="left" w:pos="720"/>
                <w:tab w:val="left" w:pos="1440"/>
                <w:tab w:val="left" w:pos="2160"/>
              </w:tabs>
              <w:spacing w:after="200" w:line="276" w:lineRule="auto"/>
              <w:jc w:val="center"/>
              <w:rPr>
                <w:rFonts w:cs="Arial"/>
                <w:b/>
                <w:sz w:val="18"/>
                <w:szCs w:val="18"/>
                <w:vertAlign w:val="superscript"/>
              </w:rPr>
            </w:pPr>
            <w:r w:rsidRPr="00CD1CFF">
              <w:rPr>
                <w:rFonts w:cs="Arial"/>
                <w:b/>
                <w:bCs/>
                <w:sz w:val="18"/>
                <w:szCs w:val="18"/>
              </w:rPr>
              <w:t>Ease of Database Substitutio</w:t>
            </w:r>
            <w:r w:rsidRPr="00CD1CFF" w:rsidR="00946B49">
              <w:rPr>
                <w:rFonts w:cs="Arial"/>
                <w:b/>
                <w:bCs/>
                <w:sz w:val="18"/>
                <w:szCs w:val="18"/>
              </w:rPr>
              <w:t>n for TRI Data</w:t>
            </w:r>
            <w:r w:rsidRPr="00CD1CFF" w:rsidR="00946B49">
              <w:rPr>
                <w:rFonts w:cs="Arial"/>
                <w:b/>
                <w:bCs/>
                <w:sz w:val="18"/>
                <w:szCs w:val="18"/>
                <w:vertAlign w:val="superscript"/>
              </w:rPr>
              <w:t>a</w:t>
            </w:r>
          </w:p>
        </w:tc>
      </w:tr>
      <w:tr w14:paraId="59430D8E" w14:textId="77777777">
        <w:tblPrEx>
          <w:tblW w:w="0" w:type="auto"/>
          <w:jc w:val="center"/>
          <w:tblLayout w:type="fixed"/>
          <w:tblCellMar>
            <w:left w:w="29" w:type="dxa"/>
            <w:right w:w="29" w:type="dxa"/>
          </w:tblCellMar>
          <w:tblLook w:val="0000"/>
        </w:tblPrEx>
        <w:trPr>
          <w:cantSplit/>
          <w:jc w:val="center"/>
        </w:trPr>
        <w:tc>
          <w:tcPr>
            <w:tcW w:w="1811" w:type="dxa"/>
            <w:tcBorders>
              <w:top w:val="double" w:sz="8" w:space="0" w:color="000000"/>
              <w:left w:val="double" w:sz="8" w:space="0" w:color="000000"/>
              <w:bottom w:val="nil"/>
              <w:right w:val="nil"/>
            </w:tcBorders>
          </w:tcPr>
          <w:p w:rsidR="00A64CE8" w:rsidRPr="00CD1CFF" w:rsidP="00CD1CFF" w14:paraId="2136CD93" w14:textId="77777777">
            <w:pPr>
              <w:keepNext/>
              <w:tabs>
                <w:tab w:val="left" w:pos="0"/>
                <w:tab w:val="left" w:pos="720"/>
                <w:tab w:val="left" w:pos="1440"/>
              </w:tabs>
              <w:spacing w:after="200" w:line="276" w:lineRule="auto"/>
              <w:rPr>
                <w:rFonts w:cs="Arial"/>
                <w:sz w:val="18"/>
                <w:szCs w:val="18"/>
              </w:rPr>
            </w:pPr>
            <w:r w:rsidRPr="00CD1CFF">
              <w:rPr>
                <w:rFonts w:cs="Arial"/>
                <w:sz w:val="18"/>
                <w:szCs w:val="18"/>
              </w:rPr>
              <w:t>National Emissions Inventory (NEI)</w:t>
            </w:r>
          </w:p>
        </w:tc>
        <w:tc>
          <w:tcPr>
            <w:tcW w:w="2420" w:type="dxa"/>
            <w:tcBorders>
              <w:top w:val="double" w:sz="8" w:space="0" w:color="000000"/>
              <w:left w:val="single" w:sz="6" w:space="0" w:color="000000"/>
              <w:bottom w:val="nil"/>
              <w:right w:val="nil"/>
            </w:tcBorders>
          </w:tcPr>
          <w:p w:rsidR="00A64CE8" w:rsidRPr="00CD1CFF" w:rsidP="00CD1CFF" w14:paraId="4E794DF4" w14:textId="77777777">
            <w:pPr>
              <w:keepNext/>
              <w:tabs>
                <w:tab w:val="left" w:pos="0"/>
                <w:tab w:val="left" w:pos="720"/>
                <w:tab w:val="left" w:pos="1440"/>
              </w:tabs>
              <w:spacing w:after="200" w:line="276" w:lineRule="auto"/>
              <w:rPr>
                <w:rFonts w:cs="Arial"/>
                <w:sz w:val="18"/>
                <w:szCs w:val="18"/>
              </w:rPr>
            </w:pPr>
            <w:r w:rsidRPr="00CD1CFF">
              <w:rPr>
                <w:rFonts w:cs="Arial"/>
                <w:sz w:val="18"/>
                <w:szCs w:val="18"/>
              </w:rPr>
              <w:t xml:space="preserve">Contains </w:t>
            </w:r>
            <w:r w:rsidRPr="00CD1CFF">
              <w:rPr>
                <w:rFonts w:cs="Arial"/>
                <w:sz w:val="18"/>
                <w:szCs w:val="18"/>
              </w:rPr>
              <w:t>annual emissions of 8 criteria air pollutants (CAPs) and 187 hazardous air pollutants (HAPs) for facilities.</w:t>
            </w:r>
          </w:p>
        </w:tc>
        <w:tc>
          <w:tcPr>
            <w:tcW w:w="2080" w:type="dxa"/>
            <w:tcBorders>
              <w:top w:val="double" w:sz="8" w:space="0" w:color="000000"/>
              <w:left w:val="single" w:sz="6" w:space="0" w:color="000000"/>
              <w:bottom w:val="nil"/>
              <w:right w:val="nil"/>
            </w:tcBorders>
          </w:tcPr>
          <w:p w:rsidR="00A64CE8" w:rsidRPr="00CD1CFF" w:rsidP="00CD1CFF" w14:paraId="1EB06368" w14:textId="77777777">
            <w:pPr>
              <w:keepNext/>
              <w:tabs>
                <w:tab w:val="left" w:pos="0"/>
                <w:tab w:val="left" w:pos="720"/>
                <w:tab w:val="left" w:pos="1440"/>
                <w:tab w:val="left" w:pos="2160"/>
              </w:tabs>
              <w:spacing w:after="200" w:line="276" w:lineRule="auto"/>
              <w:rPr>
                <w:rFonts w:cs="Arial"/>
                <w:sz w:val="18"/>
                <w:szCs w:val="18"/>
              </w:rPr>
            </w:pPr>
            <w:r w:rsidRPr="00CD1CFF">
              <w:rPr>
                <w:rFonts w:cs="Arial"/>
                <w:sz w:val="18"/>
                <w:szCs w:val="18"/>
              </w:rPr>
              <w:t>Total annual releases.</w:t>
            </w:r>
          </w:p>
        </w:tc>
        <w:tc>
          <w:tcPr>
            <w:tcW w:w="2869" w:type="dxa"/>
            <w:tcBorders>
              <w:top w:val="double" w:sz="8" w:space="0" w:color="000000"/>
              <w:left w:val="single" w:sz="6" w:space="0" w:color="000000"/>
              <w:bottom w:val="nil"/>
              <w:right w:val="double" w:sz="8" w:space="0" w:color="000000"/>
            </w:tcBorders>
          </w:tcPr>
          <w:p w:rsidR="00A64CE8" w:rsidRPr="00CD1CFF" w:rsidP="00CD1CFF" w14:paraId="6FE2577B" w14:textId="77777777">
            <w:pPr>
              <w:keepNext/>
              <w:tabs>
                <w:tab w:val="left" w:pos="0"/>
                <w:tab w:val="left" w:pos="720"/>
                <w:tab w:val="left" w:pos="1440"/>
                <w:tab w:val="left" w:pos="2160"/>
              </w:tabs>
              <w:spacing w:after="200" w:line="276" w:lineRule="auto"/>
              <w:rPr>
                <w:rFonts w:cs="Arial"/>
                <w:sz w:val="18"/>
                <w:szCs w:val="18"/>
              </w:rPr>
            </w:pPr>
            <w:r w:rsidRPr="00CD1CFF">
              <w:rPr>
                <w:rFonts w:cs="Arial"/>
                <w:sz w:val="18"/>
                <w:szCs w:val="18"/>
              </w:rPr>
              <w:t>Includes air releases only. Data are updated only every 3 years. Coverage of TRI chemicals is limited.</w:t>
            </w:r>
            <w:r w:rsidRPr="00CD1CFF" w:rsidR="00B63AA1">
              <w:rPr>
                <w:rFonts w:cs="Arial"/>
                <w:sz w:val="18"/>
                <w:szCs w:val="18"/>
              </w:rPr>
              <w:t xml:space="preserve"> TRI is the source of the NEI record for </w:t>
            </w:r>
            <w:r w:rsidRPr="00CD1CFF" w:rsidR="00925F1B">
              <w:rPr>
                <w:rFonts w:cs="Arial"/>
                <w:sz w:val="18"/>
                <w:szCs w:val="18"/>
              </w:rPr>
              <w:t>62</w:t>
            </w:r>
            <w:r w:rsidRPr="00CD1CFF" w:rsidR="00B63AA1">
              <w:rPr>
                <w:rFonts w:cs="Arial"/>
                <w:sz w:val="18"/>
                <w:szCs w:val="18"/>
              </w:rPr>
              <w:t xml:space="preserve">% of the </w:t>
            </w:r>
            <w:r w:rsidRPr="00CD1CFF" w:rsidR="00BE36A8">
              <w:rPr>
                <w:rFonts w:cs="Arial"/>
                <w:sz w:val="18"/>
                <w:szCs w:val="18"/>
              </w:rPr>
              <w:t>43,372</w:t>
            </w:r>
            <w:r w:rsidRPr="00CD1CFF" w:rsidR="00B63AA1">
              <w:rPr>
                <w:rFonts w:cs="Arial"/>
                <w:sz w:val="18"/>
                <w:szCs w:val="18"/>
              </w:rPr>
              <w:t xml:space="preserve"> facility-chemical records (2011).</w:t>
            </w:r>
          </w:p>
        </w:tc>
      </w:tr>
      <w:tr w14:paraId="4F18725A" w14:textId="77777777">
        <w:tblPrEx>
          <w:tblW w:w="0" w:type="auto"/>
          <w:jc w:val="center"/>
          <w:tblLayout w:type="fixed"/>
          <w:tblCellMar>
            <w:left w:w="29" w:type="dxa"/>
            <w:right w:w="29" w:type="dxa"/>
          </w:tblCellMar>
          <w:tblLook w:val="0000"/>
        </w:tblPrEx>
        <w:trPr>
          <w:cantSplit/>
          <w:jc w:val="center"/>
        </w:trPr>
        <w:tc>
          <w:tcPr>
            <w:tcW w:w="1811" w:type="dxa"/>
            <w:tcBorders>
              <w:top w:val="double" w:sz="8" w:space="0" w:color="000000"/>
              <w:left w:val="double" w:sz="8" w:space="0" w:color="000000"/>
              <w:bottom w:val="nil"/>
              <w:right w:val="single" w:sz="6" w:space="0" w:color="000000"/>
            </w:tcBorders>
          </w:tcPr>
          <w:p w:rsidR="00A64CE8" w:rsidRPr="00CD1CFF" w:rsidP="00CD1CFF" w14:paraId="7C6BF4CC" w14:textId="77777777">
            <w:pPr>
              <w:keepNext/>
              <w:tabs>
                <w:tab w:val="left" w:pos="0"/>
                <w:tab w:val="left" w:pos="720"/>
                <w:tab w:val="left" w:pos="1440"/>
              </w:tabs>
              <w:spacing w:after="200" w:line="276" w:lineRule="auto"/>
              <w:rPr>
                <w:rFonts w:cs="Arial"/>
                <w:sz w:val="18"/>
                <w:szCs w:val="18"/>
              </w:rPr>
            </w:pPr>
            <w:r w:rsidRPr="00CD1CFF">
              <w:rPr>
                <w:rFonts w:cs="Arial"/>
                <w:sz w:val="18"/>
                <w:szCs w:val="18"/>
              </w:rPr>
              <w:t>Integrated Compliance Information System–National Pollutant Discharge Elimination System (ICIS-NPDES)</w:t>
            </w:r>
          </w:p>
        </w:tc>
        <w:tc>
          <w:tcPr>
            <w:tcW w:w="2420" w:type="dxa"/>
            <w:tcBorders>
              <w:top w:val="double" w:sz="8" w:space="0" w:color="000000"/>
              <w:left w:val="single" w:sz="6" w:space="0" w:color="000000"/>
              <w:bottom w:val="nil"/>
              <w:right w:val="nil"/>
            </w:tcBorders>
          </w:tcPr>
          <w:p w:rsidR="00A64CE8" w:rsidRPr="00CD1CFF" w:rsidP="00CD1CFF" w14:paraId="549B2BBF" w14:textId="77777777">
            <w:pPr>
              <w:keepNext/>
              <w:tabs>
                <w:tab w:val="left" w:pos="0"/>
                <w:tab w:val="left" w:pos="720"/>
                <w:tab w:val="left" w:pos="1440"/>
              </w:tabs>
              <w:spacing w:after="200" w:line="276" w:lineRule="auto"/>
              <w:rPr>
                <w:rFonts w:cs="Arial"/>
                <w:sz w:val="18"/>
                <w:szCs w:val="18"/>
              </w:rPr>
            </w:pPr>
            <w:r w:rsidRPr="00CD1CFF">
              <w:rPr>
                <w:rFonts w:cs="Arial"/>
                <w:sz w:val="18"/>
                <w:szCs w:val="18"/>
              </w:rPr>
              <w:t xml:space="preserve">Contains monthly discharge monitoring data for selected water </w:t>
            </w:r>
            <w:r w:rsidRPr="00CD1CFF" w:rsidR="00B63AA1">
              <w:rPr>
                <w:rFonts w:cs="Arial"/>
                <w:sz w:val="18"/>
                <w:szCs w:val="18"/>
              </w:rPr>
              <w:t>parameters/</w:t>
            </w:r>
            <w:r w:rsidRPr="00CD1CFF">
              <w:rPr>
                <w:rFonts w:cs="Arial"/>
                <w:sz w:val="18"/>
                <w:szCs w:val="18"/>
              </w:rPr>
              <w:t xml:space="preserve">pollutants and flow rates </w:t>
            </w:r>
            <w:r w:rsidRPr="00CD1CFF" w:rsidR="007261A5">
              <w:rPr>
                <w:rFonts w:cs="Arial"/>
                <w:sz w:val="18"/>
                <w:szCs w:val="18"/>
              </w:rPr>
              <w:t xml:space="preserve">for </w:t>
            </w:r>
            <w:r w:rsidRPr="00CD1CFF" w:rsidR="00B63AA1">
              <w:rPr>
                <w:rFonts w:cs="Arial"/>
                <w:sz w:val="18"/>
                <w:szCs w:val="18"/>
              </w:rPr>
              <w:t xml:space="preserve">all CWA </w:t>
            </w:r>
            <w:r w:rsidRPr="00CD1CFF">
              <w:rPr>
                <w:rFonts w:cs="Arial"/>
                <w:sz w:val="18"/>
                <w:szCs w:val="18"/>
              </w:rPr>
              <w:t xml:space="preserve">major </w:t>
            </w:r>
            <w:r w:rsidRPr="00CD1CFF" w:rsidR="00B63AA1">
              <w:rPr>
                <w:rFonts w:cs="Arial"/>
                <w:sz w:val="18"/>
                <w:szCs w:val="18"/>
              </w:rPr>
              <w:t xml:space="preserve">and many minor </w:t>
            </w:r>
            <w:r w:rsidRPr="00CD1CFF" w:rsidR="00B77BCE">
              <w:rPr>
                <w:rFonts w:cs="Arial"/>
                <w:sz w:val="18"/>
                <w:szCs w:val="18"/>
              </w:rPr>
              <w:t>sources.</w:t>
            </w:r>
          </w:p>
        </w:tc>
        <w:tc>
          <w:tcPr>
            <w:tcW w:w="2080" w:type="dxa"/>
            <w:tcBorders>
              <w:top w:val="double" w:sz="8" w:space="0" w:color="000000"/>
              <w:left w:val="single" w:sz="6" w:space="0" w:color="000000"/>
              <w:bottom w:val="nil"/>
              <w:right w:val="nil"/>
            </w:tcBorders>
          </w:tcPr>
          <w:p w:rsidR="00A64CE8" w:rsidRPr="00CD1CFF" w:rsidP="00CD1CFF" w14:paraId="5FEA1F1E" w14:textId="77777777">
            <w:pPr>
              <w:keepNext/>
              <w:tabs>
                <w:tab w:val="left" w:pos="0"/>
                <w:tab w:val="left" w:pos="720"/>
                <w:tab w:val="left" w:pos="1440"/>
                <w:tab w:val="left" w:pos="2160"/>
              </w:tabs>
              <w:spacing w:after="200" w:line="276" w:lineRule="auto"/>
              <w:rPr>
                <w:rFonts w:cs="Arial"/>
                <w:sz w:val="18"/>
                <w:szCs w:val="18"/>
              </w:rPr>
            </w:pPr>
            <w:r w:rsidRPr="00CD1CFF">
              <w:rPr>
                <w:rFonts w:cs="Arial"/>
                <w:sz w:val="18"/>
                <w:szCs w:val="18"/>
              </w:rPr>
              <w:t xml:space="preserve">Concentration data; </w:t>
            </w:r>
            <w:r w:rsidRPr="00CD1CFF" w:rsidR="008F38FD">
              <w:rPr>
                <w:rFonts w:cs="Arial"/>
                <w:sz w:val="18"/>
                <w:szCs w:val="18"/>
              </w:rPr>
              <w:t xml:space="preserve">EPA now derives </w:t>
            </w:r>
            <w:r w:rsidRPr="00CD1CFF" w:rsidR="00B63AA1">
              <w:rPr>
                <w:rFonts w:cs="Arial"/>
                <w:sz w:val="18"/>
                <w:szCs w:val="18"/>
              </w:rPr>
              <w:t>annual releases of pollutants for which concentrations and flows are reported as part of periodic discharge monitoring reports</w:t>
            </w:r>
            <w:r w:rsidRPr="00CD1CFF" w:rsidR="00B77BCE">
              <w:rPr>
                <w:rFonts w:cs="Arial"/>
                <w:sz w:val="18"/>
                <w:szCs w:val="18"/>
              </w:rPr>
              <w:t>.</w:t>
            </w:r>
          </w:p>
        </w:tc>
        <w:tc>
          <w:tcPr>
            <w:tcW w:w="2869" w:type="dxa"/>
            <w:tcBorders>
              <w:top w:val="double" w:sz="8" w:space="0" w:color="000000"/>
              <w:left w:val="single" w:sz="6" w:space="0" w:color="000000"/>
              <w:bottom w:val="nil"/>
              <w:right w:val="double" w:sz="8" w:space="0" w:color="000000"/>
            </w:tcBorders>
          </w:tcPr>
          <w:p w:rsidR="00A64CE8" w:rsidRPr="00CD1CFF" w:rsidP="00CD1CFF" w14:paraId="33B8AED8" w14:textId="77777777">
            <w:pPr>
              <w:keepNext/>
              <w:tabs>
                <w:tab w:val="left" w:pos="0"/>
                <w:tab w:val="left" w:pos="720"/>
                <w:tab w:val="left" w:pos="1440"/>
                <w:tab w:val="left" w:pos="2160"/>
              </w:tabs>
              <w:spacing w:after="200" w:line="276" w:lineRule="auto"/>
              <w:rPr>
                <w:rFonts w:cs="Arial"/>
                <w:sz w:val="18"/>
                <w:szCs w:val="18"/>
              </w:rPr>
            </w:pPr>
            <w:r w:rsidRPr="00CD1CFF">
              <w:rPr>
                <w:rFonts w:cs="Arial"/>
                <w:sz w:val="18"/>
                <w:szCs w:val="18"/>
              </w:rPr>
              <w:t xml:space="preserve">Includes </w:t>
            </w:r>
            <w:r w:rsidRPr="00CD1CFF" w:rsidR="00B63AA1">
              <w:rPr>
                <w:rFonts w:cs="Arial"/>
                <w:sz w:val="18"/>
                <w:szCs w:val="18"/>
              </w:rPr>
              <w:t xml:space="preserve">a limited number of indicator parameters </w:t>
            </w:r>
            <w:r w:rsidRPr="00CD1CFF">
              <w:rPr>
                <w:rFonts w:cs="Arial"/>
                <w:sz w:val="18"/>
                <w:szCs w:val="18"/>
              </w:rPr>
              <w:t xml:space="preserve">for which a </w:t>
            </w:r>
            <w:r w:rsidRPr="00CD1CFF" w:rsidR="00B63AA1">
              <w:rPr>
                <w:rFonts w:cs="Arial"/>
                <w:sz w:val="18"/>
                <w:szCs w:val="18"/>
              </w:rPr>
              <w:t xml:space="preserve">monitoring requirement or </w:t>
            </w:r>
            <w:r w:rsidRPr="00CD1CFF">
              <w:rPr>
                <w:rFonts w:cs="Arial"/>
                <w:sz w:val="18"/>
                <w:szCs w:val="18"/>
              </w:rPr>
              <w:t>discharge limit has been set. Many discharge parameters are not specific to an individual Chemical Abstract Service (CA</w:t>
            </w:r>
            <w:r w:rsidRPr="00CD1CFF">
              <w:rPr>
                <w:rFonts w:cs="Arial"/>
                <w:sz w:val="18"/>
                <w:szCs w:val="18"/>
              </w:rPr>
              <w:t>S) number. Very limited monitoring data for minor dischargers.</w:t>
            </w:r>
            <w:r w:rsidRPr="00CD1CFF" w:rsidR="00BE36A8">
              <w:rPr>
                <w:rFonts w:cs="Arial"/>
                <w:sz w:val="18"/>
                <w:szCs w:val="18"/>
              </w:rPr>
              <w:t xml:space="preserve"> There were 3,196 facilities in TRI with water discharges greater than zero. 2,367 (74%) also have NPDES permit IDs.</w:t>
            </w:r>
          </w:p>
        </w:tc>
      </w:tr>
      <w:tr w14:paraId="44869EFB" w14:textId="77777777">
        <w:tblPrEx>
          <w:tblW w:w="0" w:type="auto"/>
          <w:jc w:val="center"/>
          <w:tblLayout w:type="fixed"/>
          <w:tblCellMar>
            <w:left w:w="29" w:type="dxa"/>
            <w:right w:w="29" w:type="dxa"/>
          </w:tblCellMar>
          <w:tblLook w:val="0000"/>
        </w:tblPrEx>
        <w:trPr>
          <w:cantSplit/>
          <w:trHeight w:val="893"/>
          <w:jc w:val="center"/>
        </w:trPr>
        <w:tc>
          <w:tcPr>
            <w:tcW w:w="1811" w:type="dxa"/>
            <w:tcBorders>
              <w:top w:val="double" w:sz="8" w:space="0" w:color="000000"/>
              <w:left w:val="double" w:sz="8" w:space="0" w:color="000000"/>
              <w:bottom w:val="double" w:sz="8" w:space="0" w:color="000000"/>
              <w:right w:val="single" w:sz="6" w:space="0" w:color="000000"/>
            </w:tcBorders>
          </w:tcPr>
          <w:p w:rsidR="00A64CE8" w:rsidRPr="00CD1CFF" w:rsidP="00CD1CFF" w14:paraId="77E7D762" w14:textId="77777777">
            <w:pPr>
              <w:keepNext/>
              <w:tabs>
                <w:tab w:val="left" w:pos="0"/>
                <w:tab w:val="left" w:pos="720"/>
                <w:tab w:val="left" w:pos="1440"/>
              </w:tabs>
              <w:spacing w:after="200" w:line="276" w:lineRule="auto"/>
              <w:rPr>
                <w:rFonts w:cs="Arial"/>
                <w:sz w:val="18"/>
                <w:szCs w:val="18"/>
              </w:rPr>
            </w:pPr>
            <w:r w:rsidRPr="00CD1CFF">
              <w:rPr>
                <w:rFonts w:cs="Arial"/>
                <w:sz w:val="18"/>
                <w:szCs w:val="18"/>
              </w:rPr>
              <w:t>Biennial Reporting System (BRS)</w:t>
            </w:r>
          </w:p>
        </w:tc>
        <w:tc>
          <w:tcPr>
            <w:tcW w:w="2420" w:type="dxa"/>
            <w:tcBorders>
              <w:top w:val="double" w:sz="8" w:space="0" w:color="000000"/>
              <w:left w:val="single" w:sz="6" w:space="0" w:color="000000"/>
              <w:right w:val="nil"/>
            </w:tcBorders>
          </w:tcPr>
          <w:p w:rsidR="00A64CE8" w:rsidRPr="00CD1CFF" w:rsidP="00CD1CFF" w14:paraId="143ED200" w14:textId="77777777">
            <w:pPr>
              <w:keepNext/>
              <w:tabs>
                <w:tab w:val="left" w:pos="0"/>
                <w:tab w:val="left" w:pos="720"/>
                <w:tab w:val="left" w:pos="1440"/>
              </w:tabs>
              <w:spacing w:after="200" w:line="276" w:lineRule="auto"/>
              <w:rPr>
                <w:rFonts w:cs="Arial"/>
                <w:sz w:val="18"/>
                <w:szCs w:val="18"/>
              </w:rPr>
            </w:pPr>
            <w:r w:rsidRPr="00CD1CFF">
              <w:rPr>
                <w:rFonts w:cs="Arial"/>
                <w:sz w:val="18"/>
                <w:szCs w:val="18"/>
              </w:rPr>
              <w:t xml:space="preserve">Contains annual volumes of RCRA wastes </w:t>
            </w:r>
            <w:r w:rsidRPr="00CD1CFF">
              <w:rPr>
                <w:rFonts w:cs="Arial"/>
                <w:sz w:val="18"/>
                <w:szCs w:val="18"/>
              </w:rPr>
              <w:t>and how they are managed (offsite in the case of Large Quantity Generator and on-site in the case of treatment storage and disposal Facilities, TSDFs). Ea</w:t>
            </w:r>
            <w:r w:rsidRPr="00CD1CFF" w:rsidR="00925F1B">
              <w:rPr>
                <w:rFonts w:cs="Arial"/>
                <w:sz w:val="18"/>
                <w:szCs w:val="18"/>
              </w:rPr>
              <w:t>c</w:t>
            </w:r>
            <w:r w:rsidRPr="00CD1CFF">
              <w:rPr>
                <w:rFonts w:cs="Arial"/>
                <w:sz w:val="18"/>
                <w:szCs w:val="18"/>
              </w:rPr>
              <w:t>h waste stream is characterized by all applicable waste codes but volumes of each are not broken out.</w:t>
            </w:r>
            <w:r w:rsidRPr="00CD1CFF">
              <w:rPr>
                <w:rFonts w:cs="Arial"/>
                <w:sz w:val="18"/>
                <w:szCs w:val="18"/>
              </w:rPr>
              <w:t xml:space="preserve"> Data are reported once every two years.</w:t>
            </w:r>
          </w:p>
        </w:tc>
        <w:tc>
          <w:tcPr>
            <w:tcW w:w="2080" w:type="dxa"/>
            <w:tcBorders>
              <w:top w:val="double" w:sz="8" w:space="0" w:color="000000"/>
              <w:left w:val="single" w:sz="6" w:space="0" w:color="000000"/>
              <w:right w:val="single" w:sz="6" w:space="0" w:color="000000"/>
            </w:tcBorders>
          </w:tcPr>
          <w:p w:rsidR="00A64CE8" w:rsidRPr="00CD1CFF" w:rsidP="00CD1CFF" w14:paraId="490B062B" w14:textId="77777777">
            <w:pPr>
              <w:keepNext/>
              <w:tabs>
                <w:tab w:val="left" w:pos="0"/>
                <w:tab w:val="left" w:pos="720"/>
                <w:tab w:val="left" w:pos="1440"/>
                <w:tab w:val="left" w:pos="2160"/>
              </w:tabs>
              <w:spacing w:after="200" w:line="276" w:lineRule="auto"/>
              <w:rPr>
                <w:rFonts w:cs="Arial"/>
                <w:sz w:val="18"/>
                <w:szCs w:val="18"/>
              </w:rPr>
            </w:pPr>
            <w:r w:rsidRPr="00CD1CFF">
              <w:rPr>
                <w:rFonts w:cs="Arial"/>
                <w:sz w:val="18"/>
                <w:szCs w:val="18"/>
              </w:rPr>
              <w:t>Total annual off-site transfers of hazardous waste for land disposal; releases to publicly owned treatment works (POTWs).</w:t>
            </w:r>
          </w:p>
        </w:tc>
        <w:tc>
          <w:tcPr>
            <w:tcW w:w="2869" w:type="dxa"/>
            <w:tcBorders>
              <w:top w:val="double" w:sz="8" w:space="0" w:color="000000"/>
              <w:left w:val="single" w:sz="6" w:space="0" w:color="000000"/>
              <w:right w:val="double" w:sz="8" w:space="0" w:color="000000"/>
            </w:tcBorders>
          </w:tcPr>
          <w:p w:rsidR="00A64CE8" w:rsidRPr="00CD1CFF" w:rsidP="00CD1CFF" w14:paraId="46F873FE" w14:textId="77777777">
            <w:pPr>
              <w:keepNext/>
              <w:tabs>
                <w:tab w:val="left" w:pos="0"/>
                <w:tab w:val="left" w:pos="720"/>
                <w:tab w:val="left" w:pos="1440"/>
                <w:tab w:val="left" w:pos="2160"/>
              </w:tabs>
              <w:spacing w:after="200" w:line="276" w:lineRule="auto"/>
              <w:rPr>
                <w:rFonts w:cs="Arial"/>
                <w:sz w:val="18"/>
                <w:szCs w:val="18"/>
              </w:rPr>
            </w:pPr>
            <w:r w:rsidRPr="00CD1CFF">
              <w:rPr>
                <w:rFonts w:cs="Arial"/>
                <w:sz w:val="18"/>
                <w:szCs w:val="18"/>
              </w:rPr>
              <w:t>Many RCRA waste codes are not specific to an individual CAS number. Quantities of chemicals i</w:t>
            </w:r>
            <w:r w:rsidRPr="00CD1CFF">
              <w:rPr>
                <w:rFonts w:cs="Arial"/>
                <w:sz w:val="18"/>
                <w:szCs w:val="18"/>
              </w:rPr>
              <w:t>n waste cannot be determined</w:t>
            </w:r>
            <w:r w:rsidRPr="00CD1CFF" w:rsidR="00B63AA1">
              <w:rPr>
                <w:rFonts w:cs="Arial"/>
                <w:sz w:val="18"/>
                <w:szCs w:val="18"/>
              </w:rPr>
              <w:t xml:space="preserve"> from BRS</w:t>
            </w:r>
            <w:r w:rsidRPr="00CD1CFF">
              <w:rPr>
                <w:rFonts w:cs="Arial"/>
                <w:sz w:val="18"/>
                <w:szCs w:val="18"/>
              </w:rPr>
              <w:t xml:space="preserve">. </w:t>
            </w:r>
            <w:r w:rsidRPr="00CD1CFF" w:rsidR="00BE36A8">
              <w:rPr>
                <w:rFonts w:cs="Arial"/>
                <w:sz w:val="18"/>
                <w:szCs w:val="18"/>
              </w:rPr>
              <w:t xml:space="preserve">Of about 25,900 facilities in </w:t>
            </w:r>
            <w:r w:rsidRPr="00CD1CFF" w:rsidR="0034110F">
              <w:rPr>
                <w:rFonts w:cs="Arial"/>
                <w:sz w:val="18"/>
                <w:szCs w:val="18"/>
              </w:rPr>
              <w:t xml:space="preserve">Reporting Year (RY) </w:t>
            </w:r>
            <w:r w:rsidRPr="00CD1CFF" w:rsidR="00BE36A8">
              <w:rPr>
                <w:rFonts w:cs="Arial"/>
                <w:sz w:val="18"/>
                <w:szCs w:val="18"/>
              </w:rPr>
              <w:t>2013, 24% reported hazardous waste generation to RCRA BR and also reported to TRI. Of about 21,600 TRI filers in RY2013, 29% also reported hazardous waste generation to RCRA BR.</w:t>
            </w:r>
          </w:p>
        </w:tc>
      </w:tr>
      <w:tr w14:paraId="0B6AEC1B" w14:textId="77777777">
        <w:tblPrEx>
          <w:tblW w:w="0" w:type="auto"/>
          <w:jc w:val="center"/>
          <w:tblLayout w:type="fixed"/>
          <w:tblCellMar>
            <w:left w:w="29" w:type="dxa"/>
            <w:right w:w="29" w:type="dxa"/>
          </w:tblCellMar>
          <w:tblLook w:val="0000"/>
        </w:tblPrEx>
        <w:trPr>
          <w:cantSplit/>
          <w:trHeight w:val="21"/>
          <w:jc w:val="center"/>
        </w:trPr>
        <w:tc>
          <w:tcPr>
            <w:tcW w:w="9180" w:type="dxa"/>
            <w:gridSpan w:val="4"/>
            <w:tcBorders>
              <w:top w:val="double" w:sz="8" w:space="0" w:color="000000"/>
              <w:left w:val="double" w:sz="8" w:space="0" w:color="000000"/>
              <w:bottom w:val="double" w:sz="8" w:space="0" w:color="000000"/>
              <w:right w:val="double" w:sz="8" w:space="0" w:color="000000"/>
            </w:tcBorders>
          </w:tcPr>
          <w:p w:rsidR="00A64CE8" w:rsidRPr="00CD1CFF" w:rsidP="00CD1CFF" w14:paraId="7B8DD680" w14:textId="77777777">
            <w:pPr>
              <w:keepNext/>
              <w:tabs>
                <w:tab w:val="left" w:pos="0"/>
                <w:tab w:val="left" w:pos="720"/>
                <w:tab w:val="left" w:pos="1440"/>
                <w:tab w:val="left" w:pos="2160"/>
              </w:tabs>
              <w:spacing w:after="200" w:line="276" w:lineRule="auto"/>
              <w:rPr>
                <w:rFonts w:cs="Arial"/>
                <w:sz w:val="18"/>
                <w:szCs w:val="18"/>
              </w:rPr>
            </w:pPr>
            <w:r w:rsidRPr="00CD1CFF">
              <w:rPr>
                <w:rFonts w:cs="Arial"/>
                <w:sz w:val="18"/>
                <w:szCs w:val="18"/>
                <w:vertAlign w:val="superscript"/>
              </w:rPr>
              <w:t xml:space="preserve">a </w:t>
            </w:r>
            <w:r w:rsidRPr="00CD1CFF">
              <w:rPr>
                <w:rFonts w:cs="Arial"/>
                <w:sz w:val="18"/>
                <w:szCs w:val="18"/>
              </w:rPr>
              <w:t>“Ease of substitution” refers only to the potential of the information in the database to substitute for TRI reporting. It does not imply that the database is not adequate for the purposes for which it was designed.</w:t>
            </w:r>
          </w:p>
        </w:tc>
      </w:tr>
    </w:tbl>
    <w:p w:rsidR="00A64CE8" w:rsidRPr="00CD1CFF" w:rsidP="00D27D02" w14:paraId="1FF0882D" w14:textId="77777777">
      <w:pPr>
        <w:spacing w:after="200" w:line="276" w:lineRule="auto"/>
        <w:rPr>
          <w:rFonts w:cs="Arial"/>
        </w:rPr>
      </w:pPr>
    </w:p>
    <w:p w:rsidR="00A64CE8" w:rsidRPr="00A3691C" w:rsidP="00A3691C" w14:paraId="69A4DAF2" w14:textId="77777777">
      <w:pPr>
        <w:pStyle w:val="Heading1"/>
        <w:tabs>
          <w:tab w:val="left" w:pos="8880"/>
        </w:tabs>
        <w:autoSpaceDE/>
        <w:autoSpaceDN/>
        <w:spacing w:before="0" w:after="200" w:line="276" w:lineRule="auto"/>
        <w:rPr>
          <w:rFonts w:cs="Arial"/>
          <w:spacing w:val="-2"/>
        </w:rPr>
      </w:pPr>
      <w:r w:rsidRPr="00A3691C">
        <w:rPr>
          <w:rFonts w:cs="Arial"/>
          <w:spacing w:val="-2"/>
        </w:rPr>
        <w:t xml:space="preserve">On-site </w:t>
      </w:r>
      <w:r w:rsidRPr="00A3691C" w:rsidR="00946B49">
        <w:rPr>
          <w:rFonts w:cs="Arial"/>
          <w:spacing w:val="-2"/>
        </w:rPr>
        <w:t>Chemical Inventory Data</w:t>
      </w:r>
    </w:p>
    <w:p w:rsidR="00755F4A" w:rsidRPr="00A3691C" w:rsidP="00A3691C" w14:paraId="74706362" w14:textId="77777777">
      <w:pPr>
        <w:tabs>
          <w:tab w:val="left" w:pos="8880"/>
        </w:tabs>
        <w:spacing w:after="200" w:line="276" w:lineRule="auto"/>
        <w:rPr>
          <w:rFonts w:cs="Arial"/>
        </w:rPr>
      </w:pPr>
      <w:r w:rsidRPr="00A3691C">
        <w:rPr>
          <w:rFonts w:cs="Arial"/>
          <w:spacing w:val="-2"/>
        </w:rPr>
        <w:t>In addition to data pertaining to releases, on</w:t>
      </w:r>
      <w:r w:rsidRPr="00A3691C" w:rsidR="00BB5A26">
        <w:rPr>
          <w:rFonts w:cs="Arial"/>
          <w:spacing w:val="-2"/>
        </w:rPr>
        <w:t>-</w:t>
      </w:r>
      <w:r w:rsidRPr="00A3691C">
        <w:rPr>
          <w:rFonts w:cs="Arial"/>
          <w:spacing w:val="-2"/>
        </w:rPr>
        <w:t>site man</w:t>
      </w:r>
      <w:r w:rsidRPr="00A3691C" w:rsidR="009B6A23">
        <w:rPr>
          <w:rFonts w:cs="Arial"/>
          <w:spacing w:val="-2"/>
        </w:rPr>
        <w:t>a</w:t>
      </w:r>
      <w:r w:rsidRPr="00A3691C">
        <w:rPr>
          <w:rFonts w:cs="Arial"/>
          <w:spacing w:val="-2"/>
        </w:rPr>
        <w:t xml:space="preserve">gement and transfers, TRI </w:t>
      </w:r>
      <w:r w:rsidRPr="00A3691C" w:rsidR="00705C73">
        <w:rPr>
          <w:rFonts w:cs="Arial"/>
          <w:spacing w:val="-2"/>
        </w:rPr>
        <w:t>F</w:t>
      </w:r>
      <w:r w:rsidRPr="00A3691C">
        <w:rPr>
          <w:rFonts w:cs="Arial"/>
          <w:spacing w:val="-2"/>
        </w:rPr>
        <w:t xml:space="preserve">orm R requires reporting of the </w:t>
      </w:r>
      <w:r w:rsidRPr="00A3691C">
        <w:rPr>
          <w:rFonts w:cs="Arial"/>
        </w:rPr>
        <w:t>maximum amount of a qualifying chemical that is on</w:t>
      </w:r>
      <w:r w:rsidRPr="00A3691C" w:rsidR="00082560">
        <w:rPr>
          <w:rFonts w:cs="Arial"/>
        </w:rPr>
        <w:t xml:space="preserve"> </w:t>
      </w:r>
      <w:r w:rsidRPr="00A3691C">
        <w:rPr>
          <w:rFonts w:cs="Arial"/>
        </w:rPr>
        <w:t>site at any one time</w:t>
      </w:r>
      <w:r w:rsidRPr="00A3691C" w:rsidR="00705C73">
        <w:rPr>
          <w:rFonts w:cs="Arial"/>
        </w:rPr>
        <w:t xml:space="preserve"> during the reporting year</w:t>
      </w:r>
      <w:r w:rsidRPr="00A3691C">
        <w:rPr>
          <w:rFonts w:cs="Arial"/>
        </w:rPr>
        <w:t>. There are a number of feder</w:t>
      </w:r>
      <w:r w:rsidRPr="00A3691C">
        <w:rPr>
          <w:rFonts w:cs="Arial"/>
        </w:rPr>
        <w:t>al programs that also require disclosure of the presence or handling of chemicals and some that also require reporting of maximum amount on-site.</w:t>
      </w:r>
    </w:p>
    <w:p w:rsidR="00755F4A" w:rsidRPr="00A3691C" w:rsidP="00F97489" w14:paraId="16A18EE8" w14:textId="77777777">
      <w:pPr>
        <w:spacing w:after="240"/>
        <w:rPr>
          <w:b/>
          <w:spacing w:val="-2"/>
        </w:rPr>
      </w:pPr>
      <w:r w:rsidRPr="00A3691C">
        <w:t xml:space="preserve">Under EPCRA </w:t>
      </w:r>
      <w:r w:rsidRPr="00A3691C" w:rsidR="008F38FD">
        <w:t xml:space="preserve">section </w:t>
      </w:r>
      <w:r w:rsidRPr="00A3691C">
        <w:t>312, the Emergency Response Program requires regulated facilities to submit annual invento</w:t>
      </w:r>
      <w:r w:rsidRPr="00A3691C">
        <w:t xml:space="preserve">ry reports of hazardous </w:t>
      </w:r>
      <w:r w:rsidRPr="00A3691C">
        <w:rPr>
          <w:spacing w:val="-2"/>
        </w:rPr>
        <w:t>chemicals stored on-site</w:t>
      </w:r>
      <w:r w:rsidRPr="00A3691C" w:rsidR="006E2D78">
        <w:rPr>
          <w:spacing w:val="-2"/>
        </w:rPr>
        <w:t xml:space="preserve"> to</w:t>
      </w:r>
      <w:r w:rsidRPr="00A3691C">
        <w:rPr>
          <w:spacing w:val="-2"/>
        </w:rPr>
        <w:t xml:space="preserve"> their Local Emergency Planning Commission (LEPC) and the State Emergency Response Commission (SERC)</w:t>
      </w:r>
      <w:r w:rsidRPr="00A3691C" w:rsidR="00560D2F">
        <w:rPr>
          <w:spacing w:val="-2"/>
        </w:rPr>
        <w:t xml:space="preserve">. </w:t>
      </w:r>
      <w:r w:rsidRPr="00A3691C">
        <w:t xml:space="preserve">The </w:t>
      </w:r>
      <w:r w:rsidRPr="00A3691C">
        <w:rPr>
          <w:spacing w:val="-2"/>
        </w:rPr>
        <w:t>information contained in the Tier II reports surpasses the chemical inventory data</w:t>
      </w:r>
      <w:r w:rsidRPr="00A3691C">
        <w:t xml:space="preserve"> requested on TRI</w:t>
      </w:r>
      <w:r w:rsidRPr="00A3691C">
        <w:t xml:space="preserve"> Form R in terms of the chemicals covered, absence of thresholds, and level of detail. As Tier II information is currently not submitted by the state SERCs or LEPCs to EPA (due to level of effort) and is not made publicly available due to homeland security</w:t>
      </w:r>
      <w:r w:rsidRPr="00A3691C">
        <w:t xml:space="preserve"> concerns, this information source is not considered a ready substitute for the portion of TRI concerning maximum amount of chemicals stored on site.</w:t>
      </w:r>
    </w:p>
    <w:p w:rsidR="00A64CE8" w:rsidRPr="00A3691C" w:rsidP="00A3691C" w14:paraId="4EF407C3" w14:textId="77777777">
      <w:pPr>
        <w:tabs>
          <w:tab w:val="left" w:pos="8880"/>
        </w:tabs>
        <w:spacing w:after="200" w:line="276" w:lineRule="auto"/>
        <w:rPr>
          <w:rFonts w:cs="Arial"/>
        </w:rPr>
      </w:pPr>
      <w:r w:rsidRPr="00A3691C">
        <w:rPr>
          <w:rFonts w:cs="Arial"/>
        </w:rPr>
        <w:t xml:space="preserve">Under </w:t>
      </w:r>
      <w:r w:rsidRPr="00A3691C" w:rsidR="008F38FD">
        <w:rPr>
          <w:rFonts w:cs="Arial"/>
        </w:rPr>
        <w:t xml:space="preserve">section </w:t>
      </w:r>
      <w:r w:rsidRPr="00A3691C">
        <w:rPr>
          <w:rFonts w:cs="Arial"/>
        </w:rPr>
        <w:t xml:space="preserve">112(r) of the Clean Air Act, facilities with processes that use or store more than a specified amount of certain flammable and toxic substances must develop and implement a risk management program and submit to EPA a summary of their program—called a Risk </w:t>
      </w:r>
      <w:r w:rsidRPr="00A3691C">
        <w:rPr>
          <w:rFonts w:cs="Arial"/>
        </w:rPr>
        <w:t xml:space="preserve">Management Plan (RMP). These plans include the amounts (in pounds) of each substance that are processed or used, hazard assessments of the potential effects of hypothetical accident scenarios, a five-year history of accidental releases involving regulated </w:t>
      </w:r>
      <w:r w:rsidRPr="00A3691C">
        <w:rPr>
          <w:rFonts w:cs="Arial"/>
        </w:rPr>
        <w:t xml:space="preserve">substances at the facility, and information about the facility’s accident prevention and emergency response programs. Facilities with processes that use or store more than a threshold amount (500–20,000 pounds) of a listed </w:t>
      </w:r>
      <w:r w:rsidRPr="00A3691C" w:rsidR="00705C73">
        <w:rPr>
          <w:rFonts w:cs="Arial"/>
        </w:rPr>
        <w:t>substance</w:t>
      </w:r>
      <w:r w:rsidRPr="00A3691C">
        <w:rPr>
          <w:rFonts w:cs="Arial"/>
        </w:rPr>
        <w:t xml:space="preserve"> must file an RMP, inclu</w:t>
      </w:r>
      <w:r w:rsidRPr="00A3691C">
        <w:rPr>
          <w:rFonts w:cs="Arial"/>
        </w:rPr>
        <w:t xml:space="preserve">ding following a significant accidental release. </w:t>
      </w:r>
      <w:r w:rsidRPr="00A3691C" w:rsidR="00705C73">
        <w:rPr>
          <w:rFonts w:cs="Arial"/>
        </w:rPr>
        <w:t>Facilities must update and resubmit RMPs in events of operational changes</w:t>
      </w:r>
      <w:r w:rsidRPr="00A3691C" w:rsidR="002147F7">
        <w:rPr>
          <w:rFonts w:cs="Arial"/>
        </w:rPr>
        <w:t>, an accident,</w:t>
      </w:r>
      <w:r w:rsidRPr="00A3691C" w:rsidR="00705C73">
        <w:rPr>
          <w:rFonts w:cs="Arial"/>
        </w:rPr>
        <w:t xml:space="preserve"> or every five years. </w:t>
      </w:r>
      <w:r w:rsidRPr="00A3691C">
        <w:rPr>
          <w:rFonts w:cs="Arial"/>
        </w:rPr>
        <w:t xml:space="preserve">RMP </w:t>
      </w:r>
      <w:r w:rsidRPr="00A3691C" w:rsidR="002147F7">
        <w:rPr>
          <w:rFonts w:cs="Arial"/>
        </w:rPr>
        <w:t xml:space="preserve">inventory </w:t>
      </w:r>
      <w:r w:rsidRPr="00A3691C">
        <w:rPr>
          <w:rFonts w:cs="Arial"/>
        </w:rPr>
        <w:t xml:space="preserve">data </w:t>
      </w:r>
      <w:r w:rsidRPr="00A3691C" w:rsidR="002147F7">
        <w:rPr>
          <w:rFonts w:cs="Arial"/>
        </w:rPr>
        <w:t xml:space="preserve">(i.e., identification of chemicals used and maximum amount on-site) do not substitute for TRI </w:t>
      </w:r>
      <w:r w:rsidRPr="00A3691C">
        <w:rPr>
          <w:rFonts w:cs="Arial"/>
        </w:rPr>
        <w:t>as: (1) RMP covers only 54 of the 683 TRI chemical and chemical compound categories</w:t>
      </w:r>
      <w:r>
        <w:rPr>
          <w:rStyle w:val="FootnoteReference"/>
          <w:rFonts w:cs="Arial"/>
        </w:rPr>
        <w:footnoteReference w:id="8"/>
      </w:r>
      <w:r w:rsidRPr="00A3691C">
        <w:rPr>
          <w:rFonts w:cs="Arial"/>
        </w:rPr>
        <w:t xml:space="preserve"> </w:t>
      </w:r>
      <w:r w:rsidRPr="00A3691C" w:rsidR="002147F7">
        <w:rPr>
          <w:rFonts w:cs="Arial"/>
        </w:rPr>
        <w:t xml:space="preserve">and </w:t>
      </w:r>
      <w:r w:rsidRPr="00A3691C">
        <w:rPr>
          <w:rFonts w:cs="Arial"/>
        </w:rPr>
        <w:t>(2) RMP reporting occurs every five years, as opposed to annually for TRI.</w:t>
      </w:r>
      <w:r>
        <w:rPr>
          <w:rStyle w:val="FootnoteReference"/>
          <w:rFonts w:cs="Arial"/>
        </w:rPr>
        <w:footnoteReference w:id="9"/>
      </w:r>
    </w:p>
    <w:p w:rsidR="002147F7" w:rsidP="00A3691C" w14:paraId="02DAA780" w14:textId="77777777">
      <w:pPr>
        <w:tabs>
          <w:tab w:val="left" w:pos="630"/>
        </w:tabs>
        <w:spacing w:after="200" w:line="276" w:lineRule="auto"/>
        <w:rPr>
          <w:rFonts w:cs="Arial"/>
        </w:rPr>
      </w:pPr>
      <w:r w:rsidRPr="00A3691C">
        <w:rPr>
          <w:rFonts w:cs="Arial"/>
        </w:rPr>
        <w:t xml:space="preserve">Under </w:t>
      </w:r>
      <w:r w:rsidRPr="00A3691C" w:rsidR="008F38FD">
        <w:rPr>
          <w:rFonts w:cs="Arial"/>
        </w:rPr>
        <w:t>s</w:t>
      </w:r>
      <w:r w:rsidRPr="00A3691C">
        <w:rPr>
          <w:rFonts w:cs="Arial"/>
        </w:rPr>
        <w:t>ection 8(a) of the Toxic Substances Control Act (TSCA), chemical ma</w:t>
      </w:r>
      <w:r w:rsidRPr="00A3691C">
        <w:rPr>
          <w:rFonts w:cs="Arial"/>
        </w:rPr>
        <w:t>nufacturers and importers must report to EPA’s Chemical Data Reporting (CDR) every four years. Facilities must report chemical production amounts for sites that produce (including imported) 25,000 pounds or more of a TSCA inventory chemical substance durin</w:t>
      </w:r>
      <w:r w:rsidRPr="00A3691C">
        <w:rPr>
          <w:rFonts w:cs="Arial"/>
        </w:rPr>
        <w:t xml:space="preserve">g </w:t>
      </w:r>
      <w:r w:rsidRPr="00A3691C">
        <w:rPr>
          <w:rFonts w:cs="Arial"/>
          <w:bCs/>
        </w:rPr>
        <w:t>any one calendar year between submission periods.</w:t>
      </w:r>
      <w:r w:rsidRPr="00A3691C">
        <w:rPr>
          <w:rFonts w:cs="Arial"/>
        </w:rPr>
        <w:t xml:space="preserve"> Facilities must also report downstream uses of their chemicals as well as characterizing end uses of the chemical. CDR includes annual production volume, chemical concentration, and physical form data not</w:t>
      </w:r>
      <w:r w:rsidRPr="00A3691C">
        <w:rPr>
          <w:rFonts w:cs="Arial"/>
        </w:rPr>
        <w:t xml:space="preserve"> found in TRI</w:t>
      </w:r>
      <w:r w:rsidRPr="00A3691C" w:rsidR="00560D2F">
        <w:rPr>
          <w:rFonts w:cs="Arial"/>
        </w:rPr>
        <w:t xml:space="preserve">. </w:t>
      </w:r>
      <w:r w:rsidRPr="00A3691C">
        <w:rPr>
          <w:rFonts w:cs="Arial"/>
        </w:rPr>
        <w:t xml:space="preserve">CDR also </w:t>
      </w:r>
      <w:r w:rsidR="005C470A">
        <w:rPr>
          <w:rFonts w:cs="Arial"/>
        </w:rPr>
        <w:t>covers</w:t>
      </w:r>
      <w:r w:rsidRPr="00A3691C" w:rsidR="005C470A">
        <w:rPr>
          <w:rFonts w:cs="Arial"/>
        </w:rPr>
        <w:t xml:space="preserve"> </w:t>
      </w:r>
      <w:r w:rsidRPr="00A3691C">
        <w:rPr>
          <w:rFonts w:cs="Arial"/>
        </w:rPr>
        <w:t>a broader range of chemicals than TRI</w:t>
      </w:r>
      <w:r w:rsidRPr="00A3691C" w:rsidR="00560D2F">
        <w:rPr>
          <w:rFonts w:cs="Arial"/>
        </w:rPr>
        <w:t xml:space="preserve">. </w:t>
      </w:r>
      <w:r w:rsidRPr="00A3691C">
        <w:rPr>
          <w:rFonts w:cs="Arial"/>
        </w:rPr>
        <w:t xml:space="preserve">However, CDR reporting is applicable only to chemical manufacturers (including importers). </w:t>
      </w:r>
    </w:p>
    <w:p w:rsidR="00EE4E89" w:rsidRPr="00A3691C" w:rsidP="00A3691C" w14:paraId="19587CF2" w14:textId="77777777">
      <w:pPr>
        <w:tabs>
          <w:tab w:val="left" w:pos="630"/>
        </w:tabs>
        <w:spacing w:after="200" w:line="276" w:lineRule="auto"/>
        <w:rPr>
          <w:rFonts w:cs="Arial"/>
        </w:rPr>
      </w:pPr>
      <w:r>
        <w:rPr>
          <w:rFonts w:cs="Arial"/>
        </w:rPr>
        <w:t>Under the Hazard Communication Standard (20 CFR 1910.1200), the Occupational Safety and Health</w:t>
      </w:r>
      <w:r>
        <w:rPr>
          <w:rFonts w:cs="Arial"/>
        </w:rPr>
        <w:t xml:space="preserve"> Administration (OSHA) requires that safety data sheets (SDS) be prepared by manufacturers, importers, and distributors </w:t>
      </w:r>
      <w:r w:rsidR="00AE37CD">
        <w:rPr>
          <w:rFonts w:cs="Arial"/>
        </w:rPr>
        <w:t>of</w:t>
      </w:r>
      <w:r>
        <w:rPr>
          <w:rFonts w:cs="Arial"/>
        </w:rPr>
        <w:t xml:space="preserve"> hazardous chemical</w:t>
      </w:r>
      <w:r w:rsidR="00C13675">
        <w:rPr>
          <w:rFonts w:cs="Arial"/>
        </w:rPr>
        <w:t>s</w:t>
      </w:r>
      <w:r w:rsidR="00AE37CD">
        <w:rPr>
          <w:rFonts w:cs="Arial"/>
        </w:rPr>
        <w:t xml:space="preserve"> present above their respective concentration limits</w:t>
      </w:r>
      <w:r>
        <w:rPr>
          <w:rFonts w:cs="Arial"/>
        </w:rPr>
        <w:t xml:space="preserve"> and provided to downstream users </w:t>
      </w:r>
      <w:r w:rsidR="00300145">
        <w:rPr>
          <w:rFonts w:cs="Arial"/>
        </w:rPr>
        <w:t>to</w:t>
      </w:r>
      <w:r>
        <w:rPr>
          <w:rFonts w:cs="Arial"/>
        </w:rPr>
        <w:t xml:space="preserve"> communicate information o</w:t>
      </w:r>
      <w:r>
        <w:rPr>
          <w:rFonts w:cs="Arial"/>
        </w:rPr>
        <w:t>n these hazards. SDSs include</w:t>
      </w:r>
      <w:r w:rsidR="00300145">
        <w:rPr>
          <w:rFonts w:cs="Arial"/>
        </w:rPr>
        <w:t xml:space="preserve"> certain required</w:t>
      </w:r>
      <w:r>
        <w:rPr>
          <w:rFonts w:cs="Arial"/>
        </w:rPr>
        <w:t xml:space="preserve"> information such as </w:t>
      </w:r>
      <w:r w:rsidR="00300145">
        <w:rPr>
          <w:rFonts w:cs="Arial"/>
        </w:rPr>
        <w:t>product and chemical identification</w:t>
      </w:r>
      <w:r>
        <w:rPr>
          <w:rFonts w:cs="Arial"/>
        </w:rPr>
        <w:t xml:space="preserve">, </w:t>
      </w:r>
      <w:r w:rsidR="00C13675">
        <w:rPr>
          <w:rFonts w:cs="Arial"/>
        </w:rPr>
        <w:t xml:space="preserve">composition and ingredient information, </w:t>
      </w:r>
      <w:r w:rsidR="00300145">
        <w:rPr>
          <w:rFonts w:cs="Arial"/>
        </w:rPr>
        <w:t>hazard identification</w:t>
      </w:r>
      <w:r>
        <w:rPr>
          <w:rFonts w:cs="Arial"/>
        </w:rPr>
        <w:t xml:space="preserve">, </w:t>
      </w:r>
      <w:r w:rsidR="00300145">
        <w:rPr>
          <w:rFonts w:cs="Arial"/>
        </w:rPr>
        <w:t xml:space="preserve">physical and chemical properties, </w:t>
      </w:r>
      <w:r>
        <w:rPr>
          <w:rFonts w:cs="Arial"/>
        </w:rPr>
        <w:t xml:space="preserve">and safety precautions to be </w:t>
      </w:r>
      <w:r w:rsidR="00300145">
        <w:rPr>
          <w:rFonts w:cs="Arial"/>
        </w:rPr>
        <w:t xml:space="preserve">used when handling or storing the hazardous substance. </w:t>
      </w:r>
      <w:r w:rsidR="00C13675">
        <w:rPr>
          <w:rFonts w:cs="Arial"/>
        </w:rPr>
        <w:t>The HCS also</w:t>
      </w:r>
      <w:r w:rsidR="00300145">
        <w:rPr>
          <w:rFonts w:cs="Arial"/>
        </w:rPr>
        <w:t xml:space="preserve"> </w:t>
      </w:r>
      <w:r w:rsidR="00C13675">
        <w:rPr>
          <w:rFonts w:cs="Arial"/>
        </w:rPr>
        <w:t>describes</w:t>
      </w:r>
      <w:r w:rsidR="00300145">
        <w:rPr>
          <w:rFonts w:cs="Arial"/>
        </w:rPr>
        <w:t xml:space="preserve"> optional information that may be included on an SDS, such as regulatory information. </w:t>
      </w:r>
      <w:r w:rsidR="00C13675">
        <w:rPr>
          <w:rFonts w:cs="Arial"/>
        </w:rPr>
        <w:t>Under TRI’s supplier notification requirements</w:t>
      </w:r>
      <w:r w:rsidR="00AE37CD">
        <w:rPr>
          <w:rFonts w:cs="Arial"/>
        </w:rPr>
        <w:t xml:space="preserve"> (40 CFR 372.45)</w:t>
      </w:r>
      <w:r w:rsidR="00C13675">
        <w:rPr>
          <w:rFonts w:cs="Arial"/>
        </w:rPr>
        <w:t>, a supplier</w:t>
      </w:r>
      <w:r w:rsidR="00AE37CD">
        <w:rPr>
          <w:rFonts w:cs="Arial"/>
        </w:rPr>
        <w:t xml:space="preserve"> of a mixture or trade name product which includes a TRI chemical</w:t>
      </w:r>
      <w:r w:rsidR="00C13675">
        <w:rPr>
          <w:rFonts w:cs="Arial"/>
        </w:rPr>
        <w:t xml:space="preserve"> would have to </w:t>
      </w:r>
      <w:r w:rsidR="00AE37CD">
        <w:rPr>
          <w:rFonts w:cs="Arial"/>
        </w:rPr>
        <w:t>notify</w:t>
      </w:r>
      <w:r w:rsidR="00C13675">
        <w:rPr>
          <w:rFonts w:cs="Arial"/>
        </w:rPr>
        <w:t xml:space="preserve"> downstream suppliers (including TRI facilities, or customers who would subsequently distribute the product to TRI facilities)</w:t>
      </w:r>
      <w:r w:rsidR="00AE37CD">
        <w:rPr>
          <w:rFonts w:cs="Arial"/>
        </w:rPr>
        <w:t xml:space="preserve"> of the mixture or product’s inclusion of the TRI chemical and the chemical’s concentration. This notice must be provided at least with the first shipment of the year, and after any product reformulation alters the concentration. If a mixture or trade name product is subject to both SDS and TRI supplier notification requirements, the supplier notification regulation allows the supplier to attach or incorporate the necessary information into the SDS to limit any duplicative requirements while providing necessary information on the presence for TRI chemicals for TRI reporting facilities. </w:t>
      </w:r>
      <w:r w:rsidR="002952B8">
        <w:rPr>
          <w:rFonts w:cs="Arial"/>
        </w:rPr>
        <w:t>Both</w:t>
      </w:r>
      <w:r w:rsidR="00AE37CD">
        <w:rPr>
          <w:rFonts w:cs="Arial"/>
        </w:rPr>
        <w:t xml:space="preserve"> SDS and supplier notification regulations currently include a de minimis exemption to allow covered entities to disr</w:t>
      </w:r>
      <w:r w:rsidR="002952B8">
        <w:rPr>
          <w:rFonts w:cs="Arial"/>
        </w:rPr>
        <w:t>egard low concentrations of chemicals. However, t</w:t>
      </w:r>
      <w:r w:rsidRPr="002952B8" w:rsidR="002952B8">
        <w:rPr>
          <w:rFonts w:cs="Arial"/>
        </w:rPr>
        <w:t xml:space="preserve">he removal of the “de minimis” exemption for the TRI supplier notification requirement may mean that an entity would need to provide a supplier notification requirement for a </w:t>
      </w:r>
      <w:r w:rsidR="00734F4B">
        <w:rPr>
          <w:rFonts w:cs="Arial"/>
        </w:rPr>
        <w:t xml:space="preserve">TRI </w:t>
      </w:r>
      <w:r w:rsidRPr="002952B8" w:rsidR="002952B8">
        <w:rPr>
          <w:rFonts w:cs="Arial"/>
        </w:rPr>
        <w:t>chemical where it would not need to list the chemical substance on an SDS.</w:t>
      </w:r>
    </w:p>
    <w:p w:rsidR="00A64CE8" w:rsidRPr="00A3691C" w:rsidP="000E5743" w14:paraId="72BE002B" w14:textId="77777777">
      <w:pPr>
        <w:pStyle w:val="Heading1"/>
      </w:pPr>
      <w:r w:rsidRPr="00A3691C">
        <w:t>Pollution Prevention Data</w:t>
      </w:r>
    </w:p>
    <w:p w:rsidR="00A64CE8" w:rsidRPr="00A3691C" w:rsidP="00A3691C" w14:paraId="7E19618F" w14:textId="77777777">
      <w:pPr>
        <w:tabs>
          <w:tab w:val="left" w:pos="8880"/>
        </w:tabs>
        <w:spacing w:after="200" w:line="276" w:lineRule="auto"/>
        <w:rPr>
          <w:rFonts w:cs="Arial"/>
        </w:rPr>
      </w:pPr>
      <w:r w:rsidRPr="00A3691C">
        <w:rPr>
          <w:rFonts w:cs="Arial"/>
        </w:rPr>
        <w:t>TRI</w:t>
      </w:r>
      <w:r w:rsidRPr="00A3691C" w:rsidR="00946B49">
        <w:rPr>
          <w:rFonts w:cs="Arial"/>
        </w:rPr>
        <w:t xml:space="preserve"> also collects pollution prevention data from reporting facilities</w:t>
      </w:r>
      <w:r w:rsidRPr="00A3691C" w:rsidR="00560D2F">
        <w:rPr>
          <w:rFonts w:cs="Arial"/>
        </w:rPr>
        <w:t xml:space="preserve">. </w:t>
      </w:r>
      <w:r w:rsidRPr="00A3691C" w:rsidR="00946B49">
        <w:rPr>
          <w:rFonts w:cs="Arial"/>
        </w:rPr>
        <w:t>These data include quantities of chemicals managed by waste management practice (e.g., recycling, energy recovery, etc.) and source reduction activities implemented at the facility</w:t>
      </w:r>
      <w:r w:rsidRPr="00A3691C" w:rsidR="00B77BCE">
        <w:rPr>
          <w:rFonts w:cs="Arial"/>
        </w:rPr>
        <w:t>.</w:t>
      </w:r>
    </w:p>
    <w:p w:rsidR="00A64CE8" w:rsidRPr="00A3691C" w:rsidP="00A3691C" w14:paraId="2EC0B98A" w14:textId="77777777">
      <w:pPr>
        <w:tabs>
          <w:tab w:val="left" w:pos="8880"/>
        </w:tabs>
        <w:spacing w:after="200" w:line="276" w:lineRule="auto"/>
        <w:rPr>
          <w:rFonts w:cs="Arial"/>
        </w:rPr>
      </w:pPr>
      <w:r w:rsidRPr="00A3691C">
        <w:rPr>
          <w:rFonts w:cs="Arial"/>
        </w:rPr>
        <w:t>Under the Resource Conservat</w:t>
      </w:r>
      <w:r w:rsidRPr="00A3691C">
        <w:rPr>
          <w:rFonts w:cs="Arial"/>
        </w:rPr>
        <w:t xml:space="preserve">ion and Recovery Act (RCRA), facilities must report </w:t>
      </w:r>
      <w:r w:rsidRPr="00A3691C" w:rsidR="002147F7">
        <w:rPr>
          <w:rFonts w:cs="Arial"/>
        </w:rPr>
        <w:t xml:space="preserve">some </w:t>
      </w:r>
      <w:r w:rsidRPr="00A3691C">
        <w:rPr>
          <w:rFonts w:cs="Arial"/>
        </w:rPr>
        <w:t xml:space="preserve">pollution prevention data in their Biennial </w:t>
      </w:r>
      <w:r w:rsidRPr="00A3691C">
        <w:rPr>
          <w:rFonts w:cs="Arial"/>
          <w:bCs/>
        </w:rPr>
        <w:t>Hazardous Waste Reports</w:t>
      </w:r>
      <w:r w:rsidRPr="00A3691C">
        <w:rPr>
          <w:rFonts w:cs="Arial"/>
        </w:rPr>
        <w:t xml:space="preserve"> (described above). While </w:t>
      </w:r>
      <w:r w:rsidRPr="00A3691C" w:rsidR="00877E03">
        <w:rPr>
          <w:rFonts w:cs="Arial"/>
        </w:rPr>
        <w:t xml:space="preserve">these biennial reports </w:t>
      </w:r>
      <w:r w:rsidRPr="00A3691C">
        <w:rPr>
          <w:rFonts w:cs="Arial"/>
        </w:rPr>
        <w:t>provide qualitative and quantitative pollution prevention information, facility and</w:t>
      </w:r>
      <w:r w:rsidRPr="00A3691C">
        <w:rPr>
          <w:rFonts w:cs="Arial"/>
        </w:rPr>
        <w:t xml:space="preserve"> chemical coverage is not directly comparable to data required for TRI reporting</w:t>
      </w:r>
      <w:r w:rsidRPr="00A3691C" w:rsidR="00560D2F">
        <w:rPr>
          <w:rFonts w:cs="Arial"/>
        </w:rPr>
        <w:t xml:space="preserve">. </w:t>
      </w:r>
      <w:r w:rsidRPr="00A3691C" w:rsidR="00877E03">
        <w:rPr>
          <w:rFonts w:cs="Arial"/>
        </w:rPr>
        <w:t xml:space="preserve">Biennial reports </w:t>
      </w:r>
      <w:r w:rsidRPr="00A3691C">
        <w:rPr>
          <w:rFonts w:cs="Arial"/>
        </w:rPr>
        <w:t>contain data on generation, transfer, and management of hazardous wastes; TRI reporting requires data on toxic chemicals in waste streams or process by-produ</w:t>
      </w:r>
      <w:r w:rsidRPr="00A3691C">
        <w:rPr>
          <w:rFonts w:cs="Arial"/>
        </w:rPr>
        <w:t>cts (al</w:t>
      </w:r>
      <w:r w:rsidRPr="00A3691C" w:rsidR="008F38FD">
        <w:rPr>
          <w:rFonts w:cs="Arial"/>
        </w:rPr>
        <w:t>l production phases and media).</w:t>
      </w:r>
    </w:p>
    <w:p w:rsidR="00094DDA" w:rsidRPr="00A3691C" w:rsidP="00A3691C" w14:paraId="329AB016" w14:textId="77777777">
      <w:pPr>
        <w:spacing w:after="200" w:line="276" w:lineRule="auto"/>
        <w:ind w:right="432"/>
        <w:rPr>
          <w:rFonts w:cs="Arial"/>
        </w:rPr>
      </w:pPr>
      <w:r w:rsidRPr="00A3691C">
        <w:rPr>
          <w:rFonts w:cs="Arial"/>
        </w:rPr>
        <w:t>Under various state regulations, at least fourteen states</w:t>
      </w:r>
      <w:r>
        <w:rPr>
          <w:rStyle w:val="FootnoteReference"/>
          <w:rFonts w:cs="Arial"/>
        </w:rPr>
        <w:footnoteReference w:id="10"/>
      </w:r>
      <w:r w:rsidRPr="00A3691C">
        <w:rPr>
          <w:rFonts w:cs="Arial"/>
        </w:rPr>
        <w:t xml:space="preserve"> implement mandatory pollution prevention programs for TRI filers, facilities that use toxic chemicals, or generators of hazardous waste</w:t>
      </w:r>
      <w:r w:rsidRPr="00A3691C" w:rsidR="00560D2F">
        <w:rPr>
          <w:rFonts w:cs="Arial"/>
        </w:rPr>
        <w:t xml:space="preserve">. </w:t>
      </w:r>
      <w:r w:rsidRPr="00A3691C">
        <w:rPr>
          <w:rFonts w:cs="Arial"/>
        </w:rPr>
        <w:t>Pollution prevention</w:t>
      </w:r>
      <w:r w:rsidRPr="00A3691C">
        <w:rPr>
          <w:rFonts w:cs="Arial"/>
        </w:rPr>
        <w:t xml:space="preserve"> data are collected under these programs and stored in databases administered by state environmental agencies</w:t>
      </w:r>
      <w:r w:rsidRPr="00A3691C" w:rsidR="00560D2F">
        <w:rPr>
          <w:rFonts w:cs="Arial"/>
        </w:rPr>
        <w:t xml:space="preserve">. </w:t>
      </w:r>
      <w:r w:rsidRPr="00A3691C">
        <w:rPr>
          <w:rFonts w:cs="Arial"/>
        </w:rPr>
        <w:t xml:space="preserve">The types of pollution prevention data collected vary by </w:t>
      </w:r>
      <w:r w:rsidRPr="00A3691C" w:rsidR="00ED68A1">
        <w:rPr>
          <w:rFonts w:cs="Arial"/>
        </w:rPr>
        <w:t>state and</w:t>
      </w:r>
      <w:r w:rsidRPr="00A3691C">
        <w:rPr>
          <w:rFonts w:cs="Arial"/>
        </w:rPr>
        <w:t xml:space="preserve"> may include both data similar to that collected by TRI (e.g., quantities of waste managed, source reduction activities) and details not found in TRI (e.g., pollution prevention plans, costs associated with waste management, etc.)</w:t>
      </w:r>
      <w:r w:rsidRPr="00A3691C" w:rsidR="00560D2F">
        <w:rPr>
          <w:rFonts w:cs="Arial"/>
        </w:rPr>
        <w:t xml:space="preserve">. </w:t>
      </w:r>
      <w:r w:rsidRPr="00A3691C">
        <w:rPr>
          <w:rFonts w:cs="Arial"/>
        </w:rPr>
        <w:t>However, no federal or s</w:t>
      </w:r>
      <w:r w:rsidRPr="00A3691C">
        <w:rPr>
          <w:rFonts w:cs="Arial"/>
        </w:rPr>
        <w:t>tate program collects all of the pollution prevention data currently required by TRI.</w:t>
      </w:r>
    </w:p>
    <w:p w:rsidR="000600E1" w:rsidRPr="00A3691C" w:rsidP="00A3691C" w14:paraId="7362045F" w14:textId="77777777">
      <w:pPr>
        <w:pStyle w:val="Heading1"/>
        <w:spacing w:before="0" w:after="200" w:line="276" w:lineRule="auto"/>
        <w:rPr>
          <w:rFonts w:cs="Arial"/>
          <w:b w:val="0"/>
          <w:bCs w:val="0"/>
        </w:rPr>
      </w:pPr>
      <w:r w:rsidRPr="00A3691C">
        <w:rPr>
          <w:rFonts w:cs="Arial"/>
        </w:rPr>
        <w:t>5. If the collection of information impacts small businesses or other small entities, describe any methods used to minimize burden.</w:t>
      </w:r>
    </w:p>
    <w:p w:rsidR="000600E1" w:rsidRPr="00A3691C" w:rsidP="00A3691C" w14:paraId="124E9C30" w14:textId="77777777">
      <w:pPr>
        <w:spacing w:after="200" w:line="276" w:lineRule="auto"/>
        <w:ind w:right="216"/>
        <w:rPr>
          <w:rFonts w:cs="Arial"/>
        </w:rPr>
      </w:pPr>
      <w:r w:rsidRPr="00A3691C">
        <w:rPr>
          <w:rFonts w:cs="Arial"/>
        </w:rPr>
        <w:t xml:space="preserve">Under EPCRA section 313 (b)(1)(A), </w:t>
      </w:r>
      <w:r w:rsidRPr="00A3691C">
        <w:rPr>
          <w:rFonts w:cs="Arial"/>
          <w:spacing w:val="-2"/>
        </w:rPr>
        <w:t>fac</w:t>
      </w:r>
      <w:r w:rsidRPr="00A3691C">
        <w:rPr>
          <w:rFonts w:cs="Arial"/>
          <w:spacing w:val="-2"/>
        </w:rPr>
        <w:t>ilities with fewer than 10 full-time employees (or the equivalent) do not have</w:t>
      </w:r>
      <w:r w:rsidRPr="00A3691C">
        <w:rPr>
          <w:rFonts w:cs="Arial"/>
        </w:rPr>
        <w:t xml:space="preserve"> to report. </w:t>
      </w:r>
    </w:p>
    <w:p w:rsidR="000600E1" w:rsidRPr="00A3691C" w:rsidP="00A3691C" w14:paraId="6CCA91A9" w14:textId="77777777">
      <w:pPr>
        <w:pStyle w:val="Heading1"/>
        <w:spacing w:before="0" w:after="200" w:line="276" w:lineRule="auto"/>
        <w:rPr>
          <w:rFonts w:cs="Arial"/>
          <w:b w:val="0"/>
          <w:bCs w:val="0"/>
        </w:rPr>
      </w:pPr>
      <w:r w:rsidRPr="00A3691C">
        <w:rPr>
          <w:rFonts w:cs="Arial"/>
        </w:rPr>
        <w:t>6. Describe the consequence to Federal program or policy activities if the collection is not conducted or is conducted less frequently, as well as any technical or l</w:t>
      </w:r>
      <w:r w:rsidRPr="00A3691C">
        <w:rPr>
          <w:rFonts w:cs="Arial"/>
        </w:rPr>
        <w:t>egal obstacles to reducing burden.</w:t>
      </w:r>
    </w:p>
    <w:p w:rsidR="00A64CE8" w:rsidRPr="00A3691C" w:rsidP="00A3691C" w14:paraId="3242F163" w14:textId="77777777">
      <w:pPr>
        <w:spacing w:after="200" w:line="276" w:lineRule="auto"/>
        <w:ind w:right="504"/>
        <w:rPr>
          <w:rFonts w:cs="Arial"/>
        </w:rPr>
      </w:pPr>
      <w:r w:rsidRPr="00A3691C">
        <w:rPr>
          <w:rFonts w:cs="Arial"/>
        </w:rPr>
        <w:t xml:space="preserve">Section 313 requires annual reporting. Section 313(i) permits EPA to modify the reporting frequency by rulemaking; however, EPA must first notify Congress and then delay the </w:t>
      </w:r>
      <w:r w:rsidRPr="00A3691C">
        <w:rPr>
          <w:rFonts w:cs="Arial"/>
          <w:spacing w:val="-2"/>
        </w:rPr>
        <w:t>initiation of such a rulemaking for at least 12 months, but no more than 24 months</w:t>
      </w:r>
      <w:r w:rsidRPr="00A3691C">
        <w:rPr>
          <w:rFonts w:cs="Arial"/>
          <w:spacing w:val="-2"/>
        </w:rPr>
        <w:t>, from the</w:t>
      </w:r>
      <w:r w:rsidRPr="00A3691C">
        <w:rPr>
          <w:rFonts w:cs="Arial"/>
        </w:rPr>
        <w:t xml:space="preserve"> date of the notification. In addition, EPA must find:</w:t>
      </w:r>
      <w:r w:rsidRPr="00A3691C">
        <w:rPr>
          <w:rFonts w:cs="Arial"/>
          <w:spacing w:val="-2"/>
        </w:rPr>
        <w:t xml:space="preserve"> that the modification is consistent with the provisions of subsection (h) of </w:t>
      </w:r>
      <w:r w:rsidRPr="00A3691C" w:rsidR="00D90795">
        <w:rPr>
          <w:rFonts w:cs="Arial"/>
        </w:rPr>
        <w:t>section</w:t>
      </w:r>
      <w:r w:rsidRPr="00A3691C" w:rsidR="004069D8">
        <w:rPr>
          <w:rFonts w:cs="Arial"/>
        </w:rPr>
        <w:t xml:space="preserve"> </w:t>
      </w:r>
      <w:r w:rsidRPr="00A3691C">
        <w:rPr>
          <w:rFonts w:cs="Arial"/>
          <w:spacing w:val="-2"/>
        </w:rPr>
        <w:t>313</w:t>
      </w:r>
      <w:r w:rsidRPr="00A3691C">
        <w:rPr>
          <w:rFonts w:cs="Arial"/>
        </w:rPr>
        <w:t xml:space="preserve"> based on:</w:t>
      </w:r>
    </w:p>
    <w:p w:rsidR="00A64CE8" w:rsidRPr="00A3691C" w:rsidP="00A3691C" w14:paraId="4D333982" w14:textId="77777777">
      <w:pPr>
        <w:spacing w:after="200" w:line="276" w:lineRule="auto"/>
        <w:ind w:left="720" w:hanging="360"/>
        <w:rPr>
          <w:rFonts w:cs="Arial"/>
        </w:rPr>
      </w:pPr>
      <w:r w:rsidRPr="00A3691C">
        <w:rPr>
          <w:rFonts w:cs="Arial"/>
        </w:rPr>
        <w:t>(i)</w:t>
      </w:r>
      <w:r w:rsidRPr="00A3691C">
        <w:rPr>
          <w:rFonts w:cs="Arial"/>
        </w:rPr>
        <w:tab/>
        <w:t>experience from previously submitted toxic chemical release forms; and</w:t>
      </w:r>
    </w:p>
    <w:p w:rsidR="00A64CE8" w:rsidRPr="00A3691C" w:rsidP="00A3691C" w14:paraId="41320233" w14:textId="77777777">
      <w:pPr>
        <w:spacing w:after="200" w:line="276" w:lineRule="auto"/>
        <w:ind w:left="720" w:hanging="360"/>
        <w:rPr>
          <w:rFonts w:cs="Arial"/>
        </w:rPr>
      </w:pPr>
      <w:r w:rsidRPr="00A3691C">
        <w:rPr>
          <w:rFonts w:cs="Arial"/>
        </w:rPr>
        <w:t>(ii)</w:t>
      </w:r>
      <w:r w:rsidRPr="00A3691C">
        <w:rPr>
          <w:rFonts w:cs="Arial"/>
        </w:rPr>
        <w:tab/>
        <w:t>determinatio</w:t>
      </w:r>
      <w:r w:rsidRPr="00A3691C">
        <w:rPr>
          <w:rFonts w:cs="Arial"/>
        </w:rPr>
        <w:t>ns made under paragraph (3).</w:t>
      </w:r>
    </w:p>
    <w:p w:rsidR="00A64CE8" w:rsidRPr="00A3691C" w:rsidP="00A3691C" w14:paraId="368B2D6E" w14:textId="77777777">
      <w:pPr>
        <w:spacing w:after="200" w:line="276" w:lineRule="auto"/>
        <w:rPr>
          <w:rFonts w:cs="Arial"/>
        </w:rPr>
      </w:pPr>
      <w:r w:rsidRPr="00A3691C">
        <w:rPr>
          <w:rFonts w:cs="Arial"/>
        </w:rPr>
        <w:t>Paragraph (3), in turn, provides that EPA must determine:</w:t>
      </w:r>
    </w:p>
    <w:p w:rsidR="00A64CE8" w:rsidRPr="00A3691C" w:rsidP="00A3691C" w14:paraId="145A92B4" w14:textId="77777777">
      <w:pPr>
        <w:numPr>
          <w:ilvl w:val="0"/>
          <w:numId w:val="8"/>
        </w:numPr>
        <w:tabs>
          <w:tab w:val="clear" w:pos="432"/>
          <w:tab w:val="num" w:pos="720"/>
        </w:tabs>
        <w:spacing w:after="200" w:line="276" w:lineRule="auto"/>
        <w:ind w:left="720" w:right="648" w:hanging="360"/>
        <w:rPr>
          <w:rFonts w:cs="Arial"/>
        </w:rPr>
      </w:pPr>
      <w:r w:rsidRPr="00A3691C">
        <w:rPr>
          <w:rFonts w:cs="Arial"/>
        </w:rPr>
        <w:t>The extent to which information relating to the modification provided on the toxic chemical release forms has been used by the Administrator or other agencies of the fed</w:t>
      </w:r>
      <w:r w:rsidRPr="00A3691C">
        <w:rPr>
          <w:rFonts w:cs="Arial"/>
        </w:rPr>
        <w:t>eral government, states, local governments, health professionals and the public.</w:t>
      </w:r>
    </w:p>
    <w:p w:rsidR="00A64CE8" w:rsidRPr="00A3691C" w:rsidP="00A3691C" w14:paraId="71BAD0A4" w14:textId="77777777">
      <w:pPr>
        <w:numPr>
          <w:ilvl w:val="0"/>
          <w:numId w:val="8"/>
        </w:numPr>
        <w:tabs>
          <w:tab w:val="clear" w:pos="432"/>
          <w:tab w:val="num" w:pos="720"/>
        </w:tabs>
        <w:spacing w:after="200" w:line="276" w:lineRule="auto"/>
        <w:ind w:left="720" w:right="216" w:hanging="360"/>
        <w:rPr>
          <w:rFonts w:cs="Arial"/>
        </w:rPr>
      </w:pPr>
      <w:r w:rsidRPr="00A3691C">
        <w:rPr>
          <w:rFonts w:cs="Arial"/>
        </w:rPr>
        <w:t xml:space="preserve">The extent to which information is (i) readily available to potential users from other sources, such as state reporting programs, and (ii) provided to the Administrator under </w:t>
      </w:r>
      <w:r w:rsidRPr="00A3691C">
        <w:rPr>
          <w:rFonts w:cs="Arial"/>
        </w:rPr>
        <w:t>another federal law or through a state program.</w:t>
      </w:r>
    </w:p>
    <w:p w:rsidR="00A64CE8" w:rsidRPr="00A3691C" w:rsidP="00A3691C" w14:paraId="26E307D6" w14:textId="77777777">
      <w:pPr>
        <w:numPr>
          <w:ilvl w:val="0"/>
          <w:numId w:val="8"/>
        </w:numPr>
        <w:tabs>
          <w:tab w:val="clear" w:pos="432"/>
          <w:tab w:val="num" w:pos="720"/>
        </w:tabs>
        <w:spacing w:after="200" w:line="276" w:lineRule="auto"/>
        <w:ind w:left="720" w:right="360" w:hanging="360"/>
        <w:rPr>
          <w:rFonts w:cs="Arial"/>
        </w:rPr>
      </w:pPr>
      <w:r w:rsidRPr="00A3691C">
        <w:rPr>
          <w:rFonts w:cs="Arial"/>
        </w:rPr>
        <w:t>The extent to which the modification would impose additional and unreasonable burdens on facilities subject to the reporting requirements under this section.</w:t>
      </w:r>
    </w:p>
    <w:p w:rsidR="00A64CE8" w:rsidRPr="00A3691C" w:rsidP="00A3691C" w14:paraId="6EB051B7" w14:textId="77777777">
      <w:pPr>
        <w:spacing w:after="200" w:line="276" w:lineRule="auto"/>
        <w:rPr>
          <w:rFonts w:cs="Arial"/>
        </w:rPr>
      </w:pPr>
      <w:r w:rsidRPr="00A3691C">
        <w:rPr>
          <w:rFonts w:cs="Arial"/>
        </w:rPr>
        <w:t>Since TRI represents the best available multi-medi</w:t>
      </w:r>
      <w:r w:rsidRPr="00A3691C">
        <w:rPr>
          <w:rFonts w:cs="Arial"/>
        </w:rPr>
        <w:t xml:space="preserve">a database for tracking toxic chemical releases in the United States, a change in the reporting frequency to less than once a year could have a significant impact on the availability of timely toxic chemical data and affect data users, particularly at the </w:t>
      </w:r>
      <w:r w:rsidRPr="00A3691C">
        <w:rPr>
          <w:rFonts w:cs="Arial"/>
        </w:rPr>
        <w:t>community level</w:t>
      </w:r>
      <w:r w:rsidRPr="00A3691C" w:rsidR="00560D2F">
        <w:rPr>
          <w:rFonts w:cs="Arial"/>
        </w:rPr>
        <w:t xml:space="preserve">. </w:t>
      </w:r>
      <w:r w:rsidRPr="00A3691C">
        <w:rPr>
          <w:rFonts w:cs="Arial"/>
        </w:rPr>
        <w:t>Additionally, public access to the most current toxic chemical release data and other waste management informati</w:t>
      </w:r>
      <w:r w:rsidRPr="00A3691C" w:rsidR="007A0D42">
        <w:rPr>
          <w:rFonts w:cs="Arial"/>
        </w:rPr>
        <w:t>on would become more difficult.</w:t>
      </w:r>
    </w:p>
    <w:p w:rsidR="00BF0BB1" w:rsidRPr="000E5743" w:rsidP="000E5743" w14:paraId="7D3BC36D" w14:textId="77777777">
      <w:pPr>
        <w:pStyle w:val="Heading1"/>
      </w:pPr>
      <w:r w:rsidRPr="000E5743">
        <w:t>7. Explain any special circumstances that would cause an information collection to be conducted</w:t>
      </w:r>
      <w:r w:rsidRPr="000E5743">
        <w:t xml:space="preserve"> in a manner: requiring respondents to report information to the agency more often than quarterly; </w:t>
      </w:r>
    </w:p>
    <w:p w:rsidR="000600E1" w:rsidRPr="009A2CC1" w:rsidP="000E5743" w14:paraId="78C526CD" w14:textId="77777777">
      <w:pPr>
        <w:pStyle w:val="ListParagraph"/>
        <w:numPr>
          <w:ilvl w:val="0"/>
          <w:numId w:val="59"/>
        </w:numPr>
        <w:rPr>
          <w:b/>
          <w:bCs/>
        </w:rPr>
      </w:pPr>
      <w:r w:rsidRPr="009A2CC1">
        <w:rPr>
          <w:b/>
          <w:bCs/>
        </w:rPr>
        <w:t xml:space="preserve">requiring respondents to prepare a written response to a collection of information in fewer than 30 days after receipt of it; </w:t>
      </w:r>
    </w:p>
    <w:p w:rsidR="000600E1" w:rsidRPr="009A2CC1" w:rsidP="000E5743" w14:paraId="3E6E9091" w14:textId="77777777">
      <w:pPr>
        <w:pStyle w:val="ListParagraph"/>
        <w:numPr>
          <w:ilvl w:val="0"/>
          <w:numId w:val="59"/>
        </w:numPr>
        <w:rPr>
          <w:b/>
          <w:bCs/>
        </w:rPr>
      </w:pPr>
      <w:r w:rsidRPr="009A2CC1">
        <w:rPr>
          <w:b/>
          <w:bCs/>
        </w:rPr>
        <w:t>requiring respondents to subm</w:t>
      </w:r>
      <w:r w:rsidRPr="009A2CC1">
        <w:rPr>
          <w:b/>
          <w:bCs/>
        </w:rPr>
        <w:t xml:space="preserve">it more than an original and two copies of any document; </w:t>
      </w:r>
    </w:p>
    <w:p w:rsidR="000600E1" w:rsidRPr="009A2CC1" w:rsidP="009A2CC1" w14:paraId="32ACDB86" w14:textId="77777777">
      <w:pPr>
        <w:pStyle w:val="ListParagraph"/>
        <w:numPr>
          <w:ilvl w:val="0"/>
          <w:numId w:val="59"/>
        </w:numPr>
        <w:rPr>
          <w:b/>
          <w:bCs/>
        </w:rPr>
      </w:pPr>
      <w:r w:rsidRPr="009A2CC1">
        <w:rPr>
          <w:b/>
          <w:bCs/>
        </w:rPr>
        <w:t xml:space="preserve">requiring respondents to retain records, other than health, medical, government contract, grant-in-aid, or tax records, for more than three years; </w:t>
      </w:r>
    </w:p>
    <w:p w:rsidR="000600E1" w:rsidRPr="009A2CC1" w:rsidP="009A2CC1" w14:paraId="2C6E7D25" w14:textId="77777777">
      <w:pPr>
        <w:pStyle w:val="ListParagraph"/>
        <w:numPr>
          <w:ilvl w:val="0"/>
          <w:numId w:val="59"/>
        </w:numPr>
        <w:rPr>
          <w:b/>
          <w:bCs/>
        </w:rPr>
      </w:pPr>
      <w:r w:rsidRPr="009A2CC1">
        <w:rPr>
          <w:b/>
          <w:bCs/>
        </w:rPr>
        <w:t>in connection with a statistical survey, that is not designed to produce valid and reliable results that can</w:t>
      </w:r>
      <w:r w:rsidRPr="009A2CC1">
        <w:rPr>
          <w:b/>
          <w:bCs/>
        </w:rPr>
        <w:t xml:space="preserve"> be generalized to the universe of study;</w:t>
      </w:r>
    </w:p>
    <w:p w:rsidR="000600E1" w:rsidRPr="009A2CC1" w:rsidP="009A2CC1" w14:paraId="25C3C9A3" w14:textId="77777777">
      <w:pPr>
        <w:pStyle w:val="ListParagraph"/>
        <w:numPr>
          <w:ilvl w:val="0"/>
          <w:numId w:val="59"/>
        </w:numPr>
        <w:rPr>
          <w:b/>
          <w:bCs/>
        </w:rPr>
      </w:pPr>
      <w:r w:rsidRPr="009A2CC1">
        <w:rPr>
          <w:b/>
          <w:bCs/>
        </w:rPr>
        <w:t xml:space="preserve">requiring the use of a statistical data classification that has not been reviewed and approved by OMB; </w:t>
      </w:r>
    </w:p>
    <w:p w:rsidR="000600E1" w:rsidRPr="009A2CC1" w:rsidP="009A2CC1" w14:paraId="631B39D8" w14:textId="77777777">
      <w:pPr>
        <w:pStyle w:val="ListParagraph"/>
        <w:numPr>
          <w:ilvl w:val="0"/>
          <w:numId w:val="59"/>
        </w:numPr>
        <w:rPr>
          <w:b/>
          <w:bCs/>
        </w:rPr>
      </w:pPr>
      <w:r w:rsidRPr="009A2CC1">
        <w:rPr>
          <w:b/>
          <w:bCs/>
        </w:rPr>
        <w:t>that includes a pledge of confidentiality that is not supported by authority established in statute or regulat</w:t>
      </w:r>
      <w:r w:rsidRPr="009A2CC1">
        <w:rPr>
          <w:b/>
          <w:bCs/>
        </w:rPr>
        <w:t>ion, that is not supported by disclosure and data security policies that are consistent with the pledge, or which unnecessarily impedes sharing of data with other agencies for compatible confidential use; or</w:t>
      </w:r>
    </w:p>
    <w:p w:rsidR="00A64CE8" w:rsidRPr="009A2CC1" w:rsidP="009A2CC1" w14:paraId="26870630" w14:textId="77777777">
      <w:pPr>
        <w:pStyle w:val="ListParagraph"/>
        <w:numPr>
          <w:ilvl w:val="0"/>
          <w:numId w:val="59"/>
        </w:numPr>
        <w:rPr>
          <w:b/>
          <w:bCs/>
        </w:rPr>
      </w:pPr>
      <w:r w:rsidRPr="009A2CC1">
        <w:rPr>
          <w:b/>
          <w:bCs/>
        </w:rPr>
        <w:t xml:space="preserve">requiring respondents to submit </w:t>
      </w:r>
      <w:r w:rsidRPr="009A2CC1">
        <w:rPr>
          <w:b/>
          <w:bCs/>
        </w:rPr>
        <w:t>proprietary trade secrets, or other confidential information unless the agency can demonstrate that it has instituted procedures to protect the information's confidentiality to the extent permitted by law.</w:t>
      </w:r>
    </w:p>
    <w:p w:rsidR="009147D7" w:rsidRPr="00A3691C" w:rsidP="009A2CC1" w14:paraId="25051670" w14:textId="77777777">
      <w:pPr>
        <w:spacing w:before="240" w:after="200" w:line="276" w:lineRule="auto"/>
        <w:ind w:right="432"/>
        <w:rPr>
          <w:rFonts w:cs="Arial"/>
        </w:rPr>
      </w:pPr>
      <w:r w:rsidRPr="00A3691C">
        <w:rPr>
          <w:rFonts w:cs="Arial"/>
        </w:rPr>
        <w:t xml:space="preserve">Not applicable. </w:t>
      </w:r>
    </w:p>
    <w:p w:rsidR="009147D7" w:rsidRPr="00A3691C" w:rsidP="00A3691C" w14:paraId="4F3A869A" w14:textId="77777777">
      <w:pPr>
        <w:pStyle w:val="Heading1"/>
        <w:spacing w:before="0" w:after="200" w:line="276" w:lineRule="auto"/>
        <w:rPr>
          <w:rFonts w:cs="Arial"/>
          <w:b w:val="0"/>
        </w:rPr>
      </w:pPr>
      <w:r w:rsidRPr="00A3691C">
        <w:rPr>
          <w:rFonts w:cs="Arial"/>
        </w:rPr>
        <w:t xml:space="preserve">8. If applicable, provide a copy </w:t>
      </w:r>
      <w:r w:rsidRPr="00A3691C">
        <w:rPr>
          <w:rFonts w:cs="Arial"/>
        </w:rPr>
        <w:t>and identify the date and page number of publication in the Federal Register of the agency's notice, required by 5 CFR 1320.8(d), soliciting comments on the information collection prior to submission to OMB. Summarize public comments received in response t</w:t>
      </w:r>
      <w:r w:rsidRPr="00A3691C">
        <w:rPr>
          <w:rFonts w:cs="Arial"/>
        </w:rPr>
        <w:t xml:space="preserve">o that notice and describe actions taken by the agency in response to these comments. Specifically address comments received on cost and hour burden. </w:t>
      </w:r>
    </w:p>
    <w:p w:rsidR="009147D7" w:rsidRPr="009A2CC1" w:rsidP="009A2CC1" w14:paraId="134A9977" w14:textId="77777777">
      <w:pPr>
        <w:pStyle w:val="ListParagraph"/>
        <w:numPr>
          <w:ilvl w:val="0"/>
          <w:numId w:val="60"/>
        </w:numPr>
        <w:rPr>
          <w:b/>
          <w:bCs/>
        </w:rPr>
      </w:pPr>
      <w:r w:rsidRPr="009A2CC1">
        <w:rPr>
          <w:b/>
          <w:bCs/>
        </w:rPr>
        <w:t xml:space="preserve">Describe efforts to consult with persons outside the agency to obtain their views on the availability of </w:t>
      </w:r>
      <w:r w:rsidRPr="009A2CC1">
        <w:rPr>
          <w:b/>
          <w:bCs/>
        </w:rPr>
        <w:t xml:space="preserve">data, frequency of collection, the clarity of instructions and recordkeeping, disclosure, or reporting format (if any), and on the data elements to be recorded, disclosed, or reported. </w:t>
      </w:r>
    </w:p>
    <w:p w:rsidR="009147D7" w:rsidRPr="009A2CC1" w:rsidP="009A2CC1" w14:paraId="2FEE23B4" w14:textId="77777777">
      <w:pPr>
        <w:pStyle w:val="ListParagraph"/>
        <w:numPr>
          <w:ilvl w:val="0"/>
          <w:numId w:val="60"/>
        </w:numPr>
        <w:rPr>
          <w:b/>
          <w:bCs/>
        </w:rPr>
      </w:pPr>
      <w:r w:rsidRPr="009A2CC1">
        <w:rPr>
          <w:b/>
          <w:bCs/>
        </w:rPr>
        <w:t>Consultation with representatives of those from whom information is to</w:t>
      </w:r>
      <w:r w:rsidRPr="009A2CC1">
        <w:rPr>
          <w:b/>
          <w:bCs/>
        </w:rPr>
        <w:t xml:space="preserve"> be obtained or those who must compile records should occur at least once every 3 years - even if the collection of information activity is the same as in prior periods. There may be circumstances that may preclude consultation in a specific situation. The</w:t>
      </w:r>
      <w:r w:rsidRPr="009A2CC1">
        <w:rPr>
          <w:b/>
          <w:bCs/>
        </w:rPr>
        <w:t xml:space="preserve">se circumstances should be explained. </w:t>
      </w:r>
    </w:p>
    <w:p w:rsidR="005B58E4" w:rsidRPr="00A3691C" w:rsidP="009A2CC1" w14:paraId="5DDC7014" w14:textId="77777777">
      <w:pPr>
        <w:spacing w:before="240" w:after="200" w:line="276" w:lineRule="auto"/>
        <w:ind w:right="432"/>
        <w:rPr>
          <w:rFonts w:cs="Arial"/>
        </w:rPr>
      </w:pPr>
      <w:r w:rsidRPr="00A3691C">
        <w:rPr>
          <w:rFonts w:cs="Arial"/>
        </w:rPr>
        <w:t xml:space="preserve">There </w:t>
      </w:r>
      <w:r w:rsidR="00893872">
        <w:rPr>
          <w:rFonts w:cs="Arial"/>
        </w:rPr>
        <w:t>was</w:t>
      </w:r>
      <w:r w:rsidR="00DE1407">
        <w:rPr>
          <w:rFonts w:cs="Arial"/>
        </w:rPr>
        <w:t xml:space="preserve"> </w:t>
      </w:r>
      <w:r w:rsidRPr="00A3691C">
        <w:rPr>
          <w:rFonts w:cs="Arial"/>
        </w:rPr>
        <w:t xml:space="preserve">a public comment period for </w:t>
      </w:r>
      <w:r w:rsidR="00893872">
        <w:rPr>
          <w:rFonts w:cs="Arial"/>
        </w:rPr>
        <w:t>the</w:t>
      </w:r>
      <w:r w:rsidRPr="00A3691C" w:rsidR="00893872">
        <w:rPr>
          <w:rFonts w:cs="Arial"/>
        </w:rPr>
        <w:t xml:space="preserve"> </w:t>
      </w:r>
      <w:r w:rsidRPr="00A3691C">
        <w:rPr>
          <w:rFonts w:cs="Arial"/>
        </w:rPr>
        <w:t xml:space="preserve">proposed rule. EPA </w:t>
      </w:r>
      <w:r w:rsidR="00DE1407">
        <w:rPr>
          <w:rFonts w:cs="Arial"/>
        </w:rPr>
        <w:t>address</w:t>
      </w:r>
      <w:r w:rsidR="00893872">
        <w:rPr>
          <w:rFonts w:cs="Arial"/>
        </w:rPr>
        <w:t>ed</w:t>
      </w:r>
      <w:r w:rsidR="00DE1407">
        <w:rPr>
          <w:rFonts w:cs="Arial"/>
        </w:rPr>
        <w:t xml:space="preserve"> </w:t>
      </w:r>
      <w:r w:rsidRPr="00A3691C">
        <w:rPr>
          <w:rFonts w:cs="Arial"/>
        </w:rPr>
        <w:t>the comments received during the comment period in the final rule. Copies of the proposed rule, ICRs, comments received, and EPA’s responses to co</w:t>
      </w:r>
      <w:r w:rsidRPr="00A3691C">
        <w:rPr>
          <w:rFonts w:cs="Arial"/>
        </w:rPr>
        <w:t xml:space="preserve">mments </w:t>
      </w:r>
      <w:r w:rsidR="00893872">
        <w:rPr>
          <w:rFonts w:cs="Arial"/>
        </w:rPr>
        <w:t>are</w:t>
      </w:r>
      <w:r w:rsidR="00DE1407">
        <w:rPr>
          <w:rFonts w:cs="Arial"/>
        </w:rPr>
        <w:t xml:space="preserve"> </w:t>
      </w:r>
      <w:r w:rsidRPr="00A3691C">
        <w:rPr>
          <w:rFonts w:cs="Arial"/>
        </w:rPr>
        <w:t xml:space="preserve">available in the docket. </w:t>
      </w:r>
    </w:p>
    <w:p w:rsidR="007459F0" w:rsidRPr="00A3691C" w:rsidP="00A3691C" w14:paraId="6CC4983D" w14:textId="77777777">
      <w:pPr>
        <w:spacing w:after="200" w:line="276" w:lineRule="auto"/>
        <w:ind w:right="432"/>
        <w:rPr>
          <w:rFonts w:cs="Arial"/>
          <w:bCs/>
        </w:rPr>
      </w:pPr>
      <w:r w:rsidRPr="00A3691C">
        <w:rPr>
          <w:rFonts w:cs="Arial"/>
        </w:rPr>
        <w:t>Under 5 CFR 1320.8(d)(3), agencies are not required to consult with potential ICR respondents and information users about specific aspects of ICRs before submitting an ICR to OMB for review and approval.</w:t>
      </w:r>
    </w:p>
    <w:p w:rsidR="009147D7" w:rsidRPr="00A3691C" w:rsidP="00A3691C" w14:paraId="4D11485B" w14:textId="77777777">
      <w:pPr>
        <w:pStyle w:val="Heading1"/>
        <w:spacing w:before="0" w:after="200" w:line="276" w:lineRule="auto"/>
        <w:rPr>
          <w:rFonts w:cs="Arial"/>
        </w:rPr>
      </w:pPr>
      <w:r w:rsidRPr="00A3691C">
        <w:rPr>
          <w:rFonts w:cs="Arial"/>
        </w:rPr>
        <w:t xml:space="preserve">9. Explain any </w:t>
      </w:r>
      <w:r w:rsidRPr="00A3691C">
        <w:rPr>
          <w:rFonts w:cs="Arial"/>
        </w:rPr>
        <w:t>decision to provide any payment or gift to respondents, other than remuneration of contractors or grantees.</w:t>
      </w:r>
    </w:p>
    <w:p w:rsidR="009147D7" w:rsidRPr="00A3691C" w:rsidP="00A3691C" w14:paraId="2B11AFFD" w14:textId="77777777">
      <w:pPr>
        <w:autoSpaceDE/>
        <w:autoSpaceDN/>
        <w:spacing w:after="200" w:line="276" w:lineRule="auto"/>
        <w:rPr>
          <w:rFonts w:cs="Arial"/>
        </w:rPr>
      </w:pPr>
      <w:r w:rsidRPr="00A3691C">
        <w:rPr>
          <w:rFonts w:cs="Arial"/>
        </w:rPr>
        <w:t xml:space="preserve">This collection does </w:t>
      </w:r>
      <w:r w:rsidR="00DE1407">
        <w:rPr>
          <w:rFonts w:cs="Arial"/>
        </w:rPr>
        <w:t xml:space="preserve">not </w:t>
      </w:r>
      <w:r w:rsidRPr="00A3691C">
        <w:rPr>
          <w:rFonts w:cs="Arial"/>
        </w:rPr>
        <w:t>provide any payment or gift to respondents.</w:t>
      </w:r>
    </w:p>
    <w:p w:rsidR="00A64CE8" w:rsidRPr="00A3691C" w:rsidP="00A3691C" w14:paraId="60994A16" w14:textId="77777777">
      <w:pPr>
        <w:pStyle w:val="Heading1"/>
        <w:spacing w:before="0" w:after="200" w:line="276" w:lineRule="auto"/>
        <w:rPr>
          <w:rFonts w:cs="Arial"/>
        </w:rPr>
      </w:pPr>
      <w:r w:rsidRPr="00A3691C">
        <w:rPr>
          <w:rFonts w:cs="Arial"/>
        </w:rPr>
        <w:t>10. Describe any assurance of confidentiality provided to respondents and the b</w:t>
      </w:r>
      <w:r w:rsidRPr="00A3691C">
        <w:rPr>
          <w:rFonts w:cs="Arial"/>
        </w:rPr>
        <w:t xml:space="preserve">asis for the assurance in statute, regulation, or agency policy. If the collection requires a system of records notice (SORN) or privacy impact assessment (PIA), those should be cited and described here. </w:t>
      </w:r>
    </w:p>
    <w:p w:rsidR="00A64CE8" w:rsidRPr="00A3691C" w:rsidP="00A3691C" w14:paraId="73BC0B46" w14:textId="77777777">
      <w:pPr>
        <w:spacing w:after="200" w:line="276" w:lineRule="auto"/>
        <w:ind w:right="216"/>
        <w:rPr>
          <w:rFonts w:cs="Arial"/>
          <w:b/>
          <w:bCs/>
        </w:rPr>
      </w:pPr>
      <w:r w:rsidRPr="00A3691C">
        <w:rPr>
          <w:rFonts w:cs="Arial"/>
        </w:rPr>
        <w:t>Respondents may designate the specific chemical ide</w:t>
      </w:r>
      <w:r w:rsidRPr="00A3691C">
        <w:rPr>
          <w:rFonts w:cs="Arial"/>
        </w:rPr>
        <w:t xml:space="preserve">ntity of a substance as a trade secret according to EPCRA </w:t>
      </w:r>
      <w:r w:rsidRPr="00A3691C" w:rsidR="007A0D42">
        <w:rPr>
          <w:rFonts w:cs="Arial"/>
        </w:rPr>
        <w:t xml:space="preserve">section </w:t>
      </w:r>
      <w:r w:rsidRPr="00A3691C">
        <w:rPr>
          <w:rFonts w:cs="Arial"/>
        </w:rPr>
        <w:t xml:space="preserve">322. Procedures for submission and review of trade secret claims under EPCRA </w:t>
      </w:r>
      <w:r w:rsidRPr="00A3691C" w:rsidR="007A0D42">
        <w:rPr>
          <w:rFonts w:cs="Arial"/>
        </w:rPr>
        <w:t xml:space="preserve">section </w:t>
      </w:r>
      <w:r w:rsidRPr="00A3691C">
        <w:rPr>
          <w:rFonts w:cs="Arial"/>
        </w:rPr>
        <w:t xml:space="preserve">313 are set forth in 40 CFR 350. </w:t>
      </w:r>
      <w:r w:rsidRPr="00A3691C" w:rsidR="009B7153">
        <w:rPr>
          <w:rFonts w:cs="Arial"/>
        </w:rPr>
        <w:t>Trade secret submissions are only accept</w:t>
      </w:r>
      <w:r w:rsidRPr="00A3691C" w:rsidR="00A05625">
        <w:rPr>
          <w:rFonts w:cs="Arial"/>
        </w:rPr>
        <w:t>ed</w:t>
      </w:r>
      <w:r w:rsidRPr="00A3691C" w:rsidR="009B7153">
        <w:rPr>
          <w:rFonts w:cs="Arial"/>
        </w:rPr>
        <w:t xml:space="preserve"> on hard copy and must adhere to the requirements provided in </w:t>
      </w:r>
      <w:r w:rsidRPr="00A3691C" w:rsidR="00A05625">
        <w:rPr>
          <w:rFonts w:cs="Arial"/>
        </w:rPr>
        <w:t>40 CFR Parts 350 and 372</w:t>
      </w:r>
      <w:r w:rsidRPr="00A3691C" w:rsidR="000F7D61">
        <w:rPr>
          <w:rFonts w:cs="Arial"/>
        </w:rPr>
        <w:t>.85(c)(3)</w:t>
      </w:r>
      <w:r w:rsidRPr="00A3691C" w:rsidR="00A05625">
        <w:rPr>
          <w:rFonts w:cs="Arial"/>
        </w:rPr>
        <w:t xml:space="preserve"> and in the Reporting Forms and Instructions. </w:t>
      </w:r>
      <w:r w:rsidRPr="00A3691C">
        <w:rPr>
          <w:rFonts w:cs="Arial"/>
        </w:rPr>
        <w:t xml:space="preserve">When a facility claims the chemical identity to be a trade secret and properly substantiates the claim, EPA will not disclose the </w:t>
      </w:r>
      <w:r w:rsidRPr="00A3691C">
        <w:rPr>
          <w:rFonts w:cs="Arial"/>
        </w:rPr>
        <w:t>identity of the chemical to the public. EPA securely stores forms with trade secret information and allows access to those documents only to persons with Trade Secret clearance. Data made available to the public through any means do not include trade secre</w:t>
      </w:r>
      <w:r w:rsidRPr="00A3691C">
        <w:rPr>
          <w:rFonts w:cs="Arial"/>
        </w:rPr>
        <w:t>t information.</w:t>
      </w:r>
    </w:p>
    <w:p w:rsidR="009147D7" w:rsidRPr="00A3691C" w:rsidP="00A3691C" w14:paraId="1009821B" w14:textId="77777777">
      <w:pPr>
        <w:pStyle w:val="Heading1"/>
        <w:spacing w:before="0" w:after="200" w:line="276" w:lineRule="auto"/>
        <w:rPr>
          <w:rFonts w:cs="Arial"/>
          <w:b w:val="0"/>
        </w:rPr>
      </w:pPr>
      <w:r w:rsidRPr="00A3691C">
        <w:rPr>
          <w:rFonts w:cs="Arial"/>
        </w:rPr>
        <w:t>11. Provide additional justification for any questions of a sensitive nature, such as sexual behavior and attitudes, religious beliefs, and other matters that are commonly considered private. This justification should include the reasons why</w:t>
      </w:r>
      <w:r w:rsidRPr="00A3691C">
        <w:rPr>
          <w:rFonts w:cs="Arial"/>
        </w:rPr>
        <w:t xml:space="preserve"> the agency considers the questions necessary, the specific uses to be made of the information, the explanation to be given to persons from whom the information is requested, and any steps to be taken to obtain their consent.</w:t>
      </w:r>
    </w:p>
    <w:p w:rsidR="00A64CE8" w:rsidRPr="00A3691C" w:rsidP="00A3691C" w14:paraId="57D0FB15" w14:textId="77777777">
      <w:pPr>
        <w:spacing w:after="200" w:line="276" w:lineRule="auto"/>
        <w:rPr>
          <w:rFonts w:cs="Arial"/>
        </w:rPr>
      </w:pPr>
      <w:r w:rsidRPr="00A3691C">
        <w:rPr>
          <w:rFonts w:cs="Arial"/>
        </w:rPr>
        <w:t>This collection does not reque</w:t>
      </w:r>
      <w:r w:rsidRPr="00A3691C">
        <w:rPr>
          <w:rFonts w:cs="Arial"/>
        </w:rPr>
        <w:t>st any sensitive information.</w:t>
      </w:r>
    </w:p>
    <w:p w:rsidR="009147D7" w:rsidRPr="00E066C3" w:rsidP="00E066C3" w14:paraId="073D3417" w14:textId="77777777">
      <w:pPr>
        <w:pStyle w:val="Heading1"/>
      </w:pPr>
      <w:r w:rsidRPr="00E066C3">
        <w:t xml:space="preserve">12. Provide estimates of the hour burden of the collection of information. The statement should: </w:t>
      </w:r>
    </w:p>
    <w:p w:rsidR="009147D7" w:rsidRPr="009E03C5" w:rsidP="009A54BC" w14:paraId="52041991" w14:textId="77777777">
      <w:pPr>
        <w:pStyle w:val="ListParagraph"/>
        <w:numPr>
          <w:ilvl w:val="0"/>
          <w:numId w:val="57"/>
        </w:numPr>
        <w:rPr>
          <w:b/>
          <w:bCs/>
        </w:rPr>
      </w:pPr>
      <w:r w:rsidRPr="009E03C5">
        <w:rPr>
          <w:b/>
          <w:bCs/>
        </w:rPr>
        <w:t xml:space="preserve">Indicate the number of respondents, frequency of response, annual hour burden, and an explanation of how the burden was </w:t>
      </w:r>
      <w:r w:rsidRPr="009E03C5">
        <w:rPr>
          <w:b/>
          <w:bCs/>
        </w:rPr>
        <w:t>estimated. Unless directed to do so, agencies should not conduct special surveys to obtain information on which to base hour burden estimates. Consultation with a sample (fewer than 10) of potential respondents is desirable. If the hour burden on responden</w:t>
      </w:r>
      <w:r w:rsidRPr="009E03C5">
        <w:rPr>
          <w:b/>
          <w:bCs/>
        </w:rPr>
        <w:t xml:space="preserve">ts is expected to vary widely because of differences in activity, size, or complexity, show the range of estimated hour burden, and explain the reasons for the variance. Generally, estimates should not include burden hours for customary and usual business </w:t>
      </w:r>
      <w:r w:rsidRPr="009E03C5">
        <w:rPr>
          <w:b/>
          <w:bCs/>
        </w:rPr>
        <w:t>practices.</w:t>
      </w:r>
    </w:p>
    <w:p w:rsidR="009147D7" w:rsidRPr="009E03C5" w:rsidP="009A54BC" w14:paraId="0255A6E5" w14:textId="77777777">
      <w:pPr>
        <w:pStyle w:val="ListParagraph"/>
        <w:numPr>
          <w:ilvl w:val="0"/>
          <w:numId w:val="57"/>
        </w:numPr>
        <w:rPr>
          <w:b/>
          <w:bCs/>
        </w:rPr>
      </w:pPr>
      <w:r w:rsidRPr="009E03C5">
        <w:rPr>
          <w:b/>
          <w:bCs/>
        </w:rPr>
        <w:t xml:space="preserve">If this request for approval covers more than one form, provide separate hour burden estimates for each form and aggregate the hour burdens. </w:t>
      </w:r>
    </w:p>
    <w:p w:rsidR="009147D7" w:rsidRPr="009E03C5" w:rsidP="00E066C3" w14:paraId="2AF06327" w14:textId="77777777">
      <w:pPr>
        <w:pStyle w:val="ListParagraph"/>
        <w:numPr>
          <w:ilvl w:val="0"/>
          <w:numId w:val="57"/>
        </w:numPr>
        <w:rPr>
          <w:b/>
          <w:bCs/>
        </w:rPr>
      </w:pPr>
      <w:r w:rsidRPr="009E03C5">
        <w:rPr>
          <w:b/>
          <w:bCs/>
        </w:rPr>
        <w:t>Provide estimates of annualized cost to respondents for the hour burdens for collections of information</w:t>
      </w:r>
      <w:r w:rsidRPr="009E03C5">
        <w:rPr>
          <w:b/>
          <w:bCs/>
        </w:rPr>
        <w:t>, identifying and using appropriate wage rate categories. The cost of contracting out or paying outside parties for information collection activities should not be included here. Instead, this cost should be included under ‘Annual Cost to Federal Governmen</w:t>
      </w:r>
      <w:r w:rsidRPr="009E03C5">
        <w:rPr>
          <w:b/>
          <w:bCs/>
        </w:rPr>
        <w:t>t’.</w:t>
      </w:r>
    </w:p>
    <w:p w:rsidR="009E03C5" w:rsidRPr="00E066C3" w:rsidP="009E03C5" w14:paraId="63189F57" w14:textId="77777777">
      <w:pPr>
        <w:pStyle w:val="ListParagraph"/>
        <w:rPr>
          <w:b/>
        </w:rPr>
      </w:pPr>
    </w:p>
    <w:p w:rsidR="009103C1" w:rsidRPr="00A3691C" w:rsidP="00A3691C" w14:paraId="42A5CB16" w14:textId="77777777">
      <w:pPr>
        <w:spacing w:after="200" w:line="276" w:lineRule="auto"/>
        <w:rPr>
          <w:rFonts w:cs="Arial"/>
        </w:rPr>
      </w:pPr>
      <w:r w:rsidRPr="003654B6">
        <w:rPr>
          <w:rFonts w:cs="Arial"/>
        </w:rPr>
        <w:t xml:space="preserve">The rule </w:t>
      </w:r>
      <w:r w:rsidRPr="003654B6" w:rsidR="00033CEC">
        <w:rPr>
          <w:rFonts w:cs="Arial"/>
        </w:rPr>
        <w:t>will</w:t>
      </w:r>
      <w:r w:rsidRPr="003654B6">
        <w:rPr>
          <w:rFonts w:cs="Arial"/>
        </w:rPr>
        <w:t xml:space="preserve"> require</w:t>
      </w:r>
      <w:r w:rsidR="00893872">
        <w:rPr>
          <w:rFonts w:cs="Arial"/>
        </w:rPr>
        <w:t>s</w:t>
      </w:r>
      <w:r w:rsidRPr="003654B6">
        <w:rPr>
          <w:rFonts w:cs="Arial"/>
        </w:rPr>
        <w:t xml:space="preserve"> </w:t>
      </w:r>
      <w:r w:rsidRPr="003654B6" w:rsidR="003151A3">
        <w:rPr>
          <w:rFonts w:cs="Arial"/>
        </w:rPr>
        <w:t xml:space="preserve">changes to the reporting requirements for facilities that report for listed PFAS. Covered facilities report to the </w:t>
      </w:r>
      <w:r w:rsidRPr="003654B6">
        <w:rPr>
          <w:rFonts w:cs="Arial"/>
        </w:rPr>
        <w:t xml:space="preserve">Toxics Release Inventory (TRI) Program if </w:t>
      </w:r>
      <w:r w:rsidRPr="003654B6" w:rsidR="00ED68A1">
        <w:rPr>
          <w:rFonts w:cs="Arial"/>
        </w:rPr>
        <w:t>they have</w:t>
      </w:r>
      <w:r w:rsidRPr="003654B6">
        <w:rPr>
          <w:rFonts w:cs="Arial"/>
        </w:rPr>
        <w:t xml:space="preserve"> ten or more full-time employees (or the hourly equivalent of </w:t>
      </w:r>
      <w:r w:rsidRPr="003654B6">
        <w:rPr>
          <w:rFonts w:cs="Arial"/>
        </w:rPr>
        <w:t xml:space="preserve">20,000 hours); and manufacture, process, or otherwise use any of the listed </w:t>
      </w:r>
      <w:r w:rsidRPr="003654B6" w:rsidR="00ED68A1">
        <w:rPr>
          <w:rFonts w:cs="Arial"/>
        </w:rPr>
        <w:t xml:space="preserve">PFAS </w:t>
      </w:r>
      <w:r w:rsidRPr="003654B6">
        <w:rPr>
          <w:rFonts w:cs="Arial"/>
        </w:rPr>
        <w:t>above the applicable reporting threshold.</w:t>
      </w:r>
      <w:r w:rsidRPr="00A3691C">
        <w:rPr>
          <w:rFonts w:cs="Arial"/>
        </w:rPr>
        <w:t xml:space="preserve"> </w:t>
      </w:r>
    </w:p>
    <w:p w:rsidR="00A64CE8" w:rsidRPr="00A3691C" w:rsidP="00A3691C" w14:paraId="6D6CD5D8" w14:textId="77777777">
      <w:pPr>
        <w:pStyle w:val="BodyTextIndent"/>
        <w:spacing w:after="200" w:line="276" w:lineRule="auto"/>
        <w:jc w:val="left"/>
        <w:rPr>
          <w:rFonts w:cs="Arial"/>
        </w:rPr>
      </w:pPr>
      <w:r w:rsidRPr="00A3691C">
        <w:rPr>
          <w:rFonts w:cs="Arial"/>
          <w:b/>
        </w:rPr>
        <w:t>Form R</w:t>
      </w:r>
      <w:r>
        <w:rPr>
          <w:rStyle w:val="FootnoteReference"/>
          <w:rFonts w:cs="Arial"/>
          <w:b/>
        </w:rPr>
        <w:footnoteReference w:id="11"/>
      </w:r>
      <w:r w:rsidRPr="00A3691C" w:rsidR="006B09C2">
        <w:rPr>
          <w:rFonts w:cs="Arial"/>
          <w:b/>
        </w:rPr>
        <w:t>:</w:t>
      </w:r>
      <w:r w:rsidRPr="00A3691C" w:rsidR="006B09C2">
        <w:rPr>
          <w:rFonts w:cs="Arial"/>
        </w:rPr>
        <w:t xml:space="preserve"> </w:t>
      </w:r>
      <w:r w:rsidRPr="00A3691C">
        <w:rPr>
          <w:rFonts w:cs="Arial"/>
        </w:rPr>
        <w:t>Facilities reporting to TRI report releases and other waste management of listed chemicals on Form R. The required data it</w:t>
      </w:r>
      <w:r w:rsidRPr="00A3691C">
        <w:rPr>
          <w:rFonts w:cs="Arial"/>
        </w:rPr>
        <w:t xml:space="preserve">ems, summarized below, are specified in 40 CFR 372.85. Form R </w:t>
      </w:r>
      <w:r w:rsidRPr="00A3691C" w:rsidR="00946B49">
        <w:rPr>
          <w:rFonts w:cs="Arial"/>
        </w:rPr>
        <w:t xml:space="preserve">consists of two sections. In </w:t>
      </w:r>
      <w:r w:rsidRPr="00A3691C" w:rsidR="00946B49">
        <w:rPr>
          <w:rFonts w:cs="Arial"/>
          <w:b/>
        </w:rPr>
        <w:t>Part I</w:t>
      </w:r>
      <w:r w:rsidRPr="00A3691C" w:rsidR="00946B49">
        <w:rPr>
          <w:rFonts w:cs="Arial"/>
        </w:rPr>
        <w:t>, respondents report facility identification information including: facility identification number; facility name and address; NAICS code; facility Dun and Bradstreet (D&amp;B) number; parent company na</w:t>
      </w:r>
      <w:r w:rsidRPr="00A3691C" w:rsidR="00560D2F">
        <w:rPr>
          <w:rFonts w:cs="Arial"/>
        </w:rPr>
        <w:t xml:space="preserve">me; parent company D&amp;B number; </w:t>
      </w:r>
      <w:r w:rsidRPr="00A3691C" w:rsidR="00946B49">
        <w:rPr>
          <w:rFonts w:cs="Arial"/>
        </w:rPr>
        <w:t>name, email address, and phone of the technical contact; and name, email address, and phone of the public contact</w:t>
      </w:r>
      <w:r w:rsidRPr="00A3691C" w:rsidR="00560D2F">
        <w:rPr>
          <w:rFonts w:cs="Arial"/>
        </w:rPr>
        <w:t xml:space="preserve">. </w:t>
      </w:r>
      <w:r w:rsidRPr="00A3691C" w:rsidR="00946B49">
        <w:rPr>
          <w:rFonts w:cs="Arial"/>
        </w:rPr>
        <w:t xml:space="preserve">In </w:t>
      </w:r>
      <w:r w:rsidRPr="00A3691C" w:rsidR="00946B49">
        <w:rPr>
          <w:rFonts w:cs="Arial"/>
          <w:b/>
        </w:rPr>
        <w:t>Part II</w:t>
      </w:r>
      <w:r w:rsidRPr="00A3691C" w:rsidR="00946B49">
        <w:rPr>
          <w:rFonts w:cs="Arial"/>
        </w:rPr>
        <w:t>, respondents report</w:t>
      </w:r>
      <w:r w:rsidRPr="00A3691C" w:rsidR="0049268E">
        <w:rPr>
          <w:rFonts w:cs="Arial"/>
        </w:rPr>
        <w:t xml:space="preserve"> on</w:t>
      </w:r>
      <w:r w:rsidRPr="00A3691C" w:rsidR="007E4460">
        <w:rPr>
          <w:rFonts w:cs="Arial"/>
        </w:rPr>
        <w:t xml:space="preserve"> </w:t>
      </w:r>
      <w:r w:rsidRPr="00A3691C" w:rsidR="0049268E">
        <w:rPr>
          <w:rFonts w:cs="Arial"/>
        </w:rPr>
        <w:t>the</w:t>
      </w:r>
      <w:r w:rsidRPr="00A3691C" w:rsidR="007E4460">
        <w:rPr>
          <w:rFonts w:cs="Arial"/>
        </w:rPr>
        <w:t xml:space="preserve"> </w:t>
      </w:r>
      <w:r w:rsidRPr="00A3691C" w:rsidR="0049268E">
        <w:rPr>
          <w:rFonts w:cs="Arial"/>
        </w:rPr>
        <w:t>t</w:t>
      </w:r>
      <w:r w:rsidRPr="00A3691C" w:rsidR="00946B49">
        <w:rPr>
          <w:rFonts w:cs="Arial"/>
        </w:rPr>
        <w:t>oxic chemical identity,</w:t>
      </w:r>
      <w:r w:rsidRPr="00A3691C" w:rsidR="0049268E">
        <w:rPr>
          <w:rFonts w:cs="Arial"/>
        </w:rPr>
        <w:t xml:space="preserve"> m</w:t>
      </w:r>
      <w:r w:rsidRPr="00A3691C" w:rsidR="00946B49">
        <w:rPr>
          <w:rFonts w:cs="Arial"/>
        </w:rPr>
        <w:t>ixture component identity,</w:t>
      </w:r>
      <w:r w:rsidRPr="00A3691C" w:rsidR="0049268E">
        <w:rPr>
          <w:rFonts w:cs="Arial"/>
        </w:rPr>
        <w:t xml:space="preserve"> a</w:t>
      </w:r>
      <w:r w:rsidRPr="00A3691C" w:rsidR="00946B49">
        <w:rPr>
          <w:rFonts w:cs="Arial"/>
        </w:rPr>
        <w:t>ctivities and uses of the toxic chemical at the facility,</w:t>
      </w:r>
      <w:r w:rsidRPr="00A3691C" w:rsidR="0049268E">
        <w:rPr>
          <w:rFonts w:cs="Arial"/>
        </w:rPr>
        <w:t xml:space="preserve"> m</w:t>
      </w:r>
      <w:r w:rsidRPr="00A3691C" w:rsidR="00946B49">
        <w:rPr>
          <w:rFonts w:cs="Arial"/>
        </w:rPr>
        <w:t>aximum amount of the toxic chemical on</w:t>
      </w:r>
      <w:r w:rsidRPr="00A3691C" w:rsidR="00177889">
        <w:rPr>
          <w:rFonts w:cs="Arial"/>
        </w:rPr>
        <w:t xml:space="preserve"> </w:t>
      </w:r>
      <w:r w:rsidRPr="00A3691C" w:rsidR="00946B49">
        <w:rPr>
          <w:rFonts w:cs="Arial"/>
        </w:rPr>
        <w:t>site at any time during the calendar year,</w:t>
      </w:r>
      <w:r w:rsidRPr="00A3691C" w:rsidR="0049268E">
        <w:rPr>
          <w:rFonts w:cs="Arial"/>
        </w:rPr>
        <w:t xml:space="preserve"> q</w:t>
      </w:r>
      <w:r w:rsidRPr="00A3691C" w:rsidR="00946B49">
        <w:rPr>
          <w:rFonts w:cs="Arial"/>
        </w:rPr>
        <w:t>uantity of the toxic chemical entering each environmental medium on</w:t>
      </w:r>
      <w:r w:rsidRPr="00A3691C" w:rsidR="00177889">
        <w:rPr>
          <w:rFonts w:cs="Arial"/>
        </w:rPr>
        <w:t xml:space="preserve"> </w:t>
      </w:r>
      <w:r w:rsidRPr="00A3691C" w:rsidR="00946B49">
        <w:rPr>
          <w:rFonts w:cs="Arial"/>
        </w:rPr>
        <w:t>site,</w:t>
      </w:r>
      <w:r w:rsidRPr="00A3691C" w:rsidR="0049268E">
        <w:rPr>
          <w:rFonts w:cs="Arial"/>
        </w:rPr>
        <w:t xml:space="preserve"> t</w:t>
      </w:r>
      <w:r w:rsidRPr="00A3691C" w:rsidR="00946B49">
        <w:rPr>
          <w:rFonts w:cs="Arial"/>
        </w:rPr>
        <w:t>ransfers of the toxic chemical in wastes to off-site locations,</w:t>
      </w:r>
      <w:r w:rsidRPr="00A3691C" w:rsidR="0049268E">
        <w:rPr>
          <w:rFonts w:cs="Arial"/>
        </w:rPr>
        <w:t xml:space="preserve"> o</w:t>
      </w:r>
      <w:r w:rsidRPr="00A3691C" w:rsidR="00946B49">
        <w:rPr>
          <w:rFonts w:cs="Arial"/>
        </w:rPr>
        <w:t>n-site waste treatment methods and efficiency, and</w:t>
      </w:r>
      <w:r w:rsidRPr="00A3691C" w:rsidR="0049268E">
        <w:rPr>
          <w:rFonts w:cs="Arial"/>
        </w:rPr>
        <w:t xml:space="preserve"> s</w:t>
      </w:r>
      <w:r w:rsidRPr="00A3691C" w:rsidR="00946B49">
        <w:rPr>
          <w:rFonts w:cs="Arial"/>
        </w:rPr>
        <w:t>ource reduction and recycling activities.</w:t>
      </w:r>
    </w:p>
    <w:p w:rsidR="00A64CE8" w:rsidRPr="00A3691C" w:rsidP="00A3691C" w14:paraId="0354AAEC" w14:textId="77777777">
      <w:pPr>
        <w:spacing w:after="200" w:line="276" w:lineRule="auto"/>
        <w:rPr>
          <w:rFonts w:cs="Arial"/>
        </w:rPr>
      </w:pPr>
      <w:r w:rsidRPr="00A3691C">
        <w:rPr>
          <w:rFonts w:cs="Arial"/>
        </w:rPr>
        <w:t xml:space="preserve">On Form R </w:t>
      </w:r>
      <w:r w:rsidRPr="00A3691C">
        <w:rPr>
          <w:rFonts w:cs="Arial"/>
          <w:b/>
        </w:rPr>
        <w:t>Schedule 1</w:t>
      </w:r>
      <w:r w:rsidRPr="00A3691C">
        <w:rPr>
          <w:rFonts w:cs="Arial"/>
        </w:rPr>
        <w:t xml:space="preserve">, facilities reporting on dioxin and dioxin-like compounds report the individual grams data </w:t>
      </w:r>
      <w:r w:rsidRPr="00A3691C">
        <w:rPr>
          <w:rFonts w:cs="Arial"/>
        </w:rPr>
        <w:t>for each member of the dioxin and dioxin-like compounds category present</w:t>
      </w:r>
      <w:r w:rsidRPr="00A3691C" w:rsidR="00560D2F">
        <w:rPr>
          <w:rFonts w:cs="Arial"/>
        </w:rPr>
        <w:t xml:space="preserve">. </w:t>
      </w:r>
      <w:r w:rsidRPr="00A3691C">
        <w:rPr>
          <w:rFonts w:cs="Arial"/>
        </w:rPr>
        <w:t>Form R Schedule 1 is a four-page form that mirrors the data elements from Form R Part II Chemical-Specific Information sections 5, 6, and 8 (current year only).</w:t>
      </w:r>
    </w:p>
    <w:p w:rsidR="00A64CE8" w:rsidRPr="00A3691C" w:rsidP="00A3691C" w14:paraId="622DBF21" w14:textId="77777777">
      <w:pPr>
        <w:spacing w:after="200" w:line="276" w:lineRule="auto"/>
        <w:ind w:right="648"/>
        <w:rPr>
          <w:rFonts w:cs="Arial"/>
        </w:rPr>
      </w:pPr>
      <w:r w:rsidRPr="00A3691C">
        <w:rPr>
          <w:rFonts w:cs="Arial"/>
          <w:b/>
        </w:rPr>
        <w:t>Form A</w:t>
      </w:r>
      <w:r w:rsidRPr="00A3691C" w:rsidR="006B09C2">
        <w:rPr>
          <w:rFonts w:cs="Arial"/>
          <w:b/>
        </w:rPr>
        <w:t>:</w:t>
      </w:r>
      <w:r w:rsidRPr="00A3691C" w:rsidR="00B460BE">
        <w:rPr>
          <w:rFonts w:cs="Arial"/>
          <w:b/>
        </w:rPr>
        <w:t xml:space="preserve"> </w:t>
      </w:r>
      <w:r w:rsidRPr="00A3691C">
        <w:rPr>
          <w:rFonts w:cs="Arial"/>
        </w:rPr>
        <w:t>Form A also c</w:t>
      </w:r>
      <w:r w:rsidRPr="00A3691C">
        <w:rPr>
          <w:rFonts w:cs="Arial"/>
        </w:rPr>
        <w:t xml:space="preserve">onsists of two sections. </w:t>
      </w:r>
      <w:r w:rsidRPr="00A3691C">
        <w:rPr>
          <w:rFonts w:cs="Arial"/>
          <w:b/>
        </w:rPr>
        <w:t xml:space="preserve">Part I </w:t>
      </w:r>
      <w:r w:rsidRPr="00A3691C">
        <w:rPr>
          <w:rFonts w:cs="Arial"/>
        </w:rPr>
        <w:t xml:space="preserve">solicits the same information as Part I of Form R (see list above) but requires a different certification statement </w:t>
      </w:r>
      <w:r w:rsidRPr="00A3691C" w:rsidR="00B256BF">
        <w:rPr>
          <w:rFonts w:cs="Arial"/>
        </w:rPr>
        <w:t>that</w:t>
      </w:r>
      <w:r w:rsidRPr="00A3691C">
        <w:rPr>
          <w:rFonts w:cs="Arial"/>
        </w:rPr>
        <w:t xml:space="preserve"> represents a signed statement by a facility owner/operator or senior management official. In contrast t</w:t>
      </w:r>
      <w:r w:rsidRPr="00A3691C">
        <w:rPr>
          <w:rFonts w:cs="Arial"/>
        </w:rPr>
        <w:t xml:space="preserve">o Form R where reduced threshold eligibility is not an issue, the </w:t>
      </w:r>
      <w:r w:rsidRPr="00A3691C" w:rsidR="00F81B48">
        <w:rPr>
          <w:rFonts w:cs="Arial"/>
        </w:rPr>
        <w:t>Form As</w:t>
      </w:r>
      <w:r w:rsidRPr="00A3691C">
        <w:rPr>
          <w:rFonts w:cs="Arial"/>
        </w:rPr>
        <w:t xml:space="preserve"> signed statement certifies that the annual reportable amount as defined by 40 CFR 372.27(a) did not exceed 500 pounds for the reporting year, and that the amounts manufactured, or pr</w:t>
      </w:r>
      <w:r w:rsidRPr="00A3691C">
        <w:rPr>
          <w:rFonts w:cs="Arial"/>
        </w:rPr>
        <w:t>ocessed, or otherwise used did not exceed 1 million pounds for that year</w:t>
      </w:r>
      <w:r w:rsidRPr="00A3691C" w:rsidR="00560D2F">
        <w:rPr>
          <w:rFonts w:cs="Arial"/>
        </w:rPr>
        <w:t xml:space="preserve">. </w:t>
      </w:r>
      <w:r w:rsidRPr="00A3691C">
        <w:rPr>
          <w:rFonts w:cs="Arial"/>
        </w:rPr>
        <w:t>In most instances, PBT chemicals may not be reported using Form A.</w:t>
      </w:r>
      <w:r>
        <w:rPr>
          <w:rStyle w:val="FootnoteReference"/>
          <w:rFonts w:cs="Arial"/>
        </w:rPr>
        <w:footnoteReference w:id="12"/>
      </w:r>
      <w:r w:rsidRPr="00A3691C">
        <w:rPr>
          <w:rFonts w:cs="Arial"/>
        </w:rPr>
        <w:t xml:space="preserve"> In </w:t>
      </w:r>
      <w:r w:rsidRPr="00A3691C">
        <w:rPr>
          <w:rFonts w:cs="Arial"/>
          <w:b/>
        </w:rPr>
        <w:t>Part II</w:t>
      </w:r>
      <w:r w:rsidRPr="00A3691C">
        <w:rPr>
          <w:rFonts w:cs="Arial"/>
        </w:rPr>
        <w:t>, a facility may report multiple chemicals on a single Form A</w:t>
      </w:r>
      <w:r w:rsidRPr="00A3691C" w:rsidR="00560D2F">
        <w:rPr>
          <w:rFonts w:cs="Arial"/>
        </w:rPr>
        <w:t xml:space="preserve">. </w:t>
      </w:r>
      <w:r w:rsidRPr="00A3691C" w:rsidR="007A0D42">
        <w:rPr>
          <w:rFonts w:cs="Arial"/>
        </w:rPr>
        <w:t>Specifically Form A solicits</w:t>
      </w:r>
      <w:r w:rsidRPr="00A3691C" w:rsidR="0049268E">
        <w:rPr>
          <w:rFonts w:cs="Arial"/>
        </w:rPr>
        <w:t xml:space="preserve"> the toxic chemical identity, and the mixture component identity.</w:t>
      </w:r>
    </w:p>
    <w:p w:rsidR="00A64CE8" w:rsidRPr="00A3691C" w:rsidP="00A3691C" w14:paraId="100A32F4" w14:textId="77777777">
      <w:pPr>
        <w:spacing w:after="200" w:line="276" w:lineRule="auto"/>
        <w:rPr>
          <w:rFonts w:cs="Arial"/>
        </w:rPr>
      </w:pPr>
      <w:r w:rsidRPr="00A3691C">
        <w:rPr>
          <w:rFonts w:cs="Arial"/>
          <w:b/>
        </w:rPr>
        <w:t>Recordkeeping</w:t>
      </w:r>
      <w:r w:rsidRPr="00A3691C">
        <w:rPr>
          <w:rFonts w:cs="Arial"/>
        </w:rPr>
        <w:t xml:space="preserve">: </w:t>
      </w:r>
      <w:r w:rsidRPr="00A3691C" w:rsidR="00946B49">
        <w:rPr>
          <w:rFonts w:cs="Arial"/>
        </w:rPr>
        <w:t xml:space="preserve">In addition to annual reporting requirements, facilities must maintain records used to provide the information required on the form according to 40 CFR </w:t>
      </w:r>
      <w:r w:rsidRPr="00A3691C" w:rsidR="007A0D42">
        <w:rPr>
          <w:rFonts w:cs="Arial"/>
        </w:rPr>
        <w:t xml:space="preserve">section </w:t>
      </w:r>
      <w:r w:rsidRPr="00A3691C" w:rsidR="00946B49">
        <w:rPr>
          <w:rFonts w:cs="Arial"/>
        </w:rPr>
        <w:t xml:space="preserve">372.10. Those records may </w:t>
      </w:r>
      <w:r w:rsidRPr="00A3691C" w:rsidR="00946B49">
        <w:rPr>
          <w:rFonts w:cs="Arial"/>
          <w:spacing w:val="-2"/>
        </w:rPr>
        <w:t>include estimation methodology and calculations; engineering reports; inventory, incident, and</w:t>
      </w:r>
      <w:r w:rsidRPr="00A3691C" w:rsidR="00946B49">
        <w:rPr>
          <w:rFonts w:cs="Arial"/>
        </w:rPr>
        <w:t xml:space="preserve"> operating logs; and other supporting materials. Facilities must keep </w:t>
      </w:r>
      <w:r w:rsidR="00480144">
        <w:rPr>
          <w:rFonts w:cs="Arial"/>
        </w:rPr>
        <w:t xml:space="preserve">records and </w:t>
      </w:r>
      <w:r w:rsidRPr="00A3691C" w:rsidR="00946B49">
        <w:rPr>
          <w:rFonts w:cs="Arial"/>
        </w:rPr>
        <w:t>a copy of each report filed for at least three years.</w:t>
      </w:r>
    </w:p>
    <w:p w:rsidR="00A64CE8" w:rsidRPr="00A3691C" w:rsidP="00A3691C" w14:paraId="72517C93" w14:textId="77777777">
      <w:pPr>
        <w:spacing w:after="200" w:line="276" w:lineRule="auto"/>
        <w:ind w:right="216"/>
        <w:rPr>
          <w:rFonts w:cs="Arial"/>
          <w:b/>
          <w:bCs/>
        </w:rPr>
      </w:pPr>
      <w:r w:rsidRPr="00A3691C">
        <w:rPr>
          <w:rFonts w:cs="Arial"/>
          <w:b/>
          <w:bCs/>
        </w:rPr>
        <w:t>Non-Form Activi</w:t>
      </w:r>
      <w:r w:rsidRPr="00A3691C">
        <w:rPr>
          <w:rFonts w:cs="Arial"/>
          <w:b/>
          <w:bCs/>
        </w:rPr>
        <w:t>ties</w:t>
      </w:r>
    </w:p>
    <w:p w:rsidR="00743940" w:rsidRPr="00A3691C" w:rsidP="00A3691C" w14:paraId="3B250D9C" w14:textId="77777777">
      <w:pPr>
        <w:tabs>
          <w:tab w:val="left" w:pos="450"/>
        </w:tabs>
        <w:spacing w:after="200" w:line="276" w:lineRule="auto"/>
        <w:ind w:right="288"/>
        <w:rPr>
          <w:rFonts w:cs="Arial"/>
        </w:rPr>
      </w:pPr>
      <w:r w:rsidRPr="00A3691C">
        <w:rPr>
          <w:rFonts w:cs="Arial"/>
          <w:b/>
          <w:bCs/>
        </w:rPr>
        <w:t>Supplier Notification:</w:t>
      </w:r>
      <w:r w:rsidRPr="00A3691C">
        <w:rPr>
          <w:rFonts w:cs="Arial"/>
        </w:rPr>
        <w:t xml:space="preserve"> Certain suppliers of mixtures or trade name products containing </w:t>
      </w:r>
      <w:r w:rsidRPr="00A3691C">
        <w:rPr>
          <w:rFonts w:cs="Arial"/>
          <w:spacing w:val="-2"/>
        </w:rPr>
        <w:t>reportable substances must annually notify their customers of the product's composition, if the</w:t>
      </w:r>
      <w:r w:rsidRPr="00A3691C">
        <w:rPr>
          <w:rFonts w:cs="Arial"/>
        </w:rPr>
        <w:t xml:space="preserve"> customer is subject to EPCRA </w:t>
      </w:r>
      <w:r w:rsidRPr="00A3691C" w:rsidR="00D90795">
        <w:rPr>
          <w:rFonts w:cs="Arial"/>
        </w:rPr>
        <w:t xml:space="preserve">section </w:t>
      </w:r>
      <w:r w:rsidRPr="00A3691C">
        <w:rPr>
          <w:rFonts w:cs="Arial"/>
        </w:rPr>
        <w:t>313 reporting. This activity in</w:t>
      </w:r>
      <w:r w:rsidRPr="00A3691C">
        <w:rPr>
          <w:rFonts w:cs="Arial"/>
        </w:rPr>
        <w:t>cludes the time required to inform customers, either by letter or through the safety data sheet (SDS) for the product.</w:t>
      </w:r>
      <w:r w:rsidRPr="00A3691C" w:rsidR="0049268E">
        <w:rPr>
          <w:rFonts w:cs="Arial"/>
        </w:rPr>
        <w:t xml:space="preserve"> </w:t>
      </w:r>
      <w:r w:rsidRPr="00A3691C" w:rsidR="00181109">
        <w:rPr>
          <w:rFonts w:cs="Arial"/>
        </w:rPr>
        <w:t>Given the</w:t>
      </w:r>
      <w:r w:rsidR="00CC7695">
        <w:rPr>
          <w:rFonts w:cs="Arial"/>
        </w:rPr>
        <w:t xml:space="preserve"> </w:t>
      </w:r>
      <w:r w:rsidRPr="00A3691C" w:rsidR="00181109">
        <w:rPr>
          <w:rFonts w:cs="Arial"/>
        </w:rPr>
        <w:t xml:space="preserve">fact that Nominal Form R burden already accounts for typical program level supplier notifications, EPA assumes that the number of </w:t>
      </w:r>
      <w:r w:rsidR="007779EA">
        <w:rPr>
          <w:rFonts w:cs="Arial"/>
        </w:rPr>
        <w:t xml:space="preserve">additional </w:t>
      </w:r>
      <w:r w:rsidRPr="00A3691C" w:rsidR="00181109">
        <w:rPr>
          <w:rFonts w:cs="Arial"/>
        </w:rPr>
        <w:t xml:space="preserve">facilities that might be required to provide supplier notifications would only be a small fraction of potential supplier notifications in connection with the TRI program overall. </w:t>
      </w:r>
      <w:r w:rsidRPr="00AC0A2D" w:rsidR="00AC0A2D">
        <w:rPr>
          <w:rFonts w:cs="Arial"/>
        </w:rPr>
        <w:t>Due to the unique implications of rulemaking eliminating supplier notification de minimis exemption for Chemicals of Special Concern, EPA expects an unknown number of additional facilities will be required to provide supplier notification.</w:t>
      </w:r>
      <w:r w:rsidR="00AC0A2D">
        <w:rPr>
          <w:rFonts w:cs="Arial"/>
        </w:rPr>
        <w:t xml:space="preserve"> </w:t>
      </w:r>
      <w:r w:rsidRPr="00AC0A2D" w:rsidR="00AC0A2D">
        <w:rPr>
          <w:rFonts w:cs="Arial"/>
        </w:rPr>
        <w:t>EPA estimates a 15% increase in supplier notification burden.</w:t>
      </w:r>
    </w:p>
    <w:p w:rsidR="00A64CE8" w:rsidRPr="00A3691C" w:rsidP="00A3691C" w14:paraId="1787FD67" w14:textId="77777777">
      <w:pPr>
        <w:spacing w:after="200" w:line="276" w:lineRule="auto"/>
        <w:rPr>
          <w:rFonts w:cs="Arial"/>
        </w:rPr>
      </w:pPr>
      <w:r w:rsidRPr="00A3691C">
        <w:rPr>
          <w:rFonts w:cs="Arial"/>
          <w:b/>
        </w:rPr>
        <w:t>Non-Reporter Comp</w:t>
      </w:r>
      <w:r w:rsidRPr="00A3691C">
        <w:rPr>
          <w:rFonts w:cs="Arial"/>
          <w:b/>
        </w:rPr>
        <w:t>liance Determination</w:t>
      </w:r>
      <w:r w:rsidRPr="00A3691C">
        <w:rPr>
          <w:rFonts w:cs="Arial"/>
          <w:b/>
          <w:bCs/>
        </w:rPr>
        <w:t>:</w:t>
      </w:r>
      <w:r w:rsidRPr="00A3691C">
        <w:rPr>
          <w:rFonts w:cs="Arial"/>
        </w:rPr>
        <w:t xml:space="preserve"> In any given reporting year, a group of eligible facilities will complete compliance determination</w:t>
      </w:r>
      <w:r w:rsidR="005042A6">
        <w:rPr>
          <w:rFonts w:cs="Arial"/>
        </w:rPr>
        <w:t>s</w:t>
      </w:r>
      <w:r w:rsidRPr="00A3691C">
        <w:rPr>
          <w:rFonts w:cs="Arial"/>
        </w:rPr>
        <w:t xml:space="preserve"> but will not file a Form R or Form A. The </w:t>
      </w:r>
      <w:r w:rsidRPr="00A3691C" w:rsidR="008D7A43">
        <w:rPr>
          <w:rFonts w:cs="Arial"/>
        </w:rPr>
        <w:t xml:space="preserve">process for determining whether reporting is required </w:t>
      </w:r>
      <w:r w:rsidRPr="00A3691C">
        <w:rPr>
          <w:rFonts w:cs="Arial"/>
        </w:rPr>
        <w:t xml:space="preserve">is the same as </w:t>
      </w:r>
      <w:r w:rsidRPr="00A3691C" w:rsidR="008D7A43">
        <w:rPr>
          <w:rFonts w:cs="Arial"/>
        </w:rPr>
        <w:t xml:space="preserve">described </w:t>
      </w:r>
      <w:r w:rsidRPr="00A3691C">
        <w:rPr>
          <w:rFonts w:cs="Arial"/>
        </w:rPr>
        <w:t>above under Form Activities; however, given that compliance determination applies to all other facilities in NAICS-code-eligible sectors (with ten or more employees)—including t</w:t>
      </w:r>
      <w:r w:rsidRPr="00A3691C">
        <w:rPr>
          <w:rFonts w:cs="Arial"/>
        </w:rPr>
        <w:t>hose that ultimately do not report to TRI—this separate activity ac</w:t>
      </w:r>
      <w:r w:rsidRPr="00A3691C" w:rsidR="007A0D42">
        <w:rPr>
          <w:rFonts w:cs="Arial"/>
        </w:rPr>
        <w:t>counts for the latter category.</w:t>
      </w:r>
      <w:r w:rsidRPr="00A3691C" w:rsidR="0049268E">
        <w:rPr>
          <w:rFonts w:cs="Arial"/>
        </w:rPr>
        <w:t xml:space="preserve"> </w:t>
      </w:r>
      <w:r w:rsidRPr="00A3691C" w:rsidR="007839C4">
        <w:rPr>
          <w:rFonts w:cs="Arial"/>
        </w:rPr>
        <w:t xml:space="preserve">For this </w:t>
      </w:r>
      <w:r w:rsidR="00893872">
        <w:rPr>
          <w:rFonts w:cs="Arial"/>
        </w:rPr>
        <w:t xml:space="preserve">final </w:t>
      </w:r>
      <w:r w:rsidRPr="00A3691C" w:rsidR="007839C4">
        <w:rPr>
          <w:rFonts w:cs="Arial"/>
        </w:rPr>
        <w:t>rule, it is assumed that the non-reporter compliance determination burden is already included in the existing compliance determination burden estimates.</w:t>
      </w:r>
    </w:p>
    <w:p w:rsidR="007839C4" w:rsidRPr="00A3691C" w:rsidP="00A3691C" w14:paraId="57112931" w14:textId="77777777">
      <w:pPr>
        <w:pStyle w:val="FootnoteText"/>
        <w:spacing w:after="200" w:line="276" w:lineRule="auto"/>
        <w:rPr>
          <w:rFonts w:cs="Arial"/>
          <w:sz w:val="24"/>
          <w:szCs w:val="24"/>
        </w:rPr>
      </w:pPr>
      <w:bookmarkStart w:id="5" w:name="_Hlk525304665"/>
      <w:r w:rsidRPr="00A3691C">
        <w:rPr>
          <w:rFonts w:cs="Arial"/>
          <w:b/>
          <w:sz w:val="24"/>
          <w:szCs w:val="24"/>
        </w:rPr>
        <w:t xml:space="preserve">Petitions: </w:t>
      </w:r>
      <w:r w:rsidRPr="00A3691C" w:rsidR="00622EA5">
        <w:rPr>
          <w:rFonts w:cs="Arial"/>
          <w:sz w:val="24"/>
          <w:szCs w:val="24"/>
        </w:rPr>
        <w:t xml:space="preserve"> W</w:t>
      </w:r>
      <w:r w:rsidRPr="00A3691C">
        <w:rPr>
          <w:rFonts w:cs="Arial"/>
          <w:sz w:val="24"/>
          <w:szCs w:val="24"/>
        </w:rPr>
        <w:t xml:space="preserve">hile petitions are considered in the overall burden/cost of the TRI program, they are not considered in this rulemaking as they are not related to the </w:t>
      </w:r>
      <w:r w:rsidR="00DE1407">
        <w:rPr>
          <w:rFonts w:cs="Arial"/>
          <w:sz w:val="24"/>
          <w:szCs w:val="24"/>
        </w:rPr>
        <w:t xml:space="preserve">reporting changes for </w:t>
      </w:r>
      <w:r w:rsidR="003151A3">
        <w:rPr>
          <w:rFonts w:cs="Arial"/>
          <w:sz w:val="24"/>
          <w:szCs w:val="24"/>
        </w:rPr>
        <w:t>listed PFAS</w:t>
      </w:r>
      <w:r w:rsidRPr="00A3691C">
        <w:rPr>
          <w:rFonts w:cs="Arial"/>
          <w:sz w:val="24"/>
          <w:szCs w:val="24"/>
        </w:rPr>
        <w:t>.</w:t>
      </w:r>
    </w:p>
    <w:bookmarkEnd w:id="5"/>
    <w:p w:rsidR="00A64CE8" w:rsidRPr="00A3691C" w:rsidP="00A3691C" w14:paraId="48660F4C" w14:textId="77777777">
      <w:pPr>
        <w:spacing w:after="200" w:line="276" w:lineRule="auto"/>
        <w:rPr>
          <w:rFonts w:cs="Arial"/>
        </w:rPr>
      </w:pPr>
      <w:r w:rsidRPr="00A3691C">
        <w:rPr>
          <w:rFonts w:cs="Arial"/>
        </w:rPr>
        <w:t>EPA provides the reporting community with inst</w:t>
      </w:r>
      <w:r w:rsidRPr="00A3691C">
        <w:rPr>
          <w:rFonts w:cs="Arial"/>
        </w:rPr>
        <w:t>ructions, guidance documents, training materials, and toll-free hotlines to assist them in completing and submittin</w:t>
      </w:r>
      <w:r w:rsidRPr="00A3691C" w:rsidR="0078453A">
        <w:rPr>
          <w:rFonts w:cs="Arial"/>
        </w:rPr>
        <w:t>g their reporting forms to EPA.</w:t>
      </w:r>
      <w:r w:rsidRPr="00A3691C" w:rsidR="009B7153">
        <w:rPr>
          <w:rFonts w:cs="Arial"/>
        </w:rPr>
        <w:t xml:space="preserve"> These materials are accessible online: </w:t>
      </w:r>
      <w:r>
        <w:fldChar w:fldCharType="begin"/>
      </w:r>
      <w:r w:rsidRPr="00A3691C" w:rsidR="009B7153">
        <w:rPr>
          <w:rStyle w:val="Hyperlink"/>
          <w:rFonts w:cs="Arial"/>
          <w:color w:val="auto"/>
        </w:rPr>
        <w:instrText xml:space="preserve"> HYPERLINK "https://ofmpub.epa.gov/apex/guideme_ext/f?p=guideme:home" </w:instrText>
      </w:r>
      <w:r>
        <w:fldChar w:fldCharType="separate"/>
      </w:r>
      <w:r w:rsidRPr="00A3691C" w:rsidR="009B7153">
        <w:rPr>
          <w:rStyle w:val="Hyperlink"/>
          <w:rFonts w:cs="Arial"/>
          <w:color w:val="auto"/>
        </w:rPr>
        <w:t>https://ofmpub.epa.gov/apex/guideme_ext/f?p=guideme:home</w:t>
      </w:r>
      <w:r>
        <w:fldChar w:fldCharType="end"/>
      </w:r>
      <w:r w:rsidRPr="00A3691C" w:rsidR="009B7153">
        <w:rPr>
          <w:rFonts w:cs="Arial"/>
        </w:rPr>
        <w:t xml:space="preserve">. </w:t>
      </w:r>
    </w:p>
    <w:p w:rsidR="006B09C2" w:rsidRPr="00A3691C" w:rsidP="00A3691C" w14:paraId="0E65AFED" w14:textId="77777777">
      <w:pPr>
        <w:spacing w:after="200" w:line="276" w:lineRule="auto"/>
        <w:ind w:right="288"/>
        <w:rPr>
          <w:rFonts w:cs="Arial"/>
          <w:b/>
        </w:rPr>
      </w:pPr>
      <w:r w:rsidRPr="00A3691C">
        <w:rPr>
          <w:rFonts w:cs="Arial"/>
          <w:b/>
        </w:rPr>
        <w:t>Radio-Based Burden Methodology</w:t>
      </w:r>
    </w:p>
    <w:p w:rsidR="006B09C2" w:rsidRPr="00444F9D" w:rsidP="00A3691C" w14:paraId="6E1ADE5A" w14:textId="77777777">
      <w:pPr>
        <w:spacing w:after="200" w:line="276" w:lineRule="auto"/>
        <w:ind w:right="288"/>
        <w:rPr>
          <w:rFonts w:cs="Arial"/>
        </w:rPr>
      </w:pPr>
      <w:r w:rsidRPr="00A3691C">
        <w:rPr>
          <w:rFonts w:cs="Arial"/>
        </w:rPr>
        <w:t xml:space="preserve">As was done in </w:t>
      </w:r>
      <w:r w:rsidRPr="00A3691C" w:rsidR="00622EA5">
        <w:rPr>
          <w:rFonts w:cs="Arial"/>
        </w:rPr>
        <w:t>a recent ICR</w:t>
      </w:r>
      <w:r w:rsidRPr="00A3691C" w:rsidR="007459F0">
        <w:rPr>
          <w:rFonts w:cs="Arial"/>
        </w:rPr>
        <w:t xml:space="preserve"> </w:t>
      </w:r>
      <w:r w:rsidRPr="00A3691C">
        <w:rPr>
          <w:rFonts w:cs="Arial"/>
        </w:rPr>
        <w:t>renewal</w:t>
      </w:r>
      <w:r w:rsidRPr="00A3691C" w:rsidR="00622EA5">
        <w:rPr>
          <w:rFonts w:cs="Arial"/>
        </w:rPr>
        <w:t>, this ICR</w:t>
      </w:r>
      <w:r w:rsidRPr="00A3691C">
        <w:rPr>
          <w:rFonts w:cs="Arial"/>
        </w:rPr>
        <w:t xml:space="preserve"> uses EPA’s new Ratio-Based Burden Methodology (RBBM), to estimate TRI respondent burden for both Form R and Form A reporting.</w:t>
      </w:r>
      <w:r>
        <w:rPr>
          <w:rStyle w:val="FootnoteReference"/>
        </w:rPr>
        <w:footnoteReference w:id="13"/>
      </w:r>
    </w:p>
    <w:p w:rsidR="007E4460" w:rsidRPr="00444F9D" w:rsidP="00A3691C" w14:paraId="17D118EF" w14:textId="77777777">
      <w:pPr>
        <w:spacing w:after="200" w:line="276" w:lineRule="auto"/>
        <w:rPr>
          <w:rFonts w:cs="Arial"/>
        </w:rPr>
      </w:pPr>
      <w:r w:rsidRPr="00444F9D">
        <w:rPr>
          <w:rFonts w:cs="Arial"/>
        </w:rPr>
        <w:t>Ratio-Based Burden Methodology simplifies calculations, supports internal consistency, and sharpens transparency while retainin</w:t>
      </w:r>
      <w:r w:rsidRPr="00444F9D">
        <w:rPr>
          <w:rFonts w:cs="Arial"/>
        </w:rPr>
        <w:t>g the components of the previous methodology and maintaining its overall total burden estimate as a starting point.</w:t>
      </w:r>
      <w:r>
        <w:rPr>
          <w:rStyle w:val="FootnoteReference"/>
        </w:rPr>
        <w:footnoteReference w:id="14"/>
      </w:r>
      <w:r w:rsidRPr="00444F9D" w:rsidR="0075481F">
        <w:rPr>
          <w:rFonts w:cs="Arial"/>
        </w:rPr>
        <w:t xml:space="preserve"> </w:t>
      </w:r>
      <w:r w:rsidRPr="00444F9D">
        <w:rPr>
          <w:rFonts w:cs="Arial"/>
        </w:rPr>
        <w:t>For activities associated with filing TRI chemical reports, RBBM burden estimates include rule familiarization, reporter compliance determ</w:t>
      </w:r>
      <w:r w:rsidRPr="00444F9D">
        <w:rPr>
          <w:rFonts w:cs="Arial"/>
        </w:rPr>
        <w:t>ination, calculations and form completion, and recordkeeping. Similarly, for activities unrelated to form reporting (non-form burden) RBBM estimates include supplier notification, non-reporter compliance determination, and preparation and submission of pet</w:t>
      </w:r>
      <w:r w:rsidRPr="00444F9D">
        <w:rPr>
          <w:rFonts w:cs="Arial"/>
        </w:rPr>
        <w:t>itions.</w:t>
      </w:r>
    </w:p>
    <w:p w:rsidR="00102EDA" w:rsidRPr="00444F9D" w:rsidP="00444F9D" w14:paraId="4BB65494" w14:textId="77777777">
      <w:pPr>
        <w:spacing w:after="200" w:line="276" w:lineRule="auto"/>
        <w:rPr>
          <w:rFonts w:cs="Arial"/>
        </w:rPr>
      </w:pPr>
      <w:r w:rsidRPr="00444F9D">
        <w:rPr>
          <w:rFonts w:cs="Arial"/>
        </w:rPr>
        <w:t>Figure 1 presents the equations of RBBM’s primary method: Steady State Total Burden Calculation. With RBBM’s calculation of form burden, the only variables/inputs required are total counts for Form R Chemicals and Form A Chemicals. The factors/cons</w:t>
      </w:r>
      <w:r w:rsidRPr="00444F9D">
        <w:rPr>
          <w:rFonts w:cs="Arial"/>
        </w:rPr>
        <w:t>tants of the equations include: 1) Nominal Form R unit burden, in units of burden hours per Form R Chemical and 2) A/R,</w:t>
      </w:r>
      <w:r>
        <w:rPr>
          <w:rStyle w:val="FootnoteReference"/>
        </w:rPr>
        <w:footnoteReference w:id="15"/>
      </w:r>
      <w:r w:rsidRPr="00444F9D" w:rsidR="0075481F">
        <w:rPr>
          <w:rFonts w:cs="Arial"/>
        </w:rPr>
        <w:t xml:space="preserve"> </w:t>
      </w:r>
      <w:r w:rsidRPr="00444F9D">
        <w:rPr>
          <w:rFonts w:cs="Arial"/>
        </w:rPr>
        <w:t>a model for the ratio of Form A (single-chemical)</w:t>
      </w:r>
      <w:r>
        <w:rPr>
          <w:rStyle w:val="FootnoteReference"/>
        </w:rPr>
        <w:footnoteReference w:id="16"/>
      </w:r>
      <w:r w:rsidRPr="00444F9D">
        <w:rPr>
          <w:rFonts w:cs="Arial"/>
        </w:rPr>
        <w:t xml:space="preserve"> to Form R burden.</w:t>
      </w:r>
    </w:p>
    <w:p w:rsidR="007E4460" w:rsidRPr="00444F9D" w:rsidP="00444F9D" w14:paraId="2CD77DBF" w14:textId="77777777">
      <w:pPr>
        <w:spacing w:after="200" w:line="276" w:lineRule="auto"/>
        <w:rPr>
          <w:rFonts w:cs="Arial"/>
          <w:bCs/>
        </w:rPr>
      </w:pPr>
      <w:r w:rsidRPr="00444F9D">
        <w:rPr>
          <w:rFonts w:cs="Arial"/>
        </w:rPr>
        <w:t>As shown in Figure 1, multiplying the Nominal Form R unit burden</w:t>
      </w:r>
      <w:r w:rsidRPr="00444F9D">
        <w:rPr>
          <w:rFonts w:cs="Arial"/>
        </w:rPr>
        <w:t xml:space="preserve"> by the number of Form R Chemicals provides an estimate of the total Form R burden. Similarly, multiplying the Form A unit burden (formulated as the product of A/R and Nominal Form R unit burden) by the number of Form A Chemicals provides an estimate of th</w:t>
      </w:r>
      <w:r w:rsidRPr="00444F9D">
        <w:rPr>
          <w:rFonts w:cs="Arial"/>
        </w:rPr>
        <w:t>e total Form A burden.</w:t>
      </w:r>
    </w:p>
    <w:p w:rsidR="007E4460" w:rsidRPr="00444F9D" w:rsidP="00444F9D" w14:paraId="61FFC2E7" w14:textId="77777777">
      <w:pPr>
        <w:spacing w:after="200" w:line="276" w:lineRule="auto"/>
        <w:rPr>
          <w:rFonts w:cs="Arial"/>
          <w:bCs/>
        </w:rPr>
      </w:pPr>
    </w:p>
    <w:p w:rsidR="007E4460" w:rsidRPr="00444F9D" w:rsidP="00444F9D" w14:paraId="2BE512CD" w14:textId="77777777">
      <w:pPr>
        <w:spacing w:after="200" w:line="276" w:lineRule="auto"/>
        <w:rPr>
          <w:rFonts w:cs="Arial"/>
          <w:bCs/>
        </w:rPr>
      </w:pPr>
      <w:r w:rsidRPr="00444F9D">
        <w:rPr>
          <w:rFonts w:cs="Arial"/>
          <w:bCs/>
          <w:noProof/>
        </w:rPr>
        <mc:AlternateContent>
          <mc:Choice Requires="wpg">
            <w:drawing>
              <wp:inline distT="0" distB="0" distL="0" distR="0">
                <wp:extent cx="6172200" cy="4876800"/>
                <wp:effectExtent l="0" t="0" r="19050" b="19050"/>
                <wp:docPr id="7"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172200" cy="4876800"/>
                          <a:chOff x="2509" y="3876"/>
                          <a:chExt cx="7382" cy="5881"/>
                        </a:xfrm>
                      </wpg:grpSpPr>
                      <wps:wsp xmlns:wps="http://schemas.microsoft.com/office/word/2010/wordprocessingShape">
                        <wps:cNvPr id="8" name="AutoShape 419"/>
                        <wps:cNvSpPr>
                          <a:spLocks noChangeAspect="1" noChangeArrowheads="1" noTextEdit="1"/>
                        </wps:cNvSpPr>
                        <wps:spPr bwMode="auto">
                          <a:xfrm>
                            <a:off x="2509" y="3876"/>
                            <a:ext cx="7382" cy="5881"/>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 name="Text Box 420"/>
                        <wps:cNvSpPr txBox="1">
                          <a:spLocks noChangeArrowheads="1"/>
                        </wps:cNvSpPr>
                        <wps:spPr bwMode="auto">
                          <a:xfrm>
                            <a:off x="2509" y="3876"/>
                            <a:ext cx="7382" cy="574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71D61" w:rsidRPr="00AC5A67" w:rsidP="007E4460" w14:paraId="49CF2044" w14:textId="77777777">
                              <w:pPr>
                                <w:jc w:val="center"/>
                                <w:rPr>
                                  <w:b/>
                                </w:rPr>
                              </w:pPr>
                              <w:r w:rsidRPr="00AC5A67">
                                <w:rPr>
                                  <w:b/>
                                </w:rPr>
                                <w:t xml:space="preserve">Figure </w:t>
                              </w:r>
                              <w:r>
                                <w:rPr>
                                  <w:b/>
                                </w:rPr>
                                <w:t>1</w:t>
                              </w:r>
                            </w:p>
                            <w:p w:rsidR="00D71D61" w:rsidP="007E4460" w14:paraId="2A159B09" w14:textId="77777777">
                              <w:pPr>
                                <w:jc w:val="center"/>
                                <w:rPr>
                                  <w:b/>
                                  <w:vertAlign w:val="superscript"/>
                                </w:rPr>
                              </w:pPr>
                              <w:r w:rsidRPr="00AC5A67">
                                <w:rPr>
                                  <w:b/>
                                </w:rPr>
                                <w:t xml:space="preserve">Ratio-Based </w:t>
                              </w:r>
                              <w:r>
                                <w:rPr>
                                  <w:b/>
                                </w:rPr>
                                <w:t xml:space="preserve">Burden </w:t>
                              </w:r>
                              <w:r w:rsidRPr="00AC5A67">
                                <w:rPr>
                                  <w:b/>
                                </w:rPr>
                                <w:t>Methodology</w:t>
                              </w:r>
                              <w:r w:rsidRPr="004E43CA">
                                <w:rPr>
                                  <w:b/>
                                  <w:vertAlign w:val="superscript"/>
                                </w:rPr>
                                <w:t xml:space="preserve"> a</w:t>
                              </w:r>
                            </w:p>
                            <w:p w:rsidR="00D71D61" w:rsidP="007E4460" w14:paraId="19E962F1" w14:textId="77777777">
                              <w:pPr>
                                <w:jc w:val="center"/>
                              </w:pPr>
                              <w:r w:rsidRPr="00AC5A67">
                                <w:rPr>
                                  <w:b/>
                                </w:rPr>
                                <w:t>Two Burden Factors</w:t>
                              </w:r>
                              <w:r>
                                <w:rPr>
                                  <w:b/>
                                </w:rPr>
                                <w:t xml:space="preserve">; </w:t>
                              </w:r>
                              <w:r w:rsidRPr="00AC5A67">
                                <w:rPr>
                                  <w:b/>
                                </w:rPr>
                                <w:t>Two Chemical Counts</w:t>
                              </w:r>
                              <w:r>
                                <w:rPr>
                                  <w:b/>
                                </w:rPr>
                                <w:t>; One Wage Rate</w:t>
                              </w:r>
                            </w:p>
                            <w:p w:rsidR="00D71D61" w:rsidP="007E4460" w14:paraId="298573A5" w14:textId="77777777">
                              <w:pPr>
                                <w:jc w:val="center"/>
                              </w:pPr>
                            </w:p>
                            <w:p w:rsidR="00D71D61" w:rsidRPr="00BC7FFC" w:rsidP="007E4460" w14:paraId="7FB24E57" w14:textId="77777777">
                              <w:pPr>
                                <w:jc w:val="center"/>
                                <w:rPr>
                                  <w:u w:val="single"/>
                                </w:rPr>
                              </w:pPr>
                              <w:r w:rsidRPr="00BC7FFC">
                                <w:rPr>
                                  <w:u w:val="single"/>
                                </w:rPr>
                                <w:t>Steady State Total Burden Calculation</w:t>
                              </w:r>
                            </w:p>
                            <w:p w:rsidR="00D71D61" w:rsidP="007E4460" w14:paraId="767451CB" w14:textId="77777777">
                              <w:pPr>
                                <w:jc w:val="center"/>
                              </w:pPr>
                            </w:p>
                            <w:p w:rsidR="00D71D61" w:rsidRPr="00D15F5E" w:rsidP="007E4460" w14:paraId="6772D20E" w14:textId="77777777">
                              <w:pPr>
                                <w:ind w:left="180"/>
                                <w:rPr>
                                  <w:i/>
                                </w:rPr>
                              </w:pPr>
                              <w:r w:rsidRPr="00D15F5E">
                                <w:rPr>
                                  <w:i/>
                                </w:rPr>
                                <w:t>(1) Steady State Total Burden = Form R Burden + Form A Burden + Non-Form Burden</w:t>
                              </w:r>
                            </w:p>
                            <w:p w:rsidR="00D71D61" w:rsidRPr="00D15F5E" w:rsidP="007E4460" w14:paraId="3AF13FEC" w14:textId="77777777">
                              <w:pPr>
                                <w:jc w:val="center"/>
                                <w:rPr>
                                  <w:i/>
                                </w:rPr>
                              </w:pPr>
                            </w:p>
                            <w:p w:rsidR="00D71D61" w:rsidRPr="00D15F5E" w:rsidP="007E4460" w14:paraId="542E1C98" w14:textId="77777777">
                              <w:pPr>
                                <w:jc w:val="center"/>
                                <w:rPr>
                                  <w:i/>
                                </w:rPr>
                              </w:pPr>
                              <w:r w:rsidRPr="00D15F5E">
                                <w:rPr>
                                  <w:i/>
                                </w:rPr>
                                <w:t>Where:</w:t>
                              </w:r>
                            </w:p>
                            <w:p w:rsidR="00D71D61" w:rsidRPr="00D15F5E" w:rsidP="007E4460" w14:paraId="080BE796" w14:textId="77777777">
                              <w:pPr>
                                <w:ind w:firstLine="720"/>
                                <w:rPr>
                                  <w:i/>
                                </w:rPr>
                              </w:pPr>
                              <w:r w:rsidRPr="00D15F5E">
                                <w:rPr>
                                  <w:i/>
                                </w:rPr>
                                <w:t xml:space="preserve">Form R Burden = (Number of Forms R) × (Nominal Form R Unit Burden) </w:t>
                              </w:r>
                            </w:p>
                            <w:p w:rsidR="00D71D61" w:rsidRPr="00D15F5E" w:rsidP="007E4460" w14:paraId="4BC01C57" w14:textId="77777777">
                              <w:pPr>
                                <w:jc w:val="center"/>
                                <w:rPr>
                                  <w:i/>
                                </w:rPr>
                              </w:pPr>
                              <w:r w:rsidRPr="00D15F5E">
                                <w:rPr>
                                  <w:i/>
                                </w:rPr>
                                <w:t>Form A Burden = (Number of Forms A) × (A/R) × (Nominal Form R Unit Burden)</w:t>
                              </w:r>
                            </w:p>
                            <w:p w:rsidR="00D71D61" w:rsidRPr="00D15F5E" w:rsidP="007E4460" w14:paraId="240C0DF3" w14:textId="77777777">
                              <w:pPr>
                                <w:ind w:left="1440" w:hanging="720"/>
                                <w:rPr>
                                  <w:i/>
                                </w:rPr>
                              </w:pPr>
                              <w:r w:rsidRPr="00D15F5E">
                                <w:rPr>
                                  <w:i/>
                                </w:rPr>
                                <w:t xml:space="preserve">Non-Form Burden = Supplier Notifications + Non-Reporter Compliance Determination </w:t>
                              </w:r>
                            </w:p>
                            <w:p w:rsidR="00D71D61" w:rsidRPr="00D15F5E" w:rsidP="007E4460" w14:paraId="7D7FDCAB" w14:textId="77777777">
                              <w:pPr>
                                <w:jc w:val="center"/>
                                <w:rPr>
                                  <w:i/>
                                </w:rPr>
                              </w:pPr>
                            </w:p>
                            <w:p w:rsidR="00D71D61" w:rsidRPr="00D15F5E" w:rsidP="007E4460" w14:paraId="2D419192" w14:textId="77777777">
                              <w:pPr>
                                <w:jc w:val="center"/>
                                <w:rPr>
                                  <w:i/>
                                </w:rPr>
                              </w:pPr>
                              <w:r w:rsidRPr="00D15F5E">
                                <w:rPr>
                                  <w:i/>
                                </w:rPr>
                                <w:t>And:</w:t>
                              </w:r>
                            </w:p>
                            <w:p w:rsidR="00D71D61" w:rsidRPr="00D15F5E" w:rsidP="007E4460" w14:paraId="477A54D9" w14:textId="77777777">
                              <w:pPr>
                                <w:ind w:left="1170"/>
                                <w:rPr>
                                  <w:i/>
                                </w:rPr>
                              </w:pPr>
                              <w:r w:rsidRPr="00D15F5E">
                                <w:rPr>
                                  <w:i/>
                                </w:rPr>
                                <w:t>A/R, Ratio of Form A Burden to Form R Burden = 0.615</w:t>
                              </w:r>
                            </w:p>
                            <w:p w:rsidR="00D71D61" w:rsidRPr="00D15F5E" w:rsidP="007E4460" w14:paraId="3B15D542" w14:textId="77777777">
                              <w:pPr>
                                <w:ind w:left="1170"/>
                                <w:rPr>
                                  <w:i/>
                                </w:rPr>
                              </w:pPr>
                              <w:r w:rsidRPr="00D15F5E">
                                <w:rPr>
                                  <w:i/>
                                </w:rPr>
                                <w:t xml:space="preserve">Nominal Form R Unit Burden = </w:t>
                              </w:r>
                              <w:r w:rsidRPr="00D15F5E">
                                <w:rPr>
                                  <w:i/>
                                  <w:color w:val="000000"/>
                                </w:rPr>
                                <w:t>35.70516</w:t>
                              </w:r>
                              <w:r w:rsidRPr="00D15F5E">
                                <w:rPr>
                                  <w:color w:val="000000"/>
                                </w:rPr>
                                <w:t xml:space="preserve"> </w:t>
                              </w:r>
                              <w:r w:rsidRPr="00D15F5E">
                                <w:rPr>
                                  <w:i/>
                                </w:rPr>
                                <w:t>hours per Form R Chemical</w:t>
                              </w:r>
                            </w:p>
                            <w:p w:rsidR="00D71D61" w:rsidRPr="00D15F5E" w:rsidP="007E4460" w14:paraId="4FA3294E" w14:textId="77777777">
                              <w:pPr>
                                <w:ind w:left="810" w:firstLine="360"/>
                                <w:rPr>
                                  <w:i/>
                                </w:rPr>
                              </w:pPr>
                              <w:r w:rsidRPr="00D15F5E">
                                <w:rPr>
                                  <w:i/>
                                </w:rPr>
                                <w:t xml:space="preserve">Form A Unit Burden (derived) = </w:t>
                              </w:r>
                              <w:r w:rsidRPr="00D15F5E">
                                <w:rPr>
                                  <w:i/>
                                  <w:sz w:val="22"/>
                                  <w:szCs w:val="22"/>
                                </w:rPr>
                                <w:t>21.95867</w:t>
                              </w:r>
                              <w:r w:rsidRPr="00D15F5E">
                                <w:rPr>
                                  <w:i/>
                                </w:rPr>
                                <w:t xml:space="preserve"> hours per F</w:t>
                              </w:r>
                              <w:r w:rsidRPr="00D15F5E">
                                <w:rPr>
                                  <w:i/>
                                </w:rPr>
                                <w:t>orm A Chemical</w:t>
                              </w:r>
                            </w:p>
                            <w:p w:rsidR="00D71D61" w:rsidRPr="00D15F5E" w:rsidP="007E4460" w14:paraId="4174777E" w14:textId="77777777">
                              <w:pPr>
                                <w:jc w:val="center"/>
                                <w:rPr>
                                  <w:i/>
                                </w:rPr>
                              </w:pPr>
                            </w:p>
                            <w:p w:rsidR="00D71D61" w:rsidRPr="00D15F5E" w:rsidP="007E4460" w14:paraId="2C18F4AA" w14:textId="77777777">
                              <w:pPr>
                                <w:ind w:left="180"/>
                                <w:rPr>
                                  <w:i/>
                                </w:rPr>
                              </w:pPr>
                              <w:r w:rsidRPr="00D15F5E">
                                <w:rPr>
                                  <w:i/>
                                </w:rPr>
                                <w:t>(2) Steady State Total Cost = Steady State Total Burden × (WAWR)</w:t>
                              </w:r>
                            </w:p>
                            <w:p w:rsidR="00D71D61" w:rsidRPr="00D15F5E" w:rsidP="007E4460" w14:paraId="546EFA12" w14:textId="77777777">
                              <w:pPr>
                                <w:jc w:val="center"/>
                                <w:rPr>
                                  <w:i/>
                                </w:rPr>
                              </w:pPr>
                              <w:r w:rsidRPr="00D15F5E">
                                <w:rPr>
                                  <w:i/>
                                </w:rPr>
                                <w:t>And:</w:t>
                              </w:r>
                            </w:p>
                            <w:p w:rsidR="00D71D61" w:rsidRPr="00D43721" w:rsidP="007E4460" w14:paraId="407C55FD" w14:textId="77777777">
                              <w:pPr>
                                <w:ind w:left="1170"/>
                                <w:rPr>
                                  <w:i/>
                                </w:rPr>
                              </w:pPr>
                              <w:r w:rsidRPr="00D15F5E">
                                <w:rPr>
                                  <w:i/>
                                </w:rPr>
                                <w:t>WAWR, Weighted Average Wage Rate = $</w:t>
                              </w:r>
                              <w:r w:rsidR="00020FE5">
                                <w:rPr>
                                  <w:i/>
                                </w:rPr>
                                <w:t>71.04</w:t>
                              </w:r>
                              <w:r w:rsidRPr="00D15F5E">
                                <w:rPr>
                                  <w:i/>
                                </w:rPr>
                                <w:t>/hr</w:t>
                              </w:r>
                              <w:r w:rsidRPr="00D15F5E">
                                <w:rPr>
                                  <w:i/>
                                  <w:vertAlign w:val="superscript"/>
                                </w:rPr>
                                <w:t>b</w:t>
                              </w:r>
                            </w:p>
                            <w:p w:rsidR="00D71D61" w:rsidRPr="00D43721" w:rsidP="007E4460" w14:paraId="7CFB8F64" w14:textId="77777777">
                              <w:pPr>
                                <w:jc w:val="center"/>
                              </w:pPr>
                            </w:p>
                            <w:p w:rsidR="00D71D61" w:rsidRPr="00D43721" w:rsidP="007E4460" w14:paraId="59B8F047" w14:textId="77777777">
                              <w:pPr>
                                <w:rPr>
                                  <w:sz w:val="20"/>
                                  <w:szCs w:val="20"/>
                                </w:rPr>
                              </w:pPr>
                              <w:r w:rsidRPr="00D43721">
                                <w:rPr>
                                  <w:vertAlign w:val="superscript"/>
                                </w:rPr>
                                <w:t xml:space="preserve">a </w:t>
                              </w:r>
                              <w:r w:rsidRPr="00D43721">
                                <w:rPr>
                                  <w:sz w:val="20"/>
                                  <w:szCs w:val="20"/>
                                </w:rPr>
                                <w:t>For a complete description of the Ratio-Based Burden Methodology, see “Revising TRI Burden to Ratio-Based Methodology” (R</w:t>
                              </w:r>
                              <w:r w:rsidRPr="00D43721">
                                <w:rPr>
                                  <w:sz w:val="20"/>
                                  <w:szCs w:val="20"/>
                                </w:rPr>
                                <w:t>BBM Reference Document -Docket #EPA-HQ-OEI-2010-0835, EPA, 2011).</w:t>
                              </w:r>
                            </w:p>
                            <w:p w:rsidR="00D71D61" w:rsidRPr="004E6DAA" w:rsidP="007E4460" w14:paraId="26E6C4DD" w14:textId="77777777">
                              <w:pPr>
                                <w:rPr>
                                  <w:vertAlign w:val="superscript"/>
                                </w:rPr>
                              </w:pPr>
                              <w:r w:rsidRPr="00D43721">
                                <w:rPr>
                                  <w:vertAlign w:val="superscript"/>
                                </w:rPr>
                                <w:t xml:space="preserve">b </w:t>
                              </w:r>
                              <w:r w:rsidRPr="00D43721">
                                <w:rPr>
                                  <w:sz w:val="20"/>
                                  <w:szCs w:val="20"/>
                                </w:rPr>
                                <w:t xml:space="preserve">Based on </w:t>
                              </w:r>
                              <w:r w:rsidR="00673185">
                                <w:rPr>
                                  <w:sz w:val="20"/>
                                  <w:szCs w:val="20"/>
                                </w:rPr>
                                <w:t>202</w:t>
                              </w:r>
                              <w:r w:rsidR="00020FE5">
                                <w:rPr>
                                  <w:sz w:val="20"/>
                                  <w:szCs w:val="20"/>
                                </w:rPr>
                                <w:t>2</w:t>
                              </w:r>
                              <w:r w:rsidRPr="00884A96">
                                <w:rPr>
                                  <w:sz w:val="20"/>
                                  <w:szCs w:val="20"/>
                                </w:rPr>
                                <w:t xml:space="preserve"> wage data.</w:t>
                              </w:r>
                              <w:r w:rsidRPr="00D43721">
                                <w:rPr>
                                  <w:sz w:val="20"/>
                                  <w:szCs w:val="20"/>
                                </w:rPr>
                                <w:t xml:space="preserve"> Source: </w:t>
                              </w:r>
                              <w:hyperlink r:id="rId10" w:anchor="tables" w:history="1">
                                <w:r w:rsidRPr="002F3457">
                                  <w:rPr>
                                    <w:rStyle w:val="Hyperlink"/>
                                    <w:sz w:val="20"/>
                                    <w:szCs w:val="20"/>
                                  </w:rPr>
                                  <w:t>https://www.bls.gov/ncs/ect/#tables</w:t>
                                </w:r>
                              </w:hyperlink>
                              <w:r>
                                <w:rPr>
                                  <w:sz w:val="20"/>
                                  <w:szCs w:val="20"/>
                                </w:rPr>
                                <w:t>.</w:t>
                              </w:r>
                            </w:p>
                          </w:txbxContent>
                        </wps:txbx>
                        <wps:bodyPr rot="0" vert="horz" wrap="square" lIns="91440" tIns="45720" rIns="91440" bIns="45720" anchor="t" anchorCtr="0" upright="1"/>
                      </wps:wsp>
                    </wpg:wgp>
                  </a:graphicData>
                </a:graphic>
              </wp:inline>
            </w:drawing>
          </mc:Choice>
          <mc:Fallback>
            <w:pict>
              <v:group id="Group 7" o:spid="_x0000_i1025" style="width:486pt;height:384pt;mso-position-horizontal-relative:char;mso-position-vertical-relative:line" coordorigin="2509,3876" coordsize="7382,5881">
                <o:lock v:ext="edit" aspectratio="t"/>
                <v:rect id="AutoShape 419" o:spid="_x0000_s1026" style="width:7382;height:5881;left:2509;mso-wrap-style:square;position:absolute;top:3876;visibility:visible;v-text-anchor:top" filled="f">
                  <o:lock v:ext="edit" aspectratio="t" text="t"/>
                </v:rect>
                <v:shapetype id="_x0000_t202" coordsize="21600,21600" o:spt="202" path="m,l,21600r21600,l21600,xe">
                  <v:stroke joinstyle="miter"/>
                  <v:path gradientshapeok="t" o:connecttype="rect"/>
                </v:shapetype>
                <v:shape id="Text Box 420" o:spid="_x0000_s1027" type="#_x0000_t202" style="width:7382;height:5742;left:2509;mso-wrap-style:square;position:absolute;top:3876;visibility:visible;v-text-anchor:top" filled="f" stroked="f">
                  <v:textbox>
                    <w:txbxContent>
                      <w:p w:rsidR="00D71D61" w:rsidRPr="00AC5A67" w:rsidP="007E4460" w14:paraId="66A07576" w14:textId="77777777">
                        <w:pPr>
                          <w:jc w:val="center"/>
                          <w:rPr>
                            <w:b/>
                          </w:rPr>
                        </w:pPr>
                        <w:r w:rsidRPr="00AC5A67">
                          <w:rPr>
                            <w:b/>
                          </w:rPr>
                          <w:t xml:space="preserve">Figure </w:t>
                        </w:r>
                        <w:r>
                          <w:rPr>
                            <w:b/>
                          </w:rPr>
                          <w:t>1</w:t>
                        </w:r>
                      </w:p>
                      <w:p w:rsidR="00D71D61" w:rsidP="007E4460" w14:paraId="34C71266" w14:textId="77777777">
                        <w:pPr>
                          <w:jc w:val="center"/>
                          <w:rPr>
                            <w:b/>
                            <w:vertAlign w:val="superscript"/>
                          </w:rPr>
                        </w:pPr>
                        <w:r w:rsidRPr="00AC5A67">
                          <w:rPr>
                            <w:b/>
                          </w:rPr>
                          <w:t xml:space="preserve">Ratio-Based </w:t>
                        </w:r>
                        <w:r>
                          <w:rPr>
                            <w:b/>
                          </w:rPr>
                          <w:t xml:space="preserve">Burden </w:t>
                        </w:r>
                        <w:r w:rsidRPr="00AC5A67">
                          <w:rPr>
                            <w:b/>
                          </w:rPr>
                          <w:t>Methodology</w:t>
                        </w:r>
                        <w:r w:rsidRPr="004E43CA">
                          <w:rPr>
                            <w:b/>
                            <w:vertAlign w:val="superscript"/>
                          </w:rPr>
                          <w:t xml:space="preserve"> a</w:t>
                        </w:r>
                      </w:p>
                      <w:p w:rsidR="00D71D61" w:rsidP="007E4460" w14:paraId="5419A76C" w14:textId="77777777">
                        <w:pPr>
                          <w:jc w:val="center"/>
                        </w:pPr>
                        <w:r w:rsidRPr="00AC5A67">
                          <w:rPr>
                            <w:b/>
                          </w:rPr>
                          <w:t>Two Burden Factors</w:t>
                        </w:r>
                        <w:r>
                          <w:rPr>
                            <w:b/>
                          </w:rPr>
                          <w:t xml:space="preserve">; </w:t>
                        </w:r>
                        <w:r w:rsidRPr="00AC5A67">
                          <w:rPr>
                            <w:b/>
                          </w:rPr>
                          <w:t>Two Chemical Counts</w:t>
                        </w:r>
                        <w:r>
                          <w:rPr>
                            <w:b/>
                          </w:rPr>
                          <w:t>; One Wage Rate</w:t>
                        </w:r>
                      </w:p>
                      <w:p w:rsidR="00D71D61" w:rsidP="007E4460" w14:paraId="7738C84D" w14:textId="77777777">
                        <w:pPr>
                          <w:jc w:val="center"/>
                        </w:pPr>
                      </w:p>
                      <w:p w:rsidR="00D71D61" w:rsidRPr="00BC7FFC" w:rsidP="007E4460" w14:paraId="58692BA8" w14:textId="77777777">
                        <w:pPr>
                          <w:jc w:val="center"/>
                          <w:rPr>
                            <w:u w:val="single"/>
                          </w:rPr>
                        </w:pPr>
                        <w:r w:rsidRPr="00BC7FFC">
                          <w:rPr>
                            <w:u w:val="single"/>
                          </w:rPr>
                          <w:t>Steady State Total Burden Calculation</w:t>
                        </w:r>
                      </w:p>
                      <w:p w:rsidR="00D71D61" w:rsidP="007E4460" w14:paraId="55BCA545" w14:textId="77777777">
                        <w:pPr>
                          <w:jc w:val="center"/>
                        </w:pPr>
                      </w:p>
                      <w:p w:rsidR="00D71D61" w:rsidRPr="00D15F5E" w:rsidP="007E4460" w14:paraId="411D2EB8" w14:textId="77777777">
                        <w:pPr>
                          <w:ind w:left="180"/>
                          <w:rPr>
                            <w:i/>
                          </w:rPr>
                        </w:pPr>
                        <w:r w:rsidRPr="00D15F5E">
                          <w:rPr>
                            <w:i/>
                          </w:rPr>
                          <w:t>(1) Steady State Total Burden = Form R Burden + Form A Burden + Non-Form Burden</w:t>
                        </w:r>
                      </w:p>
                      <w:p w:rsidR="00D71D61" w:rsidRPr="00D15F5E" w:rsidP="007E4460" w14:paraId="17961CD7" w14:textId="77777777">
                        <w:pPr>
                          <w:jc w:val="center"/>
                          <w:rPr>
                            <w:i/>
                          </w:rPr>
                        </w:pPr>
                      </w:p>
                      <w:p w:rsidR="00D71D61" w:rsidRPr="00D15F5E" w:rsidP="007E4460" w14:paraId="74DD2F55" w14:textId="77777777">
                        <w:pPr>
                          <w:jc w:val="center"/>
                          <w:rPr>
                            <w:i/>
                          </w:rPr>
                        </w:pPr>
                        <w:r w:rsidRPr="00D15F5E">
                          <w:rPr>
                            <w:i/>
                          </w:rPr>
                          <w:t>Where:</w:t>
                        </w:r>
                      </w:p>
                      <w:p w:rsidR="00D71D61" w:rsidRPr="00D15F5E" w:rsidP="007E4460" w14:paraId="646DB7CD" w14:textId="18ABADA9">
                        <w:pPr>
                          <w:ind w:firstLine="720"/>
                          <w:rPr>
                            <w:i/>
                          </w:rPr>
                        </w:pPr>
                        <w:r w:rsidRPr="00D15F5E">
                          <w:rPr>
                            <w:i/>
                          </w:rPr>
                          <w:t xml:space="preserve">Form R Burden = (Number of Forms R) × (Nominal Form R Unit Burden) </w:t>
                        </w:r>
                      </w:p>
                      <w:p w:rsidR="00D71D61" w:rsidRPr="00D15F5E" w:rsidP="007E4460" w14:paraId="60313147" w14:textId="0D31DE73">
                        <w:pPr>
                          <w:jc w:val="center"/>
                          <w:rPr>
                            <w:i/>
                          </w:rPr>
                        </w:pPr>
                        <w:r w:rsidRPr="00D15F5E">
                          <w:rPr>
                            <w:i/>
                          </w:rPr>
                          <w:t>Form A Burden = (Number of Forms A) × (A/R) × (Nominal Form R Unit Burden)</w:t>
                        </w:r>
                      </w:p>
                      <w:p w:rsidR="00D71D61" w:rsidRPr="00D15F5E" w:rsidP="007E4460" w14:paraId="5A3C49A8" w14:textId="376C1A0B">
                        <w:pPr>
                          <w:ind w:left="1440" w:hanging="720"/>
                          <w:rPr>
                            <w:i/>
                          </w:rPr>
                        </w:pPr>
                        <w:r w:rsidRPr="00D15F5E">
                          <w:rPr>
                            <w:i/>
                          </w:rPr>
                          <w:t xml:space="preserve">Non-Form Burden = Supplier Notifications + Non-Reporter Compliance Determination </w:t>
                        </w:r>
                      </w:p>
                      <w:p w:rsidR="00D71D61" w:rsidRPr="00D15F5E" w:rsidP="007E4460" w14:paraId="55E29C34" w14:textId="77777777">
                        <w:pPr>
                          <w:jc w:val="center"/>
                          <w:rPr>
                            <w:i/>
                          </w:rPr>
                        </w:pPr>
                      </w:p>
                      <w:p w:rsidR="00D71D61" w:rsidRPr="00D15F5E" w:rsidP="007E4460" w14:paraId="718F5F7D" w14:textId="77777777">
                        <w:pPr>
                          <w:jc w:val="center"/>
                          <w:rPr>
                            <w:i/>
                          </w:rPr>
                        </w:pPr>
                        <w:r w:rsidRPr="00D15F5E">
                          <w:rPr>
                            <w:i/>
                          </w:rPr>
                          <w:t>And:</w:t>
                        </w:r>
                      </w:p>
                      <w:p w:rsidR="00D71D61" w:rsidRPr="00D15F5E" w:rsidP="007E4460" w14:paraId="244F2E21" w14:textId="77777777">
                        <w:pPr>
                          <w:ind w:left="1170"/>
                          <w:rPr>
                            <w:i/>
                          </w:rPr>
                        </w:pPr>
                        <w:r w:rsidRPr="00D15F5E">
                          <w:rPr>
                            <w:i/>
                          </w:rPr>
                          <w:t>A/R, Ratio of Form A Burden to Form R Burden = 0.615</w:t>
                        </w:r>
                      </w:p>
                      <w:p w:rsidR="00D71D61" w:rsidRPr="00D15F5E" w:rsidP="007E4460" w14:paraId="0CA97B3D" w14:textId="77777777">
                        <w:pPr>
                          <w:ind w:left="1170"/>
                          <w:rPr>
                            <w:i/>
                          </w:rPr>
                        </w:pPr>
                        <w:r w:rsidRPr="00D15F5E">
                          <w:rPr>
                            <w:i/>
                          </w:rPr>
                          <w:t xml:space="preserve">Nominal Form R Unit Burden = </w:t>
                        </w:r>
                        <w:r w:rsidRPr="00D15F5E">
                          <w:rPr>
                            <w:i/>
                            <w:color w:val="000000"/>
                          </w:rPr>
                          <w:t>35.70516</w:t>
                        </w:r>
                        <w:r w:rsidRPr="00D15F5E">
                          <w:rPr>
                            <w:color w:val="000000"/>
                          </w:rPr>
                          <w:t xml:space="preserve"> </w:t>
                        </w:r>
                        <w:r w:rsidRPr="00D15F5E">
                          <w:rPr>
                            <w:i/>
                          </w:rPr>
                          <w:t>hours per Form R Chemical</w:t>
                        </w:r>
                      </w:p>
                      <w:p w:rsidR="00D71D61" w:rsidRPr="00D15F5E" w:rsidP="007E4460" w14:paraId="5CE97F11" w14:textId="77777777">
                        <w:pPr>
                          <w:ind w:left="810" w:firstLine="360"/>
                          <w:rPr>
                            <w:i/>
                          </w:rPr>
                        </w:pPr>
                        <w:r w:rsidRPr="00D15F5E">
                          <w:rPr>
                            <w:i/>
                          </w:rPr>
                          <w:t xml:space="preserve">Form A Unit Burden (derived) = </w:t>
                        </w:r>
                        <w:r w:rsidRPr="00D15F5E">
                          <w:rPr>
                            <w:i/>
                            <w:sz w:val="22"/>
                            <w:szCs w:val="22"/>
                          </w:rPr>
                          <w:t>21.95867</w:t>
                        </w:r>
                        <w:r w:rsidRPr="00D15F5E">
                          <w:rPr>
                            <w:i/>
                          </w:rPr>
                          <w:t xml:space="preserve"> hours per Form A Chemical</w:t>
                        </w:r>
                      </w:p>
                      <w:p w:rsidR="00D71D61" w:rsidRPr="00D15F5E" w:rsidP="007E4460" w14:paraId="04BC99F4" w14:textId="77777777">
                        <w:pPr>
                          <w:jc w:val="center"/>
                          <w:rPr>
                            <w:i/>
                          </w:rPr>
                        </w:pPr>
                      </w:p>
                      <w:p w:rsidR="00D71D61" w:rsidRPr="00D15F5E" w:rsidP="007E4460" w14:paraId="526AD2E6" w14:textId="492FDF1A">
                        <w:pPr>
                          <w:ind w:left="180"/>
                          <w:rPr>
                            <w:i/>
                          </w:rPr>
                        </w:pPr>
                        <w:r w:rsidRPr="00D15F5E">
                          <w:rPr>
                            <w:i/>
                          </w:rPr>
                          <w:t>(2) Steady State Total Cost = Steady State Total Burden × (WAWR)</w:t>
                        </w:r>
                      </w:p>
                      <w:p w:rsidR="00D71D61" w:rsidRPr="00D15F5E" w:rsidP="007E4460" w14:paraId="6729904D" w14:textId="77777777">
                        <w:pPr>
                          <w:jc w:val="center"/>
                          <w:rPr>
                            <w:i/>
                          </w:rPr>
                        </w:pPr>
                        <w:r w:rsidRPr="00D15F5E">
                          <w:rPr>
                            <w:i/>
                          </w:rPr>
                          <w:t>And:</w:t>
                        </w:r>
                      </w:p>
                      <w:p w:rsidR="00D71D61" w:rsidRPr="00D43721" w:rsidP="007E4460" w14:paraId="4091D681" w14:textId="73DCFD01">
                        <w:pPr>
                          <w:ind w:left="1170"/>
                          <w:rPr>
                            <w:i/>
                          </w:rPr>
                        </w:pPr>
                        <w:r w:rsidRPr="00D15F5E">
                          <w:rPr>
                            <w:i/>
                          </w:rPr>
                          <w:t>WAWR, Weighted Average Wage Rate = $</w:t>
                        </w:r>
                        <w:r w:rsidR="00020FE5">
                          <w:rPr>
                            <w:i/>
                          </w:rPr>
                          <w:t>71.04</w:t>
                        </w:r>
                        <w:r w:rsidRPr="00D15F5E">
                          <w:rPr>
                            <w:i/>
                          </w:rPr>
                          <w:t>/hr</w:t>
                        </w:r>
                        <w:r w:rsidRPr="00D15F5E">
                          <w:rPr>
                            <w:i/>
                            <w:vertAlign w:val="superscript"/>
                          </w:rPr>
                          <w:t>b</w:t>
                        </w:r>
                      </w:p>
                      <w:p w:rsidR="00D71D61" w:rsidRPr="00D43721" w:rsidP="007E4460" w14:paraId="35DEE85B" w14:textId="77777777">
                        <w:pPr>
                          <w:jc w:val="center"/>
                        </w:pPr>
                      </w:p>
                      <w:p w:rsidR="00D71D61" w:rsidRPr="00D43721" w:rsidP="007E4460" w14:paraId="4384CE90" w14:textId="77777777">
                        <w:pPr>
                          <w:rPr>
                            <w:sz w:val="20"/>
                            <w:szCs w:val="20"/>
                          </w:rPr>
                        </w:pPr>
                        <w:r w:rsidRPr="00D43721">
                          <w:rPr>
                            <w:vertAlign w:val="superscript"/>
                          </w:rPr>
                          <w:t xml:space="preserve">a </w:t>
                        </w:r>
                        <w:r w:rsidRPr="00D43721">
                          <w:rPr>
                            <w:sz w:val="20"/>
                            <w:szCs w:val="20"/>
                          </w:rPr>
                          <w:t>For a complete description of the Ratio-Based Burden Methodology, see “Revising TRI Burden to Ratio-Based Methodology” (RBBM Reference Document -Docket #EPA-HQ-OEI-2010-0835, EPA, 2011).</w:t>
                        </w:r>
                      </w:p>
                      <w:p w:rsidR="00D71D61" w:rsidRPr="004E6DAA" w:rsidP="007E4460" w14:paraId="58F54C8B" w14:textId="7FE30299">
                        <w:pPr>
                          <w:rPr>
                            <w:vertAlign w:val="superscript"/>
                          </w:rPr>
                        </w:pPr>
                        <w:r w:rsidRPr="00D43721">
                          <w:rPr>
                            <w:vertAlign w:val="superscript"/>
                          </w:rPr>
                          <w:t xml:space="preserve">b </w:t>
                        </w:r>
                        <w:r w:rsidRPr="00D43721">
                          <w:rPr>
                            <w:sz w:val="20"/>
                            <w:szCs w:val="20"/>
                          </w:rPr>
                          <w:t xml:space="preserve">Based on </w:t>
                        </w:r>
                        <w:r w:rsidR="00673185">
                          <w:rPr>
                            <w:sz w:val="20"/>
                            <w:szCs w:val="20"/>
                          </w:rPr>
                          <w:t>202</w:t>
                        </w:r>
                        <w:r w:rsidR="00020FE5">
                          <w:rPr>
                            <w:sz w:val="20"/>
                            <w:szCs w:val="20"/>
                          </w:rPr>
                          <w:t>2</w:t>
                        </w:r>
                        <w:r w:rsidRPr="00884A96">
                          <w:rPr>
                            <w:sz w:val="20"/>
                            <w:szCs w:val="20"/>
                          </w:rPr>
                          <w:t xml:space="preserve"> wage data.</w:t>
                        </w:r>
                        <w:r w:rsidRPr="00D43721">
                          <w:rPr>
                            <w:sz w:val="20"/>
                            <w:szCs w:val="20"/>
                          </w:rPr>
                          <w:t xml:space="preserve"> Source: </w:t>
                        </w:r>
                        <w:hyperlink r:id="rId10" w:anchor="tables" w:history="1">
                          <w:r w:rsidRPr="002F3457">
                            <w:rPr>
                              <w:rStyle w:val="Hyperlink"/>
                              <w:sz w:val="20"/>
                              <w:szCs w:val="20"/>
                            </w:rPr>
                            <w:t>https://www.bls.gov/ncs/ect/#tables</w:t>
                          </w:r>
                        </w:hyperlink>
                        <w:r>
                          <w:rPr>
                            <w:sz w:val="20"/>
                            <w:szCs w:val="20"/>
                          </w:rPr>
                          <w:t>.</w:t>
                        </w:r>
                      </w:p>
                    </w:txbxContent>
                  </v:textbox>
                </v:shape>
                <w10:wrap type="none"/>
                <w10:anchorlock/>
              </v:group>
            </w:pict>
          </mc:Fallback>
        </mc:AlternateContent>
      </w:r>
    </w:p>
    <w:p w:rsidR="007E4460" w:rsidRPr="00444F9D" w:rsidP="00444F9D" w14:paraId="0E0F181E" w14:textId="77777777">
      <w:pPr>
        <w:spacing w:after="200" w:line="276" w:lineRule="auto"/>
        <w:ind w:right="216"/>
        <w:rPr>
          <w:rFonts w:cs="Arial"/>
        </w:rPr>
      </w:pPr>
      <w:r w:rsidRPr="00444F9D">
        <w:rPr>
          <w:rFonts w:cs="Arial"/>
        </w:rPr>
        <w:t>EPA considers the burden estimates it uses to be average values for the reporting community overall. As with any average, some facilities will be above the average, and others will be below it. Large, complex facilitie</w:t>
      </w:r>
      <w:r w:rsidRPr="00444F9D">
        <w:rPr>
          <w:rFonts w:cs="Arial"/>
        </w:rPr>
        <w:t xml:space="preserve">s may require more than the average time to comply; however, many other facilities subject to the rule are not large or complex. Overall, EPA considers the TRI Program burden estimates to be reasonably representative of the reporting community overall, on </w:t>
      </w:r>
      <w:r w:rsidRPr="00444F9D">
        <w:rPr>
          <w:rFonts w:cs="Arial"/>
        </w:rPr>
        <w:t>average.</w:t>
      </w:r>
    </w:p>
    <w:p w:rsidR="007E4460" w:rsidRPr="00444F9D" w:rsidP="00444F9D" w14:paraId="741D01F9" w14:textId="77777777">
      <w:pPr>
        <w:spacing w:after="200" w:line="276" w:lineRule="auto"/>
        <w:ind w:right="216"/>
        <w:rPr>
          <w:rFonts w:cs="Arial"/>
          <w:bCs/>
        </w:rPr>
      </w:pPr>
      <w:r w:rsidRPr="00444F9D">
        <w:rPr>
          <w:rFonts w:cs="Arial"/>
          <w:bCs/>
        </w:rPr>
        <w:t>Table 3 presents the average annual burden hour estimates by form type.</w:t>
      </w:r>
    </w:p>
    <w:p w:rsidR="007E4460" w:rsidRPr="00444F9D" w:rsidP="00444F9D" w14:paraId="17E1ADD0" w14:textId="77777777">
      <w:pPr>
        <w:spacing w:after="200" w:line="276" w:lineRule="auto"/>
        <w:ind w:right="216"/>
        <w:rPr>
          <w:rFonts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0"/>
        <w:gridCol w:w="3420"/>
      </w:tblGrid>
      <w:tr w14:paraId="6DE25F37" w14:textId="77777777" w:rsidTr="0068682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525"/>
          <w:jc w:val="center"/>
        </w:trPr>
        <w:tc>
          <w:tcPr>
            <w:tcW w:w="8640" w:type="dxa"/>
            <w:gridSpan w:val="2"/>
            <w:tcBorders>
              <w:top w:val="nil"/>
              <w:left w:val="nil"/>
              <w:bottom w:val="double" w:sz="4" w:space="0" w:color="auto"/>
              <w:right w:val="nil"/>
            </w:tcBorders>
            <w:vAlign w:val="center"/>
          </w:tcPr>
          <w:p w:rsidR="007E4460" w:rsidRPr="00444F9D" w:rsidP="00444F9D" w14:paraId="47D5BDE2" w14:textId="77777777">
            <w:pPr>
              <w:keepNext/>
              <w:keepLines/>
              <w:spacing w:after="200" w:line="276" w:lineRule="auto"/>
              <w:jc w:val="center"/>
              <w:rPr>
                <w:rFonts w:cs="Arial"/>
                <w:b/>
                <w:bCs/>
              </w:rPr>
            </w:pPr>
            <w:r w:rsidRPr="00444F9D">
              <w:rPr>
                <w:rFonts w:cs="Arial"/>
                <w:b/>
                <w:bCs/>
              </w:rPr>
              <w:t>Table 3</w:t>
            </w:r>
            <w:r w:rsidRPr="00444F9D">
              <w:rPr>
                <w:rFonts w:cs="Arial"/>
                <w:b/>
                <w:bCs/>
              </w:rPr>
              <w:br/>
              <w:t>Reporter Average Annual Burden Estimate by Form Type</w:t>
            </w:r>
          </w:p>
        </w:tc>
      </w:tr>
      <w:tr w14:paraId="3E201384" w14:textId="77777777" w:rsidTr="0068682B">
        <w:tblPrEx>
          <w:tblW w:w="0" w:type="auto"/>
          <w:jc w:val="center"/>
          <w:tblLook w:val="00A0"/>
        </w:tblPrEx>
        <w:trPr>
          <w:trHeight w:val="249"/>
          <w:jc w:val="center"/>
        </w:trPr>
        <w:tc>
          <w:tcPr>
            <w:tcW w:w="5220" w:type="dxa"/>
            <w:tcBorders>
              <w:top w:val="double" w:sz="4" w:space="0" w:color="auto"/>
              <w:left w:val="double" w:sz="4" w:space="0" w:color="auto"/>
            </w:tcBorders>
          </w:tcPr>
          <w:p w:rsidR="007E4460" w:rsidRPr="00444F9D" w:rsidP="00444F9D" w14:paraId="206BB233" w14:textId="77777777">
            <w:pPr>
              <w:keepNext/>
              <w:keepLines/>
              <w:spacing w:after="200" w:line="276" w:lineRule="auto"/>
              <w:rPr>
                <w:rFonts w:cs="Arial"/>
                <w:b/>
                <w:bCs/>
              </w:rPr>
            </w:pPr>
            <w:r w:rsidRPr="00444F9D">
              <w:rPr>
                <w:rFonts w:cs="Arial"/>
                <w:b/>
                <w:bCs/>
              </w:rPr>
              <w:t>Form Type</w:t>
            </w:r>
          </w:p>
        </w:tc>
        <w:tc>
          <w:tcPr>
            <w:tcW w:w="3420" w:type="dxa"/>
            <w:tcBorders>
              <w:top w:val="double" w:sz="4" w:space="0" w:color="auto"/>
              <w:right w:val="double" w:sz="4" w:space="0" w:color="auto"/>
            </w:tcBorders>
          </w:tcPr>
          <w:p w:rsidR="007E4460" w:rsidRPr="00444F9D" w:rsidP="00444F9D" w14:paraId="5EA013AF" w14:textId="77777777">
            <w:pPr>
              <w:keepNext/>
              <w:keepLines/>
              <w:spacing w:after="200" w:line="276" w:lineRule="auto"/>
              <w:rPr>
                <w:rFonts w:cs="Arial"/>
                <w:b/>
                <w:bCs/>
              </w:rPr>
            </w:pPr>
            <w:r w:rsidRPr="00444F9D">
              <w:rPr>
                <w:rFonts w:cs="Arial"/>
                <w:b/>
                <w:bCs/>
              </w:rPr>
              <w:t>Unit Burden (Hours) per Form</w:t>
            </w:r>
          </w:p>
        </w:tc>
      </w:tr>
      <w:tr w14:paraId="36AAE399" w14:textId="77777777" w:rsidTr="0068682B">
        <w:tblPrEx>
          <w:tblW w:w="0" w:type="auto"/>
          <w:jc w:val="center"/>
          <w:tblLook w:val="00A0"/>
        </w:tblPrEx>
        <w:trPr>
          <w:trHeight w:val="255"/>
          <w:jc w:val="center"/>
        </w:trPr>
        <w:tc>
          <w:tcPr>
            <w:tcW w:w="5220" w:type="dxa"/>
            <w:tcBorders>
              <w:left w:val="double" w:sz="4" w:space="0" w:color="auto"/>
            </w:tcBorders>
            <w:noWrap/>
          </w:tcPr>
          <w:p w:rsidR="007E4460" w:rsidRPr="00444F9D" w:rsidP="00444F9D" w14:paraId="6F997ADA" w14:textId="77777777">
            <w:pPr>
              <w:keepNext/>
              <w:keepLines/>
              <w:spacing w:after="200" w:line="276" w:lineRule="auto"/>
              <w:rPr>
                <w:rFonts w:cs="Arial"/>
              </w:rPr>
            </w:pPr>
            <w:r w:rsidRPr="00444F9D">
              <w:rPr>
                <w:rFonts w:cs="Arial"/>
              </w:rPr>
              <w:t>Form R</w:t>
            </w:r>
          </w:p>
        </w:tc>
        <w:tc>
          <w:tcPr>
            <w:tcW w:w="3420" w:type="dxa"/>
            <w:tcBorders>
              <w:right w:val="double" w:sz="4" w:space="0" w:color="auto"/>
            </w:tcBorders>
            <w:noWrap/>
          </w:tcPr>
          <w:p w:rsidR="007E4460" w:rsidRPr="00444F9D" w:rsidP="00444F9D" w14:paraId="6E0AFD78" w14:textId="77777777">
            <w:pPr>
              <w:keepNext/>
              <w:keepLines/>
              <w:spacing w:after="200" w:line="276" w:lineRule="auto"/>
              <w:jc w:val="right"/>
              <w:rPr>
                <w:rFonts w:cs="Arial"/>
              </w:rPr>
            </w:pPr>
            <w:r w:rsidRPr="00444F9D">
              <w:rPr>
                <w:rFonts w:cs="Arial"/>
              </w:rPr>
              <w:t>35.70516</w:t>
            </w:r>
          </w:p>
        </w:tc>
      </w:tr>
      <w:tr w14:paraId="47E87A3B" w14:textId="77777777" w:rsidTr="0068682B">
        <w:tblPrEx>
          <w:tblW w:w="0" w:type="auto"/>
          <w:jc w:val="center"/>
          <w:tblLook w:val="00A0"/>
        </w:tblPrEx>
        <w:trPr>
          <w:trHeight w:val="255"/>
          <w:jc w:val="center"/>
        </w:trPr>
        <w:tc>
          <w:tcPr>
            <w:tcW w:w="5220" w:type="dxa"/>
            <w:tcBorders>
              <w:left w:val="double" w:sz="4" w:space="0" w:color="auto"/>
            </w:tcBorders>
            <w:noWrap/>
          </w:tcPr>
          <w:p w:rsidR="007E4460" w:rsidRPr="00444F9D" w:rsidP="00444F9D" w14:paraId="54EA39ED" w14:textId="77777777">
            <w:pPr>
              <w:keepNext/>
              <w:keepLines/>
              <w:spacing w:after="200" w:line="276" w:lineRule="auto"/>
              <w:rPr>
                <w:rFonts w:cs="Arial"/>
              </w:rPr>
            </w:pPr>
            <w:r w:rsidRPr="00444F9D">
              <w:rPr>
                <w:rFonts w:cs="Arial"/>
              </w:rPr>
              <w:t>Form A</w:t>
            </w:r>
          </w:p>
        </w:tc>
        <w:tc>
          <w:tcPr>
            <w:tcW w:w="3420" w:type="dxa"/>
            <w:tcBorders>
              <w:right w:val="double" w:sz="4" w:space="0" w:color="auto"/>
            </w:tcBorders>
            <w:noWrap/>
          </w:tcPr>
          <w:p w:rsidR="007E4460" w:rsidRPr="00444F9D" w:rsidP="00444F9D" w14:paraId="38BD0EAB" w14:textId="77777777">
            <w:pPr>
              <w:keepNext/>
              <w:keepLines/>
              <w:spacing w:after="200" w:line="276" w:lineRule="auto"/>
              <w:jc w:val="right"/>
              <w:rPr>
                <w:rFonts w:cs="Arial"/>
              </w:rPr>
            </w:pPr>
            <w:r w:rsidRPr="00444F9D">
              <w:rPr>
                <w:rFonts w:cs="Arial"/>
              </w:rPr>
              <w:t>21.95867</w:t>
            </w:r>
          </w:p>
        </w:tc>
      </w:tr>
      <w:tr w14:paraId="487C3EBB" w14:textId="77777777" w:rsidTr="0068682B">
        <w:tblPrEx>
          <w:tblW w:w="0" w:type="auto"/>
          <w:jc w:val="center"/>
          <w:tblLook w:val="00A0"/>
        </w:tblPrEx>
        <w:trPr>
          <w:trHeight w:val="1590"/>
          <w:jc w:val="center"/>
        </w:trPr>
        <w:tc>
          <w:tcPr>
            <w:tcW w:w="8640" w:type="dxa"/>
            <w:gridSpan w:val="2"/>
            <w:tcBorders>
              <w:left w:val="double" w:sz="4" w:space="0" w:color="auto"/>
              <w:bottom w:val="double" w:sz="4" w:space="0" w:color="auto"/>
              <w:right w:val="double" w:sz="4" w:space="0" w:color="auto"/>
            </w:tcBorders>
          </w:tcPr>
          <w:p w:rsidR="007E4460" w:rsidRPr="00444F9D" w:rsidP="00444F9D" w14:paraId="3CA6078B" w14:textId="77777777">
            <w:pPr>
              <w:keepNext/>
              <w:keepLines/>
              <w:spacing w:after="200" w:line="276" w:lineRule="auto"/>
              <w:rPr>
                <w:rFonts w:cs="Arial"/>
              </w:rPr>
            </w:pPr>
            <w:r w:rsidRPr="00444F9D">
              <w:rPr>
                <w:rFonts w:cs="Arial"/>
              </w:rPr>
              <w:t xml:space="preserve">Notes: </w:t>
            </w:r>
            <w:r w:rsidRPr="00444F9D">
              <w:rPr>
                <w:rFonts w:cs="Arial"/>
              </w:rPr>
              <w:br/>
              <w:t xml:space="preserve">1) Unit burdens include </w:t>
            </w:r>
            <w:r w:rsidRPr="00444F9D">
              <w:rPr>
                <w:rFonts w:cs="Arial"/>
              </w:rPr>
              <w:t>burden for all activities associated with filing a form, whether incurred at the facility level or the form level, including reporter compliance determination, rule familiarization, calculations and report completion, and recordkeeping and submission.</w:t>
            </w:r>
            <w:r w:rsidRPr="00444F9D">
              <w:rPr>
                <w:rFonts w:cs="Arial"/>
              </w:rPr>
              <w:br/>
              <w:t>2) F</w:t>
            </w:r>
            <w:r w:rsidRPr="00444F9D">
              <w:rPr>
                <w:rFonts w:cs="Arial"/>
              </w:rPr>
              <w:t>orm A unit burden is set at 61.5% of nominal Form R unit burden.</w:t>
            </w:r>
            <w:r w:rsidRPr="00444F9D">
              <w:rPr>
                <w:rFonts w:cs="Arial"/>
              </w:rPr>
              <w:br/>
              <w:t>3) Burden per form does not include non-form burden (supplier notification, petitions, and non-reporter compliance determination).</w:t>
            </w:r>
          </w:p>
        </w:tc>
      </w:tr>
    </w:tbl>
    <w:p w:rsidR="007E4460" w:rsidRPr="00444F9D" w:rsidP="00444F9D" w14:paraId="617F609A" w14:textId="77777777">
      <w:pPr>
        <w:spacing w:after="200" w:line="276" w:lineRule="auto"/>
        <w:rPr>
          <w:rFonts w:cs="Arial"/>
        </w:rPr>
      </w:pPr>
    </w:p>
    <w:p w:rsidR="007E4460" w:rsidRPr="00444F9D" w:rsidP="00444F9D" w14:paraId="6EA9D786" w14:textId="77777777">
      <w:pPr>
        <w:spacing w:after="200" w:line="276" w:lineRule="auto"/>
        <w:rPr>
          <w:rFonts w:cs="Arial"/>
        </w:rPr>
      </w:pPr>
    </w:p>
    <w:tbl>
      <w:tblPr>
        <w:tblW w:w="5000" w:type="pct"/>
        <w:tblLook w:val="00A0"/>
      </w:tblPr>
      <w:tblGrid>
        <w:gridCol w:w="9360"/>
      </w:tblGrid>
      <w:tr w14:paraId="2A55B7D4" w14:textId="77777777" w:rsidTr="00170E55">
        <w:tblPrEx>
          <w:tblW w:w="5000" w:type="pct"/>
          <w:tblLook w:val="00A0"/>
        </w:tblPrEx>
        <w:trPr>
          <w:trHeight w:val="525"/>
        </w:trPr>
        <w:tc>
          <w:tcPr>
            <w:tcW w:w="5000" w:type="pct"/>
            <w:vAlign w:val="center"/>
          </w:tcPr>
          <w:p w:rsidR="005B58E4" w:rsidRPr="008C18BA" w:rsidP="00444F9D" w14:paraId="04BE18E2" w14:textId="77777777">
            <w:pPr>
              <w:keepNext/>
              <w:keepLines/>
              <w:widowControl w:val="0"/>
              <w:tabs>
                <w:tab w:val="left" w:pos="0"/>
              </w:tabs>
              <w:spacing w:after="200" w:line="276" w:lineRule="auto"/>
              <w:jc w:val="center"/>
              <w:rPr>
                <w:rFonts w:cs="Arial"/>
                <w:b/>
                <w:bCs/>
              </w:rPr>
            </w:pPr>
            <w:r w:rsidRPr="008C18BA">
              <w:rPr>
                <w:rFonts w:cs="Arial"/>
                <w:b/>
                <w:bCs/>
              </w:rPr>
              <w:t>Table 4</w:t>
            </w:r>
          </w:p>
          <w:p w:rsidR="005B58E4" w:rsidRPr="008C18BA" w:rsidP="00444F9D" w14:paraId="0BCD4A7B" w14:textId="77777777">
            <w:pPr>
              <w:keepNext/>
              <w:keepLines/>
              <w:widowControl w:val="0"/>
              <w:tabs>
                <w:tab w:val="left" w:pos="0"/>
              </w:tabs>
              <w:spacing w:after="200" w:line="276" w:lineRule="auto"/>
              <w:jc w:val="center"/>
              <w:rPr>
                <w:rFonts w:cs="Arial"/>
                <w:b/>
                <w:bCs/>
              </w:rPr>
            </w:pPr>
            <w:r w:rsidRPr="008C18BA">
              <w:rPr>
                <w:rFonts w:cs="Arial"/>
                <w:b/>
                <w:bCs/>
              </w:rPr>
              <w:t xml:space="preserve">Estimated Number of Facilities Expected to Incur Incremental Reporting Burden, Total First Year Burden, and Total Steady State Burden under the </w:t>
            </w:r>
            <w:r w:rsidRPr="008C18BA" w:rsidR="00893872">
              <w:rPr>
                <w:rFonts w:cs="Arial"/>
                <w:b/>
                <w:bCs/>
              </w:rPr>
              <w:t xml:space="preserve">Final </w:t>
            </w:r>
            <w:r w:rsidRPr="008C18BA">
              <w:rPr>
                <w:rFonts w:cs="Arial"/>
                <w:b/>
                <w:bCs/>
              </w:rPr>
              <w:t>Rule</w:t>
            </w:r>
          </w:p>
          <w:tbl>
            <w:tblPr>
              <w:tblW w:w="5000" w:type="pct"/>
              <w:tblLook w:val="04A0"/>
            </w:tblPr>
            <w:tblGrid>
              <w:gridCol w:w="1173"/>
              <w:gridCol w:w="1080"/>
              <w:gridCol w:w="2358"/>
              <w:gridCol w:w="1662"/>
              <w:gridCol w:w="2861"/>
            </w:tblGrid>
            <w:tr w14:paraId="0D84798E" w14:textId="77777777" w:rsidTr="007912E3">
              <w:tblPrEx>
                <w:tblW w:w="5000" w:type="pct"/>
                <w:tblLook w:val="04A0"/>
              </w:tblPrEx>
              <w:trPr>
                <w:cantSplit/>
                <w:trHeight w:val="288"/>
                <w:tblHeader/>
              </w:trPr>
              <w:tc>
                <w:tcPr>
                  <w:tcW w:w="642" w:type="pct"/>
                  <w:tcBorders>
                    <w:top w:val="single" w:sz="4" w:space="0" w:color="auto"/>
                    <w:left w:val="single" w:sz="4" w:space="0" w:color="auto"/>
                    <w:right w:val="single" w:sz="4" w:space="0" w:color="auto"/>
                  </w:tcBorders>
                  <w:shd w:val="clear" w:color="auto" w:fill="D0D3D4"/>
                  <w:vAlign w:val="bottom"/>
                </w:tcPr>
                <w:p w:rsidR="005F716E" w:rsidRPr="002402D1" w:rsidP="005F716E" w14:paraId="5DAF02E2" w14:textId="77777777">
                  <w:pPr>
                    <w:keepNext/>
                    <w:spacing w:before="48" w:beforeLines="20" w:after="48" w:afterLines="20"/>
                    <w:jc w:val="center"/>
                    <w:rPr>
                      <w:rFonts w:cs="Arial"/>
                      <w:b/>
                      <w:bCs/>
                      <w:color w:val="000000"/>
                      <w:sz w:val="20"/>
                    </w:rPr>
                  </w:pPr>
                  <w:r w:rsidRPr="002402D1">
                    <w:rPr>
                      <w:rFonts w:cs="Arial"/>
                      <w:b/>
                      <w:bCs/>
                      <w:color w:val="000000"/>
                      <w:sz w:val="20"/>
                    </w:rPr>
                    <w:t>Scenario</w:t>
                  </w:r>
                </w:p>
              </w:tc>
              <w:tc>
                <w:tcPr>
                  <w:tcW w:w="591" w:type="pct"/>
                  <w:tcBorders>
                    <w:top w:val="single" w:sz="4" w:space="0" w:color="auto"/>
                    <w:left w:val="single" w:sz="4" w:space="0" w:color="auto"/>
                    <w:right w:val="single" w:sz="4" w:space="0" w:color="auto"/>
                  </w:tcBorders>
                  <w:shd w:val="clear" w:color="auto" w:fill="D0D3D4"/>
                  <w:vAlign w:val="bottom"/>
                </w:tcPr>
                <w:p w:rsidR="005F716E" w:rsidRPr="002402D1" w:rsidP="005F716E" w14:paraId="1E0E8CC4" w14:textId="77777777">
                  <w:pPr>
                    <w:keepNext/>
                    <w:spacing w:before="48" w:beforeLines="20" w:after="48" w:afterLines="20"/>
                    <w:jc w:val="center"/>
                    <w:rPr>
                      <w:rFonts w:cs="Arial"/>
                      <w:b/>
                      <w:bCs/>
                      <w:color w:val="000000"/>
                      <w:sz w:val="20"/>
                    </w:rPr>
                  </w:pPr>
                  <w:r w:rsidRPr="002402D1">
                    <w:rPr>
                      <w:rFonts w:cs="Arial"/>
                      <w:b/>
                      <w:bCs/>
                      <w:color w:val="000000"/>
                      <w:sz w:val="20"/>
                    </w:rPr>
                    <w:t>Facilities</w:t>
                  </w:r>
                </w:p>
              </w:tc>
              <w:tc>
                <w:tcPr>
                  <w:tcW w:w="1291" w:type="pct"/>
                  <w:tcBorders>
                    <w:top w:val="single" w:sz="4" w:space="0" w:color="auto"/>
                    <w:left w:val="single" w:sz="4" w:space="0" w:color="auto"/>
                    <w:right w:val="single" w:sz="4" w:space="0" w:color="auto"/>
                  </w:tcBorders>
                  <w:shd w:val="clear" w:color="auto" w:fill="D0D3D4"/>
                  <w:vAlign w:val="bottom"/>
                </w:tcPr>
                <w:p w:rsidR="005F716E" w:rsidRPr="002402D1" w:rsidP="005F716E" w14:paraId="2F3B0DED" w14:textId="77777777">
                  <w:pPr>
                    <w:keepNext/>
                    <w:spacing w:before="48" w:beforeLines="20" w:after="48" w:afterLines="20"/>
                    <w:jc w:val="center"/>
                    <w:rPr>
                      <w:rFonts w:cs="Arial"/>
                      <w:b/>
                      <w:bCs/>
                      <w:color w:val="000000"/>
                      <w:sz w:val="20"/>
                    </w:rPr>
                  </w:pPr>
                  <w:r w:rsidRPr="002402D1">
                    <w:rPr>
                      <w:rFonts w:cs="Arial"/>
                      <w:b/>
                      <w:bCs/>
                      <w:color w:val="000000"/>
                      <w:sz w:val="20"/>
                    </w:rPr>
                    <w:t>Total Number of Form Rs</w:t>
                  </w:r>
                </w:p>
              </w:tc>
              <w:tc>
                <w:tcPr>
                  <w:tcW w:w="910" w:type="pct"/>
                  <w:tcBorders>
                    <w:top w:val="single" w:sz="4" w:space="0" w:color="auto"/>
                    <w:left w:val="single" w:sz="4" w:space="0" w:color="auto"/>
                    <w:right w:val="single" w:sz="4" w:space="0" w:color="auto"/>
                  </w:tcBorders>
                  <w:shd w:val="clear" w:color="auto" w:fill="D0D3D4"/>
                  <w:vAlign w:val="bottom"/>
                </w:tcPr>
                <w:p w:rsidR="005F716E" w:rsidRPr="002402D1" w:rsidP="005F716E" w14:paraId="079204F5" w14:textId="77777777">
                  <w:pPr>
                    <w:keepNext/>
                    <w:spacing w:before="48" w:beforeLines="20" w:after="48" w:afterLines="20"/>
                    <w:jc w:val="center"/>
                    <w:rPr>
                      <w:rFonts w:cs="Arial"/>
                      <w:b/>
                      <w:bCs/>
                      <w:color w:val="000000"/>
                      <w:sz w:val="20"/>
                      <w:vertAlign w:val="superscript"/>
                    </w:rPr>
                  </w:pPr>
                  <w:r w:rsidRPr="002402D1">
                    <w:rPr>
                      <w:rFonts w:cs="Arial"/>
                      <w:b/>
                      <w:bCs/>
                      <w:color w:val="000000"/>
                      <w:sz w:val="20"/>
                    </w:rPr>
                    <w:t>First Year Burden</w:t>
                  </w:r>
                  <w:r w:rsidRPr="002402D1">
                    <w:rPr>
                      <w:rFonts w:cs="Arial"/>
                      <w:b/>
                      <w:bCs/>
                      <w:color w:val="000000"/>
                      <w:sz w:val="20"/>
                      <w:vertAlign w:val="superscript"/>
                    </w:rPr>
                    <w:t>a</w:t>
                  </w:r>
                </w:p>
              </w:tc>
              <w:tc>
                <w:tcPr>
                  <w:tcW w:w="1566" w:type="pct"/>
                  <w:tcBorders>
                    <w:top w:val="single" w:sz="4" w:space="0" w:color="auto"/>
                    <w:left w:val="single" w:sz="4" w:space="0" w:color="auto"/>
                    <w:right w:val="single" w:sz="4" w:space="0" w:color="auto"/>
                  </w:tcBorders>
                  <w:shd w:val="clear" w:color="auto" w:fill="D0D3D4"/>
                  <w:vAlign w:val="bottom"/>
                </w:tcPr>
                <w:p w:rsidR="005F716E" w:rsidRPr="002402D1" w:rsidP="005F716E" w14:paraId="07D4E5E7" w14:textId="77777777">
                  <w:pPr>
                    <w:keepNext/>
                    <w:spacing w:before="48" w:beforeLines="20" w:after="48" w:afterLines="20"/>
                    <w:jc w:val="center"/>
                    <w:rPr>
                      <w:rFonts w:cs="Arial"/>
                      <w:b/>
                      <w:bCs/>
                      <w:color w:val="000000"/>
                      <w:sz w:val="20"/>
                      <w:vertAlign w:val="superscript"/>
                    </w:rPr>
                  </w:pPr>
                  <w:r w:rsidRPr="002402D1">
                    <w:rPr>
                      <w:rFonts w:cs="Arial"/>
                      <w:b/>
                      <w:bCs/>
                      <w:color w:val="000000"/>
                      <w:sz w:val="20"/>
                    </w:rPr>
                    <w:t>Steady State Burden</w:t>
                  </w:r>
                  <w:r w:rsidRPr="002402D1">
                    <w:rPr>
                      <w:rFonts w:cs="Arial"/>
                      <w:b/>
                      <w:bCs/>
                      <w:color w:val="000000"/>
                      <w:sz w:val="20"/>
                      <w:vertAlign w:val="superscript"/>
                    </w:rPr>
                    <w:t>b</w:t>
                  </w:r>
                </w:p>
              </w:tc>
            </w:tr>
            <w:tr w14:paraId="269E41E3" w14:textId="77777777" w:rsidTr="009C2EAE">
              <w:tblPrEx>
                <w:tblW w:w="5000" w:type="pct"/>
                <w:tblLook w:val="04A0"/>
              </w:tblPrEx>
              <w:trPr>
                <w:cantSplit/>
                <w:trHeight w:val="240"/>
              </w:trPr>
              <w:tc>
                <w:tcPr>
                  <w:tcW w:w="642" w:type="pct"/>
                  <w:tcBorders>
                    <w:top w:val="single" w:sz="4" w:space="0" w:color="000000"/>
                    <w:left w:val="single" w:sz="4" w:space="0" w:color="000000"/>
                    <w:bottom w:val="single" w:sz="4" w:space="0" w:color="000000"/>
                    <w:right w:val="single" w:sz="4" w:space="0" w:color="000000"/>
                  </w:tcBorders>
                </w:tcPr>
                <w:p w:rsidR="007A0017" w:rsidRPr="00E92467" w:rsidP="007A0017" w14:paraId="2E37FDA0" w14:textId="77777777">
                  <w:pPr>
                    <w:keepNext/>
                    <w:spacing w:before="48" w:beforeLines="20" w:after="48" w:afterLines="20"/>
                    <w:jc w:val="center"/>
                    <w:rPr>
                      <w:rFonts w:cs="Arial"/>
                      <w:color w:val="000000"/>
                      <w:sz w:val="18"/>
                      <w:szCs w:val="18"/>
                    </w:rPr>
                  </w:pPr>
                  <w:r w:rsidRPr="00E92467">
                    <w:rPr>
                      <w:rFonts w:cs="Arial"/>
                      <w:color w:val="000000"/>
                      <w:sz w:val="18"/>
                      <w:szCs w:val="18"/>
                    </w:rPr>
                    <w:t>Low</w:t>
                  </w:r>
                </w:p>
              </w:tc>
              <w:tc>
                <w:tcPr>
                  <w:tcW w:w="591" w:type="pct"/>
                  <w:tcBorders>
                    <w:top w:val="single" w:sz="4" w:space="0" w:color="000000"/>
                    <w:left w:val="single" w:sz="4" w:space="0" w:color="000000"/>
                    <w:bottom w:val="single" w:sz="4" w:space="0" w:color="000000"/>
                    <w:right w:val="single" w:sz="4" w:space="0" w:color="000000"/>
                  </w:tcBorders>
                  <w:vAlign w:val="bottom"/>
                </w:tcPr>
                <w:p w:rsidR="007A0017" w:rsidRPr="007A0017" w:rsidP="007A0017" w14:paraId="3509B014" w14:textId="77777777">
                  <w:pPr>
                    <w:keepNext/>
                    <w:spacing w:before="48" w:beforeLines="20" w:after="48" w:afterLines="20"/>
                    <w:jc w:val="center"/>
                    <w:rPr>
                      <w:rFonts w:cs="Arial"/>
                      <w:color w:val="000000"/>
                      <w:sz w:val="18"/>
                      <w:szCs w:val="18"/>
                    </w:rPr>
                  </w:pPr>
                  <w:r w:rsidRPr="007A0017">
                    <w:rPr>
                      <w:rFonts w:cs="Arial"/>
                      <w:color w:val="000000"/>
                      <w:sz w:val="18"/>
                      <w:szCs w:val="18"/>
                    </w:rPr>
                    <w:t>623</w:t>
                  </w:r>
                </w:p>
              </w:tc>
              <w:tc>
                <w:tcPr>
                  <w:tcW w:w="1291" w:type="pct"/>
                  <w:tcBorders>
                    <w:top w:val="single" w:sz="4" w:space="0" w:color="000000"/>
                    <w:left w:val="single" w:sz="4" w:space="0" w:color="000000"/>
                    <w:bottom w:val="single" w:sz="4" w:space="0" w:color="000000"/>
                    <w:right w:val="single" w:sz="4" w:space="0" w:color="000000"/>
                  </w:tcBorders>
                  <w:vAlign w:val="bottom"/>
                </w:tcPr>
                <w:p w:rsidR="007A0017" w:rsidRPr="007A0017" w:rsidP="007A0017" w14:paraId="4FB4B7A5" w14:textId="77777777">
                  <w:pPr>
                    <w:keepNext/>
                    <w:spacing w:before="48" w:beforeLines="20" w:after="48" w:afterLines="20"/>
                    <w:jc w:val="center"/>
                    <w:rPr>
                      <w:rFonts w:cs="Arial"/>
                      <w:color w:val="000000"/>
                      <w:sz w:val="18"/>
                      <w:szCs w:val="18"/>
                    </w:rPr>
                  </w:pPr>
                  <w:r w:rsidRPr="007A0017">
                    <w:rPr>
                      <w:rFonts w:cs="Arial"/>
                      <w:color w:val="000000"/>
                      <w:sz w:val="18"/>
                      <w:szCs w:val="18"/>
                    </w:rPr>
                    <w:t>623</w:t>
                  </w:r>
                </w:p>
              </w:tc>
              <w:tc>
                <w:tcPr>
                  <w:tcW w:w="910" w:type="pct"/>
                  <w:tcBorders>
                    <w:top w:val="single" w:sz="4" w:space="0" w:color="000000"/>
                    <w:left w:val="single" w:sz="4" w:space="0" w:color="000000"/>
                    <w:bottom w:val="single" w:sz="4" w:space="0" w:color="000000"/>
                    <w:right w:val="single" w:sz="4" w:space="0" w:color="000000"/>
                  </w:tcBorders>
                </w:tcPr>
                <w:p w:rsidR="007A0017" w:rsidRPr="007A0017" w:rsidP="007A0017" w14:paraId="62F6209D" w14:textId="77777777">
                  <w:pPr>
                    <w:keepNext/>
                    <w:spacing w:before="48" w:beforeLines="20" w:after="48" w:afterLines="20"/>
                    <w:jc w:val="center"/>
                    <w:rPr>
                      <w:rFonts w:cs="Arial"/>
                      <w:color w:val="000000"/>
                      <w:sz w:val="18"/>
                      <w:szCs w:val="18"/>
                    </w:rPr>
                  </w:pPr>
                  <w:r w:rsidRPr="007A0017">
                    <w:rPr>
                      <w:rFonts w:cs="Arial"/>
                      <w:sz w:val="18"/>
                      <w:szCs w:val="18"/>
                    </w:rPr>
                    <w:t>46,713</w:t>
                  </w:r>
                </w:p>
              </w:tc>
              <w:tc>
                <w:tcPr>
                  <w:tcW w:w="1566" w:type="pct"/>
                  <w:tcBorders>
                    <w:top w:val="single" w:sz="4" w:space="0" w:color="000000"/>
                    <w:left w:val="single" w:sz="4" w:space="0" w:color="000000"/>
                    <w:bottom w:val="single" w:sz="4" w:space="0" w:color="000000"/>
                    <w:right w:val="single" w:sz="4" w:space="0" w:color="000000"/>
                  </w:tcBorders>
                </w:tcPr>
                <w:p w:rsidR="007A0017" w:rsidRPr="007A0017" w:rsidP="007A0017" w14:paraId="174E018D" w14:textId="77777777">
                  <w:pPr>
                    <w:keepNext/>
                    <w:spacing w:before="48" w:beforeLines="20" w:after="48" w:afterLines="20"/>
                    <w:jc w:val="center"/>
                    <w:rPr>
                      <w:rFonts w:cs="Arial"/>
                      <w:color w:val="000000"/>
                      <w:sz w:val="18"/>
                      <w:szCs w:val="18"/>
                    </w:rPr>
                  </w:pPr>
                  <w:r w:rsidRPr="007A0017">
                    <w:rPr>
                      <w:rFonts w:cs="Arial"/>
                      <w:sz w:val="18"/>
                      <w:szCs w:val="18"/>
                    </w:rPr>
                    <w:t>22,244</w:t>
                  </w:r>
                </w:p>
              </w:tc>
            </w:tr>
            <w:tr w14:paraId="49287417" w14:textId="77777777" w:rsidTr="009C2EAE">
              <w:tblPrEx>
                <w:tblW w:w="5000" w:type="pct"/>
                <w:tblLook w:val="04A0"/>
              </w:tblPrEx>
              <w:trPr>
                <w:cantSplit/>
                <w:trHeight w:val="240"/>
              </w:trPr>
              <w:tc>
                <w:tcPr>
                  <w:tcW w:w="642" w:type="pct"/>
                  <w:tcBorders>
                    <w:top w:val="single" w:sz="4" w:space="0" w:color="000000"/>
                    <w:left w:val="single" w:sz="4" w:space="0" w:color="000000"/>
                    <w:bottom w:val="single" w:sz="4" w:space="0" w:color="000000"/>
                    <w:right w:val="single" w:sz="4" w:space="0" w:color="000000"/>
                  </w:tcBorders>
                </w:tcPr>
                <w:p w:rsidR="007A0017" w:rsidRPr="00E92467" w:rsidP="007A0017" w14:paraId="205255C4" w14:textId="77777777">
                  <w:pPr>
                    <w:keepNext/>
                    <w:spacing w:before="48" w:beforeLines="20" w:after="48" w:afterLines="20"/>
                    <w:jc w:val="center"/>
                    <w:rPr>
                      <w:rFonts w:cs="Arial"/>
                      <w:color w:val="000000"/>
                      <w:sz w:val="18"/>
                      <w:szCs w:val="18"/>
                    </w:rPr>
                  </w:pPr>
                  <w:r w:rsidRPr="00E92467">
                    <w:rPr>
                      <w:rFonts w:cs="Arial"/>
                      <w:color w:val="000000"/>
                      <w:sz w:val="18"/>
                      <w:szCs w:val="18"/>
                    </w:rPr>
                    <w:t>High</w:t>
                  </w:r>
                </w:p>
              </w:tc>
              <w:tc>
                <w:tcPr>
                  <w:tcW w:w="591" w:type="pct"/>
                  <w:tcBorders>
                    <w:top w:val="single" w:sz="4" w:space="0" w:color="000000"/>
                    <w:left w:val="single" w:sz="4" w:space="0" w:color="000000"/>
                    <w:bottom w:val="single" w:sz="4" w:space="0" w:color="000000"/>
                    <w:right w:val="single" w:sz="4" w:space="0" w:color="000000"/>
                  </w:tcBorders>
                  <w:vAlign w:val="bottom"/>
                </w:tcPr>
                <w:p w:rsidR="007A0017" w:rsidRPr="007A0017" w:rsidP="007A0017" w14:paraId="11B111CE" w14:textId="77777777">
                  <w:pPr>
                    <w:keepNext/>
                    <w:spacing w:before="48" w:beforeLines="20" w:after="48" w:afterLines="20"/>
                    <w:jc w:val="center"/>
                    <w:rPr>
                      <w:rFonts w:cs="Arial"/>
                      <w:color w:val="000000"/>
                      <w:sz w:val="18"/>
                      <w:szCs w:val="18"/>
                    </w:rPr>
                  </w:pPr>
                  <w:r w:rsidRPr="007A0017">
                    <w:rPr>
                      <w:rFonts w:cs="Arial"/>
                      <w:color w:val="000000"/>
                      <w:sz w:val="18"/>
                      <w:szCs w:val="18"/>
                    </w:rPr>
                    <w:t>2,015</w:t>
                  </w:r>
                </w:p>
              </w:tc>
              <w:tc>
                <w:tcPr>
                  <w:tcW w:w="1291" w:type="pct"/>
                  <w:tcBorders>
                    <w:top w:val="single" w:sz="4" w:space="0" w:color="000000"/>
                    <w:left w:val="single" w:sz="4" w:space="0" w:color="000000"/>
                    <w:bottom w:val="single" w:sz="4" w:space="0" w:color="000000"/>
                    <w:right w:val="single" w:sz="4" w:space="0" w:color="000000"/>
                  </w:tcBorders>
                  <w:vAlign w:val="bottom"/>
                </w:tcPr>
                <w:p w:rsidR="007A0017" w:rsidRPr="007A0017" w:rsidP="007A0017" w14:paraId="5104B7E5" w14:textId="77777777">
                  <w:pPr>
                    <w:keepNext/>
                    <w:spacing w:before="48" w:beforeLines="20" w:after="48" w:afterLines="20"/>
                    <w:jc w:val="center"/>
                    <w:rPr>
                      <w:rFonts w:cs="Arial"/>
                      <w:color w:val="000000"/>
                      <w:sz w:val="18"/>
                      <w:szCs w:val="18"/>
                    </w:rPr>
                  </w:pPr>
                  <w:r w:rsidRPr="007A0017">
                    <w:rPr>
                      <w:rFonts w:cs="Arial"/>
                      <w:color w:val="000000"/>
                      <w:sz w:val="18"/>
                      <w:szCs w:val="18"/>
                    </w:rPr>
                    <w:t>2,015</w:t>
                  </w:r>
                </w:p>
              </w:tc>
              <w:tc>
                <w:tcPr>
                  <w:tcW w:w="910" w:type="pct"/>
                  <w:tcBorders>
                    <w:top w:val="single" w:sz="4" w:space="0" w:color="000000"/>
                    <w:left w:val="single" w:sz="4" w:space="0" w:color="000000"/>
                    <w:bottom w:val="single" w:sz="4" w:space="0" w:color="000000"/>
                    <w:right w:val="single" w:sz="4" w:space="0" w:color="000000"/>
                  </w:tcBorders>
                </w:tcPr>
                <w:p w:rsidR="007A0017" w:rsidRPr="007A0017" w:rsidP="007A0017" w14:paraId="3D0F9E8A" w14:textId="77777777">
                  <w:pPr>
                    <w:keepNext/>
                    <w:spacing w:before="48" w:beforeLines="20" w:after="48" w:afterLines="20"/>
                    <w:jc w:val="center"/>
                    <w:rPr>
                      <w:rFonts w:cs="Arial"/>
                      <w:color w:val="000000"/>
                      <w:sz w:val="18"/>
                      <w:szCs w:val="18"/>
                    </w:rPr>
                  </w:pPr>
                  <w:r w:rsidRPr="007A0017">
                    <w:rPr>
                      <w:rFonts w:cs="Arial"/>
                      <w:sz w:val="18"/>
                      <w:szCs w:val="18"/>
                    </w:rPr>
                    <w:t>151,086</w:t>
                  </w:r>
                </w:p>
              </w:tc>
              <w:tc>
                <w:tcPr>
                  <w:tcW w:w="1566" w:type="pct"/>
                  <w:tcBorders>
                    <w:top w:val="single" w:sz="4" w:space="0" w:color="000000"/>
                    <w:left w:val="single" w:sz="4" w:space="0" w:color="000000"/>
                    <w:bottom w:val="single" w:sz="4" w:space="0" w:color="000000"/>
                    <w:right w:val="single" w:sz="4" w:space="0" w:color="000000"/>
                  </w:tcBorders>
                </w:tcPr>
                <w:p w:rsidR="007A0017" w:rsidRPr="007A0017" w:rsidP="007A0017" w14:paraId="1B41DF83" w14:textId="77777777">
                  <w:pPr>
                    <w:keepNext/>
                    <w:spacing w:before="48" w:beforeLines="20" w:after="48" w:afterLines="20"/>
                    <w:jc w:val="center"/>
                    <w:rPr>
                      <w:rFonts w:cs="Arial"/>
                      <w:color w:val="000000"/>
                      <w:sz w:val="18"/>
                      <w:szCs w:val="18"/>
                    </w:rPr>
                  </w:pPr>
                  <w:r w:rsidRPr="007A0017">
                    <w:rPr>
                      <w:rFonts w:cs="Arial"/>
                      <w:sz w:val="18"/>
                      <w:szCs w:val="18"/>
                    </w:rPr>
                    <w:t>71,946</w:t>
                  </w:r>
                </w:p>
              </w:tc>
            </w:tr>
            <w:tr w14:paraId="7C4467C3" w14:textId="77777777" w:rsidTr="007912E3">
              <w:tblPrEx>
                <w:tblW w:w="5000" w:type="pct"/>
                <w:tblLook w:val="04A0"/>
              </w:tblPrEx>
              <w:trPr>
                <w:cantSplit/>
                <w:trHeight w:val="240"/>
              </w:trPr>
              <w:tc>
                <w:tcPr>
                  <w:tcW w:w="5000" w:type="pct"/>
                  <w:gridSpan w:val="5"/>
                  <w:tcBorders>
                    <w:top w:val="single" w:sz="4" w:space="0" w:color="000000"/>
                    <w:left w:val="single" w:sz="4" w:space="0" w:color="000000"/>
                    <w:bottom w:val="single" w:sz="4" w:space="0" w:color="000000"/>
                    <w:right w:val="single" w:sz="4" w:space="0" w:color="000000"/>
                  </w:tcBorders>
                </w:tcPr>
                <w:p w:rsidR="007A0017" w:rsidRPr="00E92467" w:rsidP="007A0017" w14:paraId="2FFA657B" w14:textId="77777777">
                  <w:pPr>
                    <w:keepNext/>
                    <w:spacing w:before="48" w:beforeLines="20" w:after="48" w:afterLines="20"/>
                    <w:rPr>
                      <w:rFonts w:cs="Arial"/>
                      <w:color w:val="000000"/>
                      <w:sz w:val="18"/>
                      <w:szCs w:val="18"/>
                    </w:rPr>
                  </w:pPr>
                  <w:r w:rsidRPr="00E92467">
                    <w:rPr>
                      <w:rFonts w:cs="Arial"/>
                      <w:color w:val="000000"/>
                      <w:sz w:val="18"/>
                      <w:szCs w:val="18"/>
                      <w:vertAlign w:val="superscript"/>
                    </w:rPr>
                    <w:t>a</w:t>
                  </w:r>
                  <w:r w:rsidRPr="00E92467">
                    <w:rPr>
                      <w:rFonts w:cs="Arial"/>
                      <w:color w:val="000000"/>
                      <w:sz w:val="18"/>
                      <w:szCs w:val="18"/>
                    </w:rPr>
                    <w:t xml:space="preserve">Calculated as the product of: (1) the number of Form R’s, (2) the </w:t>
                  </w:r>
                  <w:r w:rsidRPr="00E92467">
                    <w:rPr>
                      <w:rFonts w:cs="Arial"/>
                      <w:i/>
                      <w:color w:val="000000"/>
                      <w:sz w:val="18"/>
                      <w:szCs w:val="18"/>
                    </w:rPr>
                    <w:t>Nominal Form R Unit Burden</w:t>
                  </w:r>
                  <w:r w:rsidRPr="00E92467">
                    <w:rPr>
                      <w:rFonts w:cs="Arial"/>
                      <w:color w:val="000000"/>
                      <w:sz w:val="18"/>
                      <w:szCs w:val="18"/>
                    </w:rPr>
                    <w:t xml:space="preserve"> of 35.70516, and (3) the </w:t>
                  </w:r>
                  <w:r w:rsidRPr="00E92467">
                    <w:rPr>
                      <w:rFonts w:cs="Arial"/>
                      <w:i/>
                      <w:color w:val="000000"/>
                      <w:sz w:val="18"/>
                      <w:szCs w:val="18"/>
                    </w:rPr>
                    <w:t>First-Time Filer Factor</w:t>
                  </w:r>
                  <w:r w:rsidRPr="00E92467">
                    <w:rPr>
                      <w:rFonts w:cs="Arial"/>
                      <w:color w:val="000000"/>
                      <w:sz w:val="18"/>
                      <w:szCs w:val="18"/>
                    </w:rPr>
                    <w:t xml:space="preserve"> of 2.1.</w:t>
                  </w:r>
                </w:p>
                <w:p w:rsidR="007A0017" w:rsidRPr="00E92467" w:rsidP="007A0017" w14:paraId="3413F255" w14:textId="77777777">
                  <w:pPr>
                    <w:keepNext/>
                    <w:spacing w:before="48" w:beforeLines="20" w:after="48" w:afterLines="20"/>
                    <w:rPr>
                      <w:rFonts w:cs="Arial"/>
                      <w:color w:val="000000"/>
                      <w:sz w:val="18"/>
                      <w:szCs w:val="18"/>
                    </w:rPr>
                  </w:pPr>
                  <w:r w:rsidRPr="00E92467">
                    <w:rPr>
                      <w:rFonts w:cs="Arial"/>
                      <w:color w:val="000000"/>
                      <w:sz w:val="18"/>
                      <w:szCs w:val="18"/>
                      <w:vertAlign w:val="superscript"/>
                    </w:rPr>
                    <w:t>b</w:t>
                  </w:r>
                  <w:r w:rsidRPr="00E92467">
                    <w:rPr>
                      <w:rFonts w:cs="Arial"/>
                      <w:color w:val="000000"/>
                      <w:sz w:val="18"/>
                      <w:szCs w:val="18"/>
                    </w:rPr>
                    <w:t>Calculated</w:t>
                  </w:r>
                  <w:r w:rsidRPr="00E92467">
                    <w:rPr>
                      <w:rFonts w:cs="Arial"/>
                      <w:color w:val="000000"/>
                      <w:sz w:val="18"/>
                      <w:szCs w:val="18"/>
                    </w:rPr>
                    <w:t xml:space="preserve"> as the product of: (1) the total number of Form R’s and (2) the </w:t>
                  </w:r>
                  <w:r w:rsidRPr="00E92467">
                    <w:rPr>
                      <w:rFonts w:cs="Arial"/>
                      <w:i/>
                      <w:color w:val="000000"/>
                      <w:sz w:val="18"/>
                      <w:szCs w:val="18"/>
                    </w:rPr>
                    <w:t>Nominal Form R Unit Burden</w:t>
                  </w:r>
                  <w:r w:rsidRPr="00E92467">
                    <w:rPr>
                      <w:rFonts w:cs="Arial"/>
                      <w:color w:val="000000"/>
                      <w:sz w:val="18"/>
                      <w:szCs w:val="18"/>
                    </w:rPr>
                    <w:t xml:space="preserve"> of 35.70516.</w:t>
                  </w:r>
                </w:p>
              </w:tc>
            </w:tr>
          </w:tbl>
          <w:p w:rsidR="005B58E4" w:rsidRPr="00444F9D" w:rsidP="00170E55" w14:paraId="674DAF94" w14:textId="77777777">
            <w:pPr>
              <w:keepNext/>
              <w:keepLines/>
              <w:spacing w:after="200" w:line="276" w:lineRule="auto"/>
              <w:rPr>
                <w:rFonts w:cs="Arial"/>
                <w:b/>
                <w:bCs/>
                <w:sz w:val="20"/>
                <w:szCs w:val="20"/>
              </w:rPr>
            </w:pPr>
          </w:p>
        </w:tc>
      </w:tr>
    </w:tbl>
    <w:p w:rsidR="007E4460" w:rsidRPr="00444F9D" w:rsidP="00444F9D" w14:paraId="357A0B8B" w14:textId="77777777">
      <w:pPr>
        <w:spacing w:after="200" w:line="276" w:lineRule="auto"/>
        <w:rPr>
          <w:rFonts w:cs="Arial"/>
        </w:rPr>
      </w:pPr>
    </w:p>
    <w:p w:rsidR="00033560" w14:paraId="2619B0EF" w14:textId="77777777">
      <w:pPr>
        <w:autoSpaceDE/>
        <w:autoSpaceDN/>
        <w:rPr>
          <w:rFonts w:cs="Arial"/>
          <w:b/>
          <w:bCs/>
        </w:rPr>
      </w:pPr>
      <w:r>
        <w:rPr>
          <w:rFonts w:cs="Arial"/>
          <w:b/>
          <w:bCs/>
        </w:rPr>
        <w:br w:type="page"/>
      </w:r>
    </w:p>
    <w:p w:rsidR="007E4460" w:rsidRPr="00444F9D" w:rsidP="00444F9D" w14:paraId="42A587B5" w14:textId="77777777">
      <w:pPr>
        <w:spacing w:after="200" w:line="276" w:lineRule="auto"/>
        <w:rPr>
          <w:rFonts w:cs="Arial"/>
          <w:b/>
          <w:bCs/>
        </w:rPr>
      </w:pPr>
      <w:r w:rsidRPr="00444F9D">
        <w:rPr>
          <w:rFonts w:cs="Arial"/>
          <w:b/>
          <w:bCs/>
        </w:rPr>
        <w:t>Estimating Labor Costs</w:t>
      </w:r>
    </w:p>
    <w:p w:rsidR="0068682B" w:rsidRPr="00444F9D" w:rsidP="00444F9D" w14:paraId="6353FE26" w14:textId="77777777">
      <w:pPr>
        <w:spacing w:after="200" w:line="276" w:lineRule="auto"/>
        <w:rPr>
          <w:rFonts w:cs="Arial"/>
        </w:rPr>
      </w:pPr>
      <w:r w:rsidRPr="00444F9D">
        <w:rPr>
          <w:rFonts w:cs="Arial"/>
        </w:rPr>
        <w:t>EPA estimates labor burden for three separate labor categories (management, technical, and clerical) across multiple activities; it is necessary to obtain wage rates for each labor category in order to estimate labor costs and compute WAWR, as shown in Tab</w:t>
      </w:r>
      <w:r w:rsidRPr="00444F9D">
        <w:rPr>
          <w:rFonts w:cs="Arial"/>
        </w:rPr>
        <w:t xml:space="preserve">le </w:t>
      </w:r>
      <w:r w:rsidRPr="00444F9D" w:rsidR="000E249B">
        <w:rPr>
          <w:rFonts w:cs="Arial"/>
        </w:rPr>
        <w:t>5</w:t>
      </w:r>
      <w:r w:rsidRPr="00444F9D">
        <w:rPr>
          <w:rFonts w:cs="Arial"/>
        </w:rPr>
        <w:t>.</w:t>
      </w:r>
    </w:p>
    <w:tbl>
      <w:tblPr>
        <w:tblW w:w="0" w:type="auto"/>
        <w:jc w:val="center"/>
        <w:tblLook w:val="00A0"/>
      </w:tblPr>
      <w:tblGrid>
        <w:gridCol w:w="9360"/>
      </w:tblGrid>
      <w:tr w14:paraId="10D32A7B" w14:textId="77777777" w:rsidTr="368B5929">
        <w:tblPrEx>
          <w:tblW w:w="0" w:type="auto"/>
          <w:jc w:val="center"/>
          <w:tblLook w:val="00A0"/>
        </w:tblPrEx>
        <w:trPr>
          <w:trHeight w:val="840"/>
          <w:jc w:val="center"/>
        </w:trPr>
        <w:tc>
          <w:tcPr>
            <w:tcW w:w="9518" w:type="dxa"/>
            <w:vAlign w:val="center"/>
          </w:tcPr>
          <w:p w:rsidR="0068682B" w:rsidP="00444F9D" w14:paraId="2849D804" w14:textId="77777777">
            <w:pPr>
              <w:keepNext/>
              <w:keepLines/>
              <w:spacing w:after="200" w:line="276" w:lineRule="auto"/>
              <w:jc w:val="center"/>
              <w:rPr>
                <w:rFonts w:cs="Arial"/>
                <w:b/>
                <w:bCs/>
              </w:rPr>
            </w:pPr>
            <w:r w:rsidRPr="368B5929">
              <w:rPr>
                <w:rFonts w:cs="Arial"/>
                <w:b/>
                <w:bCs/>
              </w:rPr>
              <w:t xml:space="preserve">Table </w:t>
            </w:r>
            <w:r w:rsidRPr="368B5929" w:rsidR="000E249B">
              <w:rPr>
                <w:rFonts w:cs="Arial"/>
                <w:b/>
                <w:bCs/>
              </w:rPr>
              <w:t>5</w:t>
            </w:r>
            <w:r>
              <w:br/>
            </w:r>
            <w:r w:rsidRPr="368B5929">
              <w:rPr>
                <w:rFonts w:cs="Arial"/>
                <w:b/>
                <w:bCs/>
              </w:rPr>
              <w:t>Derivation of the Weighted Average Wage Rate (WAWR)</w:t>
            </w:r>
            <w:r>
              <w:br/>
            </w:r>
            <w:r w:rsidRPr="368B5929">
              <w:rPr>
                <w:rFonts w:cs="Arial"/>
                <w:b/>
                <w:bCs/>
              </w:rPr>
              <w:t>(</w:t>
            </w:r>
            <w:r w:rsidRPr="368B5929" w:rsidR="00803949">
              <w:rPr>
                <w:rFonts w:cs="Arial"/>
                <w:b/>
                <w:bCs/>
              </w:rPr>
              <w:t>202</w:t>
            </w:r>
            <w:r w:rsidRPr="368B5929" w:rsidR="00B413C8">
              <w:rPr>
                <w:rFonts w:cs="Arial"/>
                <w:b/>
                <w:bCs/>
              </w:rPr>
              <w:t>2</w:t>
            </w:r>
            <w:r w:rsidRPr="368B5929" w:rsidR="00803949">
              <w:rPr>
                <w:rFonts w:cs="Arial"/>
                <w:b/>
                <w:bCs/>
              </w:rPr>
              <w:t xml:space="preserve"> Dollars</w:t>
            </w:r>
            <w:r w:rsidRPr="368B5929">
              <w:rPr>
                <w:rFonts w:cs="Arial"/>
                <w:b/>
                <w:bCs/>
              </w:rPr>
              <w:t>)</w:t>
            </w:r>
          </w:p>
          <w:tbl>
            <w:tblPr>
              <w:tblW w:w="5000" w:type="pct"/>
              <w:tblLook w:val="04A0"/>
            </w:tblPr>
            <w:tblGrid>
              <w:gridCol w:w="3819"/>
              <w:gridCol w:w="2134"/>
              <w:gridCol w:w="2134"/>
              <w:gridCol w:w="1047"/>
            </w:tblGrid>
            <w:tr w14:paraId="4CC26DCE" w14:textId="77777777" w:rsidTr="007912E3">
              <w:tblPrEx>
                <w:tblW w:w="5000" w:type="pct"/>
                <w:tblLook w:val="04A0"/>
              </w:tblPrEx>
              <w:trPr>
                <w:trHeight w:val="240"/>
              </w:trPr>
              <w:tc>
                <w:tcPr>
                  <w:tcW w:w="2091" w:type="pct"/>
                  <w:tcBorders>
                    <w:top w:val="single" w:sz="4" w:space="0" w:color="auto"/>
                    <w:left w:val="single" w:sz="4" w:space="0" w:color="auto"/>
                    <w:bottom w:val="single" w:sz="4" w:space="0" w:color="auto"/>
                    <w:right w:val="single" w:sz="4" w:space="0" w:color="auto"/>
                  </w:tcBorders>
                  <w:shd w:val="clear" w:color="000000" w:fill="D0D3D4"/>
                  <w:noWrap/>
                  <w:vAlign w:val="bottom"/>
                  <w:hideMark/>
                </w:tcPr>
                <w:p w:rsidR="005F716E" w:rsidRPr="002402D1" w:rsidP="005F716E" w14:paraId="33F0CD9F" w14:textId="77777777">
                  <w:pPr>
                    <w:keepNext/>
                    <w:keepLines/>
                    <w:spacing w:before="40" w:after="40"/>
                    <w:jc w:val="center"/>
                    <w:rPr>
                      <w:rFonts w:cs="Arial"/>
                      <w:b/>
                      <w:bCs/>
                      <w:color w:val="000000"/>
                      <w:sz w:val="20"/>
                    </w:rPr>
                  </w:pPr>
                  <w:r w:rsidRPr="002402D1">
                    <w:rPr>
                      <w:rFonts w:cs="Arial"/>
                      <w:b/>
                      <w:bCs/>
                      <w:color w:val="000000"/>
                      <w:sz w:val="20"/>
                    </w:rPr>
                    <w:t>Wage Type</w:t>
                  </w:r>
                </w:p>
              </w:tc>
              <w:tc>
                <w:tcPr>
                  <w:tcW w:w="1168" w:type="pct"/>
                  <w:tcBorders>
                    <w:top w:val="single" w:sz="4" w:space="0" w:color="auto"/>
                    <w:left w:val="nil"/>
                    <w:bottom w:val="single" w:sz="4" w:space="0" w:color="auto"/>
                    <w:right w:val="single" w:sz="4" w:space="0" w:color="auto"/>
                  </w:tcBorders>
                  <w:shd w:val="clear" w:color="000000" w:fill="D0D3D4"/>
                  <w:noWrap/>
                  <w:vAlign w:val="bottom"/>
                  <w:hideMark/>
                </w:tcPr>
                <w:p w:rsidR="005F716E" w:rsidRPr="002402D1" w:rsidP="005F716E" w14:paraId="380D2122" w14:textId="77777777">
                  <w:pPr>
                    <w:keepNext/>
                    <w:keepLines/>
                    <w:spacing w:before="40" w:after="40"/>
                    <w:jc w:val="center"/>
                    <w:rPr>
                      <w:rFonts w:cs="Arial"/>
                      <w:b/>
                      <w:bCs/>
                      <w:color w:val="000000"/>
                      <w:sz w:val="20"/>
                    </w:rPr>
                  </w:pPr>
                  <w:r w:rsidRPr="002402D1">
                    <w:rPr>
                      <w:rFonts w:cs="Arial"/>
                      <w:b/>
                      <w:bCs/>
                      <w:color w:val="000000"/>
                      <w:sz w:val="20"/>
                    </w:rPr>
                    <w:t>Managerial</w:t>
                  </w:r>
                </w:p>
              </w:tc>
              <w:tc>
                <w:tcPr>
                  <w:tcW w:w="1168" w:type="pct"/>
                  <w:tcBorders>
                    <w:top w:val="single" w:sz="4" w:space="0" w:color="auto"/>
                    <w:left w:val="nil"/>
                    <w:bottom w:val="single" w:sz="4" w:space="0" w:color="auto"/>
                    <w:right w:val="single" w:sz="4" w:space="0" w:color="auto"/>
                  </w:tcBorders>
                  <w:shd w:val="clear" w:color="000000" w:fill="D0D3D4"/>
                  <w:noWrap/>
                  <w:vAlign w:val="bottom"/>
                  <w:hideMark/>
                </w:tcPr>
                <w:p w:rsidR="005F716E" w:rsidRPr="002402D1" w:rsidP="005F716E" w14:paraId="6ABCDD0E" w14:textId="77777777">
                  <w:pPr>
                    <w:keepNext/>
                    <w:keepLines/>
                    <w:spacing w:before="40" w:after="40"/>
                    <w:jc w:val="center"/>
                    <w:rPr>
                      <w:rFonts w:cs="Arial"/>
                      <w:b/>
                      <w:bCs/>
                      <w:color w:val="000000"/>
                      <w:sz w:val="20"/>
                    </w:rPr>
                  </w:pPr>
                  <w:r w:rsidRPr="002402D1">
                    <w:rPr>
                      <w:rFonts w:cs="Arial"/>
                      <w:b/>
                      <w:bCs/>
                      <w:color w:val="000000"/>
                      <w:sz w:val="20"/>
                    </w:rPr>
                    <w:t>Technical</w:t>
                  </w:r>
                </w:p>
              </w:tc>
              <w:tc>
                <w:tcPr>
                  <w:tcW w:w="573" w:type="pct"/>
                  <w:tcBorders>
                    <w:top w:val="single" w:sz="4" w:space="0" w:color="auto"/>
                    <w:left w:val="nil"/>
                    <w:bottom w:val="single" w:sz="4" w:space="0" w:color="auto"/>
                    <w:right w:val="single" w:sz="4" w:space="0" w:color="auto"/>
                  </w:tcBorders>
                  <w:shd w:val="clear" w:color="000000" w:fill="D0D3D4"/>
                  <w:noWrap/>
                  <w:vAlign w:val="bottom"/>
                  <w:hideMark/>
                </w:tcPr>
                <w:p w:rsidR="005F716E" w:rsidRPr="002402D1" w:rsidP="005F716E" w14:paraId="6A795BC4" w14:textId="77777777">
                  <w:pPr>
                    <w:keepNext/>
                    <w:keepLines/>
                    <w:spacing w:before="40" w:after="40"/>
                    <w:jc w:val="center"/>
                    <w:rPr>
                      <w:rFonts w:cs="Arial"/>
                      <w:b/>
                      <w:bCs/>
                      <w:color w:val="000000"/>
                      <w:sz w:val="20"/>
                    </w:rPr>
                  </w:pPr>
                  <w:r w:rsidRPr="002402D1">
                    <w:rPr>
                      <w:rFonts w:cs="Arial"/>
                      <w:b/>
                      <w:bCs/>
                      <w:color w:val="000000"/>
                      <w:sz w:val="20"/>
                    </w:rPr>
                    <w:t>Clerical</w:t>
                  </w:r>
                </w:p>
              </w:tc>
            </w:tr>
            <w:tr w14:paraId="65EE7409" w14:textId="77777777" w:rsidTr="008C18BA">
              <w:tblPrEx>
                <w:tblW w:w="5000" w:type="pct"/>
                <w:tblLook w:val="04A0"/>
              </w:tblPrEx>
              <w:trPr>
                <w:trHeight w:val="240"/>
              </w:trPr>
              <w:tc>
                <w:tcPr>
                  <w:tcW w:w="2091" w:type="pct"/>
                  <w:tcBorders>
                    <w:top w:val="nil"/>
                    <w:left w:val="single" w:sz="4" w:space="0" w:color="auto"/>
                    <w:bottom w:val="single" w:sz="4" w:space="0" w:color="auto"/>
                    <w:right w:val="single" w:sz="4" w:space="0" w:color="auto"/>
                  </w:tcBorders>
                  <w:shd w:val="clear" w:color="auto" w:fill="auto"/>
                  <w:noWrap/>
                  <w:vAlign w:val="bottom"/>
                  <w:hideMark/>
                </w:tcPr>
                <w:p w:rsidR="00B413C8" w:rsidRPr="00140782" w:rsidP="00B413C8" w14:paraId="59FB5E7D" w14:textId="77777777">
                  <w:pPr>
                    <w:keepNext/>
                    <w:keepLines/>
                    <w:spacing w:before="40" w:after="40"/>
                    <w:rPr>
                      <w:rFonts w:ascii="Arial Narrow" w:hAnsi="Arial Narrow" w:cs="Arial"/>
                      <w:color w:val="000000"/>
                      <w:sz w:val="20"/>
                    </w:rPr>
                  </w:pPr>
                  <w:r w:rsidRPr="00387BB2">
                    <w:rPr>
                      <w:rFonts w:cs="Arial"/>
                      <w:color w:val="000000"/>
                      <w:sz w:val="18"/>
                      <w:szCs w:val="18"/>
                    </w:rPr>
                    <w:t>Wages and Salaries</w:t>
                  </w:r>
                </w:p>
              </w:tc>
              <w:tc>
                <w:tcPr>
                  <w:tcW w:w="1168" w:type="pct"/>
                  <w:tcBorders>
                    <w:top w:val="nil"/>
                    <w:left w:val="nil"/>
                    <w:bottom w:val="single" w:sz="4" w:space="0" w:color="auto"/>
                    <w:right w:val="single" w:sz="4" w:space="0" w:color="auto"/>
                  </w:tcBorders>
                  <w:shd w:val="clear" w:color="auto" w:fill="auto"/>
                  <w:noWrap/>
                  <w:vAlign w:val="bottom"/>
                  <w:hideMark/>
                </w:tcPr>
                <w:p w:rsidR="00B413C8" w:rsidRPr="00944F4A" w:rsidP="00B413C8" w14:paraId="1B64B568" w14:textId="77777777">
                  <w:pPr>
                    <w:keepNext/>
                    <w:keepLines/>
                    <w:spacing w:before="40" w:after="40"/>
                    <w:jc w:val="center"/>
                    <w:rPr>
                      <w:rFonts w:ascii="Arial Narrow" w:hAnsi="Arial Narrow" w:cs="Arial"/>
                      <w:color w:val="000000"/>
                      <w:sz w:val="18"/>
                      <w:szCs w:val="18"/>
                    </w:rPr>
                  </w:pPr>
                  <w:r>
                    <w:rPr>
                      <w:rFonts w:cs="Arial"/>
                      <w:color w:val="000000"/>
                      <w:sz w:val="18"/>
                      <w:szCs w:val="18"/>
                    </w:rPr>
                    <w:t>$54.40</w:t>
                  </w:r>
                </w:p>
              </w:tc>
              <w:tc>
                <w:tcPr>
                  <w:tcW w:w="1168" w:type="pct"/>
                  <w:tcBorders>
                    <w:top w:val="nil"/>
                    <w:left w:val="nil"/>
                    <w:bottom w:val="single" w:sz="4" w:space="0" w:color="auto"/>
                    <w:right w:val="single" w:sz="4" w:space="0" w:color="auto"/>
                  </w:tcBorders>
                  <w:shd w:val="clear" w:color="auto" w:fill="auto"/>
                  <w:noWrap/>
                  <w:vAlign w:val="bottom"/>
                  <w:hideMark/>
                </w:tcPr>
                <w:p w:rsidR="00B413C8" w:rsidRPr="00944F4A" w:rsidP="00B413C8" w14:paraId="01902203" w14:textId="77777777">
                  <w:pPr>
                    <w:keepNext/>
                    <w:keepLines/>
                    <w:spacing w:before="40" w:after="40"/>
                    <w:jc w:val="center"/>
                    <w:rPr>
                      <w:rFonts w:ascii="Arial Narrow" w:hAnsi="Arial Narrow" w:cs="Arial"/>
                      <w:color w:val="000000"/>
                      <w:sz w:val="18"/>
                      <w:szCs w:val="18"/>
                    </w:rPr>
                  </w:pPr>
                  <w:r>
                    <w:rPr>
                      <w:rFonts w:cs="Arial"/>
                      <w:color w:val="000000"/>
                      <w:sz w:val="18"/>
                      <w:szCs w:val="18"/>
                    </w:rPr>
                    <w:t>$42.55</w:t>
                  </w:r>
                </w:p>
              </w:tc>
              <w:tc>
                <w:tcPr>
                  <w:tcW w:w="573" w:type="pct"/>
                  <w:tcBorders>
                    <w:top w:val="nil"/>
                    <w:left w:val="nil"/>
                    <w:bottom w:val="single" w:sz="4" w:space="0" w:color="auto"/>
                    <w:right w:val="single" w:sz="4" w:space="0" w:color="auto"/>
                  </w:tcBorders>
                  <w:shd w:val="clear" w:color="auto" w:fill="auto"/>
                  <w:noWrap/>
                  <w:vAlign w:val="bottom"/>
                  <w:hideMark/>
                </w:tcPr>
                <w:p w:rsidR="00B413C8" w:rsidRPr="00944F4A" w:rsidP="00B413C8" w14:paraId="11758EA8" w14:textId="77777777">
                  <w:pPr>
                    <w:keepNext/>
                    <w:keepLines/>
                    <w:spacing w:before="40" w:after="40"/>
                    <w:jc w:val="center"/>
                    <w:rPr>
                      <w:rFonts w:ascii="Arial Narrow" w:hAnsi="Arial Narrow" w:cs="Arial"/>
                      <w:color w:val="000000"/>
                      <w:sz w:val="18"/>
                      <w:szCs w:val="18"/>
                    </w:rPr>
                  </w:pPr>
                  <w:r>
                    <w:rPr>
                      <w:rFonts w:cs="Arial"/>
                      <w:color w:val="000000"/>
                      <w:sz w:val="18"/>
                      <w:szCs w:val="18"/>
                    </w:rPr>
                    <w:t>$21.84</w:t>
                  </w:r>
                </w:p>
              </w:tc>
            </w:tr>
            <w:tr w14:paraId="4E6BCEAF" w14:textId="77777777" w:rsidTr="008C18BA">
              <w:tblPrEx>
                <w:tblW w:w="5000" w:type="pct"/>
                <w:tblLook w:val="04A0"/>
              </w:tblPrEx>
              <w:trPr>
                <w:trHeight w:val="240"/>
              </w:trPr>
              <w:tc>
                <w:tcPr>
                  <w:tcW w:w="2091" w:type="pct"/>
                  <w:tcBorders>
                    <w:top w:val="nil"/>
                    <w:left w:val="single" w:sz="4" w:space="0" w:color="auto"/>
                    <w:bottom w:val="single" w:sz="4" w:space="0" w:color="auto"/>
                    <w:right w:val="single" w:sz="4" w:space="0" w:color="auto"/>
                  </w:tcBorders>
                  <w:shd w:val="clear" w:color="auto" w:fill="auto"/>
                  <w:noWrap/>
                  <w:vAlign w:val="bottom"/>
                  <w:hideMark/>
                </w:tcPr>
                <w:p w:rsidR="00B413C8" w:rsidRPr="00140782" w:rsidP="00B413C8" w14:paraId="07E65AAC" w14:textId="77777777">
                  <w:pPr>
                    <w:keepNext/>
                    <w:keepLines/>
                    <w:spacing w:before="40" w:after="40"/>
                    <w:rPr>
                      <w:rFonts w:ascii="Arial Narrow" w:hAnsi="Arial Narrow" w:cs="Arial"/>
                      <w:color w:val="000000"/>
                      <w:sz w:val="20"/>
                    </w:rPr>
                  </w:pPr>
                  <w:r w:rsidRPr="00387BB2">
                    <w:rPr>
                      <w:rFonts w:cs="Arial"/>
                      <w:color w:val="000000"/>
                      <w:sz w:val="18"/>
                      <w:szCs w:val="18"/>
                    </w:rPr>
                    <w:t>Total Benefits</w:t>
                  </w:r>
                </w:p>
              </w:tc>
              <w:tc>
                <w:tcPr>
                  <w:tcW w:w="1168" w:type="pct"/>
                  <w:tcBorders>
                    <w:top w:val="nil"/>
                    <w:left w:val="nil"/>
                    <w:bottom w:val="single" w:sz="4" w:space="0" w:color="auto"/>
                    <w:right w:val="single" w:sz="4" w:space="0" w:color="auto"/>
                  </w:tcBorders>
                  <w:shd w:val="clear" w:color="auto" w:fill="auto"/>
                  <w:noWrap/>
                  <w:vAlign w:val="bottom"/>
                  <w:hideMark/>
                </w:tcPr>
                <w:p w:rsidR="00B413C8" w:rsidRPr="00944F4A" w:rsidP="00B413C8" w14:paraId="2B3128BD" w14:textId="77777777">
                  <w:pPr>
                    <w:keepNext/>
                    <w:keepLines/>
                    <w:spacing w:before="40" w:after="40"/>
                    <w:jc w:val="center"/>
                    <w:rPr>
                      <w:rFonts w:ascii="Arial Narrow" w:hAnsi="Arial Narrow" w:cs="Arial"/>
                      <w:color w:val="000000"/>
                      <w:sz w:val="18"/>
                      <w:szCs w:val="18"/>
                    </w:rPr>
                  </w:pPr>
                  <w:r>
                    <w:rPr>
                      <w:rFonts w:cs="Arial"/>
                      <w:color w:val="000000"/>
                      <w:sz w:val="18"/>
                      <w:szCs w:val="18"/>
                    </w:rPr>
                    <w:t>$24.64</w:t>
                  </w:r>
                </w:p>
              </w:tc>
              <w:tc>
                <w:tcPr>
                  <w:tcW w:w="1168" w:type="pct"/>
                  <w:tcBorders>
                    <w:top w:val="nil"/>
                    <w:left w:val="nil"/>
                    <w:bottom w:val="single" w:sz="4" w:space="0" w:color="auto"/>
                    <w:right w:val="single" w:sz="4" w:space="0" w:color="auto"/>
                  </w:tcBorders>
                  <w:shd w:val="clear" w:color="auto" w:fill="auto"/>
                  <w:noWrap/>
                  <w:vAlign w:val="bottom"/>
                  <w:hideMark/>
                </w:tcPr>
                <w:p w:rsidR="00B413C8" w:rsidRPr="00944F4A" w:rsidP="00B413C8" w14:paraId="17F4B39A" w14:textId="77777777">
                  <w:pPr>
                    <w:keepNext/>
                    <w:keepLines/>
                    <w:spacing w:before="40" w:after="40"/>
                    <w:jc w:val="center"/>
                    <w:rPr>
                      <w:rFonts w:ascii="Arial Narrow" w:hAnsi="Arial Narrow" w:cs="Arial"/>
                      <w:color w:val="000000"/>
                      <w:sz w:val="18"/>
                      <w:szCs w:val="18"/>
                    </w:rPr>
                  </w:pPr>
                  <w:r>
                    <w:rPr>
                      <w:rFonts w:cs="Arial"/>
                      <w:color w:val="000000"/>
                      <w:sz w:val="18"/>
                      <w:szCs w:val="18"/>
                    </w:rPr>
                    <w:t>$18.46</w:t>
                  </w:r>
                </w:p>
              </w:tc>
              <w:tc>
                <w:tcPr>
                  <w:tcW w:w="573" w:type="pct"/>
                  <w:tcBorders>
                    <w:top w:val="nil"/>
                    <w:left w:val="nil"/>
                    <w:bottom w:val="single" w:sz="4" w:space="0" w:color="auto"/>
                    <w:right w:val="single" w:sz="4" w:space="0" w:color="auto"/>
                  </w:tcBorders>
                  <w:shd w:val="clear" w:color="auto" w:fill="auto"/>
                  <w:noWrap/>
                  <w:vAlign w:val="bottom"/>
                  <w:hideMark/>
                </w:tcPr>
                <w:p w:rsidR="00B413C8" w:rsidRPr="00944F4A" w:rsidP="00B413C8" w14:paraId="219AE5BA" w14:textId="77777777">
                  <w:pPr>
                    <w:keepNext/>
                    <w:keepLines/>
                    <w:spacing w:before="40" w:after="40"/>
                    <w:jc w:val="center"/>
                    <w:rPr>
                      <w:rFonts w:ascii="Arial Narrow" w:hAnsi="Arial Narrow" w:cs="Arial"/>
                      <w:color w:val="000000"/>
                      <w:sz w:val="18"/>
                      <w:szCs w:val="18"/>
                    </w:rPr>
                  </w:pPr>
                  <w:r>
                    <w:rPr>
                      <w:rFonts w:cs="Arial"/>
                      <w:color w:val="000000"/>
                      <w:sz w:val="18"/>
                      <w:szCs w:val="18"/>
                    </w:rPr>
                    <w:t>$9.44</w:t>
                  </w:r>
                </w:p>
              </w:tc>
            </w:tr>
            <w:tr w14:paraId="0FFA60D5" w14:textId="77777777" w:rsidTr="008C18BA">
              <w:tblPrEx>
                <w:tblW w:w="5000" w:type="pct"/>
                <w:tblLook w:val="04A0"/>
              </w:tblPrEx>
              <w:trPr>
                <w:trHeight w:val="240"/>
              </w:trPr>
              <w:tc>
                <w:tcPr>
                  <w:tcW w:w="2091" w:type="pct"/>
                  <w:tcBorders>
                    <w:top w:val="nil"/>
                    <w:left w:val="single" w:sz="4" w:space="0" w:color="auto"/>
                    <w:bottom w:val="single" w:sz="4" w:space="0" w:color="auto"/>
                    <w:right w:val="single" w:sz="4" w:space="0" w:color="auto"/>
                  </w:tcBorders>
                  <w:shd w:val="clear" w:color="auto" w:fill="auto"/>
                  <w:noWrap/>
                  <w:vAlign w:val="bottom"/>
                  <w:hideMark/>
                </w:tcPr>
                <w:p w:rsidR="00B413C8" w:rsidRPr="00140782" w:rsidP="00B413C8" w14:paraId="18E4FFAB" w14:textId="77777777">
                  <w:pPr>
                    <w:keepNext/>
                    <w:keepLines/>
                    <w:spacing w:before="40" w:after="40"/>
                    <w:rPr>
                      <w:rFonts w:ascii="Arial Narrow" w:hAnsi="Arial Narrow" w:cs="Arial"/>
                      <w:color w:val="000000"/>
                      <w:sz w:val="20"/>
                    </w:rPr>
                  </w:pPr>
                  <w:r w:rsidRPr="00387BB2">
                    <w:rPr>
                      <w:rFonts w:cs="Arial"/>
                      <w:color w:val="000000"/>
                      <w:sz w:val="18"/>
                      <w:szCs w:val="18"/>
                    </w:rPr>
                    <w:t>Overhead</w:t>
                  </w:r>
                </w:p>
              </w:tc>
              <w:tc>
                <w:tcPr>
                  <w:tcW w:w="1168" w:type="pct"/>
                  <w:tcBorders>
                    <w:top w:val="nil"/>
                    <w:left w:val="nil"/>
                    <w:bottom w:val="single" w:sz="4" w:space="0" w:color="auto"/>
                    <w:right w:val="single" w:sz="4" w:space="0" w:color="auto"/>
                  </w:tcBorders>
                  <w:shd w:val="clear" w:color="auto" w:fill="auto"/>
                  <w:noWrap/>
                  <w:vAlign w:val="bottom"/>
                  <w:hideMark/>
                </w:tcPr>
                <w:p w:rsidR="00B413C8" w:rsidRPr="00944F4A" w:rsidP="00B413C8" w14:paraId="243112C6" w14:textId="77777777">
                  <w:pPr>
                    <w:keepNext/>
                    <w:keepLines/>
                    <w:spacing w:before="40" w:after="40"/>
                    <w:jc w:val="center"/>
                    <w:rPr>
                      <w:rFonts w:ascii="Arial Narrow" w:hAnsi="Arial Narrow" w:cs="Arial"/>
                      <w:color w:val="000000"/>
                      <w:sz w:val="18"/>
                      <w:szCs w:val="18"/>
                    </w:rPr>
                  </w:pPr>
                  <w:r>
                    <w:rPr>
                      <w:rFonts w:cs="Arial"/>
                      <w:color w:val="000000"/>
                      <w:sz w:val="18"/>
                      <w:szCs w:val="18"/>
                    </w:rPr>
                    <w:t>$15.81</w:t>
                  </w:r>
                </w:p>
              </w:tc>
              <w:tc>
                <w:tcPr>
                  <w:tcW w:w="1168" w:type="pct"/>
                  <w:tcBorders>
                    <w:top w:val="nil"/>
                    <w:left w:val="nil"/>
                    <w:bottom w:val="single" w:sz="4" w:space="0" w:color="auto"/>
                    <w:right w:val="single" w:sz="4" w:space="0" w:color="auto"/>
                  </w:tcBorders>
                  <w:shd w:val="clear" w:color="auto" w:fill="auto"/>
                  <w:noWrap/>
                  <w:vAlign w:val="bottom"/>
                  <w:hideMark/>
                </w:tcPr>
                <w:p w:rsidR="00B413C8" w:rsidRPr="00944F4A" w:rsidP="00B413C8" w14:paraId="09A9ECA2" w14:textId="77777777">
                  <w:pPr>
                    <w:keepNext/>
                    <w:keepLines/>
                    <w:spacing w:before="40" w:after="40"/>
                    <w:jc w:val="center"/>
                    <w:rPr>
                      <w:rFonts w:ascii="Arial Narrow" w:hAnsi="Arial Narrow" w:cs="Arial"/>
                      <w:color w:val="000000"/>
                      <w:sz w:val="18"/>
                      <w:szCs w:val="18"/>
                    </w:rPr>
                  </w:pPr>
                  <w:r>
                    <w:rPr>
                      <w:rFonts w:cs="Arial"/>
                      <w:color w:val="000000"/>
                      <w:sz w:val="18"/>
                      <w:szCs w:val="18"/>
                    </w:rPr>
                    <w:t>$12.20</w:t>
                  </w:r>
                </w:p>
              </w:tc>
              <w:tc>
                <w:tcPr>
                  <w:tcW w:w="573" w:type="pct"/>
                  <w:tcBorders>
                    <w:top w:val="nil"/>
                    <w:left w:val="nil"/>
                    <w:bottom w:val="single" w:sz="4" w:space="0" w:color="auto"/>
                    <w:right w:val="single" w:sz="4" w:space="0" w:color="auto"/>
                  </w:tcBorders>
                  <w:shd w:val="clear" w:color="auto" w:fill="auto"/>
                  <w:noWrap/>
                  <w:vAlign w:val="bottom"/>
                  <w:hideMark/>
                </w:tcPr>
                <w:p w:rsidR="00B413C8" w:rsidRPr="00944F4A" w:rsidP="00B413C8" w14:paraId="56E7A6E4" w14:textId="77777777">
                  <w:pPr>
                    <w:keepNext/>
                    <w:keepLines/>
                    <w:spacing w:before="40" w:after="40"/>
                    <w:jc w:val="center"/>
                    <w:rPr>
                      <w:rFonts w:ascii="Arial Narrow" w:hAnsi="Arial Narrow" w:cs="Arial"/>
                      <w:color w:val="000000"/>
                      <w:sz w:val="18"/>
                      <w:szCs w:val="18"/>
                    </w:rPr>
                  </w:pPr>
                  <w:r>
                    <w:rPr>
                      <w:rFonts w:cs="Arial"/>
                      <w:color w:val="000000"/>
                      <w:sz w:val="18"/>
                      <w:szCs w:val="18"/>
                    </w:rPr>
                    <w:t>$6.26</w:t>
                  </w:r>
                </w:p>
              </w:tc>
            </w:tr>
            <w:tr w14:paraId="0B8976A2" w14:textId="77777777" w:rsidTr="008C18BA">
              <w:tblPrEx>
                <w:tblW w:w="5000" w:type="pct"/>
                <w:tblLook w:val="04A0"/>
              </w:tblPrEx>
              <w:trPr>
                <w:trHeight w:val="240"/>
              </w:trPr>
              <w:tc>
                <w:tcPr>
                  <w:tcW w:w="2091" w:type="pct"/>
                  <w:tcBorders>
                    <w:top w:val="nil"/>
                    <w:left w:val="single" w:sz="4" w:space="0" w:color="auto"/>
                    <w:bottom w:val="single" w:sz="4" w:space="0" w:color="auto"/>
                    <w:right w:val="single" w:sz="4" w:space="0" w:color="auto"/>
                  </w:tcBorders>
                  <w:shd w:val="clear" w:color="auto" w:fill="auto"/>
                  <w:noWrap/>
                  <w:vAlign w:val="bottom"/>
                  <w:hideMark/>
                </w:tcPr>
                <w:p w:rsidR="00B413C8" w:rsidRPr="00140782" w:rsidP="00B413C8" w14:paraId="1361835A" w14:textId="77777777">
                  <w:pPr>
                    <w:keepNext/>
                    <w:keepLines/>
                    <w:spacing w:before="40" w:after="40"/>
                    <w:rPr>
                      <w:rFonts w:ascii="Arial Narrow" w:hAnsi="Arial Narrow" w:cs="Arial"/>
                      <w:color w:val="000000"/>
                      <w:sz w:val="20"/>
                    </w:rPr>
                  </w:pPr>
                  <w:r w:rsidRPr="00387BB2">
                    <w:rPr>
                      <w:rFonts w:cs="Arial"/>
                      <w:color w:val="000000"/>
                      <w:sz w:val="18"/>
                      <w:szCs w:val="18"/>
                    </w:rPr>
                    <w:t xml:space="preserve">Total Loaded Hourly </w:t>
                  </w:r>
                  <w:r w:rsidRPr="00387BB2">
                    <w:rPr>
                      <w:rFonts w:cs="Arial"/>
                      <w:color w:val="000000"/>
                      <w:sz w:val="18"/>
                      <w:szCs w:val="18"/>
                    </w:rPr>
                    <w:t>Wage Rate</w:t>
                  </w:r>
                </w:p>
              </w:tc>
              <w:tc>
                <w:tcPr>
                  <w:tcW w:w="1168" w:type="pct"/>
                  <w:tcBorders>
                    <w:top w:val="nil"/>
                    <w:left w:val="nil"/>
                    <w:bottom w:val="single" w:sz="4" w:space="0" w:color="auto"/>
                    <w:right w:val="single" w:sz="4" w:space="0" w:color="auto"/>
                  </w:tcBorders>
                  <w:shd w:val="clear" w:color="auto" w:fill="auto"/>
                  <w:noWrap/>
                  <w:vAlign w:val="bottom"/>
                  <w:hideMark/>
                </w:tcPr>
                <w:p w:rsidR="00B413C8" w:rsidRPr="00944F4A" w:rsidP="00B413C8" w14:paraId="1EF8E179" w14:textId="77777777">
                  <w:pPr>
                    <w:keepNext/>
                    <w:keepLines/>
                    <w:spacing w:before="40" w:after="40"/>
                    <w:jc w:val="center"/>
                    <w:rPr>
                      <w:rFonts w:ascii="Arial Narrow" w:hAnsi="Arial Narrow" w:cs="Arial"/>
                      <w:color w:val="000000"/>
                      <w:sz w:val="18"/>
                      <w:szCs w:val="18"/>
                    </w:rPr>
                  </w:pPr>
                  <w:r>
                    <w:rPr>
                      <w:rFonts w:cs="Arial"/>
                      <w:color w:val="000000"/>
                      <w:sz w:val="18"/>
                      <w:szCs w:val="18"/>
                    </w:rPr>
                    <w:t>$94.85</w:t>
                  </w:r>
                </w:p>
              </w:tc>
              <w:tc>
                <w:tcPr>
                  <w:tcW w:w="1168" w:type="pct"/>
                  <w:tcBorders>
                    <w:top w:val="nil"/>
                    <w:left w:val="nil"/>
                    <w:bottom w:val="single" w:sz="4" w:space="0" w:color="auto"/>
                    <w:right w:val="single" w:sz="4" w:space="0" w:color="auto"/>
                  </w:tcBorders>
                  <w:shd w:val="clear" w:color="auto" w:fill="auto"/>
                  <w:noWrap/>
                  <w:vAlign w:val="bottom"/>
                  <w:hideMark/>
                </w:tcPr>
                <w:p w:rsidR="00B413C8" w:rsidRPr="00944F4A" w:rsidP="00B413C8" w14:paraId="4CEEA743" w14:textId="77777777">
                  <w:pPr>
                    <w:keepNext/>
                    <w:keepLines/>
                    <w:spacing w:before="40" w:after="40"/>
                    <w:jc w:val="center"/>
                    <w:rPr>
                      <w:rFonts w:ascii="Arial Narrow" w:hAnsi="Arial Narrow" w:cs="Arial"/>
                      <w:color w:val="000000"/>
                      <w:sz w:val="18"/>
                      <w:szCs w:val="18"/>
                    </w:rPr>
                  </w:pPr>
                  <w:r>
                    <w:rPr>
                      <w:rFonts w:cs="Arial"/>
                      <w:color w:val="000000"/>
                      <w:sz w:val="18"/>
                      <w:szCs w:val="18"/>
                    </w:rPr>
                    <w:t>$73.21</w:t>
                  </w:r>
                </w:p>
              </w:tc>
              <w:tc>
                <w:tcPr>
                  <w:tcW w:w="573" w:type="pct"/>
                  <w:tcBorders>
                    <w:top w:val="nil"/>
                    <w:left w:val="nil"/>
                    <w:bottom w:val="single" w:sz="4" w:space="0" w:color="auto"/>
                    <w:right w:val="single" w:sz="4" w:space="0" w:color="auto"/>
                  </w:tcBorders>
                  <w:shd w:val="clear" w:color="auto" w:fill="auto"/>
                  <w:noWrap/>
                  <w:vAlign w:val="bottom"/>
                  <w:hideMark/>
                </w:tcPr>
                <w:p w:rsidR="00B413C8" w:rsidRPr="00944F4A" w:rsidP="00B413C8" w14:paraId="7A939A0A" w14:textId="77777777">
                  <w:pPr>
                    <w:keepNext/>
                    <w:keepLines/>
                    <w:spacing w:before="40" w:after="40"/>
                    <w:jc w:val="center"/>
                    <w:rPr>
                      <w:rFonts w:ascii="Arial Narrow" w:hAnsi="Arial Narrow" w:cs="Arial"/>
                      <w:color w:val="000000"/>
                      <w:sz w:val="18"/>
                      <w:szCs w:val="18"/>
                    </w:rPr>
                  </w:pPr>
                  <w:r>
                    <w:rPr>
                      <w:rFonts w:cs="Arial"/>
                      <w:color w:val="000000"/>
                      <w:sz w:val="18"/>
                      <w:szCs w:val="18"/>
                    </w:rPr>
                    <w:t>$37.54</w:t>
                  </w:r>
                </w:p>
              </w:tc>
            </w:tr>
            <w:tr w14:paraId="50D91181" w14:textId="77777777" w:rsidTr="008C18BA">
              <w:tblPrEx>
                <w:tblW w:w="5000" w:type="pct"/>
                <w:tblLook w:val="04A0"/>
              </w:tblPrEx>
              <w:trPr>
                <w:trHeight w:val="240"/>
              </w:trPr>
              <w:tc>
                <w:tcPr>
                  <w:tcW w:w="2091" w:type="pct"/>
                  <w:tcBorders>
                    <w:top w:val="nil"/>
                    <w:left w:val="single" w:sz="4" w:space="0" w:color="auto"/>
                    <w:bottom w:val="single" w:sz="4" w:space="0" w:color="auto"/>
                    <w:right w:val="single" w:sz="4" w:space="0" w:color="auto"/>
                  </w:tcBorders>
                  <w:shd w:val="clear" w:color="auto" w:fill="auto"/>
                  <w:noWrap/>
                  <w:vAlign w:val="bottom"/>
                  <w:hideMark/>
                </w:tcPr>
                <w:p w:rsidR="00B413C8" w:rsidRPr="00140782" w:rsidP="00B413C8" w14:paraId="3398E837" w14:textId="77777777">
                  <w:pPr>
                    <w:keepNext/>
                    <w:keepLines/>
                    <w:spacing w:before="40" w:after="40"/>
                    <w:rPr>
                      <w:rFonts w:ascii="Arial Narrow" w:hAnsi="Arial Narrow" w:cs="Arial"/>
                      <w:color w:val="000000"/>
                      <w:sz w:val="20"/>
                    </w:rPr>
                  </w:pPr>
                  <w:r w:rsidRPr="00387BB2">
                    <w:rPr>
                      <w:rFonts w:cs="Arial"/>
                      <w:color w:val="000000"/>
                      <w:sz w:val="18"/>
                      <w:szCs w:val="18"/>
                    </w:rPr>
                    <w:t>Labor Burden Weights</w:t>
                  </w:r>
                </w:p>
              </w:tc>
              <w:tc>
                <w:tcPr>
                  <w:tcW w:w="1168" w:type="pct"/>
                  <w:tcBorders>
                    <w:top w:val="nil"/>
                    <w:left w:val="nil"/>
                    <w:bottom w:val="single" w:sz="4" w:space="0" w:color="auto"/>
                    <w:right w:val="single" w:sz="4" w:space="0" w:color="auto"/>
                  </w:tcBorders>
                  <w:shd w:val="clear" w:color="auto" w:fill="auto"/>
                  <w:noWrap/>
                  <w:vAlign w:val="bottom"/>
                  <w:hideMark/>
                </w:tcPr>
                <w:p w:rsidR="00B413C8" w:rsidRPr="00F3639C" w:rsidP="00B413C8" w14:paraId="0C1144C6" w14:textId="77777777">
                  <w:pPr>
                    <w:keepNext/>
                    <w:keepLines/>
                    <w:spacing w:before="40" w:after="40"/>
                    <w:jc w:val="center"/>
                    <w:rPr>
                      <w:rFonts w:ascii="Arial Narrow" w:hAnsi="Arial Narrow" w:cs="Arial"/>
                      <w:color w:val="000000"/>
                      <w:sz w:val="18"/>
                      <w:szCs w:val="18"/>
                    </w:rPr>
                  </w:pPr>
                  <w:r>
                    <w:rPr>
                      <w:rFonts w:cs="Arial"/>
                      <w:color w:val="000000"/>
                      <w:sz w:val="18"/>
                      <w:szCs w:val="18"/>
                    </w:rPr>
                    <w:t>0.03</w:t>
                  </w:r>
                </w:p>
              </w:tc>
              <w:tc>
                <w:tcPr>
                  <w:tcW w:w="1168" w:type="pct"/>
                  <w:tcBorders>
                    <w:top w:val="nil"/>
                    <w:left w:val="nil"/>
                    <w:bottom w:val="single" w:sz="4" w:space="0" w:color="auto"/>
                    <w:right w:val="single" w:sz="4" w:space="0" w:color="auto"/>
                  </w:tcBorders>
                  <w:shd w:val="clear" w:color="auto" w:fill="auto"/>
                  <w:noWrap/>
                  <w:vAlign w:val="bottom"/>
                  <w:hideMark/>
                </w:tcPr>
                <w:p w:rsidR="00B413C8" w:rsidRPr="00F3639C" w:rsidP="00B413C8" w14:paraId="0D881BA7" w14:textId="77777777">
                  <w:pPr>
                    <w:keepNext/>
                    <w:keepLines/>
                    <w:spacing w:before="40" w:after="40"/>
                    <w:jc w:val="center"/>
                    <w:rPr>
                      <w:rFonts w:ascii="Arial Narrow" w:hAnsi="Arial Narrow" w:cs="Arial"/>
                      <w:color w:val="000000"/>
                      <w:sz w:val="18"/>
                      <w:szCs w:val="18"/>
                    </w:rPr>
                  </w:pPr>
                  <w:r>
                    <w:rPr>
                      <w:rFonts w:cs="Arial"/>
                      <w:color w:val="000000"/>
                      <w:sz w:val="18"/>
                      <w:szCs w:val="18"/>
                    </w:rPr>
                    <w:t>0.89</w:t>
                  </w:r>
                </w:p>
              </w:tc>
              <w:tc>
                <w:tcPr>
                  <w:tcW w:w="573" w:type="pct"/>
                  <w:tcBorders>
                    <w:top w:val="nil"/>
                    <w:left w:val="nil"/>
                    <w:bottom w:val="single" w:sz="4" w:space="0" w:color="auto"/>
                    <w:right w:val="single" w:sz="4" w:space="0" w:color="auto"/>
                  </w:tcBorders>
                  <w:shd w:val="clear" w:color="auto" w:fill="auto"/>
                  <w:noWrap/>
                  <w:vAlign w:val="bottom"/>
                  <w:hideMark/>
                </w:tcPr>
                <w:p w:rsidR="00B413C8" w:rsidRPr="00F3639C" w:rsidP="00B413C8" w14:paraId="3999803A" w14:textId="77777777">
                  <w:pPr>
                    <w:keepNext/>
                    <w:keepLines/>
                    <w:spacing w:before="40" w:after="40"/>
                    <w:jc w:val="center"/>
                    <w:rPr>
                      <w:rFonts w:ascii="Arial Narrow" w:hAnsi="Arial Narrow" w:cs="Arial"/>
                      <w:color w:val="000000"/>
                      <w:sz w:val="18"/>
                      <w:szCs w:val="18"/>
                    </w:rPr>
                  </w:pPr>
                  <w:r>
                    <w:rPr>
                      <w:rFonts w:cs="Arial"/>
                      <w:color w:val="000000"/>
                      <w:sz w:val="18"/>
                      <w:szCs w:val="18"/>
                    </w:rPr>
                    <w:t>0.08</w:t>
                  </w:r>
                </w:p>
              </w:tc>
            </w:tr>
            <w:tr w14:paraId="07370C00" w14:textId="77777777" w:rsidTr="007912E3">
              <w:tblPrEx>
                <w:tblW w:w="5000" w:type="pct"/>
                <w:tblLook w:val="04A0"/>
              </w:tblPrEx>
              <w:trPr>
                <w:trHeight w:val="240"/>
              </w:trPr>
              <w:tc>
                <w:tcPr>
                  <w:tcW w:w="20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3C8" w:rsidRPr="00140782" w:rsidP="00B413C8" w14:paraId="328152F0" w14:textId="77777777">
                  <w:pPr>
                    <w:keepNext/>
                    <w:keepLines/>
                    <w:spacing w:before="40" w:after="40"/>
                    <w:rPr>
                      <w:rFonts w:ascii="Arial Narrow" w:hAnsi="Arial Narrow" w:cs="Arial"/>
                      <w:color w:val="000000"/>
                      <w:sz w:val="20"/>
                    </w:rPr>
                  </w:pPr>
                  <w:r w:rsidRPr="00387BB2">
                    <w:rPr>
                      <w:rFonts w:cs="Arial"/>
                      <w:color w:val="000000"/>
                      <w:sz w:val="18"/>
                      <w:szCs w:val="18"/>
                    </w:rPr>
                    <w:t>Weighted Average Wage Rate (WAWR)</w:t>
                  </w:r>
                </w:p>
              </w:tc>
              <w:tc>
                <w:tcPr>
                  <w:tcW w:w="2909" w:type="pct"/>
                  <w:gridSpan w:val="3"/>
                  <w:tcBorders>
                    <w:top w:val="single" w:sz="4" w:space="0" w:color="auto"/>
                    <w:left w:val="nil"/>
                    <w:bottom w:val="single" w:sz="4" w:space="0" w:color="auto"/>
                    <w:right w:val="single" w:sz="4" w:space="0" w:color="auto"/>
                  </w:tcBorders>
                  <w:shd w:val="clear" w:color="auto" w:fill="auto"/>
                  <w:noWrap/>
                  <w:vAlign w:val="center"/>
                  <w:hideMark/>
                </w:tcPr>
                <w:p w:rsidR="00B413C8" w:rsidRPr="00140782" w:rsidP="00B413C8" w14:paraId="26578932" w14:textId="77777777">
                  <w:pPr>
                    <w:keepNext/>
                    <w:keepLines/>
                    <w:spacing w:before="40" w:after="40"/>
                    <w:jc w:val="center"/>
                    <w:rPr>
                      <w:rFonts w:ascii="Arial Narrow" w:hAnsi="Arial Narrow" w:cs="Arial"/>
                      <w:color w:val="000000"/>
                      <w:sz w:val="20"/>
                      <w:vertAlign w:val="superscript"/>
                    </w:rPr>
                  </w:pPr>
                  <w:r w:rsidRPr="00387BB2">
                    <w:rPr>
                      <w:rFonts w:cs="Arial"/>
                      <w:color w:val="000000"/>
                      <w:sz w:val="18"/>
                      <w:szCs w:val="18"/>
                    </w:rPr>
                    <w:t>$</w:t>
                  </w:r>
                  <w:r>
                    <w:rPr>
                      <w:rFonts w:cs="Arial"/>
                      <w:color w:val="000000"/>
                      <w:sz w:val="18"/>
                      <w:szCs w:val="18"/>
                    </w:rPr>
                    <w:t>71.04</w:t>
                  </w:r>
                  <w:r w:rsidRPr="00387BB2">
                    <w:rPr>
                      <w:rFonts w:cs="Arial"/>
                      <w:color w:val="000000"/>
                      <w:sz w:val="18"/>
                      <w:szCs w:val="18"/>
                      <w:vertAlign w:val="superscript"/>
                    </w:rPr>
                    <w:t>a</w:t>
                  </w:r>
                </w:p>
              </w:tc>
            </w:tr>
          </w:tbl>
          <w:p w:rsidR="005F716E" w:rsidRPr="00170E55" w:rsidP="00170E55" w14:paraId="65D3FE64" w14:textId="77777777">
            <w:pPr>
              <w:pStyle w:val="BodyText"/>
              <w:keepNext/>
              <w:jc w:val="left"/>
              <w:rPr>
                <w:b w:val="0"/>
                <w:bCs w:val="0"/>
                <w:sz w:val="20"/>
              </w:rPr>
            </w:pPr>
            <w:r w:rsidRPr="005F716E">
              <w:rPr>
                <w:b w:val="0"/>
                <w:bCs w:val="0"/>
                <w:sz w:val="20"/>
                <w:vertAlign w:val="superscript"/>
              </w:rPr>
              <w:t xml:space="preserve">a </w:t>
            </w:r>
            <w:r w:rsidRPr="005F716E">
              <w:rPr>
                <w:b w:val="0"/>
                <w:bCs w:val="0"/>
                <w:sz w:val="20"/>
              </w:rPr>
              <w:t>Individual numbers may not add to the total due to rounding.</w:t>
            </w:r>
          </w:p>
        </w:tc>
      </w:tr>
    </w:tbl>
    <w:p w:rsidR="0068682B" w:rsidRPr="00444F9D" w:rsidP="00246FA0" w14:paraId="10117698" w14:textId="77777777">
      <w:pPr>
        <w:tabs>
          <w:tab w:val="left" w:pos="7110"/>
        </w:tabs>
        <w:spacing w:after="200" w:line="276" w:lineRule="auto"/>
        <w:ind w:left="427"/>
        <w:rPr>
          <w:rFonts w:cs="Arial"/>
        </w:rPr>
      </w:pPr>
    </w:p>
    <w:p w:rsidR="007459F0" w:rsidRPr="00444F9D" w:rsidP="00246FA0" w14:paraId="08FF6AC2" w14:textId="77777777">
      <w:pPr>
        <w:spacing w:after="200" w:line="276" w:lineRule="auto"/>
        <w:rPr>
          <w:rFonts w:cs="Arial"/>
        </w:rPr>
      </w:pPr>
      <w:r w:rsidRPr="00444F9D">
        <w:rPr>
          <w:rFonts w:cs="Arial"/>
        </w:rPr>
        <w:t xml:space="preserve">To estimate the incremental cost of the </w:t>
      </w:r>
      <w:r w:rsidR="00893872">
        <w:rPr>
          <w:rFonts w:cs="Arial"/>
        </w:rPr>
        <w:t xml:space="preserve">final </w:t>
      </w:r>
      <w:r w:rsidRPr="00444F9D">
        <w:rPr>
          <w:rFonts w:cs="Arial"/>
        </w:rPr>
        <w:t xml:space="preserve">rule, total first year and total steady state industry incremental reporting burden is multiplied by the </w:t>
      </w:r>
      <w:r w:rsidRPr="00444F9D">
        <w:rPr>
          <w:rFonts w:cs="Arial"/>
          <w:i/>
        </w:rPr>
        <w:t xml:space="preserve">WAWR </w:t>
      </w:r>
      <w:r w:rsidRPr="00444F9D">
        <w:rPr>
          <w:rFonts w:cs="Arial"/>
        </w:rPr>
        <w:t xml:space="preserve">(see </w:t>
      </w:r>
      <w:r w:rsidRPr="00444F9D" w:rsidR="0096532B">
        <w:rPr>
          <w:rFonts w:cs="Arial"/>
        </w:rPr>
        <w:t>Table 5)</w:t>
      </w:r>
      <w:r w:rsidRPr="00444F9D">
        <w:rPr>
          <w:rFonts w:cs="Arial"/>
        </w:rPr>
        <w:t xml:space="preserve">; the first year and steady state incremental costs are presented in </w:t>
      </w:r>
      <w:r w:rsidRPr="00444F9D">
        <w:rPr>
          <w:rFonts w:cs="Arial"/>
        </w:rPr>
        <w:fldChar w:fldCharType="begin"/>
      </w:r>
      <w:r w:rsidRPr="00444F9D">
        <w:rPr>
          <w:rFonts w:cs="Arial"/>
        </w:rPr>
        <w:instrText xml:space="preserve"> REF _Ref431987436 \h  \* MERGEFORMAT </w:instrText>
      </w:r>
      <w:r w:rsidRPr="00444F9D">
        <w:rPr>
          <w:rFonts w:cs="Arial"/>
        </w:rPr>
        <w:fldChar w:fldCharType="separate"/>
      </w:r>
      <w:r w:rsidRPr="00444F9D">
        <w:rPr>
          <w:rFonts w:cs="Arial"/>
        </w:rPr>
        <w:t xml:space="preserve">Table </w:t>
      </w:r>
      <w:r w:rsidRPr="00444F9D" w:rsidR="0096532B">
        <w:rPr>
          <w:rFonts w:cs="Arial"/>
        </w:rPr>
        <w:t>6</w:t>
      </w:r>
      <w:r w:rsidRPr="00444F9D">
        <w:rPr>
          <w:rFonts w:cs="Arial"/>
        </w:rPr>
        <w:fldChar w:fldCharType="end"/>
      </w:r>
      <w:r w:rsidRPr="00444F9D">
        <w:rPr>
          <w:rFonts w:cs="Arial"/>
        </w:rPr>
        <w:t xml:space="preserve"> for the lower and upper bound estimates.</w:t>
      </w:r>
    </w:p>
    <w:p w:rsidR="007459F0" w:rsidRPr="00444F9D" w:rsidP="00246FA0" w14:paraId="49AF372B" w14:textId="77777777">
      <w:pPr>
        <w:keepNext/>
        <w:keepLines/>
        <w:widowControl w:val="0"/>
        <w:tabs>
          <w:tab w:val="left" w:pos="1440"/>
        </w:tabs>
        <w:spacing w:after="200" w:line="276" w:lineRule="auto"/>
        <w:ind w:left="1440" w:hanging="1440"/>
        <w:jc w:val="center"/>
        <w:rPr>
          <w:rFonts w:cs="Arial"/>
          <w:b/>
          <w:bCs/>
        </w:rPr>
      </w:pPr>
      <w:r w:rsidRPr="00444F9D">
        <w:rPr>
          <w:rFonts w:cs="Arial"/>
          <w:b/>
          <w:bCs/>
        </w:rPr>
        <w:t>Table 6</w:t>
      </w:r>
    </w:p>
    <w:p w:rsidR="007459F0" w:rsidRPr="00444F9D" w:rsidP="00246FA0" w14:paraId="61E44A48" w14:textId="77777777">
      <w:pPr>
        <w:keepNext/>
        <w:keepLines/>
        <w:widowControl w:val="0"/>
        <w:tabs>
          <w:tab w:val="left" w:pos="1440"/>
        </w:tabs>
        <w:spacing w:after="200" w:line="276" w:lineRule="auto"/>
        <w:ind w:left="1440" w:hanging="1440"/>
        <w:jc w:val="center"/>
        <w:rPr>
          <w:rFonts w:cs="Arial"/>
          <w:b/>
          <w:bCs/>
        </w:rPr>
      </w:pPr>
      <w:r w:rsidRPr="00444F9D">
        <w:rPr>
          <w:rFonts w:cs="Arial"/>
          <w:b/>
          <w:bCs/>
        </w:rPr>
        <w:t xml:space="preserve">Total First Year and Steady State Incremental Industry Cost under the </w:t>
      </w:r>
      <w:r w:rsidR="00893872">
        <w:rPr>
          <w:rFonts w:cs="Arial"/>
          <w:b/>
          <w:bCs/>
        </w:rPr>
        <w:t>Final</w:t>
      </w:r>
      <w:r w:rsidRPr="00444F9D" w:rsidR="00893872">
        <w:rPr>
          <w:rFonts w:cs="Arial"/>
          <w:b/>
          <w:bCs/>
        </w:rPr>
        <w:t xml:space="preserve"> </w:t>
      </w:r>
      <w:r w:rsidRPr="00444F9D">
        <w:rPr>
          <w:rFonts w:cs="Arial"/>
          <w:b/>
          <w:bCs/>
        </w:rPr>
        <w:t>Rule</w:t>
      </w:r>
    </w:p>
    <w:tbl>
      <w:tblPr>
        <w:tblW w:w="5000" w:type="pct"/>
        <w:tblLook w:val="04A0"/>
      </w:tblPr>
      <w:tblGrid>
        <w:gridCol w:w="1286"/>
        <w:gridCol w:w="1116"/>
        <w:gridCol w:w="2824"/>
        <w:gridCol w:w="1975"/>
        <w:gridCol w:w="2149"/>
      </w:tblGrid>
      <w:tr w14:paraId="5CCE11A5" w14:textId="77777777" w:rsidTr="007A0017">
        <w:tblPrEx>
          <w:tblW w:w="5000" w:type="pct"/>
          <w:tblLook w:val="04A0"/>
        </w:tblPrEx>
        <w:trPr>
          <w:cantSplit/>
          <w:trHeight w:val="288"/>
          <w:tblHeader/>
        </w:trPr>
        <w:tc>
          <w:tcPr>
            <w:tcW w:w="688" w:type="pct"/>
            <w:tcBorders>
              <w:top w:val="single" w:sz="4" w:space="0" w:color="auto"/>
              <w:left w:val="single" w:sz="4" w:space="0" w:color="auto"/>
              <w:right w:val="single" w:sz="4" w:space="0" w:color="auto"/>
            </w:tcBorders>
            <w:shd w:val="clear" w:color="auto" w:fill="D0D3D4"/>
            <w:vAlign w:val="center"/>
          </w:tcPr>
          <w:p w:rsidR="005F716E" w:rsidRPr="002402D1" w:rsidP="007912E3" w14:paraId="0E0287F2" w14:textId="77777777">
            <w:pPr>
              <w:keepNext/>
              <w:spacing w:before="48" w:beforeLines="20" w:after="48" w:afterLines="20"/>
              <w:jc w:val="center"/>
              <w:rPr>
                <w:rFonts w:cs="Arial"/>
                <w:b/>
                <w:bCs/>
                <w:color w:val="000000"/>
                <w:sz w:val="20"/>
              </w:rPr>
            </w:pPr>
            <w:r w:rsidRPr="002402D1">
              <w:rPr>
                <w:rFonts w:cs="Arial"/>
                <w:b/>
                <w:bCs/>
                <w:color w:val="000000"/>
                <w:sz w:val="20"/>
              </w:rPr>
              <w:t>Scenario</w:t>
            </w:r>
          </w:p>
        </w:tc>
        <w:tc>
          <w:tcPr>
            <w:tcW w:w="597" w:type="pct"/>
            <w:tcBorders>
              <w:top w:val="single" w:sz="4" w:space="0" w:color="auto"/>
              <w:left w:val="single" w:sz="4" w:space="0" w:color="auto"/>
              <w:right w:val="single" w:sz="4" w:space="0" w:color="auto"/>
            </w:tcBorders>
            <w:shd w:val="clear" w:color="auto" w:fill="D0D3D4"/>
            <w:vAlign w:val="center"/>
          </w:tcPr>
          <w:p w:rsidR="005F716E" w:rsidRPr="002402D1" w:rsidP="007912E3" w14:paraId="122615F3" w14:textId="77777777">
            <w:pPr>
              <w:keepNext/>
              <w:spacing w:before="48" w:beforeLines="20" w:after="48" w:afterLines="20"/>
              <w:jc w:val="center"/>
              <w:rPr>
                <w:rFonts w:cs="Arial"/>
                <w:b/>
                <w:bCs/>
                <w:color w:val="000000"/>
                <w:sz w:val="20"/>
              </w:rPr>
            </w:pPr>
            <w:r w:rsidRPr="002402D1">
              <w:rPr>
                <w:rFonts w:cs="Arial"/>
                <w:b/>
                <w:bCs/>
                <w:color w:val="000000"/>
                <w:sz w:val="20"/>
              </w:rPr>
              <w:t>Facilities</w:t>
            </w:r>
          </w:p>
        </w:tc>
        <w:tc>
          <w:tcPr>
            <w:tcW w:w="1510" w:type="pct"/>
            <w:tcBorders>
              <w:top w:val="single" w:sz="4" w:space="0" w:color="auto"/>
              <w:left w:val="single" w:sz="4" w:space="0" w:color="auto"/>
              <w:right w:val="single" w:sz="4" w:space="0" w:color="auto"/>
            </w:tcBorders>
            <w:shd w:val="clear" w:color="auto" w:fill="D0D3D4"/>
            <w:vAlign w:val="center"/>
          </w:tcPr>
          <w:p w:rsidR="005F716E" w:rsidRPr="002402D1" w:rsidP="007912E3" w14:paraId="5A24C63F" w14:textId="77777777">
            <w:pPr>
              <w:keepNext/>
              <w:spacing w:before="48" w:beforeLines="20" w:after="48" w:afterLines="20"/>
              <w:jc w:val="center"/>
              <w:rPr>
                <w:rFonts w:cs="Arial"/>
                <w:b/>
                <w:bCs/>
                <w:color w:val="000000"/>
                <w:sz w:val="20"/>
              </w:rPr>
            </w:pPr>
            <w:r w:rsidRPr="002402D1">
              <w:rPr>
                <w:rFonts w:cs="Arial"/>
                <w:b/>
                <w:bCs/>
                <w:color w:val="000000"/>
                <w:sz w:val="20"/>
              </w:rPr>
              <w:t>Total Number of Form Rs</w:t>
            </w:r>
          </w:p>
        </w:tc>
        <w:tc>
          <w:tcPr>
            <w:tcW w:w="1056" w:type="pct"/>
            <w:tcBorders>
              <w:top w:val="single" w:sz="4" w:space="0" w:color="auto"/>
              <w:left w:val="single" w:sz="4" w:space="0" w:color="auto"/>
              <w:right w:val="single" w:sz="4" w:space="0" w:color="auto"/>
            </w:tcBorders>
            <w:shd w:val="clear" w:color="auto" w:fill="D0D3D4"/>
            <w:vAlign w:val="center"/>
          </w:tcPr>
          <w:p w:rsidR="005F716E" w:rsidRPr="002402D1" w:rsidP="007912E3" w14:paraId="4FD636DA" w14:textId="77777777">
            <w:pPr>
              <w:keepNext/>
              <w:spacing w:before="48" w:beforeLines="20" w:after="48" w:afterLines="20"/>
              <w:jc w:val="center"/>
              <w:rPr>
                <w:rFonts w:cs="Arial"/>
                <w:b/>
                <w:bCs/>
                <w:color w:val="000000"/>
                <w:sz w:val="20"/>
                <w:vertAlign w:val="superscript"/>
              </w:rPr>
            </w:pPr>
            <w:r w:rsidRPr="002402D1">
              <w:rPr>
                <w:rFonts w:cs="Arial"/>
                <w:b/>
                <w:bCs/>
                <w:color w:val="000000"/>
                <w:sz w:val="20"/>
              </w:rPr>
              <w:t>First Year Cost</w:t>
            </w:r>
          </w:p>
        </w:tc>
        <w:tc>
          <w:tcPr>
            <w:tcW w:w="1149" w:type="pct"/>
            <w:tcBorders>
              <w:top w:val="single" w:sz="4" w:space="0" w:color="auto"/>
              <w:left w:val="single" w:sz="4" w:space="0" w:color="auto"/>
              <w:right w:val="single" w:sz="4" w:space="0" w:color="auto"/>
            </w:tcBorders>
            <w:shd w:val="clear" w:color="auto" w:fill="D0D3D4"/>
            <w:vAlign w:val="center"/>
          </w:tcPr>
          <w:p w:rsidR="005F716E" w:rsidRPr="002402D1" w:rsidP="007912E3" w14:paraId="68032C79" w14:textId="77777777">
            <w:pPr>
              <w:keepNext/>
              <w:spacing w:before="48" w:beforeLines="20" w:after="48" w:afterLines="20"/>
              <w:jc w:val="center"/>
              <w:rPr>
                <w:rFonts w:cs="Arial"/>
                <w:b/>
                <w:bCs/>
                <w:color w:val="000000"/>
                <w:sz w:val="20"/>
                <w:vertAlign w:val="superscript"/>
              </w:rPr>
            </w:pPr>
            <w:r w:rsidRPr="002402D1">
              <w:rPr>
                <w:rFonts w:cs="Arial"/>
                <w:b/>
                <w:bCs/>
                <w:color w:val="000000"/>
                <w:sz w:val="20"/>
              </w:rPr>
              <w:t>Steady State Cost</w:t>
            </w:r>
          </w:p>
        </w:tc>
      </w:tr>
      <w:tr w14:paraId="4138F075" w14:textId="77777777" w:rsidTr="007A0017">
        <w:tblPrEx>
          <w:tblW w:w="5000" w:type="pct"/>
          <w:tblLook w:val="04A0"/>
        </w:tblPrEx>
        <w:trPr>
          <w:cantSplit/>
          <w:trHeight w:val="240"/>
        </w:trPr>
        <w:tc>
          <w:tcPr>
            <w:tcW w:w="688" w:type="pct"/>
            <w:tcBorders>
              <w:top w:val="single" w:sz="4" w:space="0" w:color="000000"/>
              <w:left w:val="single" w:sz="4" w:space="0" w:color="000000"/>
              <w:bottom w:val="single" w:sz="4" w:space="0" w:color="000000"/>
              <w:right w:val="single" w:sz="4" w:space="0" w:color="000000"/>
            </w:tcBorders>
          </w:tcPr>
          <w:p w:rsidR="007A0017" w:rsidRPr="00E92467" w:rsidP="007A0017" w14:paraId="6887D229" w14:textId="77777777">
            <w:pPr>
              <w:keepNext/>
              <w:spacing w:before="48" w:beforeLines="20" w:after="48" w:afterLines="20"/>
              <w:rPr>
                <w:rFonts w:cs="Arial"/>
                <w:color w:val="000000"/>
                <w:sz w:val="18"/>
                <w:szCs w:val="18"/>
              </w:rPr>
            </w:pPr>
            <w:r w:rsidRPr="00E92467">
              <w:rPr>
                <w:rFonts w:cs="Arial"/>
                <w:color w:val="000000"/>
                <w:sz w:val="18"/>
                <w:szCs w:val="18"/>
              </w:rPr>
              <w:t>Lower Bound</w:t>
            </w:r>
          </w:p>
        </w:tc>
        <w:tc>
          <w:tcPr>
            <w:tcW w:w="597" w:type="pct"/>
            <w:tcBorders>
              <w:top w:val="single" w:sz="4" w:space="0" w:color="000000"/>
              <w:left w:val="single" w:sz="4" w:space="0" w:color="000000"/>
              <w:bottom w:val="single" w:sz="4" w:space="0" w:color="000000"/>
              <w:right w:val="single" w:sz="4" w:space="0" w:color="000000"/>
            </w:tcBorders>
            <w:vAlign w:val="bottom"/>
          </w:tcPr>
          <w:p w:rsidR="007A0017" w:rsidRPr="007A0017" w:rsidP="007A0017" w14:paraId="3D966C53" w14:textId="77777777">
            <w:pPr>
              <w:keepNext/>
              <w:spacing w:before="48" w:beforeLines="20" w:after="48" w:afterLines="20"/>
              <w:jc w:val="center"/>
              <w:rPr>
                <w:rFonts w:cs="Arial"/>
                <w:color w:val="000000"/>
                <w:sz w:val="18"/>
                <w:szCs w:val="18"/>
              </w:rPr>
            </w:pPr>
            <w:r w:rsidRPr="007A0017">
              <w:rPr>
                <w:rFonts w:cs="Arial"/>
                <w:color w:val="000000"/>
                <w:sz w:val="18"/>
                <w:szCs w:val="18"/>
              </w:rPr>
              <w:t>623</w:t>
            </w:r>
          </w:p>
        </w:tc>
        <w:tc>
          <w:tcPr>
            <w:tcW w:w="1510" w:type="pct"/>
            <w:tcBorders>
              <w:top w:val="single" w:sz="4" w:space="0" w:color="000000"/>
              <w:left w:val="single" w:sz="4" w:space="0" w:color="000000"/>
              <w:bottom w:val="single" w:sz="4" w:space="0" w:color="000000"/>
              <w:right w:val="single" w:sz="4" w:space="0" w:color="000000"/>
            </w:tcBorders>
            <w:vAlign w:val="bottom"/>
          </w:tcPr>
          <w:p w:rsidR="007A0017" w:rsidRPr="007A0017" w:rsidP="007A0017" w14:paraId="4EC6888A" w14:textId="77777777">
            <w:pPr>
              <w:keepNext/>
              <w:spacing w:before="48" w:beforeLines="20" w:after="48" w:afterLines="20"/>
              <w:jc w:val="center"/>
              <w:rPr>
                <w:rFonts w:cs="Arial"/>
                <w:color w:val="000000"/>
                <w:sz w:val="18"/>
                <w:szCs w:val="18"/>
              </w:rPr>
            </w:pPr>
            <w:r w:rsidRPr="007A0017">
              <w:rPr>
                <w:rFonts w:cs="Arial"/>
                <w:color w:val="000000"/>
                <w:sz w:val="18"/>
                <w:szCs w:val="18"/>
              </w:rPr>
              <w:t>623</w:t>
            </w:r>
          </w:p>
        </w:tc>
        <w:tc>
          <w:tcPr>
            <w:tcW w:w="1056" w:type="pct"/>
            <w:tcBorders>
              <w:top w:val="single" w:sz="4" w:space="0" w:color="000000"/>
              <w:left w:val="single" w:sz="4" w:space="0" w:color="000000"/>
              <w:bottom w:val="single" w:sz="4" w:space="0" w:color="000000"/>
              <w:right w:val="single" w:sz="4" w:space="0" w:color="000000"/>
            </w:tcBorders>
            <w:vAlign w:val="center"/>
          </w:tcPr>
          <w:p w:rsidR="007A0017" w:rsidRPr="007A0017" w:rsidP="007A0017" w14:paraId="3170EE8D" w14:textId="77777777">
            <w:pPr>
              <w:keepNext/>
              <w:spacing w:before="48" w:beforeLines="20" w:after="48" w:afterLines="20"/>
              <w:jc w:val="center"/>
              <w:rPr>
                <w:rFonts w:cs="Arial"/>
                <w:color w:val="000000"/>
                <w:sz w:val="18"/>
                <w:szCs w:val="18"/>
              </w:rPr>
            </w:pPr>
            <w:r w:rsidRPr="007A0017">
              <w:rPr>
                <w:rFonts w:cs="Arial"/>
                <w:sz w:val="18"/>
                <w:szCs w:val="18"/>
              </w:rPr>
              <w:t>$3,318,492</w:t>
            </w:r>
          </w:p>
        </w:tc>
        <w:tc>
          <w:tcPr>
            <w:tcW w:w="1149" w:type="pct"/>
            <w:tcBorders>
              <w:top w:val="single" w:sz="4" w:space="0" w:color="000000"/>
              <w:left w:val="single" w:sz="4" w:space="0" w:color="000000"/>
              <w:bottom w:val="single" w:sz="4" w:space="0" w:color="000000"/>
              <w:right w:val="single" w:sz="4" w:space="0" w:color="000000"/>
            </w:tcBorders>
            <w:vAlign w:val="center"/>
          </w:tcPr>
          <w:p w:rsidR="007A0017" w:rsidRPr="007A0017" w:rsidP="007A0017" w14:paraId="547C5796" w14:textId="77777777">
            <w:pPr>
              <w:keepNext/>
              <w:spacing w:before="48" w:beforeLines="20" w:after="48" w:afterLines="20"/>
              <w:jc w:val="center"/>
              <w:rPr>
                <w:rFonts w:cs="Arial"/>
                <w:color w:val="000000"/>
                <w:sz w:val="18"/>
                <w:szCs w:val="18"/>
              </w:rPr>
            </w:pPr>
            <w:r w:rsidRPr="007A0017">
              <w:rPr>
                <w:rFonts w:cs="Arial"/>
                <w:sz w:val="18"/>
                <w:szCs w:val="18"/>
              </w:rPr>
              <w:t>$1,580,214</w:t>
            </w:r>
          </w:p>
        </w:tc>
      </w:tr>
      <w:tr w14:paraId="1637B9DE" w14:textId="77777777" w:rsidTr="007A0017">
        <w:tblPrEx>
          <w:tblW w:w="5000" w:type="pct"/>
          <w:tblLook w:val="04A0"/>
        </w:tblPrEx>
        <w:trPr>
          <w:cantSplit/>
          <w:trHeight w:val="240"/>
        </w:trPr>
        <w:tc>
          <w:tcPr>
            <w:tcW w:w="688" w:type="pct"/>
            <w:tcBorders>
              <w:top w:val="single" w:sz="4" w:space="0" w:color="000000"/>
              <w:left w:val="single" w:sz="4" w:space="0" w:color="000000"/>
              <w:bottom w:val="single" w:sz="4" w:space="0" w:color="000000"/>
              <w:right w:val="single" w:sz="4" w:space="0" w:color="000000"/>
            </w:tcBorders>
          </w:tcPr>
          <w:p w:rsidR="007A0017" w:rsidRPr="00E92467" w:rsidP="007A0017" w14:paraId="406D7F9C" w14:textId="77777777">
            <w:pPr>
              <w:keepNext/>
              <w:spacing w:before="48" w:beforeLines="20" w:after="48" w:afterLines="20"/>
              <w:rPr>
                <w:rFonts w:cs="Arial"/>
                <w:color w:val="000000"/>
                <w:sz w:val="18"/>
                <w:szCs w:val="18"/>
              </w:rPr>
            </w:pPr>
            <w:r w:rsidRPr="00E92467">
              <w:rPr>
                <w:rFonts w:cs="Arial"/>
                <w:color w:val="000000"/>
                <w:sz w:val="18"/>
                <w:szCs w:val="18"/>
              </w:rPr>
              <w:t xml:space="preserve">Upper Bound </w:t>
            </w:r>
          </w:p>
        </w:tc>
        <w:tc>
          <w:tcPr>
            <w:tcW w:w="597" w:type="pct"/>
            <w:tcBorders>
              <w:top w:val="single" w:sz="4" w:space="0" w:color="000000"/>
              <w:left w:val="single" w:sz="4" w:space="0" w:color="000000"/>
              <w:bottom w:val="single" w:sz="4" w:space="0" w:color="000000"/>
              <w:right w:val="single" w:sz="4" w:space="0" w:color="000000"/>
            </w:tcBorders>
            <w:vAlign w:val="bottom"/>
          </w:tcPr>
          <w:p w:rsidR="007A0017" w:rsidRPr="007A0017" w:rsidP="007A0017" w14:paraId="43C56BF9" w14:textId="77777777">
            <w:pPr>
              <w:keepNext/>
              <w:spacing w:before="48" w:beforeLines="20" w:after="48" w:afterLines="20"/>
              <w:jc w:val="center"/>
              <w:rPr>
                <w:rFonts w:cs="Arial"/>
                <w:color w:val="000000"/>
                <w:sz w:val="18"/>
                <w:szCs w:val="18"/>
              </w:rPr>
            </w:pPr>
            <w:r w:rsidRPr="007A0017">
              <w:rPr>
                <w:rFonts w:cs="Arial"/>
                <w:color w:val="000000"/>
                <w:sz w:val="18"/>
                <w:szCs w:val="18"/>
              </w:rPr>
              <w:t>2,015</w:t>
            </w:r>
          </w:p>
        </w:tc>
        <w:tc>
          <w:tcPr>
            <w:tcW w:w="1510" w:type="pct"/>
            <w:tcBorders>
              <w:top w:val="single" w:sz="4" w:space="0" w:color="000000"/>
              <w:left w:val="single" w:sz="4" w:space="0" w:color="000000"/>
              <w:bottom w:val="single" w:sz="4" w:space="0" w:color="000000"/>
              <w:right w:val="single" w:sz="4" w:space="0" w:color="000000"/>
            </w:tcBorders>
            <w:vAlign w:val="bottom"/>
          </w:tcPr>
          <w:p w:rsidR="007A0017" w:rsidRPr="007A0017" w:rsidP="007A0017" w14:paraId="07CC034E" w14:textId="77777777">
            <w:pPr>
              <w:keepNext/>
              <w:spacing w:before="48" w:beforeLines="20" w:after="48" w:afterLines="20"/>
              <w:jc w:val="center"/>
              <w:rPr>
                <w:rFonts w:cs="Arial"/>
                <w:color w:val="000000"/>
                <w:sz w:val="18"/>
                <w:szCs w:val="18"/>
              </w:rPr>
            </w:pPr>
            <w:r w:rsidRPr="007A0017">
              <w:rPr>
                <w:rFonts w:cs="Arial"/>
                <w:color w:val="000000"/>
                <w:sz w:val="18"/>
                <w:szCs w:val="18"/>
              </w:rPr>
              <w:t>2,015</w:t>
            </w:r>
          </w:p>
        </w:tc>
        <w:tc>
          <w:tcPr>
            <w:tcW w:w="1056" w:type="pct"/>
            <w:tcBorders>
              <w:top w:val="single" w:sz="4" w:space="0" w:color="000000"/>
              <w:left w:val="single" w:sz="4" w:space="0" w:color="000000"/>
              <w:bottom w:val="single" w:sz="4" w:space="0" w:color="000000"/>
              <w:right w:val="single" w:sz="4" w:space="0" w:color="000000"/>
            </w:tcBorders>
            <w:vAlign w:val="center"/>
          </w:tcPr>
          <w:p w:rsidR="007A0017" w:rsidRPr="007A0017" w:rsidP="007A0017" w14:paraId="38A784A1" w14:textId="77777777">
            <w:pPr>
              <w:keepNext/>
              <w:spacing w:before="48" w:beforeLines="20" w:after="48" w:afterLines="20"/>
              <w:jc w:val="center"/>
              <w:rPr>
                <w:rFonts w:cs="Arial"/>
                <w:color w:val="000000"/>
                <w:sz w:val="18"/>
                <w:szCs w:val="18"/>
              </w:rPr>
            </w:pPr>
            <w:r w:rsidRPr="007A0017">
              <w:rPr>
                <w:rFonts w:cs="Arial"/>
                <w:sz w:val="18"/>
                <w:szCs w:val="18"/>
              </w:rPr>
              <w:t>$10,733,149</w:t>
            </w:r>
          </w:p>
        </w:tc>
        <w:tc>
          <w:tcPr>
            <w:tcW w:w="1149" w:type="pct"/>
            <w:tcBorders>
              <w:top w:val="single" w:sz="4" w:space="0" w:color="000000"/>
              <w:left w:val="single" w:sz="4" w:space="0" w:color="000000"/>
              <w:bottom w:val="single" w:sz="4" w:space="0" w:color="000000"/>
              <w:right w:val="single" w:sz="4" w:space="0" w:color="000000"/>
            </w:tcBorders>
            <w:vAlign w:val="center"/>
          </w:tcPr>
          <w:p w:rsidR="007A0017" w:rsidRPr="007A0017" w:rsidP="007A0017" w14:paraId="0D97DE4C" w14:textId="77777777">
            <w:pPr>
              <w:keepNext/>
              <w:spacing w:before="48" w:beforeLines="20" w:after="48" w:afterLines="20"/>
              <w:jc w:val="center"/>
              <w:rPr>
                <w:rFonts w:cs="Arial"/>
                <w:color w:val="000000"/>
                <w:sz w:val="18"/>
                <w:szCs w:val="18"/>
              </w:rPr>
            </w:pPr>
            <w:r w:rsidRPr="007A0017">
              <w:rPr>
                <w:rFonts w:cs="Arial"/>
                <w:sz w:val="18"/>
                <w:szCs w:val="18"/>
              </w:rPr>
              <w:t>$5,111,044</w:t>
            </w:r>
          </w:p>
        </w:tc>
      </w:tr>
    </w:tbl>
    <w:p w:rsidR="007A25B1" w:rsidRPr="00444F9D" w:rsidP="00444F9D" w14:paraId="72E22C39" w14:textId="77777777">
      <w:pPr>
        <w:spacing w:after="200" w:line="276" w:lineRule="auto"/>
        <w:ind w:right="432"/>
        <w:rPr>
          <w:rFonts w:cs="Arial"/>
        </w:rPr>
      </w:pPr>
    </w:p>
    <w:p w:rsidR="007A25B1" w:rsidRPr="00444F9D" w:rsidP="00444F9D" w14:paraId="69C777D9" w14:textId="77777777">
      <w:pPr>
        <w:spacing w:after="200" w:line="276" w:lineRule="auto"/>
        <w:ind w:right="576"/>
        <w:rPr>
          <w:rFonts w:cs="Arial"/>
        </w:rPr>
      </w:pPr>
      <w:r w:rsidRPr="00444F9D">
        <w:rPr>
          <w:rFonts w:cs="Arial"/>
          <w:spacing w:val="-2"/>
        </w:rPr>
        <w:t xml:space="preserve">EPA determined the total annual reporting cost for </w:t>
      </w:r>
      <w:r w:rsidR="003213C7">
        <w:rPr>
          <w:rFonts w:cs="Arial"/>
          <w:spacing w:val="-2"/>
        </w:rPr>
        <w:t xml:space="preserve">the facilities potentially affected by the </w:t>
      </w:r>
      <w:r w:rsidR="00893872">
        <w:rPr>
          <w:rFonts w:cs="Arial"/>
          <w:spacing w:val="-2"/>
        </w:rPr>
        <w:t xml:space="preserve">final </w:t>
      </w:r>
      <w:r w:rsidR="003213C7">
        <w:rPr>
          <w:rFonts w:cs="Arial"/>
          <w:spacing w:val="-2"/>
        </w:rPr>
        <w:t xml:space="preserve">rule </w:t>
      </w:r>
      <w:r w:rsidRPr="00444F9D">
        <w:rPr>
          <w:rFonts w:cs="Arial"/>
          <w:spacing w:val="-2"/>
        </w:rPr>
        <w:t>by multiplying the</w:t>
      </w:r>
      <w:r w:rsidRPr="00444F9D">
        <w:rPr>
          <w:rFonts w:cs="Arial"/>
        </w:rPr>
        <w:t xml:space="preserve"> WAWR by the steady state total burden. Table </w:t>
      </w:r>
      <w:r w:rsidRPr="00444F9D" w:rsidR="007459F0">
        <w:rPr>
          <w:rFonts w:cs="Arial"/>
        </w:rPr>
        <w:t>7</w:t>
      </w:r>
      <w:r w:rsidRPr="00444F9D" w:rsidR="000E249B">
        <w:rPr>
          <w:rFonts w:cs="Arial"/>
        </w:rPr>
        <w:t xml:space="preserve"> </w:t>
      </w:r>
      <w:r w:rsidRPr="00444F9D">
        <w:rPr>
          <w:rFonts w:cs="Arial"/>
        </w:rPr>
        <w:t>presents the total annual reporting cost for Form R.</w:t>
      </w:r>
    </w:p>
    <w:tbl>
      <w:tblPr>
        <w:tblW w:w="0" w:type="auto"/>
        <w:jc w:val="center"/>
        <w:tblLook w:val="00A0"/>
      </w:tblPr>
      <w:tblGrid>
        <w:gridCol w:w="4153"/>
        <w:gridCol w:w="1535"/>
        <w:gridCol w:w="1668"/>
        <w:gridCol w:w="2004"/>
      </w:tblGrid>
      <w:tr w14:paraId="51AB1A88" w14:textId="77777777" w:rsidTr="00B413C8">
        <w:tblPrEx>
          <w:tblW w:w="0" w:type="auto"/>
          <w:jc w:val="center"/>
          <w:tblLook w:val="00A0"/>
        </w:tblPrEx>
        <w:trPr>
          <w:trHeight w:val="724"/>
          <w:jc w:val="center"/>
        </w:trPr>
        <w:tc>
          <w:tcPr>
            <w:tcW w:w="9360" w:type="dxa"/>
            <w:gridSpan w:val="4"/>
            <w:tcBorders>
              <w:bottom w:val="double" w:sz="4" w:space="0" w:color="auto"/>
            </w:tcBorders>
          </w:tcPr>
          <w:p w:rsidR="007A25B1" w:rsidRPr="00444F9D" w:rsidP="00444F9D" w14:paraId="244DA476" w14:textId="77777777">
            <w:pPr>
              <w:keepNext/>
              <w:keepLines/>
              <w:spacing w:after="200" w:line="276" w:lineRule="auto"/>
              <w:jc w:val="center"/>
              <w:rPr>
                <w:rFonts w:cs="Arial"/>
                <w:b/>
                <w:bCs/>
              </w:rPr>
            </w:pPr>
            <w:r w:rsidRPr="00444F9D">
              <w:rPr>
                <w:rFonts w:cs="Arial"/>
                <w:b/>
                <w:bCs/>
              </w:rPr>
              <w:t xml:space="preserve">Table </w:t>
            </w:r>
            <w:r w:rsidRPr="00444F9D" w:rsidR="007459F0">
              <w:rPr>
                <w:rFonts w:cs="Arial"/>
                <w:b/>
                <w:bCs/>
              </w:rPr>
              <w:t>7</w:t>
            </w:r>
            <w:r w:rsidRPr="00444F9D">
              <w:rPr>
                <w:rFonts w:cs="Arial"/>
                <w:b/>
                <w:bCs/>
              </w:rPr>
              <w:br/>
            </w:r>
            <w:r w:rsidRPr="00444F9D">
              <w:rPr>
                <w:rFonts w:cs="Arial"/>
                <w:b/>
                <w:bCs/>
              </w:rPr>
              <w:t xml:space="preserve">Total Annual Cost Estimate </w:t>
            </w:r>
            <w:r w:rsidRPr="00444F9D">
              <w:rPr>
                <w:rFonts w:cs="Arial"/>
                <w:b/>
                <w:bCs/>
              </w:rPr>
              <w:br/>
              <w:t>(</w:t>
            </w:r>
            <w:r w:rsidRPr="00444F9D" w:rsidR="00C0080A">
              <w:rPr>
                <w:rFonts w:cs="Arial"/>
                <w:b/>
                <w:bCs/>
              </w:rPr>
              <w:t>202</w:t>
            </w:r>
            <w:r w:rsidR="00B413C8">
              <w:rPr>
                <w:rFonts w:cs="Arial"/>
                <w:b/>
                <w:bCs/>
              </w:rPr>
              <w:t>2</w:t>
            </w:r>
            <w:r w:rsidRPr="00444F9D">
              <w:rPr>
                <w:rFonts w:cs="Arial"/>
                <w:b/>
                <w:bCs/>
              </w:rPr>
              <w:t xml:space="preserve"> dollars)</w:t>
            </w:r>
          </w:p>
        </w:tc>
      </w:tr>
      <w:tr w14:paraId="664AE048" w14:textId="77777777" w:rsidTr="00B413C8">
        <w:tblPrEx>
          <w:tblW w:w="0" w:type="auto"/>
          <w:jc w:val="center"/>
          <w:tblLook w:val="00A0"/>
        </w:tblPrEx>
        <w:trPr>
          <w:trHeight w:val="573"/>
          <w:jc w:val="center"/>
        </w:trPr>
        <w:tc>
          <w:tcPr>
            <w:tcW w:w="4153" w:type="dxa"/>
            <w:tcBorders>
              <w:top w:val="double" w:sz="4" w:space="0" w:color="auto"/>
              <w:left w:val="double" w:sz="4" w:space="0" w:color="auto"/>
              <w:bottom w:val="single" w:sz="6" w:space="0" w:color="auto"/>
              <w:right w:val="single" w:sz="6" w:space="0" w:color="auto"/>
            </w:tcBorders>
            <w:vAlign w:val="bottom"/>
          </w:tcPr>
          <w:p w:rsidR="007A25B1" w:rsidRPr="00444F9D" w:rsidP="00444F9D" w14:paraId="2C25C12D" w14:textId="77777777">
            <w:pPr>
              <w:keepNext/>
              <w:keepLines/>
              <w:spacing w:after="200" w:line="276" w:lineRule="auto"/>
              <w:rPr>
                <w:rFonts w:cs="Arial"/>
                <w:b/>
                <w:bCs/>
              </w:rPr>
            </w:pPr>
            <w:r w:rsidRPr="00444F9D">
              <w:rPr>
                <w:rFonts w:cs="Arial"/>
                <w:b/>
                <w:bCs/>
              </w:rPr>
              <w:t>Form Type</w:t>
            </w:r>
          </w:p>
        </w:tc>
        <w:tc>
          <w:tcPr>
            <w:tcW w:w="1535" w:type="dxa"/>
            <w:tcBorders>
              <w:top w:val="double" w:sz="4" w:space="0" w:color="auto"/>
              <w:left w:val="single" w:sz="6" w:space="0" w:color="auto"/>
              <w:bottom w:val="single" w:sz="6" w:space="0" w:color="auto"/>
              <w:right w:val="single" w:sz="6" w:space="0" w:color="auto"/>
            </w:tcBorders>
            <w:vAlign w:val="bottom"/>
          </w:tcPr>
          <w:p w:rsidR="007A25B1" w:rsidRPr="00444F9D" w:rsidP="00444F9D" w14:paraId="3F70B929" w14:textId="77777777">
            <w:pPr>
              <w:keepNext/>
              <w:keepLines/>
              <w:spacing w:after="200" w:line="276" w:lineRule="auto"/>
              <w:jc w:val="center"/>
              <w:rPr>
                <w:rFonts w:cs="Arial"/>
                <w:b/>
                <w:bCs/>
              </w:rPr>
            </w:pPr>
            <w:r w:rsidRPr="00444F9D">
              <w:rPr>
                <w:rFonts w:cs="Arial"/>
                <w:b/>
                <w:bCs/>
              </w:rPr>
              <w:t>WAWR</w:t>
            </w:r>
          </w:p>
        </w:tc>
        <w:tc>
          <w:tcPr>
            <w:tcW w:w="1668" w:type="dxa"/>
            <w:tcBorders>
              <w:top w:val="double" w:sz="4" w:space="0" w:color="auto"/>
              <w:left w:val="single" w:sz="6" w:space="0" w:color="auto"/>
              <w:bottom w:val="single" w:sz="6" w:space="0" w:color="auto"/>
              <w:right w:val="single" w:sz="6" w:space="0" w:color="auto"/>
            </w:tcBorders>
            <w:vAlign w:val="bottom"/>
          </w:tcPr>
          <w:p w:rsidR="007A25B1" w:rsidRPr="00444F9D" w:rsidP="00444F9D" w14:paraId="627C1D41" w14:textId="77777777">
            <w:pPr>
              <w:keepNext/>
              <w:keepLines/>
              <w:spacing w:after="200" w:line="276" w:lineRule="auto"/>
              <w:jc w:val="center"/>
              <w:rPr>
                <w:rFonts w:cs="Arial"/>
                <w:b/>
                <w:bCs/>
              </w:rPr>
            </w:pPr>
            <w:r w:rsidRPr="00444F9D">
              <w:rPr>
                <w:rFonts w:cs="Arial"/>
                <w:b/>
                <w:bCs/>
              </w:rPr>
              <w:t>Steady State Total Burden</w:t>
            </w:r>
          </w:p>
        </w:tc>
        <w:tc>
          <w:tcPr>
            <w:tcW w:w="2004" w:type="dxa"/>
            <w:tcBorders>
              <w:top w:val="double" w:sz="4" w:space="0" w:color="auto"/>
              <w:left w:val="single" w:sz="6" w:space="0" w:color="auto"/>
              <w:bottom w:val="single" w:sz="6" w:space="0" w:color="auto"/>
              <w:right w:val="double" w:sz="4" w:space="0" w:color="auto"/>
            </w:tcBorders>
            <w:vAlign w:val="bottom"/>
          </w:tcPr>
          <w:p w:rsidR="007A25B1" w:rsidRPr="00444F9D" w:rsidP="00444F9D" w14:paraId="4E7B2BC4" w14:textId="77777777">
            <w:pPr>
              <w:keepNext/>
              <w:keepLines/>
              <w:spacing w:after="200" w:line="276" w:lineRule="auto"/>
              <w:jc w:val="center"/>
              <w:rPr>
                <w:rFonts w:cs="Arial"/>
                <w:b/>
                <w:bCs/>
              </w:rPr>
            </w:pPr>
            <w:r w:rsidRPr="00444F9D">
              <w:rPr>
                <w:rFonts w:cs="Arial"/>
                <w:b/>
                <w:bCs/>
              </w:rPr>
              <w:t>Steady State Total Cost</w:t>
            </w:r>
          </w:p>
        </w:tc>
      </w:tr>
      <w:tr w14:paraId="45B8CAE6" w14:textId="77777777" w:rsidTr="005D685C">
        <w:tblPrEx>
          <w:tblW w:w="0" w:type="auto"/>
          <w:jc w:val="center"/>
          <w:tblLook w:val="00A0"/>
        </w:tblPrEx>
        <w:trPr>
          <w:trHeight w:val="232"/>
          <w:jc w:val="center"/>
        </w:trPr>
        <w:tc>
          <w:tcPr>
            <w:tcW w:w="4153" w:type="dxa"/>
            <w:tcBorders>
              <w:top w:val="single" w:sz="6" w:space="0" w:color="auto"/>
              <w:left w:val="double" w:sz="4" w:space="0" w:color="auto"/>
              <w:bottom w:val="single" w:sz="6" w:space="0" w:color="auto"/>
              <w:right w:val="single" w:sz="6" w:space="0" w:color="auto"/>
            </w:tcBorders>
            <w:noWrap/>
          </w:tcPr>
          <w:p w:rsidR="007A0017" w:rsidRPr="00444F9D" w:rsidP="007A0017" w14:paraId="618B2171" w14:textId="77777777">
            <w:pPr>
              <w:keepNext/>
              <w:keepLines/>
              <w:spacing w:after="200" w:line="276" w:lineRule="auto"/>
              <w:rPr>
                <w:rFonts w:cs="Arial"/>
              </w:rPr>
            </w:pPr>
            <w:r w:rsidRPr="00444F9D">
              <w:rPr>
                <w:rFonts w:cs="Arial"/>
              </w:rPr>
              <w:t>Form R (</w:t>
            </w:r>
            <w:r>
              <w:rPr>
                <w:rFonts w:cs="Arial"/>
              </w:rPr>
              <w:t>Lower</w:t>
            </w:r>
            <w:r w:rsidRPr="00444F9D">
              <w:rPr>
                <w:rFonts w:cs="Arial"/>
              </w:rPr>
              <w:t xml:space="preserve"> Bound)</w:t>
            </w:r>
          </w:p>
        </w:tc>
        <w:tc>
          <w:tcPr>
            <w:tcW w:w="1535" w:type="dxa"/>
            <w:tcBorders>
              <w:top w:val="single" w:sz="6" w:space="0" w:color="auto"/>
              <w:left w:val="single" w:sz="6" w:space="0" w:color="auto"/>
              <w:bottom w:val="single" w:sz="6" w:space="0" w:color="auto"/>
              <w:right w:val="single" w:sz="6" w:space="0" w:color="auto"/>
            </w:tcBorders>
            <w:noWrap/>
          </w:tcPr>
          <w:p w:rsidR="007A0017" w:rsidRPr="00444F9D" w:rsidP="007A0017" w14:paraId="318ECC7C" w14:textId="77777777">
            <w:pPr>
              <w:keepNext/>
              <w:keepLines/>
              <w:spacing w:after="200" w:line="276" w:lineRule="auto"/>
              <w:jc w:val="right"/>
              <w:rPr>
                <w:rFonts w:cs="Arial"/>
              </w:rPr>
            </w:pPr>
            <w:r w:rsidRPr="00444F9D">
              <w:rPr>
                <w:rFonts w:cs="Arial"/>
              </w:rPr>
              <w:t>$</w:t>
            </w:r>
            <w:r>
              <w:rPr>
                <w:rFonts w:cs="Arial"/>
              </w:rPr>
              <w:t>71.04</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7A0017" w:rsidRPr="007A0017" w:rsidP="007A0017" w14:paraId="4E47821E" w14:textId="77777777">
            <w:pPr>
              <w:keepNext/>
              <w:keepLines/>
              <w:spacing w:after="200" w:line="276" w:lineRule="auto"/>
              <w:jc w:val="right"/>
              <w:rPr>
                <w:rFonts w:cs="Arial"/>
              </w:rPr>
            </w:pPr>
            <w:r w:rsidRPr="007A0017">
              <w:rPr>
                <w:rFonts w:cs="Arial"/>
              </w:rPr>
              <w:t>22,244</w:t>
            </w:r>
          </w:p>
        </w:tc>
        <w:tc>
          <w:tcPr>
            <w:tcW w:w="2004" w:type="dxa"/>
            <w:tcBorders>
              <w:top w:val="single" w:sz="4" w:space="0" w:color="000000"/>
              <w:left w:val="single" w:sz="4" w:space="0" w:color="000000"/>
              <w:bottom w:val="single" w:sz="4" w:space="0" w:color="000000"/>
              <w:right w:val="single" w:sz="4" w:space="0" w:color="000000"/>
            </w:tcBorders>
            <w:noWrap/>
            <w:vAlign w:val="center"/>
          </w:tcPr>
          <w:p w:rsidR="007A0017" w:rsidRPr="007A0017" w:rsidP="007A0017" w14:paraId="2857A745" w14:textId="77777777">
            <w:pPr>
              <w:keepNext/>
              <w:keepLines/>
              <w:spacing w:after="200" w:line="276" w:lineRule="auto"/>
              <w:jc w:val="right"/>
              <w:rPr>
                <w:rFonts w:cs="Arial"/>
              </w:rPr>
            </w:pPr>
            <w:r w:rsidRPr="007A0017">
              <w:rPr>
                <w:rFonts w:cs="Arial"/>
              </w:rPr>
              <w:t>$1,580,214</w:t>
            </w:r>
          </w:p>
        </w:tc>
      </w:tr>
      <w:tr w14:paraId="58009706" w14:textId="77777777" w:rsidTr="005D685C">
        <w:tblPrEx>
          <w:tblW w:w="0" w:type="auto"/>
          <w:jc w:val="center"/>
          <w:tblLook w:val="00A0"/>
        </w:tblPrEx>
        <w:trPr>
          <w:trHeight w:val="232"/>
          <w:jc w:val="center"/>
        </w:trPr>
        <w:tc>
          <w:tcPr>
            <w:tcW w:w="4153" w:type="dxa"/>
            <w:tcBorders>
              <w:top w:val="single" w:sz="6" w:space="0" w:color="auto"/>
              <w:left w:val="double" w:sz="4" w:space="0" w:color="auto"/>
              <w:bottom w:val="single" w:sz="6" w:space="0" w:color="auto"/>
              <w:right w:val="single" w:sz="6" w:space="0" w:color="auto"/>
            </w:tcBorders>
            <w:noWrap/>
          </w:tcPr>
          <w:p w:rsidR="007A0017" w:rsidRPr="00444F9D" w:rsidP="007A0017" w14:paraId="5D4CA24F" w14:textId="77777777">
            <w:pPr>
              <w:keepNext/>
              <w:keepLines/>
              <w:spacing w:after="200" w:line="276" w:lineRule="auto"/>
              <w:rPr>
                <w:rFonts w:cs="Arial"/>
              </w:rPr>
            </w:pPr>
            <w:r w:rsidRPr="00444F9D">
              <w:rPr>
                <w:rFonts w:cs="Arial"/>
              </w:rPr>
              <w:t>Form R (</w:t>
            </w:r>
            <w:r>
              <w:rPr>
                <w:rFonts w:cs="Arial"/>
              </w:rPr>
              <w:t xml:space="preserve">Upper </w:t>
            </w:r>
            <w:r w:rsidRPr="00444F9D">
              <w:rPr>
                <w:rFonts w:cs="Arial"/>
              </w:rPr>
              <w:t>Bound)</w:t>
            </w:r>
          </w:p>
        </w:tc>
        <w:tc>
          <w:tcPr>
            <w:tcW w:w="1535" w:type="dxa"/>
            <w:tcBorders>
              <w:top w:val="single" w:sz="6" w:space="0" w:color="auto"/>
              <w:left w:val="single" w:sz="6" w:space="0" w:color="auto"/>
              <w:bottom w:val="single" w:sz="6" w:space="0" w:color="auto"/>
              <w:right w:val="single" w:sz="6" w:space="0" w:color="auto"/>
            </w:tcBorders>
            <w:noWrap/>
          </w:tcPr>
          <w:p w:rsidR="007A0017" w:rsidRPr="00444F9D" w:rsidP="007A0017" w14:paraId="5FFB98D9" w14:textId="77777777">
            <w:pPr>
              <w:keepNext/>
              <w:keepLines/>
              <w:spacing w:after="200" w:line="276" w:lineRule="auto"/>
              <w:jc w:val="right"/>
              <w:rPr>
                <w:rFonts w:cs="Arial"/>
              </w:rPr>
            </w:pPr>
            <w:r w:rsidRPr="00444F9D">
              <w:rPr>
                <w:rFonts w:cs="Arial"/>
              </w:rPr>
              <w:t>$</w:t>
            </w:r>
            <w:r>
              <w:rPr>
                <w:rFonts w:cs="Arial"/>
              </w:rPr>
              <w:t>71.04</w:t>
            </w:r>
          </w:p>
        </w:tc>
        <w:tc>
          <w:tcPr>
            <w:tcW w:w="1668" w:type="dxa"/>
            <w:tcBorders>
              <w:top w:val="single" w:sz="4" w:space="0" w:color="000000"/>
              <w:left w:val="single" w:sz="4" w:space="0" w:color="000000"/>
              <w:bottom w:val="single" w:sz="4" w:space="0" w:color="000000"/>
              <w:right w:val="single" w:sz="4" w:space="0" w:color="000000"/>
            </w:tcBorders>
            <w:noWrap/>
            <w:vAlign w:val="center"/>
          </w:tcPr>
          <w:p w:rsidR="007A0017" w:rsidRPr="007A0017" w:rsidP="007A0017" w14:paraId="5223A91A" w14:textId="77777777">
            <w:pPr>
              <w:keepNext/>
              <w:keepLines/>
              <w:spacing w:after="200" w:line="276" w:lineRule="auto"/>
              <w:jc w:val="right"/>
              <w:rPr>
                <w:rFonts w:cs="Arial"/>
              </w:rPr>
            </w:pPr>
            <w:r w:rsidRPr="007A0017">
              <w:rPr>
                <w:rFonts w:cs="Arial"/>
              </w:rPr>
              <w:t>71,946</w:t>
            </w:r>
          </w:p>
        </w:tc>
        <w:tc>
          <w:tcPr>
            <w:tcW w:w="2004" w:type="dxa"/>
            <w:tcBorders>
              <w:top w:val="single" w:sz="4" w:space="0" w:color="000000"/>
              <w:left w:val="single" w:sz="4" w:space="0" w:color="000000"/>
              <w:bottom w:val="single" w:sz="4" w:space="0" w:color="000000"/>
              <w:right w:val="single" w:sz="4" w:space="0" w:color="000000"/>
            </w:tcBorders>
            <w:noWrap/>
            <w:vAlign w:val="center"/>
          </w:tcPr>
          <w:p w:rsidR="007A0017" w:rsidRPr="007A0017" w:rsidP="007A0017" w14:paraId="3D1B3658" w14:textId="77777777">
            <w:pPr>
              <w:keepNext/>
              <w:keepLines/>
              <w:spacing w:after="200" w:line="276" w:lineRule="auto"/>
              <w:jc w:val="right"/>
              <w:rPr>
                <w:rFonts w:cs="Arial"/>
              </w:rPr>
            </w:pPr>
            <w:r w:rsidRPr="007A0017">
              <w:rPr>
                <w:rFonts w:cs="Arial"/>
              </w:rPr>
              <w:t>$5,111,044</w:t>
            </w:r>
          </w:p>
        </w:tc>
      </w:tr>
      <w:tr w14:paraId="2B1079E5" w14:textId="77777777" w:rsidTr="00B413C8">
        <w:tblPrEx>
          <w:tblW w:w="0" w:type="auto"/>
          <w:jc w:val="center"/>
          <w:tblLook w:val="00A0"/>
        </w:tblPrEx>
        <w:trPr>
          <w:trHeight w:val="232"/>
          <w:jc w:val="center"/>
        </w:trPr>
        <w:tc>
          <w:tcPr>
            <w:tcW w:w="9360" w:type="dxa"/>
            <w:gridSpan w:val="4"/>
            <w:tcBorders>
              <w:top w:val="single" w:sz="6" w:space="0" w:color="auto"/>
              <w:left w:val="double" w:sz="4" w:space="0" w:color="auto"/>
              <w:bottom w:val="double" w:sz="4" w:space="0" w:color="auto"/>
              <w:right w:val="double" w:sz="4" w:space="0" w:color="auto"/>
            </w:tcBorders>
            <w:noWrap/>
          </w:tcPr>
          <w:p w:rsidR="007A0017" w:rsidRPr="00444F9D" w:rsidP="007A0017" w14:paraId="29AE9ED7" w14:textId="77777777">
            <w:pPr>
              <w:keepNext/>
              <w:keepLines/>
              <w:spacing w:after="200" w:line="276" w:lineRule="auto"/>
              <w:rPr>
                <w:rFonts w:cs="Arial"/>
                <w:b/>
              </w:rPr>
            </w:pPr>
            <w:r w:rsidRPr="00444F9D">
              <w:rPr>
                <w:rFonts w:cs="Arial"/>
              </w:rPr>
              <w:t>Note: WAWR is based on BLS ECEC data from 202</w:t>
            </w:r>
            <w:r>
              <w:rPr>
                <w:rFonts w:cs="Arial"/>
              </w:rPr>
              <w:t>2</w:t>
            </w:r>
            <w:r w:rsidRPr="00444F9D">
              <w:rPr>
                <w:rFonts w:cs="Arial"/>
              </w:rPr>
              <w:t xml:space="preserve"> and an overhead rate of 20 percent applied to total compensation.</w:t>
            </w:r>
          </w:p>
        </w:tc>
      </w:tr>
      <w:tr w14:paraId="156AC89A" w14:textId="77777777" w:rsidTr="00B413C8">
        <w:tblPrEx>
          <w:tblW w:w="0" w:type="auto"/>
          <w:jc w:val="center"/>
          <w:tblLook w:val="00A0"/>
        </w:tblPrEx>
        <w:trPr>
          <w:trHeight w:val="437"/>
          <w:jc w:val="center"/>
        </w:trPr>
        <w:tc>
          <w:tcPr>
            <w:tcW w:w="9360" w:type="dxa"/>
            <w:gridSpan w:val="4"/>
            <w:tcBorders>
              <w:top w:val="double" w:sz="4" w:space="0" w:color="auto"/>
            </w:tcBorders>
          </w:tcPr>
          <w:p w:rsidR="007A0017" w:rsidP="007A0017" w14:paraId="32210D39" w14:textId="77777777">
            <w:pPr>
              <w:keepNext/>
              <w:keepLines/>
              <w:spacing w:after="200" w:line="276" w:lineRule="auto"/>
              <w:rPr>
                <w:rFonts w:cs="Arial"/>
              </w:rPr>
            </w:pPr>
          </w:p>
          <w:p w:rsidR="007A0017" w:rsidRPr="00444F9D" w:rsidP="007A0017" w14:paraId="3905250A" w14:textId="77777777">
            <w:pPr>
              <w:keepNext/>
              <w:keepLines/>
              <w:spacing w:after="200" w:line="276" w:lineRule="auto"/>
              <w:rPr>
                <w:rFonts w:cs="Arial"/>
              </w:rPr>
            </w:pPr>
            <w:r w:rsidRPr="00B25FD9">
              <w:rPr>
                <w:rFonts w:cs="Arial"/>
              </w:rPr>
              <w:t xml:space="preserve">Under the </w:t>
            </w:r>
            <w:r>
              <w:rPr>
                <w:rFonts w:cs="Arial"/>
              </w:rPr>
              <w:t>final</w:t>
            </w:r>
            <w:r w:rsidRPr="00B25FD9">
              <w:rPr>
                <w:rFonts w:cs="Arial"/>
              </w:rPr>
              <w:t xml:space="preserve"> rule, industry is estimated to incur incremental costs between approximately </w:t>
            </w:r>
            <w:r w:rsidRPr="007A0017">
              <w:rPr>
                <w:rFonts w:cs="Arial"/>
              </w:rPr>
              <w:t xml:space="preserve">$3,318,492 and $10,733,149 the first year and between approximately $1,580,214 and $5,111,044 </w:t>
            </w:r>
            <w:r w:rsidRPr="00B25FD9">
              <w:rPr>
                <w:rFonts w:cs="Arial"/>
              </w:rPr>
              <w:t>in the steady state.</w:t>
            </w:r>
          </w:p>
        </w:tc>
      </w:tr>
    </w:tbl>
    <w:p w:rsidR="00102EDA" w:rsidP="007414C8" w14:paraId="3C9E78DD" w14:textId="77777777">
      <w:pPr>
        <w:spacing w:after="200" w:line="276" w:lineRule="auto"/>
        <w:ind w:right="216"/>
        <w:jc w:val="center"/>
        <w:rPr>
          <w:rFonts w:cs="Arial"/>
          <w:b/>
          <w:bCs/>
        </w:rPr>
      </w:pPr>
    </w:p>
    <w:p w:rsidR="00102EDA" w:rsidP="007414C8" w14:paraId="268F839D" w14:textId="77777777">
      <w:pPr>
        <w:spacing w:after="200" w:line="276" w:lineRule="auto"/>
        <w:ind w:right="216"/>
        <w:jc w:val="center"/>
        <w:rPr>
          <w:rFonts w:cs="Arial"/>
          <w:b/>
          <w:bCs/>
        </w:rPr>
      </w:pPr>
    </w:p>
    <w:p w:rsidR="00102EDA" w14:paraId="6AB8E2E4" w14:textId="77777777">
      <w:pPr>
        <w:autoSpaceDE/>
        <w:autoSpaceDN/>
        <w:rPr>
          <w:rFonts w:cs="Arial"/>
          <w:b/>
          <w:bCs/>
        </w:rPr>
      </w:pPr>
      <w:r>
        <w:rPr>
          <w:rFonts w:cs="Arial"/>
          <w:b/>
          <w:bCs/>
        </w:rPr>
        <w:br w:type="page"/>
      </w:r>
    </w:p>
    <w:p w:rsidR="007A25B1" w:rsidRPr="00444F9D" w:rsidP="00246FA0" w14:paraId="51E54242" w14:textId="77777777">
      <w:pPr>
        <w:spacing w:after="200" w:line="276" w:lineRule="auto"/>
        <w:ind w:right="216"/>
        <w:jc w:val="center"/>
        <w:rPr>
          <w:rFonts w:cs="Arial"/>
          <w:b/>
          <w:bCs/>
        </w:rPr>
      </w:pPr>
      <w:r w:rsidRPr="00444F9D">
        <w:rPr>
          <w:rFonts w:cs="Arial"/>
          <w:b/>
          <w:bCs/>
        </w:rPr>
        <w:t>Table 8</w:t>
      </w:r>
    </w:p>
    <w:p w:rsidR="000F0C4B" w:rsidRPr="00444F9D" w:rsidP="00444F9D" w14:paraId="632BBA5C" w14:textId="77777777">
      <w:pPr>
        <w:keepNext/>
        <w:keepLines/>
        <w:widowControl w:val="0"/>
        <w:tabs>
          <w:tab w:val="left" w:pos="1440"/>
        </w:tabs>
        <w:spacing w:after="200" w:line="276" w:lineRule="auto"/>
        <w:ind w:left="1440" w:hanging="1440"/>
        <w:jc w:val="center"/>
        <w:rPr>
          <w:rFonts w:cs="Arial"/>
          <w:b/>
          <w:bCs/>
        </w:rPr>
      </w:pPr>
      <w:r w:rsidRPr="00444F9D">
        <w:rPr>
          <w:rFonts w:cs="Arial"/>
          <w:b/>
          <w:bCs/>
        </w:rPr>
        <w:t xml:space="preserve">Summary of Total Incremental Costs of the </w:t>
      </w:r>
      <w:r w:rsidR="00893872">
        <w:rPr>
          <w:rFonts w:cs="Arial"/>
          <w:b/>
          <w:bCs/>
        </w:rPr>
        <w:t>Final</w:t>
      </w:r>
      <w:r w:rsidRPr="00444F9D" w:rsidR="00893872">
        <w:rPr>
          <w:rFonts w:cs="Arial"/>
          <w:b/>
          <w:bCs/>
        </w:rPr>
        <w:t xml:space="preserve"> </w:t>
      </w:r>
      <w:r w:rsidRPr="00444F9D">
        <w:rPr>
          <w:rFonts w:cs="Arial"/>
          <w:b/>
          <w:bCs/>
        </w:rPr>
        <w:t>Rule</w:t>
      </w:r>
    </w:p>
    <w:tbl>
      <w:tblPr>
        <w:tblW w:w="4917" w:type="pct"/>
        <w:tblLayout w:type="fixed"/>
        <w:tblCellMar>
          <w:left w:w="86" w:type="dxa"/>
          <w:right w:w="86" w:type="dxa"/>
        </w:tblCellMar>
        <w:tblLook w:val="04A0"/>
      </w:tblPr>
      <w:tblGrid>
        <w:gridCol w:w="2003"/>
        <w:gridCol w:w="1815"/>
        <w:gridCol w:w="1817"/>
        <w:gridCol w:w="1815"/>
        <w:gridCol w:w="1745"/>
      </w:tblGrid>
      <w:tr w14:paraId="09F711E0" w14:textId="77777777" w:rsidTr="00B815E1">
        <w:tblPrEx>
          <w:tblW w:w="4917" w:type="pct"/>
          <w:tblLayout w:type="fixed"/>
          <w:tblCellMar>
            <w:left w:w="86" w:type="dxa"/>
            <w:right w:w="86" w:type="dxa"/>
          </w:tblCellMar>
          <w:tblLook w:val="04A0"/>
        </w:tblPrEx>
        <w:trPr>
          <w:cantSplit/>
          <w:trHeight w:val="602"/>
        </w:trPr>
        <w:tc>
          <w:tcPr>
            <w:tcW w:w="1089" w:type="pct"/>
            <w:vMerge w:val="restart"/>
            <w:tcBorders>
              <w:top w:val="single" w:sz="4" w:space="0" w:color="auto"/>
              <w:left w:val="single" w:sz="4" w:space="0" w:color="auto"/>
              <w:right w:val="single" w:sz="4" w:space="0" w:color="auto"/>
            </w:tcBorders>
            <w:shd w:val="clear" w:color="auto" w:fill="D0D3D4"/>
            <w:noWrap/>
            <w:vAlign w:val="center"/>
          </w:tcPr>
          <w:p w:rsidR="00B815E1" w:rsidRPr="002402D1" w:rsidP="007912E3" w14:paraId="1F995A34" w14:textId="77777777">
            <w:pPr>
              <w:keepNext/>
              <w:keepLines/>
              <w:jc w:val="center"/>
              <w:rPr>
                <w:rFonts w:cs="Arial"/>
                <w:b/>
                <w:bCs/>
                <w:color w:val="000000"/>
                <w:sz w:val="20"/>
              </w:rPr>
            </w:pPr>
            <w:r w:rsidRPr="002402D1">
              <w:rPr>
                <w:rFonts w:cs="Arial"/>
                <w:b/>
                <w:bCs/>
                <w:color w:val="000000"/>
                <w:sz w:val="20"/>
              </w:rPr>
              <w:t>Cost Category</w:t>
            </w:r>
          </w:p>
        </w:tc>
        <w:tc>
          <w:tcPr>
            <w:tcW w:w="1975" w:type="pct"/>
            <w:gridSpan w:val="2"/>
            <w:tcBorders>
              <w:top w:val="single" w:sz="4" w:space="0" w:color="auto"/>
              <w:left w:val="nil"/>
              <w:bottom w:val="single" w:sz="4" w:space="0" w:color="auto"/>
              <w:right w:val="single" w:sz="4" w:space="0" w:color="auto"/>
            </w:tcBorders>
            <w:shd w:val="clear" w:color="auto" w:fill="D0D3D4"/>
            <w:vAlign w:val="center"/>
          </w:tcPr>
          <w:p w:rsidR="00B815E1" w:rsidRPr="002402D1" w:rsidP="007912E3" w14:paraId="59263D41" w14:textId="77777777">
            <w:pPr>
              <w:keepNext/>
              <w:keepLines/>
              <w:jc w:val="center"/>
              <w:rPr>
                <w:rFonts w:cs="Arial"/>
                <w:b/>
                <w:bCs/>
                <w:color w:val="000000"/>
                <w:sz w:val="20"/>
              </w:rPr>
            </w:pPr>
            <w:r>
              <w:rPr>
                <w:rFonts w:cs="Arial"/>
                <w:b/>
                <w:bCs/>
                <w:color w:val="000000"/>
                <w:sz w:val="20"/>
              </w:rPr>
              <w:t>Low-Estimate Scenario</w:t>
            </w:r>
          </w:p>
        </w:tc>
        <w:tc>
          <w:tcPr>
            <w:tcW w:w="1936" w:type="pct"/>
            <w:gridSpan w:val="2"/>
            <w:tcBorders>
              <w:top w:val="single" w:sz="4" w:space="0" w:color="auto"/>
              <w:left w:val="nil"/>
              <w:bottom w:val="single" w:sz="4" w:space="0" w:color="auto"/>
              <w:right w:val="single" w:sz="4" w:space="0" w:color="auto"/>
            </w:tcBorders>
            <w:shd w:val="clear" w:color="auto" w:fill="D0D3D4"/>
            <w:vAlign w:val="center"/>
          </w:tcPr>
          <w:p w:rsidR="00B815E1" w:rsidRPr="002402D1" w:rsidP="007912E3" w14:paraId="2B08C194" w14:textId="77777777">
            <w:pPr>
              <w:keepNext/>
              <w:keepLines/>
              <w:jc w:val="center"/>
              <w:rPr>
                <w:rFonts w:cs="Arial"/>
                <w:b/>
                <w:bCs/>
                <w:color w:val="000000"/>
                <w:sz w:val="20"/>
              </w:rPr>
            </w:pPr>
            <w:r>
              <w:rPr>
                <w:rFonts w:cs="Arial"/>
                <w:b/>
                <w:bCs/>
                <w:color w:val="000000"/>
                <w:sz w:val="20"/>
              </w:rPr>
              <w:t>High-Estimate Scenario</w:t>
            </w:r>
          </w:p>
        </w:tc>
      </w:tr>
      <w:tr w14:paraId="48F6E4C5" w14:textId="77777777" w:rsidTr="00B815E1">
        <w:tblPrEx>
          <w:tblW w:w="4917" w:type="pct"/>
          <w:tblLayout w:type="fixed"/>
          <w:tblCellMar>
            <w:left w:w="86" w:type="dxa"/>
            <w:right w:w="86" w:type="dxa"/>
          </w:tblCellMar>
          <w:tblLook w:val="04A0"/>
        </w:tblPrEx>
        <w:trPr>
          <w:cantSplit/>
          <w:trHeight w:val="720"/>
        </w:trPr>
        <w:tc>
          <w:tcPr>
            <w:tcW w:w="1089" w:type="pct"/>
            <w:vMerge/>
            <w:tcBorders>
              <w:left w:val="single" w:sz="4" w:space="0" w:color="auto"/>
              <w:bottom w:val="single" w:sz="4" w:space="0" w:color="auto"/>
              <w:right w:val="single" w:sz="4" w:space="0" w:color="auto"/>
            </w:tcBorders>
            <w:shd w:val="clear" w:color="auto" w:fill="D0D3D4"/>
            <w:noWrap/>
            <w:vAlign w:val="center"/>
            <w:hideMark/>
          </w:tcPr>
          <w:p w:rsidR="00B815E1" w:rsidRPr="002402D1" w:rsidP="007912E3" w14:paraId="6675804F" w14:textId="77777777">
            <w:pPr>
              <w:keepNext/>
              <w:keepLines/>
              <w:jc w:val="center"/>
              <w:rPr>
                <w:rFonts w:cs="Arial"/>
                <w:b/>
                <w:bCs/>
                <w:color w:val="000000"/>
                <w:sz w:val="20"/>
              </w:rPr>
            </w:pPr>
          </w:p>
        </w:tc>
        <w:tc>
          <w:tcPr>
            <w:tcW w:w="987" w:type="pct"/>
            <w:tcBorders>
              <w:top w:val="single" w:sz="4" w:space="0" w:color="auto"/>
              <w:left w:val="nil"/>
              <w:bottom w:val="single" w:sz="4" w:space="0" w:color="auto"/>
              <w:right w:val="single" w:sz="4" w:space="0" w:color="auto"/>
            </w:tcBorders>
            <w:shd w:val="clear" w:color="auto" w:fill="D0D3D4"/>
            <w:vAlign w:val="center"/>
            <w:hideMark/>
          </w:tcPr>
          <w:p w:rsidR="00B815E1" w:rsidRPr="002402D1" w:rsidP="007912E3" w14:paraId="44C850E8" w14:textId="77777777">
            <w:pPr>
              <w:keepNext/>
              <w:keepLines/>
              <w:jc w:val="center"/>
              <w:rPr>
                <w:rFonts w:cs="Arial"/>
                <w:b/>
                <w:bCs/>
                <w:color w:val="000000"/>
                <w:sz w:val="20"/>
              </w:rPr>
            </w:pPr>
            <w:r w:rsidRPr="002402D1">
              <w:rPr>
                <w:rFonts w:cs="Arial"/>
                <w:b/>
                <w:bCs/>
                <w:color w:val="000000"/>
                <w:sz w:val="20"/>
              </w:rPr>
              <w:t xml:space="preserve">3% </w:t>
            </w:r>
            <w:r w:rsidRPr="002402D1">
              <w:rPr>
                <w:rFonts w:cs="Arial"/>
                <w:b/>
                <w:bCs/>
                <w:color w:val="000000"/>
                <w:sz w:val="20"/>
              </w:rPr>
              <w:t>Discount Rate</w:t>
            </w:r>
          </w:p>
        </w:tc>
        <w:tc>
          <w:tcPr>
            <w:tcW w:w="988" w:type="pct"/>
            <w:tcBorders>
              <w:top w:val="single" w:sz="4" w:space="0" w:color="auto"/>
              <w:left w:val="nil"/>
              <w:bottom w:val="single" w:sz="4" w:space="0" w:color="auto"/>
              <w:right w:val="single" w:sz="4" w:space="0" w:color="auto"/>
            </w:tcBorders>
            <w:shd w:val="clear" w:color="auto" w:fill="D0D3D4"/>
            <w:vAlign w:val="center"/>
          </w:tcPr>
          <w:p w:rsidR="00B815E1" w:rsidRPr="002402D1" w:rsidP="007912E3" w14:paraId="53D4B7EF" w14:textId="77777777">
            <w:pPr>
              <w:keepNext/>
              <w:keepLines/>
              <w:jc w:val="center"/>
              <w:rPr>
                <w:rFonts w:cs="Arial"/>
                <w:b/>
                <w:bCs/>
                <w:color w:val="000000"/>
                <w:sz w:val="20"/>
              </w:rPr>
            </w:pPr>
            <w:r w:rsidRPr="002402D1">
              <w:rPr>
                <w:rFonts w:cs="Arial"/>
                <w:b/>
                <w:bCs/>
                <w:color w:val="000000"/>
                <w:sz w:val="20"/>
              </w:rPr>
              <w:t>7% Discount Rate</w:t>
            </w:r>
          </w:p>
        </w:tc>
        <w:tc>
          <w:tcPr>
            <w:tcW w:w="987" w:type="pct"/>
            <w:tcBorders>
              <w:top w:val="single" w:sz="4" w:space="0" w:color="auto"/>
              <w:left w:val="single" w:sz="4" w:space="0" w:color="auto"/>
              <w:bottom w:val="single" w:sz="4" w:space="0" w:color="auto"/>
              <w:right w:val="single" w:sz="4" w:space="0" w:color="auto"/>
            </w:tcBorders>
            <w:shd w:val="clear" w:color="auto" w:fill="D0D3D4"/>
            <w:vAlign w:val="center"/>
          </w:tcPr>
          <w:p w:rsidR="00B815E1" w:rsidRPr="002402D1" w:rsidP="007912E3" w14:paraId="22A13BFE" w14:textId="77777777">
            <w:pPr>
              <w:keepNext/>
              <w:keepLines/>
              <w:jc w:val="center"/>
              <w:rPr>
                <w:rFonts w:cs="Arial"/>
                <w:b/>
                <w:bCs/>
                <w:color w:val="000000"/>
                <w:sz w:val="20"/>
              </w:rPr>
            </w:pPr>
            <w:r w:rsidRPr="002402D1">
              <w:rPr>
                <w:rFonts w:cs="Arial"/>
                <w:b/>
                <w:bCs/>
                <w:color w:val="000000"/>
                <w:sz w:val="20"/>
              </w:rPr>
              <w:t>3% Discount Rate</w:t>
            </w:r>
          </w:p>
        </w:tc>
        <w:tc>
          <w:tcPr>
            <w:tcW w:w="949" w:type="pct"/>
            <w:tcBorders>
              <w:top w:val="single" w:sz="4" w:space="0" w:color="auto"/>
              <w:left w:val="single" w:sz="4" w:space="0" w:color="auto"/>
              <w:bottom w:val="single" w:sz="4" w:space="0" w:color="auto"/>
              <w:right w:val="single" w:sz="4" w:space="0" w:color="auto"/>
            </w:tcBorders>
            <w:shd w:val="clear" w:color="auto" w:fill="D0D3D4"/>
            <w:vAlign w:val="center"/>
            <w:hideMark/>
          </w:tcPr>
          <w:p w:rsidR="00B815E1" w:rsidRPr="002402D1" w:rsidP="007912E3" w14:paraId="1E8755E5" w14:textId="77777777">
            <w:pPr>
              <w:keepNext/>
              <w:keepLines/>
              <w:jc w:val="center"/>
              <w:rPr>
                <w:rFonts w:cs="Arial"/>
                <w:b/>
                <w:bCs/>
                <w:color w:val="000000"/>
                <w:sz w:val="20"/>
              </w:rPr>
            </w:pPr>
            <w:r w:rsidRPr="002402D1">
              <w:rPr>
                <w:rFonts w:cs="Arial"/>
                <w:b/>
                <w:bCs/>
                <w:color w:val="000000"/>
                <w:sz w:val="20"/>
              </w:rPr>
              <w:t>7% Discount Rate)</w:t>
            </w:r>
          </w:p>
        </w:tc>
      </w:tr>
      <w:tr w14:paraId="37686418" w14:textId="77777777" w:rsidTr="00B413C8">
        <w:tblPrEx>
          <w:tblW w:w="4917" w:type="pct"/>
          <w:tblLayout w:type="fixed"/>
          <w:tblCellMar>
            <w:left w:w="86" w:type="dxa"/>
            <w:right w:w="86" w:type="dxa"/>
          </w:tblCellMar>
          <w:tblLook w:val="04A0"/>
        </w:tblPrEx>
        <w:trPr>
          <w:cantSplit/>
          <w:trHeight w:val="240"/>
        </w:trPr>
        <w:tc>
          <w:tcPr>
            <w:tcW w:w="1089" w:type="pct"/>
            <w:tcBorders>
              <w:top w:val="nil"/>
              <w:left w:val="single" w:sz="4" w:space="0" w:color="auto"/>
              <w:bottom w:val="single" w:sz="4" w:space="0" w:color="auto"/>
              <w:right w:val="single" w:sz="4" w:space="0" w:color="auto"/>
            </w:tcBorders>
            <w:shd w:val="clear" w:color="auto" w:fill="auto"/>
            <w:noWrap/>
            <w:vAlign w:val="bottom"/>
            <w:hideMark/>
          </w:tcPr>
          <w:p w:rsidR="007A0017" w:rsidRPr="00C545A2" w:rsidP="007A0017" w14:paraId="42B32458" w14:textId="77777777">
            <w:pPr>
              <w:keepNext/>
              <w:keepLines/>
              <w:spacing w:before="96" w:beforeLines="40" w:after="96" w:afterLines="40"/>
              <w:rPr>
                <w:rFonts w:cs="Arial"/>
                <w:color w:val="000000"/>
                <w:sz w:val="18"/>
                <w:szCs w:val="18"/>
              </w:rPr>
            </w:pPr>
            <w:r w:rsidRPr="00C545A2">
              <w:rPr>
                <w:rFonts w:cs="Arial"/>
                <w:color w:val="000000"/>
                <w:sz w:val="18"/>
                <w:szCs w:val="18"/>
              </w:rPr>
              <w:t>Industry Costs</w:t>
            </w:r>
          </w:p>
        </w:tc>
        <w:tc>
          <w:tcPr>
            <w:tcW w:w="987" w:type="pct"/>
            <w:tcBorders>
              <w:top w:val="nil"/>
              <w:left w:val="nil"/>
              <w:bottom w:val="single" w:sz="4" w:space="0" w:color="auto"/>
              <w:right w:val="single" w:sz="4" w:space="0" w:color="auto"/>
            </w:tcBorders>
            <w:shd w:val="clear" w:color="auto" w:fill="auto"/>
            <w:noWrap/>
            <w:vAlign w:val="center"/>
            <w:hideMark/>
          </w:tcPr>
          <w:p w:rsidR="007A0017" w:rsidRPr="007A0017" w:rsidP="007A0017" w14:paraId="6D862872" w14:textId="77777777">
            <w:pPr>
              <w:keepNext/>
              <w:keepLines/>
              <w:spacing w:before="96" w:beforeLines="40" w:after="96" w:afterLines="40"/>
              <w:jc w:val="center"/>
              <w:rPr>
                <w:rFonts w:cs="Arial"/>
                <w:color w:val="000000"/>
                <w:sz w:val="18"/>
                <w:szCs w:val="18"/>
              </w:rPr>
            </w:pPr>
            <w:r w:rsidRPr="007A0017">
              <w:rPr>
                <w:rFonts w:cs="Arial"/>
                <w:color w:val="000000"/>
                <w:sz w:val="18"/>
                <w:szCs w:val="18"/>
              </w:rPr>
              <w:t xml:space="preserve">$2,733,027 </w:t>
            </w:r>
          </w:p>
        </w:tc>
        <w:tc>
          <w:tcPr>
            <w:tcW w:w="988" w:type="pct"/>
            <w:tcBorders>
              <w:top w:val="single" w:sz="4" w:space="0" w:color="auto"/>
              <w:left w:val="nil"/>
              <w:bottom w:val="single" w:sz="4" w:space="0" w:color="auto"/>
              <w:right w:val="single" w:sz="4" w:space="0" w:color="auto"/>
            </w:tcBorders>
            <w:vAlign w:val="center"/>
          </w:tcPr>
          <w:p w:rsidR="007A0017" w:rsidRPr="007A0017" w:rsidP="007A0017" w14:paraId="4ECA8D82" w14:textId="77777777">
            <w:pPr>
              <w:keepNext/>
              <w:keepLines/>
              <w:spacing w:before="96" w:beforeLines="40" w:after="96" w:afterLines="40"/>
              <w:jc w:val="center"/>
              <w:rPr>
                <w:rFonts w:cs="Arial"/>
                <w:color w:val="000000"/>
                <w:sz w:val="18"/>
                <w:szCs w:val="18"/>
              </w:rPr>
            </w:pPr>
            <w:r w:rsidRPr="007A0017">
              <w:rPr>
                <w:rFonts w:cs="Arial"/>
                <w:color w:val="000000"/>
                <w:sz w:val="18"/>
                <w:szCs w:val="18"/>
              </w:rPr>
              <w:t xml:space="preserve">$2,766,483 </w:t>
            </w:r>
          </w:p>
        </w:tc>
        <w:tc>
          <w:tcPr>
            <w:tcW w:w="987" w:type="pct"/>
            <w:tcBorders>
              <w:top w:val="single" w:sz="4" w:space="0" w:color="auto"/>
              <w:left w:val="single" w:sz="4" w:space="0" w:color="auto"/>
              <w:bottom w:val="single" w:sz="4" w:space="0" w:color="auto"/>
              <w:right w:val="single" w:sz="4" w:space="0" w:color="auto"/>
            </w:tcBorders>
            <w:vAlign w:val="center"/>
          </w:tcPr>
          <w:p w:rsidR="007A0017" w:rsidRPr="007A0017" w:rsidP="007A0017" w14:paraId="4BA383E0" w14:textId="77777777">
            <w:pPr>
              <w:keepNext/>
              <w:keepLines/>
              <w:spacing w:before="96" w:beforeLines="40" w:after="96" w:afterLines="40"/>
              <w:jc w:val="center"/>
              <w:rPr>
                <w:rFonts w:cs="Arial"/>
                <w:color w:val="000000"/>
                <w:sz w:val="18"/>
                <w:szCs w:val="18"/>
              </w:rPr>
            </w:pPr>
            <w:r w:rsidRPr="007A0017">
              <w:rPr>
                <w:rFonts w:cs="Arial"/>
                <w:color w:val="000000"/>
                <w:sz w:val="18"/>
                <w:szCs w:val="18"/>
              </w:rPr>
              <w:t xml:space="preserve">$6,705,879 </w:t>
            </w:r>
          </w:p>
        </w:tc>
        <w:tc>
          <w:tcPr>
            <w:tcW w:w="949" w:type="pct"/>
            <w:tcBorders>
              <w:top w:val="nil"/>
              <w:left w:val="single" w:sz="4" w:space="0" w:color="auto"/>
              <w:bottom w:val="single" w:sz="4" w:space="0" w:color="auto"/>
              <w:right w:val="single" w:sz="4" w:space="0" w:color="auto"/>
            </w:tcBorders>
            <w:shd w:val="clear" w:color="auto" w:fill="auto"/>
            <w:noWrap/>
            <w:vAlign w:val="center"/>
            <w:hideMark/>
          </w:tcPr>
          <w:p w:rsidR="007A0017" w:rsidRPr="007A0017" w:rsidP="007A0017" w14:paraId="5B07056F" w14:textId="77777777">
            <w:pPr>
              <w:keepNext/>
              <w:keepLines/>
              <w:spacing w:before="96" w:beforeLines="40" w:after="96" w:afterLines="40"/>
              <w:jc w:val="center"/>
              <w:rPr>
                <w:rFonts w:cs="Arial"/>
                <w:color w:val="000000"/>
                <w:sz w:val="18"/>
                <w:szCs w:val="18"/>
              </w:rPr>
            </w:pPr>
            <w:r w:rsidRPr="007A0017">
              <w:rPr>
                <w:rFonts w:cs="Arial"/>
                <w:color w:val="000000"/>
                <w:sz w:val="18"/>
                <w:szCs w:val="18"/>
              </w:rPr>
              <w:t xml:space="preserve">$6,814,085 </w:t>
            </w:r>
          </w:p>
        </w:tc>
      </w:tr>
      <w:tr w14:paraId="0154609D" w14:textId="77777777" w:rsidTr="00B413C8">
        <w:tblPrEx>
          <w:tblW w:w="4917" w:type="pct"/>
          <w:tblLayout w:type="fixed"/>
          <w:tblCellMar>
            <w:left w:w="86" w:type="dxa"/>
            <w:right w:w="86" w:type="dxa"/>
          </w:tblCellMar>
          <w:tblLook w:val="04A0"/>
        </w:tblPrEx>
        <w:trPr>
          <w:cantSplit/>
          <w:trHeight w:val="240"/>
        </w:trPr>
        <w:tc>
          <w:tcPr>
            <w:tcW w:w="1089" w:type="pct"/>
            <w:tcBorders>
              <w:top w:val="nil"/>
              <w:left w:val="single" w:sz="4" w:space="0" w:color="auto"/>
              <w:bottom w:val="single" w:sz="4" w:space="0" w:color="auto"/>
              <w:right w:val="single" w:sz="4" w:space="0" w:color="auto"/>
            </w:tcBorders>
            <w:shd w:val="clear" w:color="auto" w:fill="auto"/>
            <w:noWrap/>
            <w:vAlign w:val="bottom"/>
            <w:hideMark/>
          </w:tcPr>
          <w:p w:rsidR="007A0017" w:rsidRPr="00C545A2" w:rsidP="007A0017" w14:paraId="3AD4AE5B" w14:textId="77777777">
            <w:pPr>
              <w:keepNext/>
              <w:keepLines/>
              <w:spacing w:before="96" w:beforeLines="40" w:after="96" w:afterLines="40"/>
              <w:rPr>
                <w:rFonts w:cs="Arial"/>
                <w:color w:val="000000"/>
                <w:sz w:val="18"/>
                <w:szCs w:val="18"/>
              </w:rPr>
            </w:pPr>
            <w:r w:rsidRPr="00C545A2">
              <w:rPr>
                <w:rFonts w:cs="Arial"/>
                <w:color w:val="000000"/>
                <w:sz w:val="18"/>
                <w:szCs w:val="18"/>
              </w:rPr>
              <w:t>EPA Processing Costs</w:t>
            </w:r>
          </w:p>
        </w:tc>
        <w:tc>
          <w:tcPr>
            <w:tcW w:w="987" w:type="pct"/>
            <w:tcBorders>
              <w:top w:val="nil"/>
              <w:left w:val="nil"/>
              <w:bottom w:val="single" w:sz="4" w:space="0" w:color="auto"/>
              <w:right w:val="single" w:sz="4" w:space="0" w:color="auto"/>
            </w:tcBorders>
            <w:shd w:val="clear" w:color="auto" w:fill="auto"/>
            <w:noWrap/>
            <w:vAlign w:val="center"/>
            <w:hideMark/>
          </w:tcPr>
          <w:p w:rsidR="007A0017" w:rsidRPr="007A0017" w:rsidP="007A0017" w14:paraId="0C31B766" w14:textId="77777777">
            <w:pPr>
              <w:keepNext/>
              <w:keepLines/>
              <w:spacing w:before="96" w:beforeLines="40" w:after="96" w:afterLines="40"/>
              <w:jc w:val="center"/>
              <w:rPr>
                <w:rFonts w:cs="Arial"/>
                <w:color w:val="000000"/>
                <w:sz w:val="18"/>
                <w:szCs w:val="18"/>
              </w:rPr>
            </w:pPr>
            <w:r w:rsidRPr="007A0017">
              <w:rPr>
                <w:rFonts w:cs="Arial"/>
                <w:color w:val="000000"/>
                <w:sz w:val="18"/>
                <w:szCs w:val="18"/>
              </w:rPr>
              <w:t xml:space="preserve">$4,687 </w:t>
            </w:r>
          </w:p>
        </w:tc>
        <w:tc>
          <w:tcPr>
            <w:tcW w:w="988" w:type="pct"/>
            <w:tcBorders>
              <w:top w:val="single" w:sz="4" w:space="0" w:color="auto"/>
              <w:left w:val="nil"/>
              <w:bottom w:val="single" w:sz="4" w:space="0" w:color="auto"/>
              <w:right w:val="single" w:sz="4" w:space="0" w:color="auto"/>
            </w:tcBorders>
            <w:vAlign w:val="center"/>
          </w:tcPr>
          <w:p w:rsidR="007A0017" w:rsidRPr="007A0017" w:rsidP="007A0017" w14:paraId="6A556B77" w14:textId="77777777">
            <w:pPr>
              <w:keepNext/>
              <w:keepLines/>
              <w:spacing w:before="96" w:beforeLines="40" w:after="96" w:afterLines="40"/>
              <w:jc w:val="center"/>
              <w:rPr>
                <w:rFonts w:cs="Arial"/>
                <w:color w:val="000000"/>
                <w:sz w:val="18"/>
                <w:szCs w:val="18"/>
              </w:rPr>
            </w:pPr>
            <w:r w:rsidRPr="007A0017">
              <w:rPr>
                <w:rFonts w:cs="Arial"/>
                <w:color w:val="000000"/>
                <w:sz w:val="18"/>
                <w:szCs w:val="18"/>
              </w:rPr>
              <w:t xml:space="preserve">$4,687 </w:t>
            </w:r>
          </w:p>
        </w:tc>
        <w:tc>
          <w:tcPr>
            <w:tcW w:w="987" w:type="pct"/>
            <w:tcBorders>
              <w:top w:val="single" w:sz="4" w:space="0" w:color="auto"/>
              <w:left w:val="single" w:sz="4" w:space="0" w:color="auto"/>
              <w:bottom w:val="single" w:sz="4" w:space="0" w:color="auto"/>
              <w:right w:val="single" w:sz="4" w:space="0" w:color="auto"/>
            </w:tcBorders>
            <w:vAlign w:val="center"/>
          </w:tcPr>
          <w:p w:rsidR="007A0017" w:rsidRPr="007A0017" w:rsidP="007A0017" w14:paraId="6A08A2E6" w14:textId="77777777">
            <w:pPr>
              <w:keepNext/>
              <w:keepLines/>
              <w:spacing w:before="96" w:beforeLines="40" w:after="96" w:afterLines="40"/>
              <w:jc w:val="center"/>
              <w:rPr>
                <w:rFonts w:cs="Arial"/>
                <w:color w:val="000000"/>
                <w:sz w:val="18"/>
                <w:szCs w:val="18"/>
              </w:rPr>
            </w:pPr>
            <w:r w:rsidRPr="007A0017">
              <w:rPr>
                <w:rFonts w:cs="Arial"/>
                <w:color w:val="000000"/>
                <w:sz w:val="18"/>
                <w:szCs w:val="18"/>
              </w:rPr>
              <w:t xml:space="preserve">$15,159 </w:t>
            </w:r>
          </w:p>
        </w:tc>
        <w:tc>
          <w:tcPr>
            <w:tcW w:w="949" w:type="pct"/>
            <w:tcBorders>
              <w:top w:val="nil"/>
              <w:left w:val="single" w:sz="4" w:space="0" w:color="auto"/>
              <w:bottom w:val="single" w:sz="4" w:space="0" w:color="auto"/>
              <w:right w:val="single" w:sz="4" w:space="0" w:color="auto"/>
            </w:tcBorders>
            <w:shd w:val="clear" w:color="auto" w:fill="auto"/>
            <w:noWrap/>
            <w:vAlign w:val="center"/>
            <w:hideMark/>
          </w:tcPr>
          <w:p w:rsidR="007A0017" w:rsidRPr="007A0017" w:rsidP="007A0017" w14:paraId="685E3642" w14:textId="77777777">
            <w:pPr>
              <w:keepNext/>
              <w:keepLines/>
              <w:spacing w:before="96" w:beforeLines="40" w:after="96" w:afterLines="40"/>
              <w:jc w:val="center"/>
              <w:rPr>
                <w:rFonts w:cs="Arial"/>
                <w:color w:val="000000"/>
                <w:sz w:val="18"/>
                <w:szCs w:val="18"/>
              </w:rPr>
            </w:pPr>
            <w:r w:rsidRPr="007A0017">
              <w:rPr>
                <w:rFonts w:cs="Arial"/>
                <w:color w:val="000000"/>
                <w:sz w:val="18"/>
                <w:szCs w:val="18"/>
              </w:rPr>
              <w:t xml:space="preserve">$15,159 </w:t>
            </w:r>
          </w:p>
        </w:tc>
      </w:tr>
      <w:tr w14:paraId="5F8DBBB8" w14:textId="77777777" w:rsidTr="00B413C8">
        <w:tblPrEx>
          <w:tblW w:w="4917" w:type="pct"/>
          <w:tblLayout w:type="fixed"/>
          <w:tblCellMar>
            <w:left w:w="86" w:type="dxa"/>
            <w:right w:w="86" w:type="dxa"/>
          </w:tblCellMar>
          <w:tblLook w:val="04A0"/>
        </w:tblPrEx>
        <w:trPr>
          <w:cantSplit/>
          <w:trHeight w:val="240"/>
        </w:trPr>
        <w:tc>
          <w:tcPr>
            <w:tcW w:w="1089" w:type="pct"/>
            <w:tcBorders>
              <w:top w:val="nil"/>
              <w:left w:val="single" w:sz="4" w:space="0" w:color="auto"/>
              <w:bottom w:val="single" w:sz="4" w:space="0" w:color="auto"/>
              <w:right w:val="single" w:sz="4" w:space="0" w:color="auto"/>
            </w:tcBorders>
            <w:shd w:val="clear" w:color="auto" w:fill="auto"/>
            <w:noWrap/>
            <w:vAlign w:val="bottom"/>
            <w:hideMark/>
          </w:tcPr>
          <w:p w:rsidR="007A0017" w:rsidRPr="00C545A2" w:rsidP="007A0017" w14:paraId="1D0B2A53" w14:textId="77777777">
            <w:pPr>
              <w:keepNext/>
              <w:keepLines/>
              <w:spacing w:before="96" w:beforeLines="40" w:after="96" w:afterLines="40"/>
              <w:rPr>
                <w:rFonts w:cs="Arial"/>
                <w:b/>
                <w:bCs/>
                <w:color w:val="000000"/>
                <w:sz w:val="18"/>
                <w:szCs w:val="18"/>
              </w:rPr>
            </w:pPr>
            <w:r w:rsidRPr="00C545A2">
              <w:rPr>
                <w:rFonts w:cs="Arial"/>
                <w:b/>
                <w:bCs/>
                <w:color w:val="000000"/>
                <w:sz w:val="18"/>
                <w:szCs w:val="18"/>
              </w:rPr>
              <w:t>Total Costs</w:t>
            </w:r>
          </w:p>
        </w:tc>
        <w:tc>
          <w:tcPr>
            <w:tcW w:w="987" w:type="pct"/>
            <w:tcBorders>
              <w:top w:val="nil"/>
              <w:left w:val="nil"/>
              <w:bottom w:val="single" w:sz="4" w:space="0" w:color="auto"/>
              <w:right w:val="single" w:sz="4" w:space="0" w:color="auto"/>
            </w:tcBorders>
            <w:shd w:val="clear" w:color="auto" w:fill="auto"/>
            <w:noWrap/>
            <w:vAlign w:val="center"/>
            <w:hideMark/>
          </w:tcPr>
          <w:p w:rsidR="007A0017" w:rsidRPr="00E92467" w:rsidP="007A0017" w14:paraId="506369F9" w14:textId="77777777">
            <w:pPr>
              <w:keepNext/>
              <w:keepLines/>
              <w:spacing w:before="96" w:beforeLines="40" w:after="96" w:afterLines="40"/>
              <w:jc w:val="center"/>
              <w:rPr>
                <w:rFonts w:cs="Arial"/>
                <w:b/>
                <w:bCs/>
                <w:color w:val="000000"/>
                <w:sz w:val="18"/>
                <w:szCs w:val="18"/>
              </w:rPr>
            </w:pPr>
            <w:r>
              <w:rPr>
                <w:rFonts w:cs="Arial"/>
                <w:b/>
                <w:bCs/>
                <w:color w:val="000000"/>
                <w:sz w:val="18"/>
                <w:szCs w:val="18"/>
              </w:rPr>
              <w:t xml:space="preserve">$2,737,714 </w:t>
            </w:r>
          </w:p>
        </w:tc>
        <w:tc>
          <w:tcPr>
            <w:tcW w:w="988" w:type="pct"/>
            <w:tcBorders>
              <w:top w:val="single" w:sz="4" w:space="0" w:color="auto"/>
              <w:left w:val="nil"/>
              <w:bottom w:val="single" w:sz="4" w:space="0" w:color="auto"/>
              <w:right w:val="single" w:sz="4" w:space="0" w:color="auto"/>
            </w:tcBorders>
            <w:vAlign w:val="center"/>
          </w:tcPr>
          <w:p w:rsidR="007A0017" w:rsidRPr="00E92467" w:rsidP="007A0017" w14:paraId="10E5672A" w14:textId="77777777">
            <w:pPr>
              <w:keepNext/>
              <w:keepLines/>
              <w:spacing w:before="96" w:beforeLines="40" w:after="96" w:afterLines="40"/>
              <w:jc w:val="center"/>
              <w:rPr>
                <w:rFonts w:cs="Arial"/>
                <w:b/>
                <w:bCs/>
                <w:color w:val="000000"/>
                <w:sz w:val="18"/>
                <w:szCs w:val="18"/>
              </w:rPr>
            </w:pPr>
            <w:r>
              <w:rPr>
                <w:rFonts w:cs="Arial"/>
                <w:b/>
                <w:bCs/>
                <w:color w:val="000000"/>
                <w:sz w:val="18"/>
                <w:szCs w:val="18"/>
              </w:rPr>
              <w:t xml:space="preserve">$2,771,169 </w:t>
            </w:r>
          </w:p>
        </w:tc>
        <w:tc>
          <w:tcPr>
            <w:tcW w:w="987" w:type="pct"/>
            <w:tcBorders>
              <w:top w:val="single" w:sz="4" w:space="0" w:color="auto"/>
              <w:left w:val="single" w:sz="4" w:space="0" w:color="auto"/>
              <w:bottom w:val="single" w:sz="4" w:space="0" w:color="auto"/>
              <w:right w:val="single" w:sz="4" w:space="0" w:color="auto"/>
            </w:tcBorders>
            <w:vAlign w:val="center"/>
          </w:tcPr>
          <w:p w:rsidR="007A0017" w:rsidRPr="00E92467" w:rsidP="007A0017" w14:paraId="4BB36F0E" w14:textId="77777777">
            <w:pPr>
              <w:keepNext/>
              <w:keepLines/>
              <w:spacing w:before="96" w:beforeLines="40" w:after="96" w:afterLines="40"/>
              <w:jc w:val="center"/>
              <w:rPr>
                <w:rFonts w:cs="Arial"/>
                <w:b/>
                <w:bCs/>
                <w:color w:val="000000"/>
                <w:sz w:val="18"/>
                <w:szCs w:val="18"/>
              </w:rPr>
            </w:pPr>
            <w:r>
              <w:rPr>
                <w:rFonts w:cs="Arial"/>
                <w:b/>
                <w:bCs/>
                <w:color w:val="000000"/>
                <w:sz w:val="18"/>
                <w:szCs w:val="18"/>
              </w:rPr>
              <w:t xml:space="preserve">$6,721,038 </w:t>
            </w:r>
          </w:p>
        </w:tc>
        <w:tc>
          <w:tcPr>
            <w:tcW w:w="949" w:type="pct"/>
            <w:tcBorders>
              <w:top w:val="nil"/>
              <w:left w:val="single" w:sz="4" w:space="0" w:color="auto"/>
              <w:bottom w:val="single" w:sz="4" w:space="0" w:color="auto"/>
              <w:right w:val="single" w:sz="4" w:space="0" w:color="auto"/>
            </w:tcBorders>
            <w:shd w:val="clear" w:color="auto" w:fill="auto"/>
            <w:noWrap/>
            <w:vAlign w:val="center"/>
            <w:hideMark/>
          </w:tcPr>
          <w:p w:rsidR="007A0017" w:rsidRPr="00E92467" w:rsidP="007A0017" w14:paraId="3DB839C9" w14:textId="77777777">
            <w:pPr>
              <w:keepNext/>
              <w:keepLines/>
              <w:spacing w:before="96" w:beforeLines="40" w:after="96" w:afterLines="40"/>
              <w:jc w:val="center"/>
              <w:rPr>
                <w:rFonts w:cs="Arial"/>
                <w:b/>
                <w:bCs/>
                <w:color w:val="000000"/>
                <w:sz w:val="18"/>
                <w:szCs w:val="18"/>
              </w:rPr>
            </w:pPr>
            <w:r>
              <w:rPr>
                <w:rFonts w:cs="Arial"/>
                <w:b/>
                <w:bCs/>
                <w:color w:val="000000"/>
                <w:sz w:val="18"/>
                <w:szCs w:val="18"/>
              </w:rPr>
              <w:t xml:space="preserve">$6,829,243 </w:t>
            </w:r>
          </w:p>
        </w:tc>
      </w:tr>
    </w:tbl>
    <w:p w:rsidR="008E516A" w:rsidP="000E1778" w14:paraId="5B676AAB" w14:textId="77777777"/>
    <w:p w:rsidR="009147D7" w:rsidRPr="000E1778" w:rsidP="000E1778" w14:paraId="29740062" w14:textId="77777777">
      <w:pPr>
        <w:pStyle w:val="Heading1"/>
      </w:pPr>
      <w:r w:rsidRPr="000E1778">
        <w:t>13. Provide an estimate for the total annual cost burden to respondents or record keepers resulting from the collection of information. (Do not include the cost of any hour burden already reflected on the burden worksheet).</w:t>
      </w:r>
    </w:p>
    <w:p w:rsidR="009147D7" w:rsidRPr="000E1778" w:rsidP="000E1778" w14:paraId="623F7668" w14:textId="77777777">
      <w:pPr>
        <w:pStyle w:val="ListParagraph"/>
        <w:numPr>
          <w:ilvl w:val="0"/>
          <w:numId w:val="58"/>
        </w:numPr>
        <w:rPr>
          <w:b/>
          <w:bCs/>
        </w:rPr>
      </w:pPr>
      <w:r w:rsidRPr="000E1778">
        <w:rPr>
          <w:b/>
          <w:bCs/>
        </w:rPr>
        <w:t>The cost estimate should be split into two components: (a) a total capital and start-up cost component (annualized over its expected useful life) and (b) a total operation and maintenance and purchase of services component. The estimates should take into a</w:t>
      </w:r>
      <w:r w:rsidRPr="000E1778">
        <w:rPr>
          <w:b/>
          <w:bCs/>
        </w:rPr>
        <w:t>ccount costs associated with generating, maintaining, and disclosing or providing the information. Include descriptions of methods used to estimate major cost factors including system and technology acquisition, expected useful life of capital equipment, t</w:t>
      </w:r>
      <w:r w:rsidRPr="000E1778">
        <w:rPr>
          <w:b/>
          <w:bCs/>
        </w:rPr>
        <w:t>he discount rate(s), and the time period over which costs will be incurred. Capital and start-up costs include, among other items, preparations for collecting information such as purchasing computers and software; monitoring, sampling, drilling and testing</w:t>
      </w:r>
      <w:r w:rsidRPr="000E1778">
        <w:rPr>
          <w:b/>
          <w:bCs/>
        </w:rPr>
        <w:t xml:space="preserve"> equipment; and record storage facilities.</w:t>
      </w:r>
    </w:p>
    <w:p w:rsidR="009147D7" w:rsidRPr="000E1778" w:rsidP="000E1778" w14:paraId="37AE6692" w14:textId="77777777">
      <w:pPr>
        <w:pStyle w:val="ListParagraph"/>
        <w:numPr>
          <w:ilvl w:val="0"/>
          <w:numId w:val="58"/>
        </w:numPr>
        <w:rPr>
          <w:b/>
          <w:bCs/>
        </w:rPr>
      </w:pPr>
      <w:r w:rsidRPr="000E1778">
        <w:rPr>
          <w:b/>
          <w:bCs/>
        </w:rPr>
        <w:t>If cost estimates are expected to vary widely, agencies should present ranges of cost burdens and explain the reasons for the variance. The cost of purchasing or contracting out information collections services sh</w:t>
      </w:r>
      <w:r w:rsidRPr="000E1778">
        <w:rPr>
          <w:b/>
          <w:bCs/>
        </w:rPr>
        <w:t>ould be a part of this cost burden estimate. In developing cost burden estimates, agencies may consult with a sample of respondents (fewer than 10), utilize the 60-day pre-OMB submission public comment process and use existing economic or regulatory impact</w:t>
      </w:r>
      <w:r w:rsidRPr="000E1778">
        <w:rPr>
          <w:b/>
          <w:bCs/>
        </w:rPr>
        <w:t xml:space="preserve"> analysis associated with the rulemaking containing the information collection, as appropriate.</w:t>
      </w:r>
    </w:p>
    <w:p w:rsidR="009147D7" w:rsidRPr="009955F3" w:rsidP="009955F3" w14:paraId="38A1D35E" w14:textId="77777777">
      <w:pPr>
        <w:pStyle w:val="ListParagraph"/>
        <w:numPr>
          <w:ilvl w:val="0"/>
          <w:numId w:val="58"/>
        </w:numPr>
        <w:rPr>
          <w:b/>
          <w:bCs/>
        </w:rPr>
      </w:pPr>
      <w:r w:rsidRPr="009955F3">
        <w:rPr>
          <w:b/>
          <w:bCs/>
        </w:rPr>
        <w:t xml:space="preserve">Generally, estimates should not include purchases of equipment or services, or portions thereof, made: (1) prior to October 1, 1995, (2) to achieve </w:t>
      </w:r>
      <w:r w:rsidRPr="009955F3">
        <w:rPr>
          <w:b/>
          <w:bCs/>
        </w:rPr>
        <w:t>regulatory compliance with requirements not associated with the information collection, (3) for reasons other than to provide information or keep records for the government, or (4) as part of customary and usual business or private practices.</w:t>
      </w:r>
    </w:p>
    <w:p w:rsidR="00033560" w:rsidP="00444F9D" w14:paraId="33369F4E" w14:textId="77777777">
      <w:pPr>
        <w:spacing w:after="200" w:line="276" w:lineRule="auto"/>
        <w:ind w:right="68"/>
        <w:rPr>
          <w:rFonts w:cs="Arial"/>
        </w:rPr>
      </w:pPr>
    </w:p>
    <w:p w:rsidR="007D6FDD" w:rsidRPr="00444F9D" w:rsidP="00444F9D" w14:paraId="518A4B3A" w14:textId="77777777">
      <w:pPr>
        <w:spacing w:after="200" w:line="276" w:lineRule="auto"/>
        <w:ind w:right="68"/>
        <w:rPr>
          <w:rFonts w:cs="Arial"/>
        </w:rPr>
      </w:pPr>
      <w:r w:rsidRPr="00444F9D">
        <w:rPr>
          <w:rFonts w:cs="Arial"/>
        </w:rPr>
        <w:t>There are no</w:t>
      </w:r>
      <w:r w:rsidRPr="00444F9D">
        <w:rPr>
          <w:rFonts w:cs="Arial"/>
        </w:rPr>
        <w:t xml:space="preserve"> specific capital and operation and maintenance costs associated directly with this information collection activity. There may be some small additional costs for mailing and supplies, although with the recent promulgation of the electronic reporting rule, </w:t>
      </w:r>
      <w:r w:rsidRPr="00444F9D">
        <w:rPr>
          <w:rFonts w:cs="Arial"/>
        </w:rPr>
        <w:t xml:space="preserve">these costs are minimized. </w:t>
      </w:r>
    </w:p>
    <w:p w:rsidR="009147D7" w:rsidRPr="00444F9D" w:rsidP="00444F9D" w14:paraId="4174CC62" w14:textId="77777777">
      <w:pPr>
        <w:pStyle w:val="Heading1"/>
        <w:spacing w:before="0" w:after="200" w:line="276" w:lineRule="auto"/>
        <w:rPr>
          <w:rFonts w:cs="Arial"/>
          <w:b w:val="0"/>
          <w:bCs w:val="0"/>
        </w:rPr>
      </w:pPr>
      <w:r w:rsidRPr="00444F9D">
        <w:rPr>
          <w:rFonts w:cs="Arial"/>
        </w:rPr>
        <w:t xml:space="preserve">14. Provide estimates of annualized costs to the Federal government. Also, provide a description of the method used to estimate cost, which should include quantification of hours, operational expenses (such as </w:t>
      </w:r>
      <w:r w:rsidRPr="00444F9D">
        <w:rPr>
          <w:rFonts w:cs="Arial"/>
        </w:rPr>
        <w:t>equipment, overhead, printing, and support staff), and any other expense that would not have been incurred without this collection of information. Agencies may also aggregate cost estimates from Items 12, 13, and 14 in a single table.</w:t>
      </w:r>
    </w:p>
    <w:p w:rsidR="00F7021C" w:rsidRPr="00444F9D" w:rsidP="00444F9D" w14:paraId="38D19D0D" w14:textId="77777777">
      <w:pPr>
        <w:spacing w:after="200" w:line="276" w:lineRule="auto"/>
        <w:rPr>
          <w:rFonts w:cs="Arial"/>
        </w:rPr>
      </w:pPr>
      <w:r w:rsidRPr="00444F9D">
        <w:rPr>
          <w:rFonts w:cs="Arial"/>
        </w:rPr>
        <w:t>For the TRI program i</w:t>
      </w:r>
      <w:r w:rsidRPr="00444F9D">
        <w:rPr>
          <w:rFonts w:cs="Arial"/>
        </w:rPr>
        <w:t>n general, EPA incurs burden and costs to process TRI forms in five categories of activities: data processing, outreach and training, information dissemination, policy and petitions, and compliance and enforcement. The estimate of EPA burden and costs is s</w:t>
      </w:r>
      <w:r w:rsidRPr="00444F9D">
        <w:rPr>
          <w:rFonts w:cs="Arial"/>
        </w:rPr>
        <w:t>eparated into a fixed component and a variable component. Activities and expenses that are not greatly affected by marginal changes in reporting quantities are considered fixed costs. These activities and expenses include rent for the EPCRA Reporting Cente</w:t>
      </w:r>
      <w:r w:rsidRPr="00444F9D">
        <w:rPr>
          <w:rFonts w:cs="Arial"/>
        </w:rPr>
        <w:t xml:space="preserve">r, development costs for data access tools, compliance assistance measures, and other activities and expenses listed above. There are no additional fixed costs to the Agency associated with the </w:t>
      </w:r>
      <w:r w:rsidR="00893872">
        <w:rPr>
          <w:rFonts w:cs="Arial"/>
        </w:rPr>
        <w:t xml:space="preserve">final </w:t>
      </w:r>
      <w:r w:rsidRPr="00444F9D">
        <w:rPr>
          <w:rFonts w:cs="Arial"/>
        </w:rPr>
        <w:t>rule. Activities and expenses that vary with marginal ch</w:t>
      </w:r>
      <w:r w:rsidRPr="00444F9D">
        <w:rPr>
          <w:rFonts w:cs="Arial"/>
        </w:rPr>
        <w:t>anges in the number of reports submitted are considered variable costs. The primary variable cost analyzed in this analysis is the cost of processing forms.</w:t>
      </w:r>
    </w:p>
    <w:p w:rsidR="007A25B1" w:rsidRPr="00444F9D" w:rsidP="00444F9D" w14:paraId="5C82C035" w14:textId="77777777">
      <w:pPr>
        <w:spacing w:after="200" w:line="276" w:lineRule="auto"/>
        <w:rPr>
          <w:rFonts w:cs="Arial"/>
        </w:rPr>
      </w:pPr>
      <w:r w:rsidRPr="00444F9D">
        <w:rPr>
          <w:rFonts w:cs="Arial"/>
        </w:rPr>
        <w:t xml:space="preserve">As of January 21, 2014, all non-trade secret forms must be submitted electronically. EPA estimates </w:t>
      </w:r>
      <w:r w:rsidRPr="00444F9D">
        <w:rPr>
          <w:rFonts w:cs="Arial"/>
        </w:rPr>
        <w:t xml:space="preserve">that the processing cost for </w:t>
      </w:r>
      <w:r w:rsidRPr="00444F9D">
        <w:rPr>
          <w:rFonts w:cs="Arial"/>
          <w:i/>
        </w:rPr>
        <w:t>TRI-MEweb</w:t>
      </w:r>
      <w:r w:rsidRPr="00444F9D">
        <w:rPr>
          <w:rFonts w:cs="Arial"/>
        </w:rPr>
        <w:t xml:space="preserve"> submissions is $6.</w:t>
      </w:r>
      <w:r w:rsidR="000A1648">
        <w:rPr>
          <w:rFonts w:cs="Arial"/>
        </w:rPr>
        <w:t>0</w:t>
      </w:r>
      <w:r w:rsidR="0033706D">
        <w:rPr>
          <w:rFonts w:cs="Arial"/>
        </w:rPr>
        <w:t>5</w:t>
      </w:r>
      <w:r w:rsidRPr="00444F9D">
        <w:rPr>
          <w:rFonts w:cs="Arial"/>
        </w:rPr>
        <w:t xml:space="preserve"> per form </w:t>
      </w:r>
      <w:r w:rsidRPr="00444F9D">
        <w:rPr>
          <w:rFonts w:cs="Arial"/>
        </w:rPr>
        <w:fldChar w:fldCharType="begin"/>
      </w:r>
      <w:r w:rsidRPr="00444F9D">
        <w:rPr>
          <w:rFonts w:cs="Arial"/>
        </w:rPr>
        <w:instrText xml:space="preserve"> ADDIN EN.CITE &lt;EndNote&gt;&lt;Cite&gt;&lt;Author&gt;E-mail communication with the TRI Data Processing Center&lt;/Author&gt;&lt;Year&gt;2014&lt;/Year&gt;&lt;RecNum&gt;3&lt;/RecNum&gt;&lt;DisplayText&gt;(E-mail communication with the TRI D</w:instrText>
      </w:r>
      <w:r w:rsidRPr="00444F9D">
        <w:rPr>
          <w:rFonts w:cs="Arial"/>
        </w:rPr>
        <w:instrText>ata Processing Center, 2014)&lt;/DisplayText&gt;&lt;record&gt;&lt;rec-number&gt;3&lt;/rec-number&gt;&lt;foreign-keys&gt;&lt;key app="EN" db-id="ew0xprdfqa9pehedess5r9set9vppwv9aztt"&gt;3&lt;/key&gt;&lt;/foreign-keys&gt;&lt;ref-type name="Personal Communication"&gt;26&lt;/ref-type&gt;&lt;contributors&gt;&lt;authors&gt;&lt;author&gt;E</w:instrText>
      </w:r>
      <w:r w:rsidRPr="00444F9D">
        <w:rPr>
          <w:rFonts w:cs="Arial"/>
        </w:rPr>
        <w:instrText>-mail communication with the TRI Data Processing Center,&lt;/author&gt;&lt;/authors&gt;&lt;/contributors&gt;&lt;titles&gt;&lt;/titles&gt;&lt;dates&gt;&lt;year&gt;2014&lt;/year&gt;&lt;pub-dates&gt;&lt;date&gt;January 10&lt;/date&gt;&lt;/pub-dates&gt;&lt;/dates&gt;&lt;urls&gt;&lt;/urls&gt;&lt;/record&gt;&lt;/Cite&gt;&lt;/EndNote&gt;</w:instrText>
      </w:r>
      <w:r w:rsidRPr="00444F9D">
        <w:rPr>
          <w:rFonts w:cs="Arial"/>
        </w:rPr>
        <w:fldChar w:fldCharType="separate"/>
      </w:r>
      <w:r w:rsidRPr="00444F9D">
        <w:rPr>
          <w:rFonts w:cs="Arial"/>
          <w:noProof/>
        </w:rPr>
        <w:t>(</w:t>
      </w:r>
      <w:hyperlink w:anchor="_ENREF_9" w:tooltip="E-mail communication with the TRI Data Processing Center, 2014 #3" w:history="1">
        <w:r w:rsidRPr="00444F9D">
          <w:rPr>
            <w:rFonts w:cs="Arial"/>
            <w:noProof/>
          </w:rPr>
          <w:t>E-mail communication with the TRI Data Processing Center, 2014</w:t>
        </w:r>
      </w:hyperlink>
      <w:r w:rsidRPr="00444F9D">
        <w:rPr>
          <w:rFonts w:cs="Arial"/>
          <w:noProof/>
        </w:rPr>
        <w:t>)</w:t>
      </w:r>
      <w:r w:rsidRPr="00444F9D">
        <w:rPr>
          <w:rFonts w:cs="Arial"/>
        </w:rPr>
        <w:fldChar w:fldCharType="end"/>
      </w:r>
      <w:r w:rsidR="000A1648">
        <w:rPr>
          <w:rFonts w:cs="Arial"/>
        </w:rPr>
        <w:t>, or $</w:t>
      </w:r>
      <w:r w:rsidR="00B413C8">
        <w:rPr>
          <w:rFonts w:cs="Arial"/>
        </w:rPr>
        <w:t>7.52</w:t>
      </w:r>
      <w:r w:rsidR="000A1648">
        <w:rPr>
          <w:rFonts w:cs="Arial"/>
        </w:rPr>
        <w:t xml:space="preserve"> in 202</w:t>
      </w:r>
      <w:r w:rsidR="00B413C8">
        <w:rPr>
          <w:rFonts w:cs="Arial"/>
        </w:rPr>
        <w:t>2</w:t>
      </w:r>
      <w:r w:rsidR="000A1648">
        <w:rPr>
          <w:rFonts w:cs="Arial"/>
        </w:rPr>
        <w:t xml:space="preserve"> dollars using the GDP inflation </w:t>
      </w:r>
      <w:r w:rsidRPr="000A1648" w:rsidR="000A1648">
        <w:rPr>
          <w:rFonts w:cs="Arial"/>
        </w:rPr>
        <w:t xml:space="preserve">index </w:t>
      </w:r>
      <w:r w:rsidRPr="003654B6" w:rsidR="000A1648">
        <w:rPr>
          <w:rFonts w:cs="Arial"/>
        </w:rPr>
        <w:fldChar w:fldCharType="begin"/>
      </w:r>
      <w:r w:rsidRPr="003654B6" w:rsidR="000A1648">
        <w:rPr>
          <w:rFonts w:cs="Arial"/>
        </w:rPr>
        <w:instrText xml:space="preserve"> ADDIN ZOTERO_ITEM CSL_CITATION {"citationID":"6UUnGXpd","properties":{"formattedCitation":"(U.S. Bureau of Economic Analysis, 2022)","plainCitation":"(U.S. Bureau of Economic Analysis, 2022)","noteIndex":0},"citationItems":[{"id":1949,"uris":["http://zotero.org/groups/1472314/items/RWV5AUTC"],"itemData":{"id":1949,"type":"webpage","title":"National Income and Products Accounts Table, Table 1.1.9: Implicit Price Deflators for Gross Domestic Product","title-short":"National Income and Products Accounts Table, Table 1.1.9: Implicit Price Deflators for Gross Domestic Product","URL":"http://www.bea.gov/iTable/index_nipa.cfm","author":[{"literal":"U.S. Bureau of Economic Analysis"}],"issued":{"date-parts":[["2022"]]}}}],"schema":"https://github.com/citation-style-language/schema/raw/master/csl-citation.json"} </w:instrText>
      </w:r>
      <w:r w:rsidRPr="003654B6" w:rsidR="000A1648">
        <w:rPr>
          <w:rFonts w:cs="Arial"/>
        </w:rPr>
        <w:fldChar w:fldCharType="separate"/>
      </w:r>
      <w:r w:rsidRPr="003654B6" w:rsidR="000A1648">
        <w:rPr>
          <w:rFonts w:cs="Arial"/>
        </w:rPr>
        <w:t>(U.S. Bureau of Economic Analysis, )</w:t>
      </w:r>
      <w:r w:rsidRPr="003654B6" w:rsidR="000A1648">
        <w:rPr>
          <w:rFonts w:cs="Arial"/>
        </w:rPr>
        <w:fldChar w:fldCharType="end"/>
      </w:r>
      <w:r w:rsidRPr="000A1648">
        <w:rPr>
          <w:rFonts w:cs="Arial"/>
        </w:rPr>
        <w:t>.</w:t>
      </w:r>
      <w:r w:rsidRPr="00444F9D">
        <w:rPr>
          <w:rFonts w:cs="Arial"/>
        </w:rPr>
        <w:t xml:space="preserve"> Therefore, the total form processing burden for EPA associated with Form R chemical submissions under the rule ranges from estimates of </w:t>
      </w:r>
      <w:r w:rsidRPr="00B413C8" w:rsidR="00B413C8">
        <w:rPr>
          <w:rFonts w:cs="Arial"/>
        </w:rPr>
        <w:t>$4,</w:t>
      </w:r>
      <w:r w:rsidR="007A0017">
        <w:rPr>
          <w:rFonts w:cs="Arial"/>
        </w:rPr>
        <w:t>687</w:t>
      </w:r>
      <w:r w:rsidRPr="00B413C8" w:rsidR="00B413C8">
        <w:rPr>
          <w:rFonts w:cs="Arial"/>
        </w:rPr>
        <w:t xml:space="preserve"> to $15,</w:t>
      </w:r>
      <w:r w:rsidR="007A0017">
        <w:rPr>
          <w:rFonts w:cs="Arial"/>
        </w:rPr>
        <w:t xml:space="preserve">159 </w:t>
      </w:r>
      <w:r w:rsidRPr="00444F9D">
        <w:rPr>
          <w:rFonts w:cs="Arial"/>
        </w:rPr>
        <w:t xml:space="preserve">depending on the scenario. </w:t>
      </w:r>
    </w:p>
    <w:p w:rsidR="00CB6A40" w:rsidRPr="00444F9D" w:rsidP="00444F9D" w14:paraId="1F148BD8" w14:textId="77777777">
      <w:pPr>
        <w:pStyle w:val="Heading1"/>
        <w:spacing w:before="0" w:after="200" w:line="276" w:lineRule="auto"/>
        <w:rPr>
          <w:rFonts w:cs="Arial"/>
          <w:b w:val="0"/>
        </w:rPr>
      </w:pPr>
      <w:r w:rsidRPr="00444F9D">
        <w:rPr>
          <w:rFonts w:cs="Arial"/>
        </w:rPr>
        <w:t>15. Explain the r</w:t>
      </w:r>
      <w:r w:rsidRPr="00444F9D">
        <w:rPr>
          <w:rFonts w:cs="Arial"/>
        </w:rPr>
        <w:t xml:space="preserve">easons for any program changes or adjustments in hour or cost burden. </w:t>
      </w:r>
    </w:p>
    <w:p w:rsidR="0033706D" w:rsidP="00444F9D" w14:paraId="7245A818" w14:textId="76E47711">
      <w:pPr>
        <w:adjustRightInd w:val="0"/>
        <w:spacing w:after="200" w:line="276" w:lineRule="auto"/>
        <w:rPr>
          <w:rFonts w:cs="Arial"/>
        </w:rPr>
      </w:pPr>
      <w:r w:rsidRPr="00444F9D">
        <w:rPr>
          <w:rFonts w:cs="Arial"/>
        </w:rPr>
        <w:t xml:space="preserve">This collection adds </w:t>
      </w:r>
      <w:r w:rsidR="0053718E">
        <w:rPr>
          <w:rFonts w:cs="Arial"/>
        </w:rPr>
        <w:t xml:space="preserve">certain </w:t>
      </w:r>
      <w:r>
        <w:rPr>
          <w:rFonts w:cs="Arial"/>
        </w:rPr>
        <w:t xml:space="preserve">PFAS subject to reporting under section 313 of EPCRA and section 6607 of the PPA to the list of </w:t>
      </w:r>
      <w:r w:rsidR="003654B6">
        <w:rPr>
          <w:rFonts w:cs="Arial"/>
        </w:rPr>
        <w:t>c</w:t>
      </w:r>
      <w:r w:rsidR="007C46FF">
        <w:rPr>
          <w:rFonts w:cs="Arial"/>
        </w:rPr>
        <w:t>hemicals of special concern</w:t>
      </w:r>
      <w:r>
        <w:rPr>
          <w:rFonts w:cs="Arial"/>
        </w:rPr>
        <w:t xml:space="preserve">. The addition of the PFAS to the list of </w:t>
      </w:r>
      <w:r w:rsidR="003654B6">
        <w:rPr>
          <w:rFonts w:cs="Arial"/>
        </w:rPr>
        <w:t>c</w:t>
      </w:r>
      <w:r w:rsidR="007C46FF">
        <w:rPr>
          <w:rFonts w:cs="Arial"/>
        </w:rPr>
        <w:t>hemicals of special concern</w:t>
      </w:r>
      <w:r>
        <w:rPr>
          <w:rFonts w:cs="Arial"/>
        </w:rPr>
        <w:t xml:space="preserve"> will eliminate the use of the de minimis exemption, eliminate</w:t>
      </w:r>
      <w:r>
        <w:rPr>
          <w:rFonts w:cs="Arial"/>
        </w:rPr>
        <w:t xml:space="preserve"> the option to use Form A, and will limit the use of range reporting. In addition, EPA is </w:t>
      </w:r>
      <w:r w:rsidR="00893872">
        <w:rPr>
          <w:rFonts w:cs="Arial"/>
        </w:rPr>
        <w:t xml:space="preserve">eliminating </w:t>
      </w:r>
      <w:r>
        <w:rPr>
          <w:rFonts w:cs="Arial"/>
        </w:rPr>
        <w:t xml:space="preserve">the use of the </w:t>
      </w:r>
      <w:r w:rsidRPr="00DB3272">
        <w:rPr>
          <w:rFonts w:cs="Arial"/>
          <w:i/>
          <w:iCs/>
        </w:rPr>
        <w:t>de minimis</w:t>
      </w:r>
      <w:r>
        <w:rPr>
          <w:rFonts w:cs="Arial"/>
        </w:rPr>
        <w:t xml:space="preserve"> exemption under the Supplier Notification Requirements for facilities that manufacture or process all chemicals included on the </w:t>
      </w:r>
      <w:r>
        <w:rPr>
          <w:rFonts w:cs="Arial"/>
        </w:rPr>
        <w:t xml:space="preserve">list of Chemicals of Special Concern. </w:t>
      </w:r>
      <w:r w:rsidRPr="00444F9D">
        <w:rPr>
          <w:rFonts w:cs="Arial"/>
        </w:rPr>
        <w:t xml:space="preserve">Therefore, </w:t>
      </w:r>
      <w:r w:rsidRPr="0033706D">
        <w:rPr>
          <w:rFonts w:cs="Arial"/>
        </w:rPr>
        <w:t xml:space="preserve">industry is estimated to incur between approximately </w:t>
      </w:r>
      <w:r w:rsidR="005202E3">
        <w:rPr>
          <w:rFonts w:cs="Arial"/>
        </w:rPr>
        <w:t>60,153</w:t>
      </w:r>
      <w:r w:rsidR="00564B21">
        <w:rPr>
          <w:rFonts w:cs="Arial"/>
        </w:rPr>
        <w:t xml:space="preserve"> and </w:t>
      </w:r>
      <w:r w:rsidR="007A0017">
        <w:rPr>
          <w:rFonts w:cs="Arial"/>
        </w:rPr>
        <w:t>1</w:t>
      </w:r>
      <w:r w:rsidR="005202E3">
        <w:rPr>
          <w:rFonts w:cs="Arial"/>
        </w:rPr>
        <w:t>64,526</w:t>
      </w:r>
      <w:r w:rsidR="00564B21">
        <w:rPr>
          <w:rFonts w:cs="Arial"/>
        </w:rPr>
        <w:t xml:space="preserve"> </w:t>
      </w:r>
      <w:r w:rsidRPr="0033706D">
        <w:rPr>
          <w:rFonts w:cs="Arial"/>
        </w:rPr>
        <w:t>burden hours in the first year and between approximately</w:t>
      </w:r>
      <w:r w:rsidR="00564B21">
        <w:rPr>
          <w:rFonts w:cs="Arial"/>
        </w:rPr>
        <w:t xml:space="preserve"> </w:t>
      </w:r>
      <w:r w:rsidR="005202E3">
        <w:rPr>
          <w:rFonts w:cs="Arial"/>
        </w:rPr>
        <w:t>35,684</w:t>
      </w:r>
      <w:r w:rsidR="00564B21">
        <w:rPr>
          <w:rFonts w:cs="Arial"/>
        </w:rPr>
        <w:t xml:space="preserve"> and </w:t>
      </w:r>
      <w:r w:rsidR="005202E3">
        <w:rPr>
          <w:rFonts w:cs="Arial"/>
        </w:rPr>
        <w:t xml:space="preserve">85,386 </w:t>
      </w:r>
      <w:r w:rsidRPr="0033706D">
        <w:rPr>
          <w:rFonts w:cs="Arial"/>
        </w:rPr>
        <w:t>hours in the steady state.</w:t>
      </w:r>
    </w:p>
    <w:p w:rsidR="00256FDD" w:rsidRPr="00444F9D" w:rsidP="00444F9D" w14:paraId="754E9D9F" w14:textId="77777777">
      <w:pPr>
        <w:pStyle w:val="Heading1"/>
        <w:spacing w:before="0" w:after="200" w:line="276" w:lineRule="auto"/>
        <w:rPr>
          <w:rFonts w:cs="Arial"/>
          <w:b w:val="0"/>
        </w:rPr>
      </w:pPr>
      <w:r w:rsidRPr="00444F9D">
        <w:rPr>
          <w:rFonts w:cs="Arial"/>
        </w:rPr>
        <w:t>16. For collections of informatio</w:t>
      </w:r>
      <w:r w:rsidRPr="00444F9D">
        <w:rPr>
          <w:rFonts w:cs="Arial"/>
        </w:rPr>
        <w:t>n whose results will be published, outline plans for tabulation and publication. Address any complex analytical techniques that will be used. Provide the time schedule for the entire project, including beginning and ending dates of the collection of inform</w:t>
      </w:r>
      <w:r w:rsidRPr="00444F9D">
        <w:rPr>
          <w:rFonts w:cs="Arial"/>
        </w:rPr>
        <w:t>ation, completion of report, publication dates, and other actions.</w:t>
      </w:r>
    </w:p>
    <w:p w:rsidR="00256FDD" w:rsidRPr="00444F9D" w:rsidP="00444F9D" w14:paraId="6401D52B" w14:textId="77777777">
      <w:pPr>
        <w:adjustRightInd w:val="0"/>
        <w:spacing w:after="200" w:line="276" w:lineRule="auto"/>
        <w:rPr>
          <w:rFonts w:cs="Arial"/>
        </w:rPr>
      </w:pPr>
      <w:r w:rsidRPr="00444F9D">
        <w:rPr>
          <w:rFonts w:cs="Arial"/>
        </w:rPr>
        <w:t>Facilities must report their information on a calendar-year basis</w:t>
      </w:r>
      <w:r w:rsidR="005D3E5A">
        <w:rPr>
          <w:rFonts w:cs="Arial"/>
        </w:rPr>
        <w:t xml:space="preserve"> </w:t>
      </w:r>
      <w:r w:rsidRPr="00444F9D">
        <w:rPr>
          <w:rFonts w:cs="Arial"/>
        </w:rPr>
        <w:t>and submit Form Rs or Form As to EPA by July 1 of the following year. In response to public requests to shorten the time fr</w:t>
      </w:r>
      <w:r w:rsidRPr="00444F9D">
        <w:rPr>
          <w:rFonts w:cs="Arial"/>
        </w:rPr>
        <w:t>ame for release of TRI information, TRI began a modernization effort in 2007 that included transition to TRI-MEweb from desktop software, and a number of streamlining initiatives. One of the resultant improvements was the Preliminary Data Release that prov</w:t>
      </w:r>
      <w:r w:rsidRPr="00444F9D">
        <w:rPr>
          <w:rFonts w:cs="Arial"/>
        </w:rPr>
        <w:t>ides TRI database information as quickly as possible after the reporting deadline. Since 2010, EPA has released data less than one month after the reporting deadline in the TRI preliminary dataset with downloadable data files and access via TRI Explorer an</w:t>
      </w:r>
      <w:r w:rsidRPr="00444F9D">
        <w:rPr>
          <w:rFonts w:cs="Arial"/>
        </w:rPr>
        <w:t>d Envirofacts. Following the annual July 1 submittal deadline, EPA performs data quality checks and contacts facilities EPA believes may have errors in their reports, inviting them to resubmit with corrections as necessary. Following these checks, EPA free</w:t>
      </w:r>
      <w:r w:rsidRPr="00444F9D">
        <w:rPr>
          <w:rFonts w:cs="Arial"/>
        </w:rPr>
        <w:t>zes the dataset in mid-October. The EPA then performs trend analyses by industry, EPA region, chemicals of specific interest, and other data elements which it publishes in its TRI National Analysis in the first quarter of the following calendar year (e.g.,</w:t>
      </w:r>
      <w:r w:rsidRPr="00444F9D">
        <w:rPr>
          <w:rFonts w:cs="Arial"/>
        </w:rPr>
        <w:t xml:space="preserve"> the National Analysis for reporting year 2019 was published in January 2021).</w:t>
      </w:r>
    </w:p>
    <w:p w:rsidR="00256FDD" w:rsidRPr="00444F9D" w:rsidP="00444F9D" w14:paraId="355BCEEE" w14:textId="77777777">
      <w:pPr>
        <w:pStyle w:val="Heading1"/>
        <w:spacing w:before="0" w:after="200" w:line="276" w:lineRule="auto"/>
        <w:rPr>
          <w:rFonts w:cs="Arial"/>
          <w:b w:val="0"/>
        </w:rPr>
      </w:pPr>
      <w:r w:rsidRPr="00444F9D">
        <w:rPr>
          <w:rFonts w:cs="Arial"/>
        </w:rPr>
        <w:t xml:space="preserve">17. If seeking approval to not display the expiration date for OMB approval of the information collection, explain the reasons that display would be inappropriate. </w:t>
      </w:r>
    </w:p>
    <w:p w:rsidR="00256FDD" w:rsidRPr="00444F9D" w:rsidP="003E6077" w14:paraId="1E1E410D" w14:textId="77777777">
      <w:pPr>
        <w:adjustRightInd w:val="0"/>
        <w:spacing w:after="200" w:line="276" w:lineRule="auto"/>
        <w:rPr>
          <w:rFonts w:cs="Arial"/>
        </w:rPr>
      </w:pPr>
      <w:r w:rsidRPr="00444F9D">
        <w:rPr>
          <w:rFonts w:cs="Arial"/>
        </w:rPr>
        <w:t>Not applicab</w:t>
      </w:r>
      <w:r w:rsidRPr="00444F9D">
        <w:rPr>
          <w:rFonts w:cs="Arial"/>
        </w:rPr>
        <w:t>le.</w:t>
      </w:r>
    </w:p>
    <w:p w:rsidR="00256FDD" w:rsidRPr="00444F9D" w:rsidP="00444F9D" w14:paraId="09B2593B" w14:textId="77777777">
      <w:pPr>
        <w:pStyle w:val="Heading1"/>
        <w:spacing w:before="0" w:after="200" w:line="276" w:lineRule="auto"/>
        <w:rPr>
          <w:rFonts w:cs="Arial"/>
          <w:b w:val="0"/>
        </w:rPr>
      </w:pPr>
      <w:r w:rsidRPr="00444F9D">
        <w:rPr>
          <w:rFonts w:cs="Arial"/>
        </w:rPr>
        <w:t>18. Explain each exception to the topics of the certification statement identified in “Certification for Paperwork Reduction Act Submissions.”</w:t>
      </w:r>
    </w:p>
    <w:p w:rsidR="00256FDD" w:rsidRPr="00444F9D" w:rsidP="00EC7C65" w14:paraId="1A15E72E" w14:textId="77777777">
      <w:pPr>
        <w:keepNext/>
        <w:spacing w:after="200" w:line="276" w:lineRule="auto"/>
        <w:rPr>
          <w:rFonts w:cs="Arial"/>
        </w:rPr>
      </w:pPr>
      <w:r w:rsidRPr="00444F9D">
        <w:rPr>
          <w:rFonts w:cs="Arial"/>
        </w:rPr>
        <w:t>Not applicable. This request complies with 5 CFR 1320.9 and no exceptions are taken.</w:t>
      </w:r>
    </w:p>
    <w:p w:rsidR="002173B4" w:rsidRPr="002173B4" w:rsidP="002173B4" w14:paraId="555292C5" w14:textId="77777777">
      <w:pPr>
        <w:pStyle w:val="Heading1"/>
        <w:spacing w:before="0" w:after="200" w:line="276" w:lineRule="auto"/>
        <w:rPr>
          <w:rFonts w:cs="Arial"/>
        </w:rPr>
      </w:pPr>
      <w:bookmarkStart w:id="6" w:name="_Hlk80732521"/>
      <w:bookmarkStart w:id="7" w:name="_Hlk80741896"/>
      <w:r w:rsidRPr="00444F9D">
        <w:rPr>
          <w:rFonts w:cs="Arial"/>
        </w:rPr>
        <w:t>Supplemental Information</w:t>
      </w:r>
      <w:bookmarkStart w:id="8" w:name="_Hlk80731392"/>
      <w:bookmarkEnd w:id="6"/>
    </w:p>
    <w:p w:rsidR="004744A0" w:rsidRPr="00444F9D" w:rsidP="00444F9D" w14:paraId="5BD57F35" w14:textId="77777777">
      <w:pPr>
        <w:numPr>
          <w:ilvl w:val="12"/>
          <w:numId w:val="0"/>
        </w:numPr>
        <w:spacing w:after="200" w:line="276" w:lineRule="auto"/>
        <w:rPr>
          <w:rFonts w:cs="Arial"/>
          <w:color w:val="0F0F0F"/>
        </w:rPr>
      </w:pPr>
      <w:r w:rsidRPr="00444F9D">
        <w:rPr>
          <w:rFonts w:cs="Arial"/>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w:t>
      </w:r>
      <w:r w:rsidRPr="00444F9D">
        <w:rPr>
          <w:rFonts w:cs="Arial"/>
          <w:color w:val="0F0F0F"/>
        </w:rPr>
        <w:t xml:space="preserve">this ICR under Docket ID </w:t>
      </w:r>
      <w:r w:rsidRPr="00444F9D">
        <w:rPr>
          <w:rFonts w:cs="Arial"/>
        </w:rPr>
        <w:t xml:space="preserve">Number </w:t>
      </w:r>
      <w:r w:rsidRPr="007779EA" w:rsidR="007779EA">
        <w:rPr>
          <w:rFonts w:eastAsia="Calibri" w:cs="Arial"/>
          <w:bCs/>
        </w:rPr>
        <w:t>EPA-HQ-TRI-2022-0270</w:t>
      </w:r>
      <w:r w:rsidRPr="00444F9D">
        <w:rPr>
          <w:rFonts w:cs="Arial"/>
        </w:rPr>
        <w:t xml:space="preserve">, </w:t>
      </w:r>
      <w:bookmarkStart w:id="9" w:name="_Hlk80705102"/>
      <w:r w:rsidRPr="00444F9D">
        <w:rPr>
          <w:rFonts w:cs="Arial"/>
        </w:rPr>
        <w:t xml:space="preserve">which </w:t>
      </w:r>
      <w:r w:rsidRPr="00444F9D">
        <w:rPr>
          <w:rFonts w:cs="Arial"/>
          <w:color w:val="0F0F0F"/>
        </w:rPr>
        <w:t xml:space="preserve">is available at </w:t>
      </w:r>
      <w:hyperlink r:id="rId11" w:history="1">
        <w:r w:rsidRPr="0099260F" w:rsidR="001C3EBF">
          <w:rPr>
            <w:rStyle w:val="Hyperlink"/>
            <w:rFonts w:cs="Arial"/>
          </w:rPr>
          <w:t>https://www.regulations.gov</w:t>
        </w:r>
      </w:hyperlink>
      <w:r w:rsidRPr="00444F9D">
        <w:rPr>
          <w:rStyle w:val="Hyperlink"/>
          <w:rFonts w:cs="Arial"/>
        </w:rPr>
        <w:t>.</w:t>
      </w:r>
      <w:r w:rsidRPr="00444F9D">
        <w:rPr>
          <w:rFonts w:cs="Arial"/>
          <w:color w:val="0F0F0F"/>
        </w:rPr>
        <w:t> This site can be used to submit or view public comments, access the index listing of the contents of the public docket, and to access those documents in the public docket that are available electronically</w:t>
      </w:r>
      <w:r w:rsidR="001C3EBF">
        <w:rPr>
          <w:rFonts w:cs="Arial"/>
          <w:color w:val="0F0F0F"/>
        </w:rPr>
        <w:t>.</w:t>
      </w:r>
    </w:p>
    <w:p w:rsidR="004744A0" w:rsidRPr="00444F9D" w:rsidP="00444F9D" w14:paraId="287E06D2" w14:textId="77777777">
      <w:pPr>
        <w:spacing w:after="200" w:line="276" w:lineRule="auto"/>
        <w:rPr>
          <w:rFonts w:cs="Arial"/>
        </w:rPr>
      </w:pPr>
      <w:r w:rsidRPr="00444F9D">
        <w:rPr>
          <w:rFonts w:cs="Arial"/>
          <w:color w:val="0F0F0F"/>
        </w:rPr>
        <w:t xml:space="preserve">You can also </w:t>
      </w:r>
      <w:r w:rsidRPr="00444F9D">
        <w:rPr>
          <w:rFonts w:cs="Arial"/>
          <w:color w:val="0F0F0F"/>
        </w:rPr>
        <w:t xml:space="preserve">provide comments to the Office of Information and Regulatory Affairs, Office of Management and Budget </w:t>
      </w:r>
      <w:r w:rsidRPr="00444F9D">
        <w:rPr>
          <w:rFonts w:cs="Arial"/>
        </w:rPr>
        <w:t xml:space="preserve">via </w:t>
      </w:r>
      <w:hyperlink r:id="rId12" w:history="1">
        <w:r w:rsidRPr="00444F9D">
          <w:rPr>
            <w:rStyle w:val="Hyperlink"/>
            <w:rFonts w:cs="Arial"/>
          </w:rPr>
          <w:t>http://www.reginfo.gov/public/do/PRAMain</w:t>
        </w:r>
      </w:hyperlink>
      <w:r w:rsidRPr="00444F9D">
        <w:rPr>
          <w:rFonts w:cs="Arial"/>
        </w:rPr>
        <w:t>. Find this particu</w:t>
      </w:r>
      <w:r w:rsidRPr="00444F9D">
        <w:rPr>
          <w:rFonts w:cs="Arial"/>
        </w:rPr>
        <w:t>lar information collection by selecting ‘‘Currently under 30-day Review—Open for Public Comments’’ or by using the search function.</w:t>
      </w:r>
    </w:p>
    <w:p w:rsidR="004744A0" w:rsidRPr="00444F9D" w:rsidP="00444F9D" w14:paraId="05D875B8" w14:textId="77777777">
      <w:pPr>
        <w:spacing w:after="200" w:line="276" w:lineRule="auto"/>
        <w:rPr>
          <w:rFonts w:cs="Arial"/>
        </w:rPr>
      </w:pPr>
      <w:r w:rsidRPr="00444F9D">
        <w:rPr>
          <w:rFonts w:cs="Arial"/>
        </w:rPr>
        <w:t>All comments received by EPA will be included in the docket without change, including any personal information provided, unless the comment includes profanity, threats, information claimed to be Confidential Business Information (CBI), or other information</w:t>
      </w:r>
      <w:r w:rsidRPr="00444F9D">
        <w:rPr>
          <w:rFonts w:cs="Arial"/>
        </w:rPr>
        <w:t xml:space="preserve"> whose disclosure is restricted by statute. Do not submit electronically any information you consider to be CBI or other information whose disclosure is restricted by statute. </w:t>
      </w:r>
    </w:p>
    <w:bookmarkEnd w:id="8"/>
    <w:bookmarkEnd w:id="9"/>
    <w:p w:rsidR="00DB3272" w:rsidP="00DB3272" w14:paraId="5C28B5A3" w14:textId="77777777">
      <w:pPr>
        <w:pStyle w:val="Heading1"/>
        <w:spacing w:before="0" w:after="200" w:line="480" w:lineRule="auto"/>
        <w:rPr>
          <w:rFonts w:cs="Arial"/>
        </w:rPr>
      </w:pPr>
      <w:r w:rsidRPr="00444F9D">
        <w:rPr>
          <w:rFonts w:cs="Arial"/>
        </w:rPr>
        <w:t>List of Attachments</w:t>
      </w:r>
    </w:p>
    <w:p w:rsidR="004744A0" w:rsidP="001C3EBF" w14:paraId="20CD04FC" w14:textId="77777777">
      <w:pPr>
        <w:rPr>
          <w:lang w:bidi="en-US"/>
        </w:rPr>
      </w:pPr>
      <w:r w:rsidRPr="00DB3272">
        <w:rPr>
          <w:lang w:bidi="en-US"/>
        </w:rPr>
        <w:t>The attachments listed below can be found in the docket for</w:t>
      </w:r>
      <w:r w:rsidRPr="00DB3272">
        <w:rPr>
          <w:lang w:bidi="en-US"/>
        </w:rPr>
        <w:t xml:space="preserve"> this ICR or by using the hyperlink that is provided in the list below. The docket for this ICR is accessible electronically through </w:t>
      </w:r>
      <w:hyperlink r:id="rId13" w:history="1">
        <w:r w:rsidRPr="00DB3272">
          <w:rPr>
            <w:rStyle w:val="Hyperlink"/>
            <w:rFonts w:cs="Arial"/>
          </w:rPr>
          <w:t>http://www.regulations.gov</w:t>
        </w:r>
      </w:hyperlink>
      <w:r w:rsidRPr="00DB3272">
        <w:rPr>
          <w:lang w:bidi="en-US"/>
        </w:rPr>
        <w:t xml:space="preserve"> using Docket ID Numb</w:t>
      </w:r>
      <w:r w:rsidRPr="00DB3272">
        <w:rPr>
          <w:lang w:bidi="en-US"/>
        </w:rPr>
        <w:t xml:space="preserve">er: </w:t>
      </w:r>
      <w:r w:rsidRPr="0064597C" w:rsidR="0064597C">
        <w:rPr>
          <w:rFonts w:eastAsia="Calibri"/>
        </w:rPr>
        <w:t>EPA-HQ-TRI-2022-0270</w:t>
      </w:r>
      <w:r w:rsidRPr="00DB3272">
        <w:rPr>
          <w:lang w:bidi="en-US"/>
        </w:rPr>
        <w:t>.</w:t>
      </w:r>
      <w:bookmarkEnd w:id="7"/>
    </w:p>
    <w:p w:rsidR="001C3EBF" w:rsidRPr="00DB3272" w:rsidP="001C3EBF" w14:paraId="7444F80F" w14:textId="77777777">
      <w:pPr>
        <w:rPr>
          <w:b/>
          <w:bCs/>
        </w:rPr>
      </w:pPr>
    </w:p>
    <w:tbl>
      <w:tblPr>
        <w:tblStyle w:val="TableGrid"/>
        <w:tblW w:w="0" w:type="auto"/>
        <w:tblLook w:val="04A0"/>
      </w:tblPr>
      <w:tblGrid>
        <w:gridCol w:w="670"/>
        <w:gridCol w:w="8680"/>
      </w:tblGrid>
      <w:tr w14:paraId="2EF30600" w14:textId="77777777" w:rsidTr="0084000C">
        <w:tblPrEx>
          <w:tblW w:w="0" w:type="auto"/>
          <w:tblLook w:val="04A0"/>
        </w:tblPrEx>
        <w:tc>
          <w:tcPr>
            <w:tcW w:w="670" w:type="dxa"/>
          </w:tcPr>
          <w:p w:rsidR="004744A0" w:rsidRPr="00444F9D" w:rsidP="001C3EBF" w14:paraId="14ED405A" w14:textId="77777777">
            <w:pPr>
              <w:widowControl w:val="0"/>
              <w:spacing w:line="276" w:lineRule="auto"/>
              <w:rPr>
                <w:rFonts w:cs="Arial"/>
                <w:b/>
                <w:bCs/>
                <w:lang w:bidi="en-US"/>
              </w:rPr>
            </w:pPr>
            <w:r w:rsidRPr="00444F9D">
              <w:rPr>
                <w:rFonts w:cs="Arial"/>
                <w:b/>
                <w:bCs/>
                <w:lang w:bidi="en-US"/>
              </w:rPr>
              <w:t>Ref.</w:t>
            </w:r>
          </w:p>
        </w:tc>
        <w:tc>
          <w:tcPr>
            <w:tcW w:w="8680" w:type="dxa"/>
          </w:tcPr>
          <w:p w:rsidR="004744A0" w:rsidRPr="00444F9D" w:rsidP="001C3EBF" w14:paraId="6CCA7B8F" w14:textId="77777777">
            <w:pPr>
              <w:widowControl w:val="0"/>
              <w:spacing w:line="276" w:lineRule="auto"/>
              <w:rPr>
                <w:rFonts w:cs="Arial"/>
                <w:b/>
                <w:bCs/>
                <w:lang w:bidi="en-US"/>
              </w:rPr>
            </w:pPr>
            <w:r w:rsidRPr="00444F9D">
              <w:rPr>
                <w:rFonts w:cs="Arial"/>
                <w:b/>
                <w:bCs/>
                <w:lang w:bidi="en-US"/>
              </w:rPr>
              <w:t xml:space="preserve">Title </w:t>
            </w:r>
          </w:p>
        </w:tc>
      </w:tr>
      <w:tr w14:paraId="6C484A7C" w14:textId="77777777" w:rsidTr="0084000C">
        <w:tblPrEx>
          <w:tblW w:w="0" w:type="auto"/>
          <w:tblLook w:val="04A0"/>
        </w:tblPrEx>
        <w:tc>
          <w:tcPr>
            <w:tcW w:w="670" w:type="dxa"/>
          </w:tcPr>
          <w:p w:rsidR="004744A0" w:rsidRPr="00444F9D" w:rsidP="001C3EBF" w14:paraId="3C39FAF4" w14:textId="77777777">
            <w:pPr>
              <w:widowControl w:val="0"/>
              <w:spacing w:line="276" w:lineRule="auto"/>
              <w:rPr>
                <w:rFonts w:cs="Arial"/>
                <w:lang w:bidi="en-US"/>
              </w:rPr>
            </w:pPr>
            <w:r w:rsidRPr="00444F9D">
              <w:rPr>
                <w:rFonts w:cs="Arial"/>
                <w:lang w:bidi="en-US"/>
              </w:rPr>
              <w:t xml:space="preserve">A </w:t>
            </w:r>
          </w:p>
        </w:tc>
        <w:tc>
          <w:tcPr>
            <w:tcW w:w="8680" w:type="dxa"/>
          </w:tcPr>
          <w:p w:rsidR="004744A0" w:rsidRPr="00444F9D" w:rsidP="001C3EBF" w14:paraId="175D2B06" w14:textId="77777777">
            <w:pPr>
              <w:widowControl w:val="0"/>
              <w:spacing w:line="276" w:lineRule="auto"/>
              <w:rPr>
                <w:rFonts w:cs="Arial"/>
              </w:rPr>
            </w:pPr>
            <w:hyperlink r:id="rId14" w:history="1">
              <w:r w:rsidR="004B5490">
                <w:rPr>
                  <w:rStyle w:val="Hyperlink"/>
                  <w:rFonts w:cs="Arial"/>
                </w:rPr>
                <w:t xml:space="preserve">Emergency Planning and Community Right-to-Know Act  EPCRA section 313, 42 USC 11023 </w:t>
              </w:r>
            </w:hyperlink>
            <w:r w:rsidR="004B5490">
              <w:rPr>
                <w:rFonts w:cs="Arial"/>
              </w:rPr>
              <w:t xml:space="preserve"> </w:t>
            </w:r>
          </w:p>
        </w:tc>
      </w:tr>
      <w:tr w14:paraId="03442725" w14:textId="77777777" w:rsidTr="0084000C">
        <w:tblPrEx>
          <w:tblW w:w="0" w:type="auto"/>
          <w:tblLook w:val="04A0"/>
        </w:tblPrEx>
        <w:tc>
          <w:tcPr>
            <w:tcW w:w="670" w:type="dxa"/>
          </w:tcPr>
          <w:p w:rsidR="004744A0" w:rsidRPr="00444F9D" w:rsidP="001C3EBF" w14:paraId="2C5E77ED" w14:textId="77777777">
            <w:pPr>
              <w:widowControl w:val="0"/>
              <w:spacing w:line="276" w:lineRule="auto"/>
              <w:rPr>
                <w:rFonts w:cs="Arial"/>
                <w:lang w:bidi="en-US"/>
              </w:rPr>
            </w:pPr>
            <w:r w:rsidRPr="00444F9D">
              <w:rPr>
                <w:rFonts w:cs="Arial"/>
                <w:lang w:bidi="en-US"/>
              </w:rPr>
              <w:t>B</w:t>
            </w:r>
          </w:p>
        </w:tc>
        <w:tc>
          <w:tcPr>
            <w:tcW w:w="8680" w:type="dxa"/>
          </w:tcPr>
          <w:p w:rsidR="004744A0" w:rsidRPr="00444F9D" w:rsidP="001C3EBF" w14:paraId="3F2B82C2" w14:textId="77777777">
            <w:pPr>
              <w:widowControl w:val="0"/>
              <w:spacing w:line="276" w:lineRule="auto"/>
              <w:rPr>
                <w:rFonts w:cs="Arial"/>
                <w:bCs/>
                <w:iCs/>
              </w:rPr>
            </w:pPr>
            <w:hyperlink r:id="rId15" w:history="1">
              <w:r w:rsidR="004B5490">
                <w:rPr>
                  <w:rStyle w:val="Hyperlink"/>
                  <w:rFonts w:cs="Arial"/>
                </w:rPr>
                <w:t xml:space="preserve">Toxic Chemical Release Reporting: Community Right-to-Know 40 CFR § 372.25 </w:t>
              </w:r>
            </w:hyperlink>
            <w:r w:rsidR="004B5490">
              <w:rPr>
                <w:rFonts w:cs="Arial"/>
              </w:rPr>
              <w:t xml:space="preserve"> </w:t>
            </w:r>
          </w:p>
        </w:tc>
      </w:tr>
      <w:tr w14:paraId="297BCC6B" w14:textId="77777777" w:rsidTr="0084000C">
        <w:tblPrEx>
          <w:tblW w:w="0" w:type="auto"/>
          <w:tblLook w:val="04A0"/>
        </w:tblPrEx>
        <w:tc>
          <w:tcPr>
            <w:tcW w:w="670" w:type="dxa"/>
          </w:tcPr>
          <w:p w:rsidR="004744A0" w:rsidRPr="00444F9D" w:rsidP="001C3EBF" w14:paraId="689E61AC" w14:textId="77777777">
            <w:pPr>
              <w:widowControl w:val="0"/>
              <w:spacing w:line="276" w:lineRule="auto"/>
              <w:rPr>
                <w:rFonts w:cs="Arial"/>
                <w:lang w:bidi="en-US"/>
              </w:rPr>
            </w:pPr>
            <w:r w:rsidRPr="00444F9D">
              <w:rPr>
                <w:rFonts w:cs="Arial"/>
                <w:lang w:bidi="en-US"/>
              </w:rPr>
              <w:t>C</w:t>
            </w:r>
          </w:p>
        </w:tc>
        <w:tc>
          <w:tcPr>
            <w:tcW w:w="8680" w:type="dxa"/>
          </w:tcPr>
          <w:p w:rsidR="004744A0" w:rsidRPr="00444F9D" w:rsidP="001C3EBF" w14:paraId="1F15FC46" w14:textId="77777777">
            <w:pPr>
              <w:widowControl w:val="0"/>
              <w:tabs>
                <w:tab w:val="left" w:pos="1080"/>
              </w:tabs>
              <w:spacing w:line="276" w:lineRule="auto"/>
              <w:rPr>
                <w:rFonts w:cs="Arial"/>
              </w:rPr>
            </w:pPr>
            <w:hyperlink r:id="rId16" w:history="1">
              <w:r w:rsidRPr="00001548">
                <w:rPr>
                  <w:rStyle w:val="Hyperlink"/>
                  <w:rFonts w:cs="Arial"/>
                </w:rPr>
                <w:t>F</w:t>
              </w:r>
              <w:r w:rsidRPr="00001548" w:rsidR="007414C8">
                <w:rPr>
                  <w:rStyle w:val="Hyperlink"/>
                  <w:rFonts w:cs="Arial"/>
                </w:rPr>
                <w:t>orm A</w:t>
              </w:r>
            </w:hyperlink>
            <w:r w:rsidRPr="00444F9D" w:rsidR="007414C8">
              <w:rPr>
                <w:rFonts w:cs="Arial"/>
              </w:rPr>
              <w:t xml:space="preserve"> </w:t>
            </w:r>
            <w:r w:rsidR="00BE4A98">
              <w:rPr>
                <w:rFonts w:cs="Arial"/>
              </w:rPr>
              <w:t>– EPA Form Number 9350-2</w:t>
            </w:r>
          </w:p>
        </w:tc>
      </w:tr>
      <w:tr w14:paraId="0F1A061B" w14:textId="77777777" w:rsidTr="0084000C">
        <w:tblPrEx>
          <w:tblW w:w="0" w:type="auto"/>
          <w:tblLook w:val="04A0"/>
        </w:tblPrEx>
        <w:tc>
          <w:tcPr>
            <w:tcW w:w="670" w:type="dxa"/>
          </w:tcPr>
          <w:p w:rsidR="004744A0" w:rsidRPr="00444F9D" w:rsidP="001C3EBF" w14:paraId="0D5DE730" w14:textId="77777777">
            <w:pPr>
              <w:widowControl w:val="0"/>
              <w:spacing w:line="276" w:lineRule="auto"/>
              <w:rPr>
                <w:rFonts w:cs="Arial"/>
                <w:lang w:bidi="en-US"/>
              </w:rPr>
            </w:pPr>
            <w:r w:rsidRPr="00444F9D">
              <w:rPr>
                <w:rFonts w:cs="Arial"/>
                <w:lang w:bidi="en-US"/>
              </w:rPr>
              <w:t>D</w:t>
            </w:r>
          </w:p>
        </w:tc>
        <w:tc>
          <w:tcPr>
            <w:tcW w:w="8680" w:type="dxa"/>
          </w:tcPr>
          <w:p w:rsidR="004744A0" w:rsidRPr="00444F9D" w:rsidP="001C3EBF" w14:paraId="667AC665" w14:textId="77777777">
            <w:pPr>
              <w:widowControl w:val="0"/>
              <w:tabs>
                <w:tab w:val="left" w:pos="1080"/>
              </w:tabs>
              <w:spacing w:line="276" w:lineRule="auto"/>
              <w:rPr>
                <w:rFonts w:cs="Arial"/>
              </w:rPr>
            </w:pPr>
            <w:hyperlink r:id="rId17" w:history="1">
              <w:r w:rsidRPr="00001548" w:rsidR="007414C8">
                <w:rPr>
                  <w:rStyle w:val="Hyperlink"/>
                  <w:rFonts w:cs="Arial"/>
                </w:rPr>
                <w:t>Form R</w:t>
              </w:r>
            </w:hyperlink>
            <w:r w:rsidRPr="00444F9D" w:rsidR="007414C8">
              <w:rPr>
                <w:rFonts w:cs="Arial"/>
              </w:rPr>
              <w:t xml:space="preserve"> </w:t>
            </w:r>
            <w:r w:rsidR="004B5490">
              <w:rPr>
                <w:rFonts w:cs="Arial"/>
              </w:rPr>
              <w:t xml:space="preserve">– </w:t>
            </w:r>
            <w:r w:rsidR="00BE4A98">
              <w:rPr>
                <w:rFonts w:cs="Arial"/>
              </w:rPr>
              <w:t xml:space="preserve">EPA Form </w:t>
            </w:r>
            <w:r w:rsidR="004B5490">
              <w:rPr>
                <w:rFonts w:cs="Arial"/>
              </w:rPr>
              <w:t>Number 935</w:t>
            </w:r>
            <w:r w:rsidR="00BE4A98">
              <w:rPr>
                <w:rFonts w:cs="Arial"/>
              </w:rPr>
              <w:t>0</w:t>
            </w:r>
            <w:r w:rsidR="004B5490">
              <w:rPr>
                <w:rFonts w:cs="Arial"/>
              </w:rPr>
              <w:t>-1</w:t>
            </w:r>
          </w:p>
        </w:tc>
      </w:tr>
    </w:tbl>
    <w:p w:rsidR="004744A0" w:rsidRPr="00444F9D" w:rsidP="00444F9D" w14:paraId="7469057C" w14:textId="77777777">
      <w:pPr>
        <w:spacing w:after="200" w:line="276" w:lineRule="auto"/>
        <w:ind w:left="720" w:hanging="720"/>
        <w:rPr>
          <w:rFonts w:cs="Arial"/>
        </w:rPr>
      </w:pPr>
    </w:p>
    <w:p w:rsidR="00256FDD" w:rsidRPr="00444F9D" w:rsidP="00444F9D" w14:paraId="7C04516A" w14:textId="77777777">
      <w:pPr>
        <w:pStyle w:val="Heading1"/>
        <w:spacing w:before="0" w:after="200" w:line="276" w:lineRule="auto"/>
        <w:rPr>
          <w:rFonts w:cs="Arial"/>
          <w:b w:val="0"/>
          <w:bCs w:val="0"/>
        </w:rPr>
      </w:pPr>
      <w:r w:rsidRPr="00444F9D">
        <w:rPr>
          <w:rFonts w:cs="Arial"/>
        </w:rPr>
        <w:t>REFERENCES</w:t>
      </w:r>
    </w:p>
    <w:p w:rsidR="00256FDD" w:rsidRPr="00444F9D" w:rsidP="00444F9D" w14:paraId="4CB45AF3" w14:textId="77777777">
      <w:pPr>
        <w:spacing w:after="200" w:line="276" w:lineRule="auto"/>
        <w:ind w:right="72"/>
        <w:rPr>
          <w:rFonts w:cs="Arial"/>
        </w:rPr>
      </w:pPr>
      <w:r w:rsidRPr="00444F9D">
        <w:rPr>
          <w:rFonts w:cs="Arial"/>
          <w:lang w:val="fr-FR"/>
        </w:rPr>
        <w:t xml:space="preserve">Arbuckle, J. Gordon, et al., 1993. </w:t>
      </w:r>
      <w:r w:rsidRPr="00444F9D">
        <w:rPr>
          <w:rFonts w:cs="Arial"/>
          <w:i/>
        </w:rPr>
        <w:t>Environmental Law Handbook, Twelfth Edition.</w:t>
      </w:r>
      <w:r w:rsidRPr="00444F9D">
        <w:rPr>
          <w:rFonts w:cs="Arial"/>
        </w:rPr>
        <w:t xml:space="preserve"> Government Institutes, Inc., Rockland MD.</w:t>
      </w:r>
    </w:p>
    <w:p w:rsidR="00CC7695" w:rsidP="00444F9D" w14:paraId="3E11F777" w14:textId="77777777">
      <w:pPr>
        <w:spacing w:after="200" w:line="276" w:lineRule="auto"/>
        <w:ind w:right="1152"/>
        <w:rPr>
          <w:rFonts w:cs="Arial"/>
          <w:spacing w:val="-2"/>
        </w:rPr>
      </w:pPr>
      <w:r w:rsidRPr="00CC7695">
        <w:rPr>
          <w:rFonts w:cs="Arial"/>
          <w:spacing w:val="-2"/>
        </w:rPr>
        <w:t>U.S. Bureau of Economic Analysis. (202</w:t>
      </w:r>
      <w:r w:rsidR="00564B21">
        <w:rPr>
          <w:rFonts w:cs="Arial"/>
          <w:spacing w:val="-2"/>
        </w:rPr>
        <w:t>3</w:t>
      </w:r>
      <w:r w:rsidRPr="00CC7695">
        <w:rPr>
          <w:rFonts w:cs="Arial"/>
          <w:spacing w:val="-2"/>
        </w:rPr>
        <w:t xml:space="preserve">). National </w:t>
      </w:r>
      <w:r w:rsidRPr="00CC7695">
        <w:rPr>
          <w:rFonts w:cs="Arial"/>
          <w:spacing w:val="-2"/>
        </w:rPr>
        <w:t>Income and Products Accounts Table, Table 1.1.9: Implicit Price Deflators for Gross Domestic Product. http://www.bea.gov/iTable/index_nipa.cfm</w:t>
      </w:r>
    </w:p>
    <w:p w:rsidR="00256FDD" w:rsidRPr="00444F9D" w:rsidP="00444F9D" w14:paraId="524F6C3E" w14:textId="77777777">
      <w:pPr>
        <w:spacing w:after="200" w:line="276" w:lineRule="auto"/>
        <w:ind w:right="1152"/>
        <w:rPr>
          <w:rFonts w:cs="Arial"/>
        </w:rPr>
      </w:pPr>
      <w:r w:rsidRPr="00444F9D">
        <w:rPr>
          <w:rFonts w:cs="Arial"/>
          <w:spacing w:val="-2"/>
        </w:rPr>
        <w:t>U.S. Department of Labor, Bureau of Labor Statistics.</w:t>
      </w:r>
      <w:r w:rsidRPr="00444F9D">
        <w:rPr>
          <w:rFonts w:cs="Arial"/>
        </w:rPr>
        <w:t xml:space="preserve"> </w:t>
      </w:r>
      <w:r w:rsidRPr="00444F9D">
        <w:rPr>
          <w:rFonts w:cs="Arial"/>
          <w:i/>
          <w:iCs/>
          <w:spacing w:val="-2"/>
        </w:rPr>
        <w:t xml:space="preserve">Employer Costs for Employee </w:t>
      </w:r>
      <w:r w:rsidRPr="00444F9D">
        <w:rPr>
          <w:rFonts w:cs="Arial"/>
          <w:i/>
          <w:iCs/>
        </w:rPr>
        <w:t xml:space="preserve">Compensation. </w:t>
      </w:r>
      <w:r w:rsidRPr="00444F9D">
        <w:rPr>
          <w:rFonts w:cs="Arial"/>
        </w:rPr>
        <w:t>U.S. Department o</w:t>
      </w:r>
      <w:r w:rsidRPr="00444F9D">
        <w:rPr>
          <w:rFonts w:cs="Arial"/>
        </w:rPr>
        <w:t>f Labor, Washington, D.C. September 2016.</w:t>
      </w:r>
    </w:p>
    <w:p w:rsidR="00256FDD" w:rsidRPr="00444F9D" w:rsidP="00444F9D" w14:paraId="4BF86276" w14:textId="77777777">
      <w:pPr>
        <w:spacing w:after="200" w:line="276" w:lineRule="auto"/>
        <w:ind w:right="432"/>
        <w:rPr>
          <w:rFonts w:cs="Arial"/>
        </w:rPr>
      </w:pPr>
      <w:r w:rsidRPr="00444F9D">
        <w:rPr>
          <w:rFonts w:cs="Arial"/>
        </w:rPr>
        <w:t>U.S. EPA, 1986. Emergency Planning and Community Right-to-Know Act of 1986, §313 (42 U.S.C.A. §1023.</w:t>
      </w:r>
    </w:p>
    <w:p w:rsidR="00256FDD" w:rsidRPr="00444F9D" w:rsidP="00444F9D" w14:paraId="12E61DD7" w14:textId="77777777">
      <w:pPr>
        <w:spacing w:after="200" w:line="276" w:lineRule="auto"/>
        <w:ind w:right="648"/>
        <w:rPr>
          <w:rFonts w:cs="Arial"/>
        </w:rPr>
      </w:pPr>
      <w:r w:rsidRPr="00444F9D">
        <w:rPr>
          <w:rFonts w:cs="Arial"/>
        </w:rPr>
        <w:t>U.S. EPA, 1990. Pollution Prevention Act (42 U.S.C.A. §13101-13109. U.S. EPA.</w:t>
      </w:r>
    </w:p>
    <w:p w:rsidR="00256FDD" w:rsidRPr="00444F9D" w:rsidP="00444F9D" w14:paraId="211373D6" w14:textId="77777777">
      <w:pPr>
        <w:pStyle w:val="FootnoteText"/>
        <w:spacing w:after="200" w:line="276" w:lineRule="auto"/>
        <w:rPr>
          <w:rFonts w:cs="Arial"/>
          <w:sz w:val="24"/>
          <w:szCs w:val="24"/>
        </w:rPr>
      </w:pPr>
      <w:r w:rsidRPr="00444F9D">
        <w:rPr>
          <w:rFonts w:cs="Arial"/>
          <w:bCs/>
          <w:sz w:val="24"/>
          <w:szCs w:val="24"/>
        </w:rPr>
        <w:t xml:space="preserve">U.S. EPA, 2007. Analysis of the </w:t>
      </w:r>
      <w:r w:rsidRPr="00444F9D">
        <w:rPr>
          <w:rFonts w:cs="Arial"/>
          <w:bCs/>
          <w:sz w:val="24"/>
          <w:szCs w:val="24"/>
        </w:rPr>
        <w:t>Estimated Burden and Cost of Form R Schedule 1 for Dioxin and Dioxin-like Compounds; Toxic Equivalency Reporting; Community Right to Know Toxic Chemical Release Reporting</w:t>
      </w:r>
      <w:r w:rsidRPr="00444F9D">
        <w:rPr>
          <w:rFonts w:cs="Arial"/>
          <w:sz w:val="24"/>
          <w:szCs w:val="24"/>
        </w:rPr>
        <w:t xml:space="preserve"> (May 10, 2007).</w:t>
      </w:r>
    </w:p>
    <w:p w:rsidR="00256FDD" w:rsidRPr="00444F9D" w:rsidP="00444F9D" w14:paraId="024F8B19" w14:textId="77777777">
      <w:pPr>
        <w:spacing w:after="200" w:line="276" w:lineRule="auto"/>
        <w:ind w:right="648"/>
        <w:rPr>
          <w:rFonts w:cs="Arial"/>
        </w:rPr>
      </w:pPr>
      <w:r w:rsidRPr="00444F9D">
        <w:rPr>
          <w:rFonts w:cs="Arial"/>
        </w:rPr>
        <w:t>U.S. EPA, 2008. Procedure for Quality Policy.</w:t>
      </w:r>
      <w:r w:rsidRPr="00444F9D">
        <w:rPr>
          <w:rFonts w:cs="Arial"/>
          <w:i/>
        </w:rPr>
        <w:t xml:space="preserve"> </w:t>
      </w:r>
      <w:r w:rsidRPr="00444F9D">
        <w:rPr>
          <w:rFonts w:cs="Arial"/>
        </w:rPr>
        <w:t>CIO 2106-P-0.10. Octobe</w:t>
      </w:r>
      <w:r w:rsidRPr="00444F9D">
        <w:rPr>
          <w:rFonts w:cs="Arial"/>
        </w:rPr>
        <w:t>r 20, 2008.</w:t>
      </w:r>
    </w:p>
    <w:p w:rsidR="00256FDD" w:rsidRPr="00444F9D" w:rsidP="00444F9D" w14:paraId="4097F3F5" w14:textId="77777777">
      <w:pPr>
        <w:spacing w:after="200" w:line="276" w:lineRule="auto"/>
        <w:ind w:right="360"/>
        <w:rPr>
          <w:rFonts w:cs="Arial"/>
        </w:rPr>
      </w:pPr>
      <w:r w:rsidRPr="00444F9D">
        <w:rPr>
          <w:rFonts w:cs="Arial"/>
          <w:bCs/>
        </w:rPr>
        <w:t xml:space="preserve">U.S. EPA, 2011. </w:t>
      </w:r>
      <w:r w:rsidRPr="00444F9D">
        <w:rPr>
          <w:rFonts w:cs="Arial"/>
        </w:rPr>
        <w:t>Revising TRI Burden to Ratio-Based Methodology; TRI Regulatory Development Branch, TRI Program Division, Office of Information Analysis and Access, Office of Environmental Information (February 1, 2011).</w:t>
      </w:r>
    </w:p>
    <w:p w:rsidR="00256FDD" w:rsidRPr="00444F9D" w:rsidP="00444F9D" w14:paraId="2076C87D" w14:textId="77777777">
      <w:pPr>
        <w:spacing w:after="200" w:line="276" w:lineRule="auto"/>
        <w:ind w:right="360"/>
        <w:rPr>
          <w:rFonts w:cs="Arial"/>
        </w:rPr>
      </w:pPr>
      <w:r w:rsidRPr="00444F9D">
        <w:rPr>
          <w:rFonts w:cs="Arial"/>
          <w:spacing w:val="-2"/>
        </w:rPr>
        <w:t>U.S. EPA. 40 CFR Part 37</w:t>
      </w:r>
      <w:r w:rsidRPr="00444F9D">
        <w:rPr>
          <w:rFonts w:cs="Arial"/>
          <w:spacing w:val="-2"/>
        </w:rPr>
        <w:t>2 Toxic Chemical Release Reporting: Community Right-to-Know.</w:t>
      </w:r>
    </w:p>
    <w:p w:rsidR="00256FDD" w:rsidRPr="00444F9D" w:rsidP="00444F9D" w14:paraId="07F61CA9" w14:textId="77777777">
      <w:pPr>
        <w:spacing w:after="200" w:line="276" w:lineRule="auto"/>
        <w:ind w:right="360"/>
        <w:rPr>
          <w:rFonts w:cs="Arial"/>
        </w:rPr>
      </w:pPr>
      <w:r w:rsidRPr="00444F9D">
        <w:rPr>
          <w:rFonts w:cs="Arial"/>
          <w:i/>
        </w:rPr>
        <w:t xml:space="preserve">Addition of Nonylphenol Ethoxylates Category; Community Right-to-Know Toxic Chemical Release Reporting. </w:t>
      </w:r>
      <w:r w:rsidRPr="00444F9D">
        <w:rPr>
          <w:rFonts w:cs="Arial"/>
        </w:rPr>
        <w:t>40 CFR Part 372. EPA Docket ID Number EPA-HQ-TRI-2016-0222-0001. Federal Register Vol. 83 N</w:t>
      </w:r>
      <w:r w:rsidRPr="00444F9D">
        <w:rPr>
          <w:rFonts w:cs="Arial"/>
        </w:rPr>
        <w:t>o. 113. June 12, 2018.</w:t>
      </w:r>
    </w:p>
    <w:p w:rsidR="00256FDD" w:rsidRPr="00444F9D" w:rsidP="00444F9D" w14:paraId="07B62A2F" w14:textId="77777777">
      <w:pPr>
        <w:spacing w:after="200" w:line="276" w:lineRule="auto"/>
        <w:ind w:right="360"/>
        <w:rPr>
          <w:rFonts w:cs="Arial"/>
        </w:rPr>
      </w:pPr>
      <w:r w:rsidRPr="00444F9D">
        <w:rPr>
          <w:rFonts w:cs="Arial"/>
          <w:i/>
        </w:rPr>
        <w:t xml:space="preserve">Community Right-to-Know; Adoption of 2012 North American Industry Classification System (NAICS) Codes for Toxics Release Inventory (TRI) Reporting. </w:t>
      </w:r>
      <w:r w:rsidRPr="00444F9D">
        <w:rPr>
          <w:rFonts w:cs="Arial"/>
        </w:rPr>
        <w:t xml:space="preserve">40 CFR Part 372. EPA Docket ID Number EPA-HQ-OEI-2012-0110. Federal Register Vol. 78 </w:t>
      </w:r>
      <w:r w:rsidRPr="00444F9D">
        <w:rPr>
          <w:rFonts w:cs="Arial"/>
        </w:rPr>
        <w:t>No. 119. June 20, 2013.</w:t>
      </w:r>
    </w:p>
    <w:p w:rsidR="00256FDD" w:rsidRPr="00102EDA" w:rsidP="00102EDA" w14:paraId="727CF5AF" w14:textId="77777777">
      <w:pPr>
        <w:spacing w:after="200" w:line="276" w:lineRule="auto"/>
        <w:rPr>
          <w:rFonts w:cs="Arial"/>
          <w:b/>
        </w:rPr>
      </w:pPr>
      <w:r w:rsidRPr="00444F9D">
        <w:rPr>
          <w:rFonts w:cs="Arial"/>
          <w:i/>
        </w:rPr>
        <w:t xml:space="preserve">Electronic Reporting of Toxics Release Inventory Data. </w:t>
      </w:r>
      <w:r w:rsidRPr="00444F9D">
        <w:rPr>
          <w:rFonts w:cs="Arial"/>
        </w:rPr>
        <w:t>40 CFR Part 372. EPA Docket ID Number EPA–HQ–TRI–2011–0174. Federal Register Vol. 78 No. 166. August 27, 2013.</w:t>
      </w:r>
      <w:r w:rsidRPr="00444F9D">
        <w:rPr>
          <w:rFonts w:cs="Arial"/>
          <w:b/>
        </w:rPr>
        <w:t xml:space="preserve"> </w:t>
      </w:r>
    </w:p>
    <w:p w:rsidR="00C80147" w14:paraId="3EEA25A6" w14:textId="77777777">
      <w:pPr>
        <w:autoSpaceDE/>
        <w:autoSpaceDN/>
        <w:rPr>
          <w:rFonts w:cs="Arial"/>
          <w:b/>
        </w:rPr>
      </w:pPr>
      <w:r>
        <w:rPr>
          <w:rFonts w:cs="Arial"/>
          <w:b/>
        </w:rPr>
        <w:br w:type="page"/>
      </w:r>
    </w:p>
    <w:p w:rsidR="00102EDA" w:rsidRPr="00102EDA" w:rsidP="001C3EBF" w14:paraId="37B31A83" w14:textId="77777777">
      <w:pPr>
        <w:pStyle w:val="Heading1"/>
      </w:pPr>
      <w:r>
        <w:t>A</w:t>
      </w:r>
      <w:r w:rsidRPr="00102EDA" w:rsidR="00256FDD">
        <w:t>PPENDICES</w:t>
      </w:r>
    </w:p>
    <w:p w:rsidR="001C3EBF" w:rsidRPr="001C3EBF" w:rsidP="001C3EBF" w14:paraId="6D0CD8D2" w14:textId="77777777">
      <w:pPr>
        <w:pStyle w:val="Heading2"/>
        <w:ind w:left="0"/>
      </w:pPr>
      <w:r w:rsidRPr="001C3EBF">
        <w:t xml:space="preserve">Appendix A: </w:t>
      </w:r>
    </w:p>
    <w:p w:rsidR="001C3EBF" w:rsidP="001C3EBF" w14:paraId="20E6EA33" w14:textId="77777777"/>
    <w:p w:rsidR="00256FDD" w:rsidRPr="001C3EBF" w:rsidP="001C3EBF" w14:paraId="55B36E62" w14:textId="77777777">
      <w:pPr>
        <w:ind w:left="720"/>
      </w:pPr>
      <w:r w:rsidRPr="001C3EBF">
        <w:t xml:space="preserve">Information Sources </w:t>
      </w:r>
      <w:r w:rsidRPr="001C3EBF">
        <w:t>Containing Data Subsets, but not Comprehensively Comparable Alternatives to TRI</w:t>
      </w:r>
    </w:p>
    <w:p w:rsidR="00256FDD" w:rsidRPr="00102EDA" w:rsidP="001C3EBF" w14:paraId="5F9E86DB" w14:textId="77777777"/>
    <w:p w:rsidR="00C80147" w:rsidP="001C3EBF" w14:paraId="5FA876EB" w14:textId="77777777">
      <w:pPr>
        <w:sectPr w:rsidSect="0031680C">
          <w:footerReference w:type="default" r:id="rId18"/>
          <w:pgSz w:w="12240" w:h="15840" w:code="1"/>
          <w:pgMar w:top="1440" w:right="1440" w:bottom="1440" w:left="1440" w:header="576" w:footer="576" w:gutter="0"/>
          <w:cols w:space="720"/>
          <w:noEndnote/>
          <w:docGrid w:linePitch="326"/>
        </w:sectPr>
      </w:pPr>
    </w:p>
    <w:p w:rsidR="00EF7BF8" w:rsidRPr="00444F9D" w:rsidP="00563B27" w14:paraId="5CE6FCC5" w14:textId="77777777">
      <w:pPr>
        <w:pStyle w:val="Heading2"/>
        <w:ind w:left="0"/>
        <w:rPr>
          <w:rFonts w:cs="Arial"/>
          <w:b/>
          <w:bCs/>
        </w:rPr>
      </w:pPr>
      <w:r w:rsidRPr="00444F9D">
        <w:rPr>
          <w:rFonts w:cs="Arial"/>
          <w:b/>
        </w:rPr>
        <w:t xml:space="preserve">Appendix </w:t>
      </w:r>
      <w:r w:rsidRPr="00444F9D">
        <w:rPr>
          <w:rFonts w:cs="Arial"/>
          <w:b/>
          <w:bCs/>
        </w:rPr>
        <w:t xml:space="preserve">A: Information Sources Containing Data Subsets, But Not Comprehensively Comparable </w:t>
      </w:r>
      <w:r w:rsidRPr="00444F9D">
        <w:rPr>
          <w:rFonts w:cs="Arial"/>
          <w:b/>
          <w:bCs/>
        </w:rPr>
        <w:t>Alternatives</w:t>
      </w:r>
      <w:r w:rsidRPr="00444F9D">
        <w:rPr>
          <w:rFonts w:cs="Arial"/>
          <w:b/>
        </w:rPr>
        <w:t xml:space="preserve"> to TRI </w:t>
      </w:r>
      <w:r w:rsidRPr="00444F9D">
        <w:rPr>
          <w:rFonts w:cs="Arial"/>
          <w:b/>
          <w:bCs/>
        </w:rPr>
        <w:t>Data</w:t>
      </w:r>
    </w:p>
    <w:p w:rsidR="00EF7BF8" w:rsidRPr="00444F9D" w:rsidP="00444F9D" w14:paraId="247C04E2" w14:textId="77777777">
      <w:pPr>
        <w:tabs>
          <w:tab w:val="left" w:pos="8880"/>
        </w:tabs>
        <w:spacing w:after="200" w:line="276" w:lineRule="auto"/>
        <w:rPr>
          <w:rFonts w:cs="Arial"/>
        </w:rPr>
      </w:pPr>
      <w:r w:rsidRPr="00444F9D">
        <w:rPr>
          <w:rFonts w:cs="Arial"/>
        </w:rPr>
        <w:t>In this appendix, data elements available from several information sources are compared to those reported to TRI. The analysis is broken down by the specific types of data collected under TRI. While some sources may appear to be su</w:t>
      </w:r>
      <w:r w:rsidRPr="00444F9D">
        <w:rPr>
          <w:rFonts w:cs="Arial"/>
        </w:rPr>
        <w:t>bstitutes for TRI, they do not adequately address the entire scope of TRI, even in combination. For example, a given source may:</w:t>
      </w:r>
    </w:p>
    <w:p w:rsidR="00EF7BF8" w:rsidRPr="00444F9D" w:rsidP="00444F9D" w14:paraId="44D41A7B" w14:textId="77777777">
      <w:pPr>
        <w:numPr>
          <w:ilvl w:val="0"/>
          <w:numId w:val="49"/>
        </w:numPr>
        <w:tabs>
          <w:tab w:val="left" w:pos="8880"/>
        </w:tabs>
        <w:spacing w:after="200" w:line="276" w:lineRule="auto"/>
        <w:rPr>
          <w:rFonts w:cs="Arial"/>
        </w:rPr>
      </w:pPr>
      <w:r w:rsidRPr="00444F9D">
        <w:rPr>
          <w:rFonts w:cs="Arial"/>
        </w:rPr>
        <w:t>Not include all toxic chemicals covered by TRI,</w:t>
      </w:r>
    </w:p>
    <w:p w:rsidR="00EF7BF8" w:rsidRPr="00444F9D" w:rsidP="00444F9D" w14:paraId="1808CC5C" w14:textId="77777777">
      <w:pPr>
        <w:numPr>
          <w:ilvl w:val="0"/>
          <w:numId w:val="49"/>
        </w:numPr>
        <w:tabs>
          <w:tab w:val="left" w:pos="8880"/>
        </w:tabs>
        <w:spacing w:after="200" w:line="276" w:lineRule="auto"/>
        <w:rPr>
          <w:rFonts w:cs="Arial"/>
        </w:rPr>
      </w:pPr>
      <w:r w:rsidRPr="00444F9D">
        <w:rPr>
          <w:rFonts w:cs="Arial"/>
        </w:rPr>
        <w:t>Be compiled less frequently than TRI, and/or</w:t>
      </w:r>
    </w:p>
    <w:p w:rsidR="00EF7BF8" w:rsidRPr="00444F9D" w:rsidP="00444F9D" w14:paraId="24949993" w14:textId="77777777">
      <w:pPr>
        <w:numPr>
          <w:ilvl w:val="0"/>
          <w:numId w:val="49"/>
        </w:numPr>
        <w:tabs>
          <w:tab w:val="left" w:pos="8880"/>
        </w:tabs>
        <w:spacing w:after="200" w:line="276" w:lineRule="auto"/>
        <w:rPr>
          <w:rFonts w:cs="Arial"/>
        </w:rPr>
      </w:pPr>
      <w:r w:rsidRPr="00444F9D">
        <w:rPr>
          <w:rFonts w:cs="Arial"/>
        </w:rPr>
        <w:t>Not be as easily accessible (if at</w:t>
      </w:r>
      <w:r w:rsidRPr="00444F9D">
        <w:rPr>
          <w:rFonts w:cs="Arial"/>
        </w:rPr>
        <w:t xml:space="preserve"> all) to the general public.</w:t>
      </w:r>
    </w:p>
    <w:p w:rsidR="00C80147" w14:paraId="73D4600F" w14:textId="77777777">
      <w:pPr>
        <w:autoSpaceDE/>
        <w:autoSpaceDN/>
        <w:rPr>
          <w:rFonts w:cs="Arial"/>
          <w:b/>
        </w:rPr>
      </w:pPr>
      <w:r>
        <w:rPr>
          <w:rFonts w:cs="Arial"/>
          <w:b/>
        </w:rPr>
        <w:br w:type="page"/>
      </w:r>
    </w:p>
    <w:p w:rsidR="00EF7BF8" w:rsidRPr="00444F9D" w:rsidP="001C3EBF" w14:paraId="3576207A" w14:textId="77777777">
      <w:pPr>
        <w:spacing w:after="200" w:line="276" w:lineRule="auto"/>
        <w:jc w:val="center"/>
        <w:rPr>
          <w:rFonts w:cs="Arial"/>
        </w:rPr>
      </w:pPr>
      <w:r w:rsidRPr="00444F9D">
        <w:rPr>
          <w:rFonts w:cs="Arial"/>
          <w:b/>
        </w:rPr>
        <w:t>Table F-1: Relevant Information Sources</w:t>
      </w:r>
      <w:r w:rsidR="001C3EBF">
        <w:rPr>
          <w:rFonts w:cs="Arial"/>
          <w:b/>
        </w:rPr>
        <w:t xml:space="preserve"> </w:t>
      </w:r>
      <w:r w:rsidRPr="00444F9D">
        <w:rPr>
          <w:rFonts w:cs="Arial"/>
        </w:rPr>
        <w:t>(TRI Included for Comparison)</w:t>
      </w:r>
    </w:p>
    <w:tbl>
      <w:tblPr>
        <w:tblW w:w="13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99"/>
        <w:gridCol w:w="2041"/>
        <w:gridCol w:w="2521"/>
        <w:gridCol w:w="1801"/>
        <w:gridCol w:w="3358"/>
      </w:tblGrid>
      <w:tr w14:paraId="3E879711" w14:textId="77777777" w:rsidTr="00954605">
        <w:tblPrEx>
          <w:tblW w:w="13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30"/>
          <w:tblHeader/>
          <w:jc w:val="center"/>
        </w:trPr>
        <w:tc>
          <w:tcPr>
            <w:tcW w:w="4197" w:type="dxa"/>
            <w:tcBorders>
              <w:top w:val="single" w:sz="4" w:space="0" w:color="auto"/>
              <w:left w:val="single" w:sz="4" w:space="0" w:color="auto"/>
              <w:bottom w:val="single" w:sz="4" w:space="0" w:color="auto"/>
              <w:right w:val="single" w:sz="4" w:space="0" w:color="auto"/>
            </w:tcBorders>
            <w:vAlign w:val="center"/>
            <w:hideMark/>
          </w:tcPr>
          <w:p w:rsidR="00EF7BF8" w:rsidRPr="00444F9D" w:rsidP="001C3EBF" w14:paraId="0FC8BA12" w14:textId="77777777">
            <w:pPr>
              <w:spacing w:line="276" w:lineRule="auto"/>
              <w:jc w:val="center"/>
              <w:rPr>
                <w:rFonts w:cs="Arial"/>
                <w:sz w:val="20"/>
                <w:szCs w:val="20"/>
              </w:rPr>
            </w:pPr>
            <w:r w:rsidRPr="00444F9D">
              <w:rPr>
                <w:rFonts w:cs="Arial"/>
                <w:b/>
                <w:bCs/>
                <w:kern w:val="32"/>
                <w:sz w:val="20"/>
                <w:szCs w:val="20"/>
              </w:rPr>
              <w:t>Description</w:t>
            </w:r>
          </w:p>
        </w:tc>
        <w:tc>
          <w:tcPr>
            <w:tcW w:w="2040" w:type="dxa"/>
            <w:tcBorders>
              <w:top w:val="single" w:sz="4" w:space="0" w:color="auto"/>
              <w:left w:val="single" w:sz="4" w:space="0" w:color="auto"/>
              <w:bottom w:val="single" w:sz="4" w:space="0" w:color="auto"/>
              <w:right w:val="single" w:sz="4" w:space="0" w:color="auto"/>
            </w:tcBorders>
            <w:vAlign w:val="center"/>
            <w:hideMark/>
          </w:tcPr>
          <w:p w:rsidR="00EF7BF8" w:rsidRPr="00444F9D" w:rsidP="001C3EBF" w14:paraId="2296FE89" w14:textId="77777777">
            <w:pPr>
              <w:spacing w:line="276" w:lineRule="auto"/>
              <w:jc w:val="center"/>
              <w:rPr>
                <w:rFonts w:cs="Arial"/>
                <w:b/>
                <w:bCs/>
                <w:sz w:val="20"/>
                <w:szCs w:val="20"/>
              </w:rPr>
            </w:pPr>
            <w:r w:rsidRPr="00444F9D">
              <w:rPr>
                <w:rFonts w:cs="Arial"/>
                <w:b/>
                <w:bCs/>
                <w:sz w:val="20"/>
                <w:szCs w:val="20"/>
              </w:rPr>
              <w:t>Chemical Coverage</w:t>
            </w:r>
          </w:p>
        </w:tc>
        <w:tc>
          <w:tcPr>
            <w:tcW w:w="2520" w:type="dxa"/>
            <w:tcBorders>
              <w:top w:val="single" w:sz="4" w:space="0" w:color="auto"/>
              <w:left w:val="single" w:sz="4" w:space="0" w:color="auto"/>
              <w:bottom w:val="single" w:sz="4" w:space="0" w:color="auto"/>
              <w:right w:val="single" w:sz="4" w:space="0" w:color="auto"/>
            </w:tcBorders>
            <w:vAlign w:val="center"/>
            <w:hideMark/>
          </w:tcPr>
          <w:p w:rsidR="00EF7BF8" w:rsidRPr="00444F9D" w:rsidP="001C3EBF" w14:paraId="15AF97E0" w14:textId="77777777">
            <w:pPr>
              <w:spacing w:line="276" w:lineRule="auto"/>
              <w:jc w:val="center"/>
              <w:rPr>
                <w:rFonts w:cs="Arial"/>
                <w:b/>
                <w:bCs/>
                <w:sz w:val="20"/>
                <w:szCs w:val="20"/>
              </w:rPr>
            </w:pPr>
            <w:r w:rsidRPr="00444F9D">
              <w:rPr>
                <w:rFonts w:cs="Arial"/>
                <w:b/>
                <w:bCs/>
                <w:sz w:val="20"/>
                <w:szCs w:val="20"/>
              </w:rPr>
              <w:t>Industry/Facility Coverage</w:t>
            </w:r>
          </w:p>
        </w:tc>
        <w:tc>
          <w:tcPr>
            <w:tcW w:w="1800" w:type="dxa"/>
            <w:tcBorders>
              <w:top w:val="single" w:sz="4" w:space="0" w:color="auto"/>
              <w:left w:val="single" w:sz="4" w:space="0" w:color="auto"/>
              <w:bottom w:val="single" w:sz="4" w:space="0" w:color="auto"/>
              <w:right w:val="single" w:sz="4" w:space="0" w:color="auto"/>
            </w:tcBorders>
            <w:vAlign w:val="center"/>
            <w:hideMark/>
          </w:tcPr>
          <w:p w:rsidR="00EF7BF8" w:rsidRPr="00444F9D" w:rsidP="001C3EBF" w14:paraId="0C623881" w14:textId="77777777">
            <w:pPr>
              <w:spacing w:line="276" w:lineRule="auto"/>
              <w:ind w:right="-52"/>
              <w:jc w:val="center"/>
              <w:rPr>
                <w:rFonts w:cs="Arial"/>
                <w:b/>
                <w:bCs/>
                <w:sz w:val="20"/>
                <w:szCs w:val="20"/>
              </w:rPr>
            </w:pPr>
            <w:r w:rsidRPr="00444F9D">
              <w:rPr>
                <w:rFonts w:cs="Arial"/>
                <w:b/>
                <w:bCs/>
                <w:sz w:val="20"/>
                <w:szCs w:val="20"/>
              </w:rPr>
              <w:t>Reporting Frequency</w:t>
            </w:r>
          </w:p>
        </w:tc>
        <w:tc>
          <w:tcPr>
            <w:tcW w:w="3357" w:type="dxa"/>
            <w:tcBorders>
              <w:top w:val="single" w:sz="4" w:space="0" w:color="auto"/>
              <w:left w:val="single" w:sz="4" w:space="0" w:color="auto"/>
              <w:bottom w:val="single" w:sz="4" w:space="0" w:color="auto"/>
              <w:right w:val="single" w:sz="4" w:space="0" w:color="auto"/>
            </w:tcBorders>
            <w:vAlign w:val="center"/>
            <w:hideMark/>
          </w:tcPr>
          <w:p w:rsidR="00EF7BF8" w:rsidRPr="00444F9D" w:rsidP="001C3EBF" w14:paraId="2F1E7552" w14:textId="77777777">
            <w:pPr>
              <w:spacing w:line="276" w:lineRule="auto"/>
              <w:jc w:val="center"/>
              <w:rPr>
                <w:rFonts w:cs="Arial"/>
                <w:b/>
                <w:bCs/>
                <w:sz w:val="20"/>
                <w:szCs w:val="20"/>
              </w:rPr>
            </w:pPr>
            <w:r w:rsidRPr="00444F9D">
              <w:rPr>
                <w:rFonts w:cs="Arial"/>
                <w:b/>
                <w:bCs/>
                <w:sz w:val="20"/>
                <w:szCs w:val="20"/>
              </w:rPr>
              <w:t>Public Access</w:t>
            </w:r>
          </w:p>
        </w:tc>
      </w:tr>
      <w:tr w14:paraId="1435CE14" w14:textId="77777777" w:rsidTr="00954605">
        <w:tblPrEx>
          <w:tblW w:w="13920" w:type="dxa"/>
          <w:jc w:val="center"/>
          <w:tblLayout w:type="fixed"/>
          <w:tblLook w:val="04A0"/>
        </w:tblPrEx>
        <w:trPr>
          <w:cantSplit/>
          <w:trHeight w:val="58"/>
          <w:jc w:val="center"/>
        </w:trPr>
        <w:tc>
          <w:tcPr>
            <w:tcW w:w="13914" w:type="dxa"/>
            <w:gridSpan w:val="5"/>
            <w:tcBorders>
              <w:top w:val="single" w:sz="4" w:space="0" w:color="auto"/>
              <w:left w:val="single" w:sz="4" w:space="0" w:color="auto"/>
              <w:bottom w:val="single" w:sz="4" w:space="0" w:color="auto"/>
              <w:right w:val="single" w:sz="4" w:space="0" w:color="auto"/>
            </w:tcBorders>
            <w:shd w:val="clear" w:color="auto" w:fill="C0C0C0"/>
            <w:hideMark/>
          </w:tcPr>
          <w:p w:rsidR="00EF7BF8" w:rsidRPr="00444F9D" w:rsidP="001C3EBF" w14:paraId="72BB3D91" w14:textId="77777777">
            <w:pPr>
              <w:spacing w:line="276" w:lineRule="auto"/>
              <w:rPr>
                <w:rFonts w:cs="Arial"/>
                <w:b/>
                <w:bCs/>
                <w:sz w:val="20"/>
                <w:szCs w:val="20"/>
              </w:rPr>
            </w:pPr>
            <w:r w:rsidRPr="00444F9D">
              <w:rPr>
                <w:rFonts w:cs="Arial"/>
                <w:b/>
                <w:bCs/>
                <w:sz w:val="20"/>
                <w:szCs w:val="20"/>
              </w:rPr>
              <w:t>TRI DATA</w:t>
            </w:r>
          </w:p>
        </w:tc>
      </w:tr>
      <w:tr w14:paraId="18B8F23F" w14:textId="77777777" w:rsidTr="00954605">
        <w:tblPrEx>
          <w:tblW w:w="13920" w:type="dxa"/>
          <w:jc w:val="center"/>
          <w:tblLayout w:type="fixed"/>
          <w:tblLook w:val="04A0"/>
        </w:tblPrEx>
        <w:trPr>
          <w:cantSplit/>
          <w:jc w:val="center"/>
        </w:trPr>
        <w:tc>
          <w:tcPr>
            <w:tcW w:w="4197" w:type="dxa"/>
            <w:tcBorders>
              <w:top w:val="single" w:sz="4" w:space="0" w:color="auto"/>
              <w:left w:val="single" w:sz="4" w:space="0" w:color="auto"/>
              <w:bottom w:val="single" w:sz="4" w:space="0" w:color="auto"/>
              <w:right w:val="single" w:sz="4" w:space="0" w:color="auto"/>
            </w:tcBorders>
          </w:tcPr>
          <w:p w:rsidR="00EF7BF8" w:rsidRPr="00444F9D" w:rsidP="001C3EBF" w14:paraId="6F2F860B" w14:textId="77777777">
            <w:pPr>
              <w:spacing w:line="276" w:lineRule="auto"/>
              <w:rPr>
                <w:rFonts w:cs="Arial"/>
                <w:sz w:val="20"/>
                <w:szCs w:val="20"/>
              </w:rPr>
            </w:pPr>
            <w:r w:rsidRPr="00444F9D">
              <w:rPr>
                <w:rFonts w:cs="Arial"/>
                <w:sz w:val="20"/>
                <w:szCs w:val="20"/>
              </w:rPr>
              <w:t>EPCRA</w:t>
            </w:r>
            <w:r>
              <w:rPr>
                <w:rFonts w:cs="Arial"/>
                <w:sz w:val="20"/>
                <w:szCs w:val="20"/>
              </w:rPr>
              <w:fldChar w:fldCharType="begin"/>
            </w:r>
            <w:r w:rsidRPr="00444F9D">
              <w:rPr>
                <w:rFonts w:cs="Arial"/>
                <w:sz w:val="20"/>
                <w:szCs w:val="20"/>
              </w:rPr>
              <w:instrText xml:space="preserve"> XE "EPCRA" </w:instrText>
            </w:r>
            <w:r>
              <w:rPr>
                <w:rFonts w:cs="Arial"/>
                <w:sz w:val="20"/>
                <w:szCs w:val="20"/>
              </w:rPr>
              <w:fldChar w:fldCharType="end"/>
            </w:r>
            <w:r w:rsidRPr="00444F9D">
              <w:rPr>
                <w:rFonts w:cs="Arial"/>
                <w:sz w:val="20"/>
                <w:szCs w:val="20"/>
              </w:rPr>
              <w:t xml:space="preserve"> §313 requires facilities to submit reports on releases (including disposal) of particular toxic chemicals exceeding a given threshold. The reports provide information on the quantity of chemical released into the environment and to which medium (air, land</w:t>
            </w:r>
            <w:r w:rsidRPr="00444F9D">
              <w:rPr>
                <w:rFonts w:cs="Arial"/>
                <w:sz w:val="20"/>
                <w:szCs w:val="20"/>
              </w:rPr>
              <w:t>, water) the disposal took place, as well as information about waste management and the amount of chemicals stored on-site.</w:t>
            </w:r>
          </w:p>
          <w:p w:rsidR="00EF7BF8" w:rsidRPr="00444F9D" w:rsidP="001C3EBF" w14:paraId="0D36375B" w14:textId="77777777">
            <w:pPr>
              <w:spacing w:line="276" w:lineRule="auto"/>
              <w:rPr>
                <w:rFonts w:cs="Arial"/>
                <w:b/>
                <w:bCs/>
                <w:sz w:val="20"/>
                <w:szCs w:val="20"/>
              </w:rPr>
            </w:pPr>
          </w:p>
        </w:tc>
        <w:tc>
          <w:tcPr>
            <w:tcW w:w="2040" w:type="dxa"/>
            <w:tcBorders>
              <w:top w:val="single" w:sz="4" w:space="0" w:color="auto"/>
              <w:left w:val="single" w:sz="4" w:space="0" w:color="auto"/>
              <w:bottom w:val="single" w:sz="4" w:space="0" w:color="auto"/>
              <w:right w:val="single" w:sz="4" w:space="0" w:color="auto"/>
            </w:tcBorders>
            <w:hideMark/>
          </w:tcPr>
          <w:p w:rsidR="00EF7BF8" w:rsidRPr="00444F9D" w:rsidP="001C3EBF" w14:paraId="73F64C23" w14:textId="77777777">
            <w:pPr>
              <w:spacing w:line="276" w:lineRule="auto"/>
              <w:rPr>
                <w:rFonts w:cs="Arial"/>
                <w:sz w:val="20"/>
                <w:szCs w:val="20"/>
              </w:rPr>
            </w:pPr>
            <w:r w:rsidRPr="00444F9D">
              <w:rPr>
                <w:rFonts w:cs="Arial"/>
                <w:sz w:val="20"/>
                <w:szCs w:val="20"/>
                <w:lang w:val="en"/>
              </w:rPr>
              <w:t xml:space="preserve">The current TRI toxic chemical list contains </w:t>
            </w:r>
            <w:r w:rsidRPr="00444F9D" w:rsidR="007779EA">
              <w:rPr>
                <w:rFonts w:cs="Arial"/>
                <w:sz w:val="20"/>
                <w:szCs w:val="20"/>
                <w:lang w:val="en"/>
              </w:rPr>
              <w:t>7</w:t>
            </w:r>
            <w:r w:rsidR="007779EA">
              <w:rPr>
                <w:rFonts w:cs="Arial"/>
                <w:sz w:val="20"/>
                <w:szCs w:val="20"/>
                <w:lang w:val="en"/>
              </w:rPr>
              <w:t>7</w:t>
            </w:r>
            <w:r w:rsidRPr="00444F9D" w:rsidR="007779EA">
              <w:rPr>
                <w:rFonts w:cs="Arial"/>
                <w:sz w:val="20"/>
                <w:szCs w:val="20"/>
                <w:lang w:val="en"/>
              </w:rPr>
              <w:t>5</w:t>
            </w:r>
            <w:r w:rsidRPr="00444F9D" w:rsidR="00033CEC">
              <w:rPr>
                <w:rFonts w:cs="Arial"/>
                <w:sz w:val="20"/>
                <w:szCs w:val="20"/>
                <w:lang w:val="en"/>
              </w:rPr>
              <w:t xml:space="preserve"> </w:t>
            </w:r>
            <w:r w:rsidRPr="00444F9D">
              <w:rPr>
                <w:rFonts w:cs="Arial"/>
                <w:sz w:val="20"/>
                <w:szCs w:val="20"/>
                <w:lang w:val="en"/>
              </w:rPr>
              <w:t>individually-listed chemicals and 3</w:t>
            </w:r>
            <w:r w:rsidRPr="00444F9D" w:rsidR="00033CEC">
              <w:rPr>
                <w:rFonts w:cs="Arial"/>
                <w:sz w:val="20"/>
                <w:szCs w:val="20"/>
                <w:lang w:val="en"/>
              </w:rPr>
              <w:t>3</w:t>
            </w:r>
            <w:r w:rsidRPr="00444F9D">
              <w:rPr>
                <w:rFonts w:cs="Arial"/>
                <w:sz w:val="20"/>
                <w:szCs w:val="20"/>
                <w:lang w:val="en"/>
              </w:rPr>
              <w:t xml:space="preserve"> chemical categories. </w:t>
            </w:r>
          </w:p>
        </w:tc>
        <w:tc>
          <w:tcPr>
            <w:tcW w:w="2520" w:type="dxa"/>
            <w:tcBorders>
              <w:top w:val="single" w:sz="4" w:space="0" w:color="auto"/>
              <w:left w:val="single" w:sz="4" w:space="0" w:color="auto"/>
              <w:bottom w:val="single" w:sz="4" w:space="0" w:color="auto"/>
              <w:right w:val="single" w:sz="4" w:space="0" w:color="auto"/>
            </w:tcBorders>
          </w:tcPr>
          <w:p w:rsidR="00EF7BF8" w:rsidRPr="00444F9D" w:rsidP="001C3EBF" w14:paraId="4AD3CFC1" w14:textId="77777777">
            <w:pPr>
              <w:spacing w:line="276" w:lineRule="auto"/>
              <w:rPr>
                <w:rFonts w:cs="Arial"/>
                <w:sz w:val="20"/>
                <w:szCs w:val="20"/>
              </w:rPr>
            </w:pPr>
            <w:r w:rsidRPr="00444F9D">
              <w:rPr>
                <w:rFonts w:cs="Arial"/>
                <w:sz w:val="20"/>
                <w:szCs w:val="20"/>
              </w:rPr>
              <w:t>NAICS codes correspondi</w:t>
            </w:r>
            <w:r w:rsidRPr="00444F9D">
              <w:rPr>
                <w:rFonts w:cs="Arial"/>
                <w:sz w:val="20"/>
                <w:szCs w:val="20"/>
              </w:rPr>
              <w:t>ng to SIC codes 20-39, 10; 12; 4911, 4931, 4939; 4953; 5169; 5171; and 7389.</w:t>
            </w:r>
          </w:p>
          <w:p w:rsidR="00EF7BF8" w:rsidRPr="00444F9D" w:rsidP="001C3EBF" w14:paraId="3AD5EE77" w14:textId="77777777">
            <w:pPr>
              <w:spacing w:line="276" w:lineRule="auto"/>
              <w:rPr>
                <w:rFonts w:cs="Arial"/>
                <w:sz w:val="20"/>
                <w:szCs w:val="20"/>
              </w:rPr>
            </w:pPr>
          </w:p>
          <w:p w:rsidR="00EF7BF8" w:rsidRPr="00444F9D" w:rsidP="001C3EBF" w14:paraId="3C2A0C6B" w14:textId="77777777">
            <w:pPr>
              <w:spacing w:line="276" w:lineRule="auto"/>
              <w:rPr>
                <w:rFonts w:cs="Arial"/>
                <w:sz w:val="20"/>
                <w:szCs w:val="20"/>
              </w:rPr>
            </w:pPr>
            <w:r w:rsidRPr="00444F9D">
              <w:rPr>
                <w:rFonts w:cs="Arial"/>
                <w:sz w:val="20"/>
                <w:szCs w:val="20"/>
              </w:rPr>
              <w:t>A facility need only report if it has 10 or more Full Time Equivalents (FTEs).</w:t>
            </w:r>
          </w:p>
        </w:tc>
        <w:tc>
          <w:tcPr>
            <w:tcW w:w="1800" w:type="dxa"/>
            <w:tcBorders>
              <w:top w:val="single" w:sz="4" w:space="0" w:color="auto"/>
              <w:left w:val="single" w:sz="4" w:space="0" w:color="auto"/>
              <w:bottom w:val="single" w:sz="4" w:space="0" w:color="auto"/>
              <w:right w:val="single" w:sz="4" w:space="0" w:color="auto"/>
            </w:tcBorders>
            <w:hideMark/>
          </w:tcPr>
          <w:p w:rsidR="00EF7BF8" w:rsidRPr="00444F9D" w:rsidP="001C3EBF" w14:paraId="342B3FC3" w14:textId="77777777">
            <w:pPr>
              <w:spacing w:line="276" w:lineRule="auto"/>
              <w:ind w:right="-52"/>
              <w:rPr>
                <w:rFonts w:cs="Arial"/>
                <w:sz w:val="20"/>
                <w:szCs w:val="20"/>
              </w:rPr>
            </w:pPr>
            <w:r w:rsidRPr="00444F9D">
              <w:rPr>
                <w:rFonts w:cs="Arial"/>
                <w:sz w:val="20"/>
                <w:szCs w:val="20"/>
              </w:rPr>
              <w:t>Annual.</w:t>
            </w:r>
          </w:p>
        </w:tc>
        <w:tc>
          <w:tcPr>
            <w:tcW w:w="3357" w:type="dxa"/>
            <w:tcBorders>
              <w:top w:val="single" w:sz="4" w:space="0" w:color="auto"/>
              <w:left w:val="single" w:sz="4" w:space="0" w:color="auto"/>
              <w:bottom w:val="single" w:sz="4" w:space="0" w:color="auto"/>
              <w:right w:val="single" w:sz="4" w:space="0" w:color="auto"/>
            </w:tcBorders>
            <w:hideMark/>
          </w:tcPr>
          <w:p w:rsidR="00EF7BF8" w:rsidRPr="00444F9D" w:rsidP="001C3EBF" w14:paraId="7A39DBFA" w14:textId="77777777">
            <w:pPr>
              <w:spacing w:line="276" w:lineRule="auto"/>
              <w:rPr>
                <w:rFonts w:cs="Arial"/>
                <w:sz w:val="20"/>
                <w:szCs w:val="20"/>
              </w:rPr>
            </w:pPr>
            <w:r w:rsidRPr="00444F9D">
              <w:rPr>
                <w:rFonts w:cs="Arial"/>
                <w:sz w:val="20"/>
                <w:szCs w:val="20"/>
              </w:rPr>
              <w:t>EPA compiles the TRI data and makes them available through several data access tools, inclu</w:t>
            </w:r>
            <w:r w:rsidRPr="00444F9D">
              <w:rPr>
                <w:rFonts w:cs="Arial"/>
                <w:sz w:val="20"/>
                <w:szCs w:val="20"/>
              </w:rPr>
              <w:t>ding TRI Explorer and Envirofacts. Other organizations also make the data available to the public through their own data access tools.</w:t>
            </w:r>
          </w:p>
        </w:tc>
      </w:tr>
      <w:tr w14:paraId="3C6C6252"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shd w:val="clear" w:color="auto" w:fill="C0C0C0"/>
            <w:hideMark/>
          </w:tcPr>
          <w:p w:rsidR="00EF7BF8" w:rsidRPr="00444F9D" w:rsidP="001C3EBF" w14:paraId="0A320812" w14:textId="77777777">
            <w:pPr>
              <w:keepNext/>
              <w:spacing w:line="276" w:lineRule="auto"/>
              <w:rPr>
                <w:rFonts w:cs="Arial"/>
                <w:b/>
                <w:bCs/>
                <w:sz w:val="20"/>
                <w:szCs w:val="20"/>
              </w:rPr>
            </w:pPr>
            <w:r w:rsidRPr="00444F9D">
              <w:rPr>
                <w:rFonts w:cs="Arial"/>
                <w:b/>
                <w:bCs/>
                <w:sz w:val="20"/>
                <w:szCs w:val="20"/>
              </w:rPr>
              <w:t>AIR EMISSIONS (SECTIONS 5.1 AND 5.2)</w:t>
            </w:r>
          </w:p>
        </w:tc>
      </w:tr>
      <w:tr w14:paraId="41FCDA62"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hideMark/>
          </w:tcPr>
          <w:p w:rsidR="00EF7BF8" w:rsidRPr="00444F9D" w:rsidP="001C3EBF" w14:paraId="2504BE14" w14:textId="77777777">
            <w:pPr>
              <w:keepNext/>
              <w:spacing w:line="276" w:lineRule="auto"/>
              <w:rPr>
                <w:rFonts w:cs="Arial"/>
                <w:b/>
                <w:bCs/>
                <w:sz w:val="20"/>
                <w:szCs w:val="20"/>
              </w:rPr>
            </w:pPr>
            <w:r w:rsidRPr="00444F9D">
              <w:rPr>
                <w:rFonts w:cs="Arial"/>
                <w:b/>
                <w:bCs/>
                <w:sz w:val="20"/>
                <w:szCs w:val="20"/>
              </w:rPr>
              <w:t>National Emissions Inventory (NEI)</w:t>
            </w:r>
          </w:p>
        </w:tc>
      </w:tr>
      <w:tr w14:paraId="35B67827" w14:textId="77777777" w:rsidTr="00954605">
        <w:tblPrEx>
          <w:tblW w:w="13920" w:type="dxa"/>
          <w:jc w:val="center"/>
          <w:tblLayout w:type="fixed"/>
          <w:tblLook w:val="04A0"/>
        </w:tblPrEx>
        <w:trPr>
          <w:cantSplit/>
          <w:jc w:val="center"/>
        </w:trPr>
        <w:tc>
          <w:tcPr>
            <w:tcW w:w="4197" w:type="dxa"/>
            <w:tcBorders>
              <w:top w:val="single" w:sz="4" w:space="0" w:color="auto"/>
              <w:left w:val="single" w:sz="4" w:space="0" w:color="auto"/>
              <w:bottom w:val="single" w:sz="4" w:space="0" w:color="auto"/>
              <w:right w:val="single" w:sz="4" w:space="0" w:color="auto"/>
            </w:tcBorders>
            <w:hideMark/>
          </w:tcPr>
          <w:p w:rsidR="00EF7BF8" w:rsidRPr="00444F9D" w:rsidP="001C3EBF" w14:paraId="1C52C8A1" w14:textId="77777777">
            <w:pPr>
              <w:spacing w:line="276" w:lineRule="auto"/>
              <w:rPr>
                <w:rFonts w:cs="Arial"/>
                <w:sz w:val="20"/>
                <w:szCs w:val="20"/>
              </w:rPr>
            </w:pPr>
            <w:r w:rsidRPr="00444F9D">
              <w:rPr>
                <w:rFonts w:cs="Arial"/>
                <w:sz w:val="20"/>
                <w:szCs w:val="20"/>
              </w:rPr>
              <w:t xml:space="preserve">NEI provides estimates of </w:t>
            </w:r>
            <w:r w:rsidRPr="00444F9D">
              <w:rPr>
                <w:rFonts w:cs="Arial"/>
                <w:sz w:val="20"/>
                <w:szCs w:val="20"/>
              </w:rPr>
              <w:t>anthropogenic pollutant emissions from stationary sources, as well as area sources and mobile sources. These estimates, submitted to EPA by delegated authorities (state or county), electric utilities, and/or generated by EPA from various sources, differ in</w:t>
            </w:r>
            <w:r w:rsidRPr="00444F9D">
              <w:rPr>
                <w:rFonts w:cs="Arial"/>
                <w:sz w:val="20"/>
                <w:szCs w:val="20"/>
              </w:rPr>
              <w:t xml:space="preserve"> estimation methodology used.</w:t>
            </w:r>
          </w:p>
        </w:tc>
        <w:tc>
          <w:tcPr>
            <w:tcW w:w="2040" w:type="dxa"/>
            <w:tcBorders>
              <w:top w:val="single" w:sz="4" w:space="0" w:color="auto"/>
              <w:left w:val="single" w:sz="4" w:space="0" w:color="auto"/>
              <w:bottom w:val="single" w:sz="4" w:space="0" w:color="auto"/>
              <w:right w:val="single" w:sz="4" w:space="0" w:color="auto"/>
            </w:tcBorders>
            <w:hideMark/>
          </w:tcPr>
          <w:p w:rsidR="00EF7BF8" w:rsidRPr="00444F9D" w:rsidP="001C3EBF" w14:paraId="2EE798F6" w14:textId="77777777">
            <w:pPr>
              <w:spacing w:line="276" w:lineRule="auto"/>
              <w:rPr>
                <w:rFonts w:cs="Arial"/>
                <w:sz w:val="20"/>
                <w:szCs w:val="20"/>
              </w:rPr>
            </w:pPr>
            <w:r w:rsidRPr="00444F9D">
              <w:rPr>
                <w:rFonts w:cs="Arial"/>
                <w:sz w:val="20"/>
                <w:szCs w:val="20"/>
              </w:rPr>
              <w:t>8 CAPs and 187 HAPs.</w:t>
            </w:r>
          </w:p>
        </w:tc>
        <w:tc>
          <w:tcPr>
            <w:tcW w:w="2520" w:type="dxa"/>
            <w:tcBorders>
              <w:top w:val="single" w:sz="4" w:space="0" w:color="auto"/>
              <w:left w:val="single" w:sz="4" w:space="0" w:color="auto"/>
              <w:bottom w:val="single" w:sz="4" w:space="0" w:color="auto"/>
              <w:right w:val="single" w:sz="4" w:space="0" w:color="auto"/>
            </w:tcBorders>
            <w:hideMark/>
          </w:tcPr>
          <w:p w:rsidR="00EF7BF8" w:rsidRPr="00444F9D" w:rsidP="001C3EBF" w14:paraId="05E3F25B" w14:textId="77777777">
            <w:pPr>
              <w:spacing w:line="276" w:lineRule="auto"/>
              <w:rPr>
                <w:rFonts w:cs="Arial"/>
                <w:sz w:val="20"/>
                <w:szCs w:val="20"/>
              </w:rPr>
            </w:pPr>
            <w:r w:rsidRPr="00444F9D">
              <w:rPr>
                <w:rFonts w:cs="Arial"/>
                <w:sz w:val="20"/>
                <w:szCs w:val="20"/>
              </w:rPr>
              <w:t>No NAICS limitations.</w:t>
            </w:r>
          </w:p>
        </w:tc>
        <w:tc>
          <w:tcPr>
            <w:tcW w:w="1800" w:type="dxa"/>
            <w:tcBorders>
              <w:top w:val="single" w:sz="4" w:space="0" w:color="auto"/>
              <w:left w:val="single" w:sz="4" w:space="0" w:color="auto"/>
              <w:bottom w:val="single" w:sz="4" w:space="0" w:color="auto"/>
              <w:right w:val="single" w:sz="4" w:space="0" w:color="auto"/>
            </w:tcBorders>
            <w:hideMark/>
          </w:tcPr>
          <w:p w:rsidR="00EF7BF8" w:rsidRPr="00444F9D" w:rsidP="001C3EBF" w14:paraId="14D5507F" w14:textId="77777777">
            <w:pPr>
              <w:spacing w:line="276" w:lineRule="auto"/>
              <w:rPr>
                <w:rFonts w:cs="Arial"/>
                <w:sz w:val="20"/>
                <w:szCs w:val="20"/>
              </w:rPr>
            </w:pPr>
            <w:r w:rsidRPr="00444F9D">
              <w:rPr>
                <w:rFonts w:cs="Arial"/>
                <w:sz w:val="20"/>
                <w:szCs w:val="20"/>
              </w:rPr>
              <w:t>Triennial.</w:t>
            </w:r>
          </w:p>
        </w:tc>
        <w:tc>
          <w:tcPr>
            <w:tcW w:w="3357" w:type="dxa"/>
            <w:tcBorders>
              <w:top w:val="single" w:sz="4" w:space="0" w:color="auto"/>
              <w:left w:val="single" w:sz="4" w:space="0" w:color="auto"/>
              <w:bottom w:val="single" w:sz="4" w:space="0" w:color="auto"/>
              <w:right w:val="single" w:sz="4" w:space="0" w:color="auto"/>
            </w:tcBorders>
            <w:hideMark/>
          </w:tcPr>
          <w:p w:rsidR="00EF7BF8" w:rsidRPr="00444F9D" w:rsidP="001C3EBF" w14:paraId="567DDDE5" w14:textId="77777777">
            <w:pPr>
              <w:spacing w:line="276" w:lineRule="auto"/>
              <w:rPr>
                <w:rFonts w:cs="Arial"/>
                <w:sz w:val="20"/>
                <w:szCs w:val="20"/>
              </w:rPr>
            </w:pPr>
            <w:r w:rsidRPr="00444F9D">
              <w:rPr>
                <w:rFonts w:cs="Arial"/>
                <w:sz w:val="20"/>
                <w:szCs w:val="20"/>
              </w:rPr>
              <w:t>CSV files can be downloaded from EPA’s Web site.</w:t>
            </w:r>
          </w:p>
        </w:tc>
      </w:tr>
      <w:tr w14:paraId="20D84F25"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hideMark/>
          </w:tcPr>
          <w:p w:rsidR="00EF7BF8" w:rsidRPr="00444F9D" w:rsidP="001C3EBF" w14:paraId="342C4177" w14:textId="77777777">
            <w:pPr>
              <w:keepNext/>
              <w:spacing w:line="276" w:lineRule="auto"/>
              <w:rPr>
                <w:rFonts w:cs="Arial"/>
                <w:sz w:val="20"/>
                <w:szCs w:val="20"/>
              </w:rPr>
            </w:pPr>
            <w:r w:rsidRPr="00444F9D">
              <w:rPr>
                <w:rFonts w:cs="Arial"/>
                <w:b/>
                <w:bCs/>
                <w:sz w:val="20"/>
                <w:szCs w:val="20"/>
              </w:rPr>
              <w:t>Air Facility System (AFS)</w:t>
            </w:r>
          </w:p>
        </w:tc>
      </w:tr>
      <w:tr w14:paraId="326DDC56" w14:textId="77777777" w:rsidTr="00954605">
        <w:tblPrEx>
          <w:tblW w:w="13920" w:type="dxa"/>
          <w:jc w:val="center"/>
          <w:tblLayout w:type="fixed"/>
          <w:tblLook w:val="04A0"/>
        </w:tblPrEx>
        <w:trPr>
          <w:cantSplit/>
          <w:jc w:val="center"/>
        </w:trPr>
        <w:tc>
          <w:tcPr>
            <w:tcW w:w="4197" w:type="dxa"/>
            <w:tcBorders>
              <w:top w:val="single" w:sz="4" w:space="0" w:color="auto"/>
              <w:left w:val="single" w:sz="4" w:space="0" w:color="auto"/>
              <w:bottom w:val="single" w:sz="4" w:space="0" w:color="auto"/>
              <w:right w:val="single" w:sz="4" w:space="0" w:color="auto"/>
            </w:tcBorders>
            <w:hideMark/>
          </w:tcPr>
          <w:p w:rsidR="00EF7BF8" w:rsidRPr="00444F9D" w:rsidP="001C3EBF" w14:paraId="2560FAE9" w14:textId="77777777">
            <w:pPr>
              <w:spacing w:line="276" w:lineRule="auto"/>
              <w:rPr>
                <w:rFonts w:cs="Arial"/>
                <w:sz w:val="20"/>
                <w:szCs w:val="20"/>
              </w:rPr>
            </w:pPr>
            <w:r w:rsidRPr="00444F9D">
              <w:rPr>
                <w:rFonts w:cs="Arial"/>
                <w:spacing w:val="-2"/>
                <w:sz w:val="20"/>
                <w:szCs w:val="20"/>
              </w:rPr>
              <w:t xml:space="preserve">AFS contains compliance and permit data for stationary sources of air pollution </w:t>
            </w:r>
            <w:r w:rsidRPr="00444F9D">
              <w:rPr>
                <w:rFonts w:cs="Arial"/>
                <w:spacing w:val="-2"/>
                <w:sz w:val="20"/>
                <w:szCs w:val="20"/>
              </w:rPr>
              <w:t>regulated by</w:t>
            </w:r>
            <w:r w:rsidRPr="00444F9D">
              <w:rPr>
                <w:rFonts w:cs="Arial"/>
                <w:sz w:val="20"/>
                <w:szCs w:val="20"/>
              </w:rPr>
              <w:t xml:space="preserve"> U.S. EPA, and state and local air pollution agencies.</w:t>
            </w:r>
          </w:p>
        </w:tc>
        <w:tc>
          <w:tcPr>
            <w:tcW w:w="2040" w:type="dxa"/>
            <w:tcBorders>
              <w:top w:val="single" w:sz="4" w:space="0" w:color="auto"/>
              <w:left w:val="single" w:sz="4" w:space="0" w:color="auto"/>
              <w:bottom w:val="single" w:sz="4" w:space="0" w:color="auto"/>
              <w:right w:val="single" w:sz="4" w:space="0" w:color="auto"/>
            </w:tcBorders>
            <w:hideMark/>
          </w:tcPr>
          <w:p w:rsidR="00EF7BF8" w:rsidRPr="00444F9D" w:rsidP="001C3EBF" w14:paraId="14868687" w14:textId="77777777">
            <w:pPr>
              <w:spacing w:line="276" w:lineRule="auto"/>
              <w:rPr>
                <w:rFonts w:cs="Arial"/>
                <w:sz w:val="20"/>
                <w:szCs w:val="20"/>
              </w:rPr>
            </w:pPr>
            <w:r w:rsidRPr="00444F9D">
              <w:rPr>
                <w:rFonts w:cs="Arial"/>
                <w:sz w:val="20"/>
                <w:szCs w:val="20"/>
              </w:rPr>
              <w:t xml:space="preserve">N/A </w:t>
            </w:r>
          </w:p>
        </w:tc>
        <w:tc>
          <w:tcPr>
            <w:tcW w:w="2520" w:type="dxa"/>
            <w:tcBorders>
              <w:top w:val="single" w:sz="4" w:space="0" w:color="auto"/>
              <w:left w:val="single" w:sz="4" w:space="0" w:color="auto"/>
              <w:bottom w:val="single" w:sz="4" w:space="0" w:color="auto"/>
              <w:right w:val="single" w:sz="4" w:space="0" w:color="auto"/>
            </w:tcBorders>
            <w:hideMark/>
          </w:tcPr>
          <w:p w:rsidR="00EF7BF8" w:rsidRPr="00444F9D" w:rsidP="001C3EBF" w14:paraId="07E3A045" w14:textId="77777777">
            <w:pPr>
              <w:spacing w:line="276" w:lineRule="auto"/>
              <w:rPr>
                <w:rFonts w:cs="Arial"/>
                <w:sz w:val="20"/>
                <w:szCs w:val="20"/>
              </w:rPr>
            </w:pPr>
            <w:r w:rsidRPr="00444F9D">
              <w:rPr>
                <w:rFonts w:cs="Arial"/>
                <w:sz w:val="20"/>
                <w:szCs w:val="20"/>
              </w:rPr>
              <w:t>No NAICS limitations.</w:t>
            </w:r>
          </w:p>
        </w:tc>
        <w:tc>
          <w:tcPr>
            <w:tcW w:w="1800" w:type="dxa"/>
            <w:tcBorders>
              <w:top w:val="single" w:sz="4" w:space="0" w:color="auto"/>
              <w:left w:val="single" w:sz="4" w:space="0" w:color="auto"/>
              <w:bottom w:val="single" w:sz="4" w:space="0" w:color="auto"/>
              <w:right w:val="single" w:sz="4" w:space="0" w:color="auto"/>
            </w:tcBorders>
            <w:hideMark/>
          </w:tcPr>
          <w:p w:rsidR="00EF7BF8" w:rsidRPr="00444F9D" w:rsidP="001C3EBF" w14:paraId="42882586" w14:textId="77777777">
            <w:pPr>
              <w:spacing w:line="276" w:lineRule="auto"/>
              <w:rPr>
                <w:rFonts w:cs="Arial"/>
                <w:sz w:val="20"/>
                <w:szCs w:val="20"/>
              </w:rPr>
            </w:pPr>
            <w:r w:rsidRPr="00444F9D">
              <w:rPr>
                <w:rFonts w:cs="Arial"/>
                <w:sz w:val="20"/>
                <w:szCs w:val="20"/>
              </w:rPr>
              <w:t>Annual.</w:t>
            </w:r>
          </w:p>
        </w:tc>
        <w:tc>
          <w:tcPr>
            <w:tcW w:w="3357" w:type="dxa"/>
            <w:tcBorders>
              <w:top w:val="single" w:sz="4" w:space="0" w:color="auto"/>
              <w:left w:val="single" w:sz="4" w:space="0" w:color="auto"/>
              <w:bottom w:val="single" w:sz="4" w:space="0" w:color="auto"/>
              <w:right w:val="single" w:sz="4" w:space="0" w:color="auto"/>
            </w:tcBorders>
            <w:hideMark/>
          </w:tcPr>
          <w:p w:rsidR="00EF7BF8" w:rsidRPr="00444F9D" w:rsidP="001C3EBF" w14:paraId="7C1450D4" w14:textId="77777777">
            <w:pPr>
              <w:spacing w:line="276" w:lineRule="auto"/>
              <w:rPr>
                <w:rFonts w:cs="Arial"/>
                <w:sz w:val="20"/>
                <w:szCs w:val="20"/>
              </w:rPr>
            </w:pPr>
            <w:r w:rsidRPr="00444F9D">
              <w:rPr>
                <w:rFonts w:cs="Arial"/>
                <w:sz w:val="20"/>
                <w:szCs w:val="20"/>
              </w:rPr>
              <w:t>Can be accessed on a facility-by-facility basis through EPA data access tools, including Envirofacts or the Enforcement and Compliance History Online (ECH</w:t>
            </w:r>
            <w:r w:rsidRPr="00444F9D">
              <w:rPr>
                <w:rFonts w:cs="Arial"/>
                <w:sz w:val="20"/>
                <w:szCs w:val="20"/>
              </w:rPr>
              <w:t>O).</w:t>
            </w:r>
          </w:p>
        </w:tc>
      </w:tr>
      <w:tr w14:paraId="1D6A5933"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hideMark/>
          </w:tcPr>
          <w:p w:rsidR="00EF7BF8" w:rsidRPr="00444F9D" w:rsidP="001C3EBF" w14:paraId="3BAAAAE1" w14:textId="77777777">
            <w:pPr>
              <w:spacing w:line="276" w:lineRule="auto"/>
              <w:rPr>
                <w:rFonts w:cs="Arial"/>
                <w:b/>
                <w:sz w:val="20"/>
                <w:szCs w:val="20"/>
              </w:rPr>
            </w:pPr>
            <w:r w:rsidRPr="00444F9D">
              <w:rPr>
                <w:rFonts w:cs="Arial"/>
                <w:b/>
                <w:sz w:val="20"/>
                <w:szCs w:val="20"/>
              </w:rPr>
              <w:t>State Air Emissions Inventories</w:t>
            </w:r>
          </w:p>
        </w:tc>
      </w:tr>
      <w:tr w14:paraId="485C2753" w14:textId="77777777" w:rsidTr="00954605">
        <w:tblPrEx>
          <w:tblW w:w="13920" w:type="dxa"/>
          <w:jc w:val="center"/>
          <w:tblLayout w:type="fixed"/>
          <w:tblLook w:val="04A0"/>
        </w:tblPrEx>
        <w:trPr>
          <w:cantSplit/>
          <w:jc w:val="center"/>
        </w:trPr>
        <w:tc>
          <w:tcPr>
            <w:tcW w:w="4197" w:type="dxa"/>
            <w:tcBorders>
              <w:top w:val="single" w:sz="4" w:space="0" w:color="auto"/>
              <w:left w:val="single" w:sz="4" w:space="0" w:color="auto"/>
              <w:bottom w:val="single" w:sz="4" w:space="0" w:color="auto"/>
              <w:right w:val="single" w:sz="4" w:space="0" w:color="auto"/>
            </w:tcBorders>
            <w:hideMark/>
          </w:tcPr>
          <w:p w:rsidR="00EF7BF8" w:rsidRPr="00444F9D" w:rsidP="001C3EBF" w14:paraId="13ECBCBE" w14:textId="77777777">
            <w:pPr>
              <w:spacing w:line="276" w:lineRule="auto"/>
              <w:rPr>
                <w:rFonts w:cs="Arial"/>
                <w:sz w:val="20"/>
                <w:szCs w:val="20"/>
              </w:rPr>
            </w:pPr>
            <w:r w:rsidRPr="00444F9D">
              <w:rPr>
                <w:rFonts w:cs="Arial"/>
                <w:sz w:val="20"/>
                <w:szCs w:val="20"/>
              </w:rPr>
              <w:t>Several states and regional agencies maintain their own air emissions inventories. However, the amount of data as well as the types of data elements collected vary widely from state to state.</w:t>
            </w:r>
          </w:p>
        </w:tc>
        <w:tc>
          <w:tcPr>
            <w:tcW w:w="2040" w:type="dxa"/>
            <w:tcBorders>
              <w:top w:val="single" w:sz="4" w:space="0" w:color="auto"/>
              <w:left w:val="single" w:sz="4" w:space="0" w:color="auto"/>
              <w:bottom w:val="single" w:sz="4" w:space="0" w:color="auto"/>
              <w:right w:val="single" w:sz="4" w:space="0" w:color="auto"/>
            </w:tcBorders>
            <w:hideMark/>
          </w:tcPr>
          <w:p w:rsidR="00EF7BF8" w:rsidRPr="00444F9D" w:rsidP="001C3EBF" w14:paraId="7C1175E0" w14:textId="77777777">
            <w:pPr>
              <w:spacing w:line="276" w:lineRule="auto"/>
              <w:rPr>
                <w:rFonts w:cs="Arial"/>
                <w:sz w:val="20"/>
                <w:szCs w:val="20"/>
              </w:rPr>
            </w:pPr>
            <w:r w:rsidRPr="00444F9D">
              <w:rPr>
                <w:rFonts w:cs="Arial"/>
                <w:sz w:val="20"/>
                <w:szCs w:val="20"/>
              </w:rPr>
              <w:t xml:space="preserve">Varies widely (e.g., </w:t>
            </w:r>
            <w:r w:rsidRPr="00444F9D">
              <w:rPr>
                <w:rFonts w:cs="Arial"/>
                <w:sz w:val="20"/>
                <w:szCs w:val="20"/>
              </w:rPr>
              <w:t>the California Air Resources Board maintains its own list of about 400 toxic air pollutants).</w:t>
            </w:r>
          </w:p>
        </w:tc>
        <w:tc>
          <w:tcPr>
            <w:tcW w:w="2520" w:type="dxa"/>
            <w:tcBorders>
              <w:top w:val="single" w:sz="4" w:space="0" w:color="auto"/>
              <w:left w:val="single" w:sz="4" w:space="0" w:color="auto"/>
              <w:bottom w:val="single" w:sz="4" w:space="0" w:color="auto"/>
              <w:right w:val="single" w:sz="4" w:space="0" w:color="auto"/>
            </w:tcBorders>
            <w:hideMark/>
          </w:tcPr>
          <w:p w:rsidR="00EF7BF8" w:rsidRPr="00444F9D" w:rsidP="001C3EBF" w14:paraId="44E3FCB3" w14:textId="77777777">
            <w:pPr>
              <w:spacing w:line="276" w:lineRule="auto"/>
              <w:rPr>
                <w:rFonts w:cs="Arial"/>
                <w:sz w:val="20"/>
                <w:szCs w:val="20"/>
              </w:rPr>
            </w:pPr>
            <w:r w:rsidRPr="00444F9D">
              <w:rPr>
                <w:rFonts w:cs="Arial"/>
                <w:sz w:val="20"/>
                <w:szCs w:val="20"/>
              </w:rPr>
              <w:t xml:space="preserve">Varies. </w:t>
            </w:r>
          </w:p>
        </w:tc>
        <w:tc>
          <w:tcPr>
            <w:tcW w:w="1800" w:type="dxa"/>
            <w:tcBorders>
              <w:top w:val="single" w:sz="4" w:space="0" w:color="auto"/>
              <w:left w:val="single" w:sz="4" w:space="0" w:color="auto"/>
              <w:bottom w:val="single" w:sz="4" w:space="0" w:color="auto"/>
              <w:right w:val="single" w:sz="4" w:space="0" w:color="auto"/>
            </w:tcBorders>
            <w:hideMark/>
          </w:tcPr>
          <w:p w:rsidR="00EF7BF8" w:rsidRPr="00444F9D" w:rsidP="001C3EBF" w14:paraId="79622F46" w14:textId="77777777">
            <w:pPr>
              <w:spacing w:line="276" w:lineRule="auto"/>
              <w:rPr>
                <w:rFonts w:cs="Arial"/>
                <w:sz w:val="20"/>
                <w:szCs w:val="20"/>
              </w:rPr>
            </w:pPr>
            <w:r w:rsidRPr="00444F9D">
              <w:rPr>
                <w:rFonts w:cs="Arial"/>
                <w:sz w:val="20"/>
                <w:szCs w:val="20"/>
              </w:rPr>
              <w:t>Varies.</w:t>
            </w:r>
          </w:p>
        </w:tc>
        <w:tc>
          <w:tcPr>
            <w:tcW w:w="3357" w:type="dxa"/>
            <w:tcBorders>
              <w:top w:val="single" w:sz="4" w:space="0" w:color="auto"/>
              <w:left w:val="single" w:sz="4" w:space="0" w:color="auto"/>
              <w:bottom w:val="single" w:sz="4" w:space="0" w:color="auto"/>
              <w:right w:val="single" w:sz="4" w:space="0" w:color="auto"/>
            </w:tcBorders>
            <w:hideMark/>
          </w:tcPr>
          <w:p w:rsidR="00EF7BF8" w:rsidRPr="00444F9D" w:rsidP="001C3EBF" w14:paraId="46BC7EE0" w14:textId="77777777">
            <w:pPr>
              <w:spacing w:line="276" w:lineRule="auto"/>
              <w:rPr>
                <w:rFonts w:cs="Arial"/>
                <w:sz w:val="20"/>
                <w:szCs w:val="20"/>
              </w:rPr>
            </w:pPr>
            <w:r w:rsidRPr="00444F9D">
              <w:rPr>
                <w:rFonts w:cs="Arial"/>
                <w:sz w:val="20"/>
                <w:szCs w:val="20"/>
              </w:rPr>
              <w:t>Most of these data are submitted to NEI.  Some data are available on the Web on a state-by-state basis.</w:t>
            </w:r>
          </w:p>
        </w:tc>
      </w:tr>
      <w:tr w14:paraId="2547327E"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hideMark/>
          </w:tcPr>
          <w:p w:rsidR="00EF7BF8" w:rsidRPr="00444F9D" w:rsidP="001C3EBF" w14:paraId="125D6DBA" w14:textId="77777777">
            <w:pPr>
              <w:spacing w:line="276" w:lineRule="auto"/>
              <w:rPr>
                <w:rFonts w:cs="Arial"/>
                <w:b/>
                <w:sz w:val="20"/>
                <w:szCs w:val="20"/>
              </w:rPr>
            </w:pPr>
            <w:r w:rsidRPr="00444F9D">
              <w:rPr>
                <w:rFonts w:cs="Arial"/>
                <w:b/>
                <w:sz w:val="20"/>
                <w:szCs w:val="20"/>
              </w:rPr>
              <w:t>Title V Part 70 Operating Permits</w:t>
            </w:r>
          </w:p>
        </w:tc>
      </w:tr>
      <w:tr w14:paraId="6EC4A2B3" w14:textId="77777777" w:rsidTr="00954605">
        <w:tblPrEx>
          <w:tblW w:w="13920" w:type="dxa"/>
          <w:jc w:val="center"/>
          <w:tblLayout w:type="fixed"/>
          <w:tblLook w:val="04A0"/>
        </w:tblPrEx>
        <w:trPr>
          <w:cantSplit/>
          <w:jc w:val="center"/>
        </w:trPr>
        <w:tc>
          <w:tcPr>
            <w:tcW w:w="4197" w:type="dxa"/>
            <w:tcBorders>
              <w:top w:val="single" w:sz="4" w:space="0" w:color="auto"/>
              <w:left w:val="single" w:sz="4" w:space="0" w:color="auto"/>
              <w:bottom w:val="single" w:sz="4" w:space="0" w:color="auto"/>
              <w:right w:val="single" w:sz="4" w:space="0" w:color="auto"/>
            </w:tcBorders>
            <w:hideMark/>
          </w:tcPr>
          <w:p w:rsidR="00EF7BF8" w:rsidRPr="00444F9D" w:rsidP="001C3EBF" w14:paraId="3768CEE9" w14:textId="77777777">
            <w:pPr>
              <w:spacing w:line="276" w:lineRule="auto"/>
              <w:rPr>
                <w:rFonts w:cs="Arial"/>
                <w:sz w:val="20"/>
                <w:szCs w:val="20"/>
              </w:rPr>
            </w:pPr>
            <w:r w:rsidRPr="00444F9D">
              <w:rPr>
                <w:rFonts w:cs="Arial"/>
                <w:sz w:val="20"/>
                <w:szCs w:val="20"/>
              </w:rPr>
              <w:t>Under the 1990 Clean Air Act Amendments, facilities designated as "major sources" and facilities otherwise subject to §112 and Title V must apply for a Title V Part 70 Operating Permit. As part of the application for a Title V permit, some facilities may h</w:t>
            </w:r>
            <w:r w:rsidRPr="00444F9D">
              <w:rPr>
                <w:rFonts w:cs="Arial"/>
                <w:sz w:val="20"/>
                <w:szCs w:val="20"/>
              </w:rPr>
              <w:t>ave to report emissions of air toxics.</w:t>
            </w:r>
          </w:p>
        </w:tc>
        <w:tc>
          <w:tcPr>
            <w:tcW w:w="2040" w:type="dxa"/>
            <w:tcBorders>
              <w:top w:val="single" w:sz="4" w:space="0" w:color="auto"/>
              <w:left w:val="single" w:sz="4" w:space="0" w:color="auto"/>
              <w:bottom w:val="single" w:sz="4" w:space="0" w:color="auto"/>
              <w:right w:val="single" w:sz="4" w:space="0" w:color="auto"/>
            </w:tcBorders>
            <w:hideMark/>
          </w:tcPr>
          <w:p w:rsidR="00EF7BF8" w:rsidRPr="00444F9D" w:rsidP="001C3EBF" w14:paraId="4AD690E4" w14:textId="77777777">
            <w:pPr>
              <w:spacing w:line="276" w:lineRule="auto"/>
              <w:rPr>
                <w:rFonts w:cs="Arial"/>
                <w:sz w:val="20"/>
                <w:szCs w:val="20"/>
              </w:rPr>
            </w:pPr>
            <w:r w:rsidRPr="00444F9D">
              <w:rPr>
                <w:rFonts w:cs="Arial"/>
                <w:sz w:val="20"/>
                <w:szCs w:val="20"/>
              </w:rPr>
              <w:t>187 HAPs.</w:t>
            </w:r>
          </w:p>
        </w:tc>
        <w:tc>
          <w:tcPr>
            <w:tcW w:w="2520" w:type="dxa"/>
            <w:tcBorders>
              <w:top w:val="single" w:sz="4" w:space="0" w:color="auto"/>
              <w:left w:val="single" w:sz="4" w:space="0" w:color="auto"/>
              <w:bottom w:val="single" w:sz="4" w:space="0" w:color="auto"/>
              <w:right w:val="single" w:sz="4" w:space="0" w:color="auto"/>
            </w:tcBorders>
            <w:hideMark/>
          </w:tcPr>
          <w:p w:rsidR="00EF7BF8" w:rsidRPr="00444F9D" w:rsidP="001C3EBF" w14:paraId="24816946" w14:textId="77777777">
            <w:pPr>
              <w:spacing w:line="276" w:lineRule="auto"/>
              <w:rPr>
                <w:rFonts w:cs="Arial"/>
                <w:sz w:val="20"/>
                <w:szCs w:val="20"/>
              </w:rPr>
            </w:pPr>
            <w:r w:rsidRPr="00444F9D">
              <w:rPr>
                <w:rFonts w:cs="Arial"/>
                <w:sz w:val="20"/>
                <w:szCs w:val="20"/>
              </w:rPr>
              <w:t>No NAICS limitations.</w:t>
            </w:r>
          </w:p>
        </w:tc>
        <w:tc>
          <w:tcPr>
            <w:tcW w:w="1800" w:type="dxa"/>
            <w:tcBorders>
              <w:top w:val="single" w:sz="4" w:space="0" w:color="auto"/>
              <w:left w:val="single" w:sz="4" w:space="0" w:color="auto"/>
              <w:bottom w:val="single" w:sz="4" w:space="0" w:color="auto"/>
              <w:right w:val="single" w:sz="4" w:space="0" w:color="auto"/>
            </w:tcBorders>
            <w:hideMark/>
          </w:tcPr>
          <w:p w:rsidR="00EF7BF8" w:rsidRPr="00444F9D" w:rsidP="001C3EBF" w14:paraId="13B0723B" w14:textId="77777777">
            <w:pPr>
              <w:spacing w:line="276" w:lineRule="auto"/>
              <w:rPr>
                <w:rFonts w:cs="Arial"/>
                <w:sz w:val="20"/>
                <w:szCs w:val="20"/>
              </w:rPr>
            </w:pPr>
            <w:r w:rsidRPr="00444F9D">
              <w:rPr>
                <w:rFonts w:cs="Arial"/>
                <w:sz w:val="20"/>
                <w:szCs w:val="20"/>
              </w:rPr>
              <w:t>At the time of permit application, renewal, and modification—permits are typically renewed every 5 years.</w:t>
            </w:r>
          </w:p>
        </w:tc>
        <w:tc>
          <w:tcPr>
            <w:tcW w:w="3357" w:type="dxa"/>
            <w:tcBorders>
              <w:top w:val="single" w:sz="4" w:space="0" w:color="auto"/>
              <w:left w:val="single" w:sz="4" w:space="0" w:color="auto"/>
              <w:bottom w:val="single" w:sz="4" w:space="0" w:color="auto"/>
              <w:right w:val="single" w:sz="4" w:space="0" w:color="auto"/>
            </w:tcBorders>
            <w:hideMark/>
          </w:tcPr>
          <w:p w:rsidR="00EF7BF8" w:rsidRPr="00444F9D" w:rsidP="001C3EBF" w14:paraId="731B0611" w14:textId="77777777">
            <w:pPr>
              <w:spacing w:line="276" w:lineRule="auto"/>
              <w:rPr>
                <w:rFonts w:cs="Arial"/>
                <w:sz w:val="20"/>
                <w:szCs w:val="20"/>
              </w:rPr>
            </w:pPr>
            <w:r w:rsidRPr="00444F9D">
              <w:rPr>
                <w:rFonts w:cs="Arial"/>
                <w:sz w:val="20"/>
                <w:szCs w:val="20"/>
              </w:rPr>
              <w:t>No central repository for the information.</w:t>
            </w:r>
          </w:p>
        </w:tc>
      </w:tr>
      <w:tr w14:paraId="605BAA87"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shd w:val="clear" w:color="auto" w:fill="C0C0C0"/>
            <w:hideMark/>
          </w:tcPr>
          <w:p w:rsidR="00EF7BF8" w:rsidRPr="00444F9D" w:rsidP="001C3EBF" w14:paraId="08A295DB" w14:textId="77777777">
            <w:pPr>
              <w:keepNext/>
              <w:spacing w:line="276" w:lineRule="auto"/>
              <w:rPr>
                <w:rFonts w:cs="Arial"/>
                <w:b/>
                <w:bCs/>
                <w:sz w:val="20"/>
                <w:szCs w:val="20"/>
              </w:rPr>
            </w:pPr>
            <w:r w:rsidRPr="00444F9D">
              <w:rPr>
                <w:rFonts w:cs="Arial"/>
                <w:b/>
                <w:bCs/>
                <w:sz w:val="20"/>
                <w:szCs w:val="20"/>
              </w:rPr>
              <w:t xml:space="preserve">DIRECT DISCHARGES TO WATER </w:t>
            </w:r>
            <w:r w:rsidRPr="00444F9D">
              <w:rPr>
                <w:rFonts w:cs="Arial"/>
                <w:b/>
                <w:bCs/>
                <w:sz w:val="20"/>
                <w:szCs w:val="20"/>
              </w:rPr>
              <w:t>(SECTION 5.3)</w:t>
            </w:r>
          </w:p>
        </w:tc>
      </w:tr>
      <w:tr w14:paraId="0D966062"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hideMark/>
          </w:tcPr>
          <w:p w:rsidR="00EF7BF8" w:rsidRPr="00444F9D" w:rsidP="001C3EBF" w14:paraId="37A9F12F" w14:textId="77777777">
            <w:pPr>
              <w:keepNext/>
              <w:spacing w:line="276" w:lineRule="auto"/>
              <w:rPr>
                <w:rFonts w:cs="Arial"/>
                <w:sz w:val="20"/>
                <w:szCs w:val="20"/>
              </w:rPr>
            </w:pPr>
            <w:r w:rsidRPr="00444F9D">
              <w:rPr>
                <w:rFonts w:cs="Arial"/>
                <w:b/>
                <w:bCs/>
                <w:sz w:val="20"/>
                <w:szCs w:val="20"/>
              </w:rPr>
              <w:t>Integrated Compliance Information System–National Pollutant Discharge Elimination System (ICIS-NPDES)</w:t>
            </w:r>
          </w:p>
        </w:tc>
      </w:tr>
      <w:tr w14:paraId="61AF83D3" w14:textId="77777777" w:rsidTr="00954605">
        <w:tblPrEx>
          <w:tblW w:w="13920" w:type="dxa"/>
          <w:jc w:val="center"/>
          <w:tblLayout w:type="fixed"/>
          <w:tblLook w:val="04A0"/>
        </w:tblPrEx>
        <w:trPr>
          <w:cantSplit/>
          <w:jc w:val="center"/>
        </w:trPr>
        <w:tc>
          <w:tcPr>
            <w:tcW w:w="4197" w:type="dxa"/>
            <w:tcBorders>
              <w:top w:val="single" w:sz="4" w:space="0" w:color="auto"/>
              <w:left w:val="single" w:sz="4" w:space="0" w:color="auto"/>
              <w:bottom w:val="single" w:sz="4" w:space="0" w:color="auto"/>
              <w:right w:val="single" w:sz="4" w:space="0" w:color="auto"/>
            </w:tcBorders>
            <w:hideMark/>
          </w:tcPr>
          <w:p w:rsidR="00EF7BF8" w:rsidRPr="00444F9D" w:rsidP="001C3EBF" w14:paraId="5CFC4DF1" w14:textId="77777777">
            <w:pPr>
              <w:spacing w:line="276" w:lineRule="auto"/>
              <w:rPr>
                <w:rFonts w:cs="Arial"/>
                <w:sz w:val="20"/>
                <w:szCs w:val="20"/>
              </w:rPr>
            </w:pPr>
            <w:r w:rsidRPr="00444F9D">
              <w:rPr>
                <w:rFonts w:cs="Arial"/>
                <w:sz w:val="20"/>
                <w:szCs w:val="20"/>
                <w:lang w:val="en"/>
              </w:rPr>
              <w:t>ICIS-NPDES is a national information management system that tracks implementation of the National Pollutant Discharge Elimination System (NPDES) program, authorized by the Clean Water Act. ICIS-NPDES tracks permit issuance, permit limits, self-monitoring d</w:t>
            </w:r>
            <w:r w:rsidRPr="00444F9D">
              <w:rPr>
                <w:rFonts w:cs="Arial"/>
                <w:sz w:val="20"/>
                <w:szCs w:val="20"/>
                <w:lang w:val="en"/>
              </w:rPr>
              <w:t xml:space="preserve">ata, compliance data and other data pertaining to facilities regulated under NPDES. </w:t>
            </w:r>
          </w:p>
        </w:tc>
        <w:tc>
          <w:tcPr>
            <w:tcW w:w="2040" w:type="dxa"/>
            <w:tcBorders>
              <w:top w:val="single" w:sz="4" w:space="0" w:color="auto"/>
              <w:left w:val="single" w:sz="4" w:space="0" w:color="auto"/>
              <w:bottom w:val="single" w:sz="4" w:space="0" w:color="auto"/>
              <w:right w:val="single" w:sz="4" w:space="0" w:color="auto"/>
            </w:tcBorders>
            <w:hideMark/>
          </w:tcPr>
          <w:p w:rsidR="00EF7BF8" w:rsidRPr="00444F9D" w:rsidP="001C3EBF" w14:paraId="5646F52F" w14:textId="77777777">
            <w:pPr>
              <w:spacing w:line="276" w:lineRule="auto"/>
              <w:rPr>
                <w:rFonts w:cs="Arial"/>
                <w:sz w:val="20"/>
                <w:szCs w:val="20"/>
              </w:rPr>
            </w:pPr>
            <w:r w:rsidRPr="00444F9D">
              <w:rPr>
                <w:rFonts w:cs="Arial"/>
                <w:sz w:val="20"/>
                <w:szCs w:val="20"/>
              </w:rPr>
              <w:t>Contains monthly discharge monitoring data for selected water parameters/pollutants and flow rates for all CWA major and many minor sources.</w:t>
            </w:r>
          </w:p>
        </w:tc>
        <w:tc>
          <w:tcPr>
            <w:tcW w:w="2520" w:type="dxa"/>
            <w:tcBorders>
              <w:top w:val="single" w:sz="4" w:space="0" w:color="auto"/>
              <w:left w:val="single" w:sz="4" w:space="0" w:color="auto"/>
              <w:bottom w:val="single" w:sz="4" w:space="0" w:color="auto"/>
              <w:right w:val="single" w:sz="4" w:space="0" w:color="auto"/>
            </w:tcBorders>
            <w:hideMark/>
          </w:tcPr>
          <w:p w:rsidR="00EF7BF8" w:rsidRPr="00444F9D" w:rsidP="001C3EBF" w14:paraId="7B38F5B8" w14:textId="77777777">
            <w:pPr>
              <w:spacing w:line="276" w:lineRule="auto"/>
              <w:rPr>
                <w:rFonts w:cs="Arial"/>
                <w:sz w:val="20"/>
                <w:szCs w:val="20"/>
              </w:rPr>
            </w:pPr>
            <w:r w:rsidRPr="00444F9D">
              <w:rPr>
                <w:rFonts w:cs="Arial"/>
                <w:sz w:val="20"/>
                <w:szCs w:val="20"/>
              </w:rPr>
              <w:t>No NAICS limitations.</w:t>
            </w:r>
          </w:p>
        </w:tc>
        <w:tc>
          <w:tcPr>
            <w:tcW w:w="1800" w:type="dxa"/>
            <w:tcBorders>
              <w:top w:val="single" w:sz="4" w:space="0" w:color="auto"/>
              <w:left w:val="single" w:sz="4" w:space="0" w:color="auto"/>
              <w:bottom w:val="single" w:sz="4" w:space="0" w:color="auto"/>
              <w:right w:val="single" w:sz="4" w:space="0" w:color="auto"/>
            </w:tcBorders>
            <w:hideMark/>
          </w:tcPr>
          <w:p w:rsidR="00EF7BF8" w:rsidRPr="00444F9D" w:rsidP="001C3EBF" w14:paraId="53379864" w14:textId="77777777">
            <w:pPr>
              <w:spacing w:line="276" w:lineRule="auto"/>
              <w:rPr>
                <w:rFonts w:cs="Arial"/>
                <w:sz w:val="20"/>
                <w:szCs w:val="20"/>
              </w:rPr>
            </w:pPr>
            <w:r w:rsidRPr="00444F9D">
              <w:rPr>
                <w:rFonts w:cs="Arial"/>
                <w:sz w:val="20"/>
                <w:szCs w:val="20"/>
              </w:rPr>
              <w:t>Major pe</w:t>
            </w:r>
            <w:r w:rsidRPr="00444F9D">
              <w:rPr>
                <w:rFonts w:cs="Arial"/>
                <w:sz w:val="20"/>
                <w:szCs w:val="20"/>
              </w:rPr>
              <w:t>rmittees must submit Discharge Monitoring Reports (DMRs) monthly or quarterly; non-major permittees must submit at least annually.</w:t>
            </w:r>
          </w:p>
        </w:tc>
        <w:tc>
          <w:tcPr>
            <w:tcW w:w="3357" w:type="dxa"/>
            <w:tcBorders>
              <w:top w:val="single" w:sz="4" w:space="0" w:color="auto"/>
              <w:left w:val="single" w:sz="4" w:space="0" w:color="auto"/>
              <w:bottom w:val="single" w:sz="4" w:space="0" w:color="auto"/>
              <w:right w:val="single" w:sz="4" w:space="0" w:color="auto"/>
            </w:tcBorders>
            <w:hideMark/>
          </w:tcPr>
          <w:p w:rsidR="00EF7BF8" w:rsidRPr="00444F9D" w:rsidP="001C3EBF" w14:paraId="16DE1A9C" w14:textId="77777777">
            <w:pPr>
              <w:spacing w:line="276" w:lineRule="auto"/>
              <w:rPr>
                <w:rFonts w:cs="Arial"/>
                <w:sz w:val="20"/>
                <w:szCs w:val="20"/>
              </w:rPr>
            </w:pPr>
            <w:r w:rsidRPr="00444F9D">
              <w:rPr>
                <w:rFonts w:cs="Arial"/>
                <w:sz w:val="20"/>
                <w:szCs w:val="20"/>
              </w:rPr>
              <w:t>Can be accessed on a facility-by-facility basis through EPA data access tools, including Envirofacts, and ECHO.</w:t>
            </w:r>
          </w:p>
        </w:tc>
      </w:tr>
      <w:tr w14:paraId="18821C1A"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shd w:val="clear" w:color="auto" w:fill="CCCCCC"/>
            <w:hideMark/>
          </w:tcPr>
          <w:p w:rsidR="00EF7BF8" w:rsidRPr="00444F9D" w:rsidP="001C3EBF" w14:paraId="2561157D" w14:textId="77777777">
            <w:pPr>
              <w:keepNext/>
              <w:spacing w:line="276" w:lineRule="auto"/>
              <w:rPr>
                <w:rFonts w:cs="Arial"/>
                <w:sz w:val="20"/>
                <w:szCs w:val="20"/>
              </w:rPr>
            </w:pPr>
            <w:r w:rsidRPr="00444F9D">
              <w:rPr>
                <w:rFonts w:cs="Arial"/>
                <w:b/>
                <w:bCs/>
                <w:sz w:val="20"/>
                <w:szCs w:val="20"/>
              </w:rPr>
              <w:t>UNDERGROUND INJECTION AND LAND DISPOSAL ON-SITE (SECTIONS 5.4 AND 5.5)</w:t>
            </w:r>
          </w:p>
        </w:tc>
      </w:tr>
      <w:tr w14:paraId="19E00949"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hideMark/>
          </w:tcPr>
          <w:p w:rsidR="00EF7BF8" w:rsidRPr="00444F9D" w:rsidP="001C3EBF" w14:paraId="527CD40E" w14:textId="77777777">
            <w:pPr>
              <w:keepNext/>
              <w:spacing w:line="276" w:lineRule="auto"/>
              <w:rPr>
                <w:rFonts w:cs="Arial"/>
                <w:sz w:val="20"/>
                <w:szCs w:val="20"/>
              </w:rPr>
            </w:pPr>
            <w:r w:rsidRPr="00444F9D">
              <w:rPr>
                <w:rFonts w:cs="Arial"/>
                <w:b/>
                <w:sz w:val="20"/>
                <w:szCs w:val="20"/>
              </w:rPr>
              <w:t>RCRA Biennial Reports</w:t>
            </w:r>
          </w:p>
        </w:tc>
      </w:tr>
      <w:tr w14:paraId="17BA8F85" w14:textId="77777777" w:rsidTr="00954605">
        <w:tblPrEx>
          <w:tblW w:w="13920" w:type="dxa"/>
          <w:jc w:val="center"/>
          <w:tblLayout w:type="fixed"/>
          <w:tblLook w:val="04A0"/>
        </w:tblPrEx>
        <w:trPr>
          <w:cantSplit/>
          <w:jc w:val="center"/>
        </w:trPr>
        <w:tc>
          <w:tcPr>
            <w:tcW w:w="4197" w:type="dxa"/>
            <w:tcBorders>
              <w:top w:val="single" w:sz="4" w:space="0" w:color="auto"/>
              <w:left w:val="single" w:sz="4" w:space="0" w:color="auto"/>
              <w:bottom w:val="single" w:sz="4" w:space="0" w:color="auto"/>
              <w:right w:val="single" w:sz="4" w:space="0" w:color="auto"/>
            </w:tcBorders>
            <w:hideMark/>
          </w:tcPr>
          <w:p w:rsidR="00EF7BF8" w:rsidRPr="00444F9D" w:rsidP="001C3EBF" w14:paraId="42D0F416" w14:textId="77777777">
            <w:pPr>
              <w:keepLines/>
              <w:spacing w:line="276" w:lineRule="auto"/>
              <w:rPr>
                <w:rFonts w:cs="Arial"/>
                <w:sz w:val="20"/>
                <w:szCs w:val="20"/>
              </w:rPr>
            </w:pPr>
            <w:r w:rsidRPr="00444F9D">
              <w:rPr>
                <w:rFonts w:cs="Arial"/>
                <w:sz w:val="20"/>
                <w:szCs w:val="20"/>
              </w:rPr>
              <w:t xml:space="preserve">Section 3002(a)(6) of the Resource </w:t>
            </w:r>
            <w:r w:rsidRPr="00444F9D">
              <w:rPr>
                <w:rFonts w:cs="Arial"/>
                <w:sz w:val="20"/>
                <w:szCs w:val="20"/>
              </w:rPr>
              <w:t>Conservation and Recovery Act (RCRA)</w:t>
            </w:r>
          </w:p>
          <w:p w:rsidR="00EF7BF8" w:rsidRPr="00444F9D" w:rsidP="001C3EBF" w14:paraId="6530BD2B" w14:textId="77777777">
            <w:pPr>
              <w:keepLines/>
              <w:spacing w:line="276" w:lineRule="auto"/>
              <w:rPr>
                <w:rFonts w:cs="Arial"/>
                <w:sz w:val="20"/>
                <w:szCs w:val="20"/>
              </w:rPr>
            </w:pPr>
            <w:r w:rsidRPr="00444F9D">
              <w:rPr>
                <w:rFonts w:cs="Arial"/>
                <w:sz w:val="20"/>
                <w:szCs w:val="20"/>
              </w:rPr>
              <w:t>requires EPA to develop a program for hazardous waste generators to report the</w:t>
            </w:r>
          </w:p>
          <w:p w:rsidR="00EF7BF8" w:rsidRPr="00444F9D" w:rsidP="001C3EBF" w14:paraId="19D5F7E9" w14:textId="77777777">
            <w:pPr>
              <w:keepLines/>
              <w:spacing w:line="276" w:lineRule="auto"/>
              <w:rPr>
                <w:rFonts w:cs="Arial"/>
                <w:sz w:val="20"/>
                <w:szCs w:val="20"/>
              </w:rPr>
            </w:pPr>
            <w:r w:rsidRPr="00444F9D">
              <w:rPr>
                <w:rFonts w:cs="Arial"/>
                <w:sz w:val="20"/>
                <w:szCs w:val="20"/>
              </w:rPr>
              <w:t>nature, quantities, and disposition of hazardous waste generated at least once every two years. In addition, section 3004(a)(2) of RCRA requ</w:t>
            </w:r>
            <w:r w:rsidRPr="00444F9D">
              <w:rPr>
                <w:rFonts w:cs="Arial"/>
                <w:sz w:val="20"/>
                <w:szCs w:val="20"/>
              </w:rPr>
              <w:t>ires treatment, storage and disposal facilities (TSDFs) to submit a report on the wastes that they receive from off-site. The biennial Hazardous Waste Report (also known as the</w:t>
            </w:r>
          </w:p>
          <w:p w:rsidR="00EF7BF8" w:rsidRPr="00444F9D" w:rsidP="001C3EBF" w14:paraId="40945E97" w14:textId="77777777">
            <w:pPr>
              <w:keepLines/>
              <w:spacing w:line="276" w:lineRule="auto"/>
              <w:rPr>
                <w:rFonts w:cs="Arial"/>
                <w:sz w:val="20"/>
                <w:szCs w:val="20"/>
              </w:rPr>
            </w:pPr>
            <w:r w:rsidRPr="00444F9D">
              <w:rPr>
                <w:rFonts w:cs="Arial"/>
                <w:sz w:val="20"/>
                <w:szCs w:val="20"/>
              </w:rPr>
              <w:t>“Biennial Report”) was implemented in 1985 to comply with these requirements.</w:t>
            </w:r>
          </w:p>
          <w:p w:rsidR="00EF7BF8" w:rsidRPr="00444F9D" w:rsidP="001C3EBF" w14:paraId="16FDA27F" w14:textId="77777777">
            <w:pPr>
              <w:keepLines/>
              <w:spacing w:line="276" w:lineRule="auto"/>
              <w:rPr>
                <w:rFonts w:cs="Arial"/>
                <w:sz w:val="20"/>
                <w:szCs w:val="20"/>
              </w:rPr>
            </w:pPr>
            <w:r w:rsidRPr="00444F9D">
              <w:rPr>
                <w:rFonts w:cs="Arial"/>
                <w:sz w:val="20"/>
                <w:szCs w:val="20"/>
              </w:rPr>
              <w:t>T</w:t>
            </w:r>
            <w:r w:rsidRPr="00444F9D">
              <w:rPr>
                <w:rFonts w:cs="Arial"/>
                <w:sz w:val="20"/>
                <w:szCs w:val="20"/>
              </w:rPr>
              <w:t>he Biennial Report form (8700-13A/B) must be submitted to the authorized state agency or the EPA Regional Office by March 1st of every even-numbered year.</w:t>
            </w:r>
          </w:p>
          <w:p w:rsidR="00EF7BF8" w:rsidRPr="00444F9D" w:rsidP="001C3EBF" w14:paraId="1B4F9B3C" w14:textId="77777777">
            <w:pPr>
              <w:keepLines/>
              <w:spacing w:line="276" w:lineRule="auto"/>
              <w:rPr>
                <w:rFonts w:cs="Arial"/>
                <w:sz w:val="20"/>
                <w:szCs w:val="20"/>
              </w:rPr>
            </w:pPr>
            <w:r w:rsidRPr="00444F9D">
              <w:rPr>
                <w:rFonts w:cs="Arial"/>
                <w:sz w:val="20"/>
                <w:szCs w:val="20"/>
              </w:rPr>
              <w:t>The form includes information such as the facility's RCRA ID number, the name</w:t>
            </w:r>
          </w:p>
          <w:p w:rsidR="00EF7BF8" w:rsidRPr="00444F9D" w:rsidP="001C3EBF" w14:paraId="58031002" w14:textId="77777777">
            <w:pPr>
              <w:keepLines/>
              <w:spacing w:line="276" w:lineRule="auto"/>
              <w:rPr>
                <w:rFonts w:cs="Arial"/>
                <w:sz w:val="20"/>
                <w:szCs w:val="20"/>
              </w:rPr>
            </w:pPr>
            <w:r w:rsidRPr="00444F9D">
              <w:rPr>
                <w:rFonts w:cs="Arial"/>
                <w:sz w:val="20"/>
                <w:szCs w:val="20"/>
              </w:rPr>
              <w:t>and address of the faci</w:t>
            </w:r>
            <w:r w:rsidRPr="00444F9D">
              <w:rPr>
                <w:rFonts w:cs="Arial"/>
                <w:sz w:val="20"/>
                <w:szCs w:val="20"/>
              </w:rPr>
              <w:t>lity, the quantity of hazardous waste sent to each TSDF in</w:t>
            </w:r>
          </w:p>
          <w:p w:rsidR="00EF7BF8" w:rsidRPr="00444F9D" w:rsidP="001C3EBF" w14:paraId="0889F3F2" w14:textId="77777777">
            <w:pPr>
              <w:keepLines/>
              <w:spacing w:line="276" w:lineRule="auto"/>
              <w:rPr>
                <w:rFonts w:cs="Arial"/>
                <w:sz w:val="20"/>
                <w:szCs w:val="20"/>
                <w:lang w:val="en"/>
              </w:rPr>
            </w:pPr>
            <w:r w:rsidRPr="00444F9D">
              <w:rPr>
                <w:rFonts w:cs="Arial"/>
                <w:sz w:val="20"/>
                <w:szCs w:val="20"/>
              </w:rPr>
              <w:t>the United States and the manner in which the waste was treated during the previous year.</w:t>
            </w:r>
          </w:p>
        </w:tc>
        <w:tc>
          <w:tcPr>
            <w:tcW w:w="2040" w:type="dxa"/>
            <w:tcBorders>
              <w:top w:val="single" w:sz="4" w:space="0" w:color="auto"/>
              <w:left w:val="single" w:sz="4" w:space="0" w:color="auto"/>
              <w:bottom w:val="single" w:sz="4" w:space="0" w:color="auto"/>
              <w:right w:val="single" w:sz="4" w:space="0" w:color="auto"/>
            </w:tcBorders>
            <w:hideMark/>
          </w:tcPr>
          <w:p w:rsidR="00EF7BF8" w:rsidRPr="00444F9D" w:rsidP="001C3EBF" w14:paraId="2F604EE0" w14:textId="77777777">
            <w:pPr>
              <w:spacing w:line="276" w:lineRule="auto"/>
              <w:rPr>
                <w:rFonts w:cs="Arial"/>
                <w:sz w:val="20"/>
                <w:szCs w:val="20"/>
              </w:rPr>
            </w:pPr>
            <w:r w:rsidRPr="00444F9D">
              <w:rPr>
                <w:rFonts w:cs="Arial"/>
                <w:sz w:val="20"/>
                <w:szCs w:val="20"/>
              </w:rPr>
              <w:t>Contains annual volumes of RCRA wastes and how they are managed (offsite in the case of Large Quantity Gene</w:t>
            </w:r>
            <w:r w:rsidRPr="00444F9D">
              <w:rPr>
                <w:rFonts w:cs="Arial"/>
                <w:sz w:val="20"/>
                <w:szCs w:val="20"/>
              </w:rPr>
              <w:t>rator and on-site in the case of treatment storage and disposal Facilities, TSDFs). Each waste stream is characterized by all applicable waste codes but volumes of each are not broken out.</w:t>
            </w:r>
          </w:p>
        </w:tc>
        <w:tc>
          <w:tcPr>
            <w:tcW w:w="2520" w:type="dxa"/>
            <w:tcBorders>
              <w:top w:val="single" w:sz="4" w:space="0" w:color="auto"/>
              <w:left w:val="single" w:sz="4" w:space="0" w:color="auto"/>
              <w:bottom w:val="single" w:sz="4" w:space="0" w:color="auto"/>
              <w:right w:val="single" w:sz="4" w:space="0" w:color="auto"/>
            </w:tcBorders>
            <w:hideMark/>
          </w:tcPr>
          <w:p w:rsidR="00EF7BF8" w:rsidRPr="00444F9D" w:rsidP="001C3EBF" w14:paraId="1CBEB78D" w14:textId="77777777">
            <w:pPr>
              <w:keepLines/>
              <w:spacing w:line="276" w:lineRule="auto"/>
              <w:rPr>
                <w:rFonts w:cs="Arial"/>
                <w:sz w:val="20"/>
                <w:szCs w:val="20"/>
              </w:rPr>
            </w:pPr>
            <w:r w:rsidRPr="00444F9D">
              <w:rPr>
                <w:rFonts w:cs="Arial"/>
                <w:sz w:val="20"/>
                <w:szCs w:val="20"/>
              </w:rPr>
              <w:t>No NAICS limitations; however, certain waste categories are exclude</w:t>
            </w:r>
            <w:r w:rsidRPr="00444F9D">
              <w:rPr>
                <w:rFonts w:cs="Arial"/>
                <w:sz w:val="20"/>
                <w:szCs w:val="20"/>
              </w:rPr>
              <w:t>d (e.g., mining and agriculture).</w:t>
            </w:r>
          </w:p>
        </w:tc>
        <w:tc>
          <w:tcPr>
            <w:tcW w:w="1800" w:type="dxa"/>
            <w:tcBorders>
              <w:top w:val="single" w:sz="4" w:space="0" w:color="auto"/>
              <w:left w:val="single" w:sz="4" w:space="0" w:color="auto"/>
              <w:bottom w:val="single" w:sz="4" w:space="0" w:color="auto"/>
              <w:right w:val="single" w:sz="4" w:space="0" w:color="auto"/>
            </w:tcBorders>
            <w:hideMark/>
          </w:tcPr>
          <w:p w:rsidR="00EF7BF8" w:rsidRPr="00444F9D" w:rsidP="001C3EBF" w14:paraId="5B945D56" w14:textId="77777777">
            <w:pPr>
              <w:keepLines/>
              <w:spacing w:line="276" w:lineRule="auto"/>
              <w:rPr>
                <w:rFonts w:cs="Arial"/>
                <w:sz w:val="20"/>
                <w:szCs w:val="20"/>
              </w:rPr>
            </w:pPr>
            <w:r w:rsidRPr="00444F9D">
              <w:rPr>
                <w:rFonts w:cs="Arial"/>
                <w:sz w:val="20"/>
                <w:szCs w:val="20"/>
              </w:rPr>
              <w:t>Biennial.</w:t>
            </w:r>
          </w:p>
        </w:tc>
        <w:tc>
          <w:tcPr>
            <w:tcW w:w="3357" w:type="dxa"/>
            <w:tcBorders>
              <w:top w:val="single" w:sz="4" w:space="0" w:color="auto"/>
              <w:left w:val="single" w:sz="4" w:space="0" w:color="auto"/>
              <w:bottom w:val="single" w:sz="4" w:space="0" w:color="auto"/>
              <w:right w:val="single" w:sz="4" w:space="0" w:color="auto"/>
            </w:tcBorders>
            <w:hideMark/>
          </w:tcPr>
          <w:p w:rsidR="00EF7BF8" w:rsidRPr="00444F9D" w:rsidP="001C3EBF" w14:paraId="65CD8029" w14:textId="77777777">
            <w:pPr>
              <w:keepLines/>
              <w:spacing w:line="276" w:lineRule="auto"/>
              <w:rPr>
                <w:rFonts w:cs="Arial"/>
                <w:sz w:val="20"/>
                <w:szCs w:val="20"/>
              </w:rPr>
            </w:pPr>
            <w:r w:rsidRPr="00444F9D">
              <w:rPr>
                <w:rFonts w:cs="Arial"/>
                <w:sz w:val="20"/>
                <w:szCs w:val="20"/>
              </w:rPr>
              <w:t>Can be accessed on a facility-by-facility basis through EPA data access tools, including Envirofacts.  Text files can be downloaded from EPA’s Web site.</w:t>
            </w:r>
          </w:p>
        </w:tc>
      </w:tr>
      <w:tr w14:paraId="5EB381FD"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shd w:val="clear" w:color="auto" w:fill="CCCCCC"/>
            <w:hideMark/>
          </w:tcPr>
          <w:p w:rsidR="00EF7BF8" w:rsidRPr="00444F9D" w:rsidP="001C3EBF" w14:paraId="6B20A6FF" w14:textId="77777777">
            <w:pPr>
              <w:spacing w:line="276" w:lineRule="auto"/>
              <w:rPr>
                <w:rFonts w:cs="Arial"/>
                <w:sz w:val="20"/>
                <w:szCs w:val="20"/>
              </w:rPr>
            </w:pPr>
            <w:r w:rsidRPr="00444F9D">
              <w:rPr>
                <w:rFonts w:cs="Arial"/>
                <w:b/>
                <w:bCs/>
                <w:sz w:val="20"/>
                <w:szCs w:val="20"/>
              </w:rPr>
              <w:t>DISCHARGES TO A POTW (SECTION 6.1)</w:t>
            </w:r>
          </w:p>
        </w:tc>
      </w:tr>
      <w:tr w14:paraId="2AD2BCB6"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hideMark/>
          </w:tcPr>
          <w:p w:rsidR="00EF7BF8" w:rsidRPr="00444F9D" w:rsidP="001C3EBF" w14:paraId="278EC2C5" w14:textId="77777777">
            <w:pPr>
              <w:spacing w:line="276" w:lineRule="auto"/>
              <w:rPr>
                <w:rFonts w:cs="Arial"/>
                <w:sz w:val="20"/>
                <w:szCs w:val="20"/>
              </w:rPr>
            </w:pPr>
            <w:r w:rsidRPr="00444F9D">
              <w:rPr>
                <w:rFonts w:cs="Arial"/>
                <w:b/>
                <w:bCs/>
                <w:sz w:val="20"/>
                <w:szCs w:val="20"/>
              </w:rPr>
              <w:t xml:space="preserve">RCRA Biennial </w:t>
            </w:r>
            <w:r w:rsidRPr="00444F9D">
              <w:rPr>
                <w:rFonts w:cs="Arial"/>
                <w:b/>
                <w:bCs/>
                <w:sz w:val="20"/>
                <w:szCs w:val="20"/>
              </w:rPr>
              <w:t>Reports (BR)</w:t>
            </w:r>
          </w:p>
        </w:tc>
      </w:tr>
      <w:tr w14:paraId="60A3E8A6" w14:textId="77777777" w:rsidTr="00954605">
        <w:tblPrEx>
          <w:tblW w:w="13920" w:type="dxa"/>
          <w:jc w:val="center"/>
          <w:tblLayout w:type="fixed"/>
          <w:tblLook w:val="04A0"/>
        </w:tblPrEx>
        <w:trPr>
          <w:cantSplit/>
          <w:jc w:val="center"/>
        </w:trPr>
        <w:tc>
          <w:tcPr>
            <w:tcW w:w="4197" w:type="dxa"/>
            <w:tcBorders>
              <w:top w:val="single" w:sz="4" w:space="0" w:color="auto"/>
              <w:left w:val="single" w:sz="4" w:space="0" w:color="auto"/>
              <w:bottom w:val="single" w:sz="4" w:space="0" w:color="auto"/>
              <w:right w:val="single" w:sz="4" w:space="0" w:color="auto"/>
            </w:tcBorders>
            <w:hideMark/>
          </w:tcPr>
          <w:p w:rsidR="00EF7BF8" w:rsidRPr="00444F9D" w:rsidP="001C3EBF" w14:paraId="719E4DFB" w14:textId="77777777">
            <w:pPr>
              <w:spacing w:line="276" w:lineRule="auto"/>
              <w:rPr>
                <w:rFonts w:cs="Arial"/>
                <w:sz w:val="20"/>
                <w:szCs w:val="20"/>
                <w:lang w:val="en"/>
              </w:rPr>
            </w:pPr>
            <w:r w:rsidRPr="00444F9D">
              <w:rPr>
                <w:rFonts w:cs="Arial"/>
                <w:sz w:val="20"/>
                <w:szCs w:val="20"/>
              </w:rPr>
              <w:t xml:space="preserve">Biennial Reports require some reporting of discharges to </w:t>
            </w:r>
            <w:r w:rsidRPr="00444F9D">
              <w:rPr>
                <w:rFonts w:cs="Arial"/>
                <w:spacing w:val="-2"/>
                <w:sz w:val="20"/>
                <w:szCs w:val="20"/>
              </w:rPr>
              <w:t>POTWs. See above for more details.</w:t>
            </w:r>
          </w:p>
        </w:tc>
        <w:tc>
          <w:tcPr>
            <w:tcW w:w="2040" w:type="dxa"/>
            <w:tcBorders>
              <w:top w:val="single" w:sz="4" w:space="0" w:color="auto"/>
              <w:left w:val="single" w:sz="4" w:space="0" w:color="auto"/>
              <w:bottom w:val="single" w:sz="4" w:space="0" w:color="auto"/>
              <w:right w:val="single" w:sz="4" w:space="0" w:color="auto"/>
            </w:tcBorders>
            <w:hideMark/>
          </w:tcPr>
          <w:p w:rsidR="00EF7BF8" w:rsidRPr="00444F9D" w:rsidP="001C3EBF" w14:paraId="61229B68" w14:textId="77777777">
            <w:pPr>
              <w:spacing w:line="276" w:lineRule="auto"/>
              <w:rPr>
                <w:rFonts w:cs="Arial"/>
                <w:sz w:val="20"/>
                <w:szCs w:val="20"/>
              </w:rPr>
            </w:pPr>
            <w:r w:rsidRPr="00444F9D">
              <w:rPr>
                <w:rFonts w:cs="Arial"/>
                <w:sz w:val="20"/>
                <w:szCs w:val="20"/>
              </w:rPr>
              <w:t>See above.</w:t>
            </w:r>
          </w:p>
        </w:tc>
        <w:tc>
          <w:tcPr>
            <w:tcW w:w="2520" w:type="dxa"/>
            <w:tcBorders>
              <w:top w:val="single" w:sz="4" w:space="0" w:color="auto"/>
              <w:left w:val="single" w:sz="4" w:space="0" w:color="auto"/>
              <w:bottom w:val="single" w:sz="4" w:space="0" w:color="auto"/>
              <w:right w:val="single" w:sz="4" w:space="0" w:color="auto"/>
            </w:tcBorders>
            <w:hideMark/>
          </w:tcPr>
          <w:p w:rsidR="00EF7BF8" w:rsidRPr="00444F9D" w:rsidP="001C3EBF" w14:paraId="07B0BD20" w14:textId="77777777">
            <w:pPr>
              <w:spacing w:line="276" w:lineRule="auto"/>
              <w:rPr>
                <w:rFonts w:cs="Arial"/>
                <w:sz w:val="20"/>
                <w:szCs w:val="20"/>
              </w:rPr>
            </w:pPr>
            <w:r w:rsidRPr="00444F9D">
              <w:rPr>
                <w:rFonts w:cs="Arial"/>
                <w:sz w:val="20"/>
                <w:szCs w:val="20"/>
              </w:rPr>
              <w:t>See above.</w:t>
            </w:r>
          </w:p>
        </w:tc>
        <w:tc>
          <w:tcPr>
            <w:tcW w:w="1800" w:type="dxa"/>
            <w:tcBorders>
              <w:top w:val="single" w:sz="4" w:space="0" w:color="auto"/>
              <w:left w:val="single" w:sz="4" w:space="0" w:color="auto"/>
              <w:bottom w:val="single" w:sz="4" w:space="0" w:color="auto"/>
              <w:right w:val="single" w:sz="4" w:space="0" w:color="auto"/>
            </w:tcBorders>
            <w:hideMark/>
          </w:tcPr>
          <w:p w:rsidR="00EF7BF8" w:rsidRPr="00444F9D" w:rsidP="001C3EBF" w14:paraId="22542E06" w14:textId="77777777">
            <w:pPr>
              <w:spacing w:line="276" w:lineRule="auto"/>
              <w:rPr>
                <w:rFonts w:cs="Arial"/>
                <w:sz w:val="20"/>
                <w:szCs w:val="20"/>
              </w:rPr>
            </w:pPr>
            <w:r w:rsidRPr="00444F9D">
              <w:rPr>
                <w:rFonts w:cs="Arial"/>
                <w:sz w:val="20"/>
                <w:szCs w:val="20"/>
              </w:rPr>
              <w:t>See above.</w:t>
            </w:r>
          </w:p>
        </w:tc>
        <w:tc>
          <w:tcPr>
            <w:tcW w:w="3357" w:type="dxa"/>
            <w:tcBorders>
              <w:top w:val="single" w:sz="4" w:space="0" w:color="auto"/>
              <w:left w:val="single" w:sz="4" w:space="0" w:color="auto"/>
              <w:bottom w:val="single" w:sz="4" w:space="0" w:color="auto"/>
              <w:right w:val="single" w:sz="4" w:space="0" w:color="auto"/>
            </w:tcBorders>
            <w:hideMark/>
          </w:tcPr>
          <w:p w:rsidR="00EF7BF8" w:rsidRPr="00444F9D" w:rsidP="001C3EBF" w14:paraId="127654E7" w14:textId="77777777">
            <w:pPr>
              <w:spacing w:line="276" w:lineRule="auto"/>
              <w:rPr>
                <w:rFonts w:cs="Arial"/>
                <w:sz w:val="20"/>
                <w:szCs w:val="20"/>
              </w:rPr>
            </w:pPr>
            <w:r w:rsidRPr="00444F9D">
              <w:rPr>
                <w:rFonts w:cs="Arial"/>
                <w:sz w:val="20"/>
                <w:szCs w:val="20"/>
              </w:rPr>
              <w:t>See above.</w:t>
            </w:r>
          </w:p>
        </w:tc>
      </w:tr>
      <w:tr w14:paraId="0F0DF814"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hideMark/>
          </w:tcPr>
          <w:p w:rsidR="00EF7BF8" w:rsidRPr="00444F9D" w:rsidP="001C3EBF" w14:paraId="0B211421" w14:textId="77777777">
            <w:pPr>
              <w:spacing w:line="276" w:lineRule="auto"/>
              <w:rPr>
                <w:rFonts w:cs="Arial"/>
                <w:sz w:val="20"/>
                <w:szCs w:val="20"/>
              </w:rPr>
            </w:pPr>
            <w:r w:rsidRPr="00444F9D">
              <w:rPr>
                <w:rFonts w:cs="Arial"/>
                <w:b/>
                <w:bCs/>
                <w:sz w:val="20"/>
                <w:szCs w:val="20"/>
              </w:rPr>
              <w:t>ICIS-NPDES</w:t>
            </w:r>
          </w:p>
        </w:tc>
      </w:tr>
      <w:tr w14:paraId="3FC74CE0" w14:textId="77777777" w:rsidTr="00954605">
        <w:tblPrEx>
          <w:tblW w:w="13920" w:type="dxa"/>
          <w:jc w:val="center"/>
          <w:tblLayout w:type="fixed"/>
          <w:tblLook w:val="04A0"/>
        </w:tblPrEx>
        <w:trPr>
          <w:cantSplit/>
          <w:jc w:val="center"/>
        </w:trPr>
        <w:tc>
          <w:tcPr>
            <w:tcW w:w="4197" w:type="dxa"/>
            <w:tcBorders>
              <w:top w:val="single" w:sz="4" w:space="0" w:color="auto"/>
              <w:left w:val="single" w:sz="4" w:space="0" w:color="auto"/>
              <w:bottom w:val="single" w:sz="4" w:space="0" w:color="auto"/>
              <w:right w:val="single" w:sz="4" w:space="0" w:color="auto"/>
            </w:tcBorders>
            <w:hideMark/>
          </w:tcPr>
          <w:p w:rsidR="00EF7BF8" w:rsidRPr="00444F9D" w:rsidP="001C3EBF" w14:paraId="25F2D2B0" w14:textId="77777777">
            <w:pPr>
              <w:spacing w:line="276" w:lineRule="auto"/>
              <w:rPr>
                <w:rFonts w:cs="Arial"/>
                <w:sz w:val="20"/>
                <w:szCs w:val="20"/>
                <w:lang w:val="en"/>
              </w:rPr>
            </w:pPr>
            <w:r w:rsidRPr="00444F9D">
              <w:rPr>
                <w:rFonts w:cs="Arial"/>
                <w:spacing w:val="-2"/>
                <w:sz w:val="20"/>
                <w:szCs w:val="20"/>
              </w:rPr>
              <w:t xml:space="preserve">ICIS-NPDES allows for reporting of indirect discharges to water. See above for more </w:t>
            </w:r>
            <w:r w:rsidRPr="00444F9D">
              <w:rPr>
                <w:rFonts w:cs="Arial"/>
                <w:spacing w:val="-2"/>
                <w:sz w:val="20"/>
                <w:szCs w:val="20"/>
              </w:rPr>
              <w:t>details.</w:t>
            </w:r>
          </w:p>
        </w:tc>
        <w:tc>
          <w:tcPr>
            <w:tcW w:w="2040" w:type="dxa"/>
            <w:tcBorders>
              <w:top w:val="single" w:sz="4" w:space="0" w:color="auto"/>
              <w:left w:val="single" w:sz="4" w:space="0" w:color="auto"/>
              <w:bottom w:val="single" w:sz="4" w:space="0" w:color="auto"/>
              <w:right w:val="single" w:sz="4" w:space="0" w:color="auto"/>
            </w:tcBorders>
            <w:hideMark/>
          </w:tcPr>
          <w:p w:rsidR="00EF7BF8" w:rsidRPr="00444F9D" w:rsidP="001C3EBF" w14:paraId="6F895EFC" w14:textId="77777777">
            <w:pPr>
              <w:spacing w:line="276" w:lineRule="auto"/>
              <w:rPr>
                <w:rFonts w:cs="Arial"/>
                <w:sz w:val="20"/>
                <w:szCs w:val="20"/>
              </w:rPr>
            </w:pPr>
            <w:r w:rsidRPr="00444F9D">
              <w:rPr>
                <w:rFonts w:cs="Arial"/>
                <w:sz w:val="20"/>
                <w:szCs w:val="20"/>
              </w:rPr>
              <w:t>See above.</w:t>
            </w:r>
          </w:p>
        </w:tc>
        <w:tc>
          <w:tcPr>
            <w:tcW w:w="2520" w:type="dxa"/>
            <w:tcBorders>
              <w:top w:val="single" w:sz="4" w:space="0" w:color="auto"/>
              <w:left w:val="single" w:sz="4" w:space="0" w:color="auto"/>
              <w:bottom w:val="single" w:sz="4" w:space="0" w:color="auto"/>
              <w:right w:val="single" w:sz="4" w:space="0" w:color="auto"/>
            </w:tcBorders>
            <w:hideMark/>
          </w:tcPr>
          <w:p w:rsidR="00EF7BF8" w:rsidRPr="00444F9D" w:rsidP="001C3EBF" w14:paraId="040DDA78" w14:textId="77777777">
            <w:pPr>
              <w:spacing w:line="276" w:lineRule="auto"/>
              <w:rPr>
                <w:rFonts w:cs="Arial"/>
                <w:sz w:val="20"/>
                <w:szCs w:val="20"/>
              </w:rPr>
            </w:pPr>
            <w:r w:rsidRPr="00444F9D">
              <w:rPr>
                <w:rFonts w:cs="Arial"/>
                <w:sz w:val="20"/>
                <w:szCs w:val="20"/>
              </w:rPr>
              <w:t>See above.</w:t>
            </w:r>
          </w:p>
        </w:tc>
        <w:tc>
          <w:tcPr>
            <w:tcW w:w="1800" w:type="dxa"/>
            <w:tcBorders>
              <w:top w:val="single" w:sz="4" w:space="0" w:color="auto"/>
              <w:left w:val="single" w:sz="4" w:space="0" w:color="auto"/>
              <w:bottom w:val="single" w:sz="4" w:space="0" w:color="auto"/>
              <w:right w:val="single" w:sz="4" w:space="0" w:color="auto"/>
            </w:tcBorders>
            <w:hideMark/>
          </w:tcPr>
          <w:p w:rsidR="00EF7BF8" w:rsidRPr="00444F9D" w:rsidP="001C3EBF" w14:paraId="2282D6E2" w14:textId="77777777">
            <w:pPr>
              <w:spacing w:line="276" w:lineRule="auto"/>
              <w:rPr>
                <w:rFonts w:cs="Arial"/>
                <w:sz w:val="20"/>
                <w:szCs w:val="20"/>
              </w:rPr>
            </w:pPr>
            <w:r w:rsidRPr="00444F9D">
              <w:rPr>
                <w:rFonts w:cs="Arial"/>
                <w:sz w:val="20"/>
                <w:szCs w:val="20"/>
              </w:rPr>
              <w:t>See above.</w:t>
            </w:r>
          </w:p>
        </w:tc>
        <w:tc>
          <w:tcPr>
            <w:tcW w:w="3357" w:type="dxa"/>
            <w:tcBorders>
              <w:top w:val="single" w:sz="4" w:space="0" w:color="auto"/>
              <w:left w:val="single" w:sz="4" w:space="0" w:color="auto"/>
              <w:bottom w:val="single" w:sz="4" w:space="0" w:color="auto"/>
              <w:right w:val="single" w:sz="4" w:space="0" w:color="auto"/>
            </w:tcBorders>
            <w:hideMark/>
          </w:tcPr>
          <w:p w:rsidR="00EF7BF8" w:rsidRPr="00444F9D" w:rsidP="001C3EBF" w14:paraId="107A52CD" w14:textId="77777777">
            <w:pPr>
              <w:spacing w:line="276" w:lineRule="auto"/>
              <w:rPr>
                <w:rFonts w:cs="Arial"/>
                <w:sz w:val="20"/>
                <w:szCs w:val="20"/>
              </w:rPr>
            </w:pPr>
            <w:r w:rsidRPr="00444F9D">
              <w:rPr>
                <w:rFonts w:cs="Arial"/>
                <w:sz w:val="20"/>
                <w:szCs w:val="20"/>
              </w:rPr>
              <w:t>See above.</w:t>
            </w:r>
          </w:p>
        </w:tc>
      </w:tr>
      <w:tr w14:paraId="4B89E236"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shd w:val="clear" w:color="auto" w:fill="CCCCCC"/>
            <w:hideMark/>
          </w:tcPr>
          <w:p w:rsidR="00EF7BF8" w:rsidRPr="00444F9D" w:rsidP="001C3EBF" w14:paraId="5BDD1560" w14:textId="77777777">
            <w:pPr>
              <w:spacing w:line="276" w:lineRule="auto"/>
              <w:rPr>
                <w:rFonts w:cs="Arial"/>
                <w:sz w:val="20"/>
                <w:szCs w:val="20"/>
              </w:rPr>
            </w:pPr>
            <w:r w:rsidRPr="00444F9D">
              <w:rPr>
                <w:rFonts w:cs="Arial"/>
                <w:b/>
                <w:bCs/>
                <w:sz w:val="20"/>
                <w:szCs w:val="20"/>
              </w:rPr>
              <w:t>TRANSFERS TO OTHER OFF-SITE LOCATIONS (SECTION 6.2)</w:t>
            </w:r>
          </w:p>
        </w:tc>
      </w:tr>
      <w:tr w14:paraId="44CD8DFF"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hideMark/>
          </w:tcPr>
          <w:p w:rsidR="00EF7BF8" w:rsidRPr="00444F9D" w:rsidP="001C3EBF" w14:paraId="03B7FF66" w14:textId="77777777">
            <w:pPr>
              <w:spacing w:line="276" w:lineRule="auto"/>
              <w:rPr>
                <w:rFonts w:cs="Arial"/>
                <w:sz w:val="20"/>
                <w:szCs w:val="20"/>
              </w:rPr>
            </w:pPr>
            <w:r w:rsidRPr="00444F9D">
              <w:rPr>
                <w:rFonts w:cs="Arial"/>
                <w:b/>
                <w:bCs/>
                <w:sz w:val="20"/>
                <w:szCs w:val="20"/>
              </w:rPr>
              <w:t>RCRA Biennial Reports (BR)</w:t>
            </w:r>
          </w:p>
        </w:tc>
      </w:tr>
      <w:tr w14:paraId="36367863" w14:textId="77777777" w:rsidTr="00954605">
        <w:tblPrEx>
          <w:tblW w:w="13920" w:type="dxa"/>
          <w:jc w:val="center"/>
          <w:tblLayout w:type="fixed"/>
          <w:tblLook w:val="04A0"/>
        </w:tblPrEx>
        <w:trPr>
          <w:cantSplit/>
          <w:jc w:val="center"/>
        </w:trPr>
        <w:tc>
          <w:tcPr>
            <w:tcW w:w="4197" w:type="dxa"/>
            <w:tcBorders>
              <w:top w:val="single" w:sz="4" w:space="0" w:color="auto"/>
              <w:left w:val="single" w:sz="4" w:space="0" w:color="auto"/>
              <w:bottom w:val="single" w:sz="4" w:space="0" w:color="auto"/>
              <w:right w:val="single" w:sz="4" w:space="0" w:color="auto"/>
            </w:tcBorders>
            <w:hideMark/>
          </w:tcPr>
          <w:p w:rsidR="00EF7BF8" w:rsidRPr="00444F9D" w:rsidP="001C3EBF" w14:paraId="1CCD5458" w14:textId="77777777">
            <w:pPr>
              <w:spacing w:line="276" w:lineRule="auto"/>
              <w:rPr>
                <w:rFonts w:cs="Arial"/>
                <w:sz w:val="20"/>
                <w:szCs w:val="20"/>
                <w:lang w:val="en"/>
              </w:rPr>
            </w:pPr>
            <w:r w:rsidRPr="00444F9D">
              <w:rPr>
                <w:rFonts w:cs="Arial"/>
                <w:sz w:val="20"/>
                <w:szCs w:val="20"/>
              </w:rPr>
              <w:t xml:space="preserve">Biennial Reports contain hazardous waste data from large quantity generators and TSDFs. Biennial Reports also </w:t>
            </w:r>
            <w:r w:rsidRPr="00444F9D">
              <w:rPr>
                <w:rFonts w:cs="Arial"/>
                <w:sz w:val="20"/>
                <w:szCs w:val="20"/>
              </w:rPr>
              <w:t>require reporting of off-site transfers on Form GM. Information includes the RCRA ID of the facility to which the waste was shipped, the processes used to treat, recycle, or dispose of the waste at the off-site facility, the off-site availability code, and</w:t>
            </w:r>
            <w:r w:rsidRPr="00444F9D">
              <w:rPr>
                <w:rFonts w:cs="Arial"/>
                <w:sz w:val="20"/>
                <w:szCs w:val="20"/>
              </w:rPr>
              <w:t xml:space="preserve"> the total quantity of waste shipped during the report year. The reports also provide data on the volume of hazardous waste shipped off-site for land disposal, a release end-point of relevance to TRI</w:t>
            </w:r>
            <w:r w:rsidRPr="00444F9D">
              <w:rPr>
                <w:rFonts w:cs="Arial"/>
                <w:spacing w:val="-2"/>
                <w:sz w:val="20"/>
                <w:szCs w:val="20"/>
              </w:rPr>
              <w:t>. See above for more details.</w:t>
            </w:r>
          </w:p>
        </w:tc>
        <w:tc>
          <w:tcPr>
            <w:tcW w:w="2040" w:type="dxa"/>
            <w:tcBorders>
              <w:top w:val="single" w:sz="4" w:space="0" w:color="auto"/>
              <w:left w:val="single" w:sz="4" w:space="0" w:color="auto"/>
              <w:bottom w:val="single" w:sz="4" w:space="0" w:color="auto"/>
              <w:right w:val="single" w:sz="4" w:space="0" w:color="auto"/>
            </w:tcBorders>
            <w:hideMark/>
          </w:tcPr>
          <w:p w:rsidR="00EF7BF8" w:rsidRPr="00444F9D" w:rsidP="001C3EBF" w14:paraId="0C296C3E" w14:textId="77777777">
            <w:pPr>
              <w:spacing w:line="276" w:lineRule="auto"/>
              <w:rPr>
                <w:rFonts w:cs="Arial"/>
                <w:sz w:val="20"/>
                <w:szCs w:val="20"/>
              </w:rPr>
            </w:pPr>
            <w:r w:rsidRPr="00444F9D">
              <w:rPr>
                <w:rFonts w:cs="Arial"/>
                <w:sz w:val="20"/>
                <w:szCs w:val="20"/>
              </w:rPr>
              <w:t>See above.</w:t>
            </w:r>
          </w:p>
        </w:tc>
        <w:tc>
          <w:tcPr>
            <w:tcW w:w="2520" w:type="dxa"/>
            <w:tcBorders>
              <w:top w:val="single" w:sz="4" w:space="0" w:color="auto"/>
              <w:left w:val="single" w:sz="4" w:space="0" w:color="auto"/>
              <w:bottom w:val="single" w:sz="4" w:space="0" w:color="auto"/>
              <w:right w:val="single" w:sz="4" w:space="0" w:color="auto"/>
            </w:tcBorders>
            <w:hideMark/>
          </w:tcPr>
          <w:p w:rsidR="00EF7BF8" w:rsidRPr="00444F9D" w:rsidP="001C3EBF" w14:paraId="2C2A49D0" w14:textId="77777777">
            <w:pPr>
              <w:spacing w:line="276" w:lineRule="auto"/>
              <w:rPr>
                <w:rFonts w:cs="Arial"/>
                <w:sz w:val="20"/>
                <w:szCs w:val="20"/>
              </w:rPr>
            </w:pPr>
            <w:r w:rsidRPr="00444F9D">
              <w:rPr>
                <w:rFonts w:cs="Arial"/>
                <w:sz w:val="20"/>
                <w:szCs w:val="20"/>
              </w:rPr>
              <w:t>See above.</w:t>
            </w:r>
          </w:p>
        </w:tc>
        <w:tc>
          <w:tcPr>
            <w:tcW w:w="1800" w:type="dxa"/>
            <w:tcBorders>
              <w:top w:val="single" w:sz="4" w:space="0" w:color="auto"/>
              <w:left w:val="single" w:sz="4" w:space="0" w:color="auto"/>
              <w:bottom w:val="single" w:sz="4" w:space="0" w:color="auto"/>
              <w:right w:val="single" w:sz="4" w:space="0" w:color="auto"/>
            </w:tcBorders>
            <w:hideMark/>
          </w:tcPr>
          <w:p w:rsidR="00EF7BF8" w:rsidRPr="00444F9D" w:rsidP="001C3EBF" w14:paraId="6D5E6862" w14:textId="77777777">
            <w:pPr>
              <w:spacing w:line="276" w:lineRule="auto"/>
              <w:rPr>
                <w:rFonts w:cs="Arial"/>
                <w:sz w:val="20"/>
                <w:szCs w:val="20"/>
              </w:rPr>
            </w:pPr>
            <w:r w:rsidRPr="00444F9D">
              <w:rPr>
                <w:rFonts w:cs="Arial"/>
                <w:sz w:val="20"/>
                <w:szCs w:val="20"/>
              </w:rPr>
              <w:t>See a</w:t>
            </w:r>
            <w:r w:rsidRPr="00444F9D">
              <w:rPr>
                <w:rFonts w:cs="Arial"/>
                <w:sz w:val="20"/>
                <w:szCs w:val="20"/>
              </w:rPr>
              <w:t>bove.</w:t>
            </w:r>
          </w:p>
        </w:tc>
        <w:tc>
          <w:tcPr>
            <w:tcW w:w="3357" w:type="dxa"/>
            <w:tcBorders>
              <w:top w:val="single" w:sz="4" w:space="0" w:color="auto"/>
              <w:left w:val="single" w:sz="4" w:space="0" w:color="auto"/>
              <w:bottom w:val="single" w:sz="4" w:space="0" w:color="auto"/>
              <w:right w:val="single" w:sz="4" w:space="0" w:color="auto"/>
            </w:tcBorders>
            <w:hideMark/>
          </w:tcPr>
          <w:p w:rsidR="00EF7BF8" w:rsidRPr="00444F9D" w:rsidP="001C3EBF" w14:paraId="59D75DCD" w14:textId="77777777">
            <w:pPr>
              <w:spacing w:line="276" w:lineRule="auto"/>
              <w:rPr>
                <w:rFonts w:cs="Arial"/>
                <w:sz w:val="20"/>
                <w:szCs w:val="20"/>
              </w:rPr>
            </w:pPr>
            <w:r w:rsidRPr="00444F9D">
              <w:rPr>
                <w:rFonts w:cs="Arial"/>
                <w:sz w:val="20"/>
                <w:szCs w:val="20"/>
              </w:rPr>
              <w:t>See above.</w:t>
            </w:r>
          </w:p>
        </w:tc>
      </w:tr>
      <w:tr w14:paraId="5B54CC43"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shd w:val="clear" w:color="auto" w:fill="CCCCCC"/>
            <w:hideMark/>
          </w:tcPr>
          <w:p w:rsidR="00EF7BF8" w:rsidRPr="00444F9D" w:rsidP="001C3EBF" w14:paraId="62B52B8E" w14:textId="77777777">
            <w:pPr>
              <w:spacing w:line="276" w:lineRule="auto"/>
              <w:rPr>
                <w:rFonts w:cs="Arial"/>
                <w:sz w:val="20"/>
                <w:szCs w:val="20"/>
              </w:rPr>
            </w:pPr>
            <w:r w:rsidRPr="00444F9D">
              <w:rPr>
                <w:rFonts w:cs="Arial"/>
                <w:b/>
                <w:bCs/>
                <w:sz w:val="20"/>
                <w:szCs w:val="20"/>
              </w:rPr>
              <w:t>CHEMICAL STORAGE AND INVENTORY DATA (SECTION 4.1)</w:t>
            </w:r>
          </w:p>
        </w:tc>
      </w:tr>
      <w:tr w14:paraId="5F38762E"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hideMark/>
          </w:tcPr>
          <w:p w:rsidR="00EF7BF8" w:rsidRPr="00444F9D" w:rsidP="001C3EBF" w14:paraId="5F2D12D6" w14:textId="77777777">
            <w:pPr>
              <w:spacing w:line="276" w:lineRule="auto"/>
              <w:rPr>
                <w:rFonts w:cs="Arial"/>
                <w:sz w:val="20"/>
                <w:szCs w:val="20"/>
              </w:rPr>
            </w:pPr>
            <w:r w:rsidRPr="00444F9D">
              <w:rPr>
                <w:rFonts w:cs="Arial"/>
                <w:b/>
                <w:bCs/>
                <w:sz w:val="20"/>
                <w:szCs w:val="20"/>
              </w:rPr>
              <w:t xml:space="preserve">EPCRA </w:t>
            </w:r>
            <w:r w:rsidRPr="00444F9D">
              <w:rPr>
                <w:rFonts w:cs="Arial"/>
                <w:sz w:val="20"/>
                <w:szCs w:val="20"/>
              </w:rPr>
              <w:t>§</w:t>
            </w:r>
            <w:r w:rsidRPr="00444F9D">
              <w:rPr>
                <w:rFonts w:cs="Arial"/>
                <w:b/>
                <w:bCs/>
                <w:sz w:val="20"/>
                <w:szCs w:val="20"/>
              </w:rPr>
              <w:t>312 Tier I and II Reports</w:t>
            </w:r>
          </w:p>
        </w:tc>
      </w:tr>
      <w:tr w14:paraId="02EE9509" w14:textId="77777777" w:rsidTr="00954605">
        <w:tblPrEx>
          <w:tblW w:w="13920" w:type="dxa"/>
          <w:jc w:val="center"/>
          <w:tblLayout w:type="fixed"/>
          <w:tblLook w:val="04A0"/>
        </w:tblPrEx>
        <w:trPr>
          <w:cantSplit/>
          <w:jc w:val="center"/>
        </w:trPr>
        <w:tc>
          <w:tcPr>
            <w:tcW w:w="4197" w:type="dxa"/>
            <w:tcBorders>
              <w:top w:val="single" w:sz="4" w:space="0" w:color="auto"/>
              <w:left w:val="single" w:sz="4" w:space="0" w:color="auto"/>
              <w:bottom w:val="single" w:sz="4" w:space="0" w:color="auto"/>
              <w:right w:val="single" w:sz="4" w:space="0" w:color="auto"/>
            </w:tcBorders>
            <w:hideMark/>
          </w:tcPr>
          <w:p w:rsidR="00EF7BF8" w:rsidRPr="00444F9D" w:rsidP="001C3EBF" w14:paraId="141AA5C5" w14:textId="77777777">
            <w:pPr>
              <w:spacing w:line="276" w:lineRule="auto"/>
              <w:rPr>
                <w:rFonts w:cs="Arial"/>
                <w:sz w:val="20"/>
                <w:szCs w:val="20"/>
                <w:lang w:val="en"/>
              </w:rPr>
            </w:pPr>
            <w:r w:rsidRPr="00444F9D">
              <w:rPr>
                <w:rFonts w:cs="Arial"/>
                <w:sz w:val="20"/>
                <w:szCs w:val="20"/>
              </w:rPr>
              <w:t xml:space="preserve">EPCRA §312 requires that states establish plans for local chemical emergency preparedness and that inventory information on hazardous chemicals be </w:t>
            </w:r>
            <w:r w:rsidRPr="00444F9D">
              <w:rPr>
                <w:rFonts w:cs="Arial"/>
                <w:sz w:val="20"/>
                <w:szCs w:val="20"/>
              </w:rPr>
              <w:t>reported by facilities to state and local authorities.</w:t>
            </w:r>
          </w:p>
        </w:tc>
        <w:tc>
          <w:tcPr>
            <w:tcW w:w="2040" w:type="dxa"/>
            <w:tcBorders>
              <w:top w:val="single" w:sz="4" w:space="0" w:color="auto"/>
              <w:left w:val="single" w:sz="4" w:space="0" w:color="auto"/>
              <w:bottom w:val="single" w:sz="4" w:space="0" w:color="auto"/>
              <w:right w:val="single" w:sz="4" w:space="0" w:color="auto"/>
            </w:tcBorders>
            <w:hideMark/>
          </w:tcPr>
          <w:p w:rsidR="00EF7BF8" w:rsidRPr="00444F9D" w:rsidP="001C3EBF" w14:paraId="5D562EFC" w14:textId="77777777">
            <w:pPr>
              <w:spacing w:line="276" w:lineRule="auto"/>
              <w:rPr>
                <w:rFonts w:cs="Arial"/>
                <w:sz w:val="20"/>
                <w:szCs w:val="20"/>
              </w:rPr>
            </w:pPr>
            <w:r w:rsidRPr="00444F9D">
              <w:rPr>
                <w:rFonts w:cs="Arial"/>
                <w:sz w:val="20"/>
                <w:szCs w:val="20"/>
              </w:rPr>
              <w:t>Hazardous or extremely hazardous substances (essentially any substance that poses a health or physical hazard).</w:t>
            </w:r>
          </w:p>
        </w:tc>
        <w:tc>
          <w:tcPr>
            <w:tcW w:w="2520" w:type="dxa"/>
            <w:tcBorders>
              <w:top w:val="single" w:sz="4" w:space="0" w:color="auto"/>
              <w:left w:val="single" w:sz="4" w:space="0" w:color="auto"/>
              <w:bottom w:val="single" w:sz="4" w:space="0" w:color="auto"/>
              <w:right w:val="single" w:sz="4" w:space="0" w:color="auto"/>
            </w:tcBorders>
            <w:hideMark/>
          </w:tcPr>
          <w:p w:rsidR="00EF7BF8" w:rsidRPr="00444F9D" w:rsidP="001C3EBF" w14:paraId="4E557122" w14:textId="77777777">
            <w:pPr>
              <w:spacing w:line="276" w:lineRule="auto"/>
              <w:rPr>
                <w:rFonts w:cs="Arial"/>
                <w:sz w:val="20"/>
                <w:szCs w:val="20"/>
              </w:rPr>
            </w:pPr>
            <w:r w:rsidRPr="00444F9D">
              <w:rPr>
                <w:rFonts w:cs="Arial"/>
                <w:sz w:val="20"/>
                <w:szCs w:val="20"/>
              </w:rPr>
              <w:t>No NAICS exemptions for facilities that are covered under the reporting threshold require</w:t>
            </w:r>
            <w:r w:rsidRPr="00444F9D">
              <w:rPr>
                <w:rFonts w:cs="Arial"/>
                <w:sz w:val="20"/>
                <w:szCs w:val="20"/>
              </w:rPr>
              <w:t>ments, but facilities not included under OSHA’s Hazard Communication Standard (e.g., mines) do not have to file.</w:t>
            </w:r>
          </w:p>
        </w:tc>
        <w:tc>
          <w:tcPr>
            <w:tcW w:w="1800" w:type="dxa"/>
            <w:tcBorders>
              <w:top w:val="single" w:sz="4" w:space="0" w:color="auto"/>
              <w:left w:val="single" w:sz="4" w:space="0" w:color="auto"/>
              <w:bottom w:val="single" w:sz="4" w:space="0" w:color="auto"/>
              <w:right w:val="single" w:sz="4" w:space="0" w:color="auto"/>
            </w:tcBorders>
            <w:hideMark/>
          </w:tcPr>
          <w:p w:rsidR="00EF7BF8" w:rsidRPr="00444F9D" w:rsidP="001C3EBF" w14:paraId="3EE1FB4B" w14:textId="77777777">
            <w:pPr>
              <w:spacing w:line="276" w:lineRule="auto"/>
              <w:rPr>
                <w:rFonts w:cs="Arial"/>
                <w:sz w:val="20"/>
                <w:szCs w:val="20"/>
              </w:rPr>
            </w:pPr>
            <w:r w:rsidRPr="00444F9D">
              <w:rPr>
                <w:rFonts w:cs="Arial"/>
                <w:sz w:val="20"/>
                <w:szCs w:val="20"/>
              </w:rPr>
              <w:t>Annual.</w:t>
            </w:r>
          </w:p>
        </w:tc>
        <w:tc>
          <w:tcPr>
            <w:tcW w:w="3357" w:type="dxa"/>
            <w:tcBorders>
              <w:top w:val="single" w:sz="4" w:space="0" w:color="auto"/>
              <w:left w:val="single" w:sz="4" w:space="0" w:color="auto"/>
              <w:bottom w:val="single" w:sz="4" w:space="0" w:color="auto"/>
              <w:right w:val="single" w:sz="4" w:space="0" w:color="auto"/>
            </w:tcBorders>
            <w:hideMark/>
          </w:tcPr>
          <w:p w:rsidR="00EF7BF8" w:rsidRPr="00444F9D" w:rsidP="001C3EBF" w14:paraId="7E725332" w14:textId="77777777">
            <w:pPr>
              <w:spacing w:line="276" w:lineRule="auto"/>
              <w:rPr>
                <w:rFonts w:cs="Arial"/>
                <w:sz w:val="20"/>
                <w:szCs w:val="20"/>
              </w:rPr>
            </w:pPr>
            <w:r w:rsidRPr="00444F9D">
              <w:rPr>
                <w:rFonts w:cs="Arial"/>
                <w:sz w:val="20"/>
                <w:szCs w:val="20"/>
              </w:rPr>
              <w:t>On a facility-by-facility basis, by forwarding a written request.</w:t>
            </w:r>
          </w:p>
        </w:tc>
      </w:tr>
      <w:tr w14:paraId="22797D64"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hideMark/>
          </w:tcPr>
          <w:p w:rsidR="00EF7BF8" w:rsidRPr="00444F9D" w:rsidP="001C3EBF" w14:paraId="15D83517" w14:textId="77777777">
            <w:pPr>
              <w:spacing w:line="276" w:lineRule="auto"/>
              <w:rPr>
                <w:rFonts w:cs="Arial"/>
                <w:sz w:val="20"/>
                <w:szCs w:val="20"/>
              </w:rPr>
            </w:pPr>
            <w:r w:rsidRPr="00444F9D">
              <w:rPr>
                <w:rFonts w:cs="Arial"/>
                <w:b/>
                <w:sz w:val="20"/>
                <w:szCs w:val="20"/>
              </w:rPr>
              <w:t>Risk Management Plan (RMP)</w:t>
            </w:r>
          </w:p>
        </w:tc>
      </w:tr>
      <w:tr w14:paraId="5FEC4DD0" w14:textId="77777777" w:rsidTr="00954605">
        <w:tblPrEx>
          <w:tblW w:w="13920" w:type="dxa"/>
          <w:jc w:val="center"/>
          <w:tblLayout w:type="fixed"/>
          <w:tblLook w:val="04A0"/>
        </w:tblPrEx>
        <w:trPr>
          <w:cantSplit/>
          <w:jc w:val="center"/>
        </w:trPr>
        <w:tc>
          <w:tcPr>
            <w:tcW w:w="4197" w:type="dxa"/>
            <w:tcBorders>
              <w:top w:val="single" w:sz="4" w:space="0" w:color="auto"/>
              <w:left w:val="single" w:sz="4" w:space="0" w:color="auto"/>
              <w:bottom w:val="single" w:sz="4" w:space="0" w:color="auto"/>
              <w:right w:val="single" w:sz="4" w:space="0" w:color="auto"/>
            </w:tcBorders>
            <w:hideMark/>
          </w:tcPr>
          <w:p w:rsidR="00EF7BF8" w:rsidRPr="00444F9D" w:rsidP="001C3EBF" w14:paraId="29CC1B21" w14:textId="77777777">
            <w:pPr>
              <w:spacing w:line="276" w:lineRule="auto"/>
              <w:rPr>
                <w:rFonts w:cs="Arial"/>
                <w:sz w:val="20"/>
                <w:szCs w:val="20"/>
                <w:lang w:val="en"/>
              </w:rPr>
            </w:pPr>
            <w:r w:rsidRPr="00444F9D">
              <w:rPr>
                <w:rFonts w:cs="Arial"/>
                <w:sz w:val="20"/>
                <w:szCs w:val="20"/>
              </w:rPr>
              <w:t xml:space="preserve">Under the authority of section 112(r) of the </w:t>
            </w:r>
            <w:hyperlink r:id="rId19" w:history="1">
              <w:r w:rsidRPr="00444F9D">
                <w:rPr>
                  <w:rStyle w:val="Hyperlink"/>
                  <w:rFonts w:cs="Arial"/>
                  <w:color w:val="auto"/>
                  <w:sz w:val="20"/>
                  <w:szCs w:val="20"/>
                </w:rPr>
                <w:t>Clean Air Act</w:t>
              </w:r>
            </w:hyperlink>
            <w:r w:rsidRPr="00444F9D">
              <w:rPr>
                <w:rFonts w:cs="Arial"/>
                <w:sz w:val="20"/>
                <w:szCs w:val="20"/>
              </w:rPr>
              <w:t xml:space="preserve">, the </w:t>
            </w:r>
            <w:hyperlink r:id="rId20" w:history="1">
              <w:r w:rsidRPr="00444F9D">
                <w:rPr>
                  <w:rStyle w:val="Hyperlink"/>
                  <w:rFonts w:cs="Arial"/>
                  <w:color w:val="auto"/>
                  <w:sz w:val="20"/>
                  <w:szCs w:val="20"/>
                </w:rPr>
                <w:t>Chemical Accident Prevention Provisions</w:t>
              </w:r>
            </w:hyperlink>
            <w:r w:rsidRPr="00444F9D">
              <w:rPr>
                <w:rFonts w:cs="Arial"/>
                <w:sz w:val="20"/>
                <w:szCs w:val="20"/>
              </w:rPr>
              <w:t xml:space="preserve"> require facilities that produce, handle, process, distribute, or store certain chemicals to prepare a Risk Management Plan (RMP) and submit the RMP to EPA. These plans include info</w:t>
            </w:r>
            <w:r w:rsidRPr="00444F9D">
              <w:rPr>
                <w:rFonts w:cs="Arial"/>
                <w:sz w:val="20"/>
                <w:szCs w:val="20"/>
              </w:rPr>
              <w:t>rmation about chemical amounts stored and processed at RMP facilities.</w:t>
            </w:r>
          </w:p>
        </w:tc>
        <w:tc>
          <w:tcPr>
            <w:tcW w:w="2040" w:type="dxa"/>
            <w:tcBorders>
              <w:top w:val="single" w:sz="4" w:space="0" w:color="auto"/>
              <w:left w:val="single" w:sz="4" w:space="0" w:color="auto"/>
              <w:bottom w:val="single" w:sz="4" w:space="0" w:color="auto"/>
              <w:right w:val="single" w:sz="4" w:space="0" w:color="auto"/>
            </w:tcBorders>
            <w:hideMark/>
          </w:tcPr>
          <w:p w:rsidR="00EF7BF8" w:rsidRPr="00444F9D" w:rsidP="001C3EBF" w14:paraId="16398480" w14:textId="77777777">
            <w:pPr>
              <w:spacing w:line="276" w:lineRule="auto"/>
              <w:rPr>
                <w:rFonts w:cs="Arial"/>
                <w:sz w:val="20"/>
                <w:szCs w:val="20"/>
              </w:rPr>
            </w:pPr>
            <w:r w:rsidRPr="00444F9D">
              <w:rPr>
                <w:rFonts w:cs="Arial"/>
                <w:sz w:val="20"/>
                <w:szCs w:val="20"/>
              </w:rPr>
              <w:t>Certain flammable and toxic substances.</w:t>
            </w:r>
          </w:p>
        </w:tc>
        <w:tc>
          <w:tcPr>
            <w:tcW w:w="2520" w:type="dxa"/>
            <w:tcBorders>
              <w:top w:val="single" w:sz="4" w:space="0" w:color="auto"/>
              <w:left w:val="single" w:sz="4" w:space="0" w:color="auto"/>
              <w:bottom w:val="single" w:sz="4" w:space="0" w:color="auto"/>
              <w:right w:val="single" w:sz="4" w:space="0" w:color="auto"/>
            </w:tcBorders>
            <w:hideMark/>
          </w:tcPr>
          <w:p w:rsidR="00EF7BF8" w:rsidRPr="00444F9D" w:rsidP="001C3EBF" w14:paraId="379CEF3A" w14:textId="77777777">
            <w:pPr>
              <w:spacing w:line="276" w:lineRule="auto"/>
              <w:rPr>
                <w:rFonts w:cs="Arial"/>
                <w:sz w:val="20"/>
                <w:szCs w:val="20"/>
              </w:rPr>
            </w:pPr>
            <w:r w:rsidRPr="00444F9D">
              <w:rPr>
                <w:rFonts w:cs="Arial"/>
                <w:sz w:val="20"/>
                <w:szCs w:val="20"/>
              </w:rPr>
              <w:t>No NAICS limitations.</w:t>
            </w:r>
          </w:p>
        </w:tc>
        <w:tc>
          <w:tcPr>
            <w:tcW w:w="1800" w:type="dxa"/>
            <w:tcBorders>
              <w:top w:val="single" w:sz="4" w:space="0" w:color="auto"/>
              <w:left w:val="single" w:sz="4" w:space="0" w:color="auto"/>
              <w:bottom w:val="single" w:sz="4" w:space="0" w:color="auto"/>
              <w:right w:val="single" w:sz="4" w:space="0" w:color="auto"/>
            </w:tcBorders>
            <w:hideMark/>
          </w:tcPr>
          <w:p w:rsidR="00EF7BF8" w:rsidRPr="00444F9D" w:rsidP="001C3EBF" w14:paraId="1A925DE9" w14:textId="77777777">
            <w:pPr>
              <w:spacing w:line="276" w:lineRule="auto"/>
              <w:rPr>
                <w:rFonts w:cs="Arial"/>
                <w:sz w:val="20"/>
                <w:szCs w:val="20"/>
              </w:rPr>
            </w:pPr>
            <w:r w:rsidRPr="00444F9D">
              <w:rPr>
                <w:rFonts w:cs="Arial"/>
                <w:sz w:val="20"/>
                <w:szCs w:val="20"/>
              </w:rPr>
              <w:t>At least every five years, or within six months of an incident.</w:t>
            </w:r>
          </w:p>
        </w:tc>
        <w:tc>
          <w:tcPr>
            <w:tcW w:w="3357" w:type="dxa"/>
            <w:tcBorders>
              <w:top w:val="single" w:sz="4" w:space="0" w:color="auto"/>
              <w:left w:val="single" w:sz="4" w:space="0" w:color="auto"/>
              <w:bottom w:val="single" w:sz="4" w:space="0" w:color="auto"/>
              <w:right w:val="single" w:sz="4" w:space="0" w:color="auto"/>
            </w:tcBorders>
            <w:hideMark/>
          </w:tcPr>
          <w:p w:rsidR="00EF7BF8" w:rsidRPr="00444F9D" w:rsidP="001C3EBF" w14:paraId="7C298550" w14:textId="77777777">
            <w:pPr>
              <w:spacing w:line="276" w:lineRule="auto"/>
              <w:rPr>
                <w:rFonts w:cs="Arial"/>
                <w:sz w:val="20"/>
                <w:szCs w:val="20"/>
              </w:rPr>
            </w:pPr>
            <w:r w:rsidRPr="00444F9D">
              <w:rPr>
                <w:rFonts w:cs="Arial"/>
                <w:sz w:val="20"/>
                <w:szCs w:val="20"/>
              </w:rPr>
              <w:t xml:space="preserve">Restricted access: RMP information may be accessed via </w:t>
            </w:r>
            <w:r w:rsidRPr="00444F9D">
              <w:rPr>
                <w:rFonts w:cs="Arial"/>
                <w:sz w:val="20"/>
                <w:szCs w:val="20"/>
              </w:rPr>
              <w:t>the Federal Reading Rooms.</w:t>
            </w:r>
          </w:p>
        </w:tc>
      </w:tr>
      <w:tr w14:paraId="3F3E98CB"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hideMark/>
          </w:tcPr>
          <w:p w:rsidR="00EF7BF8" w:rsidRPr="00444F9D" w:rsidP="001C3EBF" w14:paraId="0772193B" w14:textId="77777777">
            <w:pPr>
              <w:spacing w:line="276" w:lineRule="auto"/>
              <w:rPr>
                <w:rFonts w:cs="Arial"/>
                <w:sz w:val="20"/>
                <w:szCs w:val="20"/>
              </w:rPr>
            </w:pPr>
            <w:r w:rsidRPr="00444F9D">
              <w:rPr>
                <w:rFonts w:cs="Arial"/>
                <w:b/>
                <w:sz w:val="20"/>
                <w:szCs w:val="20"/>
              </w:rPr>
              <w:t>Chemical Data Reporting (CDR)</w:t>
            </w:r>
          </w:p>
        </w:tc>
      </w:tr>
      <w:tr w14:paraId="481B06D3" w14:textId="77777777" w:rsidTr="00954605">
        <w:tblPrEx>
          <w:tblW w:w="13920" w:type="dxa"/>
          <w:jc w:val="center"/>
          <w:tblLayout w:type="fixed"/>
          <w:tblLook w:val="04A0"/>
        </w:tblPrEx>
        <w:trPr>
          <w:cantSplit/>
          <w:jc w:val="center"/>
        </w:trPr>
        <w:tc>
          <w:tcPr>
            <w:tcW w:w="4197" w:type="dxa"/>
            <w:tcBorders>
              <w:top w:val="single" w:sz="4" w:space="0" w:color="auto"/>
              <w:left w:val="single" w:sz="4" w:space="0" w:color="auto"/>
              <w:bottom w:val="single" w:sz="4" w:space="0" w:color="auto"/>
              <w:right w:val="single" w:sz="4" w:space="0" w:color="auto"/>
            </w:tcBorders>
            <w:hideMark/>
          </w:tcPr>
          <w:p w:rsidR="00EF7BF8" w:rsidRPr="00444F9D" w:rsidP="001C3EBF" w14:paraId="5F786B9A" w14:textId="77777777">
            <w:pPr>
              <w:spacing w:line="276" w:lineRule="auto"/>
              <w:rPr>
                <w:rFonts w:cs="Arial"/>
                <w:sz w:val="20"/>
                <w:szCs w:val="20"/>
                <w:lang w:val="en"/>
              </w:rPr>
            </w:pPr>
            <w:r w:rsidRPr="00444F9D">
              <w:rPr>
                <w:rFonts w:cs="Arial"/>
                <w:sz w:val="20"/>
                <w:szCs w:val="20"/>
              </w:rPr>
              <w:t xml:space="preserve">Under TSCA Section 8(a), chemical manufacturers (including importers) are required to report manufacturing-related information to EPA for sites that manufactured (including imported) 25,000 pounds </w:t>
            </w:r>
            <w:r w:rsidRPr="00444F9D">
              <w:rPr>
                <w:rFonts w:cs="Arial"/>
                <w:sz w:val="20"/>
                <w:szCs w:val="20"/>
              </w:rPr>
              <w:t>or more of a reportable chemical substance any one calendar year between submission periods. Industrial processing and use information and commercial and consumer use information must also be reported for these sites.</w:t>
            </w:r>
          </w:p>
        </w:tc>
        <w:tc>
          <w:tcPr>
            <w:tcW w:w="2040" w:type="dxa"/>
            <w:tcBorders>
              <w:top w:val="single" w:sz="4" w:space="0" w:color="auto"/>
              <w:left w:val="single" w:sz="4" w:space="0" w:color="auto"/>
              <w:bottom w:val="single" w:sz="4" w:space="0" w:color="auto"/>
              <w:right w:val="single" w:sz="4" w:space="0" w:color="auto"/>
            </w:tcBorders>
            <w:hideMark/>
          </w:tcPr>
          <w:p w:rsidR="00EF7BF8" w:rsidRPr="00444F9D" w:rsidP="001C3EBF" w14:paraId="29C4D434" w14:textId="77777777">
            <w:pPr>
              <w:spacing w:line="276" w:lineRule="auto"/>
              <w:rPr>
                <w:rFonts w:cs="Arial"/>
                <w:sz w:val="20"/>
                <w:szCs w:val="20"/>
              </w:rPr>
            </w:pPr>
            <w:r w:rsidRPr="00444F9D">
              <w:rPr>
                <w:rFonts w:cs="Arial"/>
                <w:sz w:val="20"/>
                <w:szCs w:val="20"/>
              </w:rPr>
              <w:t xml:space="preserve">Varies. </w:t>
            </w:r>
          </w:p>
        </w:tc>
        <w:tc>
          <w:tcPr>
            <w:tcW w:w="2520" w:type="dxa"/>
            <w:tcBorders>
              <w:top w:val="single" w:sz="4" w:space="0" w:color="auto"/>
              <w:left w:val="single" w:sz="4" w:space="0" w:color="auto"/>
              <w:bottom w:val="single" w:sz="4" w:space="0" w:color="auto"/>
              <w:right w:val="single" w:sz="4" w:space="0" w:color="auto"/>
            </w:tcBorders>
            <w:hideMark/>
          </w:tcPr>
          <w:p w:rsidR="00EF7BF8" w:rsidRPr="00444F9D" w:rsidP="001C3EBF" w14:paraId="7F0D9FE2" w14:textId="77777777">
            <w:pPr>
              <w:spacing w:line="276" w:lineRule="auto"/>
              <w:rPr>
                <w:rFonts w:cs="Arial"/>
                <w:sz w:val="20"/>
                <w:szCs w:val="20"/>
              </w:rPr>
            </w:pPr>
            <w:r w:rsidRPr="00444F9D">
              <w:rPr>
                <w:rFonts w:cs="Arial"/>
                <w:sz w:val="20"/>
                <w:szCs w:val="20"/>
              </w:rPr>
              <w:t>Limited to manufacturers, inc</w:t>
            </w:r>
            <w:r w:rsidRPr="00444F9D">
              <w:rPr>
                <w:rFonts w:cs="Arial"/>
                <w:sz w:val="20"/>
                <w:szCs w:val="20"/>
              </w:rPr>
              <w:t xml:space="preserve">luding importers, of subject chemicals.  </w:t>
            </w:r>
          </w:p>
          <w:p w:rsidR="00EF7BF8" w:rsidRPr="00444F9D" w:rsidP="001C3EBF" w14:paraId="48BBAEDE" w14:textId="77777777">
            <w:pPr>
              <w:spacing w:line="276" w:lineRule="auto"/>
              <w:rPr>
                <w:rFonts w:cs="Arial"/>
                <w:sz w:val="20"/>
                <w:szCs w:val="20"/>
              </w:rPr>
            </w:pPr>
            <w:r w:rsidRPr="00444F9D">
              <w:rPr>
                <w:rFonts w:cs="Arial"/>
                <w:sz w:val="20"/>
                <w:szCs w:val="20"/>
              </w:rPr>
              <w:t xml:space="preserve">Certain manufacturers are exempt, including small manufacturers (sales &lt;$40 million), those manufacturing a chemical for research and development, those manufacturing chemicals as impurities, and those </w:t>
            </w:r>
            <w:r w:rsidRPr="00444F9D">
              <w:rPr>
                <w:rFonts w:cs="Arial"/>
                <w:sz w:val="20"/>
                <w:szCs w:val="20"/>
              </w:rPr>
              <w:t>submitting information under another TSCA Section 8a rule.</w:t>
            </w:r>
          </w:p>
        </w:tc>
        <w:tc>
          <w:tcPr>
            <w:tcW w:w="1800" w:type="dxa"/>
            <w:tcBorders>
              <w:top w:val="single" w:sz="4" w:space="0" w:color="auto"/>
              <w:left w:val="single" w:sz="4" w:space="0" w:color="auto"/>
              <w:bottom w:val="single" w:sz="4" w:space="0" w:color="auto"/>
              <w:right w:val="single" w:sz="4" w:space="0" w:color="auto"/>
            </w:tcBorders>
            <w:hideMark/>
          </w:tcPr>
          <w:p w:rsidR="00EF7BF8" w:rsidRPr="00444F9D" w:rsidP="001C3EBF" w14:paraId="63304799" w14:textId="77777777">
            <w:pPr>
              <w:spacing w:line="276" w:lineRule="auto"/>
              <w:rPr>
                <w:rFonts w:cs="Arial"/>
                <w:sz w:val="20"/>
                <w:szCs w:val="20"/>
              </w:rPr>
            </w:pPr>
            <w:r w:rsidRPr="00444F9D">
              <w:rPr>
                <w:rFonts w:cs="Arial"/>
                <w:sz w:val="20"/>
                <w:szCs w:val="20"/>
              </w:rPr>
              <w:t>Every four years.</w:t>
            </w:r>
          </w:p>
        </w:tc>
        <w:tc>
          <w:tcPr>
            <w:tcW w:w="3357" w:type="dxa"/>
            <w:tcBorders>
              <w:top w:val="single" w:sz="4" w:space="0" w:color="auto"/>
              <w:left w:val="single" w:sz="4" w:space="0" w:color="auto"/>
              <w:bottom w:val="single" w:sz="4" w:space="0" w:color="auto"/>
              <w:right w:val="single" w:sz="4" w:space="0" w:color="auto"/>
            </w:tcBorders>
            <w:hideMark/>
          </w:tcPr>
          <w:p w:rsidR="00EF7BF8" w:rsidRPr="00444F9D" w:rsidP="001C3EBF" w14:paraId="4E37A753" w14:textId="77777777">
            <w:pPr>
              <w:spacing w:line="276" w:lineRule="auto"/>
              <w:rPr>
                <w:rFonts w:cs="Arial"/>
                <w:sz w:val="20"/>
                <w:szCs w:val="20"/>
              </w:rPr>
            </w:pPr>
            <w:r w:rsidRPr="00444F9D">
              <w:rPr>
                <w:rFonts w:eastAsia="Arial Unicode MS" w:cs="Arial"/>
                <w:sz w:val="20"/>
                <w:szCs w:val="20"/>
              </w:rPr>
              <w:t>Data claimed as Confidential Business Information (CBI) are not available to the public. Non-CBI data downloads are available from EPA’s CDR website.</w:t>
            </w:r>
          </w:p>
        </w:tc>
      </w:tr>
      <w:tr w14:paraId="1ED6E049"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shd w:val="clear" w:color="auto" w:fill="CCCCCC"/>
            <w:hideMark/>
          </w:tcPr>
          <w:p w:rsidR="00EF7BF8" w:rsidRPr="00444F9D" w:rsidP="001C3EBF" w14:paraId="4FE1A72A" w14:textId="77777777">
            <w:pPr>
              <w:keepNext/>
              <w:spacing w:line="276" w:lineRule="auto"/>
              <w:rPr>
                <w:rFonts w:cs="Arial"/>
                <w:sz w:val="20"/>
                <w:szCs w:val="20"/>
              </w:rPr>
            </w:pPr>
            <w:r w:rsidRPr="00444F9D">
              <w:rPr>
                <w:rFonts w:cs="Arial"/>
                <w:b/>
                <w:bCs/>
                <w:sz w:val="20"/>
                <w:szCs w:val="20"/>
              </w:rPr>
              <w:t>POLLUTION PREVENTION DATA (S</w:t>
            </w:r>
            <w:r w:rsidRPr="00444F9D">
              <w:rPr>
                <w:rFonts w:cs="Arial"/>
                <w:b/>
                <w:bCs/>
                <w:sz w:val="20"/>
                <w:szCs w:val="20"/>
              </w:rPr>
              <w:t>ECTIONS 8.1-8.7; 8.10)</w:t>
            </w:r>
          </w:p>
        </w:tc>
      </w:tr>
      <w:tr w14:paraId="6F30BDE2"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hideMark/>
          </w:tcPr>
          <w:p w:rsidR="00EF7BF8" w:rsidRPr="00444F9D" w:rsidP="001C3EBF" w14:paraId="346704D2" w14:textId="77777777">
            <w:pPr>
              <w:keepNext/>
              <w:spacing w:line="276" w:lineRule="auto"/>
              <w:rPr>
                <w:rFonts w:cs="Arial"/>
                <w:sz w:val="20"/>
                <w:szCs w:val="20"/>
              </w:rPr>
            </w:pPr>
            <w:r w:rsidRPr="00444F9D">
              <w:rPr>
                <w:rFonts w:cs="Arial"/>
                <w:b/>
                <w:bCs/>
                <w:sz w:val="20"/>
                <w:szCs w:val="20"/>
              </w:rPr>
              <w:t>RCRA Biennial Reports (BR)</w:t>
            </w:r>
          </w:p>
        </w:tc>
      </w:tr>
      <w:tr w14:paraId="00CBA07B" w14:textId="77777777" w:rsidTr="00954605">
        <w:tblPrEx>
          <w:tblW w:w="13920" w:type="dxa"/>
          <w:jc w:val="center"/>
          <w:tblLayout w:type="fixed"/>
          <w:tblLook w:val="04A0"/>
        </w:tblPrEx>
        <w:trPr>
          <w:cantSplit/>
          <w:jc w:val="center"/>
        </w:trPr>
        <w:tc>
          <w:tcPr>
            <w:tcW w:w="4197" w:type="dxa"/>
            <w:tcBorders>
              <w:top w:val="single" w:sz="4" w:space="0" w:color="auto"/>
              <w:left w:val="single" w:sz="4" w:space="0" w:color="auto"/>
              <w:bottom w:val="single" w:sz="4" w:space="0" w:color="auto"/>
              <w:right w:val="single" w:sz="4" w:space="0" w:color="auto"/>
            </w:tcBorders>
            <w:hideMark/>
          </w:tcPr>
          <w:p w:rsidR="00EF7BF8" w:rsidRPr="00444F9D" w:rsidP="001C3EBF" w14:paraId="3BF17FE3" w14:textId="77777777">
            <w:pPr>
              <w:spacing w:line="276" w:lineRule="auto"/>
              <w:rPr>
                <w:rFonts w:cs="Arial"/>
                <w:sz w:val="20"/>
                <w:szCs w:val="20"/>
                <w:lang w:val="en"/>
              </w:rPr>
            </w:pPr>
            <w:r w:rsidRPr="00444F9D">
              <w:rPr>
                <w:rFonts w:cs="Arial"/>
                <w:sz w:val="20"/>
                <w:szCs w:val="20"/>
              </w:rPr>
              <w:t xml:space="preserve">Biennial Reports contain pollution prevention information on hazardous waste from large quantity generators and TSDFs. Data are collected primarily by states, and are collated by EPA. </w:t>
            </w:r>
            <w:r w:rsidRPr="00444F9D">
              <w:rPr>
                <w:rFonts w:cs="Arial"/>
                <w:spacing w:val="-2"/>
                <w:sz w:val="20"/>
                <w:szCs w:val="20"/>
              </w:rPr>
              <w:t>See above for more details.</w:t>
            </w:r>
          </w:p>
        </w:tc>
        <w:tc>
          <w:tcPr>
            <w:tcW w:w="2040" w:type="dxa"/>
            <w:tcBorders>
              <w:top w:val="single" w:sz="4" w:space="0" w:color="auto"/>
              <w:left w:val="single" w:sz="4" w:space="0" w:color="auto"/>
              <w:bottom w:val="single" w:sz="4" w:space="0" w:color="auto"/>
              <w:right w:val="single" w:sz="4" w:space="0" w:color="auto"/>
            </w:tcBorders>
            <w:hideMark/>
          </w:tcPr>
          <w:p w:rsidR="00EF7BF8" w:rsidRPr="00444F9D" w:rsidP="001C3EBF" w14:paraId="3AC3F9D0" w14:textId="77777777">
            <w:pPr>
              <w:spacing w:line="276" w:lineRule="auto"/>
              <w:rPr>
                <w:rFonts w:cs="Arial"/>
                <w:sz w:val="20"/>
                <w:szCs w:val="20"/>
              </w:rPr>
            </w:pPr>
            <w:r w:rsidRPr="00444F9D">
              <w:rPr>
                <w:rFonts w:cs="Arial"/>
                <w:sz w:val="20"/>
                <w:szCs w:val="20"/>
              </w:rPr>
              <w:t>See above.</w:t>
            </w:r>
          </w:p>
        </w:tc>
        <w:tc>
          <w:tcPr>
            <w:tcW w:w="2520" w:type="dxa"/>
            <w:tcBorders>
              <w:top w:val="single" w:sz="4" w:space="0" w:color="auto"/>
              <w:left w:val="single" w:sz="4" w:space="0" w:color="auto"/>
              <w:bottom w:val="single" w:sz="4" w:space="0" w:color="auto"/>
              <w:right w:val="single" w:sz="4" w:space="0" w:color="auto"/>
            </w:tcBorders>
            <w:hideMark/>
          </w:tcPr>
          <w:p w:rsidR="00EF7BF8" w:rsidRPr="00444F9D" w:rsidP="001C3EBF" w14:paraId="0B536BF2" w14:textId="77777777">
            <w:pPr>
              <w:spacing w:line="276" w:lineRule="auto"/>
              <w:rPr>
                <w:rFonts w:cs="Arial"/>
                <w:sz w:val="20"/>
                <w:szCs w:val="20"/>
              </w:rPr>
            </w:pPr>
            <w:r w:rsidRPr="00444F9D">
              <w:rPr>
                <w:rFonts w:cs="Arial"/>
                <w:sz w:val="20"/>
                <w:szCs w:val="20"/>
              </w:rPr>
              <w:t>See above.</w:t>
            </w:r>
          </w:p>
        </w:tc>
        <w:tc>
          <w:tcPr>
            <w:tcW w:w="1800" w:type="dxa"/>
            <w:tcBorders>
              <w:top w:val="single" w:sz="4" w:space="0" w:color="auto"/>
              <w:left w:val="single" w:sz="4" w:space="0" w:color="auto"/>
              <w:bottom w:val="single" w:sz="4" w:space="0" w:color="auto"/>
              <w:right w:val="single" w:sz="4" w:space="0" w:color="auto"/>
            </w:tcBorders>
            <w:hideMark/>
          </w:tcPr>
          <w:p w:rsidR="00EF7BF8" w:rsidRPr="00444F9D" w:rsidP="001C3EBF" w14:paraId="1A60CC0D" w14:textId="77777777">
            <w:pPr>
              <w:spacing w:line="276" w:lineRule="auto"/>
              <w:rPr>
                <w:rFonts w:cs="Arial"/>
                <w:sz w:val="20"/>
                <w:szCs w:val="20"/>
              </w:rPr>
            </w:pPr>
            <w:r w:rsidRPr="00444F9D">
              <w:rPr>
                <w:rFonts w:cs="Arial"/>
                <w:sz w:val="20"/>
                <w:szCs w:val="20"/>
              </w:rPr>
              <w:t>See above.</w:t>
            </w:r>
          </w:p>
        </w:tc>
        <w:tc>
          <w:tcPr>
            <w:tcW w:w="3357" w:type="dxa"/>
            <w:tcBorders>
              <w:top w:val="single" w:sz="4" w:space="0" w:color="auto"/>
              <w:left w:val="single" w:sz="4" w:space="0" w:color="auto"/>
              <w:bottom w:val="single" w:sz="4" w:space="0" w:color="auto"/>
              <w:right w:val="single" w:sz="4" w:space="0" w:color="auto"/>
            </w:tcBorders>
            <w:hideMark/>
          </w:tcPr>
          <w:p w:rsidR="00EF7BF8" w:rsidRPr="00444F9D" w:rsidP="001C3EBF" w14:paraId="0E80DDDA" w14:textId="77777777">
            <w:pPr>
              <w:spacing w:line="276" w:lineRule="auto"/>
              <w:rPr>
                <w:rFonts w:cs="Arial"/>
                <w:sz w:val="20"/>
                <w:szCs w:val="20"/>
              </w:rPr>
            </w:pPr>
            <w:r w:rsidRPr="00444F9D">
              <w:rPr>
                <w:rFonts w:cs="Arial"/>
                <w:sz w:val="20"/>
                <w:szCs w:val="20"/>
              </w:rPr>
              <w:t xml:space="preserve">See </w:t>
            </w:r>
            <w:r w:rsidRPr="00444F9D">
              <w:rPr>
                <w:rFonts w:cs="Arial"/>
                <w:sz w:val="20"/>
                <w:szCs w:val="20"/>
              </w:rPr>
              <w:t>above.</w:t>
            </w:r>
          </w:p>
        </w:tc>
      </w:tr>
      <w:tr w14:paraId="6B71796A"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hideMark/>
          </w:tcPr>
          <w:p w:rsidR="00EF7BF8" w:rsidRPr="00444F9D" w:rsidP="001C3EBF" w14:paraId="1ED84F93" w14:textId="77777777">
            <w:pPr>
              <w:spacing w:line="276" w:lineRule="auto"/>
              <w:rPr>
                <w:rFonts w:cs="Arial"/>
                <w:sz w:val="20"/>
                <w:szCs w:val="20"/>
              </w:rPr>
            </w:pPr>
            <w:r w:rsidRPr="00444F9D">
              <w:rPr>
                <w:rFonts w:cs="Arial"/>
                <w:b/>
                <w:sz w:val="20"/>
                <w:szCs w:val="20"/>
              </w:rPr>
              <w:t>State Environmental Agency Databases</w:t>
            </w:r>
          </w:p>
        </w:tc>
      </w:tr>
      <w:tr w14:paraId="2F7C0508" w14:textId="77777777" w:rsidTr="00954605">
        <w:tblPrEx>
          <w:tblW w:w="13920" w:type="dxa"/>
          <w:jc w:val="center"/>
          <w:tblLayout w:type="fixed"/>
          <w:tblLook w:val="04A0"/>
        </w:tblPrEx>
        <w:trPr>
          <w:cantSplit/>
          <w:jc w:val="center"/>
        </w:trPr>
        <w:tc>
          <w:tcPr>
            <w:tcW w:w="4197" w:type="dxa"/>
            <w:tcBorders>
              <w:top w:val="single" w:sz="4" w:space="0" w:color="auto"/>
              <w:left w:val="single" w:sz="4" w:space="0" w:color="auto"/>
              <w:bottom w:val="single" w:sz="4" w:space="0" w:color="auto"/>
              <w:right w:val="single" w:sz="4" w:space="0" w:color="auto"/>
            </w:tcBorders>
            <w:hideMark/>
          </w:tcPr>
          <w:p w:rsidR="00EF7BF8" w:rsidRPr="00444F9D" w:rsidP="001C3EBF" w14:paraId="7B4BD9FE" w14:textId="77777777">
            <w:pPr>
              <w:spacing w:line="276" w:lineRule="auto"/>
              <w:rPr>
                <w:rFonts w:cs="Arial"/>
                <w:sz w:val="20"/>
                <w:szCs w:val="20"/>
                <w:lang w:val="en"/>
              </w:rPr>
            </w:pPr>
            <w:r w:rsidRPr="00444F9D">
              <w:rPr>
                <w:rFonts w:cs="Arial"/>
                <w:sz w:val="20"/>
                <w:szCs w:val="20"/>
              </w:rPr>
              <w:t>At least fourteen states</w:t>
            </w:r>
            <w:r>
              <w:rPr>
                <w:rStyle w:val="FootnoteReference"/>
                <w:rFonts w:cs="Arial"/>
                <w:sz w:val="20"/>
                <w:szCs w:val="20"/>
              </w:rPr>
              <w:footnoteReference w:id="17"/>
            </w:r>
            <w:r w:rsidRPr="00444F9D">
              <w:rPr>
                <w:rFonts w:cs="Arial"/>
                <w:sz w:val="20"/>
                <w:szCs w:val="20"/>
              </w:rPr>
              <w:t xml:space="preserve"> implement mandatory pollution prevention programs.  Pollution prevention data collected under these programs varies by state, and may include both data similar to that collected by TRI (e.g., quantities of waste managed, source reduction activities, etc.)</w:t>
            </w:r>
            <w:r w:rsidRPr="00444F9D">
              <w:rPr>
                <w:rFonts w:cs="Arial"/>
                <w:sz w:val="20"/>
                <w:szCs w:val="20"/>
              </w:rPr>
              <w:t xml:space="preserve"> and details not found in TRI (e.g., pollution prevention plans, costs associated with waste management, etc.). </w:t>
            </w:r>
          </w:p>
        </w:tc>
        <w:tc>
          <w:tcPr>
            <w:tcW w:w="2040" w:type="dxa"/>
            <w:tcBorders>
              <w:top w:val="single" w:sz="4" w:space="0" w:color="auto"/>
              <w:left w:val="single" w:sz="4" w:space="0" w:color="auto"/>
              <w:bottom w:val="single" w:sz="4" w:space="0" w:color="auto"/>
              <w:right w:val="single" w:sz="4" w:space="0" w:color="auto"/>
            </w:tcBorders>
            <w:hideMark/>
          </w:tcPr>
          <w:p w:rsidR="00EF7BF8" w:rsidRPr="00444F9D" w:rsidP="001C3EBF" w14:paraId="27F6DEE2" w14:textId="77777777">
            <w:pPr>
              <w:spacing w:line="276" w:lineRule="auto"/>
              <w:rPr>
                <w:rFonts w:cs="Arial"/>
                <w:sz w:val="20"/>
                <w:szCs w:val="20"/>
              </w:rPr>
            </w:pPr>
            <w:r w:rsidRPr="00444F9D">
              <w:rPr>
                <w:rFonts w:cs="Arial"/>
                <w:sz w:val="20"/>
                <w:szCs w:val="20"/>
              </w:rPr>
              <w:t>Varies.</w:t>
            </w:r>
          </w:p>
        </w:tc>
        <w:tc>
          <w:tcPr>
            <w:tcW w:w="2520" w:type="dxa"/>
            <w:tcBorders>
              <w:top w:val="single" w:sz="4" w:space="0" w:color="auto"/>
              <w:left w:val="single" w:sz="4" w:space="0" w:color="auto"/>
              <w:bottom w:val="single" w:sz="4" w:space="0" w:color="auto"/>
              <w:right w:val="single" w:sz="4" w:space="0" w:color="auto"/>
            </w:tcBorders>
            <w:hideMark/>
          </w:tcPr>
          <w:p w:rsidR="00EF7BF8" w:rsidRPr="00444F9D" w:rsidP="001C3EBF" w14:paraId="44D15673" w14:textId="77777777">
            <w:pPr>
              <w:spacing w:line="276" w:lineRule="auto"/>
              <w:rPr>
                <w:rFonts w:cs="Arial"/>
                <w:sz w:val="20"/>
                <w:szCs w:val="20"/>
              </w:rPr>
            </w:pPr>
            <w:r w:rsidRPr="00444F9D">
              <w:rPr>
                <w:rFonts w:cs="Arial"/>
                <w:sz w:val="20"/>
                <w:szCs w:val="20"/>
              </w:rPr>
              <w:t>Varies. May include TRI filers, facilities that use toxic chemicals, and generators of hazardous waste.</w:t>
            </w:r>
          </w:p>
        </w:tc>
        <w:tc>
          <w:tcPr>
            <w:tcW w:w="1800" w:type="dxa"/>
            <w:tcBorders>
              <w:top w:val="single" w:sz="4" w:space="0" w:color="auto"/>
              <w:left w:val="single" w:sz="4" w:space="0" w:color="auto"/>
              <w:bottom w:val="single" w:sz="4" w:space="0" w:color="auto"/>
              <w:right w:val="single" w:sz="4" w:space="0" w:color="auto"/>
            </w:tcBorders>
            <w:hideMark/>
          </w:tcPr>
          <w:p w:rsidR="00EF7BF8" w:rsidRPr="00444F9D" w:rsidP="001C3EBF" w14:paraId="2DEE4528" w14:textId="77777777">
            <w:pPr>
              <w:spacing w:line="276" w:lineRule="auto"/>
              <w:rPr>
                <w:rFonts w:cs="Arial"/>
                <w:sz w:val="20"/>
                <w:szCs w:val="20"/>
              </w:rPr>
            </w:pPr>
            <w:r w:rsidRPr="00444F9D">
              <w:rPr>
                <w:rFonts w:cs="Arial"/>
                <w:sz w:val="20"/>
                <w:szCs w:val="20"/>
              </w:rPr>
              <w:t>Varies.</w:t>
            </w:r>
          </w:p>
        </w:tc>
        <w:tc>
          <w:tcPr>
            <w:tcW w:w="3357" w:type="dxa"/>
            <w:tcBorders>
              <w:top w:val="single" w:sz="4" w:space="0" w:color="auto"/>
              <w:left w:val="single" w:sz="4" w:space="0" w:color="auto"/>
              <w:bottom w:val="single" w:sz="4" w:space="0" w:color="auto"/>
              <w:right w:val="single" w:sz="4" w:space="0" w:color="auto"/>
            </w:tcBorders>
            <w:hideMark/>
          </w:tcPr>
          <w:p w:rsidR="00EF7BF8" w:rsidRPr="00444F9D" w:rsidP="001C3EBF" w14:paraId="28DFDF08" w14:textId="77777777">
            <w:pPr>
              <w:spacing w:line="276" w:lineRule="auto"/>
              <w:rPr>
                <w:rFonts w:cs="Arial"/>
                <w:sz w:val="20"/>
                <w:szCs w:val="20"/>
              </w:rPr>
            </w:pPr>
            <w:r w:rsidRPr="00444F9D">
              <w:rPr>
                <w:rFonts w:cs="Arial"/>
                <w:sz w:val="20"/>
                <w:szCs w:val="20"/>
              </w:rPr>
              <w:t xml:space="preserve">There is no </w:t>
            </w:r>
            <w:r w:rsidRPr="00444F9D">
              <w:rPr>
                <w:rFonts w:cs="Arial"/>
                <w:sz w:val="20"/>
                <w:szCs w:val="20"/>
              </w:rPr>
              <w:t>central source for state collected pollution prevention data. Accessibility varies by state.</w:t>
            </w:r>
          </w:p>
        </w:tc>
      </w:tr>
      <w:tr w14:paraId="1708C67A"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shd w:val="clear" w:color="auto" w:fill="CCCCCC"/>
            <w:hideMark/>
          </w:tcPr>
          <w:p w:rsidR="00EF7BF8" w:rsidRPr="00444F9D" w:rsidP="001C3EBF" w14:paraId="43D9D68D" w14:textId="77777777">
            <w:pPr>
              <w:keepNext/>
              <w:spacing w:line="276" w:lineRule="auto"/>
              <w:rPr>
                <w:rFonts w:cs="Arial"/>
                <w:sz w:val="20"/>
                <w:szCs w:val="20"/>
              </w:rPr>
            </w:pPr>
            <w:r w:rsidRPr="00444F9D">
              <w:rPr>
                <w:rFonts w:cs="Arial"/>
                <w:b/>
                <w:bCs/>
                <w:sz w:val="20"/>
                <w:szCs w:val="20"/>
              </w:rPr>
              <w:t>EMERGENCY RELEASE DATA (SECTION 8.8)</w:t>
            </w:r>
          </w:p>
        </w:tc>
      </w:tr>
      <w:tr w14:paraId="5A7AB4DD"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hideMark/>
          </w:tcPr>
          <w:p w:rsidR="00EF7BF8" w:rsidRPr="00444F9D" w:rsidP="001C3EBF" w14:paraId="46B2F556" w14:textId="77777777">
            <w:pPr>
              <w:keepNext/>
              <w:spacing w:line="276" w:lineRule="auto"/>
              <w:rPr>
                <w:rFonts w:cs="Arial"/>
                <w:sz w:val="20"/>
                <w:szCs w:val="20"/>
              </w:rPr>
            </w:pPr>
            <w:r w:rsidRPr="00444F9D">
              <w:rPr>
                <w:rFonts w:cs="Arial"/>
                <w:b/>
                <w:bCs/>
                <w:sz w:val="20"/>
                <w:szCs w:val="20"/>
              </w:rPr>
              <w:t>National Response Center (NRC)</w:t>
            </w:r>
          </w:p>
        </w:tc>
      </w:tr>
      <w:tr w14:paraId="16315560" w14:textId="77777777" w:rsidTr="00954605">
        <w:tblPrEx>
          <w:tblW w:w="13920" w:type="dxa"/>
          <w:jc w:val="center"/>
          <w:tblLayout w:type="fixed"/>
          <w:tblLook w:val="04A0"/>
        </w:tblPrEx>
        <w:trPr>
          <w:cantSplit/>
          <w:jc w:val="center"/>
        </w:trPr>
        <w:tc>
          <w:tcPr>
            <w:tcW w:w="4197" w:type="dxa"/>
            <w:tcBorders>
              <w:top w:val="single" w:sz="4" w:space="0" w:color="auto"/>
              <w:left w:val="single" w:sz="4" w:space="0" w:color="auto"/>
              <w:bottom w:val="single" w:sz="4" w:space="0" w:color="auto"/>
              <w:right w:val="single" w:sz="4" w:space="0" w:color="auto"/>
            </w:tcBorders>
            <w:hideMark/>
          </w:tcPr>
          <w:p w:rsidR="00EF7BF8" w:rsidRPr="00444F9D" w:rsidP="001C3EBF" w14:paraId="30796D36" w14:textId="77777777">
            <w:pPr>
              <w:spacing w:line="276" w:lineRule="auto"/>
              <w:rPr>
                <w:rFonts w:cs="Arial"/>
                <w:sz w:val="20"/>
                <w:szCs w:val="20"/>
                <w:lang w:val="en"/>
              </w:rPr>
            </w:pPr>
            <w:r w:rsidRPr="00444F9D">
              <w:rPr>
                <w:rFonts w:cs="Arial"/>
                <w:sz w:val="20"/>
                <w:szCs w:val="20"/>
              </w:rPr>
              <w:t xml:space="preserve">NRC collects real-time information about virtually all oil and chemical spills </w:t>
            </w:r>
            <w:r w:rsidRPr="00444F9D">
              <w:rPr>
                <w:rFonts w:cs="Arial"/>
                <w:sz w:val="20"/>
                <w:szCs w:val="20"/>
              </w:rPr>
              <w:t>throughout the United States to identify spills for which to coordinate emergency response.</w:t>
            </w:r>
          </w:p>
        </w:tc>
        <w:tc>
          <w:tcPr>
            <w:tcW w:w="2040" w:type="dxa"/>
            <w:tcBorders>
              <w:top w:val="single" w:sz="4" w:space="0" w:color="auto"/>
              <w:left w:val="single" w:sz="4" w:space="0" w:color="auto"/>
              <w:bottom w:val="single" w:sz="4" w:space="0" w:color="auto"/>
              <w:right w:val="single" w:sz="4" w:space="0" w:color="auto"/>
            </w:tcBorders>
            <w:hideMark/>
          </w:tcPr>
          <w:p w:rsidR="00EF7BF8" w:rsidRPr="00444F9D" w:rsidP="001C3EBF" w14:paraId="3D5F6BD0" w14:textId="77777777">
            <w:pPr>
              <w:spacing w:line="276" w:lineRule="auto"/>
              <w:rPr>
                <w:rFonts w:cs="Arial"/>
                <w:sz w:val="20"/>
                <w:szCs w:val="20"/>
              </w:rPr>
            </w:pPr>
            <w:r w:rsidRPr="00444F9D">
              <w:rPr>
                <w:rFonts w:cs="Arial"/>
                <w:sz w:val="20"/>
                <w:szCs w:val="20"/>
              </w:rPr>
              <w:t>Oils and chemicals.</w:t>
            </w:r>
          </w:p>
        </w:tc>
        <w:tc>
          <w:tcPr>
            <w:tcW w:w="2520" w:type="dxa"/>
            <w:tcBorders>
              <w:top w:val="single" w:sz="4" w:space="0" w:color="auto"/>
              <w:left w:val="single" w:sz="4" w:space="0" w:color="auto"/>
              <w:bottom w:val="single" w:sz="4" w:space="0" w:color="auto"/>
              <w:right w:val="single" w:sz="4" w:space="0" w:color="auto"/>
            </w:tcBorders>
            <w:hideMark/>
          </w:tcPr>
          <w:p w:rsidR="00EF7BF8" w:rsidRPr="00444F9D" w:rsidP="001C3EBF" w14:paraId="10B7D113" w14:textId="77777777">
            <w:pPr>
              <w:spacing w:line="276" w:lineRule="auto"/>
              <w:rPr>
                <w:rFonts w:cs="Arial"/>
                <w:sz w:val="20"/>
                <w:szCs w:val="20"/>
              </w:rPr>
            </w:pPr>
            <w:r w:rsidRPr="00444F9D">
              <w:rPr>
                <w:rFonts w:cs="Arial"/>
                <w:sz w:val="20"/>
                <w:szCs w:val="20"/>
              </w:rPr>
              <w:t>No source exemptions.</w:t>
            </w:r>
          </w:p>
        </w:tc>
        <w:tc>
          <w:tcPr>
            <w:tcW w:w="1800" w:type="dxa"/>
            <w:tcBorders>
              <w:top w:val="single" w:sz="4" w:space="0" w:color="auto"/>
              <w:left w:val="single" w:sz="4" w:space="0" w:color="auto"/>
              <w:bottom w:val="single" w:sz="4" w:space="0" w:color="auto"/>
              <w:right w:val="single" w:sz="4" w:space="0" w:color="auto"/>
            </w:tcBorders>
            <w:hideMark/>
          </w:tcPr>
          <w:p w:rsidR="00EF7BF8" w:rsidRPr="00444F9D" w:rsidP="001C3EBF" w14:paraId="76DC7674" w14:textId="77777777">
            <w:pPr>
              <w:spacing w:line="276" w:lineRule="auto"/>
              <w:rPr>
                <w:rFonts w:cs="Arial"/>
                <w:sz w:val="20"/>
                <w:szCs w:val="20"/>
              </w:rPr>
            </w:pPr>
            <w:r w:rsidRPr="00444F9D">
              <w:rPr>
                <w:rFonts w:cs="Arial"/>
                <w:sz w:val="20"/>
                <w:szCs w:val="20"/>
              </w:rPr>
              <w:t>Real-time.</w:t>
            </w:r>
          </w:p>
        </w:tc>
        <w:tc>
          <w:tcPr>
            <w:tcW w:w="3357" w:type="dxa"/>
            <w:tcBorders>
              <w:top w:val="single" w:sz="4" w:space="0" w:color="auto"/>
              <w:left w:val="single" w:sz="4" w:space="0" w:color="auto"/>
              <w:bottom w:val="single" w:sz="4" w:space="0" w:color="auto"/>
              <w:right w:val="single" w:sz="4" w:space="0" w:color="auto"/>
            </w:tcBorders>
            <w:hideMark/>
          </w:tcPr>
          <w:p w:rsidR="00EF7BF8" w:rsidRPr="00444F9D" w:rsidP="001C3EBF" w14:paraId="02B934F5" w14:textId="77777777">
            <w:pPr>
              <w:spacing w:line="276" w:lineRule="auto"/>
              <w:rPr>
                <w:rFonts w:cs="Arial"/>
                <w:sz w:val="20"/>
                <w:szCs w:val="20"/>
              </w:rPr>
            </w:pPr>
            <w:r w:rsidRPr="00444F9D">
              <w:rPr>
                <w:rFonts w:cs="Arial"/>
                <w:sz w:val="20"/>
                <w:szCs w:val="20"/>
              </w:rPr>
              <w:t xml:space="preserve">Historical information about spills can be retrieved through the NRC online query system:  </w:t>
            </w:r>
            <w:r w:rsidRPr="00444F9D">
              <w:rPr>
                <w:rFonts w:cs="Arial"/>
                <w:sz w:val="20"/>
                <w:szCs w:val="20"/>
              </w:rPr>
              <w:t>www.nrc.uscg.mil/foia.html.</w:t>
            </w:r>
          </w:p>
        </w:tc>
      </w:tr>
      <w:tr w14:paraId="3F8F1F64"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hideMark/>
          </w:tcPr>
          <w:p w:rsidR="00EF7BF8" w:rsidRPr="00444F9D" w:rsidP="001C3EBF" w14:paraId="7DA50A75" w14:textId="77777777">
            <w:pPr>
              <w:keepNext/>
              <w:spacing w:line="276" w:lineRule="auto"/>
              <w:rPr>
                <w:rFonts w:cs="Arial"/>
                <w:sz w:val="20"/>
                <w:szCs w:val="20"/>
              </w:rPr>
            </w:pPr>
            <w:r w:rsidRPr="00444F9D">
              <w:rPr>
                <w:rFonts w:cs="Arial"/>
                <w:b/>
                <w:sz w:val="20"/>
                <w:szCs w:val="20"/>
              </w:rPr>
              <w:t>Risk Management Plan (RMP)</w:t>
            </w:r>
          </w:p>
        </w:tc>
      </w:tr>
      <w:tr w14:paraId="0CE58D02" w14:textId="77777777" w:rsidTr="00954605">
        <w:tblPrEx>
          <w:tblW w:w="13920" w:type="dxa"/>
          <w:jc w:val="center"/>
          <w:tblLayout w:type="fixed"/>
          <w:tblLook w:val="04A0"/>
        </w:tblPrEx>
        <w:trPr>
          <w:cantSplit/>
          <w:jc w:val="center"/>
        </w:trPr>
        <w:tc>
          <w:tcPr>
            <w:tcW w:w="4197" w:type="dxa"/>
            <w:tcBorders>
              <w:top w:val="single" w:sz="4" w:space="0" w:color="auto"/>
              <w:left w:val="single" w:sz="4" w:space="0" w:color="auto"/>
              <w:bottom w:val="single" w:sz="4" w:space="0" w:color="auto"/>
              <w:right w:val="single" w:sz="4" w:space="0" w:color="auto"/>
            </w:tcBorders>
            <w:hideMark/>
          </w:tcPr>
          <w:p w:rsidR="00EF7BF8" w:rsidRPr="00444F9D" w:rsidP="001C3EBF" w14:paraId="70B426F4" w14:textId="77777777">
            <w:pPr>
              <w:spacing w:line="276" w:lineRule="auto"/>
              <w:rPr>
                <w:rFonts w:cs="Arial"/>
                <w:sz w:val="20"/>
                <w:szCs w:val="20"/>
              </w:rPr>
            </w:pPr>
            <w:r w:rsidRPr="00444F9D">
              <w:rPr>
                <w:rFonts w:cs="Arial"/>
                <w:sz w:val="20"/>
                <w:szCs w:val="20"/>
              </w:rPr>
              <w:t>RMP contains a five-year accident history for each facility with details on releases of regulated substances from covered processes with 1) on-site deaths, injuries, or significant property damage; o</w:t>
            </w:r>
            <w:r w:rsidRPr="00444F9D">
              <w:rPr>
                <w:rFonts w:cs="Arial"/>
                <w:sz w:val="20"/>
                <w:szCs w:val="20"/>
              </w:rPr>
              <w:t xml:space="preserve">r 2) known off-site deaths, injuries, property damage, environmental damage, evacuations, or sheltering in place.  </w:t>
            </w:r>
            <w:r w:rsidRPr="00444F9D">
              <w:rPr>
                <w:rFonts w:cs="Arial"/>
                <w:spacing w:val="-2"/>
                <w:sz w:val="20"/>
                <w:szCs w:val="20"/>
              </w:rPr>
              <w:t>See above for more details.</w:t>
            </w:r>
          </w:p>
        </w:tc>
        <w:tc>
          <w:tcPr>
            <w:tcW w:w="2040" w:type="dxa"/>
            <w:tcBorders>
              <w:top w:val="single" w:sz="4" w:space="0" w:color="auto"/>
              <w:left w:val="single" w:sz="4" w:space="0" w:color="auto"/>
              <w:bottom w:val="single" w:sz="4" w:space="0" w:color="auto"/>
              <w:right w:val="single" w:sz="4" w:space="0" w:color="auto"/>
            </w:tcBorders>
            <w:hideMark/>
          </w:tcPr>
          <w:p w:rsidR="00EF7BF8" w:rsidRPr="00444F9D" w:rsidP="001C3EBF" w14:paraId="4A47407F" w14:textId="77777777">
            <w:pPr>
              <w:spacing w:line="276" w:lineRule="auto"/>
              <w:rPr>
                <w:rFonts w:cs="Arial"/>
                <w:sz w:val="20"/>
                <w:szCs w:val="20"/>
              </w:rPr>
            </w:pPr>
            <w:r w:rsidRPr="00444F9D">
              <w:rPr>
                <w:rFonts w:cs="Arial"/>
                <w:sz w:val="20"/>
                <w:szCs w:val="20"/>
              </w:rPr>
              <w:t>See above.</w:t>
            </w:r>
          </w:p>
        </w:tc>
        <w:tc>
          <w:tcPr>
            <w:tcW w:w="2520" w:type="dxa"/>
            <w:tcBorders>
              <w:top w:val="single" w:sz="4" w:space="0" w:color="auto"/>
              <w:left w:val="single" w:sz="4" w:space="0" w:color="auto"/>
              <w:bottom w:val="single" w:sz="4" w:space="0" w:color="auto"/>
              <w:right w:val="single" w:sz="4" w:space="0" w:color="auto"/>
            </w:tcBorders>
            <w:hideMark/>
          </w:tcPr>
          <w:p w:rsidR="00EF7BF8" w:rsidRPr="00444F9D" w:rsidP="001C3EBF" w14:paraId="2A822AAB" w14:textId="77777777">
            <w:pPr>
              <w:spacing w:line="276" w:lineRule="auto"/>
              <w:rPr>
                <w:rFonts w:cs="Arial"/>
                <w:sz w:val="20"/>
                <w:szCs w:val="20"/>
              </w:rPr>
            </w:pPr>
            <w:r w:rsidRPr="00444F9D">
              <w:rPr>
                <w:rFonts w:cs="Arial"/>
                <w:sz w:val="20"/>
                <w:szCs w:val="20"/>
              </w:rPr>
              <w:t>See above.</w:t>
            </w:r>
          </w:p>
        </w:tc>
        <w:tc>
          <w:tcPr>
            <w:tcW w:w="1800" w:type="dxa"/>
            <w:tcBorders>
              <w:top w:val="single" w:sz="4" w:space="0" w:color="auto"/>
              <w:left w:val="single" w:sz="4" w:space="0" w:color="auto"/>
              <w:bottom w:val="single" w:sz="4" w:space="0" w:color="auto"/>
              <w:right w:val="single" w:sz="4" w:space="0" w:color="auto"/>
            </w:tcBorders>
            <w:hideMark/>
          </w:tcPr>
          <w:p w:rsidR="00EF7BF8" w:rsidRPr="00444F9D" w:rsidP="001C3EBF" w14:paraId="5EABB67D" w14:textId="77777777">
            <w:pPr>
              <w:spacing w:line="276" w:lineRule="auto"/>
              <w:rPr>
                <w:rFonts w:cs="Arial"/>
                <w:sz w:val="20"/>
                <w:szCs w:val="20"/>
              </w:rPr>
            </w:pPr>
            <w:r w:rsidRPr="00444F9D">
              <w:rPr>
                <w:rFonts w:cs="Arial"/>
                <w:sz w:val="20"/>
                <w:szCs w:val="20"/>
              </w:rPr>
              <w:t>See above.</w:t>
            </w:r>
          </w:p>
        </w:tc>
        <w:tc>
          <w:tcPr>
            <w:tcW w:w="3357" w:type="dxa"/>
            <w:tcBorders>
              <w:top w:val="single" w:sz="4" w:space="0" w:color="auto"/>
              <w:left w:val="single" w:sz="4" w:space="0" w:color="auto"/>
              <w:bottom w:val="single" w:sz="4" w:space="0" w:color="auto"/>
              <w:right w:val="single" w:sz="4" w:space="0" w:color="auto"/>
            </w:tcBorders>
            <w:hideMark/>
          </w:tcPr>
          <w:p w:rsidR="00EF7BF8" w:rsidRPr="00444F9D" w:rsidP="001C3EBF" w14:paraId="7C84C77A" w14:textId="77777777">
            <w:pPr>
              <w:spacing w:line="276" w:lineRule="auto"/>
              <w:rPr>
                <w:rFonts w:cs="Arial"/>
                <w:sz w:val="20"/>
                <w:szCs w:val="20"/>
              </w:rPr>
            </w:pPr>
            <w:r w:rsidRPr="00444F9D">
              <w:rPr>
                <w:rFonts w:cs="Arial"/>
                <w:sz w:val="20"/>
                <w:szCs w:val="20"/>
              </w:rPr>
              <w:t>See above.</w:t>
            </w:r>
          </w:p>
        </w:tc>
      </w:tr>
      <w:tr w14:paraId="290B5299" w14:textId="77777777" w:rsidTr="00954605">
        <w:tblPrEx>
          <w:tblW w:w="13920" w:type="dxa"/>
          <w:jc w:val="center"/>
          <w:tblLayout w:type="fixed"/>
          <w:tblLook w:val="04A0"/>
        </w:tblPrEx>
        <w:trPr>
          <w:cantSplit/>
          <w:jc w:val="center"/>
        </w:trPr>
        <w:tc>
          <w:tcPr>
            <w:tcW w:w="13914" w:type="dxa"/>
            <w:gridSpan w:val="5"/>
            <w:tcBorders>
              <w:top w:val="single" w:sz="4" w:space="0" w:color="auto"/>
              <w:left w:val="single" w:sz="4" w:space="0" w:color="auto"/>
              <w:bottom w:val="single" w:sz="4" w:space="0" w:color="auto"/>
              <w:right w:val="single" w:sz="4" w:space="0" w:color="auto"/>
            </w:tcBorders>
            <w:shd w:val="clear" w:color="auto" w:fill="CCCCCC"/>
            <w:hideMark/>
          </w:tcPr>
          <w:p w:rsidR="00EF7BF8" w:rsidRPr="00444F9D" w:rsidP="001C3EBF" w14:paraId="5D5F389A" w14:textId="77777777">
            <w:pPr>
              <w:keepNext/>
              <w:spacing w:line="276" w:lineRule="auto"/>
              <w:rPr>
                <w:rFonts w:cs="Arial"/>
                <w:b/>
                <w:sz w:val="20"/>
                <w:szCs w:val="20"/>
              </w:rPr>
            </w:pPr>
            <w:r w:rsidRPr="00444F9D">
              <w:rPr>
                <w:rFonts w:cs="Arial"/>
                <w:b/>
                <w:sz w:val="20"/>
                <w:szCs w:val="20"/>
              </w:rPr>
              <w:t>STATE RIGHT-TO-KNOW PROGRAMS</w:t>
            </w:r>
          </w:p>
        </w:tc>
      </w:tr>
      <w:tr w14:paraId="7AE98349" w14:textId="77777777" w:rsidTr="00954605">
        <w:tblPrEx>
          <w:tblW w:w="13920" w:type="dxa"/>
          <w:jc w:val="center"/>
          <w:tblLayout w:type="fixed"/>
          <w:tblLook w:val="04A0"/>
        </w:tblPrEx>
        <w:trPr>
          <w:cantSplit/>
          <w:jc w:val="center"/>
        </w:trPr>
        <w:tc>
          <w:tcPr>
            <w:tcW w:w="4197" w:type="dxa"/>
            <w:tcBorders>
              <w:top w:val="single" w:sz="4" w:space="0" w:color="auto"/>
              <w:left w:val="single" w:sz="4" w:space="0" w:color="auto"/>
              <w:bottom w:val="single" w:sz="4" w:space="0" w:color="auto"/>
              <w:right w:val="single" w:sz="4" w:space="0" w:color="auto"/>
            </w:tcBorders>
            <w:hideMark/>
          </w:tcPr>
          <w:p w:rsidR="00EF7BF8" w:rsidRPr="00444F9D" w:rsidP="001C3EBF" w14:paraId="326C8B94" w14:textId="77777777">
            <w:pPr>
              <w:spacing w:line="276" w:lineRule="auto"/>
              <w:rPr>
                <w:rFonts w:cs="Arial"/>
                <w:sz w:val="20"/>
                <w:szCs w:val="20"/>
              </w:rPr>
            </w:pPr>
            <w:r w:rsidRPr="00444F9D">
              <w:rPr>
                <w:rFonts w:cs="Arial"/>
                <w:sz w:val="20"/>
                <w:szCs w:val="20"/>
              </w:rPr>
              <w:t xml:space="preserve">Several states require expanded state TRI reporting to include industries or facilities not covered by TRI or </w:t>
            </w:r>
            <w:r w:rsidRPr="00444F9D">
              <w:rPr>
                <w:rFonts w:cs="Arial"/>
                <w:spacing w:val="-2"/>
                <w:sz w:val="20"/>
                <w:szCs w:val="20"/>
              </w:rPr>
              <w:t>to report information beyond that required by the</w:t>
            </w:r>
            <w:r w:rsidRPr="00444F9D">
              <w:rPr>
                <w:rFonts w:cs="Arial"/>
                <w:sz w:val="20"/>
                <w:szCs w:val="20"/>
              </w:rPr>
              <w:t xml:space="preserve"> federal TRI Program (e.g., Arizona, Massachusetts, and Wisconsin).</w:t>
            </w:r>
          </w:p>
        </w:tc>
        <w:tc>
          <w:tcPr>
            <w:tcW w:w="2040" w:type="dxa"/>
            <w:tcBorders>
              <w:top w:val="single" w:sz="4" w:space="0" w:color="auto"/>
              <w:left w:val="single" w:sz="4" w:space="0" w:color="auto"/>
              <w:bottom w:val="single" w:sz="4" w:space="0" w:color="auto"/>
              <w:right w:val="single" w:sz="4" w:space="0" w:color="auto"/>
            </w:tcBorders>
            <w:hideMark/>
          </w:tcPr>
          <w:p w:rsidR="00EF7BF8" w:rsidRPr="00444F9D" w:rsidP="001C3EBF" w14:paraId="093377FF" w14:textId="77777777">
            <w:pPr>
              <w:spacing w:line="276" w:lineRule="auto"/>
              <w:rPr>
                <w:rFonts w:cs="Arial"/>
                <w:sz w:val="20"/>
                <w:szCs w:val="20"/>
              </w:rPr>
            </w:pPr>
            <w:r w:rsidRPr="00444F9D">
              <w:rPr>
                <w:rFonts w:cs="Arial"/>
                <w:sz w:val="20"/>
                <w:szCs w:val="20"/>
              </w:rPr>
              <w:t>Varies. Often identical to TR</w:t>
            </w:r>
            <w:r w:rsidRPr="00444F9D">
              <w:rPr>
                <w:rFonts w:cs="Arial"/>
                <w:sz w:val="20"/>
                <w:szCs w:val="20"/>
              </w:rPr>
              <w:t>I.</w:t>
            </w:r>
          </w:p>
        </w:tc>
        <w:tc>
          <w:tcPr>
            <w:tcW w:w="2520" w:type="dxa"/>
            <w:tcBorders>
              <w:top w:val="single" w:sz="4" w:space="0" w:color="auto"/>
              <w:left w:val="single" w:sz="4" w:space="0" w:color="auto"/>
              <w:bottom w:val="single" w:sz="4" w:space="0" w:color="auto"/>
              <w:right w:val="single" w:sz="4" w:space="0" w:color="auto"/>
            </w:tcBorders>
            <w:hideMark/>
          </w:tcPr>
          <w:p w:rsidR="00EF7BF8" w:rsidRPr="00444F9D" w:rsidP="001C3EBF" w14:paraId="168F3334" w14:textId="77777777">
            <w:pPr>
              <w:spacing w:line="276" w:lineRule="auto"/>
              <w:rPr>
                <w:rFonts w:cs="Arial"/>
                <w:sz w:val="20"/>
                <w:szCs w:val="20"/>
              </w:rPr>
            </w:pPr>
            <w:r w:rsidRPr="00444F9D">
              <w:rPr>
                <w:rFonts w:cs="Arial"/>
                <w:sz w:val="20"/>
                <w:szCs w:val="20"/>
              </w:rPr>
              <w:t>Varies. May include more industries than TRI.</w:t>
            </w:r>
          </w:p>
        </w:tc>
        <w:tc>
          <w:tcPr>
            <w:tcW w:w="1800" w:type="dxa"/>
            <w:tcBorders>
              <w:top w:val="single" w:sz="4" w:space="0" w:color="auto"/>
              <w:left w:val="single" w:sz="4" w:space="0" w:color="auto"/>
              <w:bottom w:val="single" w:sz="4" w:space="0" w:color="auto"/>
              <w:right w:val="single" w:sz="4" w:space="0" w:color="auto"/>
            </w:tcBorders>
            <w:hideMark/>
          </w:tcPr>
          <w:p w:rsidR="00EF7BF8" w:rsidRPr="00444F9D" w:rsidP="001C3EBF" w14:paraId="0EAC02E6" w14:textId="77777777">
            <w:pPr>
              <w:spacing w:line="276" w:lineRule="auto"/>
              <w:rPr>
                <w:rFonts w:cs="Arial"/>
                <w:sz w:val="20"/>
                <w:szCs w:val="20"/>
              </w:rPr>
            </w:pPr>
            <w:r w:rsidRPr="00444F9D">
              <w:rPr>
                <w:rFonts w:cs="Arial"/>
                <w:sz w:val="20"/>
                <w:szCs w:val="20"/>
              </w:rPr>
              <w:t>Annual.</w:t>
            </w:r>
          </w:p>
        </w:tc>
        <w:tc>
          <w:tcPr>
            <w:tcW w:w="3357" w:type="dxa"/>
            <w:tcBorders>
              <w:top w:val="single" w:sz="4" w:space="0" w:color="auto"/>
              <w:left w:val="single" w:sz="4" w:space="0" w:color="auto"/>
              <w:bottom w:val="single" w:sz="4" w:space="0" w:color="auto"/>
              <w:right w:val="single" w:sz="4" w:space="0" w:color="auto"/>
            </w:tcBorders>
            <w:hideMark/>
          </w:tcPr>
          <w:p w:rsidR="00EF7BF8" w:rsidRPr="00444F9D" w:rsidP="001C3EBF" w14:paraId="77F7DD16" w14:textId="77777777">
            <w:pPr>
              <w:spacing w:line="276" w:lineRule="auto"/>
              <w:rPr>
                <w:rFonts w:cs="Arial"/>
                <w:sz w:val="20"/>
                <w:szCs w:val="20"/>
              </w:rPr>
            </w:pPr>
            <w:r w:rsidRPr="00444F9D">
              <w:rPr>
                <w:rFonts w:cs="Arial"/>
                <w:sz w:val="20"/>
                <w:szCs w:val="20"/>
              </w:rPr>
              <w:t>There is no central source for state collected data. Accessibility varies by state.</w:t>
            </w:r>
          </w:p>
        </w:tc>
      </w:tr>
    </w:tbl>
    <w:p w:rsidR="00D13067" w:rsidRPr="008E61A7" w:rsidP="001C3EBF" w14:paraId="6B5E6FBE" w14:textId="77777777"/>
    <w:sectPr w:rsidSect="00444F9D">
      <w:headerReference w:type="even" r:id="rId21"/>
      <w:headerReference w:type="default" r:id="rId22"/>
      <w:footerReference w:type="default" r:id="rId23"/>
      <w:headerReference w:type="first" r:id="rId24"/>
      <w:pgSz w:w="15840" w:h="12240" w:orient="landscape" w:code="1"/>
      <w:pgMar w:top="1584" w:right="1685" w:bottom="1138" w:left="1440" w:header="1426"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D61" w14:paraId="0F4FFB4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71D61" w:rsidRPr="00933364" w14:paraId="0A680101" w14:textId="77777777">
    <w:pPr>
      <w:adjustRightInd w:val="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D61" w14:paraId="11A891D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D71D61" w:rsidRPr="00830096" w:rsidP="00390584" w14:paraId="0AF05601" w14:textId="77777777">
    <w:pPr>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1680" w14:paraId="216E7317" w14:textId="77777777">
      <w:r>
        <w:separator/>
      </w:r>
    </w:p>
  </w:footnote>
  <w:footnote w:type="continuationSeparator" w:id="1">
    <w:p w:rsidR="001A1680" w14:paraId="7268BC86" w14:textId="77777777">
      <w:r>
        <w:continuationSeparator/>
      </w:r>
    </w:p>
  </w:footnote>
  <w:footnote w:type="continuationNotice" w:id="2">
    <w:p w:rsidR="001A1680" w14:paraId="488EE2BB" w14:textId="77777777"/>
  </w:footnote>
  <w:footnote w:id="3">
    <w:p w:rsidR="00D71D61" w14:paraId="6D54566D" w14:textId="77777777">
      <w:pPr>
        <w:pStyle w:val="FootnoteText"/>
      </w:pPr>
      <w:r>
        <w:rPr>
          <w:rStyle w:val="FootnoteReference"/>
        </w:rPr>
        <w:footnoteRef/>
      </w:r>
      <w:r>
        <w:t xml:space="preserve"> The Form A submission requires a Certification Statement confirming that the </w:t>
      </w:r>
      <w:r w:rsidRPr="00CB4FF0">
        <w:t xml:space="preserve">sum of amounts of the chemical in releases and waste </w:t>
      </w:r>
      <w:r>
        <w:t>does</w:t>
      </w:r>
      <w:r w:rsidRPr="00CB4FF0">
        <w:t xml:space="preserve"> not exceed the appropriate release and waste annual reportable amounts for that reporting year.</w:t>
      </w:r>
    </w:p>
  </w:footnote>
  <w:footnote w:id="4">
    <w:p w:rsidR="00D71D61" w14:paraId="57848543" w14:textId="77777777">
      <w:pPr>
        <w:pStyle w:val="FootnoteText"/>
      </w:pPr>
      <w:r>
        <w:rPr>
          <w:rStyle w:val="FootnoteReference"/>
        </w:rPr>
        <w:footnoteRef/>
      </w:r>
      <w:r>
        <w:t xml:space="preserve"> For the full set of in</w:t>
      </w:r>
      <w:r>
        <w:t xml:space="preserve">structions and Forms, refer to </w:t>
      </w:r>
      <w:hyperlink r:id="rId1" w:history="1">
        <w:r w:rsidRPr="00845B1A">
          <w:rPr>
            <w:rStyle w:val="Hyperlink"/>
          </w:rPr>
          <w:t>https://ofmpub.epa.gov/apex/guideme_ext/f?p=</w:t>
        </w:r>
        <w:r w:rsidRPr="00AD62C4">
          <w:t xml:space="preserve"> </w:t>
        </w:r>
        <w:r w:rsidRPr="00AD62C4">
          <w:rPr>
            <w:rStyle w:val="Hyperlink"/>
          </w:rPr>
          <w:t>guideme_ext</w:t>
        </w:r>
        <w:r w:rsidRPr="00845B1A">
          <w:rPr>
            <w:rStyle w:val="Hyperlink"/>
          </w:rPr>
          <w:t>:41</w:t>
        </w:r>
      </w:hyperlink>
      <w:r>
        <w:t>.</w:t>
      </w:r>
    </w:p>
  </w:footnote>
  <w:footnote w:id="5">
    <w:p w:rsidR="00D71D61" w:rsidP="00C25D7A" w14:paraId="11F94A50" w14:textId="77777777">
      <w:r>
        <w:rPr>
          <w:rStyle w:val="FootnoteReference"/>
        </w:rPr>
        <w:footnoteRef/>
      </w:r>
      <w:r>
        <w:t xml:space="preserve"> </w:t>
      </w:r>
      <w:r w:rsidRPr="00C25D7A">
        <w:rPr>
          <w:sz w:val="20"/>
          <w:szCs w:val="20"/>
        </w:rPr>
        <w:t>EPA has authority to revise the threshold amounts pur</w:t>
      </w:r>
      <w:r w:rsidRPr="00C25D7A">
        <w:rPr>
          <w:sz w:val="20"/>
          <w:szCs w:val="20"/>
        </w:rPr>
        <w:t xml:space="preserve">suant to EPCRA </w:t>
      </w:r>
      <w:r w:rsidRPr="00EB7860">
        <w:rPr>
          <w:sz w:val="20"/>
          <w:szCs w:val="20"/>
        </w:rPr>
        <w:t>section</w:t>
      </w:r>
      <w:r>
        <w:t xml:space="preserve"> </w:t>
      </w:r>
      <w:r w:rsidRPr="00C25D7A">
        <w:rPr>
          <w:sz w:val="20"/>
          <w:szCs w:val="20"/>
        </w:rPr>
        <w:t>313(f)(2)</w:t>
      </w:r>
      <w:r>
        <w:rPr>
          <w:sz w:val="20"/>
          <w:szCs w:val="20"/>
        </w:rPr>
        <w:t xml:space="preserve"> provided that revised threshold</w:t>
      </w:r>
      <w:r w:rsidRPr="00C25D7A">
        <w:rPr>
          <w:sz w:val="20"/>
          <w:szCs w:val="20"/>
        </w:rPr>
        <w:t xml:space="preserve"> amounts </w:t>
      </w:r>
      <w:r>
        <w:rPr>
          <w:sz w:val="20"/>
          <w:szCs w:val="20"/>
        </w:rPr>
        <w:t xml:space="preserve">still result in reporting </w:t>
      </w:r>
      <w:r w:rsidRPr="00C25D7A">
        <w:rPr>
          <w:sz w:val="20"/>
          <w:szCs w:val="20"/>
        </w:rPr>
        <w:t xml:space="preserve">on a substantial majority of total releases of the chemical at all facilities subject to EPCRA </w:t>
      </w:r>
      <w:r w:rsidRPr="00EB7860">
        <w:rPr>
          <w:sz w:val="20"/>
          <w:szCs w:val="20"/>
        </w:rPr>
        <w:t xml:space="preserve">section </w:t>
      </w:r>
      <w:r w:rsidRPr="00C25D7A">
        <w:rPr>
          <w:sz w:val="20"/>
          <w:szCs w:val="20"/>
        </w:rPr>
        <w:t>313. A revised threshold may be based on classes of ch</w:t>
      </w:r>
      <w:r w:rsidRPr="00C25D7A">
        <w:rPr>
          <w:sz w:val="20"/>
          <w:szCs w:val="20"/>
        </w:rPr>
        <w:t>emicals or categories of facilities.</w:t>
      </w:r>
    </w:p>
    <w:p w:rsidR="00D71D61" w:rsidP="00C25D7A" w14:paraId="23A492EA" w14:textId="77777777"/>
  </w:footnote>
  <w:footnote w:id="6">
    <w:p w:rsidR="00D71D61" w14:paraId="7BA4E928" w14:textId="77777777">
      <w:pPr>
        <w:pStyle w:val="FootnoteText"/>
      </w:pPr>
      <w:r>
        <w:rPr>
          <w:rStyle w:val="FootnoteReference"/>
        </w:rPr>
        <w:footnoteRef/>
      </w:r>
      <w:r>
        <w:t xml:space="preserve"> U.S. EPA Toxics Release Inventory Program. </w:t>
      </w:r>
      <w:hyperlink r:id="rId2" w:history="1">
        <w:r w:rsidRPr="002F3457">
          <w:rPr>
            <w:rStyle w:val="Hyperlink"/>
          </w:rPr>
          <w:t>https://www.epa.gov/tri/</w:t>
        </w:r>
      </w:hyperlink>
    </w:p>
  </w:footnote>
  <w:footnote w:id="7">
    <w:p w:rsidR="00D71D61" w14:paraId="00918EAF" w14:textId="77777777">
      <w:pPr>
        <w:pStyle w:val="FootnoteText"/>
      </w:pPr>
      <w:r>
        <w:rPr>
          <w:rStyle w:val="FootnoteReference"/>
        </w:rPr>
        <w:footnoteRef/>
      </w:r>
      <w:r>
        <w:t xml:space="preserve"> </w:t>
      </w:r>
      <w:hyperlink r:id="rId3" w:history="1">
        <w:r w:rsidRPr="002F3457">
          <w:rPr>
            <w:rStyle w:val="Hyperlink"/>
          </w:rPr>
          <w:t>https://www.epa.gov/sites/production/files/documents/tri_in_action_final_report_july_2013.pdf</w:t>
        </w:r>
      </w:hyperlink>
      <w:r>
        <w:t xml:space="preserve"> </w:t>
      </w:r>
    </w:p>
  </w:footnote>
  <w:footnote w:id="8">
    <w:p w:rsidR="00D71D61" w:rsidP="00C327F4" w14:paraId="6B1B7975" w14:textId="77777777">
      <w:pPr>
        <w:pStyle w:val="FootnoteText"/>
      </w:pPr>
      <w:r>
        <w:rPr>
          <w:rStyle w:val="FootnoteReference"/>
        </w:rPr>
        <w:footnoteRef/>
      </w:r>
      <w:r>
        <w:t xml:space="preserve"> </w:t>
      </w:r>
      <w:hyperlink r:id="rId4" w:history="1">
        <w:r w:rsidRPr="002F3457">
          <w:rPr>
            <w:rStyle w:val="Hyperlink"/>
          </w:rPr>
          <w:t>https://www.epa.gov/rmp/list-regulated-substances-under-risk-management-plan-rmp-program</w:t>
        </w:r>
      </w:hyperlink>
    </w:p>
  </w:footnote>
  <w:footnote w:id="9">
    <w:p w:rsidR="00D71D61" w:rsidP="00C327F4" w14:paraId="180F6BF4" w14:textId="77777777">
      <w:pPr>
        <w:pStyle w:val="FootnoteText"/>
      </w:pPr>
      <w:r>
        <w:rPr>
          <w:rStyle w:val="FootnoteReference"/>
        </w:rPr>
        <w:footnoteRef/>
      </w:r>
      <w:r>
        <w:t xml:space="preserve"> </w:t>
      </w:r>
      <w:hyperlink r:id="rId5" w:history="1">
        <w:r w:rsidRPr="002F3457">
          <w:rPr>
            <w:rStyle w:val="Hyperlink"/>
          </w:rPr>
          <w:t>https://www.epa.gov/rmp/risk-management-plan-rmp-rule-overview</w:t>
        </w:r>
      </w:hyperlink>
    </w:p>
  </w:footnote>
  <w:footnote w:id="10">
    <w:p w:rsidR="00D71D61" w:rsidP="00C327F4" w14:paraId="22AD249E" w14:textId="77777777">
      <w:pPr>
        <w:pStyle w:val="FootnoteText"/>
      </w:pPr>
      <w:r>
        <w:rPr>
          <w:rStyle w:val="FootnoteReference"/>
        </w:rPr>
        <w:footnoteRef/>
      </w:r>
      <w:r>
        <w:t xml:space="preserve"> Arizona, California, Georgia, Maine, Massachusetts, Minnesota, Mississippi, New Je</w:t>
      </w:r>
      <w:r>
        <w:t>rsey, New York, Oregon, Tennessee, Texas, Vermont, and Washington.</w:t>
      </w:r>
    </w:p>
  </w:footnote>
  <w:footnote w:id="11">
    <w:p w:rsidR="00D71D61" w:rsidRPr="00FB556F" w:rsidP="00FB556F" w14:paraId="676284FB" w14:textId="77777777">
      <w:pPr>
        <w:pStyle w:val="BodyTextIndent"/>
        <w:jc w:val="left"/>
        <w:rPr>
          <w:sz w:val="20"/>
          <w:szCs w:val="20"/>
        </w:rPr>
      </w:pPr>
      <w:r>
        <w:rPr>
          <w:rStyle w:val="FootnoteReference"/>
        </w:rPr>
        <w:footnoteRef/>
      </w:r>
      <w:r>
        <w:t xml:space="preserve"> </w:t>
      </w:r>
      <w:r>
        <w:rPr>
          <w:sz w:val="20"/>
          <w:szCs w:val="20"/>
        </w:rPr>
        <w:t>Attachments</w:t>
      </w:r>
      <w:r w:rsidRPr="00FB556F">
        <w:rPr>
          <w:sz w:val="20"/>
          <w:szCs w:val="20"/>
        </w:rPr>
        <w:t xml:space="preserve"> </w:t>
      </w:r>
      <w:r>
        <w:rPr>
          <w:sz w:val="20"/>
          <w:szCs w:val="20"/>
        </w:rPr>
        <w:t xml:space="preserve">C and </w:t>
      </w:r>
      <w:r w:rsidRPr="00FB556F">
        <w:rPr>
          <w:sz w:val="20"/>
          <w:szCs w:val="20"/>
        </w:rPr>
        <w:t>D</w:t>
      </w:r>
      <w:r>
        <w:rPr>
          <w:sz w:val="20"/>
          <w:szCs w:val="20"/>
        </w:rPr>
        <w:t xml:space="preserve"> </w:t>
      </w:r>
      <w:r w:rsidRPr="00FB556F">
        <w:rPr>
          <w:sz w:val="20"/>
          <w:szCs w:val="20"/>
        </w:rPr>
        <w:t>provide copies of the Form A</w:t>
      </w:r>
      <w:r w:rsidR="00A43981">
        <w:rPr>
          <w:sz w:val="20"/>
          <w:szCs w:val="20"/>
        </w:rPr>
        <w:t xml:space="preserve"> </w:t>
      </w:r>
      <w:r>
        <w:rPr>
          <w:sz w:val="20"/>
          <w:szCs w:val="20"/>
        </w:rPr>
        <w:t>and</w:t>
      </w:r>
      <w:r w:rsidRPr="00FB556F">
        <w:rPr>
          <w:sz w:val="20"/>
          <w:szCs w:val="20"/>
        </w:rPr>
        <w:t xml:space="preserve"> Form respectively. To access existing TRI Reporting Forms and Instructions, see </w:t>
      </w:r>
      <w:hyperlink r:id="rId6" w:history="1">
        <w:r w:rsidRPr="00FB556F">
          <w:rPr>
            <w:rStyle w:val="Hyperlink"/>
            <w:color w:val="auto"/>
            <w:sz w:val="20"/>
            <w:szCs w:val="20"/>
          </w:rPr>
          <w:t>https://ofmpub.epa.gov/apex/guideme_ext/f?p=guideme:rfi-home</w:t>
        </w:r>
      </w:hyperlink>
      <w:r w:rsidRPr="00FB556F">
        <w:rPr>
          <w:sz w:val="20"/>
          <w:szCs w:val="20"/>
        </w:rPr>
        <w:t>.</w:t>
      </w:r>
    </w:p>
    <w:p w:rsidR="00D71D61" w14:paraId="49948B3E" w14:textId="77777777">
      <w:pPr>
        <w:pStyle w:val="FootnoteText"/>
      </w:pPr>
    </w:p>
  </w:footnote>
  <w:footnote w:id="12">
    <w:p w:rsidR="00D71D61" w:rsidP="00170E55" w14:paraId="62AE9F3D" w14:textId="77777777">
      <w:pPr>
        <w:tabs>
          <w:tab w:val="left" w:pos="2904"/>
        </w:tabs>
        <w:spacing w:before="72"/>
        <w:ind w:right="432"/>
      </w:pPr>
      <w:r>
        <w:tab/>
      </w:r>
    </w:p>
  </w:footnote>
  <w:footnote w:id="13">
    <w:p w:rsidR="00D71D61" w14:paraId="601FDF91" w14:textId="77777777">
      <w:pPr>
        <w:pStyle w:val="FootnoteText"/>
      </w:pPr>
      <w:r>
        <w:rPr>
          <w:rStyle w:val="FootnoteReference"/>
        </w:rPr>
        <w:footnoteRef/>
      </w:r>
      <w:r>
        <w:t xml:space="preserve"> For references on methodology development, see RBBM Reference Document (Docket #EPA-HQ-OEI-2010-0835), EPA, 2011.  </w:t>
      </w:r>
    </w:p>
  </w:footnote>
  <w:footnote w:id="14">
    <w:p w:rsidR="00D71D61" w14:paraId="41D0B9E8" w14:textId="77777777">
      <w:pPr>
        <w:pStyle w:val="FootnoteText"/>
      </w:pPr>
      <w:r>
        <w:rPr>
          <w:rStyle w:val="FootnoteReference"/>
        </w:rPr>
        <w:footnoteRef/>
      </w:r>
      <w:r>
        <w:t xml:space="preserve">At the time of </w:t>
      </w:r>
      <w:r>
        <w:t xml:space="preserve">transition (the start of the 2008 ICR), the comparison between totals is exact. Later, in an interim spot-check (April 2010), totals were within 2%.  </w:t>
      </w:r>
    </w:p>
  </w:footnote>
  <w:footnote w:id="15">
    <w:p w:rsidR="00D71D61" w14:paraId="7F78D943" w14:textId="77777777">
      <w:pPr>
        <w:pStyle w:val="FootnoteText"/>
      </w:pPr>
      <w:r>
        <w:rPr>
          <w:rStyle w:val="FootnoteReference"/>
        </w:rPr>
        <w:footnoteRef/>
      </w:r>
      <w:r>
        <w:t xml:space="preserve"> In A/R, Form A unit burden is derived using the activities associated with the subset of elements from Form R that a reporter would complete in order to determine TRI reporting eligibility and file a Form A, ensuring internal consistency. For further deta</w:t>
      </w:r>
      <w:r>
        <w:t xml:space="preserve">ils, see RBBM Reference Document (Docket #EPA-HQ-OEI-2010-0835), EPA, 2011.  </w:t>
      </w:r>
    </w:p>
  </w:footnote>
  <w:footnote w:id="16">
    <w:p w:rsidR="00D71D61" w14:paraId="5A33D354" w14:textId="77777777">
      <w:pPr>
        <w:pStyle w:val="FootnoteText"/>
      </w:pPr>
      <w:r>
        <w:rPr>
          <w:rStyle w:val="FootnoteReference"/>
        </w:rPr>
        <w:footnoteRef/>
      </w:r>
      <w:r>
        <w:t xml:space="preserve"> Although Form A permits multiple chemical reports on the same form (on average 2.26 Chemicals per Form A), for purposes of methods development and modeling, EPA works with chem</w:t>
      </w:r>
      <w:r>
        <w:t>ical counts, referring to “Form R Chemicals” and “Form A Chemicals.”</w:t>
      </w:r>
    </w:p>
  </w:footnote>
  <w:footnote w:id="17">
    <w:p w:rsidR="00D71D61" w:rsidP="00EF7BF8" w14:paraId="113F1E40" w14:textId="77777777">
      <w:pPr>
        <w:pStyle w:val="FootnoteText"/>
      </w:pPr>
      <w:r>
        <w:rPr>
          <w:rStyle w:val="FootnoteReference"/>
        </w:rPr>
        <w:footnoteRef/>
      </w:r>
      <w:r>
        <w:t xml:space="preserve"> Arizona, California, Georgia, Maine, Massachusetts, Minnesota, Mississippi, New Jersey, New York, Oregon, Tennessee, Texas, Vermont, and Washington.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D61" w14:paraId="0C4272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D61" w14:paraId="1220B67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D61" w14:paraId="071A06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B473D"/>
    <w:multiLevelType w:val="hybridMultilevel"/>
    <w:tmpl w:val="6472D2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B140BA"/>
    <w:multiLevelType w:val="multilevel"/>
    <w:tmpl w:val="A4A84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1071060"/>
    <w:multiLevelType w:val="hybridMultilevel"/>
    <w:tmpl w:val="E5BA9A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1D736BC"/>
    <w:multiLevelType w:val="hybridMultilevel"/>
    <w:tmpl w:val="2E8650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605862"/>
    <w:multiLevelType w:val="singleLevel"/>
    <w:tmpl w:val="55AB66B7"/>
    <w:lvl w:ilvl="0">
      <w:start w:val="1"/>
      <w:numFmt w:val="lowerLetter"/>
      <w:lvlText w:val="1(%1)"/>
      <w:lvlJc w:val="left"/>
      <w:pPr>
        <w:tabs>
          <w:tab w:val="num" w:pos="792"/>
        </w:tabs>
        <w:ind w:left="288"/>
      </w:pPr>
      <w:rPr>
        <w:rFonts w:cs="Times New Roman"/>
        <w:color w:val="000000"/>
      </w:rPr>
    </w:lvl>
  </w:abstractNum>
  <w:abstractNum w:abstractNumId="5">
    <w:nsid w:val="081F2EF4"/>
    <w:multiLevelType w:val="hybridMultilevel"/>
    <w:tmpl w:val="10B8E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99508B"/>
    <w:multiLevelType w:val="hybridMultilevel"/>
    <w:tmpl w:val="4ADC3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4640E8"/>
    <w:multiLevelType w:val="hybridMultilevel"/>
    <w:tmpl w:val="A3EAE39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8">
    <w:nsid w:val="0D7E48A4"/>
    <w:multiLevelType w:val="hybridMultilevel"/>
    <w:tmpl w:val="1972950A"/>
    <w:lvl w:ilvl="0">
      <w:start w:val="0"/>
      <w:numFmt w:val="bullet"/>
      <w:lvlText w:val="·"/>
      <w:lvlJc w:val="left"/>
      <w:pPr>
        <w:tabs>
          <w:tab w:val="num" w:pos="504"/>
        </w:tabs>
        <w:ind w:left="504" w:hanging="216"/>
      </w:pPr>
      <w:rPr>
        <w:rFonts w:ascii="Symbol" w:hAnsi="Symbol" w:hint="default"/>
        <w:color w:val="000000"/>
        <w:sz w:val="22"/>
      </w:rPr>
    </w:lvl>
    <w:lvl w:ilvl="1">
      <w:start w:val="1"/>
      <w:numFmt w:val="bullet"/>
      <w:lvlText w:val=""/>
      <w:lvlJc w:val="left"/>
      <w:pPr>
        <w:tabs>
          <w:tab w:val="num" w:pos="1656"/>
        </w:tabs>
        <w:ind w:left="1656" w:hanging="360"/>
      </w:pPr>
      <w:rPr>
        <w:rFonts w:ascii="Symbol" w:hAnsi="Symbol" w:hint="default"/>
        <w:color w:val="auto"/>
        <w:sz w:val="22"/>
      </w:rPr>
    </w:lvl>
    <w:lvl w:ilvl="2" w:tentative="1">
      <w:start w:val="1"/>
      <w:numFmt w:val="bullet"/>
      <w:lvlText w:val=""/>
      <w:lvlJc w:val="left"/>
      <w:pPr>
        <w:tabs>
          <w:tab w:val="num" w:pos="2376"/>
        </w:tabs>
        <w:ind w:left="2376" w:hanging="360"/>
      </w:pPr>
      <w:rPr>
        <w:rFonts w:ascii="Wingdings" w:hAnsi="Wingdings" w:hint="default"/>
      </w:rPr>
    </w:lvl>
    <w:lvl w:ilvl="3" w:tentative="1">
      <w:start w:val="1"/>
      <w:numFmt w:val="bullet"/>
      <w:lvlText w:val=""/>
      <w:lvlJc w:val="left"/>
      <w:pPr>
        <w:tabs>
          <w:tab w:val="num" w:pos="3096"/>
        </w:tabs>
        <w:ind w:left="3096" w:hanging="360"/>
      </w:pPr>
      <w:rPr>
        <w:rFonts w:ascii="Symbol" w:hAnsi="Symbol" w:hint="default"/>
      </w:rPr>
    </w:lvl>
    <w:lvl w:ilvl="4" w:tentative="1">
      <w:start w:val="1"/>
      <w:numFmt w:val="bullet"/>
      <w:lvlText w:val="o"/>
      <w:lvlJc w:val="left"/>
      <w:pPr>
        <w:tabs>
          <w:tab w:val="num" w:pos="3816"/>
        </w:tabs>
        <w:ind w:left="3816" w:hanging="360"/>
      </w:pPr>
      <w:rPr>
        <w:rFonts w:ascii="Courier New" w:hAnsi="Courier New" w:hint="default"/>
      </w:rPr>
    </w:lvl>
    <w:lvl w:ilvl="5" w:tentative="1">
      <w:start w:val="1"/>
      <w:numFmt w:val="bullet"/>
      <w:lvlText w:val=""/>
      <w:lvlJc w:val="left"/>
      <w:pPr>
        <w:tabs>
          <w:tab w:val="num" w:pos="4536"/>
        </w:tabs>
        <w:ind w:left="4536" w:hanging="360"/>
      </w:pPr>
      <w:rPr>
        <w:rFonts w:ascii="Wingdings" w:hAnsi="Wingdings" w:hint="default"/>
      </w:rPr>
    </w:lvl>
    <w:lvl w:ilvl="6" w:tentative="1">
      <w:start w:val="1"/>
      <w:numFmt w:val="bullet"/>
      <w:lvlText w:val=""/>
      <w:lvlJc w:val="left"/>
      <w:pPr>
        <w:tabs>
          <w:tab w:val="num" w:pos="5256"/>
        </w:tabs>
        <w:ind w:left="5256" w:hanging="360"/>
      </w:pPr>
      <w:rPr>
        <w:rFonts w:ascii="Symbol" w:hAnsi="Symbol" w:hint="default"/>
      </w:rPr>
    </w:lvl>
    <w:lvl w:ilvl="7" w:tentative="1">
      <w:start w:val="1"/>
      <w:numFmt w:val="bullet"/>
      <w:lvlText w:val="o"/>
      <w:lvlJc w:val="left"/>
      <w:pPr>
        <w:tabs>
          <w:tab w:val="num" w:pos="5976"/>
        </w:tabs>
        <w:ind w:left="5976" w:hanging="360"/>
      </w:pPr>
      <w:rPr>
        <w:rFonts w:ascii="Courier New" w:hAnsi="Courier New" w:hint="default"/>
      </w:rPr>
    </w:lvl>
    <w:lvl w:ilvl="8" w:tentative="1">
      <w:start w:val="1"/>
      <w:numFmt w:val="bullet"/>
      <w:lvlText w:val=""/>
      <w:lvlJc w:val="left"/>
      <w:pPr>
        <w:tabs>
          <w:tab w:val="num" w:pos="6696"/>
        </w:tabs>
        <w:ind w:left="6696" w:hanging="360"/>
      </w:pPr>
      <w:rPr>
        <w:rFonts w:ascii="Wingdings" w:hAnsi="Wingdings" w:hint="default"/>
      </w:rPr>
    </w:lvl>
  </w:abstractNum>
  <w:abstractNum w:abstractNumId="9">
    <w:nsid w:val="0DF11B13"/>
    <w:multiLevelType w:val="hybridMultilevel"/>
    <w:tmpl w:val="A2144F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C5A3F3"/>
    <w:multiLevelType w:val="singleLevel"/>
    <w:tmpl w:val="6074201C"/>
    <w:lvl w:ilvl="0">
      <w:start w:val="1"/>
      <w:numFmt w:val="decimal"/>
      <w:lvlText w:val="%1"/>
      <w:lvlJc w:val="left"/>
      <w:pPr>
        <w:tabs>
          <w:tab w:val="num" w:pos="432"/>
        </w:tabs>
      </w:pPr>
      <w:rPr>
        <w:rFonts w:cs="Times New Roman"/>
        <w:color w:val="000000"/>
      </w:rPr>
    </w:lvl>
  </w:abstractNum>
  <w:abstractNum w:abstractNumId="11">
    <w:nsid w:val="0F7D6220"/>
    <w:multiLevelType w:val="singleLevel"/>
    <w:tmpl w:val="4DCB2BC6"/>
    <w:lvl w:ilvl="0">
      <w:start w:val="0"/>
      <w:numFmt w:val="bullet"/>
      <w:lvlText w:val="·"/>
      <w:lvlJc w:val="left"/>
      <w:pPr>
        <w:tabs>
          <w:tab w:val="num" w:pos="144"/>
        </w:tabs>
      </w:pPr>
      <w:rPr>
        <w:rFonts w:ascii="Symbol" w:hAnsi="Symbol" w:hint="default"/>
        <w:color w:val="000000"/>
      </w:rPr>
    </w:lvl>
  </w:abstractNum>
  <w:abstractNum w:abstractNumId="12">
    <w:nsid w:val="14C203DD"/>
    <w:multiLevelType w:val="hybridMultilevel"/>
    <w:tmpl w:val="4B0C5F60"/>
    <w:lvl w:ilvl="0">
      <w:start w:val="1"/>
      <w:numFmt w:val="bullet"/>
      <w:lvlText w:val=""/>
      <w:lvlJc w:val="left"/>
      <w:pPr>
        <w:tabs>
          <w:tab w:val="num" w:pos="504"/>
        </w:tabs>
        <w:ind w:left="504" w:hanging="216"/>
      </w:pPr>
      <w:rPr>
        <w:rFonts w:ascii="Symbol" w:hAnsi="Symbol" w:hint="default"/>
        <w:color w:val="auto"/>
        <w:sz w:val="22"/>
      </w:rPr>
    </w:lvl>
    <w:lvl w:ilvl="1">
      <w:start w:val="1"/>
      <w:numFmt w:val="bullet"/>
      <w:lvlText w:val=""/>
      <w:lvlJc w:val="left"/>
      <w:pPr>
        <w:tabs>
          <w:tab w:val="num" w:pos="1656"/>
        </w:tabs>
        <w:ind w:left="1656" w:hanging="360"/>
      </w:pPr>
      <w:rPr>
        <w:rFonts w:ascii="Symbol" w:hAnsi="Symbol" w:hint="default"/>
        <w:color w:val="auto"/>
        <w:sz w:val="22"/>
      </w:rPr>
    </w:lvl>
    <w:lvl w:ilvl="2" w:tentative="1">
      <w:start w:val="1"/>
      <w:numFmt w:val="bullet"/>
      <w:lvlText w:val=""/>
      <w:lvlJc w:val="left"/>
      <w:pPr>
        <w:tabs>
          <w:tab w:val="num" w:pos="2376"/>
        </w:tabs>
        <w:ind w:left="2376" w:hanging="360"/>
      </w:pPr>
      <w:rPr>
        <w:rFonts w:ascii="Wingdings" w:hAnsi="Wingdings" w:hint="default"/>
      </w:rPr>
    </w:lvl>
    <w:lvl w:ilvl="3" w:tentative="1">
      <w:start w:val="1"/>
      <w:numFmt w:val="bullet"/>
      <w:lvlText w:val=""/>
      <w:lvlJc w:val="left"/>
      <w:pPr>
        <w:tabs>
          <w:tab w:val="num" w:pos="3096"/>
        </w:tabs>
        <w:ind w:left="3096" w:hanging="360"/>
      </w:pPr>
      <w:rPr>
        <w:rFonts w:ascii="Symbol" w:hAnsi="Symbol" w:hint="default"/>
      </w:rPr>
    </w:lvl>
    <w:lvl w:ilvl="4" w:tentative="1">
      <w:start w:val="1"/>
      <w:numFmt w:val="bullet"/>
      <w:lvlText w:val="o"/>
      <w:lvlJc w:val="left"/>
      <w:pPr>
        <w:tabs>
          <w:tab w:val="num" w:pos="3816"/>
        </w:tabs>
        <w:ind w:left="3816" w:hanging="360"/>
      </w:pPr>
      <w:rPr>
        <w:rFonts w:ascii="Courier New" w:hAnsi="Courier New" w:hint="default"/>
      </w:rPr>
    </w:lvl>
    <w:lvl w:ilvl="5" w:tentative="1">
      <w:start w:val="1"/>
      <w:numFmt w:val="bullet"/>
      <w:lvlText w:val=""/>
      <w:lvlJc w:val="left"/>
      <w:pPr>
        <w:tabs>
          <w:tab w:val="num" w:pos="4536"/>
        </w:tabs>
        <w:ind w:left="4536" w:hanging="360"/>
      </w:pPr>
      <w:rPr>
        <w:rFonts w:ascii="Wingdings" w:hAnsi="Wingdings" w:hint="default"/>
      </w:rPr>
    </w:lvl>
    <w:lvl w:ilvl="6" w:tentative="1">
      <w:start w:val="1"/>
      <w:numFmt w:val="bullet"/>
      <w:lvlText w:val=""/>
      <w:lvlJc w:val="left"/>
      <w:pPr>
        <w:tabs>
          <w:tab w:val="num" w:pos="5256"/>
        </w:tabs>
        <w:ind w:left="5256" w:hanging="360"/>
      </w:pPr>
      <w:rPr>
        <w:rFonts w:ascii="Symbol" w:hAnsi="Symbol" w:hint="default"/>
      </w:rPr>
    </w:lvl>
    <w:lvl w:ilvl="7" w:tentative="1">
      <w:start w:val="1"/>
      <w:numFmt w:val="bullet"/>
      <w:lvlText w:val="o"/>
      <w:lvlJc w:val="left"/>
      <w:pPr>
        <w:tabs>
          <w:tab w:val="num" w:pos="5976"/>
        </w:tabs>
        <w:ind w:left="5976" w:hanging="360"/>
      </w:pPr>
      <w:rPr>
        <w:rFonts w:ascii="Courier New" w:hAnsi="Courier New" w:hint="default"/>
      </w:rPr>
    </w:lvl>
    <w:lvl w:ilvl="8" w:tentative="1">
      <w:start w:val="1"/>
      <w:numFmt w:val="bullet"/>
      <w:lvlText w:val=""/>
      <w:lvlJc w:val="left"/>
      <w:pPr>
        <w:tabs>
          <w:tab w:val="num" w:pos="6696"/>
        </w:tabs>
        <w:ind w:left="6696" w:hanging="360"/>
      </w:pPr>
      <w:rPr>
        <w:rFonts w:ascii="Wingdings" w:hAnsi="Wingdings" w:hint="default"/>
      </w:rPr>
    </w:lvl>
  </w:abstractNum>
  <w:abstractNum w:abstractNumId="13">
    <w:nsid w:val="158713AC"/>
    <w:multiLevelType w:val="hybridMultilevel"/>
    <w:tmpl w:val="9F3C35AC"/>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6102646"/>
    <w:multiLevelType w:val="hybridMultilevel"/>
    <w:tmpl w:val="94725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95EF865"/>
    <w:multiLevelType w:val="singleLevel"/>
    <w:tmpl w:val="1C80316A"/>
    <w:lvl w:ilvl="0">
      <w:start w:val="2"/>
      <w:numFmt w:val="decimal"/>
      <w:lvlText w:val="%1"/>
      <w:lvlJc w:val="left"/>
      <w:pPr>
        <w:tabs>
          <w:tab w:val="num" w:pos="432"/>
        </w:tabs>
      </w:pPr>
      <w:rPr>
        <w:rFonts w:cs="Times New Roman"/>
        <w:color w:val="000000"/>
      </w:rPr>
    </w:lvl>
  </w:abstractNum>
  <w:abstractNum w:abstractNumId="16">
    <w:nsid w:val="19725624"/>
    <w:multiLevelType w:val="multilevel"/>
    <w:tmpl w:val="CC5ED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D086F39"/>
    <w:multiLevelType w:val="hybridMultilevel"/>
    <w:tmpl w:val="DD7C94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16B3A8C"/>
    <w:multiLevelType w:val="hybridMultilevel"/>
    <w:tmpl w:val="9BE88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2EC7B74"/>
    <w:multiLevelType w:val="hybridMultilevel"/>
    <w:tmpl w:val="8D28A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36B0571"/>
    <w:multiLevelType w:val="hybridMultilevel"/>
    <w:tmpl w:val="79D453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3896E4F"/>
    <w:multiLevelType w:val="hybridMultilevel"/>
    <w:tmpl w:val="7A16FC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2464546B"/>
    <w:multiLevelType w:val="hybridMultilevel"/>
    <w:tmpl w:val="C6FA1DF6"/>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5404E08"/>
    <w:multiLevelType w:val="hybridMultilevel"/>
    <w:tmpl w:val="A454A372"/>
    <w:lvl w:ilvl="0">
      <w:start w:val="1"/>
      <w:numFmt w:val="bullet"/>
      <w:lvlText w:val=""/>
      <w:lvlJc w:val="left"/>
      <w:pPr>
        <w:ind w:left="1230" w:hanging="360"/>
      </w:pPr>
      <w:rPr>
        <w:rFonts w:ascii="Symbol" w:hAnsi="Symbol" w:hint="default"/>
      </w:rPr>
    </w:lvl>
    <w:lvl w:ilvl="1" w:tentative="1">
      <w:start w:val="1"/>
      <w:numFmt w:val="bullet"/>
      <w:lvlText w:val="o"/>
      <w:lvlJc w:val="left"/>
      <w:pPr>
        <w:ind w:left="1950" w:hanging="360"/>
      </w:pPr>
      <w:rPr>
        <w:rFonts w:ascii="Courier New" w:hAnsi="Courier New" w:cs="Courier New" w:hint="default"/>
      </w:rPr>
    </w:lvl>
    <w:lvl w:ilvl="2" w:tentative="1">
      <w:start w:val="1"/>
      <w:numFmt w:val="bullet"/>
      <w:lvlText w:val=""/>
      <w:lvlJc w:val="left"/>
      <w:pPr>
        <w:ind w:left="2670" w:hanging="360"/>
      </w:pPr>
      <w:rPr>
        <w:rFonts w:ascii="Wingdings" w:hAnsi="Wingdings" w:hint="default"/>
      </w:rPr>
    </w:lvl>
    <w:lvl w:ilvl="3" w:tentative="1">
      <w:start w:val="1"/>
      <w:numFmt w:val="bullet"/>
      <w:lvlText w:val=""/>
      <w:lvlJc w:val="left"/>
      <w:pPr>
        <w:ind w:left="3390" w:hanging="360"/>
      </w:pPr>
      <w:rPr>
        <w:rFonts w:ascii="Symbol" w:hAnsi="Symbol" w:hint="default"/>
      </w:rPr>
    </w:lvl>
    <w:lvl w:ilvl="4" w:tentative="1">
      <w:start w:val="1"/>
      <w:numFmt w:val="bullet"/>
      <w:lvlText w:val="o"/>
      <w:lvlJc w:val="left"/>
      <w:pPr>
        <w:ind w:left="4110" w:hanging="360"/>
      </w:pPr>
      <w:rPr>
        <w:rFonts w:ascii="Courier New" w:hAnsi="Courier New" w:cs="Courier New" w:hint="default"/>
      </w:rPr>
    </w:lvl>
    <w:lvl w:ilvl="5" w:tentative="1">
      <w:start w:val="1"/>
      <w:numFmt w:val="bullet"/>
      <w:lvlText w:val=""/>
      <w:lvlJc w:val="left"/>
      <w:pPr>
        <w:ind w:left="4830" w:hanging="360"/>
      </w:pPr>
      <w:rPr>
        <w:rFonts w:ascii="Wingdings" w:hAnsi="Wingdings" w:hint="default"/>
      </w:rPr>
    </w:lvl>
    <w:lvl w:ilvl="6" w:tentative="1">
      <w:start w:val="1"/>
      <w:numFmt w:val="bullet"/>
      <w:lvlText w:val=""/>
      <w:lvlJc w:val="left"/>
      <w:pPr>
        <w:ind w:left="5550" w:hanging="360"/>
      </w:pPr>
      <w:rPr>
        <w:rFonts w:ascii="Symbol" w:hAnsi="Symbol" w:hint="default"/>
      </w:rPr>
    </w:lvl>
    <w:lvl w:ilvl="7" w:tentative="1">
      <w:start w:val="1"/>
      <w:numFmt w:val="bullet"/>
      <w:lvlText w:val="o"/>
      <w:lvlJc w:val="left"/>
      <w:pPr>
        <w:ind w:left="6270" w:hanging="360"/>
      </w:pPr>
      <w:rPr>
        <w:rFonts w:ascii="Courier New" w:hAnsi="Courier New" w:cs="Courier New" w:hint="default"/>
      </w:rPr>
    </w:lvl>
    <w:lvl w:ilvl="8" w:tentative="1">
      <w:start w:val="1"/>
      <w:numFmt w:val="bullet"/>
      <w:lvlText w:val=""/>
      <w:lvlJc w:val="left"/>
      <w:pPr>
        <w:ind w:left="6990" w:hanging="360"/>
      </w:pPr>
      <w:rPr>
        <w:rFonts w:ascii="Wingdings" w:hAnsi="Wingdings" w:hint="default"/>
      </w:rPr>
    </w:lvl>
  </w:abstractNum>
  <w:abstractNum w:abstractNumId="24">
    <w:nsid w:val="26EF5D75"/>
    <w:multiLevelType w:val="hybridMultilevel"/>
    <w:tmpl w:val="6BA61C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96E0C54"/>
    <w:multiLevelType w:val="hybridMultilevel"/>
    <w:tmpl w:val="AB320B66"/>
    <w:lvl w:ilvl="0">
      <w:start w:val="1"/>
      <w:numFmt w:val="lowerRoman"/>
      <w:lvlText w:val="(%1)"/>
      <w:lvlJc w:val="left"/>
      <w:pPr>
        <w:tabs>
          <w:tab w:val="num" w:pos="2160"/>
        </w:tabs>
        <w:ind w:left="2160" w:hanging="720"/>
      </w:pPr>
      <w:rPr>
        <w:rFonts w:cs="Times New Roman" w:hint="default"/>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26">
    <w:nsid w:val="2B860397"/>
    <w:multiLevelType w:val="singleLevel"/>
    <w:tmpl w:val="0E3A4FD7"/>
    <w:lvl w:ilvl="0">
      <w:start w:val="6"/>
      <w:numFmt w:val="decimal"/>
      <w:lvlText w:val="%1"/>
      <w:lvlJc w:val="left"/>
      <w:pPr>
        <w:tabs>
          <w:tab w:val="num" w:pos="432"/>
        </w:tabs>
      </w:pPr>
      <w:rPr>
        <w:rFonts w:cs="Times New Roman"/>
        <w:color w:val="000000"/>
      </w:rPr>
    </w:lvl>
  </w:abstractNum>
  <w:abstractNum w:abstractNumId="27">
    <w:nsid w:val="2C310ADA"/>
    <w:multiLevelType w:val="hybridMultilevel"/>
    <w:tmpl w:val="F7844CC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nsid w:val="31123572"/>
    <w:multiLevelType w:val="hybridMultilevel"/>
    <w:tmpl w:val="2EA26C38"/>
    <w:lvl w:ilvl="0">
      <w:start w:val="1"/>
      <w:numFmt w:val="decimal"/>
      <w:lvlText w:val="%1"/>
      <w:lvlJc w:val="left"/>
      <w:pPr>
        <w:tabs>
          <w:tab w:val="num" w:pos="1080"/>
        </w:tabs>
        <w:ind w:left="1080" w:hanging="720"/>
      </w:pPr>
      <w:rPr>
        <w:rFonts w:cs="Times New Roman"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333C3812"/>
    <w:multiLevelType w:val="hybridMultilevel"/>
    <w:tmpl w:val="AECAFC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45B53B7"/>
    <w:multiLevelType w:val="hybridMultilevel"/>
    <w:tmpl w:val="B2DC26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34A7406D"/>
    <w:multiLevelType w:val="singleLevel"/>
    <w:tmpl w:val="04B72DBA"/>
    <w:lvl w:ilvl="0">
      <w:start w:val="1"/>
      <w:numFmt w:val="lowerLetter"/>
      <w:lvlText w:val="2(%1)"/>
      <w:lvlJc w:val="left"/>
      <w:pPr>
        <w:tabs>
          <w:tab w:val="num" w:pos="792"/>
        </w:tabs>
        <w:ind w:left="216"/>
      </w:pPr>
      <w:rPr>
        <w:rFonts w:cs="Times New Roman"/>
        <w:color w:val="000000"/>
      </w:rPr>
    </w:lvl>
  </w:abstractNum>
  <w:abstractNum w:abstractNumId="32">
    <w:nsid w:val="359B438D"/>
    <w:multiLevelType w:val="hybridMultilevel"/>
    <w:tmpl w:val="693811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7EC1598"/>
    <w:multiLevelType w:val="hybridMultilevel"/>
    <w:tmpl w:val="2E247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8A60568"/>
    <w:multiLevelType w:val="hybridMultilevel"/>
    <w:tmpl w:val="1EB2F9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395C2F38"/>
    <w:multiLevelType w:val="hybridMultilevel"/>
    <w:tmpl w:val="964079A0"/>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6">
    <w:nsid w:val="3A0F0C36"/>
    <w:multiLevelType w:val="hybridMultilevel"/>
    <w:tmpl w:val="59F692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CAE2081"/>
    <w:multiLevelType w:val="hybridMultilevel"/>
    <w:tmpl w:val="7F0C53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3F5B4881"/>
    <w:multiLevelType w:val="hybridMultilevel"/>
    <w:tmpl w:val="8848BB82"/>
    <w:lvl w:ilvl="0">
      <w:start w:val="1"/>
      <w:numFmt w:val="decimal"/>
      <w:lvlText w:val="%1."/>
      <w:lvlJc w:val="left"/>
      <w:pPr>
        <w:ind w:left="360" w:hanging="360"/>
      </w:p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40D272C4"/>
    <w:multiLevelType w:val="hybridMultilevel"/>
    <w:tmpl w:val="7A3A7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4AF291B"/>
    <w:multiLevelType w:val="hybridMultilevel"/>
    <w:tmpl w:val="61F45B26"/>
    <w:lvl w:ilvl="0">
      <w:start w:val="1"/>
      <w:numFmt w:val="bullet"/>
      <w:lvlText w:val=""/>
      <w:lvlJc w:val="left"/>
      <w:pPr>
        <w:tabs>
          <w:tab w:val="num" w:pos="1080"/>
        </w:tabs>
        <w:ind w:left="1080"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45242CF4"/>
    <w:multiLevelType w:val="hybridMultilevel"/>
    <w:tmpl w:val="8EEA2D3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2">
    <w:nsid w:val="454D5CE9"/>
    <w:multiLevelType w:val="hybridMultilevel"/>
    <w:tmpl w:val="A3CE9C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71242EE"/>
    <w:multiLevelType w:val="hybridMultilevel"/>
    <w:tmpl w:val="D0FE3C74"/>
    <w:lvl w:ilvl="0">
      <w:start w:val="1"/>
      <w:numFmt w:val="bullet"/>
      <w:lvlText w:val=""/>
      <w:lvlJc w:val="left"/>
      <w:pPr>
        <w:ind w:left="781" w:hanging="360"/>
      </w:pPr>
      <w:rPr>
        <w:rFonts w:ascii="Symbol" w:hAnsi="Symbol" w:hint="default"/>
      </w:rPr>
    </w:lvl>
    <w:lvl w:ilvl="1" w:tentative="1">
      <w:start w:val="1"/>
      <w:numFmt w:val="bullet"/>
      <w:lvlText w:val="o"/>
      <w:lvlJc w:val="left"/>
      <w:pPr>
        <w:ind w:left="1501" w:hanging="360"/>
      </w:pPr>
      <w:rPr>
        <w:rFonts w:ascii="Courier New" w:hAnsi="Courier New" w:hint="default"/>
      </w:rPr>
    </w:lvl>
    <w:lvl w:ilvl="2" w:tentative="1">
      <w:start w:val="1"/>
      <w:numFmt w:val="bullet"/>
      <w:lvlText w:val=""/>
      <w:lvlJc w:val="left"/>
      <w:pPr>
        <w:ind w:left="2221" w:hanging="360"/>
      </w:pPr>
      <w:rPr>
        <w:rFonts w:ascii="Wingdings" w:hAnsi="Wingdings" w:hint="default"/>
      </w:rPr>
    </w:lvl>
    <w:lvl w:ilvl="3" w:tentative="1">
      <w:start w:val="1"/>
      <w:numFmt w:val="bullet"/>
      <w:lvlText w:val=""/>
      <w:lvlJc w:val="left"/>
      <w:pPr>
        <w:ind w:left="2941" w:hanging="360"/>
      </w:pPr>
      <w:rPr>
        <w:rFonts w:ascii="Symbol" w:hAnsi="Symbol" w:hint="default"/>
      </w:rPr>
    </w:lvl>
    <w:lvl w:ilvl="4" w:tentative="1">
      <w:start w:val="1"/>
      <w:numFmt w:val="bullet"/>
      <w:lvlText w:val="o"/>
      <w:lvlJc w:val="left"/>
      <w:pPr>
        <w:ind w:left="3661" w:hanging="360"/>
      </w:pPr>
      <w:rPr>
        <w:rFonts w:ascii="Courier New" w:hAnsi="Courier New" w:hint="default"/>
      </w:rPr>
    </w:lvl>
    <w:lvl w:ilvl="5" w:tentative="1">
      <w:start w:val="1"/>
      <w:numFmt w:val="bullet"/>
      <w:lvlText w:val=""/>
      <w:lvlJc w:val="left"/>
      <w:pPr>
        <w:ind w:left="4381" w:hanging="360"/>
      </w:pPr>
      <w:rPr>
        <w:rFonts w:ascii="Wingdings" w:hAnsi="Wingdings" w:hint="default"/>
      </w:rPr>
    </w:lvl>
    <w:lvl w:ilvl="6" w:tentative="1">
      <w:start w:val="1"/>
      <w:numFmt w:val="bullet"/>
      <w:lvlText w:val=""/>
      <w:lvlJc w:val="left"/>
      <w:pPr>
        <w:ind w:left="5101" w:hanging="360"/>
      </w:pPr>
      <w:rPr>
        <w:rFonts w:ascii="Symbol" w:hAnsi="Symbol" w:hint="default"/>
      </w:rPr>
    </w:lvl>
    <w:lvl w:ilvl="7" w:tentative="1">
      <w:start w:val="1"/>
      <w:numFmt w:val="bullet"/>
      <w:lvlText w:val="o"/>
      <w:lvlJc w:val="left"/>
      <w:pPr>
        <w:ind w:left="5821" w:hanging="360"/>
      </w:pPr>
      <w:rPr>
        <w:rFonts w:ascii="Courier New" w:hAnsi="Courier New" w:hint="default"/>
      </w:rPr>
    </w:lvl>
    <w:lvl w:ilvl="8" w:tentative="1">
      <w:start w:val="1"/>
      <w:numFmt w:val="bullet"/>
      <w:lvlText w:val=""/>
      <w:lvlJc w:val="left"/>
      <w:pPr>
        <w:ind w:left="6541" w:hanging="360"/>
      </w:pPr>
      <w:rPr>
        <w:rFonts w:ascii="Wingdings" w:hAnsi="Wingdings" w:hint="default"/>
      </w:rPr>
    </w:lvl>
  </w:abstractNum>
  <w:abstractNum w:abstractNumId="44">
    <w:nsid w:val="4EFC50E1"/>
    <w:multiLevelType w:val="hybridMultilevel"/>
    <w:tmpl w:val="552AC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3064BF9"/>
    <w:multiLevelType w:val="hybridMultilevel"/>
    <w:tmpl w:val="D2D26816"/>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6747276"/>
    <w:multiLevelType w:val="hybridMultilevel"/>
    <w:tmpl w:val="AB320B66"/>
    <w:lvl w:ilvl="0">
      <w:start w:val="1"/>
      <w:numFmt w:val="lowerRoman"/>
      <w:lvlText w:val="(%1)"/>
      <w:lvlJc w:val="left"/>
      <w:pPr>
        <w:tabs>
          <w:tab w:val="num" w:pos="2160"/>
        </w:tabs>
        <w:ind w:left="2160" w:hanging="720"/>
      </w:pPr>
      <w:rPr>
        <w:rFonts w:cs="Times New Roman" w:hint="default"/>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47">
    <w:nsid w:val="577F791D"/>
    <w:multiLevelType w:val="hybridMultilevel"/>
    <w:tmpl w:val="507C1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8B7BF66"/>
    <w:multiLevelType w:val="singleLevel"/>
    <w:tmpl w:val="0711CEC3"/>
    <w:lvl w:ilvl="0">
      <w:start w:val="1"/>
      <w:numFmt w:val="upperLetter"/>
      <w:lvlText w:val="(%1)"/>
      <w:lvlJc w:val="left"/>
      <w:pPr>
        <w:tabs>
          <w:tab w:val="num" w:pos="432"/>
        </w:tabs>
      </w:pPr>
      <w:rPr>
        <w:rFonts w:cs="Times New Roman"/>
        <w:color w:val="000000"/>
      </w:rPr>
    </w:lvl>
  </w:abstractNum>
  <w:abstractNum w:abstractNumId="49">
    <w:nsid w:val="594204D5"/>
    <w:multiLevelType w:val="singleLevel"/>
    <w:tmpl w:val="56CE2D9D"/>
    <w:lvl w:ilvl="0">
      <w:start w:val="1"/>
      <w:numFmt w:val="lowerLetter"/>
      <w:lvlText w:val="1(%1)"/>
      <w:lvlJc w:val="left"/>
      <w:pPr>
        <w:tabs>
          <w:tab w:val="num" w:pos="1296"/>
        </w:tabs>
        <w:ind w:left="720"/>
      </w:pPr>
      <w:rPr>
        <w:rFonts w:cs="Times New Roman"/>
        <w:color w:val="000000"/>
      </w:rPr>
    </w:lvl>
  </w:abstractNum>
  <w:abstractNum w:abstractNumId="50">
    <w:nsid w:val="5C381CA3"/>
    <w:multiLevelType w:val="singleLevel"/>
    <w:tmpl w:val="39487992"/>
    <w:lvl w:ilvl="0">
      <w:start w:val="1"/>
      <w:numFmt w:val="lowerLetter"/>
      <w:lvlText w:val="6(%1)"/>
      <w:lvlJc w:val="left"/>
      <w:pPr>
        <w:tabs>
          <w:tab w:val="num" w:pos="756"/>
        </w:tabs>
        <w:ind w:left="180"/>
      </w:pPr>
      <w:rPr>
        <w:rFonts w:cs="Times New Roman"/>
        <w:color w:val="000000"/>
      </w:rPr>
    </w:lvl>
  </w:abstractNum>
  <w:abstractNum w:abstractNumId="51">
    <w:nsid w:val="5F9649D6"/>
    <w:multiLevelType w:val="hybridMultilevel"/>
    <w:tmpl w:val="8F843A8E"/>
    <w:lvl w:ilvl="0">
      <w:start w:val="1"/>
      <w:numFmt w:val="lowerLetter"/>
      <w:lvlText w:val="%1."/>
      <w:lvlJc w:val="left"/>
      <w:pPr>
        <w:ind w:left="450" w:hanging="45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66510856"/>
    <w:multiLevelType w:val="hybridMultilevel"/>
    <w:tmpl w:val="F8D6D03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nsid w:val="68803DDA"/>
    <w:multiLevelType w:val="hybridMultilevel"/>
    <w:tmpl w:val="D3760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B696174"/>
    <w:multiLevelType w:val="hybridMultilevel"/>
    <w:tmpl w:val="E04427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6C5D06F1"/>
    <w:multiLevelType w:val="hybridMultilevel"/>
    <w:tmpl w:val="1AFA3F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74AF3FCE"/>
    <w:multiLevelType w:val="hybridMultilevel"/>
    <w:tmpl w:val="27181B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75376E7"/>
    <w:multiLevelType w:val="hybridMultilevel"/>
    <w:tmpl w:val="AB320B66"/>
    <w:lvl w:ilvl="0">
      <w:start w:val="1"/>
      <w:numFmt w:val="lowerRoman"/>
      <w:lvlText w:val="(%1)"/>
      <w:lvlJc w:val="left"/>
      <w:pPr>
        <w:tabs>
          <w:tab w:val="num" w:pos="2160"/>
        </w:tabs>
        <w:ind w:left="2160" w:hanging="720"/>
      </w:pPr>
      <w:rPr>
        <w:rFonts w:cs="Times New Roman" w:hint="default"/>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58">
    <w:nsid w:val="79DD709B"/>
    <w:multiLevelType w:val="hybridMultilevel"/>
    <w:tmpl w:val="D12C296A"/>
    <w:lvl w:ilvl="0">
      <w:start w:val="1"/>
      <w:numFmt w:val="lowerLetter"/>
      <w:lvlText w:val="%1."/>
      <w:lvlJc w:val="left"/>
      <w:pPr>
        <w:ind w:left="450" w:hanging="45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7FD029AA"/>
    <w:multiLevelType w:val="hybridMultilevel"/>
    <w:tmpl w:val="3BCEC4AE"/>
    <w:lvl w:ilvl="0">
      <w:start w:val="1"/>
      <w:numFmt w:val="bullet"/>
      <w:lvlText w:val=""/>
      <w:lvlJc w:val="left"/>
      <w:pPr>
        <w:tabs>
          <w:tab w:val="num" w:pos="787"/>
        </w:tabs>
        <w:ind w:left="787" w:hanging="360"/>
      </w:pPr>
      <w:rPr>
        <w:rFonts w:ascii="Symbol" w:hAnsi="Symbol" w:hint="default"/>
      </w:rPr>
    </w:lvl>
    <w:lvl w:ilvl="1" w:tentative="1">
      <w:start w:val="1"/>
      <w:numFmt w:val="bullet"/>
      <w:lvlText w:val="o"/>
      <w:lvlJc w:val="left"/>
      <w:pPr>
        <w:tabs>
          <w:tab w:val="num" w:pos="1507"/>
        </w:tabs>
        <w:ind w:left="1507" w:hanging="360"/>
      </w:pPr>
      <w:rPr>
        <w:rFonts w:ascii="Courier New" w:hAnsi="Courier New" w:hint="default"/>
      </w:rPr>
    </w:lvl>
    <w:lvl w:ilvl="2" w:tentative="1">
      <w:start w:val="1"/>
      <w:numFmt w:val="bullet"/>
      <w:lvlText w:val=""/>
      <w:lvlJc w:val="left"/>
      <w:pPr>
        <w:tabs>
          <w:tab w:val="num" w:pos="2227"/>
        </w:tabs>
        <w:ind w:left="2227" w:hanging="360"/>
      </w:pPr>
      <w:rPr>
        <w:rFonts w:ascii="Wingdings" w:hAnsi="Wingdings" w:hint="default"/>
      </w:rPr>
    </w:lvl>
    <w:lvl w:ilvl="3" w:tentative="1">
      <w:start w:val="1"/>
      <w:numFmt w:val="bullet"/>
      <w:lvlText w:val=""/>
      <w:lvlJc w:val="left"/>
      <w:pPr>
        <w:tabs>
          <w:tab w:val="num" w:pos="2947"/>
        </w:tabs>
        <w:ind w:left="2947" w:hanging="360"/>
      </w:pPr>
      <w:rPr>
        <w:rFonts w:ascii="Symbol" w:hAnsi="Symbol" w:hint="default"/>
      </w:rPr>
    </w:lvl>
    <w:lvl w:ilvl="4" w:tentative="1">
      <w:start w:val="1"/>
      <w:numFmt w:val="bullet"/>
      <w:lvlText w:val="o"/>
      <w:lvlJc w:val="left"/>
      <w:pPr>
        <w:tabs>
          <w:tab w:val="num" w:pos="3667"/>
        </w:tabs>
        <w:ind w:left="3667" w:hanging="360"/>
      </w:pPr>
      <w:rPr>
        <w:rFonts w:ascii="Courier New" w:hAnsi="Courier New" w:hint="default"/>
      </w:rPr>
    </w:lvl>
    <w:lvl w:ilvl="5" w:tentative="1">
      <w:start w:val="1"/>
      <w:numFmt w:val="bullet"/>
      <w:lvlText w:val=""/>
      <w:lvlJc w:val="left"/>
      <w:pPr>
        <w:tabs>
          <w:tab w:val="num" w:pos="4387"/>
        </w:tabs>
        <w:ind w:left="4387" w:hanging="360"/>
      </w:pPr>
      <w:rPr>
        <w:rFonts w:ascii="Wingdings" w:hAnsi="Wingdings" w:hint="default"/>
      </w:rPr>
    </w:lvl>
    <w:lvl w:ilvl="6" w:tentative="1">
      <w:start w:val="1"/>
      <w:numFmt w:val="bullet"/>
      <w:lvlText w:val=""/>
      <w:lvlJc w:val="left"/>
      <w:pPr>
        <w:tabs>
          <w:tab w:val="num" w:pos="5107"/>
        </w:tabs>
        <w:ind w:left="5107" w:hanging="360"/>
      </w:pPr>
      <w:rPr>
        <w:rFonts w:ascii="Symbol" w:hAnsi="Symbol" w:hint="default"/>
      </w:rPr>
    </w:lvl>
    <w:lvl w:ilvl="7" w:tentative="1">
      <w:start w:val="1"/>
      <w:numFmt w:val="bullet"/>
      <w:lvlText w:val="o"/>
      <w:lvlJc w:val="left"/>
      <w:pPr>
        <w:tabs>
          <w:tab w:val="num" w:pos="5827"/>
        </w:tabs>
        <w:ind w:left="5827" w:hanging="360"/>
      </w:pPr>
      <w:rPr>
        <w:rFonts w:ascii="Courier New" w:hAnsi="Courier New" w:hint="default"/>
      </w:rPr>
    </w:lvl>
    <w:lvl w:ilvl="8" w:tentative="1">
      <w:start w:val="1"/>
      <w:numFmt w:val="bullet"/>
      <w:lvlText w:val=""/>
      <w:lvlJc w:val="left"/>
      <w:pPr>
        <w:tabs>
          <w:tab w:val="num" w:pos="6547"/>
        </w:tabs>
        <w:ind w:left="6547" w:hanging="360"/>
      </w:pPr>
      <w:rPr>
        <w:rFonts w:ascii="Wingdings" w:hAnsi="Wingdings" w:hint="default"/>
      </w:rPr>
    </w:lvl>
  </w:abstractNum>
  <w:num w:numId="1" w16cid:durableId="777333466">
    <w:abstractNumId w:val="10"/>
  </w:num>
  <w:num w:numId="2" w16cid:durableId="626663950">
    <w:abstractNumId w:val="4"/>
  </w:num>
  <w:num w:numId="3" w16cid:durableId="1688872317">
    <w:abstractNumId w:val="15"/>
  </w:num>
  <w:num w:numId="4" w16cid:durableId="1354526788">
    <w:abstractNumId w:val="31"/>
  </w:num>
  <w:num w:numId="5" w16cid:durableId="352151762">
    <w:abstractNumId w:val="26"/>
  </w:num>
  <w:num w:numId="6" w16cid:durableId="60253368">
    <w:abstractNumId w:val="50"/>
  </w:num>
  <w:num w:numId="7" w16cid:durableId="789934428">
    <w:abstractNumId w:val="49"/>
  </w:num>
  <w:num w:numId="8" w16cid:durableId="312877267">
    <w:abstractNumId w:val="48"/>
  </w:num>
  <w:num w:numId="9" w16cid:durableId="980188972">
    <w:abstractNumId w:val="11"/>
  </w:num>
  <w:num w:numId="10" w16cid:durableId="1168516455">
    <w:abstractNumId w:val="27"/>
  </w:num>
  <w:num w:numId="11" w16cid:durableId="366108744">
    <w:abstractNumId w:val="21"/>
  </w:num>
  <w:num w:numId="12" w16cid:durableId="1912737645">
    <w:abstractNumId w:val="25"/>
  </w:num>
  <w:num w:numId="13" w16cid:durableId="1746299398">
    <w:abstractNumId w:val="28"/>
  </w:num>
  <w:num w:numId="14" w16cid:durableId="994600728">
    <w:abstractNumId w:val="17"/>
  </w:num>
  <w:num w:numId="15" w16cid:durableId="280653846">
    <w:abstractNumId w:val="30"/>
  </w:num>
  <w:num w:numId="16" w16cid:durableId="385759650">
    <w:abstractNumId w:val="41"/>
  </w:num>
  <w:num w:numId="17" w16cid:durableId="773406177">
    <w:abstractNumId w:val="59"/>
  </w:num>
  <w:num w:numId="18" w16cid:durableId="334377636">
    <w:abstractNumId w:val="12"/>
  </w:num>
  <w:num w:numId="19" w16cid:durableId="1189023189">
    <w:abstractNumId w:val="40"/>
  </w:num>
  <w:num w:numId="20" w16cid:durableId="503712821">
    <w:abstractNumId w:val="33"/>
  </w:num>
  <w:num w:numId="21" w16cid:durableId="1222592754">
    <w:abstractNumId w:val="47"/>
  </w:num>
  <w:num w:numId="22" w16cid:durableId="525293039">
    <w:abstractNumId w:val="43"/>
  </w:num>
  <w:num w:numId="23" w16cid:durableId="427694746">
    <w:abstractNumId w:val="54"/>
  </w:num>
  <w:num w:numId="24" w16cid:durableId="1844783930">
    <w:abstractNumId w:val="37"/>
  </w:num>
  <w:num w:numId="25" w16cid:durableId="1507986439">
    <w:abstractNumId w:val="16"/>
  </w:num>
  <w:num w:numId="26" w16cid:durableId="680397167">
    <w:abstractNumId w:val="1"/>
  </w:num>
  <w:num w:numId="27" w16cid:durableId="1463767714">
    <w:abstractNumId w:val="0"/>
  </w:num>
  <w:num w:numId="28" w16cid:durableId="738091484">
    <w:abstractNumId w:val="38"/>
  </w:num>
  <w:num w:numId="29" w16cid:durableId="1156066587">
    <w:abstractNumId w:val="34"/>
  </w:num>
  <w:num w:numId="30" w16cid:durableId="788234007">
    <w:abstractNumId w:val="55"/>
  </w:num>
  <w:num w:numId="31" w16cid:durableId="1784687494">
    <w:abstractNumId w:val="13"/>
  </w:num>
  <w:num w:numId="32" w16cid:durableId="1385061823">
    <w:abstractNumId w:val="22"/>
  </w:num>
  <w:num w:numId="33" w16cid:durableId="1688143624">
    <w:abstractNumId w:val="56"/>
  </w:num>
  <w:num w:numId="34" w16cid:durableId="1401830562">
    <w:abstractNumId w:val="5"/>
  </w:num>
  <w:num w:numId="35" w16cid:durableId="704984206">
    <w:abstractNumId w:val="44"/>
  </w:num>
  <w:num w:numId="36" w16cid:durableId="402336436">
    <w:abstractNumId w:val="6"/>
  </w:num>
  <w:num w:numId="37" w16cid:durableId="1190219788">
    <w:abstractNumId w:val="9"/>
  </w:num>
  <w:num w:numId="38" w16cid:durableId="124585022">
    <w:abstractNumId w:val="58"/>
  </w:num>
  <w:num w:numId="39" w16cid:durableId="155196182">
    <w:abstractNumId w:val="7"/>
  </w:num>
  <w:num w:numId="40" w16cid:durableId="1080055714">
    <w:abstractNumId w:val="51"/>
  </w:num>
  <w:num w:numId="41" w16cid:durableId="377751191">
    <w:abstractNumId w:val="2"/>
  </w:num>
  <w:num w:numId="42" w16cid:durableId="1251499010">
    <w:abstractNumId w:val="23"/>
  </w:num>
  <w:num w:numId="43" w16cid:durableId="136336561">
    <w:abstractNumId w:val="35"/>
  </w:num>
  <w:num w:numId="44" w16cid:durableId="1443257163">
    <w:abstractNumId w:val="42"/>
  </w:num>
  <w:num w:numId="45" w16cid:durableId="541484816">
    <w:abstractNumId w:val="45"/>
  </w:num>
  <w:num w:numId="46" w16cid:durableId="2137485861">
    <w:abstractNumId w:val="57"/>
  </w:num>
  <w:num w:numId="47" w16cid:durableId="1286279535">
    <w:abstractNumId w:val="46"/>
  </w:num>
  <w:num w:numId="48" w16cid:durableId="2144495803">
    <w:abstractNumId w:val="8"/>
  </w:num>
  <w:num w:numId="49" w16cid:durableId="1831209127">
    <w:abstractNumId w:val="52"/>
  </w:num>
  <w:num w:numId="50" w16cid:durableId="934362938">
    <w:abstractNumId w:val="36"/>
  </w:num>
  <w:num w:numId="51" w16cid:durableId="89280281">
    <w:abstractNumId w:val="18"/>
  </w:num>
  <w:num w:numId="52" w16cid:durableId="236667265">
    <w:abstractNumId w:val="32"/>
  </w:num>
  <w:num w:numId="53" w16cid:durableId="85855775">
    <w:abstractNumId w:val="29"/>
  </w:num>
  <w:num w:numId="54" w16cid:durableId="309480767">
    <w:abstractNumId w:val="3"/>
  </w:num>
  <w:num w:numId="55" w16cid:durableId="751313858">
    <w:abstractNumId w:val="14"/>
  </w:num>
  <w:num w:numId="56" w16cid:durableId="1486512038">
    <w:abstractNumId w:val="53"/>
  </w:num>
  <w:num w:numId="57" w16cid:durableId="798768859">
    <w:abstractNumId w:val="24"/>
  </w:num>
  <w:num w:numId="58" w16cid:durableId="541482614">
    <w:abstractNumId w:val="20"/>
  </w:num>
  <w:num w:numId="59" w16cid:durableId="1875803596">
    <w:abstractNumId w:val="39"/>
  </w:num>
  <w:num w:numId="60" w16cid:durableId="1759673952">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BEB"/>
    <w:rsid w:val="00000826"/>
    <w:rsid w:val="00001159"/>
    <w:rsid w:val="00001548"/>
    <w:rsid w:val="00001721"/>
    <w:rsid w:val="000018CE"/>
    <w:rsid w:val="00001D95"/>
    <w:rsid w:val="00001DE9"/>
    <w:rsid w:val="00002475"/>
    <w:rsid w:val="00002E5A"/>
    <w:rsid w:val="00003677"/>
    <w:rsid w:val="00003B7E"/>
    <w:rsid w:val="000045B4"/>
    <w:rsid w:val="000045DA"/>
    <w:rsid w:val="000056D5"/>
    <w:rsid w:val="00006B4E"/>
    <w:rsid w:val="00010301"/>
    <w:rsid w:val="0001077D"/>
    <w:rsid w:val="00012E6C"/>
    <w:rsid w:val="000131C2"/>
    <w:rsid w:val="00013803"/>
    <w:rsid w:val="0001411F"/>
    <w:rsid w:val="000147DC"/>
    <w:rsid w:val="00014B1D"/>
    <w:rsid w:val="00015499"/>
    <w:rsid w:val="00016062"/>
    <w:rsid w:val="00016163"/>
    <w:rsid w:val="00020862"/>
    <w:rsid w:val="00020FE5"/>
    <w:rsid w:val="000219E5"/>
    <w:rsid w:val="00021B0D"/>
    <w:rsid w:val="0002209B"/>
    <w:rsid w:val="00022888"/>
    <w:rsid w:val="00022FFC"/>
    <w:rsid w:val="00023B0C"/>
    <w:rsid w:val="0002493A"/>
    <w:rsid w:val="00024BD5"/>
    <w:rsid w:val="00025733"/>
    <w:rsid w:val="00025B0C"/>
    <w:rsid w:val="000267E9"/>
    <w:rsid w:val="000278B7"/>
    <w:rsid w:val="00027F8C"/>
    <w:rsid w:val="000300CD"/>
    <w:rsid w:val="0003174A"/>
    <w:rsid w:val="000334F7"/>
    <w:rsid w:val="00033560"/>
    <w:rsid w:val="00033CEC"/>
    <w:rsid w:val="00034FEE"/>
    <w:rsid w:val="00035946"/>
    <w:rsid w:val="000373C7"/>
    <w:rsid w:val="00037B61"/>
    <w:rsid w:val="00037B6B"/>
    <w:rsid w:val="00040036"/>
    <w:rsid w:val="000419C0"/>
    <w:rsid w:val="000424E8"/>
    <w:rsid w:val="0004299E"/>
    <w:rsid w:val="00043C34"/>
    <w:rsid w:val="00043CE4"/>
    <w:rsid w:val="00043DE0"/>
    <w:rsid w:val="000452D5"/>
    <w:rsid w:val="00047C09"/>
    <w:rsid w:val="0005186E"/>
    <w:rsid w:val="00051AF6"/>
    <w:rsid w:val="00051E05"/>
    <w:rsid w:val="00053CCD"/>
    <w:rsid w:val="00054294"/>
    <w:rsid w:val="000543CD"/>
    <w:rsid w:val="00054653"/>
    <w:rsid w:val="0005502B"/>
    <w:rsid w:val="00055B43"/>
    <w:rsid w:val="0005720A"/>
    <w:rsid w:val="0005731F"/>
    <w:rsid w:val="000600E1"/>
    <w:rsid w:val="0006062F"/>
    <w:rsid w:val="000608D2"/>
    <w:rsid w:val="000609B1"/>
    <w:rsid w:val="00060F80"/>
    <w:rsid w:val="00061529"/>
    <w:rsid w:val="000639A9"/>
    <w:rsid w:val="0006483A"/>
    <w:rsid w:val="00064A24"/>
    <w:rsid w:val="000652A5"/>
    <w:rsid w:val="0006684F"/>
    <w:rsid w:val="00066B8E"/>
    <w:rsid w:val="00066E5D"/>
    <w:rsid w:val="00067B08"/>
    <w:rsid w:val="00067B5B"/>
    <w:rsid w:val="00067DA7"/>
    <w:rsid w:val="00067E5D"/>
    <w:rsid w:val="00071DEB"/>
    <w:rsid w:val="00071F07"/>
    <w:rsid w:val="00071F57"/>
    <w:rsid w:val="000731DC"/>
    <w:rsid w:val="00073831"/>
    <w:rsid w:val="00074D54"/>
    <w:rsid w:val="000758E7"/>
    <w:rsid w:val="00075A90"/>
    <w:rsid w:val="00075BB7"/>
    <w:rsid w:val="0007644C"/>
    <w:rsid w:val="00076CFE"/>
    <w:rsid w:val="00076D13"/>
    <w:rsid w:val="00076E92"/>
    <w:rsid w:val="00077187"/>
    <w:rsid w:val="0007774F"/>
    <w:rsid w:val="0008017E"/>
    <w:rsid w:val="00080779"/>
    <w:rsid w:val="0008095F"/>
    <w:rsid w:val="000812BC"/>
    <w:rsid w:val="00082560"/>
    <w:rsid w:val="00082736"/>
    <w:rsid w:val="00082A0D"/>
    <w:rsid w:val="00083186"/>
    <w:rsid w:val="0008328C"/>
    <w:rsid w:val="00083431"/>
    <w:rsid w:val="0008376B"/>
    <w:rsid w:val="00083A27"/>
    <w:rsid w:val="00083DCD"/>
    <w:rsid w:val="00084B60"/>
    <w:rsid w:val="00085630"/>
    <w:rsid w:val="00085EB8"/>
    <w:rsid w:val="00086BAB"/>
    <w:rsid w:val="00090E1B"/>
    <w:rsid w:val="00090EE1"/>
    <w:rsid w:val="00091827"/>
    <w:rsid w:val="0009190A"/>
    <w:rsid w:val="00092A78"/>
    <w:rsid w:val="000933AE"/>
    <w:rsid w:val="00093875"/>
    <w:rsid w:val="00094DDA"/>
    <w:rsid w:val="000954C4"/>
    <w:rsid w:val="00095C30"/>
    <w:rsid w:val="00095D5F"/>
    <w:rsid w:val="00096692"/>
    <w:rsid w:val="0009768A"/>
    <w:rsid w:val="00097B18"/>
    <w:rsid w:val="00097D5F"/>
    <w:rsid w:val="00097DC4"/>
    <w:rsid w:val="000A006B"/>
    <w:rsid w:val="000A0685"/>
    <w:rsid w:val="000A07BD"/>
    <w:rsid w:val="000A0AF0"/>
    <w:rsid w:val="000A1648"/>
    <w:rsid w:val="000A1B23"/>
    <w:rsid w:val="000A1E61"/>
    <w:rsid w:val="000A2473"/>
    <w:rsid w:val="000A26E7"/>
    <w:rsid w:val="000A31C0"/>
    <w:rsid w:val="000A31DE"/>
    <w:rsid w:val="000A3E62"/>
    <w:rsid w:val="000A40B5"/>
    <w:rsid w:val="000A548B"/>
    <w:rsid w:val="000A55B7"/>
    <w:rsid w:val="000A5EC0"/>
    <w:rsid w:val="000A6F8E"/>
    <w:rsid w:val="000A776F"/>
    <w:rsid w:val="000A7BAA"/>
    <w:rsid w:val="000A7E9E"/>
    <w:rsid w:val="000A7EF3"/>
    <w:rsid w:val="000B09F2"/>
    <w:rsid w:val="000B0ADA"/>
    <w:rsid w:val="000B0FE0"/>
    <w:rsid w:val="000B10EA"/>
    <w:rsid w:val="000B11CC"/>
    <w:rsid w:val="000B1652"/>
    <w:rsid w:val="000B1E2F"/>
    <w:rsid w:val="000B24DB"/>
    <w:rsid w:val="000B3D3D"/>
    <w:rsid w:val="000B7909"/>
    <w:rsid w:val="000C02B7"/>
    <w:rsid w:val="000C0E94"/>
    <w:rsid w:val="000C232E"/>
    <w:rsid w:val="000C28E2"/>
    <w:rsid w:val="000C3800"/>
    <w:rsid w:val="000C505D"/>
    <w:rsid w:val="000C537D"/>
    <w:rsid w:val="000C5AAE"/>
    <w:rsid w:val="000C5C13"/>
    <w:rsid w:val="000C608E"/>
    <w:rsid w:val="000C6631"/>
    <w:rsid w:val="000C66B6"/>
    <w:rsid w:val="000C69B4"/>
    <w:rsid w:val="000C7A19"/>
    <w:rsid w:val="000C7BD8"/>
    <w:rsid w:val="000D05C0"/>
    <w:rsid w:val="000D06D3"/>
    <w:rsid w:val="000D0C5B"/>
    <w:rsid w:val="000D1AB4"/>
    <w:rsid w:val="000D1CBF"/>
    <w:rsid w:val="000D1D1C"/>
    <w:rsid w:val="000D1E79"/>
    <w:rsid w:val="000D30E1"/>
    <w:rsid w:val="000D3899"/>
    <w:rsid w:val="000D41C4"/>
    <w:rsid w:val="000D4B6F"/>
    <w:rsid w:val="000D4BB5"/>
    <w:rsid w:val="000D4F3F"/>
    <w:rsid w:val="000D77AC"/>
    <w:rsid w:val="000E0734"/>
    <w:rsid w:val="000E1778"/>
    <w:rsid w:val="000E249B"/>
    <w:rsid w:val="000E41E7"/>
    <w:rsid w:val="000E489C"/>
    <w:rsid w:val="000E49BF"/>
    <w:rsid w:val="000E5486"/>
    <w:rsid w:val="000E5743"/>
    <w:rsid w:val="000E6F2F"/>
    <w:rsid w:val="000F0264"/>
    <w:rsid w:val="000F04FB"/>
    <w:rsid w:val="000F0772"/>
    <w:rsid w:val="000F09A7"/>
    <w:rsid w:val="000F0C4B"/>
    <w:rsid w:val="000F13B5"/>
    <w:rsid w:val="000F187A"/>
    <w:rsid w:val="000F2744"/>
    <w:rsid w:val="000F309D"/>
    <w:rsid w:val="000F33AC"/>
    <w:rsid w:val="000F358C"/>
    <w:rsid w:val="000F3EBE"/>
    <w:rsid w:val="000F537B"/>
    <w:rsid w:val="000F5CBB"/>
    <w:rsid w:val="000F6986"/>
    <w:rsid w:val="000F6A6B"/>
    <w:rsid w:val="000F7D61"/>
    <w:rsid w:val="00100555"/>
    <w:rsid w:val="001007F7"/>
    <w:rsid w:val="0010109F"/>
    <w:rsid w:val="00101829"/>
    <w:rsid w:val="00102B60"/>
    <w:rsid w:val="00102EDA"/>
    <w:rsid w:val="00104936"/>
    <w:rsid w:val="00104A1A"/>
    <w:rsid w:val="00104D13"/>
    <w:rsid w:val="00105B6A"/>
    <w:rsid w:val="00105C12"/>
    <w:rsid w:val="001063FD"/>
    <w:rsid w:val="001073DE"/>
    <w:rsid w:val="001075A4"/>
    <w:rsid w:val="00110B72"/>
    <w:rsid w:val="001110B6"/>
    <w:rsid w:val="00111FA4"/>
    <w:rsid w:val="001141CD"/>
    <w:rsid w:val="00114B27"/>
    <w:rsid w:val="00116075"/>
    <w:rsid w:val="001167B0"/>
    <w:rsid w:val="001169C3"/>
    <w:rsid w:val="00116F74"/>
    <w:rsid w:val="00120010"/>
    <w:rsid w:val="00120804"/>
    <w:rsid w:val="00121037"/>
    <w:rsid w:val="00121C6E"/>
    <w:rsid w:val="00122301"/>
    <w:rsid w:val="00122CC1"/>
    <w:rsid w:val="001237A4"/>
    <w:rsid w:val="0012409B"/>
    <w:rsid w:val="00124ED8"/>
    <w:rsid w:val="001252AE"/>
    <w:rsid w:val="0012568A"/>
    <w:rsid w:val="001256BB"/>
    <w:rsid w:val="00126090"/>
    <w:rsid w:val="0012612F"/>
    <w:rsid w:val="00126C0A"/>
    <w:rsid w:val="00126C75"/>
    <w:rsid w:val="00127961"/>
    <w:rsid w:val="00131C55"/>
    <w:rsid w:val="0013402A"/>
    <w:rsid w:val="001351B6"/>
    <w:rsid w:val="001358DA"/>
    <w:rsid w:val="00135F24"/>
    <w:rsid w:val="001364A2"/>
    <w:rsid w:val="00136C17"/>
    <w:rsid w:val="00137B87"/>
    <w:rsid w:val="00137DB2"/>
    <w:rsid w:val="00140240"/>
    <w:rsid w:val="00140782"/>
    <w:rsid w:val="00141462"/>
    <w:rsid w:val="001418A9"/>
    <w:rsid w:val="00141CF4"/>
    <w:rsid w:val="001420E2"/>
    <w:rsid w:val="00142326"/>
    <w:rsid w:val="001433EE"/>
    <w:rsid w:val="00143B4B"/>
    <w:rsid w:val="00143B55"/>
    <w:rsid w:val="00144038"/>
    <w:rsid w:val="00144263"/>
    <w:rsid w:val="00145110"/>
    <w:rsid w:val="00145122"/>
    <w:rsid w:val="00145BD5"/>
    <w:rsid w:val="00147B3B"/>
    <w:rsid w:val="001507A7"/>
    <w:rsid w:val="001522ED"/>
    <w:rsid w:val="0015307E"/>
    <w:rsid w:val="00153675"/>
    <w:rsid w:val="00154849"/>
    <w:rsid w:val="00154999"/>
    <w:rsid w:val="00154BF6"/>
    <w:rsid w:val="00155407"/>
    <w:rsid w:val="001562A1"/>
    <w:rsid w:val="001563EA"/>
    <w:rsid w:val="001568D2"/>
    <w:rsid w:val="0015694D"/>
    <w:rsid w:val="00156D31"/>
    <w:rsid w:val="00156EAC"/>
    <w:rsid w:val="00157999"/>
    <w:rsid w:val="00160213"/>
    <w:rsid w:val="00160564"/>
    <w:rsid w:val="00160C23"/>
    <w:rsid w:val="001619A4"/>
    <w:rsid w:val="001620A0"/>
    <w:rsid w:val="00162C28"/>
    <w:rsid w:val="00162FA1"/>
    <w:rsid w:val="001632AC"/>
    <w:rsid w:val="00163876"/>
    <w:rsid w:val="00163900"/>
    <w:rsid w:val="00163D29"/>
    <w:rsid w:val="00163EA3"/>
    <w:rsid w:val="00164223"/>
    <w:rsid w:val="001646C9"/>
    <w:rsid w:val="00164CF1"/>
    <w:rsid w:val="001653AD"/>
    <w:rsid w:val="001657F0"/>
    <w:rsid w:val="00166732"/>
    <w:rsid w:val="00166CCB"/>
    <w:rsid w:val="001672DF"/>
    <w:rsid w:val="00167C71"/>
    <w:rsid w:val="00170E55"/>
    <w:rsid w:val="001714A3"/>
    <w:rsid w:val="001726DF"/>
    <w:rsid w:val="00172B8C"/>
    <w:rsid w:val="00172E44"/>
    <w:rsid w:val="00173CBA"/>
    <w:rsid w:val="0017467A"/>
    <w:rsid w:val="00174B49"/>
    <w:rsid w:val="001755C6"/>
    <w:rsid w:val="0017743C"/>
    <w:rsid w:val="00177889"/>
    <w:rsid w:val="00177B0C"/>
    <w:rsid w:val="00177CE9"/>
    <w:rsid w:val="00180A85"/>
    <w:rsid w:val="00181109"/>
    <w:rsid w:val="00181EF1"/>
    <w:rsid w:val="00182151"/>
    <w:rsid w:val="001834E0"/>
    <w:rsid w:val="00185710"/>
    <w:rsid w:val="00187084"/>
    <w:rsid w:val="001871B3"/>
    <w:rsid w:val="00187FEC"/>
    <w:rsid w:val="00190799"/>
    <w:rsid w:val="00192795"/>
    <w:rsid w:val="00193AFC"/>
    <w:rsid w:val="00193F20"/>
    <w:rsid w:val="0019409A"/>
    <w:rsid w:val="00194C08"/>
    <w:rsid w:val="001953CB"/>
    <w:rsid w:val="00196693"/>
    <w:rsid w:val="00196D10"/>
    <w:rsid w:val="0019754D"/>
    <w:rsid w:val="0019764C"/>
    <w:rsid w:val="0019793E"/>
    <w:rsid w:val="001A0690"/>
    <w:rsid w:val="001A11A4"/>
    <w:rsid w:val="001A11A8"/>
    <w:rsid w:val="001A1680"/>
    <w:rsid w:val="001A35A6"/>
    <w:rsid w:val="001A41C4"/>
    <w:rsid w:val="001A420B"/>
    <w:rsid w:val="001A4407"/>
    <w:rsid w:val="001A47C0"/>
    <w:rsid w:val="001A484D"/>
    <w:rsid w:val="001A5530"/>
    <w:rsid w:val="001A554A"/>
    <w:rsid w:val="001A5851"/>
    <w:rsid w:val="001A5A23"/>
    <w:rsid w:val="001A5D52"/>
    <w:rsid w:val="001A61C9"/>
    <w:rsid w:val="001A7894"/>
    <w:rsid w:val="001A7B24"/>
    <w:rsid w:val="001B0325"/>
    <w:rsid w:val="001B1384"/>
    <w:rsid w:val="001B1611"/>
    <w:rsid w:val="001B2786"/>
    <w:rsid w:val="001B2D18"/>
    <w:rsid w:val="001B3D56"/>
    <w:rsid w:val="001B53E7"/>
    <w:rsid w:val="001B5A34"/>
    <w:rsid w:val="001B6C3E"/>
    <w:rsid w:val="001B79F5"/>
    <w:rsid w:val="001C026D"/>
    <w:rsid w:val="001C0299"/>
    <w:rsid w:val="001C0A93"/>
    <w:rsid w:val="001C1089"/>
    <w:rsid w:val="001C162B"/>
    <w:rsid w:val="001C1DCB"/>
    <w:rsid w:val="001C1F03"/>
    <w:rsid w:val="001C2465"/>
    <w:rsid w:val="001C34E7"/>
    <w:rsid w:val="001C3EBF"/>
    <w:rsid w:val="001C5A9A"/>
    <w:rsid w:val="001C5DDE"/>
    <w:rsid w:val="001C5FA6"/>
    <w:rsid w:val="001C6270"/>
    <w:rsid w:val="001C6E36"/>
    <w:rsid w:val="001D0B72"/>
    <w:rsid w:val="001D16A0"/>
    <w:rsid w:val="001D262D"/>
    <w:rsid w:val="001D44AE"/>
    <w:rsid w:val="001D4E80"/>
    <w:rsid w:val="001D52B0"/>
    <w:rsid w:val="001D69DC"/>
    <w:rsid w:val="001E02D6"/>
    <w:rsid w:val="001E0F04"/>
    <w:rsid w:val="001E17EC"/>
    <w:rsid w:val="001E2CB6"/>
    <w:rsid w:val="001E3FF3"/>
    <w:rsid w:val="001E41B0"/>
    <w:rsid w:val="001E5EE4"/>
    <w:rsid w:val="001E6306"/>
    <w:rsid w:val="001E78E8"/>
    <w:rsid w:val="001E78F6"/>
    <w:rsid w:val="001F0EFE"/>
    <w:rsid w:val="001F1FF9"/>
    <w:rsid w:val="001F21CB"/>
    <w:rsid w:val="001F53E9"/>
    <w:rsid w:val="001F6740"/>
    <w:rsid w:val="001F6EEB"/>
    <w:rsid w:val="001F740E"/>
    <w:rsid w:val="002008F9"/>
    <w:rsid w:val="00201F11"/>
    <w:rsid w:val="00202ED5"/>
    <w:rsid w:val="0020316C"/>
    <w:rsid w:val="00203189"/>
    <w:rsid w:val="00203CB3"/>
    <w:rsid w:val="00203CF1"/>
    <w:rsid w:val="00203FB7"/>
    <w:rsid w:val="002040B7"/>
    <w:rsid w:val="00204FE5"/>
    <w:rsid w:val="0020543F"/>
    <w:rsid w:val="002055C4"/>
    <w:rsid w:val="002059D8"/>
    <w:rsid w:val="002062D0"/>
    <w:rsid w:val="0020765B"/>
    <w:rsid w:val="00210920"/>
    <w:rsid w:val="00211531"/>
    <w:rsid w:val="00211533"/>
    <w:rsid w:val="002117A2"/>
    <w:rsid w:val="002134BA"/>
    <w:rsid w:val="002138A3"/>
    <w:rsid w:val="002147F7"/>
    <w:rsid w:val="00215B5F"/>
    <w:rsid w:val="00216E43"/>
    <w:rsid w:val="002173B4"/>
    <w:rsid w:val="00217F8D"/>
    <w:rsid w:val="00221123"/>
    <w:rsid w:val="00222671"/>
    <w:rsid w:val="00222E6A"/>
    <w:rsid w:val="002230F3"/>
    <w:rsid w:val="00223F2A"/>
    <w:rsid w:val="00224201"/>
    <w:rsid w:val="00224E95"/>
    <w:rsid w:val="00225854"/>
    <w:rsid w:val="00226C93"/>
    <w:rsid w:val="00226DE3"/>
    <w:rsid w:val="00227309"/>
    <w:rsid w:val="002273C9"/>
    <w:rsid w:val="002274BB"/>
    <w:rsid w:val="00227610"/>
    <w:rsid w:val="00227CD5"/>
    <w:rsid w:val="00227E0B"/>
    <w:rsid w:val="002306F1"/>
    <w:rsid w:val="00231278"/>
    <w:rsid w:val="002313ED"/>
    <w:rsid w:val="0023315B"/>
    <w:rsid w:val="0023358B"/>
    <w:rsid w:val="00233814"/>
    <w:rsid w:val="0023407D"/>
    <w:rsid w:val="0023444A"/>
    <w:rsid w:val="00235233"/>
    <w:rsid w:val="0023629F"/>
    <w:rsid w:val="002366A3"/>
    <w:rsid w:val="00237180"/>
    <w:rsid w:val="00237A3E"/>
    <w:rsid w:val="002402D1"/>
    <w:rsid w:val="00240912"/>
    <w:rsid w:val="0024112E"/>
    <w:rsid w:val="00241621"/>
    <w:rsid w:val="002459FF"/>
    <w:rsid w:val="002467D3"/>
    <w:rsid w:val="00246D06"/>
    <w:rsid w:val="00246FA0"/>
    <w:rsid w:val="00247A25"/>
    <w:rsid w:val="00250906"/>
    <w:rsid w:val="00250968"/>
    <w:rsid w:val="00250BA6"/>
    <w:rsid w:val="00251E4C"/>
    <w:rsid w:val="00252729"/>
    <w:rsid w:val="00252E45"/>
    <w:rsid w:val="002537A9"/>
    <w:rsid w:val="00253BA1"/>
    <w:rsid w:val="0025404C"/>
    <w:rsid w:val="0025476A"/>
    <w:rsid w:val="00255E32"/>
    <w:rsid w:val="002560C3"/>
    <w:rsid w:val="00256FDD"/>
    <w:rsid w:val="00257CAC"/>
    <w:rsid w:val="00257F6F"/>
    <w:rsid w:val="0026013F"/>
    <w:rsid w:val="0026017C"/>
    <w:rsid w:val="002602C8"/>
    <w:rsid w:val="002605BA"/>
    <w:rsid w:val="00260D18"/>
    <w:rsid w:val="00261020"/>
    <w:rsid w:val="00261DC0"/>
    <w:rsid w:val="002626D1"/>
    <w:rsid w:val="00263219"/>
    <w:rsid w:val="0026359B"/>
    <w:rsid w:val="0026401D"/>
    <w:rsid w:val="00264653"/>
    <w:rsid w:val="00265050"/>
    <w:rsid w:val="0026579C"/>
    <w:rsid w:val="002664F8"/>
    <w:rsid w:val="00266E45"/>
    <w:rsid w:val="00266EB4"/>
    <w:rsid w:val="0026708C"/>
    <w:rsid w:val="00267E57"/>
    <w:rsid w:val="002708CB"/>
    <w:rsid w:val="00271019"/>
    <w:rsid w:val="00271301"/>
    <w:rsid w:val="00271416"/>
    <w:rsid w:val="002724C7"/>
    <w:rsid w:val="00273434"/>
    <w:rsid w:val="00274548"/>
    <w:rsid w:val="002755B5"/>
    <w:rsid w:val="0027605D"/>
    <w:rsid w:val="00276202"/>
    <w:rsid w:val="00276A32"/>
    <w:rsid w:val="0027716A"/>
    <w:rsid w:val="00277255"/>
    <w:rsid w:val="00281378"/>
    <w:rsid w:val="00282409"/>
    <w:rsid w:val="0028374B"/>
    <w:rsid w:val="00283CEE"/>
    <w:rsid w:val="0028492E"/>
    <w:rsid w:val="00285FCB"/>
    <w:rsid w:val="002868F1"/>
    <w:rsid w:val="002873D7"/>
    <w:rsid w:val="00287CDE"/>
    <w:rsid w:val="002923D2"/>
    <w:rsid w:val="00292861"/>
    <w:rsid w:val="0029347A"/>
    <w:rsid w:val="00293AFC"/>
    <w:rsid w:val="00293E1A"/>
    <w:rsid w:val="00294135"/>
    <w:rsid w:val="002952B8"/>
    <w:rsid w:val="00296BED"/>
    <w:rsid w:val="002A0B86"/>
    <w:rsid w:val="002A142A"/>
    <w:rsid w:val="002A16FC"/>
    <w:rsid w:val="002A1717"/>
    <w:rsid w:val="002A1AD7"/>
    <w:rsid w:val="002A1EEE"/>
    <w:rsid w:val="002A2E0C"/>
    <w:rsid w:val="002A2EE1"/>
    <w:rsid w:val="002A3AF2"/>
    <w:rsid w:val="002A46DB"/>
    <w:rsid w:val="002A53F7"/>
    <w:rsid w:val="002A6049"/>
    <w:rsid w:val="002A6250"/>
    <w:rsid w:val="002A7A87"/>
    <w:rsid w:val="002A7F09"/>
    <w:rsid w:val="002B0276"/>
    <w:rsid w:val="002B0281"/>
    <w:rsid w:val="002B10A3"/>
    <w:rsid w:val="002B17F5"/>
    <w:rsid w:val="002B2949"/>
    <w:rsid w:val="002B37A2"/>
    <w:rsid w:val="002B3A13"/>
    <w:rsid w:val="002B4485"/>
    <w:rsid w:val="002B4D4A"/>
    <w:rsid w:val="002B4D5A"/>
    <w:rsid w:val="002B5679"/>
    <w:rsid w:val="002B589B"/>
    <w:rsid w:val="002B64EA"/>
    <w:rsid w:val="002B714A"/>
    <w:rsid w:val="002B7721"/>
    <w:rsid w:val="002B7A19"/>
    <w:rsid w:val="002C0BA0"/>
    <w:rsid w:val="002C0ECE"/>
    <w:rsid w:val="002C14C9"/>
    <w:rsid w:val="002C1F17"/>
    <w:rsid w:val="002C22B0"/>
    <w:rsid w:val="002C2E49"/>
    <w:rsid w:val="002C3B43"/>
    <w:rsid w:val="002C3FE5"/>
    <w:rsid w:val="002C5665"/>
    <w:rsid w:val="002C5AC8"/>
    <w:rsid w:val="002C5B3F"/>
    <w:rsid w:val="002C616E"/>
    <w:rsid w:val="002C6DEB"/>
    <w:rsid w:val="002D0A3F"/>
    <w:rsid w:val="002D113B"/>
    <w:rsid w:val="002D17BB"/>
    <w:rsid w:val="002D281F"/>
    <w:rsid w:val="002D49AE"/>
    <w:rsid w:val="002D5F51"/>
    <w:rsid w:val="002D6DF1"/>
    <w:rsid w:val="002D72C2"/>
    <w:rsid w:val="002D7529"/>
    <w:rsid w:val="002D77D8"/>
    <w:rsid w:val="002E0AB8"/>
    <w:rsid w:val="002E10D2"/>
    <w:rsid w:val="002E1689"/>
    <w:rsid w:val="002E17BB"/>
    <w:rsid w:val="002E2E5A"/>
    <w:rsid w:val="002E30FC"/>
    <w:rsid w:val="002E360B"/>
    <w:rsid w:val="002E3693"/>
    <w:rsid w:val="002E4249"/>
    <w:rsid w:val="002E5259"/>
    <w:rsid w:val="002E5631"/>
    <w:rsid w:val="002E56D4"/>
    <w:rsid w:val="002E601B"/>
    <w:rsid w:val="002E7CD5"/>
    <w:rsid w:val="002F050C"/>
    <w:rsid w:val="002F052E"/>
    <w:rsid w:val="002F1E88"/>
    <w:rsid w:val="002F3349"/>
    <w:rsid w:val="002F3457"/>
    <w:rsid w:val="002F38B7"/>
    <w:rsid w:val="002F3A8A"/>
    <w:rsid w:val="002F44CF"/>
    <w:rsid w:val="002F4EF9"/>
    <w:rsid w:val="002F6161"/>
    <w:rsid w:val="002F70B3"/>
    <w:rsid w:val="002F765C"/>
    <w:rsid w:val="002F7821"/>
    <w:rsid w:val="002F7887"/>
    <w:rsid w:val="002F7B0A"/>
    <w:rsid w:val="00300145"/>
    <w:rsid w:val="00300230"/>
    <w:rsid w:val="00300362"/>
    <w:rsid w:val="0030167D"/>
    <w:rsid w:val="00301800"/>
    <w:rsid w:val="00301BBA"/>
    <w:rsid w:val="003021A0"/>
    <w:rsid w:val="00303AA7"/>
    <w:rsid w:val="00305C40"/>
    <w:rsid w:val="00305F20"/>
    <w:rsid w:val="00305F31"/>
    <w:rsid w:val="0030650C"/>
    <w:rsid w:val="00306761"/>
    <w:rsid w:val="00307281"/>
    <w:rsid w:val="00307F08"/>
    <w:rsid w:val="00310B26"/>
    <w:rsid w:val="0031195C"/>
    <w:rsid w:val="003123AE"/>
    <w:rsid w:val="003129F9"/>
    <w:rsid w:val="00313B46"/>
    <w:rsid w:val="003151A3"/>
    <w:rsid w:val="00315A5F"/>
    <w:rsid w:val="00316234"/>
    <w:rsid w:val="0031680C"/>
    <w:rsid w:val="00317BD4"/>
    <w:rsid w:val="0032055E"/>
    <w:rsid w:val="00320CBE"/>
    <w:rsid w:val="003213C7"/>
    <w:rsid w:val="0032161E"/>
    <w:rsid w:val="00321977"/>
    <w:rsid w:val="00322D79"/>
    <w:rsid w:val="0032341C"/>
    <w:rsid w:val="0032350D"/>
    <w:rsid w:val="00325FAD"/>
    <w:rsid w:val="003269D8"/>
    <w:rsid w:val="003273DE"/>
    <w:rsid w:val="00327428"/>
    <w:rsid w:val="00327B30"/>
    <w:rsid w:val="00327B3D"/>
    <w:rsid w:val="00327CDC"/>
    <w:rsid w:val="00327EFB"/>
    <w:rsid w:val="0033038F"/>
    <w:rsid w:val="00330499"/>
    <w:rsid w:val="003318AD"/>
    <w:rsid w:val="003319E6"/>
    <w:rsid w:val="00332B37"/>
    <w:rsid w:val="00332DDB"/>
    <w:rsid w:val="00333142"/>
    <w:rsid w:val="003335A8"/>
    <w:rsid w:val="00334E60"/>
    <w:rsid w:val="00335D08"/>
    <w:rsid w:val="00336B6F"/>
    <w:rsid w:val="0033706D"/>
    <w:rsid w:val="00337B0E"/>
    <w:rsid w:val="00340154"/>
    <w:rsid w:val="003401D3"/>
    <w:rsid w:val="00340D73"/>
    <w:rsid w:val="00341082"/>
    <w:rsid w:val="0034110F"/>
    <w:rsid w:val="00341472"/>
    <w:rsid w:val="00341706"/>
    <w:rsid w:val="003417EA"/>
    <w:rsid w:val="00341E05"/>
    <w:rsid w:val="00342C7B"/>
    <w:rsid w:val="00342EE4"/>
    <w:rsid w:val="003438DE"/>
    <w:rsid w:val="00343FDA"/>
    <w:rsid w:val="00344372"/>
    <w:rsid w:val="00344BB1"/>
    <w:rsid w:val="00344C82"/>
    <w:rsid w:val="00345F62"/>
    <w:rsid w:val="00347EF0"/>
    <w:rsid w:val="0035035C"/>
    <w:rsid w:val="00350463"/>
    <w:rsid w:val="0035121A"/>
    <w:rsid w:val="00352780"/>
    <w:rsid w:val="003532A1"/>
    <w:rsid w:val="00353FD5"/>
    <w:rsid w:val="00354440"/>
    <w:rsid w:val="00354BF1"/>
    <w:rsid w:val="00357E5F"/>
    <w:rsid w:val="00357F39"/>
    <w:rsid w:val="00357FFB"/>
    <w:rsid w:val="003616F7"/>
    <w:rsid w:val="00362D88"/>
    <w:rsid w:val="00363E9B"/>
    <w:rsid w:val="00364AB6"/>
    <w:rsid w:val="003654B6"/>
    <w:rsid w:val="0036573B"/>
    <w:rsid w:val="00365D3C"/>
    <w:rsid w:val="003662B4"/>
    <w:rsid w:val="00366667"/>
    <w:rsid w:val="003666F6"/>
    <w:rsid w:val="00366717"/>
    <w:rsid w:val="00367297"/>
    <w:rsid w:val="003675F9"/>
    <w:rsid w:val="0036760F"/>
    <w:rsid w:val="0037023F"/>
    <w:rsid w:val="00370A26"/>
    <w:rsid w:val="00370D52"/>
    <w:rsid w:val="00370EEA"/>
    <w:rsid w:val="00371572"/>
    <w:rsid w:val="00371E04"/>
    <w:rsid w:val="003720B0"/>
    <w:rsid w:val="003728EE"/>
    <w:rsid w:val="00372BBE"/>
    <w:rsid w:val="003731B9"/>
    <w:rsid w:val="0037333B"/>
    <w:rsid w:val="00373531"/>
    <w:rsid w:val="00374382"/>
    <w:rsid w:val="003744AF"/>
    <w:rsid w:val="00374871"/>
    <w:rsid w:val="0037772E"/>
    <w:rsid w:val="0037780A"/>
    <w:rsid w:val="00380C6F"/>
    <w:rsid w:val="00380C90"/>
    <w:rsid w:val="003818C0"/>
    <w:rsid w:val="003823EF"/>
    <w:rsid w:val="00383489"/>
    <w:rsid w:val="003842FB"/>
    <w:rsid w:val="00384815"/>
    <w:rsid w:val="00385998"/>
    <w:rsid w:val="00386254"/>
    <w:rsid w:val="00386F6E"/>
    <w:rsid w:val="0038768B"/>
    <w:rsid w:val="00387BB2"/>
    <w:rsid w:val="00390584"/>
    <w:rsid w:val="00390589"/>
    <w:rsid w:val="00390957"/>
    <w:rsid w:val="00391034"/>
    <w:rsid w:val="003917F3"/>
    <w:rsid w:val="00391A87"/>
    <w:rsid w:val="00391B6D"/>
    <w:rsid w:val="00391C3F"/>
    <w:rsid w:val="00392200"/>
    <w:rsid w:val="00392773"/>
    <w:rsid w:val="003927C0"/>
    <w:rsid w:val="0039291F"/>
    <w:rsid w:val="00392C14"/>
    <w:rsid w:val="003936DD"/>
    <w:rsid w:val="00394374"/>
    <w:rsid w:val="00394C03"/>
    <w:rsid w:val="00395952"/>
    <w:rsid w:val="00395B07"/>
    <w:rsid w:val="00396A51"/>
    <w:rsid w:val="00396B10"/>
    <w:rsid w:val="0039773D"/>
    <w:rsid w:val="00397916"/>
    <w:rsid w:val="00397E08"/>
    <w:rsid w:val="003A02AE"/>
    <w:rsid w:val="003A030B"/>
    <w:rsid w:val="003A16A0"/>
    <w:rsid w:val="003A1D3E"/>
    <w:rsid w:val="003A30F1"/>
    <w:rsid w:val="003A5817"/>
    <w:rsid w:val="003A5AEE"/>
    <w:rsid w:val="003A6EC5"/>
    <w:rsid w:val="003A6FDF"/>
    <w:rsid w:val="003A7CED"/>
    <w:rsid w:val="003B0D4A"/>
    <w:rsid w:val="003B1292"/>
    <w:rsid w:val="003B27D4"/>
    <w:rsid w:val="003B37F0"/>
    <w:rsid w:val="003B40A7"/>
    <w:rsid w:val="003B4553"/>
    <w:rsid w:val="003B47A5"/>
    <w:rsid w:val="003B4BE8"/>
    <w:rsid w:val="003B4CAD"/>
    <w:rsid w:val="003B58D9"/>
    <w:rsid w:val="003B5FA5"/>
    <w:rsid w:val="003B69F4"/>
    <w:rsid w:val="003B70ED"/>
    <w:rsid w:val="003B7125"/>
    <w:rsid w:val="003C06D3"/>
    <w:rsid w:val="003C13C9"/>
    <w:rsid w:val="003C18F5"/>
    <w:rsid w:val="003C1A0C"/>
    <w:rsid w:val="003C1DBC"/>
    <w:rsid w:val="003C296F"/>
    <w:rsid w:val="003C3D8B"/>
    <w:rsid w:val="003C4832"/>
    <w:rsid w:val="003C4A70"/>
    <w:rsid w:val="003C6526"/>
    <w:rsid w:val="003C6E0A"/>
    <w:rsid w:val="003C741E"/>
    <w:rsid w:val="003C7972"/>
    <w:rsid w:val="003D0E3F"/>
    <w:rsid w:val="003D1379"/>
    <w:rsid w:val="003D14E4"/>
    <w:rsid w:val="003D1BDE"/>
    <w:rsid w:val="003D2086"/>
    <w:rsid w:val="003D221C"/>
    <w:rsid w:val="003D2B48"/>
    <w:rsid w:val="003D465E"/>
    <w:rsid w:val="003D46C8"/>
    <w:rsid w:val="003D49D2"/>
    <w:rsid w:val="003D67F0"/>
    <w:rsid w:val="003D6DBF"/>
    <w:rsid w:val="003D6FD7"/>
    <w:rsid w:val="003D74D9"/>
    <w:rsid w:val="003E072B"/>
    <w:rsid w:val="003E495B"/>
    <w:rsid w:val="003E6077"/>
    <w:rsid w:val="003E61D5"/>
    <w:rsid w:val="003E6C9F"/>
    <w:rsid w:val="003E722C"/>
    <w:rsid w:val="003E75ED"/>
    <w:rsid w:val="003F0913"/>
    <w:rsid w:val="003F09AE"/>
    <w:rsid w:val="003F0A92"/>
    <w:rsid w:val="003F0B36"/>
    <w:rsid w:val="003F13EE"/>
    <w:rsid w:val="003F2149"/>
    <w:rsid w:val="003F5018"/>
    <w:rsid w:val="003F5A76"/>
    <w:rsid w:val="003F5DFB"/>
    <w:rsid w:val="003F627D"/>
    <w:rsid w:val="003F65E1"/>
    <w:rsid w:val="004017DF"/>
    <w:rsid w:val="004023FE"/>
    <w:rsid w:val="00402680"/>
    <w:rsid w:val="00402C1F"/>
    <w:rsid w:val="004039A2"/>
    <w:rsid w:val="00404658"/>
    <w:rsid w:val="004054BC"/>
    <w:rsid w:val="00405571"/>
    <w:rsid w:val="00405593"/>
    <w:rsid w:val="004055CD"/>
    <w:rsid w:val="00405BE1"/>
    <w:rsid w:val="00405F07"/>
    <w:rsid w:val="004064F1"/>
    <w:rsid w:val="004069D8"/>
    <w:rsid w:val="00406F8E"/>
    <w:rsid w:val="00407C39"/>
    <w:rsid w:val="00410B09"/>
    <w:rsid w:val="004113C1"/>
    <w:rsid w:val="00411EBE"/>
    <w:rsid w:val="0041268D"/>
    <w:rsid w:val="004136BA"/>
    <w:rsid w:val="00414D74"/>
    <w:rsid w:val="00417310"/>
    <w:rsid w:val="004175E7"/>
    <w:rsid w:val="004179C3"/>
    <w:rsid w:val="004202F5"/>
    <w:rsid w:val="00420BAE"/>
    <w:rsid w:val="004214FD"/>
    <w:rsid w:val="004217F4"/>
    <w:rsid w:val="00421B48"/>
    <w:rsid w:val="00421BBA"/>
    <w:rsid w:val="00421BF3"/>
    <w:rsid w:val="004220CA"/>
    <w:rsid w:val="0042220C"/>
    <w:rsid w:val="004224E4"/>
    <w:rsid w:val="00422888"/>
    <w:rsid w:val="00422EBE"/>
    <w:rsid w:val="00423A19"/>
    <w:rsid w:val="004245BA"/>
    <w:rsid w:val="00424712"/>
    <w:rsid w:val="00425A6E"/>
    <w:rsid w:val="00425E99"/>
    <w:rsid w:val="00426EE4"/>
    <w:rsid w:val="00427AA2"/>
    <w:rsid w:val="004319E9"/>
    <w:rsid w:val="004327D4"/>
    <w:rsid w:val="00432C98"/>
    <w:rsid w:val="00434A9C"/>
    <w:rsid w:val="00435608"/>
    <w:rsid w:val="00435C0A"/>
    <w:rsid w:val="00435FCB"/>
    <w:rsid w:val="0043691F"/>
    <w:rsid w:val="00437580"/>
    <w:rsid w:val="004400FB"/>
    <w:rsid w:val="004404C6"/>
    <w:rsid w:val="0044063B"/>
    <w:rsid w:val="00440F44"/>
    <w:rsid w:val="00441EB5"/>
    <w:rsid w:val="00442824"/>
    <w:rsid w:val="00442C45"/>
    <w:rsid w:val="00444874"/>
    <w:rsid w:val="00444DA5"/>
    <w:rsid w:val="00444F9D"/>
    <w:rsid w:val="004454AB"/>
    <w:rsid w:val="00445808"/>
    <w:rsid w:val="00445C5F"/>
    <w:rsid w:val="00446AF0"/>
    <w:rsid w:val="00446EBD"/>
    <w:rsid w:val="00447D11"/>
    <w:rsid w:val="00450022"/>
    <w:rsid w:val="004503CE"/>
    <w:rsid w:val="0045156B"/>
    <w:rsid w:val="00451635"/>
    <w:rsid w:val="004538C1"/>
    <w:rsid w:val="00454110"/>
    <w:rsid w:val="00455073"/>
    <w:rsid w:val="004560CD"/>
    <w:rsid w:val="004567D2"/>
    <w:rsid w:val="0045697C"/>
    <w:rsid w:val="0045698F"/>
    <w:rsid w:val="00457072"/>
    <w:rsid w:val="00457792"/>
    <w:rsid w:val="00460446"/>
    <w:rsid w:val="00460784"/>
    <w:rsid w:val="00460993"/>
    <w:rsid w:val="00460BF7"/>
    <w:rsid w:val="00461198"/>
    <w:rsid w:val="004611A2"/>
    <w:rsid w:val="0046186A"/>
    <w:rsid w:val="004618B2"/>
    <w:rsid w:val="0046252B"/>
    <w:rsid w:val="0046287C"/>
    <w:rsid w:val="00463372"/>
    <w:rsid w:val="00463968"/>
    <w:rsid w:val="00463B4C"/>
    <w:rsid w:val="00464020"/>
    <w:rsid w:val="00464E37"/>
    <w:rsid w:val="004663F1"/>
    <w:rsid w:val="0046674D"/>
    <w:rsid w:val="004667D3"/>
    <w:rsid w:val="00466ACA"/>
    <w:rsid w:val="00466C69"/>
    <w:rsid w:val="0046754C"/>
    <w:rsid w:val="0047050E"/>
    <w:rsid w:val="0047055B"/>
    <w:rsid w:val="004739AE"/>
    <w:rsid w:val="00473B1D"/>
    <w:rsid w:val="00473DCB"/>
    <w:rsid w:val="004744A0"/>
    <w:rsid w:val="00476582"/>
    <w:rsid w:val="00476595"/>
    <w:rsid w:val="00476B94"/>
    <w:rsid w:val="00480144"/>
    <w:rsid w:val="0048047C"/>
    <w:rsid w:val="00481480"/>
    <w:rsid w:val="00481DF4"/>
    <w:rsid w:val="004821D9"/>
    <w:rsid w:val="004827C4"/>
    <w:rsid w:val="00482E2A"/>
    <w:rsid w:val="00482FFD"/>
    <w:rsid w:val="00483061"/>
    <w:rsid w:val="0048546C"/>
    <w:rsid w:val="0049164A"/>
    <w:rsid w:val="00491B9F"/>
    <w:rsid w:val="0049268E"/>
    <w:rsid w:val="00492C78"/>
    <w:rsid w:val="00493353"/>
    <w:rsid w:val="00493591"/>
    <w:rsid w:val="00497191"/>
    <w:rsid w:val="004971A2"/>
    <w:rsid w:val="00497C5C"/>
    <w:rsid w:val="004A0422"/>
    <w:rsid w:val="004A0798"/>
    <w:rsid w:val="004A0D19"/>
    <w:rsid w:val="004A0EAF"/>
    <w:rsid w:val="004A13EC"/>
    <w:rsid w:val="004A1DCE"/>
    <w:rsid w:val="004A25A2"/>
    <w:rsid w:val="004A2966"/>
    <w:rsid w:val="004A2B25"/>
    <w:rsid w:val="004A366C"/>
    <w:rsid w:val="004A39F0"/>
    <w:rsid w:val="004A3C4A"/>
    <w:rsid w:val="004A741F"/>
    <w:rsid w:val="004A750B"/>
    <w:rsid w:val="004B0170"/>
    <w:rsid w:val="004B07AE"/>
    <w:rsid w:val="004B09D0"/>
    <w:rsid w:val="004B0DA3"/>
    <w:rsid w:val="004B1417"/>
    <w:rsid w:val="004B1588"/>
    <w:rsid w:val="004B19D1"/>
    <w:rsid w:val="004B1AE3"/>
    <w:rsid w:val="004B2BF4"/>
    <w:rsid w:val="004B313A"/>
    <w:rsid w:val="004B37A7"/>
    <w:rsid w:val="004B403A"/>
    <w:rsid w:val="004B5490"/>
    <w:rsid w:val="004B71EE"/>
    <w:rsid w:val="004C09FF"/>
    <w:rsid w:val="004C0B1A"/>
    <w:rsid w:val="004C19DE"/>
    <w:rsid w:val="004C1BFC"/>
    <w:rsid w:val="004C26A1"/>
    <w:rsid w:val="004C3627"/>
    <w:rsid w:val="004C3F46"/>
    <w:rsid w:val="004C4B36"/>
    <w:rsid w:val="004C4D21"/>
    <w:rsid w:val="004C5E41"/>
    <w:rsid w:val="004C5E4E"/>
    <w:rsid w:val="004C6A7F"/>
    <w:rsid w:val="004D0B73"/>
    <w:rsid w:val="004D2F77"/>
    <w:rsid w:val="004D2FD7"/>
    <w:rsid w:val="004D363F"/>
    <w:rsid w:val="004D42E4"/>
    <w:rsid w:val="004D4701"/>
    <w:rsid w:val="004D49BD"/>
    <w:rsid w:val="004D5FAC"/>
    <w:rsid w:val="004D6485"/>
    <w:rsid w:val="004D6496"/>
    <w:rsid w:val="004D661E"/>
    <w:rsid w:val="004D6F2D"/>
    <w:rsid w:val="004D71B6"/>
    <w:rsid w:val="004D73AC"/>
    <w:rsid w:val="004D75A1"/>
    <w:rsid w:val="004D7ACD"/>
    <w:rsid w:val="004D7B0D"/>
    <w:rsid w:val="004E0125"/>
    <w:rsid w:val="004E06A2"/>
    <w:rsid w:val="004E1F5C"/>
    <w:rsid w:val="004E39E9"/>
    <w:rsid w:val="004E3E3E"/>
    <w:rsid w:val="004E43CA"/>
    <w:rsid w:val="004E4FCD"/>
    <w:rsid w:val="004E51F7"/>
    <w:rsid w:val="004E6046"/>
    <w:rsid w:val="004E61D9"/>
    <w:rsid w:val="004E6DAA"/>
    <w:rsid w:val="004E7229"/>
    <w:rsid w:val="004E735A"/>
    <w:rsid w:val="004E7961"/>
    <w:rsid w:val="004F0A9A"/>
    <w:rsid w:val="004F164F"/>
    <w:rsid w:val="004F1FC1"/>
    <w:rsid w:val="004F2FF6"/>
    <w:rsid w:val="004F38E8"/>
    <w:rsid w:val="004F490B"/>
    <w:rsid w:val="004F4D62"/>
    <w:rsid w:val="004F5735"/>
    <w:rsid w:val="004F5BD4"/>
    <w:rsid w:val="005003A1"/>
    <w:rsid w:val="00501094"/>
    <w:rsid w:val="00501A32"/>
    <w:rsid w:val="00501A92"/>
    <w:rsid w:val="0050267B"/>
    <w:rsid w:val="005026CE"/>
    <w:rsid w:val="00502BB5"/>
    <w:rsid w:val="0050360A"/>
    <w:rsid w:val="005042A6"/>
    <w:rsid w:val="00505816"/>
    <w:rsid w:val="005058E8"/>
    <w:rsid w:val="005059F6"/>
    <w:rsid w:val="00506216"/>
    <w:rsid w:val="00506253"/>
    <w:rsid w:val="00507531"/>
    <w:rsid w:val="00507A3B"/>
    <w:rsid w:val="00510F46"/>
    <w:rsid w:val="00511832"/>
    <w:rsid w:val="00512E4E"/>
    <w:rsid w:val="00513535"/>
    <w:rsid w:val="00513C70"/>
    <w:rsid w:val="00513FC5"/>
    <w:rsid w:val="005159F5"/>
    <w:rsid w:val="00515A99"/>
    <w:rsid w:val="005168FA"/>
    <w:rsid w:val="00516A80"/>
    <w:rsid w:val="00516BAA"/>
    <w:rsid w:val="005202E3"/>
    <w:rsid w:val="005207CD"/>
    <w:rsid w:val="00521440"/>
    <w:rsid w:val="00522B9F"/>
    <w:rsid w:val="00523495"/>
    <w:rsid w:val="0052356D"/>
    <w:rsid w:val="005238AB"/>
    <w:rsid w:val="00523E74"/>
    <w:rsid w:val="005250E5"/>
    <w:rsid w:val="005252CC"/>
    <w:rsid w:val="0052547A"/>
    <w:rsid w:val="00526DC0"/>
    <w:rsid w:val="005308E1"/>
    <w:rsid w:val="00530DE2"/>
    <w:rsid w:val="00531BD1"/>
    <w:rsid w:val="00531EB1"/>
    <w:rsid w:val="00531EFD"/>
    <w:rsid w:val="00532432"/>
    <w:rsid w:val="00532591"/>
    <w:rsid w:val="00532D0F"/>
    <w:rsid w:val="005331DF"/>
    <w:rsid w:val="005343CE"/>
    <w:rsid w:val="00535752"/>
    <w:rsid w:val="005362F1"/>
    <w:rsid w:val="0053718E"/>
    <w:rsid w:val="00537719"/>
    <w:rsid w:val="00537AB2"/>
    <w:rsid w:val="005404AF"/>
    <w:rsid w:val="00540779"/>
    <w:rsid w:val="00540F18"/>
    <w:rsid w:val="005417D6"/>
    <w:rsid w:val="0054183C"/>
    <w:rsid w:val="00541C4C"/>
    <w:rsid w:val="00541D13"/>
    <w:rsid w:val="005429F6"/>
    <w:rsid w:val="00543FA6"/>
    <w:rsid w:val="005447B1"/>
    <w:rsid w:val="00544C4D"/>
    <w:rsid w:val="00544EC1"/>
    <w:rsid w:val="0054545D"/>
    <w:rsid w:val="005454A8"/>
    <w:rsid w:val="0054612E"/>
    <w:rsid w:val="00546A04"/>
    <w:rsid w:val="00546B34"/>
    <w:rsid w:val="00547194"/>
    <w:rsid w:val="00547AF9"/>
    <w:rsid w:val="00547D0A"/>
    <w:rsid w:val="0055007F"/>
    <w:rsid w:val="005505C0"/>
    <w:rsid w:val="005508AE"/>
    <w:rsid w:val="00550B45"/>
    <w:rsid w:val="00551D34"/>
    <w:rsid w:val="0055476A"/>
    <w:rsid w:val="00554EAC"/>
    <w:rsid w:val="00555015"/>
    <w:rsid w:val="00555017"/>
    <w:rsid w:val="005550D0"/>
    <w:rsid w:val="0055552E"/>
    <w:rsid w:val="00557972"/>
    <w:rsid w:val="00560BC2"/>
    <w:rsid w:val="00560D2F"/>
    <w:rsid w:val="005611F7"/>
    <w:rsid w:val="00561425"/>
    <w:rsid w:val="005625C0"/>
    <w:rsid w:val="00562D35"/>
    <w:rsid w:val="00562FD3"/>
    <w:rsid w:val="005630D8"/>
    <w:rsid w:val="005631AD"/>
    <w:rsid w:val="00563642"/>
    <w:rsid w:val="00563B27"/>
    <w:rsid w:val="00563F79"/>
    <w:rsid w:val="00564B21"/>
    <w:rsid w:val="00565B5A"/>
    <w:rsid w:val="0056615E"/>
    <w:rsid w:val="00566453"/>
    <w:rsid w:val="005674DB"/>
    <w:rsid w:val="005678B6"/>
    <w:rsid w:val="00570209"/>
    <w:rsid w:val="005708EA"/>
    <w:rsid w:val="00570A45"/>
    <w:rsid w:val="00571FA7"/>
    <w:rsid w:val="005731D0"/>
    <w:rsid w:val="005736E5"/>
    <w:rsid w:val="00573974"/>
    <w:rsid w:val="00573CDB"/>
    <w:rsid w:val="0057455F"/>
    <w:rsid w:val="00574C6D"/>
    <w:rsid w:val="00574DE2"/>
    <w:rsid w:val="00575B9E"/>
    <w:rsid w:val="00576D96"/>
    <w:rsid w:val="00581760"/>
    <w:rsid w:val="00583062"/>
    <w:rsid w:val="005830CC"/>
    <w:rsid w:val="0058341C"/>
    <w:rsid w:val="005840A1"/>
    <w:rsid w:val="0058458D"/>
    <w:rsid w:val="00584888"/>
    <w:rsid w:val="005849B8"/>
    <w:rsid w:val="00584CF3"/>
    <w:rsid w:val="00585497"/>
    <w:rsid w:val="00585737"/>
    <w:rsid w:val="005862F7"/>
    <w:rsid w:val="005872EE"/>
    <w:rsid w:val="005879B4"/>
    <w:rsid w:val="00587D7A"/>
    <w:rsid w:val="005917E7"/>
    <w:rsid w:val="00592559"/>
    <w:rsid w:val="00594264"/>
    <w:rsid w:val="00594B22"/>
    <w:rsid w:val="00595FCD"/>
    <w:rsid w:val="00596A6E"/>
    <w:rsid w:val="0059767E"/>
    <w:rsid w:val="00597895"/>
    <w:rsid w:val="005A00D1"/>
    <w:rsid w:val="005A0E8C"/>
    <w:rsid w:val="005A12C2"/>
    <w:rsid w:val="005A1694"/>
    <w:rsid w:val="005A21B4"/>
    <w:rsid w:val="005A235C"/>
    <w:rsid w:val="005A2395"/>
    <w:rsid w:val="005A27B0"/>
    <w:rsid w:val="005A2E26"/>
    <w:rsid w:val="005A2F54"/>
    <w:rsid w:val="005A3217"/>
    <w:rsid w:val="005A4AD9"/>
    <w:rsid w:val="005A58C6"/>
    <w:rsid w:val="005A7385"/>
    <w:rsid w:val="005A7A03"/>
    <w:rsid w:val="005B0144"/>
    <w:rsid w:val="005B0650"/>
    <w:rsid w:val="005B08AA"/>
    <w:rsid w:val="005B1422"/>
    <w:rsid w:val="005B1851"/>
    <w:rsid w:val="005B1E22"/>
    <w:rsid w:val="005B2F72"/>
    <w:rsid w:val="005B32B1"/>
    <w:rsid w:val="005B3663"/>
    <w:rsid w:val="005B4465"/>
    <w:rsid w:val="005B4475"/>
    <w:rsid w:val="005B52CF"/>
    <w:rsid w:val="005B58E4"/>
    <w:rsid w:val="005B5922"/>
    <w:rsid w:val="005B6365"/>
    <w:rsid w:val="005B6368"/>
    <w:rsid w:val="005B63D0"/>
    <w:rsid w:val="005B7395"/>
    <w:rsid w:val="005C0A2F"/>
    <w:rsid w:val="005C0B4F"/>
    <w:rsid w:val="005C1464"/>
    <w:rsid w:val="005C3986"/>
    <w:rsid w:val="005C4441"/>
    <w:rsid w:val="005C470A"/>
    <w:rsid w:val="005C4ED9"/>
    <w:rsid w:val="005C51DA"/>
    <w:rsid w:val="005C560B"/>
    <w:rsid w:val="005C5C45"/>
    <w:rsid w:val="005D0673"/>
    <w:rsid w:val="005D0D25"/>
    <w:rsid w:val="005D0E29"/>
    <w:rsid w:val="005D1F74"/>
    <w:rsid w:val="005D20DB"/>
    <w:rsid w:val="005D2FCB"/>
    <w:rsid w:val="005D3E5A"/>
    <w:rsid w:val="005D4C16"/>
    <w:rsid w:val="005D6587"/>
    <w:rsid w:val="005D6648"/>
    <w:rsid w:val="005E01ED"/>
    <w:rsid w:val="005E04E1"/>
    <w:rsid w:val="005E08BF"/>
    <w:rsid w:val="005E08C3"/>
    <w:rsid w:val="005E126B"/>
    <w:rsid w:val="005E3046"/>
    <w:rsid w:val="005E6334"/>
    <w:rsid w:val="005E6730"/>
    <w:rsid w:val="005E6EC3"/>
    <w:rsid w:val="005F098F"/>
    <w:rsid w:val="005F0BE0"/>
    <w:rsid w:val="005F100A"/>
    <w:rsid w:val="005F19A0"/>
    <w:rsid w:val="005F1F34"/>
    <w:rsid w:val="005F352B"/>
    <w:rsid w:val="005F48F9"/>
    <w:rsid w:val="005F5398"/>
    <w:rsid w:val="005F5DCF"/>
    <w:rsid w:val="005F6E29"/>
    <w:rsid w:val="005F716E"/>
    <w:rsid w:val="005F77D3"/>
    <w:rsid w:val="005F78B6"/>
    <w:rsid w:val="0060099C"/>
    <w:rsid w:val="006009AB"/>
    <w:rsid w:val="00600C98"/>
    <w:rsid w:val="0060181D"/>
    <w:rsid w:val="00601952"/>
    <w:rsid w:val="00601EEC"/>
    <w:rsid w:val="006028F9"/>
    <w:rsid w:val="006035F4"/>
    <w:rsid w:val="00604DA8"/>
    <w:rsid w:val="0060554E"/>
    <w:rsid w:val="00605635"/>
    <w:rsid w:val="00605B45"/>
    <w:rsid w:val="00605D25"/>
    <w:rsid w:val="006061A6"/>
    <w:rsid w:val="0060642F"/>
    <w:rsid w:val="00607D1C"/>
    <w:rsid w:val="00607E44"/>
    <w:rsid w:val="00607EE6"/>
    <w:rsid w:val="00607FC6"/>
    <w:rsid w:val="00610686"/>
    <w:rsid w:val="00610E4F"/>
    <w:rsid w:val="00611064"/>
    <w:rsid w:val="00612823"/>
    <w:rsid w:val="006136CF"/>
    <w:rsid w:val="00613E0E"/>
    <w:rsid w:val="00614703"/>
    <w:rsid w:val="00615205"/>
    <w:rsid w:val="00615F0D"/>
    <w:rsid w:val="006167E5"/>
    <w:rsid w:val="00616F98"/>
    <w:rsid w:val="00617BF7"/>
    <w:rsid w:val="00617C0A"/>
    <w:rsid w:val="00620F63"/>
    <w:rsid w:val="00621568"/>
    <w:rsid w:val="00622B2C"/>
    <w:rsid w:val="00622EA5"/>
    <w:rsid w:val="00624128"/>
    <w:rsid w:val="00626211"/>
    <w:rsid w:val="00630E96"/>
    <w:rsid w:val="00631733"/>
    <w:rsid w:val="00634711"/>
    <w:rsid w:val="00634C6C"/>
    <w:rsid w:val="0063512E"/>
    <w:rsid w:val="00637054"/>
    <w:rsid w:val="00637F18"/>
    <w:rsid w:val="00640BF0"/>
    <w:rsid w:val="00641E51"/>
    <w:rsid w:val="0064268A"/>
    <w:rsid w:val="00642D43"/>
    <w:rsid w:val="006432CE"/>
    <w:rsid w:val="00643DC2"/>
    <w:rsid w:val="00645689"/>
    <w:rsid w:val="0064597C"/>
    <w:rsid w:val="00645CBF"/>
    <w:rsid w:val="00647F8B"/>
    <w:rsid w:val="00650D02"/>
    <w:rsid w:val="0065260E"/>
    <w:rsid w:val="00652888"/>
    <w:rsid w:val="00652904"/>
    <w:rsid w:val="0065332E"/>
    <w:rsid w:val="00653C14"/>
    <w:rsid w:val="00653F33"/>
    <w:rsid w:val="0065474E"/>
    <w:rsid w:val="00655517"/>
    <w:rsid w:val="00655640"/>
    <w:rsid w:val="00655961"/>
    <w:rsid w:val="006576B7"/>
    <w:rsid w:val="00660A82"/>
    <w:rsid w:val="0066106B"/>
    <w:rsid w:val="00661E25"/>
    <w:rsid w:val="00661E38"/>
    <w:rsid w:val="00661EF3"/>
    <w:rsid w:val="00662454"/>
    <w:rsid w:val="0066391B"/>
    <w:rsid w:val="00663CE3"/>
    <w:rsid w:val="006642D8"/>
    <w:rsid w:val="00664356"/>
    <w:rsid w:val="00664F51"/>
    <w:rsid w:val="00665B6D"/>
    <w:rsid w:val="0066714F"/>
    <w:rsid w:val="00667F1B"/>
    <w:rsid w:val="00670479"/>
    <w:rsid w:val="006708D5"/>
    <w:rsid w:val="00670F56"/>
    <w:rsid w:val="00670F6D"/>
    <w:rsid w:val="006714DC"/>
    <w:rsid w:val="0067172A"/>
    <w:rsid w:val="00671BBA"/>
    <w:rsid w:val="00673185"/>
    <w:rsid w:val="0067388D"/>
    <w:rsid w:val="006741F1"/>
    <w:rsid w:val="00674B1A"/>
    <w:rsid w:val="00674F58"/>
    <w:rsid w:val="00675133"/>
    <w:rsid w:val="00675A6B"/>
    <w:rsid w:val="00675EB1"/>
    <w:rsid w:val="00676559"/>
    <w:rsid w:val="00676EBF"/>
    <w:rsid w:val="00680D60"/>
    <w:rsid w:val="0068182E"/>
    <w:rsid w:val="00682AD1"/>
    <w:rsid w:val="00682F60"/>
    <w:rsid w:val="0068308F"/>
    <w:rsid w:val="00684AAB"/>
    <w:rsid w:val="00684FFE"/>
    <w:rsid w:val="0068551B"/>
    <w:rsid w:val="00685C72"/>
    <w:rsid w:val="0068682B"/>
    <w:rsid w:val="00686E3E"/>
    <w:rsid w:val="00687D60"/>
    <w:rsid w:val="006908D7"/>
    <w:rsid w:val="00690DC8"/>
    <w:rsid w:val="00692235"/>
    <w:rsid w:val="00692C7F"/>
    <w:rsid w:val="00694228"/>
    <w:rsid w:val="00694F95"/>
    <w:rsid w:val="006962F5"/>
    <w:rsid w:val="0069715B"/>
    <w:rsid w:val="006973E2"/>
    <w:rsid w:val="00697E0F"/>
    <w:rsid w:val="006A0E8E"/>
    <w:rsid w:val="006A0FE0"/>
    <w:rsid w:val="006A1555"/>
    <w:rsid w:val="006A15A1"/>
    <w:rsid w:val="006A17DA"/>
    <w:rsid w:val="006A1E39"/>
    <w:rsid w:val="006A2AFF"/>
    <w:rsid w:val="006A2C18"/>
    <w:rsid w:val="006A3D03"/>
    <w:rsid w:val="006A73D5"/>
    <w:rsid w:val="006B09C2"/>
    <w:rsid w:val="006B0A93"/>
    <w:rsid w:val="006B1475"/>
    <w:rsid w:val="006B206F"/>
    <w:rsid w:val="006B2AF1"/>
    <w:rsid w:val="006B3967"/>
    <w:rsid w:val="006B3A14"/>
    <w:rsid w:val="006B3D68"/>
    <w:rsid w:val="006B554E"/>
    <w:rsid w:val="006B5624"/>
    <w:rsid w:val="006B5678"/>
    <w:rsid w:val="006B5998"/>
    <w:rsid w:val="006B5FC2"/>
    <w:rsid w:val="006B75A0"/>
    <w:rsid w:val="006B7669"/>
    <w:rsid w:val="006C1F85"/>
    <w:rsid w:val="006C415C"/>
    <w:rsid w:val="006C4250"/>
    <w:rsid w:val="006C4411"/>
    <w:rsid w:val="006C45A4"/>
    <w:rsid w:val="006C5FF8"/>
    <w:rsid w:val="006C7133"/>
    <w:rsid w:val="006D04E3"/>
    <w:rsid w:val="006D04EC"/>
    <w:rsid w:val="006D11B2"/>
    <w:rsid w:val="006D136A"/>
    <w:rsid w:val="006D175A"/>
    <w:rsid w:val="006D219A"/>
    <w:rsid w:val="006D2483"/>
    <w:rsid w:val="006D5892"/>
    <w:rsid w:val="006D5A8F"/>
    <w:rsid w:val="006E0BF3"/>
    <w:rsid w:val="006E1831"/>
    <w:rsid w:val="006E2173"/>
    <w:rsid w:val="006E21F3"/>
    <w:rsid w:val="006E23D9"/>
    <w:rsid w:val="006E291A"/>
    <w:rsid w:val="006E2D05"/>
    <w:rsid w:val="006E2D78"/>
    <w:rsid w:val="006E2F10"/>
    <w:rsid w:val="006E38A2"/>
    <w:rsid w:val="006E39A4"/>
    <w:rsid w:val="006E5137"/>
    <w:rsid w:val="006E6218"/>
    <w:rsid w:val="006E796D"/>
    <w:rsid w:val="006E797A"/>
    <w:rsid w:val="006E7D7B"/>
    <w:rsid w:val="006F03FF"/>
    <w:rsid w:val="006F1AB2"/>
    <w:rsid w:val="006F22FE"/>
    <w:rsid w:val="006F2410"/>
    <w:rsid w:val="006F257C"/>
    <w:rsid w:val="006F37F5"/>
    <w:rsid w:val="006F407D"/>
    <w:rsid w:val="006F42E0"/>
    <w:rsid w:val="006F42E3"/>
    <w:rsid w:val="006F4A6A"/>
    <w:rsid w:val="006F4A84"/>
    <w:rsid w:val="006F5894"/>
    <w:rsid w:val="006F663F"/>
    <w:rsid w:val="006F6985"/>
    <w:rsid w:val="006F7E8A"/>
    <w:rsid w:val="00700122"/>
    <w:rsid w:val="0070044E"/>
    <w:rsid w:val="00701A4C"/>
    <w:rsid w:val="0070208E"/>
    <w:rsid w:val="007023F3"/>
    <w:rsid w:val="00702D3C"/>
    <w:rsid w:val="00705410"/>
    <w:rsid w:val="00705A0C"/>
    <w:rsid w:val="00705C73"/>
    <w:rsid w:val="00705F7F"/>
    <w:rsid w:val="007060EC"/>
    <w:rsid w:val="007077A8"/>
    <w:rsid w:val="00710A3C"/>
    <w:rsid w:val="00710D0C"/>
    <w:rsid w:val="00710D23"/>
    <w:rsid w:val="00711FC3"/>
    <w:rsid w:val="00712475"/>
    <w:rsid w:val="007124A1"/>
    <w:rsid w:val="00713B29"/>
    <w:rsid w:val="00713C9E"/>
    <w:rsid w:val="00715322"/>
    <w:rsid w:val="007159FF"/>
    <w:rsid w:val="00716214"/>
    <w:rsid w:val="0071750F"/>
    <w:rsid w:val="00717BC8"/>
    <w:rsid w:val="00720805"/>
    <w:rsid w:val="00721B12"/>
    <w:rsid w:val="0072245A"/>
    <w:rsid w:val="0072248E"/>
    <w:rsid w:val="007226C3"/>
    <w:rsid w:val="00722AF1"/>
    <w:rsid w:val="00723FB9"/>
    <w:rsid w:val="007244BB"/>
    <w:rsid w:val="00724795"/>
    <w:rsid w:val="00725ECE"/>
    <w:rsid w:val="007261A5"/>
    <w:rsid w:val="007300B5"/>
    <w:rsid w:val="00730D60"/>
    <w:rsid w:val="0073221D"/>
    <w:rsid w:val="0073252A"/>
    <w:rsid w:val="00733CF6"/>
    <w:rsid w:val="00733E32"/>
    <w:rsid w:val="00734363"/>
    <w:rsid w:val="00734F4B"/>
    <w:rsid w:val="00735D69"/>
    <w:rsid w:val="00735F8C"/>
    <w:rsid w:val="007366B9"/>
    <w:rsid w:val="00736C84"/>
    <w:rsid w:val="007402C2"/>
    <w:rsid w:val="007410AC"/>
    <w:rsid w:val="00741435"/>
    <w:rsid w:val="007414C8"/>
    <w:rsid w:val="00741829"/>
    <w:rsid w:val="007418AB"/>
    <w:rsid w:val="0074308F"/>
    <w:rsid w:val="00743940"/>
    <w:rsid w:val="00743F4E"/>
    <w:rsid w:val="00744B48"/>
    <w:rsid w:val="007450B7"/>
    <w:rsid w:val="00745151"/>
    <w:rsid w:val="007459F0"/>
    <w:rsid w:val="00746BBE"/>
    <w:rsid w:val="00747425"/>
    <w:rsid w:val="00747870"/>
    <w:rsid w:val="0075095B"/>
    <w:rsid w:val="007511BF"/>
    <w:rsid w:val="0075125F"/>
    <w:rsid w:val="007514A3"/>
    <w:rsid w:val="0075198A"/>
    <w:rsid w:val="00752B5B"/>
    <w:rsid w:val="00752CD2"/>
    <w:rsid w:val="007538FC"/>
    <w:rsid w:val="00753B04"/>
    <w:rsid w:val="007543A9"/>
    <w:rsid w:val="00754528"/>
    <w:rsid w:val="0075481F"/>
    <w:rsid w:val="00754F42"/>
    <w:rsid w:val="00755F4A"/>
    <w:rsid w:val="00756F1F"/>
    <w:rsid w:val="007606DA"/>
    <w:rsid w:val="0076081C"/>
    <w:rsid w:val="007611E4"/>
    <w:rsid w:val="00761214"/>
    <w:rsid w:val="0076261A"/>
    <w:rsid w:val="00762E99"/>
    <w:rsid w:val="0076352A"/>
    <w:rsid w:val="00763B7F"/>
    <w:rsid w:val="00763E46"/>
    <w:rsid w:val="0076414E"/>
    <w:rsid w:val="0076488D"/>
    <w:rsid w:val="00764F7E"/>
    <w:rsid w:val="0076508A"/>
    <w:rsid w:val="0076577B"/>
    <w:rsid w:val="0076688E"/>
    <w:rsid w:val="00767B80"/>
    <w:rsid w:val="00767C20"/>
    <w:rsid w:val="00772D67"/>
    <w:rsid w:val="00775816"/>
    <w:rsid w:val="00775840"/>
    <w:rsid w:val="00775E18"/>
    <w:rsid w:val="007767EA"/>
    <w:rsid w:val="00776C20"/>
    <w:rsid w:val="0077741B"/>
    <w:rsid w:val="007779EA"/>
    <w:rsid w:val="007805AF"/>
    <w:rsid w:val="00781326"/>
    <w:rsid w:val="00781E1C"/>
    <w:rsid w:val="007824ED"/>
    <w:rsid w:val="00782F9B"/>
    <w:rsid w:val="007839C4"/>
    <w:rsid w:val="0078413B"/>
    <w:rsid w:val="0078453A"/>
    <w:rsid w:val="007848D3"/>
    <w:rsid w:val="007869A9"/>
    <w:rsid w:val="00786D18"/>
    <w:rsid w:val="00787837"/>
    <w:rsid w:val="00787C3B"/>
    <w:rsid w:val="00790FD6"/>
    <w:rsid w:val="007912E3"/>
    <w:rsid w:val="00792815"/>
    <w:rsid w:val="00793404"/>
    <w:rsid w:val="00794306"/>
    <w:rsid w:val="00794D8A"/>
    <w:rsid w:val="0079515C"/>
    <w:rsid w:val="0079666D"/>
    <w:rsid w:val="00797BEC"/>
    <w:rsid w:val="00797CC0"/>
    <w:rsid w:val="007A0017"/>
    <w:rsid w:val="007A049E"/>
    <w:rsid w:val="007A074B"/>
    <w:rsid w:val="007A0D42"/>
    <w:rsid w:val="007A25B1"/>
    <w:rsid w:val="007A29A5"/>
    <w:rsid w:val="007A2B08"/>
    <w:rsid w:val="007A35F8"/>
    <w:rsid w:val="007A4740"/>
    <w:rsid w:val="007A5A3E"/>
    <w:rsid w:val="007A62FB"/>
    <w:rsid w:val="007A6563"/>
    <w:rsid w:val="007A6664"/>
    <w:rsid w:val="007A708E"/>
    <w:rsid w:val="007A71FB"/>
    <w:rsid w:val="007A75C7"/>
    <w:rsid w:val="007A775A"/>
    <w:rsid w:val="007A7982"/>
    <w:rsid w:val="007B0648"/>
    <w:rsid w:val="007B1193"/>
    <w:rsid w:val="007B1995"/>
    <w:rsid w:val="007B2123"/>
    <w:rsid w:val="007B22F5"/>
    <w:rsid w:val="007B3386"/>
    <w:rsid w:val="007B3D5E"/>
    <w:rsid w:val="007B3E53"/>
    <w:rsid w:val="007B410D"/>
    <w:rsid w:val="007B416D"/>
    <w:rsid w:val="007B4B9D"/>
    <w:rsid w:val="007B4CDD"/>
    <w:rsid w:val="007B5088"/>
    <w:rsid w:val="007B5DEC"/>
    <w:rsid w:val="007B6D4A"/>
    <w:rsid w:val="007B7C27"/>
    <w:rsid w:val="007C0A3C"/>
    <w:rsid w:val="007C1185"/>
    <w:rsid w:val="007C13A3"/>
    <w:rsid w:val="007C154A"/>
    <w:rsid w:val="007C2B6E"/>
    <w:rsid w:val="007C3B62"/>
    <w:rsid w:val="007C3CEB"/>
    <w:rsid w:val="007C4158"/>
    <w:rsid w:val="007C46FF"/>
    <w:rsid w:val="007C53FE"/>
    <w:rsid w:val="007C59D6"/>
    <w:rsid w:val="007C5BA2"/>
    <w:rsid w:val="007C6EDB"/>
    <w:rsid w:val="007C7996"/>
    <w:rsid w:val="007D0599"/>
    <w:rsid w:val="007D0F60"/>
    <w:rsid w:val="007D1C02"/>
    <w:rsid w:val="007D209F"/>
    <w:rsid w:val="007D2378"/>
    <w:rsid w:val="007D4D4A"/>
    <w:rsid w:val="007D5103"/>
    <w:rsid w:val="007D5265"/>
    <w:rsid w:val="007D5B1C"/>
    <w:rsid w:val="007D6C06"/>
    <w:rsid w:val="007D6FDD"/>
    <w:rsid w:val="007D7001"/>
    <w:rsid w:val="007D7804"/>
    <w:rsid w:val="007E01FB"/>
    <w:rsid w:val="007E0889"/>
    <w:rsid w:val="007E0AE9"/>
    <w:rsid w:val="007E1119"/>
    <w:rsid w:val="007E1136"/>
    <w:rsid w:val="007E213B"/>
    <w:rsid w:val="007E266F"/>
    <w:rsid w:val="007E3735"/>
    <w:rsid w:val="007E3A8D"/>
    <w:rsid w:val="007E4460"/>
    <w:rsid w:val="007E44F6"/>
    <w:rsid w:val="007E4E61"/>
    <w:rsid w:val="007E5070"/>
    <w:rsid w:val="007E51F9"/>
    <w:rsid w:val="007E5825"/>
    <w:rsid w:val="007E5E10"/>
    <w:rsid w:val="007E7471"/>
    <w:rsid w:val="007E7D6F"/>
    <w:rsid w:val="007F04B2"/>
    <w:rsid w:val="007F409C"/>
    <w:rsid w:val="007F4428"/>
    <w:rsid w:val="007F450C"/>
    <w:rsid w:val="007F4517"/>
    <w:rsid w:val="007F4642"/>
    <w:rsid w:val="007F5941"/>
    <w:rsid w:val="007F5C0D"/>
    <w:rsid w:val="008002E7"/>
    <w:rsid w:val="00800CA2"/>
    <w:rsid w:val="00800F6B"/>
    <w:rsid w:val="008011BF"/>
    <w:rsid w:val="008019AC"/>
    <w:rsid w:val="008019B7"/>
    <w:rsid w:val="00801E8E"/>
    <w:rsid w:val="00802877"/>
    <w:rsid w:val="00803949"/>
    <w:rsid w:val="008042A5"/>
    <w:rsid w:val="008043FE"/>
    <w:rsid w:val="00804785"/>
    <w:rsid w:val="008048A3"/>
    <w:rsid w:val="00804A7E"/>
    <w:rsid w:val="00804E11"/>
    <w:rsid w:val="0080573E"/>
    <w:rsid w:val="00805B70"/>
    <w:rsid w:val="00806B33"/>
    <w:rsid w:val="008075C2"/>
    <w:rsid w:val="00807A76"/>
    <w:rsid w:val="00807B6A"/>
    <w:rsid w:val="00807FFD"/>
    <w:rsid w:val="0081075D"/>
    <w:rsid w:val="00810C7F"/>
    <w:rsid w:val="008116EE"/>
    <w:rsid w:val="008118F6"/>
    <w:rsid w:val="00811D80"/>
    <w:rsid w:val="00811D89"/>
    <w:rsid w:val="0081330D"/>
    <w:rsid w:val="00813B6E"/>
    <w:rsid w:val="00815029"/>
    <w:rsid w:val="008158A6"/>
    <w:rsid w:val="00816067"/>
    <w:rsid w:val="00816358"/>
    <w:rsid w:val="008170A6"/>
    <w:rsid w:val="00820561"/>
    <w:rsid w:val="00820683"/>
    <w:rsid w:val="00821998"/>
    <w:rsid w:val="0082223A"/>
    <w:rsid w:val="008225B4"/>
    <w:rsid w:val="00824425"/>
    <w:rsid w:val="00824837"/>
    <w:rsid w:val="00824A40"/>
    <w:rsid w:val="0082569E"/>
    <w:rsid w:val="00825EFB"/>
    <w:rsid w:val="00826635"/>
    <w:rsid w:val="00826FCD"/>
    <w:rsid w:val="00827D5E"/>
    <w:rsid w:val="00827F55"/>
    <w:rsid w:val="00830096"/>
    <w:rsid w:val="00830118"/>
    <w:rsid w:val="0083012A"/>
    <w:rsid w:val="008302BE"/>
    <w:rsid w:val="008315EC"/>
    <w:rsid w:val="00832009"/>
    <w:rsid w:val="00832999"/>
    <w:rsid w:val="00832F8C"/>
    <w:rsid w:val="00833067"/>
    <w:rsid w:val="008341F8"/>
    <w:rsid w:val="00834310"/>
    <w:rsid w:val="008343B8"/>
    <w:rsid w:val="0083568A"/>
    <w:rsid w:val="00836191"/>
    <w:rsid w:val="00836AD3"/>
    <w:rsid w:val="0084000C"/>
    <w:rsid w:val="008406E6"/>
    <w:rsid w:val="00840CDE"/>
    <w:rsid w:val="00840E7A"/>
    <w:rsid w:val="00840E95"/>
    <w:rsid w:val="008420B3"/>
    <w:rsid w:val="00842A75"/>
    <w:rsid w:val="00843E53"/>
    <w:rsid w:val="00845B1A"/>
    <w:rsid w:val="00845F0B"/>
    <w:rsid w:val="00845FCF"/>
    <w:rsid w:val="00847B11"/>
    <w:rsid w:val="00850761"/>
    <w:rsid w:val="008509D5"/>
    <w:rsid w:val="00851796"/>
    <w:rsid w:val="00853178"/>
    <w:rsid w:val="008535E4"/>
    <w:rsid w:val="008542A2"/>
    <w:rsid w:val="00854406"/>
    <w:rsid w:val="008547C6"/>
    <w:rsid w:val="00855109"/>
    <w:rsid w:val="00855578"/>
    <w:rsid w:val="00855D36"/>
    <w:rsid w:val="00856669"/>
    <w:rsid w:val="0085707D"/>
    <w:rsid w:val="008574BD"/>
    <w:rsid w:val="0085797B"/>
    <w:rsid w:val="0086181E"/>
    <w:rsid w:val="00862549"/>
    <w:rsid w:val="00862E0F"/>
    <w:rsid w:val="008653E4"/>
    <w:rsid w:val="0086641E"/>
    <w:rsid w:val="00867CE3"/>
    <w:rsid w:val="00870C5A"/>
    <w:rsid w:val="00870F07"/>
    <w:rsid w:val="00870FF5"/>
    <w:rsid w:val="008712B5"/>
    <w:rsid w:val="0087137D"/>
    <w:rsid w:val="008715F7"/>
    <w:rsid w:val="0087264E"/>
    <w:rsid w:val="00872AB8"/>
    <w:rsid w:val="00872E79"/>
    <w:rsid w:val="008730B4"/>
    <w:rsid w:val="008745A2"/>
    <w:rsid w:val="00874753"/>
    <w:rsid w:val="008748C2"/>
    <w:rsid w:val="00874B05"/>
    <w:rsid w:val="008757B1"/>
    <w:rsid w:val="0087616D"/>
    <w:rsid w:val="00877307"/>
    <w:rsid w:val="00877E03"/>
    <w:rsid w:val="00880410"/>
    <w:rsid w:val="00881202"/>
    <w:rsid w:val="00882051"/>
    <w:rsid w:val="008822EE"/>
    <w:rsid w:val="008827C4"/>
    <w:rsid w:val="008828C8"/>
    <w:rsid w:val="008829BD"/>
    <w:rsid w:val="00883723"/>
    <w:rsid w:val="00884541"/>
    <w:rsid w:val="00884A96"/>
    <w:rsid w:val="00886616"/>
    <w:rsid w:val="0088673F"/>
    <w:rsid w:val="00886A73"/>
    <w:rsid w:val="00887230"/>
    <w:rsid w:val="0088774C"/>
    <w:rsid w:val="00887CE1"/>
    <w:rsid w:val="008910EB"/>
    <w:rsid w:val="00893872"/>
    <w:rsid w:val="00893B9A"/>
    <w:rsid w:val="008950AD"/>
    <w:rsid w:val="008978F3"/>
    <w:rsid w:val="00897CC9"/>
    <w:rsid w:val="008A1CC5"/>
    <w:rsid w:val="008A208A"/>
    <w:rsid w:val="008A21BD"/>
    <w:rsid w:val="008A270B"/>
    <w:rsid w:val="008A2C36"/>
    <w:rsid w:val="008A5BCA"/>
    <w:rsid w:val="008A60F0"/>
    <w:rsid w:val="008A68B0"/>
    <w:rsid w:val="008A6B7B"/>
    <w:rsid w:val="008A6E83"/>
    <w:rsid w:val="008A7CC6"/>
    <w:rsid w:val="008A7FA3"/>
    <w:rsid w:val="008A7FA8"/>
    <w:rsid w:val="008B0000"/>
    <w:rsid w:val="008B0FCB"/>
    <w:rsid w:val="008B153A"/>
    <w:rsid w:val="008B2281"/>
    <w:rsid w:val="008B53DF"/>
    <w:rsid w:val="008B69C9"/>
    <w:rsid w:val="008B77A1"/>
    <w:rsid w:val="008B77FA"/>
    <w:rsid w:val="008C08EC"/>
    <w:rsid w:val="008C166F"/>
    <w:rsid w:val="008C18BA"/>
    <w:rsid w:val="008C20F7"/>
    <w:rsid w:val="008C27E5"/>
    <w:rsid w:val="008C29D8"/>
    <w:rsid w:val="008C2ED7"/>
    <w:rsid w:val="008C2FBF"/>
    <w:rsid w:val="008C323C"/>
    <w:rsid w:val="008C3936"/>
    <w:rsid w:val="008C3C1E"/>
    <w:rsid w:val="008C452D"/>
    <w:rsid w:val="008C46C7"/>
    <w:rsid w:val="008C5047"/>
    <w:rsid w:val="008C7FC2"/>
    <w:rsid w:val="008D01C2"/>
    <w:rsid w:val="008D0E95"/>
    <w:rsid w:val="008D19D6"/>
    <w:rsid w:val="008D2604"/>
    <w:rsid w:val="008D328B"/>
    <w:rsid w:val="008D3709"/>
    <w:rsid w:val="008D4C74"/>
    <w:rsid w:val="008D4E1C"/>
    <w:rsid w:val="008D53C2"/>
    <w:rsid w:val="008D5620"/>
    <w:rsid w:val="008D5651"/>
    <w:rsid w:val="008D7A43"/>
    <w:rsid w:val="008D7DDA"/>
    <w:rsid w:val="008E0201"/>
    <w:rsid w:val="008E02EF"/>
    <w:rsid w:val="008E03AD"/>
    <w:rsid w:val="008E0EE9"/>
    <w:rsid w:val="008E169E"/>
    <w:rsid w:val="008E17C0"/>
    <w:rsid w:val="008E286B"/>
    <w:rsid w:val="008E36C2"/>
    <w:rsid w:val="008E42CD"/>
    <w:rsid w:val="008E4539"/>
    <w:rsid w:val="008E50A6"/>
    <w:rsid w:val="008E516A"/>
    <w:rsid w:val="008E549E"/>
    <w:rsid w:val="008E5B0E"/>
    <w:rsid w:val="008E6080"/>
    <w:rsid w:val="008E6119"/>
    <w:rsid w:val="008E6136"/>
    <w:rsid w:val="008E615B"/>
    <w:rsid w:val="008E615F"/>
    <w:rsid w:val="008E61A7"/>
    <w:rsid w:val="008E6DD5"/>
    <w:rsid w:val="008E6FDC"/>
    <w:rsid w:val="008E7948"/>
    <w:rsid w:val="008E7A0A"/>
    <w:rsid w:val="008E7BCC"/>
    <w:rsid w:val="008E7C32"/>
    <w:rsid w:val="008F0390"/>
    <w:rsid w:val="008F0C94"/>
    <w:rsid w:val="008F17E7"/>
    <w:rsid w:val="008F1A04"/>
    <w:rsid w:val="008F1AC8"/>
    <w:rsid w:val="008F1C56"/>
    <w:rsid w:val="008F1E72"/>
    <w:rsid w:val="008F228E"/>
    <w:rsid w:val="008F31A3"/>
    <w:rsid w:val="008F36B0"/>
    <w:rsid w:val="008F3817"/>
    <w:rsid w:val="008F38FD"/>
    <w:rsid w:val="008F4936"/>
    <w:rsid w:val="008F5BEE"/>
    <w:rsid w:val="008F61BD"/>
    <w:rsid w:val="008F6C71"/>
    <w:rsid w:val="008F7135"/>
    <w:rsid w:val="008F7DEF"/>
    <w:rsid w:val="008F7E17"/>
    <w:rsid w:val="009001DD"/>
    <w:rsid w:val="00900EA6"/>
    <w:rsid w:val="009015FB"/>
    <w:rsid w:val="0090250B"/>
    <w:rsid w:val="0090277A"/>
    <w:rsid w:val="00902AE5"/>
    <w:rsid w:val="00903FEE"/>
    <w:rsid w:val="0090502C"/>
    <w:rsid w:val="0090531D"/>
    <w:rsid w:val="0090587C"/>
    <w:rsid w:val="00907CBB"/>
    <w:rsid w:val="00907F46"/>
    <w:rsid w:val="009103C1"/>
    <w:rsid w:val="00911EAF"/>
    <w:rsid w:val="009120BE"/>
    <w:rsid w:val="00913A32"/>
    <w:rsid w:val="00913A71"/>
    <w:rsid w:val="009147D7"/>
    <w:rsid w:val="009148A5"/>
    <w:rsid w:val="0091727C"/>
    <w:rsid w:val="00917D8F"/>
    <w:rsid w:val="009205C7"/>
    <w:rsid w:val="00922BA4"/>
    <w:rsid w:val="00923A3F"/>
    <w:rsid w:val="00924615"/>
    <w:rsid w:val="009246FF"/>
    <w:rsid w:val="0092495A"/>
    <w:rsid w:val="00924C43"/>
    <w:rsid w:val="00925233"/>
    <w:rsid w:val="00925407"/>
    <w:rsid w:val="0092540E"/>
    <w:rsid w:val="00925F1B"/>
    <w:rsid w:val="00927038"/>
    <w:rsid w:val="009301EE"/>
    <w:rsid w:val="009313B1"/>
    <w:rsid w:val="0093169D"/>
    <w:rsid w:val="00932BEA"/>
    <w:rsid w:val="00932C2B"/>
    <w:rsid w:val="00933364"/>
    <w:rsid w:val="00933559"/>
    <w:rsid w:val="00934293"/>
    <w:rsid w:val="00934689"/>
    <w:rsid w:val="0093482F"/>
    <w:rsid w:val="0093569A"/>
    <w:rsid w:val="00936B3C"/>
    <w:rsid w:val="00937788"/>
    <w:rsid w:val="00937DEE"/>
    <w:rsid w:val="0094089C"/>
    <w:rsid w:val="00941265"/>
    <w:rsid w:val="0094183D"/>
    <w:rsid w:val="00942096"/>
    <w:rsid w:val="00942B65"/>
    <w:rsid w:val="00942F8E"/>
    <w:rsid w:val="009433DD"/>
    <w:rsid w:val="00944F4A"/>
    <w:rsid w:val="009454A9"/>
    <w:rsid w:val="00945679"/>
    <w:rsid w:val="00945CE0"/>
    <w:rsid w:val="00945D09"/>
    <w:rsid w:val="00945E93"/>
    <w:rsid w:val="00946640"/>
    <w:rsid w:val="00946B49"/>
    <w:rsid w:val="0094733D"/>
    <w:rsid w:val="009501A5"/>
    <w:rsid w:val="00950655"/>
    <w:rsid w:val="009512BE"/>
    <w:rsid w:val="009515B7"/>
    <w:rsid w:val="00951722"/>
    <w:rsid w:val="009519AE"/>
    <w:rsid w:val="00951D16"/>
    <w:rsid w:val="00951EE7"/>
    <w:rsid w:val="00953622"/>
    <w:rsid w:val="00954605"/>
    <w:rsid w:val="00955076"/>
    <w:rsid w:val="00956B97"/>
    <w:rsid w:val="00956EC4"/>
    <w:rsid w:val="0095770F"/>
    <w:rsid w:val="00957A33"/>
    <w:rsid w:val="00957B15"/>
    <w:rsid w:val="009603D6"/>
    <w:rsid w:val="00960AA5"/>
    <w:rsid w:val="00960B4D"/>
    <w:rsid w:val="00960DA9"/>
    <w:rsid w:val="0096171A"/>
    <w:rsid w:val="00961987"/>
    <w:rsid w:val="00961CCA"/>
    <w:rsid w:val="0096234D"/>
    <w:rsid w:val="009624EB"/>
    <w:rsid w:val="0096339D"/>
    <w:rsid w:val="009644E7"/>
    <w:rsid w:val="00964F4B"/>
    <w:rsid w:val="009650CF"/>
    <w:rsid w:val="009652D2"/>
    <w:rsid w:val="0096532B"/>
    <w:rsid w:val="009655F9"/>
    <w:rsid w:val="00965D14"/>
    <w:rsid w:val="009701E7"/>
    <w:rsid w:val="0097076C"/>
    <w:rsid w:val="00970848"/>
    <w:rsid w:val="009709ED"/>
    <w:rsid w:val="009715DB"/>
    <w:rsid w:val="00971E19"/>
    <w:rsid w:val="00973447"/>
    <w:rsid w:val="00973B7C"/>
    <w:rsid w:val="009756D6"/>
    <w:rsid w:val="00975FC7"/>
    <w:rsid w:val="009764BB"/>
    <w:rsid w:val="00977EE4"/>
    <w:rsid w:val="00981AC8"/>
    <w:rsid w:val="00982025"/>
    <w:rsid w:val="009828E4"/>
    <w:rsid w:val="00982FA2"/>
    <w:rsid w:val="0098378D"/>
    <w:rsid w:val="009863E2"/>
    <w:rsid w:val="009872E2"/>
    <w:rsid w:val="00987FC8"/>
    <w:rsid w:val="0099007D"/>
    <w:rsid w:val="00990CAC"/>
    <w:rsid w:val="00991194"/>
    <w:rsid w:val="00991738"/>
    <w:rsid w:val="0099197A"/>
    <w:rsid w:val="00991AC9"/>
    <w:rsid w:val="0099238E"/>
    <w:rsid w:val="0099260F"/>
    <w:rsid w:val="00992B13"/>
    <w:rsid w:val="00993734"/>
    <w:rsid w:val="009946DD"/>
    <w:rsid w:val="00994B05"/>
    <w:rsid w:val="00994BFF"/>
    <w:rsid w:val="00994ED5"/>
    <w:rsid w:val="009954C1"/>
    <w:rsid w:val="009955F3"/>
    <w:rsid w:val="00995650"/>
    <w:rsid w:val="009977FA"/>
    <w:rsid w:val="00997BEE"/>
    <w:rsid w:val="00997D4D"/>
    <w:rsid w:val="00997DE2"/>
    <w:rsid w:val="009A0DBD"/>
    <w:rsid w:val="009A1236"/>
    <w:rsid w:val="009A154F"/>
    <w:rsid w:val="009A2CC1"/>
    <w:rsid w:val="009A3C5C"/>
    <w:rsid w:val="009A54BC"/>
    <w:rsid w:val="009A550A"/>
    <w:rsid w:val="009A67C2"/>
    <w:rsid w:val="009A6FEA"/>
    <w:rsid w:val="009A78BB"/>
    <w:rsid w:val="009B0F25"/>
    <w:rsid w:val="009B14AF"/>
    <w:rsid w:val="009B1A26"/>
    <w:rsid w:val="009B1CE3"/>
    <w:rsid w:val="009B2C12"/>
    <w:rsid w:val="009B3882"/>
    <w:rsid w:val="009B3AE4"/>
    <w:rsid w:val="009B44D2"/>
    <w:rsid w:val="009B4547"/>
    <w:rsid w:val="009B4661"/>
    <w:rsid w:val="009B4B24"/>
    <w:rsid w:val="009B6746"/>
    <w:rsid w:val="009B6A23"/>
    <w:rsid w:val="009B7153"/>
    <w:rsid w:val="009B7E6E"/>
    <w:rsid w:val="009C03CE"/>
    <w:rsid w:val="009C1F0B"/>
    <w:rsid w:val="009C2533"/>
    <w:rsid w:val="009C2BC4"/>
    <w:rsid w:val="009C326F"/>
    <w:rsid w:val="009C41B7"/>
    <w:rsid w:val="009C55C5"/>
    <w:rsid w:val="009C5A6A"/>
    <w:rsid w:val="009C6189"/>
    <w:rsid w:val="009C7E36"/>
    <w:rsid w:val="009D1A91"/>
    <w:rsid w:val="009D1F2D"/>
    <w:rsid w:val="009D216D"/>
    <w:rsid w:val="009D26F0"/>
    <w:rsid w:val="009D31A3"/>
    <w:rsid w:val="009D345A"/>
    <w:rsid w:val="009D4E1F"/>
    <w:rsid w:val="009D5055"/>
    <w:rsid w:val="009D51EB"/>
    <w:rsid w:val="009D5363"/>
    <w:rsid w:val="009D54FE"/>
    <w:rsid w:val="009D56B4"/>
    <w:rsid w:val="009D578A"/>
    <w:rsid w:val="009D59B4"/>
    <w:rsid w:val="009D5FA6"/>
    <w:rsid w:val="009D6A5A"/>
    <w:rsid w:val="009D766C"/>
    <w:rsid w:val="009D76D4"/>
    <w:rsid w:val="009D7E80"/>
    <w:rsid w:val="009E03C5"/>
    <w:rsid w:val="009E0B07"/>
    <w:rsid w:val="009E1330"/>
    <w:rsid w:val="009E1807"/>
    <w:rsid w:val="009E1D79"/>
    <w:rsid w:val="009E26B1"/>
    <w:rsid w:val="009E316D"/>
    <w:rsid w:val="009E38E7"/>
    <w:rsid w:val="009E3D97"/>
    <w:rsid w:val="009E49AD"/>
    <w:rsid w:val="009E4C4D"/>
    <w:rsid w:val="009E5767"/>
    <w:rsid w:val="009E73CE"/>
    <w:rsid w:val="009E74B0"/>
    <w:rsid w:val="009E7835"/>
    <w:rsid w:val="009E7BEB"/>
    <w:rsid w:val="009E7FE2"/>
    <w:rsid w:val="009F04C5"/>
    <w:rsid w:val="009F14D7"/>
    <w:rsid w:val="009F18C4"/>
    <w:rsid w:val="009F2477"/>
    <w:rsid w:val="009F28C0"/>
    <w:rsid w:val="009F6D91"/>
    <w:rsid w:val="009F70C1"/>
    <w:rsid w:val="00A001C1"/>
    <w:rsid w:val="00A00333"/>
    <w:rsid w:val="00A00DF3"/>
    <w:rsid w:val="00A02C80"/>
    <w:rsid w:val="00A04CFB"/>
    <w:rsid w:val="00A04E78"/>
    <w:rsid w:val="00A04FFD"/>
    <w:rsid w:val="00A05531"/>
    <w:rsid w:val="00A05625"/>
    <w:rsid w:val="00A059E5"/>
    <w:rsid w:val="00A05B6F"/>
    <w:rsid w:val="00A05DF0"/>
    <w:rsid w:val="00A068D4"/>
    <w:rsid w:val="00A06AC1"/>
    <w:rsid w:val="00A077FD"/>
    <w:rsid w:val="00A10442"/>
    <w:rsid w:val="00A10AD5"/>
    <w:rsid w:val="00A10C05"/>
    <w:rsid w:val="00A11449"/>
    <w:rsid w:val="00A117B5"/>
    <w:rsid w:val="00A117EB"/>
    <w:rsid w:val="00A11880"/>
    <w:rsid w:val="00A11B3A"/>
    <w:rsid w:val="00A1339B"/>
    <w:rsid w:val="00A13A17"/>
    <w:rsid w:val="00A14521"/>
    <w:rsid w:val="00A14BB6"/>
    <w:rsid w:val="00A17040"/>
    <w:rsid w:val="00A17E4B"/>
    <w:rsid w:val="00A206B2"/>
    <w:rsid w:val="00A20E2E"/>
    <w:rsid w:val="00A20E41"/>
    <w:rsid w:val="00A21598"/>
    <w:rsid w:val="00A217AA"/>
    <w:rsid w:val="00A217B9"/>
    <w:rsid w:val="00A21FFA"/>
    <w:rsid w:val="00A221C7"/>
    <w:rsid w:val="00A23A40"/>
    <w:rsid w:val="00A240A7"/>
    <w:rsid w:val="00A24E4C"/>
    <w:rsid w:val="00A24ED5"/>
    <w:rsid w:val="00A2569A"/>
    <w:rsid w:val="00A259FC"/>
    <w:rsid w:val="00A26B77"/>
    <w:rsid w:val="00A271F8"/>
    <w:rsid w:val="00A274D4"/>
    <w:rsid w:val="00A27C07"/>
    <w:rsid w:val="00A27CD6"/>
    <w:rsid w:val="00A31345"/>
    <w:rsid w:val="00A321D6"/>
    <w:rsid w:val="00A32A31"/>
    <w:rsid w:val="00A32A40"/>
    <w:rsid w:val="00A32E91"/>
    <w:rsid w:val="00A32F9E"/>
    <w:rsid w:val="00A331F8"/>
    <w:rsid w:val="00A33437"/>
    <w:rsid w:val="00A33537"/>
    <w:rsid w:val="00A34836"/>
    <w:rsid w:val="00A34A70"/>
    <w:rsid w:val="00A34C72"/>
    <w:rsid w:val="00A35A81"/>
    <w:rsid w:val="00A35FD9"/>
    <w:rsid w:val="00A36087"/>
    <w:rsid w:val="00A365D6"/>
    <w:rsid w:val="00A3691C"/>
    <w:rsid w:val="00A36B73"/>
    <w:rsid w:val="00A36E5C"/>
    <w:rsid w:val="00A36F6C"/>
    <w:rsid w:val="00A37C47"/>
    <w:rsid w:val="00A40BD4"/>
    <w:rsid w:val="00A41097"/>
    <w:rsid w:val="00A418D6"/>
    <w:rsid w:val="00A4367B"/>
    <w:rsid w:val="00A43981"/>
    <w:rsid w:val="00A43BB3"/>
    <w:rsid w:val="00A444BA"/>
    <w:rsid w:val="00A44C30"/>
    <w:rsid w:val="00A4506A"/>
    <w:rsid w:val="00A471AD"/>
    <w:rsid w:val="00A47BC8"/>
    <w:rsid w:val="00A47D1B"/>
    <w:rsid w:val="00A51FAE"/>
    <w:rsid w:val="00A52281"/>
    <w:rsid w:val="00A5235D"/>
    <w:rsid w:val="00A53456"/>
    <w:rsid w:val="00A573FF"/>
    <w:rsid w:val="00A57527"/>
    <w:rsid w:val="00A57989"/>
    <w:rsid w:val="00A6028A"/>
    <w:rsid w:val="00A609AE"/>
    <w:rsid w:val="00A61F0A"/>
    <w:rsid w:val="00A628B2"/>
    <w:rsid w:val="00A62BB8"/>
    <w:rsid w:val="00A62D54"/>
    <w:rsid w:val="00A63C15"/>
    <w:rsid w:val="00A64CE8"/>
    <w:rsid w:val="00A651E6"/>
    <w:rsid w:val="00A65B23"/>
    <w:rsid w:val="00A66640"/>
    <w:rsid w:val="00A677B9"/>
    <w:rsid w:val="00A67AF4"/>
    <w:rsid w:val="00A700CB"/>
    <w:rsid w:val="00A701DC"/>
    <w:rsid w:val="00A70A98"/>
    <w:rsid w:val="00A70D25"/>
    <w:rsid w:val="00A7162F"/>
    <w:rsid w:val="00A71BFA"/>
    <w:rsid w:val="00A71DB6"/>
    <w:rsid w:val="00A72C81"/>
    <w:rsid w:val="00A72E3B"/>
    <w:rsid w:val="00A765EE"/>
    <w:rsid w:val="00A76FDD"/>
    <w:rsid w:val="00A777F0"/>
    <w:rsid w:val="00A80B3E"/>
    <w:rsid w:val="00A80F7F"/>
    <w:rsid w:val="00A81C51"/>
    <w:rsid w:val="00A822AB"/>
    <w:rsid w:val="00A82B5C"/>
    <w:rsid w:val="00A831C4"/>
    <w:rsid w:val="00A832A0"/>
    <w:rsid w:val="00A8381E"/>
    <w:rsid w:val="00A84013"/>
    <w:rsid w:val="00A842CB"/>
    <w:rsid w:val="00A846E1"/>
    <w:rsid w:val="00A84AA9"/>
    <w:rsid w:val="00A84C4F"/>
    <w:rsid w:val="00A84DF8"/>
    <w:rsid w:val="00A84F58"/>
    <w:rsid w:val="00A864BE"/>
    <w:rsid w:val="00A87556"/>
    <w:rsid w:val="00A92277"/>
    <w:rsid w:val="00A92A8B"/>
    <w:rsid w:val="00A946A8"/>
    <w:rsid w:val="00A9517D"/>
    <w:rsid w:val="00A951D8"/>
    <w:rsid w:val="00A9600A"/>
    <w:rsid w:val="00A963C1"/>
    <w:rsid w:val="00A9652E"/>
    <w:rsid w:val="00A969C4"/>
    <w:rsid w:val="00A97552"/>
    <w:rsid w:val="00A97598"/>
    <w:rsid w:val="00A97A57"/>
    <w:rsid w:val="00AA1569"/>
    <w:rsid w:val="00AA20E4"/>
    <w:rsid w:val="00AA21DB"/>
    <w:rsid w:val="00AA4843"/>
    <w:rsid w:val="00AA49F1"/>
    <w:rsid w:val="00AA6056"/>
    <w:rsid w:val="00AA6C62"/>
    <w:rsid w:val="00AA76FB"/>
    <w:rsid w:val="00AA7E0E"/>
    <w:rsid w:val="00AB066F"/>
    <w:rsid w:val="00AB1107"/>
    <w:rsid w:val="00AB1AA9"/>
    <w:rsid w:val="00AB2C0F"/>
    <w:rsid w:val="00AB312F"/>
    <w:rsid w:val="00AB3501"/>
    <w:rsid w:val="00AB368D"/>
    <w:rsid w:val="00AB386F"/>
    <w:rsid w:val="00AB4A04"/>
    <w:rsid w:val="00AB4F7F"/>
    <w:rsid w:val="00AB5CF6"/>
    <w:rsid w:val="00AB642A"/>
    <w:rsid w:val="00AB74A6"/>
    <w:rsid w:val="00AC012D"/>
    <w:rsid w:val="00AC0943"/>
    <w:rsid w:val="00AC09A1"/>
    <w:rsid w:val="00AC0A2D"/>
    <w:rsid w:val="00AC1C1A"/>
    <w:rsid w:val="00AC3030"/>
    <w:rsid w:val="00AC3913"/>
    <w:rsid w:val="00AC3962"/>
    <w:rsid w:val="00AC4104"/>
    <w:rsid w:val="00AC455D"/>
    <w:rsid w:val="00AC476C"/>
    <w:rsid w:val="00AC5A67"/>
    <w:rsid w:val="00AC5CFA"/>
    <w:rsid w:val="00AC67E8"/>
    <w:rsid w:val="00AC723F"/>
    <w:rsid w:val="00AD0228"/>
    <w:rsid w:val="00AD0332"/>
    <w:rsid w:val="00AD034C"/>
    <w:rsid w:val="00AD092C"/>
    <w:rsid w:val="00AD09DF"/>
    <w:rsid w:val="00AD23EC"/>
    <w:rsid w:val="00AD261B"/>
    <w:rsid w:val="00AD32BB"/>
    <w:rsid w:val="00AD624D"/>
    <w:rsid w:val="00AD62C4"/>
    <w:rsid w:val="00AD67CB"/>
    <w:rsid w:val="00AD6BE8"/>
    <w:rsid w:val="00AD7A4E"/>
    <w:rsid w:val="00AD7C6C"/>
    <w:rsid w:val="00AE0B88"/>
    <w:rsid w:val="00AE0EBD"/>
    <w:rsid w:val="00AE0EE8"/>
    <w:rsid w:val="00AE12FE"/>
    <w:rsid w:val="00AE3377"/>
    <w:rsid w:val="00AE37CD"/>
    <w:rsid w:val="00AE3B7C"/>
    <w:rsid w:val="00AE449B"/>
    <w:rsid w:val="00AE49F9"/>
    <w:rsid w:val="00AE50C5"/>
    <w:rsid w:val="00AE5D85"/>
    <w:rsid w:val="00AE7817"/>
    <w:rsid w:val="00AE7E4A"/>
    <w:rsid w:val="00AF05DF"/>
    <w:rsid w:val="00AF0EAA"/>
    <w:rsid w:val="00AF163C"/>
    <w:rsid w:val="00AF27FA"/>
    <w:rsid w:val="00AF3101"/>
    <w:rsid w:val="00AF3237"/>
    <w:rsid w:val="00AF377D"/>
    <w:rsid w:val="00AF38F8"/>
    <w:rsid w:val="00AF391B"/>
    <w:rsid w:val="00AF4188"/>
    <w:rsid w:val="00AF5146"/>
    <w:rsid w:val="00AF5465"/>
    <w:rsid w:val="00AF594A"/>
    <w:rsid w:val="00AF5F22"/>
    <w:rsid w:val="00AF62A5"/>
    <w:rsid w:val="00AF6D5D"/>
    <w:rsid w:val="00AF75B6"/>
    <w:rsid w:val="00AF7716"/>
    <w:rsid w:val="00AF7FF3"/>
    <w:rsid w:val="00B002DF"/>
    <w:rsid w:val="00B00A8A"/>
    <w:rsid w:val="00B02371"/>
    <w:rsid w:val="00B02522"/>
    <w:rsid w:val="00B03899"/>
    <w:rsid w:val="00B03A47"/>
    <w:rsid w:val="00B0400E"/>
    <w:rsid w:val="00B04911"/>
    <w:rsid w:val="00B05411"/>
    <w:rsid w:val="00B054CF"/>
    <w:rsid w:val="00B0572B"/>
    <w:rsid w:val="00B06678"/>
    <w:rsid w:val="00B069FC"/>
    <w:rsid w:val="00B072F6"/>
    <w:rsid w:val="00B1026D"/>
    <w:rsid w:val="00B108F8"/>
    <w:rsid w:val="00B10BA0"/>
    <w:rsid w:val="00B11C76"/>
    <w:rsid w:val="00B12F18"/>
    <w:rsid w:val="00B12F94"/>
    <w:rsid w:val="00B14F3D"/>
    <w:rsid w:val="00B15696"/>
    <w:rsid w:val="00B15FC0"/>
    <w:rsid w:val="00B16DE1"/>
    <w:rsid w:val="00B20258"/>
    <w:rsid w:val="00B20316"/>
    <w:rsid w:val="00B20DF5"/>
    <w:rsid w:val="00B2285C"/>
    <w:rsid w:val="00B2311F"/>
    <w:rsid w:val="00B250C2"/>
    <w:rsid w:val="00B2513F"/>
    <w:rsid w:val="00B25152"/>
    <w:rsid w:val="00B2515A"/>
    <w:rsid w:val="00B256BF"/>
    <w:rsid w:val="00B25A7A"/>
    <w:rsid w:val="00B25AF2"/>
    <w:rsid w:val="00B25FD9"/>
    <w:rsid w:val="00B277BC"/>
    <w:rsid w:val="00B305D9"/>
    <w:rsid w:val="00B3074C"/>
    <w:rsid w:val="00B31574"/>
    <w:rsid w:val="00B31CB8"/>
    <w:rsid w:val="00B33608"/>
    <w:rsid w:val="00B339EB"/>
    <w:rsid w:val="00B33DCE"/>
    <w:rsid w:val="00B3436A"/>
    <w:rsid w:val="00B36313"/>
    <w:rsid w:val="00B369BF"/>
    <w:rsid w:val="00B36DA5"/>
    <w:rsid w:val="00B37A55"/>
    <w:rsid w:val="00B40F13"/>
    <w:rsid w:val="00B4126D"/>
    <w:rsid w:val="00B413C8"/>
    <w:rsid w:val="00B41A86"/>
    <w:rsid w:val="00B41C33"/>
    <w:rsid w:val="00B4307D"/>
    <w:rsid w:val="00B436E0"/>
    <w:rsid w:val="00B43FE4"/>
    <w:rsid w:val="00B4403A"/>
    <w:rsid w:val="00B454CD"/>
    <w:rsid w:val="00B45BCF"/>
    <w:rsid w:val="00B45F1C"/>
    <w:rsid w:val="00B460BE"/>
    <w:rsid w:val="00B46647"/>
    <w:rsid w:val="00B46F7F"/>
    <w:rsid w:val="00B5015D"/>
    <w:rsid w:val="00B5103C"/>
    <w:rsid w:val="00B5152F"/>
    <w:rsid w:val="00B51CF8"/>
    <w:rsid w:val="00B53A39"/>
    <w:rsid w:val="00B53B8F"/>
    <w:rsid w:val="00B54D71"/>
    <w:rsid w:val="00B54E6B"/>
    <w:rsid w:val="00B550F5"/>
    <w:rsid w:val="00B5695E"/>
    <w:rsid w:val="00B57A8A"/>
    <w:rsid w:val="00B57D08"/>
    <w:rsid w:val="00B601E0"/>
    <w:rsid w:val="00B61396"/>
    <w:rsid w:val="00B62166"/>
    <w:rsid w:val="00B62261"/>
    <w:rsid w:val="00B637E6"/>
    <w:rsid w:val="00B63AA1"/>
    <w:rsid w:val="00B63B86"/>
    <w:rsid w:val="00B643D9"/>
    <w:rsid w:val="00B65C69"/>
    <w:rsid w:val="00B667B9"/>
    <w:rsid w:val="00B67AB9"/>
    <w:rsid w:val="00B704E0"/>
    <w:rsid w:val="00B70737"/>
    <w:rsid w:val="00B70F57"/>
    <w:rsid w:val="00B71237"/>
    <w:rsid w:val="00B712B4"/>
    <w:rsid w:val="00B714E2"/>
    <w:rsid w:val="00B71B7C"/>
    <w:rsid w:val="00B71E6B"/>
    <w:rsid w:val="00B7215D"/>
    <w:rsid w:val="00B735F1"/>
    <w:rsid w:val="00B73E38"/>
    <w:rsid w:val="00B74DA9"/>
    <w:rsid w:val="00B7506D"/>
    <w:rsid w:val="00B75C44"/>
    <w:rsid w:val="00B763AB"/>
    <w:rsid w:val="00B76F62"/>
    <w:rsid w:val="00B77675"/>
    <w:rsid w:val="00B7779A"/>
    <w:rsid w:val="00B778A3"/>
    <w:rsid w:val="00B77BCE"/>
    <w:rsid w:val="00B77D90"/>
    <w:rsid w:val="00B77F41"/>
    <w:rsid w:val="00B80910"/>
    <w:rsid w:val="00B80BC5"/>
    <w:rsid w:val="00B8136A"/>
    <w:rsid w:val="00B815E1"/>
    <w:rsid w:val="00B81EA3"/>
    <w:rsid w:val="00B823C0"/>
    <w:rsid w:val="00B8291A"/>
    <w:rsid w:val="00B82D2D"/>
    <w:rsid w:val="00B83100"/>
    <w:rsid w:val="00B833E2"/>
    <w:rsid w:val="00B84380"/>
    <w:rsid w:val="00B86272"/>
    <w:rsid w:val="00B86C54"/>
    <w:rsid w:val="00B86F52"/>
    <w:rsid w:val="00B87170"/>
    <w:rsid w:val="00B87382"/>
    <w:rsid w:val="00B901EC"/>
    <w:rsid w:val="00B90CC0"/>
    <w:rsid w:val="00B90E16"/>
    <w:rsid w:val="00B91A5C"/>
    <w:rsid w:val="00B91CB7"/>
    <w:rsid w:val="00B91FBD"/>
    <w:rsid w:val="00B9253C"/>
    <w:rsid w:val="00B92830"/>
    <w:rsid w:val="00B9392A"/>
    <w:rsid w:val="00B93D5D"/>
    <w:rsid w:val="00B94499"/>
    <w:rsid w:val="00B94762"/>
    <w:rsid w:val="00B947B5"/>
    <w:rsid w:val="00B96D77"/>
    <w:rsid w:val="00B9756A"/>
    <w:rsid w:val="00B97AEC"/>
    <w:rsid w:val="00BA083E"/>
    <w:rsid w:val="00BA0D3B"/>
    <w:rsid w:val="00BA10A2"/>
    <w:rsid w:val="00BA10E0"/>
    <w:rsid w:val="00BA18FF"/>
    <w:rsid w:val="00BA2D75"/>
    <w:rsid w:val="00BA3A02"/>
    <w:rsid w:val="00BA3AA2"/>
    <w:rsid w:val="00BA6843"/>
    <w:rsid w:val="00BA7851"/>
    <w:rsid w:val="00BA7C21"/>
    <w:rsid w:val="00BA7F58"/>
    <w:rsid w:val="00BB0FB4"/>
    <w:rsid w:val="00BB1045"/>
    <w:rsid w:val="00BB1884"/>
    <w:rsid w:val="00BB1D99"/>
    <w:rsid w:val="00BB329D"/>
    <w:rsid w:val="00BB34FB"/>
    <w:rsid w:val="00BB3C2C"/>
    <w:rsid w:val="00BB4473"/>
    <w:rsid w:val="00BB51FC"/>
    <w:rsid w:val="00BB5A26"/>
    <w:rsid w:val="00BB6939"/>
    <w:rsid w:val="00BB6F46"/>
    <w:rsid w:val="00BB6FFD"/>
    <w:rsid w:val="00BB7CB1"/>
    <w:rsid w:val="00BC002D"/>
    <w:rsid w:val="00BC0C4F"/>
    <w:rsid w:val="00BC0D39"/>
    <w:rsid w:val="00BC242E"/>
    <w:rsid w:val="00BC3F80"/>
    <w:rsid w:val="00BC51DD"/>
    <w:rsid w:val="00BC724F"/>
    <w:rsid w:val="00BC7DDD"/>
    <w:rsid w:val="00BC7FFC"/>
    <w:rsid w:val="00BD038F"/>
    <w:rsid w:val="00BD041F"/>
    <w:rsid w:val="00BD1373"/>
    <w:rsid w:val="00BD193D"/>
    <w:rsid w:val="00BD2C6F"/>
    <w:rsid w:val="00BD3E3C"/>
    <w:rsid w:val="00BD49CE"/>
    <w:rsid w:val="00BD4A31"/>
    <w:rsid w:val="00BD4D71"/>
    <w:rsid w:val="00BD4F87"/>
    <w:rsid w:val="00BD4F94"/>
    <w:rsid w:val="00BD5919"/>
    <w:rsid w:val="00BD5A04"/>
    <w:rsid w:val="00BD73FA"/>
    <w:rsid w:val="00BE14B8"/>
    <w:rsid w:val="00BE20E2"/>
    <w:rsid w:val="00BE26A0"/>
    <w:rsid w:val="00BE31AD"/>
    <w:rsid w:val="00BE36A8"/>
    <w:rsid w:val="00BE3803"/>
    <w:rsid w:val="00BE481F"/>
    <w:rsid w:val="00BE4A98"/>
    <w:rsid w:val="00BE4B13"/>
    <w:rsid w:val="00BE5B06"/>
    <w:rsid w:val="00BE6D8B"/>
    <w:rsid w:val="00BE7A41"/>
    <w:rsid w:val="00BF0BB1"/>
    <w:rsid w:val="00BF1D3D"/>
    <w:rsid w:val="00BF23DC"/>
    <w:rsid w:val="00BF2A50"/>
    <w:rsid w:val="00BF309C"/>
    <w:rsid w:val="00BF4711"/>
    <w:rsid w:val="00BF4C68"/>
    <w:rsid w:val="00BF5846"/>
    <w:rsid w:val="00BF5BA4"/>
    <w:rsid w:val="00BF6071"/>
    <w:rsid w:val="00BF6419"/>
    <w:rsid w:val="00BF66EC"/>
    <w:rsid w:val="00BF71D9"/>
    <w:rsid w:val="00BF7AF8"/>
    <w:rsid w:val="00C0080A"/>
    <w:rsid w:val="00C03BFD"/>
    <w:rsid w:val="00C03FBA"/>
    <w:rsid w:val="00C044A4"/>
    <w:rsid w:val="00C04DE3"/>
    <w:rsid w:val="00C04F04"/>
    <w:rsid w:val="00C05F57"/>
    <w:rsid w:val="00C065AD"/>
    <w:rsid w:val="00C0695C"/>
    <w:rsid w:val="00C0719E"/>
    <w:rsid w:val="00C0758C"/>
    <w:rsid w:val="00C07AC8"/>
    <w:rsid w:val="00C11A74"/>
    <w:rsid w:val="00C13103"/>
    <w:rsid w:val="00C13358"/>
    <w:rsid w:val="00C13675"/>
    <w:rsid w:val="00C156B4"/>
    <w:rsid w:val="00C16038"/>
    <w:rsid w:val="00C165FE"/>
    <w:rsid w:val="00C16767"/>
    <w:rsid w:val="00C17214"/>
    <w:rsid w:val="00C2013D"/>
    <w:rsid w:val="00C201B3"/>
    <w:rsid w:val="00C212E1"/>
    <w:rsid w:val="00C21BEA"/>
    <w:rsid w:val="00C21CFF"/>
    <w:rsid w:val="00C221C6"/>
    <w:rsid w:val="00C234C6"/>
    <w:rsid w:val="00C23D7F"/>
    <w:rsid w:val="00C23F2D"/>
    <w:rsid w:val="00C24CD9"/>
    <w:rsid w:val="00C25D7A"/>
    <w:rsid w:val="00C25FA5"/>
    <w:rsid w:val="00C273C5"/>
    <w:rsid w:val="00C277F6"/>
    <w:rsid w:val="00C27AC7"/>
    <w:rsid w:val="00C304C8"/>
    <w:rsid w:val="00C30D44"/>
    <w:rsid w:val="00C31250"/>
    <w:rsid w:val="00C312AA"/>
    <w:rsid w:val="00C31501"/>
    <w:rsid w:val="00C31BC8"/>
    <w:rsid w:val="00C31BDC"/>
    <w:rsid w:val="00C327F4"/>
    <w:rsid w:val="00C3308B"/>
    <w:rsid w:val="00C33C89"/>
    <w:rsid w:val="00C33E00"/>
    <w:rsid w:val="00C341FE"/>
    <w:rsid w:val="00C34347"/>
    <w:rsid w:val="00C34F18"/>
    <w:rsid w:val="00C36865"/>
    <w:rsid w:val="00C369EE"/>
    <w:rsid w:val="00C36C24"/>
    <w:rsid w:val="00C36F83"/>
    <w:rsid w:val="00C36F87"/>
    <w:rsid w:val="00C401CB"/>
    <w:rsid w:val="00C4073C"/>
    <w:rsid w:val="00C407E6"/>
    <w:rsid w:val="00C40F3B"/>
    <w:rsid w:val="00C41644"/>
    <w:rsid w:val="00C42C29"/>
    <w:rsid w:val="00C43878"/>
    <w:rsid w:val="00C43AB2"/>
    <w:rsid w:val="00C44029"/>
    <w:rsid w:val="00C44E53"/>
    <w:rsid w:val="00C45826"/>
    <w:rsid w:val="00C46A7A"/>
    <w:rsid w:val="00C46D71"/>
    <w:rsid w:val="00C474AF"/>
    <w:rsid w:val="00C518F6"/>
    <w:rsid w:val="00C51978"/>
    <w:rsid w:val="00C519D5"/>
    <w:rsid w:val="00C51D9F"/>
    <w:rsid w:val="00C529A6"/>
    <w:rsid w:val="00C52B0A"/>
    <w:rsid w:val="00C53917"/>
    <w:rsid w:val="00C54100"/>
    <w:rsid w:val="00C543C4"/>
    <w:rsid w:val="00C545A2"/>
    <w:rsid w:val="00C54702"/>
    <w:rsid w:val="00C5491E"/>
    <w:rsid w:val="00C54DAB"/>
    <w:rsid w:val="00C56585"/>
    <w:rsid w:val="00C5724F"/>
    <w:rsid w:val="00C57561"/>
    <w:rsid w:val="00C5787A"/>
    <w:rsid w:val="00C578D9"/>
    <w:rsid w:val="00C6031C"/>
    <w:rsid w:val="00C60329"/>
    <w:rsid w:val="00C60B66"/>
    <w:rsid w:val="00C60F59"/>
    <w:rsid w:val="00C61805"/>
    <w:rsid w:val="00C61CEA"/>
    <w:rsid w:val="00C62077"/>
    <w:rsid w:val="00C62E2C"/>
    <w:rsid w:val="00C63109"/>
    <w:rsid w:val="00C6317D"/>
    <w:rsid w:val="00C637A4"/>
    <w:rsid w:val="00C64405"/>
    <w:rsid w:val="00C6772A"/>
    <w:rsid w:val="00C67875"/>
    <w:rsid w:val="00C67887"/>
    <w:rsid w:val="00C67E35"/>
    <w:rsid w:val="00C67E5E"/>
    <w:rsid w:val="00C70035"/>
    <w:rsid w:val="00C70B03"/>
    <w:rsid w:val="00C71213"/>
    <w:rsid w:val="00C7277D"/>
    <w:rsid w:val="00C73109"/>
    <w:rsid w:val="00C7397E"/>
    <w:rsid w:val="00C745AE"/>
    <w:rsid w:val="00C75D67"/>
    <w:rsid w:val="00C776FE"/>
    <w:rsid w:val="00C77DDE"/>
    <w:rsid w:val="00C80147"/>
    <w:rsid w:val="00C806F1"/>
    <w:rsid w:val="00C80A1D"/>
    <w:rsid w:val="00C83605"/>
    <w:rsid w:val="00C84AE8"/>
    <w:rsid w:val="00C85A1B"/>
    <w:rsid w:val="00C85E7D"/>
    <w:rsid w:val="00C86E19"/>
    <w:rsid w:val="00C87B03"/>
    <w:rsid w:val="00C90359"/>
    <w:rsid w:val="00C908F5"/>
    <w:rsid w:val="00C90CA3"/>
    <w:rsid w:val="00C93623"/>
    <w:rsid w:val="00C9525C"/>
    <w:rsid w:val="00C9536D"/>
    <w:rsid w:val="00C95A1F"/>
    <w:rsid w:val="00C96F27"/>
    <w:rsid w:val="00C9782F"/>
    <w:rsid w:val="00CA07EE"/>
    <w:rsid w:val="00CA0E4E"/>
    <w:rsid w:val="00CA0F3F"/>
    <w:rsid w:val="00CA1FD9"/>
    <w:rsid w:val="00CA2FFF"/>
    <w:rsid w:val="00CA33FA"/>
    <w:rsid w:val="00CA3ED6"/>
    <w:rsid w:val="00CA4A12"/>
    <w:rsid w:val="00CA4E9E"/>
    <w:rsid w:val="00CA5EEC"/>
    <w:rsid w:val="00CA66F5"/>
    <w:rsid w:val="00CA683C"/>
    <w:rsid w:val="00CA6859"/>
    <w:rsid w:val="00CA69AD"/>
    <w:rsid w:val="00CA6A0C"/>
    <w:rsid w:val="00CA6C5F"/>
    <w:rsid w:val="00CA7AC5"/>
    <w:rsid w:val="00CB0068"/>
    <w:rsid w:val="00CB2913"/>
    <w:rsid w:val="00CB31F0"/>
    <w:rsid w:val="00CB456D"/>
    <w:rsid w:val="00CB481A"/>
    <w:rsid w:val="00CB4CDF"/>
    <w:rsid w:val="00CB4FF0"/>
    <w:rsid w:val="00CB52C0"/>
    <w:rsid w:val="00CB5C49"/>
    <w:rsid w:val="00CB6A40"/>
    <w:rsid w:val="00CB76C4"/>
    <w:rsid w:val="00CC02FB"/>
    <w:rsid w:val="00CC0D27"/>
    <w:rsid w:val="00CC1E24"/>
    <w:rsid w:val="00CC2B37"/>
    <w:rsid w:val="00CC3117"/>
    <w:rsid w:val="00CC3196"/>
    <w:rsid w:val="00CC3565"/>
    <w:rsid w:val="00CC373E"/>
    <w:rsid w:val="00CC4464"/>
    <w:rsid w:val="00CC45AD"/>
    <w:rsid w:val="00CC4A19"/>
    <w:rsid w:val="00CC6F02"/>
    <w:rsid w:val="00CC7235"/>
    <w:rsid w:val="00CC7695"/>
    <w:rsid w:val="00CC786B"/>
    <w:rsid w:val="00CC7980"/>
    <w:rsid w:val="00CC7F02"/>
    <w:rsid w:val="00CD0596"/>
    <w:rsid w:val="00CD0C8C"/>
    <w:rsid w:val="00CD0E16"/>
    <w:rsid w:val="00CD1CFF"/>
    <w:rsid w:val="00CD2DF7"/>
    <w:rsid w:val="00CD353C"/>
    <w:rsid w:val="00CD40B7"/>
    <w:rsid w:val="00CD544F"/>
    <w:rsid w:val="00CD5EE2"/>
    <w:rsid w:val="00CD6647"/>
    <w:rsid w:val="00CD697A"/>
    <w:rsid w:val="00CD6B1A"/>
    <w:rsid w:val="00CD6BEF"/>
    <w:rsid w:val="00CD6E50"/>
    <w:rsid w:val="00CD7E4C"/>
    <w:rsid w:val="00CE0B36"/>
    <w:rsid w:val="00CE1564"/>
    <w:rsid w:val="00CE19FC"/>
    <w:rsid w:val="00CE1CC8"/>
    <w:rsid w:val="00CE2C2C"/>
    <w:rsid w:val="00CE2C90"/>
    <w:rsid w:val="00CE3933"/>
    <w:rsid w:val="00CE42A2"/>
    <w:rsid w:val="00CE4435"/>
    <w:rsid w:val="00CE4BFF"/>
    <w:rsid w:val="00CE522C"/>
    <w:rsid w:val="00CE70B4"/>
    <w:rsid w:val="00CE7FAA"/>
    <w:rsid w:val="00CF0EBE"/>
    <w:rsid w:val="00CF1D62"/>
    <w:rsid w:val="00CF213C"/>
    <w:rsid w:val="00CF22EF"/>
    <w:rsid w:val="00CF2503"/>
    <w:rsid w:val="00CF2904"/>
    <w:rsid w:val="00CF3DAB"/>
    <w:rsid w:val="00CF45DF"/>
    <w:rsid w:val="00CF4803"/>
    <w:rsid w:val="00CF4BF4"/>
    <w:rsid w:val="00CF5506"/>
    <w:rsid w:val="00CF555E"/>
    <w:rsid w:val="00CF5774"/>
    <w:rsid w:val="00CF6338"/>
    <w:rsid w:val="00CF6431"/>
    <w:rsid w:val="00CF6FFF"/>
    <w:rsid w:val="00CF708F"/>
    <w:rsid w:val="00CF7F5D"/>
    <w:rsid w:val="00D00568"/>
    <w:rsid w:val="00D01652"/>
    <w:rsid w:val="00D01FC7"/>
    <w:rsid w:val="00D0238C"/>
    <w:rsid w:val="00D055B7"/>
    <w:rsid w:val="00D05C2E"/>
    <w:rsid w:val="00D05DC8"/>
    <w:rsid w:val="00D0610C"/>
    <w:rsid w:val="00D07051"/>
    <w:rsid w:val="00D10029"/>
    <w:rsid w:val="00D118F4"/>
    <w:rsid w:val="00D13067"/>
    <w:rsid w:val="00D13329"/>
    <w:rsid w:val="00D15238"/>
    <w:rsid w:val="00D15460"/>
    <w:rsid w:val="00D15F5E"/>
    <w:rsid w:val="00D16110"/>
    <w:rsid w:val="00D1642C"/>
    <w:rsid w:val="00D166DB"/>
    <w:rsid w:val="00D166E5"/>
    <w:rsid w:val="00D168F1"/>
    <w:rsid w:val="00D16A55"/>
    <w:rsid w:val="00D16E69"/>
    <w:rsid w:val="00D2009B"/>
    <w:rsid w:val="00D20891"/>
    <w:rsid w:val="00D20E5C"/>
    <w:rsid w:val="00D218D2"/>
    <w:rsid w:val="00D23159"/>
    <w:rsid w:val="00D234D7"/>
    <w:rsid w:val="00D234DC"/>
    <w:rsid w:val="00D237A5"/>
    <w:rsid w:val="00D23BB7"/>
    <w:rsid w:val="00D240FC"/>
    <w:rsid w:val="00D248EC"/>
    <w:rsid w:val="00D25762"/>
    <w:rsid w:val="00D26480"/>
    <w:rsid w:val="00D2657F"/>
    <w:rsid w:val="00D2680E"/>
    <w:rsid w:val="00D27D02"/>
    <w:rsid w:val="00D30012"/>
    <w:rsid w:val="00D319EF"/>
    <w:rsid w:val="00D32754"/>
    <w:rsid w:val="00D33841"/>
    <w:rsid w:val="00D34ACE"/>
    <w:rsid w:val="00D35151"/>
    <w:rsid w:val="00D35E1C"/>
    <w:rsid w:val="00D366B2"/>
    <w:rsid w:val="00D36AAE"/>
    <w:rsid w:val="00D37F82"/>
    <w:rsid w:val="00D40150"/>
    <w:rsid w:val="00D40529"/>
    <w:rsid w:val="00D4073D"/>
    <w:rsid w:val="00D410F3"/>
    <w:rsid w:val="00D413C6"/>
    <w:rsid w:val="00D4336E"/>
    <w:rsid w:val="00D43721"/>
    <w:rsid w:val="00D43DA7"/>
    <w:rsid w:val="00D44887"/>
    <w:rsid w:val="00D47CAE"/>
    <w:rsid w:val="00D47D22"/>
    <w:rsid w:val="00D51BA6"/>
    <w:rsid w:val="00D53368"/>
    <w:rsid w:val="00D53486"/>
    <w:rsid w:val="00D5364E"/>
    <w:rsid w:val="00D54D4E"/>
    <w:rsid w:val="00D557D6"/>
    <w:rsid w:val="00D5697D"/>
    <w:rsid w:val="00D56A86"/>
    <w:rsid w:val="00D60028"/>
    <w:rsid w:val="00D6018A"/>
    <w:rsid w:val="00D601E8"/>
    <w:rsid w:val="00D607C3"/>
    <w:rsid w:val="00D61004"/>
    <w:rsid w:val="00D61337"/>
    <w:rsid w:val="00D62802"/>
    <w:rsid w:val="00D62A31"/>
    <w:rsid w:val="00D6359D"/>
    <w:rsid w:val="00D63B85"/>
    <w:rsid w:val="00D63BF4"/>
    <w:rsid w:val="00D63C17"/>
    <w:rsid w:val="00D65304"/>
    <w:rsid w:val="00D656CC"/>
    <w:rsid w:val="00D658A3"/>
    <w:rsid w:val="00D66689"/>
    <w:rsid w:val="00D667D3"/>
    <w:rsid w:val="00D66D4B"/>
    <w:rsid w:val="00D67D42"/>
    <w:rsid w:val="00D70120"/>
    <w:rsid w:val="00D71C67"/>
    <w:rsid w:val="00D71D61"/>
    <w:rsid w:val="00D72659"/>
    <w:rsid w:val="00D7269D"/>
    <w:rsid w:val="00D727BD"/>
    <w:rsid w:val="00D72A27"/>
    <w:rsid w:val="00D72DB0"/>
    <w:rsid w:val="00D73856"/>
    <w:rsid w:val="00D739E9"/>
    <w:rsid w:val="00D73A06"/>
    <w:rsid w:val="00D74AD7"/>
    <w:rsid w:val="00D75996"/>
    <w:rsid w:val="00D75DBD"/>
    <w:rsid w:val="00D75DC7"/>
    <w:rsid w:val="00D764E3"/>
    <w:rsid w:val="00D76E01"/>
    <w:rsid w:val="00D772BE"/>
    <w:rsid w:val="00D80310"/>
    <w:rsid w:val="00D80F9C"/>
    <w:rsid w:val="00D81613"/>
    <w:rsid w:val="00D81970"/>
    <w:rsid w:val="00D81A1C"/>
    <w:rsid w:val="00D82B40"/>
    <w:rsid w:val="00D82F41"/>
    <w:rsid w:val="00D82FE5"/>
    <w:rsid w:val="00D83ADC"/>
    <w:rsid w:val="00D83E15"/>
    <w:rsid w:val="00D83F86"/>
    <w:rsid w:val="00D847DE"/>
    <w:rsid w:val="00D84DA9"/>
    <w:rsid w:val="00D85CAF"/>
    <w:rsid w:val="00D86021"/>
    <w:rsid w:val="00D86472"/>
    <w:rsid w:val="00D8669F"/>
    <w:rsid w:val="00D87AE2"/>
    <w:rsid w:val="00D9027C"/>
    <w:rsid w:val="00D90795"/>
    <w:rsid w:val="00D91CF2"/>
    <w:rsid w:val="00D94F07"/>
    <w:rsid w:val="00D956F8"/>
    <w:rsid w:val="00D95F79"/>
    <w:rsid w:val="00D97226"/>
    <w:rsid w:val="00D972FC"/>
    <w:rsid w:val="00D97BE9"/>
    <w:rsid w:val="00DA058A"/>
    <w:rsid w:val="00DA0994"/>
    <w:rsid w:val="00DA100F"/>
    <w:rsid w:val="00DA1202"/>
    <w:rsid w:val="00DA1626"/>
    <w:rsid w:val="00DA1C87"/>
    <w:rsid w:val="00DA301B"/>
    <w:rsid w:val="00DA3270"/>
    <w:rsid w:val="00DA32A9"/>
    <w:rsid w:val="00DA62E1"/>
    <w:rsid w:val="00DA6514"/>
    <w:rsid w:val="00DA75EB"/>
    <w:rsid w:val="00DA7EC8"/>
    <w:rsid w:val="00DB0816"/>
    <w:rsid w:val="00DB0A38"/>
    <w:rsid w:val="00DB1034"/>
    <w:rsid w:val="00DB2298"/>
    <w:rsid w:val="00DB29EB"/>
    <w:rsid w:val="00DB3272"/>
    <w:rsid w:val="00DB3469"/>
    <w:rsid w:val="00DB379B"/>
    <w:rsid w:val="00DB3C24"/>
    <w:rsid w:val="00DB4495"/>
    <w:rsid w:val="00DB659F"/>
    <w:rsid w:val="00DB786D"/>
    <w:rsid w:val="00DB7C46"/>
    <w:rsid w:val="00DC0893"/>
    <w:rsid w:val="00DC08F8"/>
    <w:rsid w:val="00DC19DE"/>
    <w:rsid w:val="00DC19FD"/>
    <w:rsid w:val="00DC2008"/>
    <w:rsid w:val="00DC284D"/>
    <w:rsid w:val="00DC28EE"/>
    <w:rsid w:val="00DC31B2"/>
    <w:rsid w:val="00DC3FE1"/>
    <w:rsid w:val="00DC44A6"/>
    <w:rsid w:val="00DC4D0F"/>
    <w:rsid w:val="00DC537A"/>
    <w:rsid w:val="00DC5AE1"/>
    <w:rsid w:val="00DC5B1A"/>
    <w:rsid w:val="00DC7B53"/>
    <w:rsid w:val="00DC7D6C"/>
    <w:rsid w:val="00DD1A3E"/>
    <w:rsid w:val="00DD1F48"/>
    <w:rsid w:val="00DD224B"/>
    <w:rsid w:val="00DD2485"/>
    <w:rsid w:val="00DD2A45"/>
    <w:rsid w:val="00DD378E"/>
    <w:rsid w:val="00DD389A"/>
    <w:rsid w:val="00DD3DDA"/>
    <w:rsid w:val="00DD3ECF"/>
    <w:rsid w:val="00DD3F39"/>
    <w:rsid w:val="00DD521A"/>
    <w:rsid w:val="00DD56CE"/>
    <w:rsid w:val="00DD61D4"/>
    <w:rsid w:val="00DD7149"/>
    <w:rsid w:val="00DD71B8"/>
    <w:rsid w:val="00DE046A"/>
    <w:rsid w:val="00DE0E48"/>
    <w:rsid w:val="00DE1407"/>
    <w:rsid w:val="00DE1A1F"/>
    <w:rsid w:val="00DE208D"/>
    <w:rsid w:val="00DE273B"/>
    <w:rsid w:val="00DE2F6D"/>
    <w:rsid w:val="00DE3766"/>
    <w:rsid w:val="00DE4259"/>
    <w:rsid w:val="00DE57E6"/>
    <w:rsid w:val="00DE5963"/>
    <w:rsid w:val="00DE5A55"/>
    <w:rsid w:val="00DE5C25"/>
    <w:rsid w:val="00DE681A"/>
    <w:rsid w:val="00DE7823"/>
    <w:rsid w:val="00DE7BF2"/>
    <w:rsid w:val="00DF00FE"/>
    <w:rsid w:val="00DF0132"/>
    <w:rsid w:val="00DF0143"/>
    <w:rsid w:val="00DF049D"/>
    <w:rsid w:val="00DF055B"/>
    <w:rsid w:val="00DF0651"/>
    <w:rsid w:val="00DF098A"/>
    <w:rsid w:val="00DF0DA3"/>
    <w:rsid w:val="00DF2371"/>
    <w:rsid w:val="00DF26AE"/>
    <w:rsid w:val="00DF31A7"/>
    <w:rsid w:val="00DF3B34"/>
    <w:rsid w:val="00DF4731"/>
    <w:rsid w:val="00DF4BB3"/>
    <w:rsid w:val="00DF4C07"/>
    <w:rsid w:val="00DF56F6"/>
    <w:rsid w:val="00DF66B2"/>
    <w:rsid w:val="00DF6AFF"/>
    <w:rsid w:val="00DF711A"/>
    <w:rsid w:val="00DF71A3"/>
    <w:rsid w:val="00E00660"/>
    <w:rsid w:val="00E01C95"/>
    <w:rsid w:val="00E01CF9"/>
    <w:rsid w:val="00E01D20"/>
    <w:rsid w:val="00E02525"/>
    <w:rsid w:val="00E02A47"/>
    <w:rsid w:val="00E0304F"/>
    <w:rsid w:val="00E036A2"/>
    <w:rsid w:val="00E0389B"/>
    <w:rsid w:val="00E05E48"/>
    <w:rsid w:val="00E06536"/>
    <w:rsid w:val="00E066C3"/>
    <w:rsid w:val="00E06B14"/>
    <w:rsid w:val="00E0725D"/>
    <w:rsid w:val="00E108BB"/>
    <w:rsid w:val="00E10A40"/>
    <w:rsid w:val="00E11C84"/>
    <w:rsid w:val="00E13286"/>
    <w:rsid w:val="00E1353C"/>
    <w:rsid w:val="00E13841"/>
    <w:rsid w:val="00E144F6"/>
    <w:rsid w:val="00E15911"/>
    <w:rsid w:val="00E16507"/>
    <w:rsid w:val="00E169C7"/>
    <w:rsid w:val="00E178DD"/>
    <w:rsid w:val="00E20BA9"/>
    <w:rsid w:val="00E212D1"/>
    <w:rsid w:val="00E21918"/>
    <w:rsid w:val="00E21A66"/>
    <w:rsid w:val="00E22070"/>
    <w:rsid w:val="00E229DF"/>
    <w:rsid w:val="00E22E10"/>
    <w:rsid w:val="00E23A93"/>
    <w:rsid w:val="00E24E52"/>
    <w:rsid w:val="00E25E3F"/>
    <w:rsid w:val="00E26885"/>
    <w:rsid w:val="00E271A7"/>
    <w:rsid w:val="00E27BFB"/>
    <w:rsid w:val="00E30BEF"/>
    <w:rsid w:val="00E31E0B"/>
    <w:rsid w:val="00E33899"/>
    <w:rsid w:val="00E341A7"/>
    <w:rsid w:val="00E34735"/>
    <w:rsid w:val="00E34A95"/>
    <w:rsid w:val="00E34ED1"/>
    <w:rsid w:val="00E358A7"/>
    <w:rsid w:val="00E35CB3"/>
    <w:rsid w:val="00E3759A"/>
    <w:rsid w:val="00E37E04"/>
    <w:rsid w:val="00E41631"/>
    <w:rsid w:val="00E416CA"/>
    <w:rsid w:val="00E41EA9"/>
    <w:rsid w:val="00E41F06"/>
    <w:rsid w:val="00E435E4"/>
    <w:rsid w:val="00E436CD"/>
    <w:rsid w:val="00E44FA0"/>
    <w:rsid w:val="00E45928"/>
    <w:rsid w:val="00E4678F"/>
    <w:rsid w:val="00E50034"/>
    <w:rsid w:val="00E50C15"/>
    <w:rsid w:val="00E51629"/>
    <w:rsid w:val="00E516CE"/>
    <w:rsid w:val="00E521B7"/>
    <w:rsid w:val="00E5276C"/>
    <w:rsid w:val="00E52CA5"/>
    <w:rsid w:val="00E54F67"/>
    <w:rsid w:val="00E55551"/>
    <w:rsid w:val="00E55A52"/>
    <w:rsid w:val="00E564C0"/>
    <w:rsid w:val="00E56D2E"/>
    <w:rsid w:val="00E5762B"/>
    <w:rsid w:val="00E57745"/>
    <w:rsid w:val="00E578AF"/>
    <w:rsid w:val="00E609E7"/>
    <w:rsid w:val="00E60AEB"/>
    <w:rsid w:val="00E61474"/>
    <w:rsid w:val="00E61E86"/>
    <w:rsid w:val="00E633F2"/>
    <w:rsid w:val="00E63DF6"/>
    <w:rsid w:val="00E64BDC"/>
    <w:rsid w:val="00E654AB"/>
    <w:rsid w:val="00E65832"/>
    <w:rsid w:val="00E659FA"/>
    <w:rsid w:val="00E6623D"/>
    <w:rsid w:val="00E67E45"/>
    <w:rsid w:val="00E7025E"/>
    <w:rsid w:val="00E71804"/>
    <w:rsid w:val="00E7204D"/>
    <w:rsid w:val="00E73062"/>
    <w:rsid w:val="00E7322E"/>
    <w:rsid w:val="00E75B3F"/>
    <w:rsid w:val="00E76130"/>
    <w:rsid w:val="00E76FE4"/>
    <w:rsid w:val="00E772A1"/>
    <w:rsid w:val="00E774DB"/>
    <w:rsid w:val="00E77E67"/>
    <w:rsid w:val="00E805AE"/>
    <w:rsid w:val="00E808FA"/>
    <w:rsid w:val="00E81C2A"/>
    <w:rsid w:val="00E81DE2"/>
    <w:rsid w:val="00E826F4"/>
    <w:rsid w:val="00E827E8"/>
    <w:rsid w:val="00E82CBB"/>
    <w:rsid w:val="00E83A8B"/>
    <w:rsid w:val="00E83BB3"/>
    <w:rsid w:val="00E84F09"/>
    <w:rsid w:val="00E853F7"/>
    <w:rsid w:val="00E85A17"/>
    <w:rsid w:val="00E85D9A"/>
    <w:rsid w:val="00E8731B"/>
    <w:rsid w:val="00E8738B"/>
    <w:rsid w:val="00E87661"/>
    <w:rsid w:val="00E908AD"/>
    <w:rsid w:val="00E91219"/>
    <w:rsid w:val="00E9155A"/>
    <w:rsid w:val="00E91B84"/>
    <w:rsid w:val="00E92467"/>
    <w:rsid w:val="00E92811"/>
    <w:rsid w:val="00E92F5E"/>
    <w:rsid w:val="00E976CE"/>
    <w:rsid w:val="00E97A0D"/>
    <w:rsid w:val="00E97F73"/>
    <w:rsid w:val="00EA0026"/>
    <w:rsid w:val="00EA1215"/>
    <w:rsid w:val="00EA22DC"/>
    <w:rsid w:val="00EA2380"/>
    <w:rsid w:val="00EA3394"/>
    <w:rsid w:val="00EA4974"/>
    <w:rsid w:val="00EA4F18"/>
    <w:rsid w:val="00EA6C4B"/>
    <w:rsid w:val="00EA7141"/>
    <w:rsid w:val="00EB0861"/>
    <w:rsid w:val="00EB09E2"/>
    <w:rsid w:val="00EB1842"/>
    <w:rsid w:val="00EB2376"/>
    <w:rsid w:val="00EB2415"/>
    <w:rsid w:val="00EB287A"/>
    <w:rsid w:val="00EB2AB7"/>
    <w:rsid w:val="00EB35E2"/>
    <w:rsid w:val="00EB3797"/>
    <w:rsid w:val="00EB3BCB"/>
    <w:rsid w:val="00EB3CE8"/>
    <w:rsid w:val="00EB482B"/>
    <w:rsid w:val="00EB54CD"/>
    <w:rsid w:val="00EB571A"/>
    <w:rsid w:val="00EB59EC"/>
    <w:rsid w:val="00EB5DC2"/>
    <w:rsid w:val="00EB6923"/>
    <w:rsid w:val="00EB6C19"/>
    <w:rsid w:val="00EB72B9"/>
    <w:rsid w:val="00EB738F"/>
    <w:rsid w:val="00EB7508"/>
    <w:rsid w:val="00EB7860"/>
    <w:rsid w:val="00EC04CD"/>
    <w:rsid w:val="00EC0CA0"/>
    <w:rsid w:val="00EC182B"/>
    <w:rsid w:val="00EC1917"/>
    <w:rsid w:val="00EC1D6D"/>
    <w:rsid w:val="00EC2011"/>
    <w:rsid w:val="00EC2C88"/>
    <w:rsid w:val="00EC373A"/>
    <w:rsid w:val="00EC3F95"/>
    <w:rsid w:val="00EC4E76"/>
    <w:rsid w:val="00EC5046"/>
    <w:rsid w:val="00EC53B1"/>
    <w:rsid w:val="00EC58F7"/>
    <w:rsid w:val="00EC78C7"/>
    <w:rsid w:val="00EC7C65"/>
    <w:rsid w:val="00ED0410"/>
    <w:rsid w:val="00ED0B1A"/>
    <w:rsid w:val="00ED0D5D"/>
    <w:rsid w:val="00ED1505"/>
    <w:rsid w:val="00ED1F0B"/>
    <w:rsid w:val="00ED2454"/>
    <w:rsid w:val="00ED434F"/>
    <w:rsid w:val="00ED45EC"/>
    <w:rsid w:val="00ED576F"/>
    <w:rsid w:val="00ED6513"/>
    <w:rsid w:val="00ED6740"/>
    <w:rsid w:val="00ED68A1"/>
    <w:rsid w:val="00ED75FE"/>
    <w:rsid w:val="00ED77B9"/>
    <w:rsid w:val="00ED79C5"/>
    <w:rsid w:val="00EE0CE0"/>
    <w:rsid w:val="00EE0EB0"/>
    <w:rsid w:val="00EE13E4"/>
    <w:rsid w:val="00EE142A"/>
    <w:rsid w:val="00EE2654"/>
    <w:rsid w:val="00EE266C"/>
    <w:rsid w:val="00EE2BF5"/>
    <w:rsid w:val="00EE2D03"/>
    <w:rsid w:val="00EE4E89"/>
    <w:rsid w:val="00EE53F6"/>
    <w:rsid w:val="00EE585A"/>
    <w:rsid w:val="00EE5AB6"/>
    <w:rsid w:val="00EE74DC"/>
    <w:rsid w:val="00EE79AD"/>
    <w:rsid w:val="00EE7AC5"/>
    <w:rsid w:val="00EF0F28"/>
    <w:rsid w:val="00EF205C"/>
    <w:rsid w:val="00EF2BD9"/>
    <w:rsid w:val="00EF36DF"/>
    <w:rsid w:val="00EF465F"/>
    <w:rsid w:val="00EF51FD"/>
    <w:rsid w:val="00EF531A"/>
    <w:rsid w:val="00EF54B1"/>
    <w:rsid w:val="00EF579A"/>
    <w:rsid w:val="00EF5836"/>
    <w:rsid w:val="00EF71D1"/>
    <w:rsid w:val="00EF721B"/>
    <w:rsid w:val="00EF74BC"/>
    <w:rsid w:val="00EF7621"/>
    <w:rsid w:val="00EF79A0"/>
    <w:rsid w:val="00EF7BF8"/>
    <w:rsid w:val="00F00AEA"/>
    <w:rsid w:val="00F01031"/>
    <w:rsid w:val="00F02505"/>
    <w:rsid w:val="00F02CCE"/>
    <w:rsid w:val="00F02FEC"/>
    <w:rsid w:val="00F0323E"/>
    <w:rsid w:val="00F03960"/>
    <w:rsid w:val="00F03CEB"/>
    <w:rsid w:val="00F03D12"/>
    <w:rsid w:val="00F03E59"/>
    <w:rsid w:val="00F04C69"/>
    <w:rsid w:val="00F05107"/>
    <w:rsid w:val="00F0561C"/>
    <w:rsid w:val="00F05C39"/>
    <w:rsid w:val="00F0634D"/>
    <w:rsid w:val="00F0647B"/>
    <w:rsid w:val="00F07A04"/>
    <w:rsid w:val="00F10724"/>
    <w:rsid w:val="00F11536"/>
    <w:rsid w:val="00F11858"/>
    <w:rsid w:val="00F11AF1"/>
    <w:rsid w:val="00F123F1"/>
    <w:rsid w:val="00F1455F"/>
    <w:rsid w:val="00F147FE"/>
    <w:rsid w:val="00F14B5A"/>
    <w:rsid w:val="00F14C03"/>
    <w:rsid w:val="00F15399"/>
    <w:rsid w:val="00F15762"/>
    <w:rsid w:val="00F15DDB"/>
    <w:rsid w:val="00F16124"/>
    <w:rsid w:val="00F168D0"/>
    <w:rsid w:val="00F16D67"/>
    <w:rsid w:val="00F20320"/>
    <w:rsid w:val="00F21076"/>
    <w:rsid w:val="00F21429"/>
    <w:rsid w:val="00F21541"/>
    <w:rsid w:val="00F21C6E"/>
    <w:rsid w:val="00F2313C"/>
    <w:rsid w:val="00F233FB"/>
    <w:rsid w:val="00F2371C"/>
    <w:rsid w:val="00F241CA"/>
    <w:rsid w:val="00F251E1"/>
    <w:rsid w:val="00F25481"/>
    <w:rsid w:val="00F255EB"/>
    <w:rsid w:val="00F256FC"/>
    <w:rsid w:val="00F2591E"/>
    <w:rsid w:val="00F269B9"/>
    <w:rsid w:val="00F26D70"/>
    <w:rsid w:val="00F27CD4"/>
    <w:rsid w:val="00F27DD1"/>
    <w:rsid w:val="00F30B20"/>
    <w:rsid w:val="00F30F4C"/>
    <w:rsid w:val="00F30FDA"/>
    <w:rsid w:val="00F30FEE"/>
    <w:rsid w:val="00F31A4E"/>
    <w:rsid w:val="00F31A69"/>
    <w:rsid w:val="00F326CB"/>
    <w:rsid w:val="00F33A8C"/>
    <w:rsid w:val="00F33CBF"/>
    <w:rsid w:val="00F348BF"/>
    <w:rsid w:val="00F355F2"/>
    <w:rsid w:val="00F359FE"/>
    <w:rsid w:val="00F3639C"/>
    <w:rsid w:val="00F3668C"/>
    <w:rsid w:val="00F36AC1"/>
    <w:rsid w:val="00F37058"/>
    <w:rsid w:val="00F37356"/>
    <w:rsid w:val="00F410A4"/>
    <w:rsid w:val="00F41300"/>
    <w:rsid w:val="00F41D87"/>
    <w:rsid w:val="00F42C59"/>
    <w:rsid w:val="00F42F24"/>
    <w:rsid w:val="00F43284"/>
    <w:rsid w:val="00F4355C"/>
    <w:rsid w:val="00F446A7"/>
    <w:rsid w:val="00F44909"/>
    <w:rsid w:val="00F44BE7"/>
    <w:rsid w:val="00F453FB"/>
    <w:rsid w:val="00F45AE9"/>
    <w:rsid w:val="00F46836"/>
    <w:rsid w:val="00F479D5"/>
    <w:rsid w:val="00F501E2"/>
    <w:rsid w:val="00F502D4"/>
    <w:rsid w:val="00F50898"/>
    <w:rsid w:val="00F50DE6"/>
    <w:rsid w:val="00F5114F"/>
    <w:rsid w:val="00F51336"/>
    <w:rsid w:val="00F51A8C"/>
    <w:rsid w:val="00F52192"/>
    <w:rsid w:val="00F52255"/>
    <w:rsid w:val="00F52513"/>
    <w:rsid w:val="00F52812"/>
    <w:rsid w:val="00F5302B"/>
    <w:rsid w:val="00F561AA"/>
    <w:rsid w:val="00F60139"/>
    <w:rsid w:val="00F606DA"/>
    <w:rsid w:val="00F60B32"/>
    <w:rsid w:val="00F61015"/>
    <w:rsid w:val="00F61175"/>
    <w:rsid w:val="00F6168A"/>
    <w:rsid w:val="00F618A8"/>
    <w:rsid w:val="00F62862"/>
    <w:rsid w:val="00F6528A"/>
    <w:rsid w:val="00F6535D"/>
    <w:rsid w:val="00F657AC"/>
    <w:rsid w:val="00F6606F"/>
    <w:rsid w:val="00F666E8"/>
    <w:rsid w:val="00F668B2"/>
    <w:rsid w:val="00F66BBE"/>
    <w:rsid w:val="00F66D07"/>
    <w:rsid w:val="00F674ED"/>
    <w:rsid w:val="00F6767A"/>
    <w:rsid w:val="00F67A67"/>
    <w:rsid w:val="00F7021C"/>
    <w:rsid w:val="00F7097C"/>
    <w:rsid w:val="00F70B1A"/>
    <w:rsid w:val="00F7110B"/>
    <w:rsid w:val="00F717F6"/>
    <w:rsid w:val="00F71EF7"/>
    <w:rsid w:val="00F72A55"/>
    <w:rsid w:val="00F73588"/>
    <w:rsid w:val="00F73EE4"/>
    <w:rsid w:val="00F7422D"/>
    <w:rsid w:val="00F742F0"/>
    <w:rsid w:val="00F74D7D"/>
    <w:rsid w:val="00F74E26"/>
    <w:rsid w:val="00F75446"/>
    <w:rsid w:val="00F75933"/>
    <w:rsid w:val="00F81B48"/>
    <w:rsid w:val="00F81E21"/>
    <w:rsid w:val="00F82C58"/>
    <w:rsid w:val="00F84238"/>
    <w:rsid w:val="00F84772"/>
    <w:rsid w:val="00F84B61"/>
    <w:rsid w:val="00F84B8A"/>
    <w:rsid w:val="00F84BAA"/>
    <w:rsid w:val="00F859C9"/>
    <w:rsid w:val="00F85CC6"/>
    <w:rsid w:val="00F86232"/>
    <w:rsid w:val="00F8647D"/>
    <w:rsid w:val="00F864B9"/>
    <w:rsid w:val="00F868B1"/>
    <w:rsid w:val="00F86D6C"/>
    <w:rsid w:val="00F8732D"/>
    <w:rsid w:val="00F878EC"/>
    <w:rsid w:val="00F9000B"/>
    <w:rsid w:val="00F90106"/>
    <w:rsid w:val="00F90207"/>
    <w:rsid w:val="00F9042C"/>
    <w:rsid w:val="00F90F23"/>
    <w:rsid w:val="00F9146A"/>
    <w:rsid w:val="00F92215"/>
    <w:rsid w:val="00F938A3"/>
    <w:rsid w:val="00F93ACA"/>
    <w:rsid w:val="00F93ADC"/>
    <w:rsid w:val="00F94A90"/>
    <w:rsid w:val="00F94D5F"/>
    <w:rsid w:val="00F94F0F"/>
    <w:rsid w:val="00F9543F"/>
    <w:rsid w:val="00F97489"/>
    <w:rsid w:val="00F97613"/>
    <w:rsid w:val="00FA222B"/>
    <w:rsid w:val="00FA2444"/>
    <w:rsid w:val="00FA35A4"/>
    <w:rsid w:val="00FA36BA"/>
    <w:rsid w:val="00FA477C"/>
    <w:rsid w:val="00FA663B"/>
    <w:rsid w:val="00FA72D2"/>
    <w:rsid w:val="00FB0682"/>
    <w:rsid w:val="00FB06A4"/>
    <w:rsid w:val="00FB0D77"/>
    <w:rsid w:val="00FB0F1F"/>
    <w:rsid w:val="00FB186C"/>
    <w:rsid w:val="00FB2066"/>
    <w:rsid w:val="00FB2254"/>
    <w:rsid w:val="00FB23E6"/>
    <w:rsid w:val="00FB30BF"/>
    <w:rsid w:val="00FB3153"/>
    <w:rsid w:val="00FB3B3A"/>
    <w:rsid w:val="00FB4CB4"/>
    <w:rsid w:val="00FB4DF4"/>
    <w:rsid w:val="00FB53E3"/>
    <w:rsid w:val="00FB556F"/>
    <w:rsid w:val="00FB6676"/>
    <w:rsid w:val="00FB6BD5"/>
    <w:rsid w:val="00FB6D46"/>
    <w:rsid w:val="00FB75CE"/>
    <w:rsid w:val="00FC14E8"/>
    <w:rsid w:val="00FC188D"/>
    <w:rsid w:val="00FC1EED"/>
    <w:rsid w:val="00FC2B91"/>
    <w:rsid w:val="00FC31BA"/>
    <w:rsid w:val="00FC3320"/>
    <w:rsid w:val="00FC37FC"/>
    <w:rsid w:val="00FC4A4B"/>
    <w:rsid w:val="00FC58FF"/>
    <w:rsid w:val="00FC5B58"/>
    <w:rsid w:val="00FC5E97"/>
    <w:rsid w:val="00FC61F5"/>
    <w:rsid w:val="00FC64B4"/>
    <w:rsid w:val="00FC73A8"/>
    <w:rsid w:val="00FC761C"/>
    <w:rsid w:val="00FC7675"/>
    <w:rsid w:val="00FC79FD"/>
    <w:rsid w:val="00FD0F17"/>
    <w:rsid w:val="00FD1083"/>
    <w:rsid w:val="00FD1687"/>
    <w:rsid w:val="00FD1CB4"/>
    <w:rsid w:val="00FD1E15"/>
    <w:rsid w:val="00FD2768"/>
    <w:rsid w:val="00FD2F19"/>
    <w:rsid w:val="00FD36D5"/>
    <w:rsid w:val="00FD3AE7"/>
    <w:rsid w:val="00FD42B8"/>
    <w:rsid w:val="00FD499E"/>
    <w:rsid w:val="00FD552C"/>
    <w:rsid w:val="00FD5651"/>
    <w:rsid w:val="00FD7618"/>
    <w:rsid w:val="00FD7956"/>
    <w:rsid w:val="00FD7CFB"/>
    <w:rsid w:val="00FE0C99"/>
    <w:rsid w:val="00FE1469"/>
    <w:rsid w:val="00FE15FC"/>
    <w:rsid w:val="00FE20AD"/>
    <w:rsid w:val="00FE2D77"/>
    <w:rsid w:val="00FE2FCF"/>
    <w:rsid w:val="00FE3022"/>
    <w:rsid w:val="00FE3B55"/>
    <w:rsid w:val="00FE3DE8"/>
    <w:rsid w:val="00FE421E"/>
    <w:rsid w:val="00FE4FE0"/>
    <w:rsid w:val="00FE6A65"/>
    <w:rsid w:val="00FE7011"/>
    <w:rsid w:val="00FE79E6"/>
    <w:rsid w:val="00FE7D17"/>
    <w:rsid w:val="00FF06FC"/>
    <w:rsid w:val="00FF0F39"/>
    <w:rsid w:val="00FF1243"/>
    <w:rsid w:val="00FF1BB4"/>
    <w:rsid w:val="00FF21C5"/>
    <w:rsid w:val="00FF2463"/>
    <w:rsid w:val="00FF2EE6"/>
    <w:rsid w:val="00FF35D2"/>
    <w:rsid w:val="00FF372D"/>
    <w:rsid w:val="00FF3734"/>
    <w:rsid w:val="00FF3E96"/>
    <w:rsid w:val="00FF4535"/>
    <w:rsid w:val="00FF4713"/>
    <w:rsid w:val="00FF5374"/>
    <w:rsid w:val="00FF6399"/>
    <w:rsid w:val="00FF769E"/>
    <w:rsid w:val="368B592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E8BEA4A"/>
  <w15:docId w15:val="{8DF1E6BC-9757-4B53-8374-799E979F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locked="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5743"/>
    <w:pPr>
      <w:autoSpaceDE w:val="0"/>
      <w:autoSpaceDN w:val="0"/>
    </w:pPr>
    <w:rPr>
      <w:rFonts w:ascii="Arial" w:hAnsi="Arial"/>
    </w:rPr>
  </w:style>
  <w:style w:type="paragraph" w:styleId="Heading1">
    <w:name w:val="heading 1"/>
    <w:basedOn w:val="Normal"/>
    <w:next w:val="Normal"/>
    <w:link w:val="Heading1Char"/>
    <w:uiPriority w:val="99"/>
    <w:qFormat/>
    <w:rsid w:val="00997DE2"/>
    <w:pPr>
      <w:keepNext/>
      <w:spacing w:before="240" w:after="120"/>
      <w:outlineLvl w:val="0"/>
    </w:pPr>
    <w:rPr>
      <w:b/>
      <w:bCs/>
    </w:rPr>
  </w:style>
  <w:style w:type="paragraph" w:styleId="Heading2">
    <w:name w:val="heading 2"/>
    <w:basedOn w:val="Normal"/>
    <w:next w:val="Normal"/>
    <w:link w:val="Heading2Char"/>
    <w:uiPriority w:val="99"/>
    <w:qFormat/>
    <w:rsid w:val="00701A4C"/>
    <w:pPr>
      <w:keepNext/>
      <w:spacing w:before="324"/>
      <w:ind w:left="720"/>
      <w:outlineLvl w:val="1"/>
    </w:pPr>
    <w:rPr>
      <w:u w:val="single"/>
    </w:rPr>
  </w:style>
  <w:style w:type="paragraph" w:styleId="Heading3">
    <w:name w:val="heading 3"/>
    <w:basedOn w:val="Normal"/>
    <w:next w:val="Normal"/>
    <w:link w:val="Heading3Char"/>
    <w:uiPriority w:val="99"/>
    <w:qFormat/>
    <w:rsid w:val="00701A4C"/>
    <w:pPr>
      <w:keepNext/>
      <w:spacing w:before="324"/>
      <w:ind w:left="360"/>
      <w:outlineLvl w:val="2"/>
    </w:pPr>
    <w:rPr>
      <w:u w:val="single"/>
    </w:rPr>
  </w:style>
  <w:style w:type="paragraph" w:styleId="Heading4">
    <w:name w:val="heading 4"/>
    <w:basedOn w:val="Normal"/>
    <w:next w:val="Normal"/>
    <w:link w:val="Heading4Char"/>
    <w:uiPriority w:val="99"/>
    <w:qFormat/>
    <w:rsid w:val="00701A4C"/>
    <w:pPr>
      <w:keepNext/>
      <w:spacing w:after="324"/>
      <w:ind w:left="4680"/>
      <w:jc w:val="center"/>
      <w:outlineLvl w:val="3"/>
    </w:pPr>
    <w:rPr>
      <w:b/>
      <w:bCs/>
    </w:rPr>
  </w:style>
  <w:style w:type="paragraph" w:styleId="Heading5">
    <w:name w:val="heading 5"/>
    <w:basedOn w:val="Normal"/>
    <w:next w:val="Normal"/>
    <w:link w:val="Heading5Char"/>
    <w:uiPriority w:val="99"/>
    <w:qFormat/>
    <w:rsid w:val="00701A4C"/>
    <w:pPr>
      <w:keepNext/>
      <w:ind w:left="4320" w:right="5328" w:firstLine="720"/>
      <w:jc w:val="center"/>
      <w:outlineLvl w:val="4"/>
    </w:pPr>
    <w:rPr>
      <w:b/>
      <w:bCs/>
    </w:rPr>
  </w:style>
  <w:style w:type="paragraph" w:styleId="Heading6">
    <w:name w:val="heading 6"/>
    <w:basedOn w:val="Normal"/>
    <w:next w:val="Normal"/>
    <w:link w:val="Heading6Char"/>
    <w:uiPriority w:val="99"/>
    <w:qFormat/>
    <w:rsid w:val="00701A4C"/>
    <w:pPr>
      <w:keepNext/>
      <w:jc w:val="center"/>
      <w:outlineLvl w:val="5"/>
    </w:pPr>
    <w:rPr>
      <w:b/>
      <w:bCs/>
      <w:spacing w:val="-4"/>
    </w:rPr>
  </w:style>
  <w:style w:type="paragraph" w:styleId="Heading7">
    <w:name w:val="heading 7"/>
    <w:basedOn w:val="Normal"/>
    <w:next w:val="Normal"/>
    <w:link w:val="Heading7Char"/>
    <w:uiPriority w:val="99"/>
    <w:qFormat/>
    <w:rsid w:val="00701A4C"/>
    <w:pPr>
      <w:keepNext/>
      <w:spacing w:before="648" w:after="360"/>
      <w:jc w:val="center"/>
      <w:outlineLvl w:val="6"/>
    </w:pPr>
    <w:rPr>
      <w:b/>
      <w:bCs/>
      <w:sz w:val="22"/>
      <w:szCs w:val="22"/>
    </w:rPr>
  </w:style>
  <w:style w:type="paragraph" w:styleId="Heading8">
    <w:name w:val="heading 8"/>
    <w:basedOn w:val="Normal"/>
    <w:next w:val="Normal"/>
    <w:link w:val="Heading8Char"/>
    <w:uiPriority w:val="99"/>
    <w:qFormat/>
    <w:rsid w:val="00701A4C"/>
    <w:pPr>
      <w:keepNext/>
      <w:outlineLvl w:val="7"/>
    </w:pPr>
    <w:rPr>
      <w:b/>
      <w:bCs/>
      <w:u w:val="single"/>
    </w:rPr>
  </w:style>
  <w:style w:type="paragraph" w:styleId="Heading9">
    <w:name w:val="heading 9"/>
    <w:basedOn w:val="Normal"/>
    <w:next w:val="Normal"/>
    <w:link w:val="Heading9Char"/>
    <w:uiPriority w:val="99"/>
    <w:qFormat/>
    <w:rsid w:val="00701A4C"/>
    <w:pPr>
      <w:keepNext/>
      <w:spacing w:before="288"/>
      <w:ind w:right="36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97DE2"/>
    <w:rPr>
      <w:rFonts w:ascii="Arial" w:hAnsi="Arial"/>
      <w:b/>
      <w:bCs/>
    </w:rPr>
  </w:style>
  <w:style w:type="character" w:customStyle="1" w:styleId="Heading2Char">
    <w:name w:val="Heading 2 Char"/>
    <w:link w:val="Heading2"/>
    <w:uiPriority w:val="99"/>
    <w:locked/>
    <w:rsid w:val="00310B26"/>
    <w:rPr>
      <w:sz w:val="24"/>
      <w:u w:val="single"/>
    </w:rPr>
  </w:style>
  <w:style w:type="character" w:customStyle="1" w:styleId="Heading3Char">
    <w:name w:val="Heading 3 Char"/>
    <w:link w:val="Heading3"/>
    <w:uiPriority w:val="9"/>
    <w:semiHidden/>
    <w:rsid w:val="00B84EAE"/>
    <w:rPr>
      <w:rFonts w:ascii="Cambria" w:eastAsia="Times New Roman" w:hAnsi="Cambria" w:cs="Times New Roman"/>
      <w:b/>
      <w:bCs/>
      <w:sz w:val="26"/>
      <w:szCs w:val="26"/>
    </w:rPr>
  </w:style>
  <w:style w:type="character" w:customStyle="1" w:styleId="Heading4Char">
    <w:name w:val="Heading 4 Char"/>
    <w:link w:val="Heading4"/>
    <w:uiPriority w:val="9"/>
    <w:semiHidden/>
    <w:rsid w:val="00B84EAE"/>
    <w:rPr>
      <w:rFonts w:ascii="Calibri" w:eastAsia="Times New Roman" w:hAnsi="Calibri" w:cs="Times New Roman"/>
      <w:b/>
      <w:bCs/>
      <w:sz w:val="28"/>
      <w:szCs w:val="28"/>
    </w:rPr>
  </w:style>
  <w:style w:type="character" w:customStyle="1" w:styleId="Heading5Char">
    <w:name w:val="Heading 5 Char"/>
    <w:link w:val="Heading5"/>
    <w:uiPriority w:val="9"/>
    <w:semiHidden/>
    <w:rsid w:val="00B84EA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B84EAE"/>
    <w:rPr>
      <w:rFonts w:ascii="Calibri" w:eastAsia="Times New Roman" w:hAnsi="Calibri" w:cs="Times New Roman"/>
      <w:b/>
      <w:bCs/>
    </w:rPr>
  </w:style>
  <w:style w:type="character" w:customStyle="1" w:styleId="Heading7Char">
    <w:name w:val="Heading 7 Char"/>
    <w:link w:val="Heading7"/>
    <w:uiPriority w:val="9"/>
    <w:semiHidden/>
    <w:rsid w:val="00B84EAE"/>
    <w:rPr>
      <w:rFonts w:ascii="Calibri" w:eastAsia="Times New Roman" w:hAnsi="Calibri" w:cs="Times New Roman"/>
      <w:sz w:val="24"/>
      <w:szCs w:val="24"/>
    </w:rPr>
  </w:style>
  <w:style w:type="character" w:customStyle="1" w:styleId="Heading8Char">
    <w:name w:val="Heading 8 Char"/>
    <w:link w:val="Heading8"/>
    <w:uiPriority w:val="9"/>
    <w:semiHidden/>
    <w:rsid w:val="00B84EAE"/>
    <w:rPr>
      <w:rFonts w:ascii="Calibri" w:eastAsia="Times New Roman" w:hAnsi="Calibri" w:cs="Times New Roman"/>
      <w:i/>
      <w:iCs/>
      <w:sz w:val="24"/>
      <w:szCs w:val="24"/>
    </w:rPr>
  </w:style>
  <w:style w:type="character" w:customStyle="1" w:styleId="Heading9Char">
    <w:name w:val="Heading 9 Char"/>
    <w:link w:val="Heading9"/>
    <w:uiPriority w:val="9"/>
    <w:semiHidden/>
    <w:rsid w:val="00B84EAE"/>
    <w:rPr>
      <w:rFonts w:ascii="Cambria" w:eastAsia="Times New Roman" w:hAnsi="Cambria" w:cs="Times New Roman"/>
    </w:rPr>
  </w:style>
  <w:style w:type="paragraph" w:styleId="BalloonText">
    <w:name w:val="Balloon Text"/>
    <w:basedOn w:val="Normal"/>
    <w:link w:val="BalloonTextChar"/>
    <w:uiPriority w:val="99"/>
    <w:semiHidden/>
    <w:rsid w:val="00701A4C"/>
    <w:rPr>
      <w:rFonts w:ascii="Tahoma" w:hAnsi="Tahoma" w:cs="Tahoma"/>
      <w:sz w:val="16"/>
      <w:szCs w:val="16"/>
    </w:rPr>
  </w:style>
  <w:style w:type="character" w:customStyle="1" w:styleId="BalloonTextChar">
    <w:name w:val="Balloon Text Char"/>
    <w:link w:val="BalloonText"/>
    <w:uiPriority w:val="99"/>
    <w:semiHidden/>
    <w:rsid w:val="00B84EAE"/>
  </w:style>
  <w:style w:type="paragraph" w:styleId="Title">
    <w:name w:val="Title"/>
    <w:basedOn w:val="Normal"/>
    <w:link w:val="TitleChar"/>
    <w:uiPriority w:val="99"/>
    <w:qFormat/>
    <w:rsid w:val="00701A4C"/>
    <w:pPr>
      <w:pBdr>
        <w:top w:val="double" w:sz="2" w:space="14" w:color="020000"/>
        <w:between w:val="double" w:sz="2" w:space="14" w:color="020000"/>
      </w:pBdr>
      <w:spacing w:before="28"/>
      <w:jc w:val="center"/>
    </w:pPr>
    <w:rPr>
      <w:b/>
      <w:bCs/>
      <w:spacing w:val="12"/>
      <w:sz w:val="28"/>
      <w:szCs w:val="28"/>
    </w:rPr>
  </w:style>
  <w:style w:type="character" w:customStyle="1" w:styleId="TitleChar">
    <w:name w:val="Title Char"/>
    <w:link w:val="Title"/>
    <w:uiPriority w:val="10"/>
    <w:rsid w:val="00B84EAE"/>
    <w:rPr>
      <w:rFonts w:ascii="Cambria" w:eastAsia="Times New Roman" w:hAnsi="Cambria" w:cs="Times New Roman"/>
      <w:b/>
      <w:bCs/>
      <w:kern w:val="28"/>
      <w:sz w:val="32"/>
      <w:szCs w:val="32"/>
    </w:rPr>
  </w:style>
  <w:style w:type="paragraph" w:styleId="Header">
    <w:name w:val="header"/>
    <w:basedOn w:val="Normal"/>
    <w:link w:val="HeaderChar"/>
    <w:uiPriority w:val="99"/>
    <w:rsid w:val="00701A4C"/>
    <w:pPr>
      <w:tabs>
        <w:tab w:val="center" w:pos="4320"/>
        <w:tab w:val="right" w:pos="8640"/>
      </w:tabs>
    </w:pPr>
  </w:style>
  <w:style w:type="character" w:customStyle="1" w:styleId="HeaderChar">
    <w:name w:val="Header Char"/>
    <w:link w:val="Header"/>
    <w:uiPriority w:val="99"/>
    <w:rsid w:val="00B84EAE"/>
    <w:rPr>
      <w:sz w:val="24"/>
      <w:szCs w:val="24"/>
    </w:rPr>
  </w:style>
  <w:style w:type="paragraph" w:styleId="Footer">
    <w:name w:val="footer"/>
    <w:basedOn w:val="Normal"/>
    <w:link w:val="FooterChar"/>
    <w:uiPriority w:val="99"/>
    <w:rsid w:val="00701A4C"/>
    <w:pPr>
      <w:tabs>
        <w:tab w:val="center" w:pos="4320"/>
        <w:tab w:val="right" w:pos="8640"/>
      </w:tabs>
    </w:pPr>
  </w:style>
  <w:style w:type="character" w:customStyle="1" w:styleId="FooterChar">
    <w:name w:val="Footer Char"/>
    <w:link w:val="Footer"/>
    <w:uiPriority w:val="99"/>
    <w:rsid w:val="00B84EAE"/>
    <w:rPr>
      <w:sz w:val="24"/>
      <w:szCs w:val="24"/>
    </w:rPr>
  </w:style>
  <w:style w:type="paragraph" w:styleId="BodyText">
    <w:name w:val="Body Text"/>
    <w:basedOn w:val="Normal"/>
    <w:link w:val="BodyTextChar"/>
    <w:uiPriority w:val="99"/>
    <w:rsid w:val="00701A4C"/>
    <w:pPr>
      <w:spacing w:before="36" w:after="324"/>
      <w:jc w:val="center"/>
    </w:pPr>
    <w:rPr>
      <w:b/>
      <w:bCs/>
    </w:rPr>
  </w:style>
  <w:style w:type="character" w:customStyle="1" w:styleId="BodyTextChar">
    <w:name w:val="Body Text Char"/>
    <w:link w:val="BodyText"/>
    <w:uiPriority w:val="99"/>
    <w:semiHidden/>
    <w:rsid w:val="00B84EAE"/>
    <w:rPr>
      <w:sz w:val="24"/>
      <w:szCs w:val="24"/>
    </w:rPr>
  </w:style>
  <w:style w:type="paragraph" w:styleId="BlockText">
    <w:name w:val="Block Text"/>
    <w:basedOn w:val="Normal"/>
    <w:uiPriority w:val="99"/>
    <w:rsid w:val="00701A4C"/>
    <w:pPr>
      <w:spacing w:before="324"/>
      <w:ind w:left="648" w:right="792"/>
    </w:pPr>
  </w:style>
  <w:style w:type="paragraph" w:styleId="FootnoteText">
    <w:name w:val="footnote text"/>
    <w:basedOn w:val="Normal"/>
    <w:link w:val="FootnoteTextChar1"/>
    <w:uiPriority w:val="99"/>
    <w:rsid w:val="00701A4C"/>
    <w:rPr>
      <w:sz w:val="20"/>
      <w:szCs w:val="20"/>
    </w:rPr>
  </w:style>
  <w:style w:type="character" w:customStyle="1" w:styleId="FootnoteTextChar">
    <w:name w:val="Footnote Text Char"/>
    <w:uiPriority w:val="99"/>
    <w:rsid w:val="003417EA"/>
    <w:rPr>
      <w:lang w:val="en-US" w:eastAsia="en-US"/>
    </w:rPr>
  </w:style>
  <w:style w:type="character" w:styleId="FootnoteReference">
    <w:name w:val="footnote reference"/>
    <w:uiPriority w:val="99"/>
    <w:rsid w:val="00701A4C"/>
    <w:rPr>
      <w:rFonts w:cs="Times New Roman"/>
      <w:vertAlign w:val="superscript"/>
    </w:rPr>
  </w:style>
  <w:style w:type="paragraph" w:styleId="BodyTextIndent">
    <w:name w:val="Body Text Indent"/>
    <w:basedOn w:val="Normal"/>
    <w:link w:val="BodyTextIndentChar"/>
    <w:uiPriority w:val="99"/>
    <w:rsid w:val="00701A4C"/>
    <w:pPr>
      <w:jc w:val="both"/>
    </w:pPr>
  </w:style>
  <w:style w:type="character" w:customStyle="1" w:styleId="BodyTextIndentChar">
    <w:name w:val="Body Text Indent Char"/>
    <w:link w:val="BodyTextIndent"/>
    <w:uiPriority w:val="99"/>
    <w:semiHidden/>
    <w:rsid w:val="00B84EAE"/>
    <w:rPr>
      <w:sz w:val="24"/>
      <w:szCs w:val="24"/>
    </w:rPr>
  </w:style>
  <w:style w:type="paragraph" w:styleId="BodyText3">
    <w:name w:val="Body Text 3"/>
    <w:basedOn w:val="Normal"/>
    <w:link w:val="BodyText3Char"/>
    <w:uiPriority w:val="99"/>
    <w:rsid w:val="00701A4C"/>
    <w:pPr>
      <w:spacing w:before="36" w:after="2304"/>
      <w:ind w:right="288"/>
    </w:pPr>
  </w:style>
  <w:style w:type="character" w:customStyle="1" w:styleId="BodyText3Char">
    <w:name w:val="Body Text 3 Char"/>
    <w:link w:val="BodyText3"/>
    <w:uiPriority w:val="99"/>
    <w:semiHidden/>
    <w:rsid w:val="00B84EAE"/>
    <w:rPr>
      <w:sz w:val="16"/>
      <w:szCs w:val="16"/>
    </w:rPr>
  </w:style>
  <w:style w:type="paragraph" w:customStyle="1" w:styleId="Level1">
    <w:name w:val="Level 1"/>
    <w:basedOn w:val="Normal"/>
    <w:uiPriority w:val="99"/>
    <w:rsid w:val="00701A4C"/>
    <w:pPr>
      <w:adjustRightInd w:val="0"/>
      <w:ind w:left="720" w:hanging="720"/>
      <w:outlineLvl w:val="0"/>
    </w:pPr>
  </w:style>
  <w:style w:type="paragraph" w:styleId="BodyText2">
    <w:name w:val="Body Text 2"/>
    <w:basedOn w:val="Normal"/>
    <w:link w:val="BodyText2Char"/>
    <w:uiPriority w:val="99"/>
    <w:rsid w:val="00701A4C"/>
    <w:pPr>
      <w:jc w:val="center"/>
    </w:pPr>
    <w:rPr>
      <w:iCs/>
      <w:sz w:val="22"/>
      <w:szCs w:val="18"/>
    </w:rPr>
  </w:style>
  <w:style w:type="character" w:customStyle="1" w:styleId="BodyText2Char">
    <w:name w:val="Body Text 2 Char"/>
    <w:link w:val="BodyText2"/>
    <w:uiPriority w:val="99"/>
    <w:semiHidden/>
    <w:rsid w:val="00B84EAE"/>
    <w:rPr>
      <w:sz w:val="24"/>
      <w:szCs w:val="24"/>
    </w:rPr>
  </w:style>
  <w:style w:type="character" w:styleId="PageNumber">
    <w:name w:val="page number"/>
    <w:uiPriority w:val="99"/>
    <w:rsid w:val="00701A4C"/>
    <w:rPr>
      <w:rFonts w:cs="Times New Roman"/>
    </w:rPr>
  </w:style>
  <w:style w:type="character" w:styleId="Hyperlink">
    <w:name w:val="Hyperlink"/>
    <w:uiPriority w:val="99"/>
    <w:rsid w:val="00701A4C"/>
    <w:rPr>
      <w:rFonts w:cs="Times New Roman"/>
      <w:color w:val="0000FF"/>
      <w:u w:val="single"/>
    </w:rPr>
  </w:style>
  <w:style w:type="paragraph" w:styleId="NormalWeb">
    <w:name w:val="Normal (Web)"/>
    <w:basedOn w:val="Normal"/>
    <w:uiPriority w:val="99"/>
    <w:rsid w:val="00701A4C"/>
    <w:pPr>
      <w:autoSpaceDE/>
      <w:autoSpaceDN/>
      <w:spacing w:before="100" w:beforeAutospacing="1" w:after="100" w:afterAutospacing="1"/>
    </w:pPr>
    <w:rPr>
      <w:rFonts w:cs="Arial"/>
      <w:sz w:val="20"/>
      <w:szCs w:val="20"/>
    </w:rPr>
  </w:style>
  <w:style w:type="character" w:styleId="Strong">
    <w:name w:val="Strong"/>
    <w:uiPriority w:val="99"/>
    <w:qFormat/>
    <w:rsid w:val="00701A4C"/>
    <w:rPr>
      <w:rFonts w:cs="Times New Roman"/>
      <w:b/>
    </w:rPr>
  </w:style>
  <w:style w:type="character" w:styleId="Emphasis">
    <w:name w:val="Emphasis"/>
    <w:uiPriority w:val="20"/>
    <w:qFormat/>
    <w:rsid w:val="00701A4C"/>
    <w:rPr>
      <w:rFonts w:cs="Times New Roman"/>
      <w:i/>
    </w:rPr>
  </w:style>
  <w:style w:type="character" w:styleId="FollowedHyperlink">
    <w:name w:val="FollowedHyperlink"/>
    <w:uiPriority w:val="99"/>
    <w:rsid w:val="00701A4C"/>
    <w:rPr>
      <w:rFonts w:cs="Times New Roman"/>
      <w:color w:val="800080"/>
      <w:u w:val="single"/>
    </w:rPr>
  </w:style>
  <w:style w:type="paragraph" w:styleId="Caption">
    <w:name w:val="caption"/>
    <w:aliases w:val="Caption Char Char C... + 12 pt,Caption Char1 Char,Caption1"/>
    <w:basedOn w:val="Normal"/>
    <w:next w:val="Normal"/>
    <w:link w:val="CaptionChar"/>
    <w:qFormat/>
    <w:rsid w:val="00701A4C"/>
    <w:pPr>
      <w:adjustRightInd w:val="0"/>
      <w:jc w:val="right"/>
    </w:pPr>
    <w:rPr>
      <w:i/>
      <w:iCs/>
      <w:sz w:val="20"/>
      <w:szCs w:val="20"/>
    </w:rPr>
  </w:style>
  <w:style w:type="character" w:styleId="CommentReference">
    <w:name w:val="annotation reference"/>
    <w:uiPriority w:val="99"/>
    <w:semiHidden/>
    <w:rsid w:val="00701A4C"/>
    <w:rPr>
      <w:rFonts w:cs="Times New Roman"/>
      <w:sz w:val="16"/>
    </w:rPr>
  </w:style>
  <w:style w:type="paragraph" w:styleId="CommentText">
    <w:name w:val="annotation text"/>
    <w:basedOn w:val="Normal"/>
    <w:link w:val="CommentTextChar"/>
    <w:uiPriority w:val="99"/>
    <w:rsid w:val="00701A4C"/>
    <w:rPr>
      <w:sz w:val="20"/>
      <w:szCs w:val="20"/>
    </w:rPr>
  </w:style>
  <w:style w:type="character" w:customStyle="1" w:styleId="CommentTextChar">
    <w:name w:val="Comment Text Char"/>
    <w:basedOn w:val="DefaultParagraphFont"/>
    <w:link w:val="CommentText"/>
    <w:uiPriority w:val="99"/>
    <w:locked/>
    <w:rsid w:val="00310B26"/>
  </w:style>
  <w:style w:type="paragraph" w:styleId="CommentSubject">
    <w:name w:val="annotation subject"/>
    <w:basedOn w:val="CommentText"/>
    <w:next w:val="CommentText"/>
    <w:link w:val="CommentSubjectChar"/>
    <w:uiPriority w:val="99"/>
    <w:semiHidden/>
    <w:rsid w:val="00701A4C"/>
    <w:rPr>
      <w:b/>
      <w:bCs/>
    </w:rPr>
  </w:style>
  <w:style w:type="character" w:customStyle="1" w:styleId="CommentSubjectChar">
    <w:name w:val="Comment Subject Char"/>
    <w:link w:val="CommentSubject"/>
    <w:uiPriority w:val="99"/>
    <w:semiHidden/>
    <w:rsid w:val="00B84EAE"/>
    <w:rPr>
      <w:b/>
      <w:bCs/>
      <w:sz w:val="20"/>
      <w:szCs w:val="20"/>
    </w:rPr>
  </w:style>
  <w:style w:type="paragraph" w:styleId="BodyTextIndent2">
    <w:name w:val="Body Text Indent 2"/>
    <w:basedOn w:val="Normal"/>
    <w:link w:val="BodyTextIndent2Char"/>
    <w:uiPriority w:val="99"/>
    <w:rsid w:val="00701A4C"/>
    <w:pPr>
      <w:spacing w:after="120"/>
      <w:ind w:left="-547"/>
      <w:jc w:val="center"/>
    </w:pPr>
    <w:rPr>
      <w:b/>
      <w:bCs/>
    </w:rPr>
  </w:style>
  <w:style w:type="character" w:customStyle="1" w:styleId="BodyTextIndent2Char">
    <w:name w:val="Body Text Indent 2 Char"/>
    <w:link w:val="BodyTextIndent2"/>
    <w:uiPriority w:val="99"/>
    <w:semiHidden/>
    <w:rsid w:val="00B84EAE"/>
    <w:rPr>
      <w:sz w:val="24"/>
      <w:szCs w:val="24"/>
    </w:rPr>
  </w:style>
  <w:style w:type="character" w:customStyle="1" w:styleId="Hypertext">
    <w:name w:val="Hypertext"/>
    <w:uiPriority w:val="99"/>
    <w:rsid w:val="00701A4C"/>
    <w:rPr>
      <w:color w:val="0000FF"/>
      <w:u w:val="single"/>
    </w:rPr>
  </w:style>
  <w:style w:type="table" w:styleId="TableGrid">
    <w:name w:val="Table Grid"/>
    <w:basedOn w:val="TableNormal"/>
    <w:rsid w:val="005447B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link w:val="FootnoteText"/>
    <w:uiPriority w:val="99"/>
    <w:locked/>
    <w:rsid w:val="00A84C4F"/>
    <w:rPr>
      <w:lang w:val="en-US" w:eastAsia="en-US"/>
    </w:rPr>
  </w:style>
  <w:style w:type="paragraph" w:customStyle="1" w:styleId="Level2">
    <w:name w:val="Level 2"/>
    <w:uiPriority w:val="99"/>
    <w:rsid w:val="000E6F2F"/>
    <w:pPr>
      <w:autoSpaceDE w:val="0"/>
      <w:autoSpaceDN w:val="0"/>
      <w:adjustRightInd w:val="0"/>
      <w:ind w:left="1440"/>
    </w:pPr>
  </w:style>
  <w:style w:type="paragraph" w:customStyle="1" w:styleId="TableText">
    <w:name w:val="Table Text"/>
    <w:basedOn w:val="Normal"/>
    <w:uiPriority w:val="99"/>
    <w:rsid w:val="005454A8"/>
    <w:pPr>
      <w:autoSpaceDE/>
      <w:autoSpaceDN/>
    </w:pPr>
    <w:rPr>
      <w:bCs/>
      <w:sz w:val="16"/>
      <w:szCs w:val="20"/>
    </w:rPr>
  </w:style>
  <w:style w:type="paragraph" w:customStyle="1" w:styleId="TableTitle">
    <w:name w:val="Table Title"/>
    <w:basedOn w:val="Normal"/>
    <w:link w:val="TableTitleChar"/>
    <w:uiPriority w:val="99"/>
    <w:rsid w:val="005454A8"/>
    <w:pPr>
      <w:keepNext/>
      <w:widowControl w:val="0"/>
      <w:autoSpaceDE/>
      <w:autoSpaceDN/>
      <w:spacing w:before="40" w:after="40"/>
      <w:jc w:val="center"/>
    </w:pPr>
    <w:rPr>
      <w:b/>
      <w:color w:val="FFFFFF"/>
      <w:sz w:val="22"/>
      <w:szCs w:val="20"/>
    </w:rPr>
  </w:style>
  <w:style w:type="paragraph" w:customStyle="1" w:styleId="TableSubtitle">
    <w:name w:val="Table Subtitle"/>
    <w:basedOn w:val="Normal"/>
    <w:uiPriority w:val="99"/>
    <w:rsid w:val="005454A8"/>
    <w:pPr>
      <w:keepNext/>
      <w:autoSpaceDE/>
      <w:autoSpaceDN/>
      <w:jc w:val="center"/>
    </w:pPr>
    <w:rPr>
      <w:rFonts w:cs="Arial"/>
      <w:b/>
      <w:bCs/>
      <w:sz w:val="16"/>
      <w:szCs w:val="20"/>
    </w:rPr>
  </w:style>
  <w:style w:type="character" w:customStyle="1" w:styleId="TableTitleChar">
    <w:name w:val="Table Title Char"/>
    <w:link w:val="TableTitle"/>
    <w:uiPriority w:val="99"/>
    <w:locked/>
    <w:rsid w:val="005454A8"/>
    <w:rPr>
      <w:rFonts w:ascii="Arial" w:hAnsi="Arial"/>
      <w:b/>
      <w:color w:val="FFFFFF"/>
      <w:sz w:val="22"/>
      <w:lang w:val="en-US" w:eastAsia="en-US"/>
    </w:rPr>
  </w:style>
  <w:style w:type="paragraph" w:styleId="TOC1">
    <w:name w:val="toc 1"/>
    <w:basedOn w:val="Normal"/>
    <w:next w:val="Normal"/>
    <w:autoRedefine/>
    <w:uiPriority w:val="39"/>
    <w:qFormat/>
    <w:rsid w:val="002D0A3F"/>
  </w:style>
  <w:style w:type="paragraph" w:styleId="TOC2">
    <w:name w:val="toc 2"/>
    <w:basedOn w:val="Normal"/>
    <w:next w:val="Normal"/>
    <w:autoRedefine/>
    <w:uiPriority w:val="39"/>
    <w:qFormat/>
    <w:rsid w:val="002D0A3F"/>
    <w:pPr>
      <w:ind w:left="240"/>
    </w:pPr>
  </w:style>
  <w:style w:type="paragraph" w:customStyle="1" w:styleId="EPA-base">
    <w:name w:val="EPA-base"/>
    <w:basedOn w:val="Normal"/>
    <w:uiPriority w:val="99"/>
    <w:rsid w:val="00B735F1"/>
    <w:pPr>
      <w:autoSpaceDE/>
      <w:autoSpaceDN/>
      <w:ind w:left="58"/>
    </w:pPr>
    <w:rPr>
      <w:sz w:val="16"/>
      <w:szCs w:val="16"/>
    </w:rPr>
  </w:style>
  <w:style w:type="paragraph" w:styleId="Revision">
    <w:name w:val="Revision"/>
    <w:hidden/>
    <w:uiPriority w:val="99"/>
    <w:semiHidden/>
    <w:rsid w:val="00F6606F"/>
  </w:style>
  <w:style w:type="paragraph" w:customStyle="1" w:styleId="Default">
    <w:name w:val="Default"/>
    <w:rsid w:val="00BF6419"/>
    <w:pPr>
      <w:autoSpaceDE w:val="0"/>
      <w:autoSpaceDN w:val="0"/>
      <w:adjustRightInd w:val="0"/>
    </w:pPr>
    <w:rPr>
      <w:color w:val="000000"/>
    </w:rPr>
  </w:style>
  <w:style w:type="paragraph" w:styleId="ListParagraph">
    <w:name w:val="List Paragraph"/>
    <w:basedOn w:val="Normal"/>
    <w:uiPriority w:val="34"/>
    <w:qFormat/>
    <w:rsid w:val="00C31BDC"/>
    <w:pPr>
      <w:ind w:left="720"/>
      <w:contextualSpacing/>
    </w:pPr>
  </w:style>
  <w:style w:type="paragraph" w:styleId="NoSpacing">
    <w:name w:val="No Spacing"/>
    <w:uiPriority w:val="1"/>
    <w:qFormat/>
    <w:rsid w:val="009B4547"/>
    <w:pPr>
      <w:autoSpaceDE w:val="0"/>
      <w:autoSpaceDN w:val="0"/>
    </w:pPr>
  </w:style>
  <w:style w:type="paragraph" w:styleId="TOCHeading">
    <w:name w:val="TOC Heading"/>
    <w:basedOn w:val="Heading1"/>
    <w:next w:val="Normal"/>
    <w:uiPriority w:val="39"/>
    <w:unhideWhenUsed/>
    <w:qFormat/>
    <w:rsid w:val="002B17F5"/>
    <w:pPr>
      <w:keepLines/>
      <w:autoSpaceDE/>
      <w:autoSpaceDN/>
      <w:spacing w:before="480" w:line="276" w:lineRule="auto"/>
      <w:outlineLvl w:val="9"/>
    </w:pPr>
    <w:rPr>
      <w:rFonts w:asciiTheme="majorHAnsi" w:eastAsiaTheme="majorEastAsia" w:hAnsiTheme="majorHAnsi" w:cstheme="majorBidi"/>
      <w:color w:val="2E74B5" w:themeColor="accent1" w:themeShade="BF"/>
      <w:sz w:val="28"/>
      <w:szCs w:val="28"/>
      <w:lang w:eastAsia="ja-JP"/>
    </w:rPr>
  </w:style>
  <w:style w:type="paragraph" w:styleId="TOC3">
    <w:name w:val="toc 3"/>
    <w:basedOn w:val="Normal"/>
    <w:next w:val="Normal"/>
    <w:autoRedefine/>
    <w:uiPriority w:val="39"/>
    <w:semiHidden/>
    <w:unhideWhenUsed/>
    <w:qFormat/>
    <w:rsid w:val="00EA2380"/>
    <w:pPr>
      <w:autoSpaceDE/>
      <w:autoSpaceDN/>
      <w:spacing w:after="100" w:line="276" w:lineRule="auto"/>
      <w:ind w:left="440"/>
    </w:pPr>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ED0410"/>
    <w:rPr>
      <w:color w:val="808080"/>
      <w:shd w:val="clear" w:color="auto" w:fill="E6E6E6"/>
    </w:rPr>
  </w:style>
  <w:style w:type="character" w:customStyle="1" w:styleId="UnresolvedMention2">
    <w:name w:val="Unresolved Mention2"/>
    <w:basedOn w:val="DefaultParagraphFont"/>
    <w:uiPriority w:val="99"/>
    <w:semiHidden/>
    <w:unhideWhenUsed/>
    <w:rsid w:val="00FB23E6"/>
    <w:rPr>
      <w:color w:val="808080"/>
      <w:shd w:val="clear" w:color="auto" w:fill="E6E6E6"/>
    </w:rPr>
  </w:style>
  <w:style w:type="paragraph" w:customStyle="1" w:styleId="paragraph">
    <w:name w:val="paragraph"/>
    <w:basedOn w:val="Normal"/>
    <w:rsid w:val="005B4475"/>
    <w:pPr>
      <w:autoSpaceDE/>
      <w:autoSpaceDN/>
    </w:pPr>
  </w:style>
  <w:style w:type="character" w:customStyle="1" w:styleId="normaltextrun">
    <w:name w:val="normaltextrun"/>
    <w:basedOn w:val="DefaultParagraphFont"/>
    <w:rsid w:val="005B4475"/>
  </w:style>
  <w:style w:type="character" w:customStyle="1" w:styleId="GPOAGENCYChar">
    <w:name w:val="GPO AGENCY Char"/>
    <w:basedOn w:val="DefaultParagraphFont"/>
    <w:link w:val="GPOAGENCY"/>
    <w:locked/>
    <w:rsid w:val="007450B7"/>
    <w:rPr>
      <w:b/>
      <w:bCs/>
    </w:rPr>
  </w:style>
  <w:style w:type="paragraph" w:customStyle="1" w:styleId="GPOAGENCY">
    <w:name w:val="GPO AGENCY"/>
    <w:basedOn w:val="Normal"/>
    <w:link w:val="GPOAGENCYChar"/>
    <w:rsid w:val="007450B7"/>
    <w:pPr>
      <w:autoSpaceDE/>
      <w:autoSpaceDN/>
    </w:pPr>
    <w:rPr>
      <w:b/>
      <w:bCs/>
    </w:rPr>
  </w:style>
  <w:style w:type="paragraph" w:customStyle="1" w:styleId="psection-2">
    <w:name w:val="psection-2"/>
    <w:basedOn w:val="Normal"/>
    <w:rsid w:val="00CE4435"/>
    <w:pPr>
      <w:autoSpaceDE/>
      <w:autoSpaceDN/>
      <w:spacing w:before="100" w:beforeAutospacing="1" w:after="100" w:afterAutospacing="1"/>
    </w:pPr>
  </w:style>
  <w:style w:type="character" w:customStyle="1" w:styleId="enumxml">
    <w:name w:val="enumxml"/>
    <w:basedOn w:val="DefaultParagraphFont"/>
    <w:rsid w:val="00CE4435"/>
  </w:style>
  <w:style w:type="paragraph" w:customStyle="1" w:styleId="psection-3">
    <w:name w:val="psection-3"/>
    <w:basedOn w:val="Normal"/>
    <w:rsid w:val="00CE4435"/>
    <w:pPr>
      <w:autoSpaceDE/>
      <w:autoSpaceDN/>
      <w:spacing w:before="100" w:beforeAutospacing="1" w:after="100" w:afterAutospacing="1"/>
    </w:pPr>
  </w:style>
  <w:style w:type="character" w:styleId="UnresolvedMention">
    <w:name w:val="Unresolved Mention"/>
    <w:basedOn w:val="DefaultParagraphFont"/>
    <w:uiPriority w:val="99"/>
    <w:unhideWhenUsed/>
    <w:rsid w:val="00425E99"/>
    <w:rPr>
      <w:color w:val="605E5C"/>
      <w:shd w:val="clear" w:color="auto" w:fill="E1DFDD"/>
    </w:rPr>
  </w:style>
  <w:style w:type="character" w:customStyle="1" w:styleId="eop">
    <w:name w:val="eop"/>
    <w:basedOn w:val="DefaultParagraphFont"/>
    <w:rsid w:val="009872E2"/>
  </w:style>
  <w:style w:type="character" w:customStyle="1" w:styleId="CaptionChar">
    <w:name w:val="Caption Char"/>
    <w:aliases w:val="Caption Char Char C... + 12 pt Char,Caption Char1 Char Char,Caption1 Char"/>
    <w:basedOn w:val="DefaultParagraphFont"/>
    <w:link w:val="Caption"/>
    <w:rsid w:val="00FC2B91"/>
    <w:rPr>
      <w:i/>
      <w:iCs/>
      <w:sz w:val="20"/>
      <w:szCs w:val="20"/>
    </w:rPr>
  </w:style>
  <w:style w:type="character" w:styleId="Mention">
    <w:name w:val="Mention"/>
    <w:basedOn w:val="DefaultParagraphFont"/>
    <w:uiPriority w:val="99"/>
    <w:unhideWhenUsed/>
    <w:rsid w:val="004224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cs/ect/" TargetMode="External" /><Relationship Id="rId11" Type="http://schemas.openxmlformats.org/officeDocument/2006/relationships/hyperlink" Target="https://www.regulations.gov" TargetMode="External" /><Relationship Id="rId12" Type="http://schemas.openxmlformats.org/officeDocument/2006/relationships/hyperlink" Target="http://www.reginfo.gov/public/do/PRAMain" TargetMode="External" /><Relationship Id="rId13" Type="http://schemas.openxmlformats.org/officeDocument/2006/relationships/hyperlink" Target="http://www.regulations.gov" TargetMode="External" /><Relationship Id="rId14" Type="http://schemas.openxmlformats.org/officeDocument/2006/relationships/hyperlink" Target="https://www.govinfo.gov/content/pkg/USCODE-2011-title42/html/USCODE-2011-title42-chap116.htm" TargetMode="External" /><Relationship Id="rId15" Type="http://schemas.openxmlformats.org/officeDocument/2006/relationships/hyperlink" Target="https://www.ecfr.gov/current/title-40/chapter-I/subchapter-J/part-372/subpart-B/section-372.25" TargetMode="External" /><Relationship Id="rId16" Type="http://schemas.openxmlformats.org/officeDocument/2006/relationships/hyperlink" Target="https://ordspub.epa.gov/ords/guideme_ext/guideme_ext/guideme/file/ry_2020_form_a.pdf" TargetMode="External" /><Relationship Id="rId17" Type="http://schemas.openxmlformats.org/officeDocument/2006/relationships/hyperlink" Target="https://ordspub.epa.gov/ords/guideme_ext/guideme_ext/guideme/file/ry_2020_form_r.pdf" TargetMode="External" /><Relationship Id="rId18" Type="http://schemas.openxmlformats.org/officeDocument/2006/relationships/footer" Target="footer1.xml" /><Relationship Id="rId19" Type="http://schemas.openxmlformats.org/officeDocument/2006/relationships/hyperlink" Target="http://www.epa.gov/osweroe1/content/lawsregs/caaover.htm" TargetMode="External" /><Relationship Id="rId2" Type="http://schemas.openxmlformats.org/officeDocument/2006/relationships/settings" Target="settings.xml" /><Relationship Id="rId20" Type="http://schemas.openxmlformats.org/officeDocument/2006/relationships/hyperlink" Target="http://www.epa.gov/osweroe1/content/lawsregs/rmpover.htm"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ofmpub.epa.gov/apex/guideme_ext/f?p=guideme_ext:41" TargetMode="External" /><Relationship Id="rId2" Type="http://schemas.openxmlformats.org/officeDocument/2006/relationships/hyperlink" Target="https://www.epa.gov/tri/" TargetMode="External" /><Relationship Id="rId3" Type="http://schemas.openxmlformats.org/officeDocument/2006/relationships/hyperlink" Target="https://www.epa.gov/sites/production/files/documents/tri_in_action_final_report_july_2013.pdf" TargetMode="External" /><Relationship Id="rId4" Type="http://schemas.openxmlformats.org/officeDocument/2006/relationships/hyperlink" Target="https://www.epa.gov/rmp/list-regulated-substances-under-risk-management-plan-rmp-program" TargetMode="External" /><Relationship Id="rId5" Type="http://schemas.openxmlformats.org/officeDocument/2006/relationships/hyperlink" Target="https://www.epa.gov/rmp/risk-management-plan-rmp-rule-overview" TargetMode="External" /><Relationship Id="rId6" Type="http://schemas.openxmlformats.org/officeDocument/2006/relationships/hyperlink" Target="https://ofmpub.epa.gov/apex/guideme_ext/f?p=guideme:rfi-ho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4" ma:contentTypeDescription="Create a new document." ma:contentTypeScope="" ma:versionID="4ca9ae3a18f3799ae7de94c87e38686a">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8eb7a2a63042dd8acd52b8cd74bf6d63"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
        <AccountId xsi:nil="true"/>
        <AccountType/>
      </UserInfo>
    </SharedWithUsers>
    <_ip_UnifiedCompliancePolicyUIAction xmlns="http://schemas.microsoft.com/sharepoint/v3" xsi:nil="true"/>
    <_ip_UnifiedCompliancePolicyProperties xmlns="http://schemas.microsoft.com/sharepoint/v3" xsi:nil="true"/>
    <FRN_x0020_List_x0020_Item_x0020_ID xmlns="118f882f-1e32-4cf2-ad69-9de43d57f4c6">4504</FRN_x0020_List_x0020_Item_x0020_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EEE73-5419-409B-8CC9-F860FF2B2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6AE82-F007-4988-8A86-E194134110DD}">
  <ds:schemaRefs>
    <ds:schemaRef ds:uri="http://schemas.microsoft.com/sharepoint/v3/contenttype/forms"/>
  </ds:schemaRefs>
</ds:datastoreItem>
</file>

<file path=customXml/itemProps3.xml><?xml version="1.0" encoding="utf-8"?>
<ds:datastoreItem xmlns:ds="http://schemas.openxmlformats.org/officeDocument/2006/customXml" ds:itemID="{0C061F93-2FA6-4875-B5CB-391E1E05C337}">
  <ds:schemaRefs>
    <ds:schemaRef ds:uri="Microsoft.SharePoint.Taxonomy.ContentTypeSync"/>
  </ds:schemaRefs>
</ds:datastoreItem>
</file>

<file path=customXml/itemProps4.xml><?xml version="1.0" encoding="utf-8"?>
<ds:datastoreItem xmlns:ds="http://schemas.openxmlformats.org/officeDocument/2006/customXml" ds:itemID="{81FED593-1C5B-4986-BCC1-EB22388AE8C3}">
  <ds:schemaRefs>
    <ds:schemaRef ds:uri="http://purl.org/dc/terms/"/>
    <ds:schemaRef ds:uri="118f882f-1e32-4cf2-ad69-9de43d57f4c6"/>
    <ds:schemaRef ds:uri="http://schemas.microsoft.com/office/2006/metadata/properties"/>
    <ds:schemaRef ds:uri="http://schemas.microsoft.com/office/infopath/2007/PartnerControls"/>
    <ds:schemaRef ds:uri="http://schemas.microsoft.com/office/2006/documentManagement/types"/>
    <ds:schemaRef ds:uri="http://schemas.microsoft.com/sharepoint.v3"/>
    <ds:schemaRef ds:uri="http://schemas.microsoft.com/sharepoint/v3"/>
    <ds:schemaRef ds:uri="http://purl.org/dc/elements/1.1/"/>
    <ds:schemaRef ds:uri="http://schemas.openxmlformats.org/package/2006/metadata/core-properties"/>
    <ds:schemaRef ds:uri="http://purl.org/dc/dcmitype/"/>
    <ds:schemaRef ds:uri="a5d1ca4e-0a3f-4119-b619-e20b93ebd1aa"/>
    <ds:schemaRef ds:uri="4ffa91fb-a0ff-4ac5-b2db-65c790d184a4"/>
    <ds:schemaRef ds:uri="http://www.w3.org/XML/1998/namespace"/>
  </ds:schemaRefs>
</ds:datastoreItem>
</file>

<file path=customXml/itemProps5.xml><?xml version="1.0" encoding="utf-8"?>
<ds:datastoreItem xmlns:ds="http://schemas.openxmlformats.org/officeDocument/2006/customXml" ds:itemID="{B1634B00-349F-4D37-A94A-68435E6F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10424</Words>
  <Characters>58850</Characters>
  <Application>Microsoft Office Word</Application>
  <DocSecurity>0</DocSecurity>
  <Lines>1449</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Sleasman</dc:creator>
  <cp:lastModifiedBy>Schultz, Eric</cp:lastModifiedBy>
  <cp:revision>2</cp:revision>
  <dcterms:created xsi:type="dcterms:W3CDTF">2023-11-02T14:26:00Z</dcterms:created>
  <dcterms:modified xsi:type="dcterms:W3CDTF">2023-11-02T14:26:00Z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GrammarlyDocumentId">
    <vt:lpwstr>564fabeccd1a6dd8cefa2e281b4a1a0f7c5c07bbf762bac133fe5d74917b172a</vt:lpwstr>
  </property>
  <property fmtid="{D5CDD505-2E9C-101B-9397-08002B2CF9AE}" pid="8" name="TaxKeyword">
    <vt:lpwstr/>
  </property>
</Properties>
</file>