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ocument.xml" ContentType="application/vnd.openxmlformats-officedocument.wordprocessingml.document.main+xml"/>
  <Override PartName="/word/embeddings/Microsoft_Excel_Worksheet1.xlsx" ContentType="application/vnd.openxmlformats-officedocument.spreadsheetml.sheet"/>
  <Override PartName="/word/embeddings/Microsoft_Excel_Worksheet2.xlsx" ContentType="application/vnd.openxmlformats-officedocument.spreadsheetml.shee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Java 22.7.0 -->
  <w:body>
    <w:p w:rsidR="00862E06" w:rsidRPr="002D3263" w:rsidP="00EF4CBB" w14:paraId="10B79153" w14:textId="77777777">
      <w:pPr>
        <w:pStyle w:val="Title"/>
        <w:widowControl/>
        <w:spacing w:line="240" w:lineRule="auto"/>
        <w:ind w:left="0" w:right="0"/>
        <w:rPr>
          <w:rFonts w:ascii="Gill Sans MT" w:hAnsi="Gill Sans MT"/>
          <w:b w:val="0"/>
          <w:color w:val="345C9C"/>
          <w:spacing w:val="-20"/>
          <w:sz w:val="60"/>
          <w:szCs w:val="60"/>
        </w:rPr>
      </w:pPr>
      <w:r w:rsidRPr="002D3263">
        <w:rPr>
          <w:rFonts w:ascii="Gill Sans MT" w:hAnsi="Gill Sans MT"/>
          <w:b w:val="0"/>
          <w:color w:val="345C9C"/>
          <w:spacing w:val="-20"/>
          <w:sz w:val="60"/>
          <w:szCs w:val="60"/>
        </w:rPr>
        <w:t xml:space="preserve">Uniform Relocation Assistance and Real Property Acquisition for </w:t>
      </w:r>
      <w:r w:rsidRPr="002D3263" w:rsidR="00111308">
        <w:rPr>
          <w:rFonts w:ascii="Gill Sans MT" w:hAnsi="Gill Sans MT"/>
          <w:b w:val="0"/>
          <w:color w:val="345C9C"/>
          <w:spacing w:val="-20"/>
          <w:sz w:val="60"/>
          <w:szCs w:val="60"/>
        </w:rPr>
        <w:t>Federal</w:t>
      </w:r>
      <w:r w:rsidRPr="002D3263">
        <w:rPr>
          <w:rFonts w:ascii="Gill Sans MT" w:hAnsi="Gill Sans MT"/>
          <w:b w:val="0"/>
          <w:color w:val="345C9C"/>
          <w:spacing w:val="-20"/>
          <w:sz w:val="60"/>
          <w:szCs w:val="60"/>
        </w:rPr>
        <w:t xml:space="preserve"> and </w:t>
      </w:r>
      <w:r w:rsidRPr="002D3263" w:rsidR="002F6403">
        <w:rPr>
          <w:rFonts w:ascii="Gill Sans MT" w:hAnsi="Gill Sans MT"/>
          <w:b w:val="0"/>
          <w:color w:val="345C9C"/>
          <w:spacing w:val="-20"/>
          <w:sz w:val="60"/>
          <w:szCs w:val="60"/>
        </w:rPr>
        <w:t xml:space="preserve">Federally </w:t>
      </w:r>
      <w:r w:rsidRPr="002D3263">
        <w:rPr>
          <w:rFonts w:ascii="Gill Sans MT" w:hAnsi="Gill Sans MT"/>
          <w:b w:val="0"/>
          <w:color w:val="345C9C"/>
          <w:spacing w:val="-20"/>
          <w:sz w:val="60"/>
          <w:szCs w:val="60"/>
        </w:rPr>
        <w:t>Assisted Programs</w:t>
      </w:r>
    </w:p>
    <w:p w:rsidR="00862E06" w:rsidRPr="002D3263" w:rsidP="00EF4CBB" w14:paraId="6D4ECF0D" w14:textId="38F2E316">
      <w:pPr>
        <w:widowControl/>
        <w:rPr>
          <w:rFonts w:ascii="Gill Sans MT" w:hAnsi="Gill Sans MT"/>
          <w:color w:val="808080" w:themeColor="background1" w:themeShade="80"/>
          <w:sz w:val="36"/>
          <w:szCs w:val="36"/>
        </w:rPr>
      </w:pPr>
      <w:r w:rsidRPr="002D3263">
        <w:rPr>
          <w:rFonts w:ascii="Gill Sans MT" w:hAnsi="Gill Sans MT"/>
          <w:color w:val="808080" w:themeColor="background1" w:themeShade="80"/>
          <w:sz w:val="36"/>
          <w:szCs w:val="36"/>
        </w:rPr>
        <w:t>Final Rule Regulatory Impact Analysis</w:t>
      </w:r>
    </w:p>
    <w:p w:rsidR="0093231E" w:rsidRPr="002D3263" w:rsidP="00EF4CBB" w14:paraId="036A24E1" w14:textId="1A24DA19">
      <w:pPr>
        <w:widowControl/>
      </w:pPr>
      <w:r w:rsidRPr="002D3263">
        <w:t>Docket FHWA-2018-0039</w:t>
      </w:r>
    </w:p>
    <w:p w:rsidR="007270F7" w:rsidRPr="002D3263" w:rsidP="00EF4CBB" w14:paraId="12CFAFCD" w14:textId="691B7134">
      <w:pPr>
        <w:widowControl/>
      </w:pPr>
    </w:p>
    <w:p w:rsidR="00862E06" w:rsidRPr="002D3263" w:rsidP="00EF4CBB" w14:paraId="1A1588A8" w14:textId="77777777">
      <w:pPr>
        <w:widowControl/>
      </w:pPr>
    </w:p>
    <w:p w:rsidR="00BB0E39" w:rsidRPr="00E85518" w:rsidP="00EF4CBB" w14:paraId="42BDB93B" w14:textId="77777777">
      <w:pPr>
        <w:widowControl/>
        <w:ind w:right="-20"/>
        <w:rPr>
          <w:rFonts w:ascii="Calibri" w:eastAsia="Arial" w:hAnsi="Calibri" w:cs="Arial"/>
          <w:spacing w:val="-4"/>
        </w:rPr>
      </w:pPr>
    </w:p>
    <w:p w:rsidR="00974106" w:rsidP="00974106" w14:paraId="6D96851E" w14:textId="6DC521CB"/>
    <w:p w:rsidR="00E711E2" w:rsidP="00974106" w14:paraId="5D1A1B2F" w14:textId="1C43B58A"/>
    <w:p w:rsidR="00E711E2" w:rsidP="00974106" w14:paraId="6C982E38" w14:textId="125485DB"/>
    <w:p w:rsidR="00E711E2" w:rsidP="00974106" w14:paraId="4F9FD50F" w14:textId="26DC24E9"/>
    <w:p w:rsidR="00E711E2" w:rsidP="00974106" w14:paraId="6680D782" w14:textId="3405AB9F"/>
    <w:p w:rsidR="00E711E2" w:rsidP="00974106" w14:paraId="5895B0A7" w14:textId="3E60F037"/>
    <w:p w:rsidR="00E711E2" w:rsidP="00974106" w14:paraId="27EC493F" w14:textId="3AEE0821"/>
    <w:p w:rsidR="00E711E2" w:rsidP="00974106" w14:paraId="58BAAA76" w14:textId="6A2BCF3F"/>
    <w:p w:rsidR="00E711E2" w:rsidP="00974106" w14:paraId="2DBA8FEF" w14:textId="5C48D7FC"/>
    <w:p w:rsidR="00E711E2" w:rsidP="00974106" w14:paraId="7192C353" w14:textId="22498355"/>
    <w:p w:rsidR="00E711E2" w:rsidP="00974106" w14:paraId="79401177" w14:textId="77777777"/>
    <w:p w:rsidR="00BB0E39" w:rsidRPr="00E85518" w:rsidP="00EF4CBB" w14:paraId="0377F2F1" w14:textId="24EF8F5C">
      <w:pPr>
        <w:widowControl/>
        <w:ind w:right="-20"/>
        <w:rPr>
          <w:rFonts w:ascii="Calibri" w:eastAsia="Arial" w:hAnsi="Calibri" w:cs="Arial"/>
          <w:spacing w:val="-4"/>
        </w:rPr>
      </w:pPr>
    </w:p>
    <w:p w:rsidR="00BB0E39" w:rsidRPr="00E85518" w:rsidP="00EF4CBB" w14:paraId="2BAFA73F" w14:textId="77777777">
      <w:pPr>
        <w:widowControl/>
        <w:ind w:right="-20"/>
        <w:rPr>
          <w:rFonts w:ascii="Calibri" w:eastAsia="Arial" w:hAnsi="Calibri" w:cs="Arial"/>
          <w:spacing w:val="-4"/>
        </w:rPr>
      </w:pPr>
    </w:p>
    <w:p w:rsidR="00B43D7D" w:rsidRPr="002D3263" w:rsidP="00EF4CBB" w14:paraId="547E5D3C" w14:textId="41BE1DE4">
      <w:pPr>
        <w:widowControl/>
      </w:pPr>
      <w:r>
        <w:rPr>
          <w:rFonts w:ascii="Calibri" w:eastAsia="Arial" w:hAnsi="Calibri" w:cs="Arial"/>
          <w:b/>
          <w:bCs/>
          <w:spacing w:val="-4"/>
          <w:sz w:val="32"/>
          <w:szCs w:val="32"/>
        </w:rPr>
        <w:t>July 1</w:t>
      </w:r>
      <w:r w:rsidR="00FA2677">
        <w:rPr>
          <w:rFonts w:ascii="Calibri" w:eastAsia="Arial" w:hAnsi="Calibri" w:cs="Arial"/>
          <w:b/>
          <w:bCs/>
          <w:spacing w:val="-4"/>
          <w:sz w:val="32"/>
          <w:szCs w:val="32"/>
        </w:rPr>
        <w:t>9</w:t>
      </w:r>
      <w:r w:rsidRPr="00041EFF" w:rsidR="00B664FC">
        <w:rPr>
          <w:rFonts w:ascii="Calibri" w:eastAsia="Arial" w:hAnsi="Calibri" w:cs="Arial"/>
          <w:b/>
          <w:bCs/>
          <w:spacing w:val="-4"/>
          <w:sz w:val="32"/>
          <w:szCs w:val="32"/>
        </w:rPr>
        <w:t>, 2023</w:t>
      </w:r>
    </w:p>
    <w:p w:rsidR="00B43D7D" w:rsidRPr="002D3263" w:rsidP="00EF4CBB" w14:paraId="0ECBA536" w14:textId="77777777">
      <w:pPr>
        <w:widowControl/>
      </w:pPr>
      <w:r w:rsidRPr="002D3263">
        <w:rPr>
          <w:noProof/>
        </w:rPr>
        <w:drawing>
          <wp:inline distT="0" distB="0" distL="0" distR="0">
            <wp:extent cx="902970" cy="866140"/>
            <wp:effectExtent l="0" t="0" r="0" b="0"/>
            <wp:docPr id="238" name="Picture 4" descr="FHWA'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4" descr="vertical_FHWA"/>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02970" cy="866140"/>
                    </a:xfrm>
                    <a:prstGeom prst="rect">
                      <a:avLst/>
                    </a:prstGeom>
                    <a:noFill/>
                  </pic:spPr>
                </pic:pic>
              </a:graphicData>
            </a:graphic>
          </wp:inline>
        </w:drawing>
      </w:r>
    </w:p>
    <w:p w:rsidR="00507949" w:rsidRPr="002D3263" w:rsidP="00EF4CBB" w14:paraId="358DB700" w14:textId="77777777">
      <w:pPr>
        <w:widowControl/>
        <w:ind w:right="-20"/>
        <w:rPr>
          <w:rFonts w:ascii="Calibri" w:eastAsia="Arial" w:hAnsi="Calibri" w:cs="Arial"/>
          <w:szCs w:val="24"/>
        </w:rPr>
      </w:pPr>
    </w:p>
    <w:p w:rsidR="00B43D7D" w:rsidRPr="002D3263" w:rsidP="00EF4CBB" w14:paraId="18B23F30" w14:textId="77777777">
      <w:pPr>
        <w:widowControl/>
        <w:ind w:right="-20"/>
        <w:rPr>
          <w:rFonts w:ascii="Calibri" w:eastAsia="Arial" w:hAnsi="Calibri" w:cs="Arial"/>
          <w:szCs w:val="24"/>
        </w:rPr>
      </w:pPr>
      <w:r w:rsidRPr="002D3263">
        <w:rPr>
          <w:rFonts w:ascii="Calibri" w:eastAsia="Arial" w:hAnsi="Calibri" w:cs="Arial"/>
          <w:szCs w:val="24"/>
        </w:rPr>
        <w:t>Prepared for:</w:t>
      </w:r>
    </w:p>
    <w:p w:rsidR="00B43D7D" w:rsidRPr="002D3263" w:rsidP="00EF4CBB" w14:paraId="092ED328" w14:textId="77777777">
      <w:pPr>
        <w:widowControl/>
        <w:rPr>
          <w:b/>
        </w:rPr>
      </w:pPr>
      <w:r w:rsidRPr="002D3263">
        <w:rPr>
          <w:b/>
        </w:rPr>
        <w:t>Federal</w:t>
      </w:r>
      <w:r w:rsidRPr="002D3263" w:rsidR="00BB0E39">
        <w:rPr>
          <w:b/>
        </w:rPr>
        <w:t xml:space="preserve"> Highway Administration</w:t>
      </w:r>
    </w:p>
    <w:p w:rsidR="00B43D7D" w:rsidRPr="002D3263" w:rsidP="00EF4CBB" w14:paraId="64675A47" w14:textId="77777777">
      <w:pPr>
        <w:widowControl/>
        <w:rPr>
          <w:b/>
        </w:rPr>
      </w:pPr>
      <w:r w:rsidRPr="002D3263">
        <w:rPr>
          <w:b/>
        </w:rPr>
        <w:t>Office of Real Estate Services</w:t>
      </w:r>
    </w:p>
    <w:p w:rsidR="00BB0E39" w:rsidRPr="002D3263" w:rsidP="00EF4CBB" w14:paraId="6BFF5133" w14:textId="704E30DB">
      <w:pPr>
        <w:widowControl/>
        <w:rPr>
          <w:b/>
        </w:rPr>
      </w:pPr>
      <w:r w:rsidRPr="002D3263">
        <w:rPr>
          <w:b/>
        </w:rPr>
        <w:t>Washington, DC</w:t>
      </w:r>
    </w:p>
    <w:p w:rsidR="00862E06" w:rsidRPr="002D3263" w:rsidP="00EF4CBB" w14:paraId="3CDAF196" w14:textId="77777777">
      <w:pPr>
        <w:widowControl/>
        <w:spacing w:after="200"/>
        <w:rPr>
          <w:rFonts w:ascii="Calibri" w:eastAsia="Arial" w:hAnsi="Calibri" w:cs="Arial"/>
          <w:sz w:val="24"/>
          <w:szCs w:val="24"/>
        </w:rPr>
        <w:sectPr>
          <w:footerReference w:type="default" r:id="rId10"/>
          <w:footerReference w:type="first" r:id="rId11"/>
          <w:pgSz w:w="12240" w:h="15840" w:code="1"/>
          <w:pgMar w:top="1267" w:right="1440" w:bottom="0" w:left="1440" w:header="0" w:footer="863" w:gutter="0"/>
          <w:pgNumType w:fmt="lowerRoman"/>
          <w:cols w:space="720"/>
        </w:sectPr>
      </w:pPr>
    </w:p>
    <w:p w:rsidR="00A240B4" w:rsidRPr="002D3263" w:rsidP="00EF4CBB" w14:paraId="3672DC3D" w14:textId="77777777">
      <w:pPr>
        <w:widowControl/>
      </w:pPr>
    </w:p>
    <w:p w:rsidR="00A240B4" w:rsidRPr="002D3263" w:rsidP="00EF4CBB" w14:paraId="6F77D458" w14:textId="77777777">
      <w:pPr>
        <w:widowControl/>
      </w:pPr>
    </w:p>
    <w:p w:rsidR="00A240B4" w:rsidRPr="002D3263" w:rsidP="00EF4CBB" w14:paraId="631A190C" w14:textId="77777777">
      <w:pPr>
        <w:widowControl/>
      </w:pPr>
    </w:p>
    <w:p w:rsidR="00A240B4" w:rsidRPr="002D3263" w:rsidP="00EF4CBB" w14:paraId="7B3FBC8B" w14:textId="77777777">
      <w:pPr>
        <w:widowControl/>
      </w:pPr>
    </w:p>
    <w:p w:rsidR="00A240B4" w:rsidRPr="002D3263" w:rsidP="00EF4CBB" w14:paraId="573122DF" w14:textId="77777777">
      <w:pPr>
        <w:widowControl/>
      </w:pPr>
    </w:p>
    <w:p w:rsidR="00A240B4" w:rsidRPr="002D3263" w:rsidP="00EF4CBB" w14:paraId="1313A0F4" w14:textId="77777777">
      <w:pPr>
        <w:widowControl/>
      </w:pPr>
    </w:p>
    <w:p w:rsidR="00A240B4" w:rsidRPr="00E85518" w:rsidP="00EF4CBB" w14:paraId="73125F3E" w14:textId="77777777">
      <w:pPr>
        <w:widowControl/>
        <w:rPr>
          <w:rFonts w:ascii="Calibri" w:eastAsia="Calibri" w:hAnsi="Calibri" w:cs="Calibri"/>
          <w:spacing w:val="-5"/>
        </w:rPr>
      </w:pPr>
    </w:p>
    <w:p w:rsidR="00A240B4" w:rsidRPr="00E85518" w:rsidP="00EF4CBB" w14:paraId="22DCCCFB" w14:textId="77777777">
      <w:pPr>
        <w:widowControl/>
        <w:rPr>
          <w:rFonts w:ascii="Calibri" w:eastAsia="Calibri" w:hAnsi="Calibri" w:cs="Calibri"/>
          <w:spacing w:val="-5"/>
        </w:rPr>
      </w:pPr>
    </w:p>
    <w:p w:rsidR="00A240B4" w:rsidRPr="002D3263" w:rsidP="00634AAC" w14:paraId="0BB06B9D" w14:textId="77777777">
      <w:pPr>
        <w:widowControl/>
        <w:spacing w:after="200"/>
        <w:jc w:val="center"/>
        <w:rPr>
          <w:rFonts w:ascii="Calibri" w:eastAsia="Calibri" w:hAnsi="Calibri" w:cs="Calibri"/>
          <w:sz w:val="32"/>
          <w:szCs w:val="32"/>
        </w:rPr>
      </w:pPr>
      <w:r w:rsidRPr="002D3263">
        <w:rPr>
          <w:rFonts w:ascii="Calibri" w:eastAsia="Calibri" w:hAnsi="Calibri" w:cs="Calibri"/>
          <w:b/>
          <w:bCs/>
          <w:spacing w:val="-5"/>
          <w:sz w:val="32"/>
          <w:szCs w:val="32"/>
        </w:rPr>
        <w:t>No</w:t>
      </w:r>
      <w:r w:rsidRPr="002D3263">
        <w:rPr>
          <w:rFonts w:ascii="Calibri" w:eastAsia="Calibri" w:hAnsi="Calibri" w:cs="Calibri"/>
          <w:b/>
          <w:bCs/>
          <w:spacing w:val="-6"/>
          <w:sz w:val="32"/>
          <w:szCs w:val="32"/>
        </w:rPr>
        <w:t>t</w:t>
      </w:r>
      <w:r w:rsidRPr="002D3263">
        <w:rPr>
          <w:rFonts w:ascii="Calibri" w:eastAsia="Calibri" w:hAnsi="Calibri" w:cs="Calibri"/>
          <w:b/>
          <w:bCs/>
          <w:spacing w:val="-7"/>
          <w:sz w:val="32"/>
          <w:szCs w:val="32"/>
        </w:rPr>
        <w:t>i</w:t>
      </w:r>
      <w:r w:rsidRPr="002D3263">
        <w:rPr>
          <w:rFonts w:ascii="Calibri" w:eastAsia="Calibri" w:hAnsi="Calibri" w:cs="Calibri"/>
          <w:b/>
          <w:bCs/>
          <w:spacing w:val="-5"/>
          <w:sz w:val="32"/>
          <w:szCs w:val="32"/>
        </w:rPr>
        <w:t>ce</w:t>
      </w:r>
    </w:p>
    <w:p w:rsidR="00A240B4" w:rsidRPr="002D3263" w:rsidP="00EF4CBB" w14:paraId="0A1D22E1" w14:textId="77777777">
      <w:pPr>
        <w:widowControl/>
        <w:spacing w:line="200" w:lineRule="exact"/>
        <w:ind w:left="720" w:right="360"/>
        <w:rPr>
          <w:sz w:val="20"/>
          <w:szCs w:val="20"/>
        </w:rPr>
      </w:pPr>
    </w:p>
    <w:p w:rsidR="00A240B4" w:rsidRPr="002D3263" w:rsidP="00EF4CBB" w14:paraId="1ACFD819" w14:textId="6F36DFB2">
      <w:pPr>
        <w:widowControl/>
        <w:tabs>
          <w:tab w:val="left" w:pos="8640"/>
        </w:tabs>
        <w:spacing w:line="254" w:lineRule="auto"/>
        <w:ind w:left="720" w:right="1080"/>
        <w:rPr>
          <w:rFonts w:ascii="Calibri" w:eastAsia="Calibri" w:hAnsi="Calibri" w:cs="Calibri"/>
          <w:w w:val="101"/>
          <w:sz w:val="20"/>
          <w:szCs w:val="18"/>
        </w:rPr>
      </w:pPr>
      <w:r w:rsidRPr="002D3263">
        <w:rPr>
          <w:rFonts w:ascii="Calibri" w:eastAsia="Calibri" w:hAnsi="Calibri" w:cs="Calibri"/>
          <w:spacing w:val="-2"/>
          <w:sz w:val="20"/>
          <w:szCs w:val="18"/>
        </w:rPr>
        <w:t>T</w:t>
      </w:r>
      <w:r w:rsidRPr="002D3263">
        <w:rPr>
          <w:rFonts w:ascii="Calibri" w:eastAsia="Calibri" w:hAnsi="Calibri" w:cs="Calibri"/>
          <w:spacing w:val="-5"/>
          <w:sz w:val="20"/>
          <w:szCs w:val="18"/>
        </w:rPr>
        <w:t>h</w:t>
      </w:r>
      <w:r w:rsidRPr="002D3263">
        <w:rPr>
          <w:rFonts w:ascii="Calibri" w:eastAsia="Calibri" w:hAnsi="Calibri" w:cs="Calibri"/>
          <w:spacing w:val="-4"/>
          <w:sz w:val="20"/>
          <w:szCs w:val="18"/>
        </w:rPr>
        <w:t>i</w:t>
      </w:r>
      <w:r w:rsidRPr="002D3263">
        <w:rPr>
          <w:rFonts w:ascii="Calibri" w:eastAsia="Calibri" w:hAnsi="Calibri" w:cs="Calibri"/>
          <w:sz w:val="20"/>
          <w:szCs w:val="18"/>
        </w:rPr>
        <w:t>s</w:t>
      </w:r>
      <w:r w:rsidRPr="002D3263">
        <w:rPr>
          <w:rFonts w:ascii="Calibri" w:eastAsia="Calibri" w:hAnsi="Calibri" w:cs="Calibri"/>
          <w:spacing w:val="-8"/>
          <w:sz w:val="20"/>
          <w:szCs w:val="18"/>
        </w:rPr>
        <w:t xml:space="preserve"> </w:t>
      </w:r>
      <w:r w:rsidRPr="002D3263">
        <w:rPr>
          <w:rFonts w:ascii="Calibri" w:eastAsia="Calibri" w:hAnsi="Calibri" w:cs="Calibri"/>
          <w:spacing w:val="-5"/>
          <w:sz w:val="20"/>
          <w:szCs w:val="18"/>
        </w:rPr>
        <w:t>docu</w:t>
      </w:r>
      <w:r w:rsidRPr="002D3263">
        <w:rPr>
          <w:rFonts w:ascii="Calibri" w:eastAsia="Calibri" w:hAnsi="Calibri" w:cs="Calibri"/>
          <w:spacing w:val="-7"/>
          <w:sz w:val="20"/>
          <w:szCs w:val="18"/>
        </w:rPr>
        <w:t>m</w:t>
      </w:r>
      <w:r w:rsidRPr="002D3263">
        <w:rPr>
          <w:rFonts w:ascii="Calibri" w:eastAsia="Calibri" w:hAnsi="Calibri" w:cs="Calibri"/>
          <w:spacing w:val="-4"/>
          <w:sz w:val="20"/>
          <w:szCs w:val="18"/>
        </w:rPr>
        <w:t>e</w:t>
      </w:r>
      <w:r w:rsidRPr="002D3263">
        <w:rPr>
          <w:rFonts w:ascii="Calibri" w:eastAsia="Calibri" w:hAnsi="Calibri" w:cs="Calibri"/>
          <w:spacing w:val="-5"/>
          <w:sz w:val="20"/>
          <w:szCs w:val="18"/>
        </w:rPr>
        <w:t>n</w:t>
      </w:r>
      <w:r w:rsidRPr="002D3263">
        <w:rPr>
          <w:rFonts w:ascii="Calibri" w:eastAsia="Calibri" w:hAnsi="Calibri" w:cs="Calibri"/>
          <w:sz w:val="20"/>
          <w:szCs w:val="18"/>
        </w:rPr>
        <w:t>t</w:t>
      </w:r>
      <w:r w:rsidRPr="002D3263">
        <w:rPr>
          <w:rFonts w:ascii="Calibri" w:eastAsia="Calibri" w:hAnsi="Calibri" w:cs="Calibri"/>
          <w:spacing w:val="-3"/>
          <w:sz w:val="20"/>
          <w:szCs w:val="18"/>
        </w:rPr>
        <w:t xml:space="preserve"> </w:t>
      </w:r>
      <w:r w:rsidRPr="002D3263">
        <w:rPr>
          <w:rFonts w:ascii="Calibri" w:eastAsia="Calibri" w:hAnsi="Calibri" w:cs="Calibri"/>
          <w:spacing w:val="-4"/>
          <w:sz w:val="20"/>
          <w:szCs w:val="18"/>
        </w:rPr>
        <w:t>i</w:t>
      </w:r>
      <w:r w:rsidRPr="002D3263">
        <w:rPr>
          <w:rFonts w:ascii="Calibri" w:eastAsia="Calibri" w:hAnsi="Calibri" w:cs="Calibri"/>
          <w:sz w:val="20"/>
          <w:szCs w:val="18"/>
        </w:rPr>
        <w:t>s</w:t>
      </w:r>
      <w:r w:rsidRPr="002D3263">
        <w:rPr>
          <w:rFonts w:ascii="Calibri" w:eastAsia="Calibri" w:hAnsi="Calibri" w:cs="Calibri"/>
          <w:spacing w:val="-6"/>
          <w:sz w:val="20"/>
          <w:szCs w:val="18"/>
        </w:rPr>
        <w:t xml:space="preserve"> </w:t>
      </w:r>
      <w:r w:rsidRPr="002D3263">
        <w:rPr>
          <w:rFonts w:ascii="Calibri" w:eastAsia="Calibri" w:hAnsi="Calibri" w:cs="Calibri"/>
          <w:spacing w:val="-9"/>
          <w:sz w:val="20"/>
          <w:szCs w:val="18"/>
        </w:rPr>
        <w:t>d</w:t>
      </w:r>
      <w:r w:rsidRPr="002D3263">
        <w:rPr>
          <w:rFonts w:ascii="Calibri" w:eastAsia="Calibri" w:hAnsi="Calibri" w:cs="Calibri"/>
          <w:spacing w:val="-4"/>
          <w:sz w:val="20"/>
          <w:szCs w:val="18"/>
        </w:rPr>
        <w:t>isse</w:t>
      </w:r>
      <w:r w:rsidRPr="002D3263">
        <w:rPr>
          <w:rFonts w:ascii="Calibri" w:eastAsia="Calibri" w:hAnsi="Calibri" w:cs="Calibri"/>
          <w:spacing w:val="-7"/>
          <w:sz w:val="20"/>
          <w:szCs w:val="18"/>
        </w:rPr>
        <w:t>m</w:t>
      </w:r>
      <w:r w:rsidRPr="002D3263">
        <w:rPr>
          <w:rFonts w:ascii="Calibri" w:eastAsia="Calibri" w:hAnsi="Calibri" w:cs="Calibri"/>
          <w:spacing w:val="-3"/>
          <w:sz w:val="20"/>
          <w:szCs w:val="18"/>
        </w:rPr>
        <w:t>i</w:t>
      </w:r>
      <w:r w:rsidRPr="002D3263">
        <w:rPr>
          <w:rFonts w:ascii="Calibri" w:eastAsia="Calibri" w:hAnsi="Calibri" w:cs="Calibri"/>
          <w:spacing w:val="-5"/>
          <w:sz w:val="20"/>
          <w:szCs w:val="18"/>
        </w:rPr>
        <w:t>n</w:t>
      </w:r>
      <w:r w:rsidRPr="002D3263">
        <w:rPr>
          <w:rFonts w:ascii="Calibri" w:eastAsia="Calibri" w:hAnsi="Calibri" w:cs="Calibri"/>
          <w:spacing w:val="-11"/>
          <w:sz w:val="20"/>
          <w:szCs w:val="18"/>
        </w:rPr>
        <w:t>a</w:t>
      </w:r>
      <w:r w:rsidRPr="002D3263">
        <w:rPr>
          <w:rFonts w:ascii="Calibri" w:eastAsia="Calibri" w:hAnsi="Calibri" w:cs="Calibri"/>
          <w:spacing w:val="-3"/>
          <w:sz w:val="20"/>
          <w:szCs w:val="18"/>
        </w:rPr>
        <w:t>t</w:t>
      </w:r>
      <w:r w:rsidRPr="002D3263">
        <w:rPr>
          <w:rFonts w:ascii="Calibri" w:eastAsia="Calibri" w:hAnsi="Calibri" w:cs="Calibri"/>
          <w:spacing w:val="-4"/>
          <w:sz w:val="20"/>
          <w:szCs w:val="18"/>
        </w:rPr>
        <w:t>e</w:t>
      </w:r>
      <w:r w:rsidRPr="002D3263">
        <w:rPr>
          <w:rFonts w:ascii="Calibri" w:eastAsia="Calibri" w:hAnsi="Calibri" w:cs="Calibri"/>
          <w:sz w:val="20"/>
          <w:szCs w:val="18"/>
        </w:rPr>
        <w:t>d</w:t>
      </w:r>
      <w:r w:rsidRPr="002D3263">
        <w:rPr>
          <w:rFonts w:ascii="Calibri" w:eastAsia="Calibri" w:hAnsi="Calibri" w:cs="Calibri"/>
          <w:spacing w:val="3"/>
          <w:sz w:val="20"/>
          <w:szCs w:val="18"/>
        </w:rPr>
        <w:t xml:space="preserve"> </w:t>
      </w:r>
      <w:r w:rsidRPr="002D3263">
        <w:rPr>
          <w:rFonts w:ascii="Calibri" w:eastAsia="Calibri" w:hAnsi="Calibri" w:cs="Calibri"/>
          <w:spacing w:val="-9"/>
          <w:sz w:val="20"/>
          <w:szCs w:val="18"/>
        </w:rPr>
        <w:t>u</w:t>
      </w:r>
      <w:r w:rsidRPr="002D3263">
        <w:rPr>
          <w:rFonts w:ascii="Calibri" w:eastAsia="Calibri" w:hAnsi="Calibri" w:cs="Calibri"/>
          <w:spacing w:val="-5"/>
          <w:sz w:val="20"/>
          <w:szCs w:val="18"/>
        </w:rPr>
        <w:t>nd</w:t>
      </w:r>
      <w:r w:rsidRPr="002D3263">
        <w:rPr>
          <w:rFonts w:ascii="Calibri" w:eastAsia="Calibri" w:hAnsi="Calibri" w:cs="Calibri"/>
          <w:spacing w:val="-4"/>
          <w:sz w:val="20"/>
          <w:szCs w:val="18"/>
        </w:rPr>
        <w:t>e</w:t>
      </w:r>
      <w:r w:rsidRPr="002D3263">
        <w:rPr>
          <w:rFonts w:ascii="Calibri" w:eastAsia="Calibri" w:hAnsi="Calibri" w:cs="Calibri"/>
          <w:sz w:val="20"/>
          <w:szCs w:val="18"/>
        </w:rPr>
        <w:t>r</w:t>
      </w:r>
      <w:r w:rsidRPr="002D3263">
        <w:rPr>
          <w:rFonts w:ascii="Calibri" w:eastAsia="Calibri" w:hAnsi="Calibri" w:cs="Calibri"/>
          <w:spacing w:val="-4"/>
          <w:sz w:val="20"/>
          <w:szCs w:val="18"/>
        </w:rPr>
        <w:t xml:space="preserve"> </w:t>
      </w:r>
      <w:r w:rsidRPr="002D3263">
        <w:rPr>
          <w:rFonts w:ascii="Calibri" w:eastAsia="Calibri" w:hAnsi="Calibri" w:cs="Calibri"/>
          <w:spacing w:val="-3"/>
          <w:sz w:val="20"/>
          <w:szCs w:val="18"/>
        </w:rPr>
        <w:t>t</w:t>
      </w:r>
      <w:r w:rsidRPr="002D3263">
        <w:rPr>
          <w:rFonts w:ascii="Calibri" w:eastAsia="Calibri" w:hAnsi="Calibri" w:cs="Calibri"/>
          <w:spacing w:val="-9"/>
          <w:sz w:val="20"/>
          <w:szCs w:val="18"/>
        </w:rPr>
        <w:t>h</w:t>
      </w:r>
      <w:r w:rsidRPr="002D3263">
        <w:rPr>
          <w:rFonts w:ascii="Calibri" w:eastAsia="Calibri" w:hAnsi="Calibri" w:cs="Calibri"/>
          <w:sz w:val="20"/>
          <w:szCs w:val="18"/>
        </w:rPr>
        <w:t>e</w:t>
      </w:r>
      <w:r w:rsidRPr="002D3263">
        <w:rPr>
          <w:rFonts w:ascii="Calibri" w:eastAsia="Calibri" w:hAnsi="Calibri" w:cs="Calibri"/>
          <w:spacing w:val="-5"/>
          <w:sz w:val="20"/>
          <w:szCs w:val="18"/>
        </w:rPr>
        <w:t xml:space="preserve"> </w:t>
      </w:r>
      <w:r w:rsidRPr="002D3263">
        <w:rPr>
          <w:rFonts w:ascii="Calibri" w:eastAsia="Calibri" w:hAnsi="Calibri" w:cs="Calibri"/>
          <w:spacing w:val="-4"/>
          <w:sz w:val="20"/>
          <w:szCs w:val="18"/>
        </w:rPr>
        <w:t>s</w:t>
      </w:r>
      <w:r w:rsidRPr="002D3263">
        <w:rPr>
          <w:rFonts w:ascii="Calibri" w:eastAsia="Calibri" w:hAnsi="Calibri" w:cs="Calibri"/>
          <w:spacing w:val="-5"/>
          <w:sz w:val="20"/>
          <w:szCs w:val="18"/>
        </w:rPr>
        <w:t>po</w:t>
      </w:r>
      <w:r w:rsidRPr="002D3263">
        <w:rPr>
          <w:rFonts w:ascii="Calibri" w:eastAsia="Calibri" w:hAnsi="Calibri" w:cs="Calibri"/>
          <w:spacing w:val="-9"/>
          <w:sz w:val="20"/>
          <w:szCs w:val="18"/>
        </w:rPr>
        <w:t>n</w:t>
      </w:r>
      <w:r w:rsidRPr="002D3263">
        <w:rPr>
          <w:rFonts w:ascii="Calibri" w:eastAsia="Calibri" w:hAnsi="Calibri" w:cs="Calibri"/>
          <w:spacing w:val="-4"/>
          <w:sz w:val="20"/>
          <w:szCs w:val="18"/>
        </w:rPr>
        <w:t>s</w:t>
      </w:r>
      <w:r w:rsidRPr="002D3263">
        <w:rPr>
          <w:rFonts w:ascii="Calibri" w:eastAsia="Calibri" w:hAnsi="Calibri" w:cs="Calibri"/>
          <w:spacing w:val="-5"/>
          <w:sz w:val="20"/>
          <w:szCs w:val="18"/>
        </w:rPr>
        <w:t>o</w:t>
      </w:r>
      <w:r w:rsidRPr="002D3263">
        <w:rPr>
          <w:rFonts w:ascii="Calibri" w:eastAsia="Calibri" w:hAnsi="Calibri" w:cs="Calibri"/>
          <w:spacing w:val="-6"/>
          <w:sz w:val="20"/>
          <w:szCs w:val="18"/>
        </w:rPr>
        <w:t>r</w:t>
      </w:r>
      <w:r w:rsidRPr="002D3263">
        <w:rPr>
          <w:rFonts w:ascii="Calibri" w:eastAsia="Calibri" w:hAnsi="Calibri" w:cs="Calibri"/>
          <w:spacing w:val="-4"/>
          <w:sz w:val="20"/>
          <w:szCs w:val="18"/>
        </w:rPr>
        <w:t>s</w:t>
      </w:r>
      <w:r w:rsidRPr="002D3263">
        <w:rPr>
          <w:rFonts w:ascii="Calibri" w:eastAsia="Calibri" w:hAnsi="Calibri" w:cs="Calibri"/>
          <w:spacing w:val="-5"/>
          <w:sz w:val="20"/>
          <w:szCs w:val="18"/>
        </w:rPr>
        <w:t>h</w:t>
      </w:r>
      <w:r w:rsidRPr="002D3263">
        <w:rPr>
          <w:rFonts w:ascii="Calibri" w:eastAsia="Calibri" w:hAnsi="Calibri" w:cs="Calibri"/>
          <w:spacing w:val="-4"/>
          <w:sz w:val="20"/>
          <w:szCs w:val="18"/>
        </w:rPr>
        <w:t>i</w:t>
      </w:r>
      <w:r w:rsidRPr="002D3263">
        <w:rPr>
          <w:rFonts w:ascii="Calibri" w:eastAsia="Calibri" w:hAnsi="Calibri" w:cs="Calibri"/>
          <w:sz w:val="20"/>
          <w:szCs w:val="18"/>
        </w:rPr>
        <w:t>p</w:t>
      </w:r>
      <w:r w:rsidRPr="002D3263">
        <w:rPr>
          <w:rFonts w:ascii="Calibri" w:eastAsia="Calibri" w:hAnsi="Calibri" w:cs="Calibri"/>
          <w:spacing w:val="2"/>
          <w:sz w:val="20"/>
          <w:szCs w:val="18"/>
        </w:rPr>
        <w:t xml:space="preserve"> </w:t>
      </w:r>
      <w:r w:rsidRPr="002D3263">
        <w:rPr>
          <w:rFonts w:ascii="Calibri" w:eastAsia="Calibri" w:hAnsi="Calibri" w:cs="Calibri"/>
          <w:spacing w:val="-10"/>
          <w:sz w:val="20"/>
          <w:szCs w:val="18"/>
        </w:rPr>
        <w:t>o</w:t>
      </w:r>
      <w:r w:rsidRPr="002D3263">
        <w:rPr>
          <w:rFonts w:ascii="Calibri" w:eastAsia="Calibri" w:hAnsi="Calibri" w:cs="Calibri"/>
          <w:sz w:val="20"/>
          <w:szCs w:val="18"/>
        </w:rPr>
        <w:t>f</w:t>
      </w:r>
      <w:r w:rsidRPr="002D3263">
        <w:rPr>
          <w:rFonts w:ascii="Calibri" w:eastAsia="Calibri" w:hAnsi="Calibri" w:cs="Calibri"/>
          <w:spacing w:val="-3"/>
          <w:sz w:val="20"/>
          <w:szCs w:val="18"/>
        </w:rPr>
        <w:t xml:space="preserve"> </w:t>
      </w:r>
      <w:r w:rsidRPr="002D3263">
        <w:rPr>
          <w:rFonts w:ascii="Calibri" w:eastAsia="Calibri" w:hAnsi="Calibri" w:cs="Calibri"/>
          <w:spacing w:val="-8"/>
          <w:sz w:val="20"/>
          <w:szCs w:val="18"/>
        </w:rPr>
        <w:t>t</w:t>
      </w:r>
      <w:r w:rsidRPr="002D3263">
        <w:rPr>
          <w:rFonts w:ascii="Calibri" w:eastAsia="Calibri" w:hAnsi="Calibri" w:cs="Calibri"/>
          <w:spacing w:val="-5"/>
          <w:sz w:val="20"/>
          <w:szCs w:val="18"/>
        </w:rPr>
        <w:t>h</w:t>
      </w:r>
      <w:r w:rsidRPr="002D3263">
        <w:rPr>
          <w:rFonts w:ascii="Calibri" w:eastAsia="Calibri" w:hAnsi="Calibri" w:cs="Calibri"/>
          <w:sz w:val="20"/>
          <w:szCs w:val="18"/>
        </w:rPr>
        <w:t>e</w:t>
      </w:r>
      <w:r w:rsidRPr="002D3263">
        <w:rPr>
          <w:rFonts w:ascii="Calibri" w:eastAsia="Calibri" w:hAnsi="Calibri" w:cs="Calibri"/>
          <w:spacing w:val="-5"/>
          <w:sz w:val="20"/>
          <w:szCs w:val="18"/>
        </w:rPr>
        <w:t xml:space="preserve"> </w:t>
      </w:r>
      <w:r w:rsidR="00F92065">
        <w:rPr>
          <w:rFonts w:ascii="Calibri" w:eastAsia="Calibri" w:hAnsi="Calibri" w:cs="Calibri"/>
          <w:spacing w:val="-5"/>
          <w:sz w:val="20"/>
          <w:szCs w:val="18"/>
        </w:rPr>
        <w:t xml:space="preserve">U.S. </w:t>
      </w:r>
      <w:r w:rsidRPr="002D3263">
        <w:rPr>
          <w:rFonts w:ascii="Calibri" w:eastAsia="Calibri" w:hAnsi="Calibri" w:cs="Calibri"/>
          <w:spacing w:val="-7"/>
          <w:sz w:val="20"/>
          <w:szCs w:val="18"/>
        </w:rPr>
        <w:t>D</w:t>
      </w:r>
      <w:r w:rsidRPr="002D3263">
        <w:rPr>
          <w:rFonts w:ascii="Calibri" w:eastAsia="Calibri" w:hAnsi="Calibri" w:cs="Calibri"/>
          <w:spacing w:val="-4"/>
          <w:sz w:val="20"/>
          <w:szCs w:val="18"/>
        </w:rPr>
        <w:t>e</w:t>
      </w:r>
      <w:r w:rsidRPr="002D3263">
        <w:rPr>
          <w:rFonts w:ascii="Calibri" w:eastAsia="Calibri" w:hAnsi="Calibri" w:cs="Calibri"/>
          <w:spacing w:val="-5"/>
          <w:sz w:val="20"/>
          <w:szCs w:val="18"/>
        </w:rPr>
        <w:t>p</w:t>
      </w:r>
      <w:r w:rsidRPr="002D3263">
        <w:rPr>
          <w:rFonts w:ascii="Calibri" w:eastAsia="Calibri" w:hAnsi="Calibri" w:cs="Calibri"/>
          <w:spacing w:val="-6"/>
          <w:sz w:val="20"/>
          <w:szCs w:val="18"/>
        </w:rPr>
        <w:t>ar</w:t>
      </w:r>
      <w:r w:rsidRPr="002D3263">
        <w:rPr>
          <w:rFonts w:ascii="Calibri" w:eastAsia="Calibri" w:hAnsi="Calibri" w:cs="Calibri"/>
          <w:spacing w:val="-3"/>
          <w:sz w:val="20"/>
          <w:szCs w:val="18"/>
        </w:rPr>
        <w:t>t</w:t>
      </w:r>
      <w:r w:rsidRPr="002D3263">
        <w:rPr>
          <w:rFonts w:ascii="Calibri" w:eastAsia="Calibri" w:hAnsi="Calibri" w:cs="Calibri"/>
          <w:spacing w:val="-11"/>
          <w:sz w:val="20"/>
          <w:szCs w:val="18"/>
        </w:rPr>
        <w:t>m</w:t>
      </w:r>
      <w:r w:rsidRPr="002D3263">
        <w:rPr>
          <w:rFonts w:ascii="Calibri" w:eastAsia="Calibri" w:hAnsi="Calibri" w:cs="Calibri"/>
          <w:spacing w:val="-4"/>
          <w:sz w:val="20"/>
          <w:szCs w:val="18"/>
        </w:rPr>
        <w:t>e</w:t>
      </w:r>
      <w:r w:rsidRPr="002D3263">
        <w:rPr>
          <w:rFonts w:ascii="Calibri" w:eastAsia="Calibri" w:hAnsi="Calibri" w:cs="Calibri"/>
          <w:spacing w:val="-5"/>
          <w:sz w:val="20"/>
          <w:szCs w:val="18"/>
        </w:rPr>
        <w:t>n</w:t>
      </w:r>
      <w:r w:rsidRPr="002D3263">
        <w:rPr>
          <w:rFonts w:ascii="Calibri" w:eastAsia="Calibri" w:hAnsi="Calibri" w:cs="Calibri"/>
          <w:sz w:val="20"/>
          <w:szCs w:val="18"/>
        </w:rPr>
        <w:t>t</w:t>
      </w:r>
      <w:r w:rsidRPr="002D3263">
        <w:rPr>
          <w:rFonts w:ascii="Calibri" w:eastAsia="Calibri" w:hAnsi="Calibri" w:cs="Calibri"/>
          <w:spacing w:val="3"/>
          <w:sz w:val="20"/>
          <w:szCs w:val="18"/>
        </w:rPr>
        <w:t xml:space="preserve"> </w:t>
      </w:r>
      <w:r w:rsidRPr="002D3263">
        <w:rPr>
          <w:rFonts w:ascii="Calibri" w:eastAsia="Calibri" w:hAnsi="Calibri" w:cs="Calibri"/>
          <w:spacing w:val="-5"/>
          <w:w w:val="101"/>
          <w:sz w:val="20"/>
          <w:szCs w:val="18"/>
        </w:rPr>
        <w:t>o</w:t>
      </w:r>
      <w:r w:rsidRPr="002D3263">
        <w:rPr>
          <w:rFonts w:ascii="Calibri" w:eastAsia="Calibri" w:hAnsi="Calibri" w:cs="Calibri"/>
          <w:w w:val="101"/>
          <w:sz w:val="20"/>
          <w:szCs w:val="18"/>
        </w:rPr>
        <w:t xml:space="preserve">f </w:t>
      </w:r>
      <w:r w:rsidRPr="002D3263">
        <w:rPr>
          <w:rFonts w:ascii="Calibri" w:eastAsia="Calibri" w:hAnsi="Calibri" w:cs="Calibri"/>
          <w:spacing w:val="-2"/>
          <w:sz w:val="20"/>
          <w:szCs w:val="18"/>
        </w:rPr>
        <w:t>T</w:t>
      </w:r>
      <w:r w:rsidRPr="002D3263">
        <w:rPr>
          <w:rFonts w:ascii="Calibri" w:eastAsia="Calibri" w:hAnsi="Calibri" w:cs="Calibri"/>
          <w:spacing w:val="-6"/>
          <w:sz w:val="20"/>
          <w:szCs w:val="18"/>
        </w:rPr>
        <w:t>ra</w:t>
      </w:r>
      <w:r w:rsidRPr="002D3263">
        <w:rPr>
          <w:rFonts w:ascii="Calibri" w:eastAsia="Calibri" w:hAnsi="Calibri" w:cs="Calibri"/>
          <w:spacing w:val="-5"/>
          <w:sz w:val="20"/>
          <w:szCs w:val="18"/>
        </w:rPr>
        <w:t>n</w:t>
      </w:r>
      <w:r w:rsidRPr="002D3263">
        <w:rPr>
          <w:rFonts w:ascii="Calibri" w:eastAsia="Calibri" w:hAnsi="Calibri" w:cs="Calibri"/>
          <w:spacing w:val="-4"/>
          <w:sz w:val="20"/>
          <w:szCs w:val="18"/>
        </w:rPr>
        <w:t>s</w:t>
      </w:r>
      <w:r w:rsidRPr="002D3263">
        <w:rPr>
          <w:rFonts w:ascii="Calibri" w:eastAsia="Calibri" w:hAnsi="Calibri" w:cs="Calibri"/>
          <w:spacing w:val="-5"/>
          <w:sz w:val="20"/>
          <w:szCs w:val="18"/>
        </w:rPr>
        <w:t>po</w:t>
      </w:r>
      <w:r w:rsidRPr="002D3263">
        <w:rPr>
          <w:rFonts w:ascii="Calibri" w:eastAsia="Calibri" w:hAnsi="Calibri" w:cs="Calibri"/>
          <w:spacing w:val="-6"/>
          <w:sz w:val="20"/>
          <w:szCs w:val="18"/>
        </w:rPr>
        <w:t>r</w:t>
      </w:r>
      <w:r w:rsidRPr="002D3263">
        <w:rPr>
          <w:rFonts w:ascii="Calibri" w:eastAsia="Calibri" w:hAnsi="Calibri" w:cs="Calibri"/>
          <w:spacing w:val="-3"/>
          <w:sz w:val="20"/>
          <w:szCs w:val="18"/>
        </w:rPr>
        <w:t>t</w:t>
      </w:r>
      <w:r w:rsidRPr="002D3263">
        <w:rPr>
          <w:rFonts w:ascii="Calibri" w:eastAsia="Calibri" w:hAnsi="Calibri" w:cs="Calibri"/>
          <w:spacing w:val="-6"/>
          <w:sz w:val="20"/>
          <w:szCs w:val="18"/>
        </w:rPr>
        <w:t>a</w:t>
      </w:r>
      <w:r w:rsidRPr="002D3263">
        <w:rPr>
          <w:rFonts w:ascii="Calibri" w:eastAsia="Calibri" w:hAnsi="Calibri" w:cs="Calibri"/>
          <w:spacing w:val="-3"/>
          <w:sz w:val="20"/>
          <w:szCs w:val="18"/>
        </w:rPr>
        <w:t>ti</w:t>
      </w:r>
      <w:r w:rsidRPr="002D3263">
        <w:rPr>
          <w:rFonts w:ascii="Calibri" w:eastAsia="Calibri" w:hAnsi="Calibri" w:cs="Calibri"/>
          <w:spacing w:val="-5"/>
          <w:sz w:val="20"/>
          <w:szCs w:val="18"/>
        </w:rPr>
        <w:t>o</w:t>
      </w:r>
      <w:r w:rsidRPr="002D3263">
        <w:rPr>
          <w:rFonts w:ascii="Calibri" w:eastAsia="Calibri" w:hAnsi="Calibri" w:cs="Calibri"/>
          <w:sz w:val="20"/>
          <w:szCs w:val="18"/>
        </w:rPr>
        <w:t>n</w:t>
      </w:r>
      <w:r w:rsidRPr="002D3263">
        <w:rPr>
          <w:rFonts w:ascii="Calibri" w:eastAsia="Calibri" w:hAnsi="Calibri" w:cs="Calibri"/>
          <w:spacing w:val="-1"/>
          <w:sz w:val="20"/>
          <w:szCs w:val="18"/>
        </w:rPr>
        <w:t xml:space="preserve"> </w:t>
      </w:r>
      <w:r w:rsidRPr="002D3263">
        <w:rPr>
          <w:rFonts w:ascii="Calibri" w:eastAsia="Calibri" w:hAnsi="Calibri" w:cs="Calibri"/>
          <w:spacing w:val="-3"/>
          <w:sz w:val="20"/>
          <w:szCs w:val="18"/>
        </w:rPr>
        <w:t>i</w:t>
      </w:r>
      <w:r w:rsidRPr="002D3263">
        <w:rPr>
          <w:rFonts w:ascii="Calibri" w:eastAsia="Calibri" w:hAnsi="Calibri" w:cs="Calibri"/>
          <w:sz w:val="20"/>
          <w:szCs w:val="18"/>
        </w:rPr>
        <w:t>n</w:t>
      </w:r>
      <w:r w:rsidRPr="002D3263">
        <w:rPr>
          <w:rFonts w:ascii="Calibri" w:eastAsia="Calibri" w:hAnsi="Calibri" w:cs="Calibri"/>
          <w:spacing w:val="-11"/>
          <w:sz w:val="20"/>
          <w:szCs w:val="18"/>
        </w:rPr>
        <w:t xml:space="preserve"> </w:t>
      </w:r>
      <w:r w:rsidRPr="002D3263">
        <w:rPr>
          <w:rFonts w:ascii="Calibri" w:eastAsia="Calibri" w:hAnsi="Calibri" w:cs="Calibri"/>
          <w:spacing w:val="-3"/>
          <w:sz w:val="20"/>
          <w:szCs w:val="18"/>
        </w:rPr>
        <w:t>t</w:t>
      </w:r>
      <w:r w:rsidRPr="002D3263">
        <w:rPr>
          <w:rFonts w:ascii="Calibri" w:eastAsia="Calibri" w:hAnsi="Calibri" w:cs="Calibri"/>
          <w:spacing w:val="-5"/>
          <w:sz w:val="20"/>
          <w:szCs w:val="18"/>
        </w:rPr>
        <w:t>h</w:t>
      </w:r>
      <w:r w:rsidRPr="002D3263">
        <w:rPr>
          <w:rFonts w:ascii="Calibri" w:eastAsia="Calibri" w:hAnsi="Calibri" w:cs="Calibri"/>
          <w:sz w:val="20"/>
          <w:szCs w:val="18"/>
        </w:rPr>
        <w:t>e</w:t>
      </w:r>
      <w:r w:rsidRPr="002D3263">
        <w:rPr>
          <w:rFonts w:ascii="Calibri" w:eastAsia="Calibri" w:hAnsi="Calibri" w:cs="Calibri"/>
          <w:spacing w:val="-9"/>
          <w:sz w:val="20"/>
          <w:szCs w:val="18"/>
        </w:rPr>
        <w:t xml:space="preserve"> </w:t>
      </w:r>
      <w:r w:rsidRPr="002D3263">
        <w:rPr>
          <w:rFonts w:ascii="Calibri" w:eastAsia="Calibri" w:hAnsi="Calibri" w:cs="Calibri"/>
          <w:spacing w:val="-3"/>
          <w:sz w:val="20"/>
          <w:szCs w:val="18"/>
        </w:rPr>
        <w:t>i</w:t>
      </w:r>
      <w:r w:rsidRPr="002D3263">
        <w:rPr>
          <w:rFonts w:ascii="Calibri" w:eastAsia="Calibri" w:hAnsi="Calibri" w:cs="Calibri"/>
          <w:spacing w:val="-5"/>
          <w:sz w:val="20"/>
          <w:szCs w:val="18"/>
        </w:rPr>
        <w:t>n</w:t>
      </w:r>
      <w:r w:rsidRPr="002D3263">
        <w:rPr>
          <w:rFonts w:ascii="Calibri" w:eastAsia="Calibri" w:hAnsi="Calibri" w:cs="Calibri"/>
          <w:spacing w:val="-3"/>
          <w:sz w:val="20"/>
          <w:szCs w:val="18"/>
        </w:rPr>
        <w:t>t</w:t>
      </w:r>
      <w:r w:rsidRPr="002D3263">
        <w:rPr>
          <w:rFonts w:ascii="Calibri" w:eastAsia="Calibri" w:hAnsi="Calibri" w:cs="Calibri"/>
          <w:spacing w:val="-4"/>
          <w:sz w:val="20"/>
          <w:szCs w:val="18"/>
        </w:rPr>
        <w:t>e</w:t>
      </w:r>
      <w:r w:rsidRPr="002D3263">
        <w:rPr>
          <w:rFonts w:ascii="Calibri" w:eastAsia="Calibri" w:hAnsi="Calibri" w:cs="Calibri"/>
          <w:spacing w:val="-6"/>
          <w:sz w:val="20"/>
          <w:szCs w:val="18"/>
        </w:rPr>
        <w:t>r</w:t>
      </w:r>
      <w:r w:rsidRPr="002D3263">
        <w:rPr>
          <w:rFonts w:ascii="Calibri" w:eastAsia="Calibri" w:hAnsi="Calibri" w:cs="Calibri"/>
          <w:spacing w:val="-4"/>
          <w:sz w:val="20"/>
          <w:szCs w:val="18"/>
        </w:rPr>
        <w:t>e</w:t>
      </w:r>
      <w:r w:rsidRPr="002D3263">
        <w:rPr>
          <w:rFonts w:ascii="Calibri" w:eastAsia="Calibri" w:hAnsi="Calibri" w:cs="Calibri"/>
          <w:spacing w:val="-9"/>
          <w:sz w:val="20"/>
          <w:szCs w:val="18"/>
        </w:rPr>
        <w:t>s</w:t>
      </w:r>
      <w:r w:rsidRPr="002D3263">
        <w:rPr>
          <w:rFonts w:ascii="Calibri" w:eastAsia="Calibri" w:hAnsi="Calibri" w:cs="Calibri"/>
          <w:sz w:val="20"/>
          <w:szCs w:val="18"/>
        </w:rPr>
        <w:t xml:space="preserve">t </w:t>
      </w:r>
      <w:r w:rsidRPr="002D3263">
        <w:rPr>
          <w:rFonts w:ascii="Calibri" w:eastAsia="Calibri" w:hAnsi="Calibri" w:cs="Calibri"/>
          <w:spacing w:val="-5"/>
          <w:sz w:val="20"/>
          <w:szCs w:val="18"/>
        </w:rPr>
        <w:t>o</w:t>
      </w:r>
      <w:r w:rsidRPr="002D3263">
        <w:rPr>
          <w:rFonts w:ascii="Calibri" w:eastAsia="Calibri" w:hAnsi="Calibri" w:cs="Calibri"/>
          <w:sz w:val="20"/>
          <w:szCs w:val="18"/>
        </w:rPr>
        <w:t>f</w:t>
      </w:r>
      <w:r w:rsidRPr="002D3263">
        <w:rPr>
          <w:rFonts w:ascii="Calibri" w:eastAsia="Calibri" w:hAnsi="Calibri" w:cs="Calibri"/>
          <w:spacing w:val="-8"/>
          <w:sz w:val="20"/>
          <w:szCs w:val="18"/>
        </w:rPr>
        <w:t xml:space="preserve"> </w:t>
      </w:r>
      <w:r w:rsidRPr="002D3263">
        <w:rPr>
          <w:rFonts w:ascii="Calibri" w:eastAsia="Calibri" w:hAnsi="Calibri" w:cs="Calibri"/>
          <w:spacing w:val="-3"/>
          <w:sz w:val="20"/>
          <w:szCs w:val="18"/>
        </w:rPr>
        <w:t>i</w:t>
      </w:r>
      <w:r w:rsidRPr="002D3263">
        <w:rPr>
          <w:rFonts w:ascii="Calibri" w:eastAsia="Calibri" w:hAnsi="Calibri" w:cs="Calibri"/>
          <w:spacing w:val="-5"/>
          <w:sz w:val="20"/>
          <w:szCs w:val="18"/>
        </w:rPr>
        <w:t>n</w:t>
      </w:r>
      <w:r w:rsidRPr="002D3263">
        <w:rPr>
          <w:rFonts w:ascii="Calibri" w:eastAsia="Calibri" w:hAnsi="Calibri" w:cs="Calibri"/>
          <w:spacing w:val="-3"/>
          <w:sz w:val="20"/>
          <w:szCs w:val="18"/>
        </w:rPr>
        <w:t>f</w:t>
      </w:r>
      <w:r w:rsidRPr="002D3263">
        <w:rPr>
          <w:rFonts w:ascii="Calibri" w:eastAsia="Calibri" w:hAnsi="Calibri" w:cs="Calibri"/>
          <w:spacing w:val="-5"/>
          <w:sz w:val="20"/>
          <w:szCs w:val="18"/>
        </w:rPr>
        <w:t>o</w:t>
      </w:r>
      <w:r w:rsidRPr="002D3263">
        <w:rPr>
          <w:rFonts w:ascii="Calibri" w:eastAsia="Calibri" w:hAnsi="Calibri" w:cs="Calibri"/>
          <w:spacing w:val="-6"/>
          <w:sz w:val="20"/>
          <w:szCs w:val="18"/>
        </w:rPr>
        <w:t>r</w:t>
      </w:r>
      <w:r w:rsidRPr="002D3263">
        <w:rPr>
          <w:rFonts w:ascii="Calibri" w:eastAsia="Calibri" w:hAnsi="Calibri" w:cs="Calibri"/>
          <w:spacing w:val="-7"/>
          <w:sz w:val="20"/>
          <w:szCs w:val="18"/>
        </w:rPr>
        <w:t>m</w:t>
      </w:r>
      <w:r w:rsidRPr="002D3263">
        <w:rPr>
          <w:rFonts w:ascii="Calibri" w:eastAsia="Calibri" w:hAnsi="Calibri" w:cs="Calibri"/>
          <w:spacing w:val="-6"/>
          <w:sz w:val="20"/>
          <w:szCs w:val="18"/>
        </w:rPr>
        <w:t>a</w:t>
      </w:r>
      <w:r w:rsidRPr="002D3263">
        <w:rPr>
          <w:rFonts w:ascii="Calibri" w:eastAsia="Calibri" w:hAnsi="Calibri" w:cs="Calibri"/>
          <w:spacing w:val="-8"/>
          <w:sz w:val="20"/>
          <w:szCs w:val="18"/>
        </w:rPr>
        <w:t>t</w:t>
      </w:r>
      <w:r w:rsidRPr="002D3263">
        <w:rPr>
          <w:rFonts w:ascii="Calibri" w:eastAsia="Calibri" w:hAnsi="Calibri" w:cs="Calibri"/>
          <w:spacing w:val="-3"/>
          <w:sz w:val="20"/>
          <w:szCs w:val="18"/>
        </w:rPr>
        <w:t>i</w:t>
      </w:r>
      <w:r w:rsidRPr="002D3263">
        <w:rPr>
          <w:rFonts w:ascii="Calibri" w:eastAsia="Calibri" w:hAnsi="Calibri" w:cs="Calibri"/>
          <w:spacing w:val="-5"/>
          <w:sz w:val="20"/>
          <w:szCs w:val="18"/>
        </w:rPr>
        <w:t>o</w:t>
      </w:r>
      <w:r w:rsidRPr="002D3263">
        <w:rPr>
          <w:rFonts w:ascii="Calibri" w:eastAsia="Calibri" w:hAnsi="Calibri" w:cs="Calibri"/>
          <w:sz w:val="20"/>
          <w:szCs w:val="18"/>
        </w:rPr>
        <w:t>n</w:t>
      </w:r>
      <w:r w:rsidRPr="002D3263">
        <w:rPr>
          <w:rFonts w:ascii="Calibri" w:eastAsia="Calibri" w:hAnsi="Calibri" w:cs="Calibri"/>
          <w:spacing w:val="2"/>
          <w:sz w:val="20"/>
          <w:szCs w:val="18"/>
        </w:rPr>
        <w:t xml:space="preserve"> </w:t>
      </w:r>
      <w:r w:rsidRPr="002D3263">
        <w:rPr>
          <w:rFonts w:ascii="Calibri" w:eastAsia="Calibri" w:hAnsi="Calibri" w:cs="Calibri"/>
          <w:spacing w:val="-4"/>
          <w:sz w:val="20"/>
          <w:szCs w:val="18"/>
        </w:rPr>
        <w:t>e</w:t>
      </w:r>
      <w:r w:rsidRPr="002D3263">
        <w:rPr>
          <w:rFonts w:ascii="Calibri" w:eastAsia="Calibri" w:hAnsi="Calibri" w:cs="Calibri"/>
          <w:spacing w:val="-7"/>
          <w:sz w:val="20"/>
          <w:szCs w:val="18"/>
        </w:rPr>
        <w:t>x</w:t>
      </w:r>
      <w:r w:rsidRPr="002D3263">
        <w:rPr>
          <w:rFonts w:ascii="Calibri" w:eastAsia="Calibri" w:hAnsi="Calibri" w:cs="Calibri"/>
          <w:spacing w:val="-5"/>
          <w:sz w:val="20"/>
          <w:szCs w:val="18"/>
        </w:rPr>
        <w:t>ch</w:t>
      </w:r>
      <w:r w:rsidRPr="002D3263">
        <w:rPr>
          <w:rFonts w:ascii="Calibri" w:eastAsia="Calibri" w:hAnsi="Calibri" w:cs="Calibri"/>
          <w:spacing w:val="-6"/>
          <w:sz w:val="20"/>
          <w:szCs w:val="18"/>
        </w:rPr>
        <w:t>a</w:t>
      </w:r>
      <w:r w:rsidRPr="002D3263">
        <w:rPr>
          <w:rFonts w:ascii="Calibri" w:eastAsia="Calibri" w:hAnsi="Calibri" w:cs="Calibri"/>
          <w:spacing w:val="-5"/>
          <w:sz w:val="20"/>
          <w:szCs w:val="18"/>
        </w:rPr>
        <w:t>n</w:t>
      </w:r>
      <w:r w:rsidRPr="002D3263">
        <w:rPr>
          <w:rFonts w:ascii="Calibri" w:eastAsia="Calibri" w:hAnsi="Calibri" w:cs="Calibri"/>
          <w:spacing w:val="-4"/>
          <w:sz w:val="20"/>
          <w:szCs w:val="18"/>
        </w:rPr>
        <w:t>g</w:t>
      </w:r>
      <w:r w:rsidRPr="002D3263">
        <w:rPr>
          <w:rFonts w:ascii="Calibri" w:eastAsia="Calibri" w:hAnsi="Calibri" w:cs="Calibri"/>
          <w:spacing w:val="-9"/>
          <w:sz w:val="20"/>
          <w:szCs w:val="18"/>
        </w:rPr>
        <w:t>e</w:t>
      </w:r>
      <w:r w:rsidRPr="002D3263">
        <w:rPr>
          <w:rFonts w:ascii="Calibri" w:eastAsia="Calibri" w:hAnsi="Calibri" w:cs="Calibri"/>
          <w:sz w:val="20"/>
          <w:szCs w:val="18"/>
        </w:rPr>
        <w:t>.</w:t>
      </w:r>
      <w:r w:rsidRPr="002D3263">
        <w:rPr>
          <w:rFonts w:ascii="Calibri" w:eastAsia="Calibri" w:hAnsi="Calibri" w:cs="Calibri"/>
          <w:spacing w:val="36"/>
          <w:sz w:val="20"/>
          <w:szCs w:val="18"/>
        </w:rPr>
        <w:t xml:space="preserve"> </w:t>
      </w:r>
      <w:r w:rsidRPr="002D3263">
        <w:rPr>
          <w:rFonts w:ascii="Calibri" w:eastAsia="Calibri" w:hAnsi="Calibri" w:cs="Calibri"/>
          <w:spacing w:val="-2"/>
          <w:sz w:val="20"/>
          <w:szCs w:val="18"/>
        </w:rPr>
        <w:t>T</w:t>
      </w:r>
      <w:r w:rsidRPr="002D3263">
        <w:rPr>
          <w:rFonts w:ascii="Calibri" w:eastAsia="Calibri" w:hAnsi="Calibri" w:cs="Calibri"/>
          <w:spacing w:val="-5"/>
          <w:sz w:val="20"/>
          <w:szCs w:val="18"/>
        </w:rPr>
        <w:t>h</w:t>
      </w:r>
      <w:r w:rsidRPr="002D3263">
        <w:rPr>
          <w:rFonts w:ascii="Calibri" w:eastAsia="Calibri" w:hAnsi="Calibri" w:cs="Calibri"/>
          <w:sz w:val="20"/>
          <w:szCs w:val="18"/>
        </w:rPr>
        <w:t>e</w:t>
      </w:r>
      <w:r w:rsidRPr="002D3263">
        <w:rPr>
          <w:rFonts w:ascii="Calibri" w:eastAsia="Calibri" w:hAnsi="Calibri" w:cs="Calibri"/>
          <w:spacing w:val="-9"/>
          <w:sz w:val="20"/>
          <w:szCs w:val="18"/>
        </w:rPr>
        <w:t xml:space="preserve"> </w:t>
      </w:r>
      <w:r w:rsidRPr="002D3263">
        <w:rPr>
          <w:rFonts w:ascii="Calibri" w:eastAsia="Calibri" w:hAnsi="Calibri" w:cs="Calibri"/>
          <w:spacing w:val="-7"/>
          <w:sz w:val="20"/>
          <w:szCs w:val="18"/>
        </w:rPr>
        <w:t>U</w:t>
      </w:r>
      <w:r w:rsidRPr="002D3263">
        <w:rPr>
          <w:rFonts w:ascii="Calibri" w:eastAsia="Calibri" w:hAnsi="Calibri" w:cs="Calibri"/>
          <w:spacing w:val="-5"/>
          <w:sz w:val="20"/>
          <w:szCs w:val="18"/>
        </w:rPr>
        <w:t>n</w:t>
      </w:r>
      <w:r w:rsidRPr="002D3263">
        <w:rPr>
          <w:rFonts w:ascii="Calibri" w:eastAsia="Calibri" w:hAnsi="Calibri" w:cs="Calibri"/>
          <w:spacing w:val="-3"/>
          <w:sz w:val="20"/>
          <w:szCs w:val="18"/>
        </w:rPr>
        <w:t>it</w:t>
      </w:r>
      <w:r w:rsidRPr="002D3263">
        <w:rPr>
          <w:rFonts w:ascii="Calibri" w:eastAsia="Calibri" w:hAnsi="Calibri" w:cs="Calibri"/>
          <w:spacing w:val="-4"/>
          <w:sz w:val="20"/>
          <w:szCs w:val="18"/>
        </w:rPr>
        <w:t>e</w:t>
      </w:r>
      <w:r w:rsidRPr="002D3263">
        <w:rPr>
          <w:rFonts w:ascii="Calibri" w:eastAsia="Calibri" w:hAnsi="Calibri" w:cs="Calibri"/>
          <w:sz w:val="20"/>
          <w:szCs w:val="18"/>
        </w:rPr>
        <w:t>d</w:t>
      </w:r>
      <w:r w:rsidRPr="002D3263">
        <w:rPr>
          <w:rFonts w:ascii="Calibri" w:eastAsia="Calibri" w:hAnsi="Calibri" w:cs="Calibri"/>
          <w:spacing w:val="-7"/>
          <w:sz w:val="20"/>
          <w:szCs w:val="18"/>
        </w:rPr>
        <w:t xml:space="preserve"> S</w:t>
      </w:r>
      <w:r w:rsidRPr="002D3263">
        <w:rPr>
          <w:rFonts w:ascii="Calibri" w:eastAsia="Calibri" w:hAnsi="Calibri" w:cs="Calibri"/>
          <w:spacing w:val="-8"/>
          <w:sz w:val="20"/>
          <w:szCs w:val="18"/>
        </w:rPr>
        <w:t>t</w:t>
      </w:r>
      <w:r w:rsidRPr="002D3263">
        <w:rPr>
          <w:rFonts w:ascii="Calibri" w:eastAsia="Calibri" w:hAnsi="Calibri" w:cs="Calibri"/>
          <w:spacing w:val="-6"/>
          <w:sz w:val="20"/>
          <w:szCs w:val="18"/>
        </w:rPr>
        <w:t>a</w:t>
      </w:r>
      <w:r w:rsidRPr="002D3263">
        <w:rPr>
          <w:rFonts w:ascii="Calibri" w:eastAsia="Calibri" w:hAnsi="Calibri" w:cs="Calibri"/>
          <w:spacing w:val="-3"/>
          <w:sz w:val="20"/>
          <w:szCs w:val="18"/>
        </w:rPr>
        <w:t>t</w:t>
      </w:r>
      <w:r w:rsidRPr="002D3263">
        <w:rPr>
          <w:rFonts w:ascii="Calibri" w:eastAsia="Calibri" w:hAnsi="Calibri" w:cs="Calibri"/>
          <w:spacing w:val="-4"/>
          <w:sz w:val="20"/>
          <w:szCs w:val="18"/>
        </w:rPr>
        <w:t>e</w:t>
      </w:r>
      <w:r w:rsidRPr="002D3263">
        <w:rPr>
          <w:rFonts w:ascii="Calibri" w:eastAsia="Calibri" w:hAnsi="Calibri" w:cs="Calibri"/>
          <w:sz w:val="20"/>
          <w:szCs w:val="18"/>
        </w:rPr>
        <w:t>s</w:t>
      </w:r>
      <w:r w:rsidRPr="002D3263">
        <w:rPr>
          <w:rFonts w:ascii="Calibri" w:eastAsia="Calibri" w:hAnsi="Calibri" w:cs="Calibri"/>
          <w:spacing w:val="-2"/>
          <w:sz w:val="20"/>
          <w:szCs w:val="18"/>
        </w:rPr>
        <w:t xml:space="preserve"> </w:t>
      </w:r>
      <w:r w:rsidRPr="002D3263">
        <w:rPr>
          <w:rFonts w:ascii="Calibri" w:eastAsia="Calibri" w:hAnsi="Calibri" w:cs="Calibri"/>
          <w:spacing w:val="-5"/>
          <w:w w:val="101"/>
          <w:sz w:val="20"/>
          <w:szCs w:val="18"/>
        </w:rPr>
        <w:t>Go</w:t>
      </w:r>
      <w:r w:rsidRPr="002D3263">
        <w:rPr>
          <w:rFonts w:ascii="Calibri" w:eastAsia="Calibri" w:hAnsi="Calibri" w:cs="Calibri"/>
          <w:spacing w:val="-6"/>
          <w:w w:val="101"/>
          <w:sz w:val="20"/>
          <w:szCs w:val="18"/>
        </w:rPr>
        <w:t>v</w:t>
      </w:r>
      <w:r w:rsidRPr="002D3263">
        <w:rPr>
          <w:rFonts w:ascii="Calibri" w:eastAsia="Calibri" w:hAnsi="Calibri" w:cs="Calibri"/>
          <w:spacing w:val="-4"/>
          <w:w w:val="101"/>
          <w:sz w:val="20"/>
          <w:szCs w:val="18"/>
        </w:rPr>
        <w:t>e</w:t>
      </w:r>
      <w:r w:rsidRPr="002D3263">
        <w:rPr>
          <w:rFonts w:ascii="Calibri" w:eastAsia="Calibri" w:hAnsi="Calibri" w:cs="Calibri"/>
          <w:spacing w:val="-6"/>
          <w:w w:val="101"/>
          <w:sz w:val="20"/>
          <w:szCs w:val="18"/>
        </w:rPr>
        <w:t>r</w:t>
      </w:r>
      <w:r w:rsidRPr="002D3263">
        <w:rPr>
          <w:rFonts w:ascii="Calibri" w:eastAsia="Calibri" w:hAnsi="Calibri" w:cs="Calibri"/>
          <w:spacing w:val="-5"/>
          <w:w w:val="101"/>
          <w:sz w:val="20"/>
          <w:szCs w:val="18"/>
        </w:rPr>
        <w:t>n</w:t>
      </w:r>
      <w:r w:rsidRPr="002D3263">
        <w:rPr>
          <w:rFonts w:ascii="Calibri" w:eastAsia="Calibri" w:hAnsi="Calibri" w:cs="Calibri"/>
          <w:spacing w:val="-7"/>
          <w:w w:val="101"/>
          <w:sz w:val="20"/>
          <w:szCs w:val="18"/>
        </w:rPr>
        <w:t>m</w:t>
      </w:r>
      <w:r w:rsidRPr="002D3263">
        <w:rPr>
          <w:rFonts w:ascii="Calibri" w:eastAsia="Calibri" w:hAnsi="Calibri" w:cs="Calibri"/>
          <w:spacing w:val="-4"/>
          <w:w w:val="101"/>
          <w:sz w:val="20"/>
          <w:szCs w:val="18"/>
        </w:rPr>
        <w:t>e</w:t>
      </w:r>
      <w:r w:rsidRPr="002D3263">
        <w:rPr>
          <w:rFonts w:ascii="Calibri" w:eastAsia="Calibri" w:hAnsi="Calibri" w:cs="Calibri"/>
          <w:spacing w:val="-9"/>
          <w:w w:val="101"/>
          <w:sz w:val="20"/>
          <w:szCs w:val="18"/>
        </w:rPr>
        <w:t>n</w:t>
      </w:r>
      <w:r w:rsidRPr="002D3263">
        <w:rPr>
          <w:rFonts w:ascii="Calibri" w:eastAsia="Calibri" w:hAnsi="Calibri" w:cs="Calibri"/>
          <w:w w:val="101"/>
          <w:sz w:val="20"/>
          <w:szCs w:val="18"/>
        </w:rPr>
        <w:t xml:space="preserve">t </w:t>
      </w:r>
      <w:r w:rsidRPr="002D3263">
        <w:rPr>
          <w:rFonts w:ascii="Calibri" w:eastAsia="Calibri" w:hAnsi="Calibri" w:cs="Calibri"/>
          <w:spacing w:val="-6"/>
          <w:sz w:val="20"/>
          <w:szCs w:val="18"/>
        </w:rPr>
        <w:t>a</w:t>
      </w:r>
      <w:r w:rsidRPr="002D3263">
        <w:rPr>
          <w:rFonts w:ascii="Calibri" w:eastAsia="Calibri" w:hAnsi="Calibri" w:cs="Calibri"/>
          <w:spacing w:val="-4"/>
          <w:sz w:val="20"/>
          <w:szCs w:val="18"/>
        </w:rPr>
        <w:t>ss</w:t>
      </w:r>
      <w:r w:rsidRPr="002D3263">
        <w:rPr>
          <w:rFonts w:ascii="Calibri" w:eastAsia="Calibri" w:hAnsi="Calibri" w:cs="Calibri"/>
          <w:spacing w:val="-5"/>
          <w:sz w:val="20"/>
          <w:szCs w:val="18"/>
        </w:rPr>
        <w:t>u</w:t>
      </w:r>
      <w:r w:rsidRPr="002D3263">
        <w:rPr>
          <w:rFonts w:ascii="Calibri" w:eastAsia="Calibri" w:hAnsi="Calibri" w:cs="Calibri"/>
          <w:spacing w:val="-7"/>
          <w:sz w:val="20"/>
          <w:szCs w:val="18"/>
        </w:rPr>
        <w:t>m</w:t>
      </w:r>
      <w:r w:rsidRPr="002D3263">
        <w:rPr>
          <w:rFonts w:ascii="Calibri" w:eastAsia="Calibri" w:hAnsi="Calibri" w:cs="Calibri"/>
          <w:spacing w:val="-4"/>
          <w:sz w:val="20"/>
          <w:szCs w:val="18"/>
        </w:rPr>
        <w:t>e</w:t>
      </w:r>
      <w:r w:rsidRPr="002D3263">
        <w:rPr>
          <w:rFonts w:ascii="Calibri" w:eastAsia="Calibri" w:hAnsi="Calibri" w:cs="Calibri"/>
          <w:sz w:val="20"/>
          <w:szCs w:val="18"/>
        </w:rPr>
        <w:t>s</w:t>
      </w:r>
      <w:r w:rsidRPr="002D3263">
        <w:rPr>
          <w:rFonts w:ascii="Calibri" w:eastAsia="Calibri" w:hAnsi="Calibri" w:cs="Calibri"/>
          <w:spacing w:val="-1"/>
          <w:sz w:val="20"/>
          <w:szCs w:val="18"/>
        </w:rPr>
        <w:t xml:space="preserve"> </w:t>
      </w:r>
      <w:r w:rsidRPr="002D3263">
        <w:rPr>
          <w:rFonts w:ascii="Calibri" w:eastAsia="Calibri" w:hAnsi="Calibri" w:cs="Calibri"/>
          <w:spacing w:val="-5"/>
          <w:sz w:val="20"/>
          <w:szCs w:val="18"/>
        </w:rPr>
        <w:t>n</w:t>
      </w:r>
      <w:r w:rsidRPr="002D3263">
        <w:rPr>
          <w:rFonts w:ascii="Calibri" w:eastAsia="Calibri" w:hAnsi="Calibri" w:cs="Calibri"/>
          <w:sz w:val="20"/>
          <w:szCs w:val="18"/>
        </w:rPr>
        <w:t>o</w:t>
      </w:r>
      <w:r w:rsidRPr="002D3263">
        <w:rPr>
          <w:rFonts w:ascii="Calibri" w:eastAsia="Calibri" w:hAnsi="Calibri" w:cs="Calibri"/>
          <w:spacing w:val="-10"/>
          <w:sz w:val="20"/>
          <w:szCs w:val="18"/>
        </w:rPr>
        <w:t xml:space="preserve"> </w:t>
      </w:r>
      <w:r w:rsidRPr="002D3263">
        <w:rPr>
          <w:rFonts w:ascii="Calibri" w:eastAsia="Calibri" w:hAnsi="Calibri" w:cs="Calibri"/>
          <w:spacing w:val="-3"/>
          <w:sz w:val="20"/>
          <w:szCs w:val="18"/>
        </w:rPr>
        <w:t>li</w:t>
      </w:r>
      <w:r w:rsidRPr="002D3263">
        <w:rPr>
          <w:rFonts w:ascii="Calibri" w:eastAsia="Calibri" w:hAnsi="Calibri" w:cs="Calibri"/>
          <w:spacing w:val="-6"/>
          <w:sz w:val="20"/>
          <w:szCs w:val="18"/>
        </w:rPr>
        <w:t>a</w:t>
      </w:r>
      <w:r w:rsidRPr="002D3263">
        <w:rPr>
          <w:rFonts w:ascii="Calibri" w:eastAsia="Calibri" w:hAnsi="Calibri" w:cs="Calibri"/>
          <w:spacing w:val="-5"/>
          <w:sz w:val="20"/>
          <w:szCs w:val="18"/>
        </w:rPr>
        <w:t>b</w:t>
      </w:r>
      <w:r w:rsidRPr="002D3263">
        <w:rPr>
          <w:rFonts w:ascii="Calibri" w:eastAsia="Calibri" w:hAnsi="Calibri" w:cs="Calibri"/>
          <w:spacing w:val="-3"/>
          <w:sz w:val="20"/>
          <w:szCs w:val="18"/>
        </w:rPr>
        <w:t>i</w:t>
      </w:r>
      <w:r w:rsidRPr="002D3263">
        <w:rPr>
          <w:rFonts w:ascii="Calibri" w:eastAsia="Calibri" w:hAnsi="Calibri" w:cs="Calibri"/>
          <w:spacing w:val="-8"/>
          <w:sz w:val="20"/>
          <w:szCs w:val="18"/>
        </w:rPr>
        <w:t>l</w:t>
      </w:r>
      <w:r w:rsidRPr="002D3263">
        <w:rPr>
          <w:rFonts w:ascii="Calibri" w:eastAsia="Calibri" w:hAnsi="Calibri" w:cs="Calibri"/>
          <w:spacing w:val="-3"/>
          <w:sz w:val="20"/>
          <w:szCs w:val="18"/>
        </w:rPr>
        <w:t>it</w:t>
      </w:r>
      <w:r w:rsidRPr="002D3263">
        <w:rPr>
          <w:rFonts w:ascii="Calibri" w:eastAsia="Calibri" w:hAnsi="Calibri" w:cs="Calibri"/>
          <w:sz w:val="20"/>
          <w:szCs w:val="18"/>
        </w:rPr>
        <w:t>y</w:t>
      </w:r>
      <w:r w:rsidRPr="002D3263">
        <w:rPr>
          <w:rFonts w:ascii="Calibri" w:eastAsia="Calibri" w:hAnsi="Calibri" w:cs="Calibri"/>
          <w:spacing w:val="-8"/>
          <w:sz w:val="20"/>
          <w:szCs w:val="18"/>
        </w:rPr>
        <w:t xml:space="preserve"> </w:t>
      </w:r>
      <w:r w:rsidRPr="002D3263">
        <w:rPr>
          <w:rFonts w:ascii="Calibri" w:eastAsia="Calibri" w:hAnsi="Calibri" w:cs="Calibri"/>
          <w:spacing w:val="-3"/>
          <w:sz w:val="20"/>
          <w:szCs w:val="18"/>
        </w:rPr>
        <w:t>f</w:t>
      </w:r>
      <w:r w:rsidRPr="002D3263">
        <w:rPr>
          <w:rFonts w:ascii="Calibri" w:eastAsia="Calibri" w:hAnsi="Calibri" w:cs="Calibri"/>
          <w:spacing w:val="-5"/>
          <w:sz w:val="20"/>
          <w:szCs w:val="18"/>
        </w:rPr>
        <w:t>o</w:t>
      </w:r>
      <w:r w:rsidRPr="002D3263">
        <w:rPr>
          <w:rFonts w:ascii="Calibri" w:eastAsia="Calibri" w:hAnsi="Calibri" w:cs="Calibri"/>
          <w:sz w:val="20"/>
          <w:szCs w:val="18"/>
        </w:rPr>
        <w:t>r</w:t>
      </w:r>
      <w:r w:rsidRPr="002D3263">
        <w:rPr>
          <w:rFonts w:ascii="Calibri" w:eastAsia="Calibri" w:hAnsi="Calibri" w:cs="Calibri"/>
          <w:spacing w:val="-6"/>
          <w:sz w:val="20"/>
          <w:szCs w:val="18"/>
        </w:rPr>
        <w:t xml:space="preserve"> </w:t>
      </w:r>
      <w:r w:rsidRPr="002D3263" w:rsidR="00D21F68">
        <w:rPr>
          <w:rFonts w:ascii="Calibri" w:eastAsia="Calibri" w:hAnsi="Calibri" w:cs="Calibri"/>
          <w:spacing w:val="-3"/>
          <w:sz w:val="20"/>
          <w:szCs w:val="18"/>
        </w:rPr>
        <w:t>the</w:t>
      </w:r>
      <w:r w:rsidRPr="002D3263">
        <w:rPr>
          <w:rFonts w:ascii="Calibri" w:eastAsia="Calibri" w:hAnsi="Calibri" w:cs="Calibri"/>
          <w:spacing w:val="-9"/>
          <w:sz w:val="20"/>
          <w:szCs w:val="18"/>
        </w:rPr>
        <w:t xml:space="preserve"> </w:t>
      </w:r>
      <w:r w:rsidRPr="002D3263">
        <w:rPr>
          <w:rFonts w:ascii="Calibri" w:eastAsia="Calibri" w:hAnsi="Calibri" w:cs="Calibri"/>
          <w:spacing w:val="-5"/>
          <w:sz w:val="20"/>
          <w:szCs w:val="18"/>
        </w:rPr>
        <w:t>con</w:t>
      </w:r>
      <w:r w:rsidRPr="002D3263">
        <w:rPr>
          <w:rFonts w:ascii="Calibri" w:eastAsia="Calibri" w:hAnsi="Calibri" w:cs="Calibri"/>
          <w:spacing w:val="-3"/>
          <w:sz w:val="20"/>
          <w:szCs w:val="18"/>
        </w:rPr>
        <w:t>t</w:t>
      </w:r>
      <w:r w:rsidRPr="002D3263">
        <w:rPr>
          <w:rFonts w:ascii="Calibri" w:eastAsia="Calibri" w:hAnsi="Calibri" w:cs="Calibri"/>
          <w:spacing w:val="-4"/>
          <w:sz w:val="20"/>
          <w:szCs w:val="18"/>
        </w:rPr>
        <w:t>e</w:t>
      </w:r>
      <w:r w:rsidRPr="002D3263">
        <w:rPr>
          <w:rFonts w:ascii="Calibri" w:eastAsia="Calibri" w:hAnsi="Calibri" w:cs="Calibri"/>
          <w:spacing w:val="-9"/>
          <w:sz w:val="20"/>
          <w:szCs w:val="18"/>
        </w:rPr>
        <w:t>n</w:t>
      </w:r>
      <w:r w:rsidRPr="002D3263">
        <w:rPr>
          <w:rFonts w:ascii="Calibri" w:eastAsia="Calibri" w:hAnsi="Calibri" w:cs="Calibri"/>
          <w:spacing w:val="-3"/>
          <w:sz w:val="20"/>
          <w:szCs w:val="18"/>
        </w:rPr>
        <w:t>t</w:t>
      </w:r>
      <w:r w:rsidRPr="002D3263">
        <w:rPr>
          <w:rFonts w:ascii="Calibri" w:eastAsia="Calibri" w:hAnsi="Calibri" w:cs="Calibri"/>
          <w:sz w:val="20"/>
          <w:szCs w:val="18"/>
        </w:rPr>
        <w:t>s</w:t>
      </w:r>
      <w:r w:rsidRPr="002D3263">
        <w:rPr>
          <w:rFonts w:ascii="Calibri" w:eastAsia="Calibri" w:hAnsi="Calibri" w:cs="Calibri"/>
          <w:spacing w:val="-1"/>
          <w:sz w:val="20"/>
          <w:szCs w:val="18"/>
        </w:rPr>
        <w:t xml:space="preserve"> </w:t>
      </w:r>
      <w:r w:rsidRPr="002D3263">
        <w:rPr>
          <w:rFonts w:ascii="Calibri" w:eastAsia="Calibri" w:hAnsi="Calibri" w:cs="Calibri"/>
          <w:spacing w:val="-5"/>
          <w:sz w:val="20"/>
          <w:szCs w:val="18"/>
        </w:rPr>
        <w:t>o</w:t>
      </w:r>
      <w:r w:rsidRPr="002D3263">
        <w:rPr>
          <w:rFonts w:ascii="Calibri" w:eastAsia="Calibri" w:hAnsi="Calibri" w:cs="Calibri"/>
          <w:sz w:val="20"/>
          <w:szCs w:val="18"/>
        </w:rPr>
        <w:t>r</w:t>
      </w:r>
      <w:r w:rsidRPr="002D3263">
        <w:rPr>
          <w:rFonts w:ascii="Calibri" w:eastAsia="Calibri" w:hAnsi="Calibri" w:cs="Calibri"/>
          <w:spacing w:val="-11"/>
          <w:sz w:val="20"/>
          <w:szCs w:val="18"/>
        </w:rPr>
        <w:t xml:space="preserve"> </w:t>
      </w:r>
      <w:r w:rsidRPr="002D3263">
        <w:rPr>
          <w:rFonts w:ascii="Calibri" w:eastAsia="Calibri" w:hAnsi="Calibri" w:cs="Calibri"/>
          <w:spacing w:val="-5"/>
          <w:sz w:val="20"/>
          <w:szCs w:val="18"/>
        </w:rPr>
        <w:t>u</w:t>
      </w:r>
      <w:r w:rsidRPr="002D3263">
        <w:rPr>
          <w:rFonts w:ascii="Calibri" w:eastAsia="Calibri" w:hAnsi="Calibri" w:cs="Calibri"/>
          <w:spacing w:val="-4"/>
          <w:sz w:val="20"/>
          <w:szCs w:val="18"/>
        </w:rPr>
        <w:t>s</w:t>
      </w:r>
      <w:r w:rsidRPr="002D3263">
        <w:rPr>
          <w:rFonts w:ascii="Calibri" w:eastAsia="Calibri" w:hAnsi="Calibri" w:cs="Calibri"/>
          <w:sz w:val="20"/>
          <w:szCs w:val="18"/>
        </w:rPr>
        <w:t>e</w:t>
      </w:r>
      <w:r w:rsidRPr="002D3263">
        <w:rPr>
          <w:rFonts w:ascii="Calibri" w:eastAsia="Calibri" w:hAnsi="Calibri" w:cs="Calibri"/>
          <w:spacing w:val="-8"/>
          <w:sz w:val="20"/>
          <w:szCs w:val="18"/>
        </w:rPr>
        <w:t xml:space="preserve"> </w:t>
      </w:r>
      <w:r w:rsidRPr="002D3263">
        <w:rPr>
          <w:rFonts w:ascii="Calibri" w:eastAsia="Calibri" w:hAnsi="Calibri" w:cs="Calibri"/>
          <w:spacing w:val="-3"/>
          <w:w w:val="101"/>
          <w:sz w:val="20"/>
          <w:szCs w:val="18"/>
        </w:rPr>
        <w:t>t</w:t>
      </w:r>
      <w:r w:rsidRPr="002D3263">
        <w:rPr>
          <w:rFonts w:ascii="Calibri" w:eastAsia="Calibri" w:hAnsi="Calibri" w:cs="Calibri"/>
          <w:spacing w:val="-5"/>
          <w:w w:val="101"/>
          <w:sz w:val="20"/>
          <w:szCs w:val="18"/>
        </w:rPr>
        <w:t>h</w:t>
      </w:r>
      <w:r w:rsidRPr="002D3263">
        <w:rPr>
          <w:rFonts w:ascii="Calibri" w:eastAsia="Calibri" w:hAnsi="Calibri" w:cs="Calibri"/>
          <w:spacing w:val="-4"/>
          <w:w w:val="101"/>
          <w:sz w:val="20"/>
          <w:szCs w:val="18"/>
        </w:rPr>
        <w:t>e</w:t>
      </w:r>
      <w:r w:rsidRPr="002D3263">
        <w:rPr>
          <w:rFonts w:ascii="Calibri" w:eastAsia="Calibri" w:hAnsi="Calibri" w:cs="Calibri"/>
          <w:spacing w:val="-6"/>
          <w:w w:val="101"/>
          <w:sz w:val="20"/>
          <w:szCs w:val="18"/>
        </w:rPr>
        <w:t>r</w:t>
      </w:r>
      <w:r w:rsidRPr="002D3263">
        <w:rPr>
          <w:rFonts w:ascii="Calibri" w:eastAsia="Calibri" w:hAnsi="Calibri" w:cs="Calibri"/>
          <w:spacing w:val="-4"/>
          <w:w w:val="101"/>
          <w:sz w:val="20"/>
          <w:szCs w:val="18"/>
        </w:rPr>
        <w:t>e</w:t>
      </w:r>
      <w:r w:rsidRPr="002D3263">
        <w:rPr>
          <w:rFonts w:ascii="Calibri" w:eastAsia="Calibri" w:hAnsi="Calibri" w:cs="Calibri"/>
          <w:spacing w:val="-5"/>
          <w:w w:val="101"/>
          <w:sz w:val="20"/>
          <w:szCs w:val="18"/>
        </w:rPr>
        <w:t>o</w:t>
      </w:r>
      <w:r w:rsidRPr="002D3263">
        <w:rPr>
          <w:rFonts w:ascii="Calibri" w:eastAsia="Calibri" w:hAnsi="Calibri" w:cs="Calibri"/>
          <w:spacing w:val="-8"/>
          <w:w w:val="101"/>
          <w:sz w:val="20"/>
          <w:szCs w:val="18"/>
        </w:rPr>
        <w:t>f</w:t>
      </w:r>
      <w:r w:rsidRPr="002D3263">
        <w:rPr>
          <w:rFonts w:ascii="Calibri" w:eastAsia="Calibri" w:hAnsi="Calibri" w:cs="Calibri"/>
          <w:w w:val="101"/>
          <w:sz w:val="20"/>
          <w:szCs w:val="18"/>
        </w:rPr>
        <w:t>.</w:t>
      </w:r>
    </w:p>
    <w:p w:rsidR="00B73C4D" w:rsidRPr="002D3263" w:rsidP="00EF4CBB" w14:paraId="32A20010" w14:textId="77777777">
      <w:pPr>
        <w:widowControl/>
        <w:tabs>
          <w:tab w:val="left" w:pos="8640"/>
        </w:tabs>
        <w:spacing w:line="254" w:lineRule="auto"/>
        <w:ind w:left="720" w:right="1080"/>
        <w:rPr>
          <w:rFonts w:ascii="Calibri" w:eastAsia="Calibri" w:hAnsi="Calibri" w:cs="Calibri"/>
          <w:w w:val="101"/>
          <w:sz w:val="20"/>
          <w:szCs w:val="18"/>
        </w:rPr>
      </w:pPr>
    </w:p>
    <w:p w:rsidR="00B73C4D" w:rsidRPr="002D3263" w:rsidP="00EF4CBB" w14:paraId="0BE93C82" w14:textId="7A7597F4">
      <w:pPr>
        <w:widowControl/>
        <w:tabs>
          <w:tab w:val="left" w:pos="8640"/>
        </w:tabs>
        <w:spacing w:line="254" w:lineRule="auto"/>
        <w:ind w:left="720" w:right="1080"/>
        <w:rPr>
          <w:rFonts w:ascii="Calibri" w:eastAsia="Calibri" w:hAnsi="Calibri" w:cs="Calibri"/>
          <w:sz w:val="20"/>
          <w:szCs w:val="18"/>
        </w:rPr>
      </w:pPr>
      <w:r w:rsidRPr="002D3263">
        <w:rPr>
          <w:rFonts w:ascii="Calibri" w:eastAsia="Calibri" w:hAnsi="Calibri" w:cs="Calibri"/>
          <w:sz w:val="20"/>
          <w:szCs w:val="18"/>
        </w:rPr>
        <w:t>The U</w:t>
      </w:r>
      <w:r w:rsidR="000E0F62">
        <w:rPr>
          <w:rFonts w:ascii="Calibri" w:eastAsia="Calibri" w:hAnsi="Calibri" w:cs="Calibri"/>
          <w:sz w:val="20"/>
          <w:szCs w:val="18"/>
        </w:rPr>
        <w:t>.S.</w:t>
      </w:r>
      <w:r w:rsidRPr="002D3263">
        <w:rPr>
          <w:rFonts w:ascii="Calibri" w:eastAsia="Calibri" w:hAnsi="Calibri" w:cs="Calibri"/>
          <w:sz w:val="20"/>
          <w:szCs w:val="18"/>
        </w:rPr>
        <w:t xml:space="preserve"> Government does not endorse produc</w:t>
      </w:r>
      <w:r w:rsidRPr="002D3263" w:rsidR="00D21F68">
        <w:rPr>
          <w:rFonts w:ascii="Calibri" w:eastAsia="Calibri" w:hAnsi="Calibri" w:cs="Calibri"/>
          <w:sz w:val="20"/>
          <w:szCs w:val="18"/>
        </w:rPr>
        <w:t>ts or manufacturers.</w:t>
      </w:r>
      <w:r w:rsidR="00031493">
        <w:rPr>
          <w:rFonts w:ascii="Calibri" w:eastAsia="Calibri" w:hAnsi="Calibri" w:cs="Calibri"/>
          <w:sz w:val="20"/>
          <w:szCs w:val="18"/>
        </w:rPr>
        <w:t xml:space="preserve"> </w:t>
      </w:r>
      <w:r w:rsidRPr="002D3263" w:rsidR="00AC30F3">
        <w:rPr>
          <w:rFonts w:ascii="Calibri" w:eastAsia="Calibri" w:hAnsi="Calibri" w:cs="Calibri"/>
          <w:sz w:val="20"/>
          <w:szCs w:val="18"/>
        </w:rPr>
        <w:t xml:space="preserve"> </w:t>
      </w:r>
      <w:r w:rsidRPr="002D3263" w:rsidR="00D21F68">
        <w:rPr>
          <w:rFonts w:ascii="Calibri" w:eastAsia="Calibri" w:hAnsi="Calibri" w:cs="Calibri"/>
          <w:sz w:val="20"/>
          <w:szCs w:val="18"/>
        </w:rPr>
        <w:t>Trade</w:t>
      </w:r>
      <w:r w:rsidRPr="002D3263">
        <w:rPr>
          <w:rFonts w:ascii="Calibri" w:eastAsia="Calibri" w:hAnsi="Calibri" w:cs="Calibri"/>
          <w:sz w:val="20"/>
          <w:szCs w:val="18"/>
        </w:rPr>
        <w:t xml:space="preserve"> or manufacturers’ names appear herein solely because they are considered essential to the objective of this </w:t>
      </w:r>
      <w:r w:rsidRPr="002D3263" w:rsidR="00D21F68">
        <w:rPr>
          <w:rFonts w:ascii="Calibri" w:eastAsia="Calibri" w:hAnsi="Calibri" w:cs="Calibri"/>
          <w:sz w:val="20"/>
          <w:szCs w:val="18"/>
        </w:rPr>
        <w:t>report</w:t>
      </w:r>
      <w:r w:rsidRPr="002D3263">
        <w:rPr>
          <w:rFonts w:ascii="Calibri" w:eastAsia="Calibri" w:hAnsi="Calibri" w:cs="Calibri"/>
          <w:sz w:val="20"/>
          <w:szCs w:val="18"/>
        </w:rPr>
        <w:t>.</w:t>
      </w:r>
    </w:p>
    <w:p w:rsidR="00A240B4" w:rsidRPr="002D3263" w:rsidP="00EF4CBB" w14:paraId="0DC300C6" w14:textId="77777777">
      <w:pPr>
        <w:widowControl/>
        <w:ind w:left="1080"/>
      </w:pPr>
    </w:p>
    <w:p w:rsidR="00A240B4" w:rsidRPr="002D3263" w:rsidP="00EF4CBB" w14:paraId="0D017297" w14:textId="77777777">
      <w:pPr>
        <w:widowControl/>
        <w:tabs>
          <w:tab w:val="right" w:pos="9360"/>
        </w:tabs>
        <w:ind w:left="1080"/>
      </w:pPr>
      <w:r w:rsidRPr="002D3263">
        <w:rPr>
          <w:noProof/>
          <w:sz w:val="24"/>
        </w:rPr>
        <mc:AlternateContent>
          <mc:Choice Requires="wpg">
            <w:drawing>
              <wp:anchor distT="0" distB="0" distL="114300" distR="114300" simplePos="0" relativeHeight="251658240" behindDoc="1" locked="0" layoutInCell="1" allowOverlap="1">
                <wp:simplePos x="0" y="0"/>
                <wp:positionH relativeFrom="page">
                  <wp:posOffset>1223010</wp:posOffset>
                </wp:positionH>
                <wp:positionV relativeFrom="paragraph">
                  <wp:posOffset>92710</wp:posOffset>
                </wp:positionV>
                <wp:extent cx="5368925" cy="45085"/>
                <wp:effectExtent l="0" t="0" r="22225" b="0"/>
                <wp:wrapNone/>
                <wp:docPr id="230" name="Group 225" descr="Horizontal bar for separation of text. "/>
                <wp:cNvGraphicFramePr/>
                <a:graphic xmlns:a="http://schemas.openxmlformats.org/drawingml/2006/main">
                  <a:graphicData uri="http://schemas.microsoft.com/office/word/2010/wordprocessingGroup">
                    <wpg:wgp xmlns:wpg="http://schemas.microsoft.com/office/word/2010/wordprocessingGroup">
                      <wpg:cNvGrpSpPr/>
                      <wpg:grpSpPr>
                        <a:xfrm>
                          <a:off x="0" y="0"/>
                          <a:ext cx="5368925" cy="45085"/>
                          <a:chOff x="2501" y="1299"/>
                          <a:chExt cx="7219" cy="2"/>
                        </a:xfrm>
                      </wpg:grpSpPr>
                      <wps:wsp xmlns:wps="http://schemas.microsoft.com/office/word/2010/wordprocessingShape">
                        <wps:cNvPr id="231" name="Freeform 226"/>
                        <wps:cNvSpPr/>
                        <wps:spPr bwMode="auto">
                          <a:xfrm>
                            <a:off x="2501" y="1299"/>
                            <a:ext cx="7219" cy="2"/>
                          </a:xfrm>
                          <a:custGeom>
                            <a:avLst/>
                            <a:gdLst>
                              <a:gd name="T0" fmla="+- 0 2501 2501"/>
                              <a:gd name="T1" fmla="*/ T0 w 7219"/>
                              <a:gd name="T2" fmla="+- 0 9720 2501"/>
                              <a:gd name="T3" fmla="*/ T2 w 7219"/>
                            </a:gdLst>
                            <a:cxnLst>
                              <a:cxn ang="0">
                                <a:pos x="T1" y="0"/>
                              </a:cxn>
                              <a:cxn ang="0">
                                <a:pos x="T3" y="0"/>
                              </a:cxn>
                            </a:cxnLst>
                            <a:rect l="0" t="0" r="r" b="b"/>
                            <a:pathLst>
                              <a:path fill="norm" w="7219" stroke="1">
                                <a:moveTo>
                                  <a:pt x="0" y="0"/>
                                </a:moveTo>
                                <a:lnTo>
                                  <a:pt x="7219"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25" o:spid="_x0000_s1025" alt="Horizontal bar for separation of text. " style="width:422.75pt;height:3.55pt;margin-top:7.3pt;margin-left:96.3pt;mso-position-horizontal-relative:page;position:absolute;z-index:-251657216" coordorigin="2501,1299" coordsize="7219,2">
                <v:shape id="Freeform 226" o:spid="_x0000_s1026" style="width:7219;height:2;left:2501;mso-wrap-style:square;position:absolute;top:1299;visibility:visible;v-text-anchor:top" coordsize="7219,2" path="m,l7219,e" filled="f" strokeweight="0.58pt">
                  <v:path arrowok="t" o:connecttype="custom" o:connectlocs="0,0;7219,0" o:connectangles="0,0"/>
                </v:shape>
              </v:group>
            </w:pict>
          </mc:Fallback>
        </mc:AlternateContent>
      </w:r>
      <w:r w:rsidRPr="002D3263" w:rsidR="00DB1457">
        <w:tab/>
      </w:r>
    </w:p>
    <w:p w:rsidR="00852CF6" w:rsidRPr="002D3263" w:rsidP="00EF4CBB" w14:paraId="0B95C959" w14:textId="77777777">
      <w:pPr>
        <w:widowControl/>
        <w:ind w:left="720"/>
      </w:pPr>
    </w:p>
    <w:p w:rsidR="00852CF6" w:rsidRPr="002D3263" w:rsidP="00EF4CBB" w14:paraId="0C5A218B" w14:textId="77777777">
      <w:pPr>
        <w:widowControl/>
        <w:ind w:left="720"/>
      </w:pPr>
    </w:p>
    <w:p w:rsidR="00852CF6" w:rsidRPr="002D3263" w:rsidP="00EF4CBB" w14:paraId="78C58C89" w14:textId="77777777">
      <w:pPr>
        <w:widowControl/>
        <w:ind w:left="720"/>
      </w:pPr>
    </w:p>
    <w:p w:rsidR="001C5329" w:rsidRPr="002D3263" w:rsidP="00EF4CBB" w14:paraId="4DAD6911" w14:textId="77777777">
      <w:pPr>
        <w:widowControl/>
        <w:spacing w:after="200"/>
      </w:pPr>
      <w:r w:rsidRPr="002D3263">
        <w:br w:type="page"/>
      </w:r>
    </w:p>
    <w:tbl>
      <w:tblPr>
        <w:tblCaption w:val="Report Documentation Page"/>
        <w:tblDescription w:val="This shows Standard Form 298. Thie fields in this form provide information to help libraries catalog the report."/>
        <w:tblW w:w="10170" w:type="dxa"/>
        <w:tblInd w:w="-5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0" w:type="dxa"/>
          <w:right w:w="120" w:type="dxa"/>
        </w:tblCellMar>
        <w:tblLook w:val="0000"/>
      </w:tblPr>
      <w:tblGrid>
        <w:gridCol w:w="2678"/>
        <w:gridCol w:w="893"/>
        <w:gridCol w:w="1785"/>
        <w:gridCol w:w="1786"/>
        <w:gridCol w:w="634"/>
        <w:gridCol w:w="258"/>
        <w:gridCol w:w="2136"/>
      </w:tblGrid>
      <w:tr w14:paraId="67C1A146" w14:textId="77777777" w:rsidTr="00A91F5F">
        <w:tblPrEx>
          <w:tblW w:w="10170" w:type="dxa"/>
          <w:tblInd w:w="-5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0" w:type="dxa"/>
            <w:right w:w="120" w:type="dxa"/>
          </w:tblCellMar>
          <w:tblLook w:val="0000"/>
        </w:tblPrEx>
        <w:tc>
          <w:tcPr>
            <w:tcW w:w="7142" w:type="dxa"/>
            <w:gridSpan w:val="4"/>
          </w:tcPr>
          <w:p w:rsidR="00F759C2" w:rsidRPr="002D3263" w:rsidP="00EF4CBB" w14:paraId="10A4906A" w14:textId="77777777">
            <w:pPr>
              <w:widowControl/>
              <w:rPr>
                <w:rFonts w:ascii="Calibri" w:hAnsi="Calibri" w:cs="Arial"/>
                <w:b/>
                <w:sz w:val="32"/>
                <w:szCs w:val="32"/>
              </w:rPr>
            </w:pPr>
            <w:r w:rsidRPr="002D3263">
              <w:rPr>
                <w:rFonts w:ascii="Calibri" w:hAnsi="Calibri" w:cs="Arial"/>
                <w:b/>
                <w:sz w:val="32"/>
                <w:szCs w:val="32"/>
              </w:rPr>
              <w:t>REPORT DOCUMENTATION PAGE</w:t>
            </w:r>
          </w:p>
        </w:tc>
        <w:tc>
          <w:tcPr>
            <w:tcW w:w="3028" w:type="dxa"/>
            <w:gridSpan w:val="3"/>
          </w:tcPr>
          <w:p w:rsidR="00F759C2" w:rsidRPr="002D3263" w:rsidP="00EF4CBB" w14:paraId="1444E0D1" w14:textId="77777777">
            <w:pPr>
              <w:pStyle w:val="NoSpacing"/>
              <w:widowControl/>
              <w:jc w:val="center"/>
              <w:rPr>
                <w:i/>
                <w:sz w:val="20"/>
                <w:szCs w:val="20"/>
              </w:rPr>
            </w:pPr>
            <w:r w:rsidRPr="002D3263">
              <w:rPr>
                <w:i/>
                <w:sz w:val="20"/>
                <w:szCs w:val="20"/>
              </w:rPr>
              <w:t>Form Approved</w:t>
            </w:r>
          </w:p>
          <w:p w:rsidR="00F759C2" w:rsidRPr="002D3263" w:rsidP="00EF4CBB" w14:paraId="31716F25" w14:textId="77777777">
            <w:pPr>
              <w:pStyle w:val="NoSpacing"/>
              <w:widowControl/>
              <w:jc w:val="center"/>
            </w:pPr>
            <w:r w:rsidRPr="002D3263">
              <w:rPr>
                <w:i/>
                <w:sz w:val="20"/>
                <w:szCs w:val="20"/>
              </w:rPr>
              <w:t>OMB No. 0704-0188</w:t>
            </w:r>
          </w:p>
        </w:tc>
      </w:tr>
      <w:tr w14:paraId="794268F8" w14:textId="77777777" w:rsidTr="00A91F5F">
        <w:tblPrEx>
          <w:tblW w:w="10170" w:type="dxa"/>
          <w:tblInd w:w="-510" w:type="dxa"/>
          <w:tblLayout w:type="fixed"/>
          <w:tblCellMar>
            <w:left w:w="120" w:type="dxa"/>
            <w:right w:w="120" w:type="dxa"/>
          </w:tblCellMar>
          <w:tblLook w:val="0000"/>
        </w:tblPrEx>
        <w:tc>
          <w:tcPr>
            <w:tcW w:w="10170" w:type="dxa"/>
            <w:gridSpan w:val="7"/>
          </w:tcPr>
          <w:p w:rsidR="00F759C2" w:rsidRPr="002D3263" w:rsidP="00EF4CBB" w14:paraId="0A54FB89" w14:textId="1B02C5D8">
            <w:pPr>
              <w:widowControl/>
              <w:tabs>
                <w:tab w:val="left" w:pos="-720"/>
              </w:tabs>
              <w:suppressAutoHyphens/>
              <w:spacing w:before="90" w:line="180" w:lineRule="auto"/>
              <w:rPr>
                <w:rFonts w:ascii="Calibri" w:hAnsi="Calibri" w:cs="Arial"/>
                <w:sz w:val="14"/>
                <w:szCs w:val="14"/>
              </w:rPr>
            </w:pPr>
            <w:r w:rsidRPr="002D3263">
              <w:rPr>
                <w:rFonts w:ascii="Calibri" w:hAnsi="Calibri" w:cs="Arial"/>
                <w:sz w:val="14"/>
                <w:szCs w:val="14"/>
              </w:rPr>
              <w:t xml:space="preserve">Public reporting burden for this collection of information is estimated to average 1 hour per response, including the time for reviewing instructions, searching existing data sources, </w:t>
            </w:r>
            <w:r w:rsidRPr="002D3263">
              <w:rPr>
                <w:rFonts w:ascii="Calibri" w:hAnsi="Calibri" w:cs="Arial"/>
                <w:sz w:val="14"/>
                <w:szCs w:val="14"/>
              </w:rPr>
              <w:t>gathering</w:t>
            </w:r>
            <w:r w:rsidRPr="002D3263">
              <w:rPr>
                <w:rFonts w:ascii="Calibri" w:hAnsi="Calibri" w:cs="Arial"/>
                <w:sz w:val="14"/>
                <w:szCs w:val="14"/>
              </w:rPr>
              <w:t xml:space="preserve"> and maintaining the data needed, and completing and reviewing this collection of information. Send comments regarding this burden estimate or any other aspect of this collection of information, including suggestions for reducing this burden to Department of Defense, Washington Headquarters Services, Directorate for Information Operations and Reports (0704-0188), 1215 Jefferson Davis Highway, Suite 1204, Arlington, VA  22202-4302. Respondents should be aware that notwithstanding any other provision of law, no person shall be subject to any penalty for failing to comply with a collection of information if it does not display a currently valid OMB control number. PLEASE DO NOT RETURN YOUR FORM TO THE ABOVE ADDRESS.</w:t>
            </w:r>
          </w:p>
        </w:tc>
      </w:tr>
      <w:tr w14:paraId="4E081CC9" w14:textId="77777777" w:rsidTr="00A91F5F">
        <w:tblPrEx>
          <w:tblW w:w="10170" w:type="dxa"/>
          <w:tblInd w:w="-510" w:type="dxa"/>
          <w:tblLayout w:type="fixed"/>
          <w:tblCellMar>
            <w:left w:w="120" w:type="dxa"/>
            <w:right w:w="120" w:type="dxa"/>
          </w:tblCellMar>
          <w:tblLook w:val="0000"/>
        </w:tblPrEx>
        <w:tc>
          <w:tcPr>
            <w:tcW w:w="3571" w:type="dxa"/>
            <w:gridSpan w:val="2"/>
          </w:tcPr>
          <w:p w:rsidR="00F759C2" w:rsidRPr="002D3263" w:rsidP="00EF4CBB" w14:paraId="03C1E6C3" w14:textId="77777777">
            <w:pPr>
              <w:widowControl/>
              <w:tabs>
                <w:tab w:val="left" w:pos="-720"/>
              </w:tabs>
              <w:suppressAutoHyphens/>
              <w:spacing w:before="90" w:after="60" w:line="180" w:lineRule="auto"/>
              <w:rPr>
                <w:rFonts w:ascii="Calibri" w:hAnsi="Calibri"/>
                <w:sz w:val="16"/>
                <w:szCs w:val="16"/>
              </w:rPr>
            </w:pPr>
            <w:r w:rsidRPr="002D3263">
              <w:rPr>
                <w:rFonts w:ascii="Calibri" w:hAnsi="Calibri"/>
                <w:sz w:val="16"/>
                <w:szCs w:val="16"/>
              </w:rPr>
              <w:t>1. AGENCY USE ONLY (Leave blank)</w:t>
            </w:r>
          </w:p>
          <w:p w:rsidR="00F759C2" w:rsidRPr="002D3263" w:rsidP="00EF4CBB" w14:paraId="40BE7346" w14:textId="77777777">
            <w:pPr>
              <w:widowControl/>
              <w:tabs>
                <w:tab w:val="left" w:pos="-720"/>
              </w:tabs>
              <w:suppressAutoHyphens/>
              <w:spacing w:after="54"/>
              <w:rPr>
                <w:rFonts w:ascii="Calibri" w:hAnsi="Calibri"/>
                <w:sz w:val="16"/>
                <w:szCs w:val="16"/>
              </w:rPr>
            </w:pPr>
          </w:p>
        </w:tc>
        <w:tc>
          <w:tcPr>
            <w:tcW w:w="3571" w:type="dxa"/>
            <w:gridSpan w:val="2"/>
          </w:tcPr>
          <w:p w:rsidR="00F759C2" w:rsidRPr="002D3263" w:rsidP="00EF4CBB" w14:paraId="65591341" w14:textId="77777777">
            <w:pPr>
              <w:widowControl/>
              <w:tabs>
                <w:tab w:val="left" w:pos="-720"/>
              </w:tabs>
              <w:suppressAutoHyphens/>
              <w:spacing w:before="90"/>
              <w:rPr>
                <w:rFonts w:ascii="Calibri" w:hAnsi="Calibri"/>
                <w:sz w:val="16"/>
                <w:szCs w:val="16"/>
              </w:rPr>
            </w:pPr>
            <w:r w:rsidRPr="002D3263">
              <w:rPr>
                <w:rFonts w:ascii="Calibri" w:hAnsi="Calibri"/>
                <w:sz w:val="16"/>
                <w:szCs w:val="16"/>
              </w:rPr>
              <w:t>2. REPORT DATE</w:t>
            </w:r>
          </w:p>
          <w:p w:rsidR="00F759C2" w:rsidRPr="002D3263" w:rsidP="00634AAC" w14:paraId="254481C0" w14:textId="78CC240C">
            <w:pPr>
              <w:pStyle w:val="BodyText"/>
              <w:spacing w:before="0" w:after="0"/>
              <w:rPr>
                <w:rFonts w:ascii="Calibri" w:hAnsi="Calibri"/>
                <w:szCs w:val="18"/>
              </w:rPr>
            </w:pPr>
            <w:r>
              <w:rPr>
                <w:rFonts w:ascii="Calibri" w:hAnsi="Calibri"/>
                <w:szCs w:val="18"/>
              </w:rPr>
              <w:t>July 1</w:t>
            </w:r>
            <w:r w:rsidR="00FA2677">
              <w:rPr>
                <w:rFonts w:ascii="Calibri" w:hAnsi="Calibri"/>
                <w:szCs w:val="18"/>
              </w:rPr>
              <w:t>9</w:t>
            </w:r>
            <w:r w:rsidRPr="002D3263" w:rsidR="007270F7">
              <w:rPr>
                <w:rFonts w:ascii="Calibri" w:hAnsi="Calibri"/>
                <w:szCs w:val="18"/>
              </w:rPr>
              <w:t>, 2023</w:t>
            </w:r>
          </w:p>
        </w:tc>
        <w:tc>
          <w:tcPr>
            <w:tcW w:w="3028" w:type="dxa"/>
            <w:gridSpan w:val="3"/>
          </w:tcPr>
          <w:p w:rsidR="00F759C2" w:rsidRPr="002D3263" w:rsidP="00EF4CBB" w14:paraId="5032741F" w14:textId="77777777">
            <w:pPr>
              <w:widowControl/>
              <w:tabs>
                <w:tab w:val="left" w:pos="-720"/>
              </w:tabs>
              <w:suppressAutoHyphens/>
              <w:spacing w:before="90"/>
              <w:rPr>
                <w:rFonts w:ascii="Calibri" w:hAnsi="Calibri"/>
                <w:sz w:val="16"/>
                <w:szCs w:val="16"/>
              </w:rPr>
            </w:pPr>
            <w:r w:rsidRPr="002D3263">
              <w:rPr>
                <w:rFonts w:ascii="Calibri" w:hAnsi="Calibri"/>
                <w:sz w:val="16"/>
                <w:szCs w:val="16"/>
              </w:rPr>
              <w:t>3. REPORT TYPE AND DATES COVERED</w:t>
            </w:r>
          </w:p>
          <w:p w:rsidR="00F759C2" w:rsidRPr="002D3263" w:rsidP="00EF4CBB" w14:paraId="3A9DAD24" w14:textId="77777777">
            <w:pPr>
              <w:widowControl/>
              <w:tabs>
                <w:tab w:val="center" w:pos="1666"/>
              </w:tabs>
              <w:suppressAutoHyphens/>
              <w:jc w:val="center"/>
              <w:rPr>
                <w:rFonts w:ascii="Calibri" w:hAnsi="Calibri" w:cs="Times New Roman"/>
                <w:sz w:val="18"/>
                <w:szCs w:val="18"/>
              </w:rPr>
            </w:pPr>
          </w:p>
        </w:tc>
      </w:tr>
      <w:tr w14:paraId="5B1BC17C" w14:textId="77777777" w:rsidTr="00A91F5F">
        <w:tblPrEx>
          <w:tblW w:w="10170" w:type="dxa"/>
          <w:tblInd w:w="-510" w:type="dxa"/>
          <w:tblLayout w:type="fixed"/>
          <w:tblCellMar>
            <w:left w:w="120" w:type="dxa"/>
            <w:right w:w="120" w:type="dxa"/>
          </w:tblCellMar>
          <w:tblLook w:val="0000"/>
        </w:tblPrEx>
        <w:trPr>
          <w:trHeight w:val="579"/>
        </w:trPr>
        <w:tc>
          <w:tcPr>
            <w:tcW w:w="7776" w:type="dxa"/>
            <w:gridSpan w:val="5"/>
          </w:tcPr>
          <w:p w:rsidR="00F759C2" w:rsidRPr="002D3263" w:rsidP="00EF4CBB" w14:paraId="28453BA3" w14:textId="77777777">
            <w:pPr>
              <w:widowControl/>
              <w:tabs>
                <w:tab w:val="left" w:pos="-720"/>
              </w:tabs>
              <w:suppressAutoHyphens/>
              <w:spacing w:before="90" w:after="60" w:line="180" w:lineRule="auto"/>
              <w:rPr>
                <w:rFonts w:ascii="Calibri" w:hAnsi="Calibri"/>
                <w:sz w:val="16"/>
                <w:szCs w:val="16"/>
              </w:rPr>
            </w:pPr>
            <w:r w:rsidRPr="002D3263">
              <w:rPr>
                <w:rFonts w:ascii="Calibri" w:hAnsi="Calibri"/>
                <w:sz w:val="16"/>
                <w:szCs w:val="16"/>
              </w:rPr>
              <w:t>4. TITLE AND SUBTITLE</w:t>
            </w:r>
          </w:p>
          <w:p w:rsidR="00F759C2" w:rsidRPr="002D3263" w:rsidP="00EF4CBB" w14:paraId="030DB648" w14:textId="58FEA7D8">
            <w:pPr>
              <w:widowControl/>
              <w:tabs>
                <w:tab w:val="left" w:pos="-720"/>
              </w:tabs>
              <w:suppressAutoHyphens/>
              <w:spacing w:before="90" w:after="60" w:line="180" w:lineRule="auto"/>
              <w:rPr>
                <w:rFonts w:ascii="Calibri" w:hAnsi="Calibri"/>
                <w:sz w:val="20"/>
                <w:szCs w:val="16"/>
              </w:rPr>
            </w:pPr>
            <w:r w:rsidRPr="002D3263">
              <w:rPr>
                <w:rFonts w:ascii="Calibri" w:hAnsi="Calibri"/>
                <w:sz w:val="18"/>
                <w:szCs w:val="16"/>
              </w:rPr>
              <w:t xml:space="preserve">Uniform Relocation Assistance and Real Property Acquisition for </w:t>
            </w:r>
            <w:r w:rsidRPr="002D3263" w:rsidR="00111308">
              <w:rPr>
                <w:rFonts w:ascii="Calibri" w:hAnsi="Calibri"/>
                <w:sz w:val="18"/>
                <w:szCs w:val="16"/>
              </w:rPr>
              <w:t>Federal</w:t>
            </w:r>
            <w:r w:rsidRPr="002D3263">
              <w:rPr>
                <w:rFonts w:ascii="Calibri" w:hAnsi="Calibri"/>
                <w:sz w:val="18"/>
                <w:szCs w:val="16"/>
              </w:rPr>
              <w:t xml:space="preserve"> and </w:t>
            </w:r>
            <w:r w:rsidRPr="002D3263" w:rsidR="002F6403">
              <w:rPr>
                <w:rFonts w:ascii="Calibri" w:hAnsi="Calibri"/>
                <w:sz w:val="18"/>
                <w:szCs w:val="16"/>
              </w:rPr>
              <w:t xml:space="preserve">federally </w:t>
            </w:r>
            <w:r w:rsidRPr="002D3263" w:rsidR="00FA7994">
              <w:rPr>
                <w:rFonts w:ascii="Calibri" w:hAnsi="Calibri"/>
                <w:sz w:val="18"/>
                <w:szCs w:val="16"/>
              </w:rPr>
              <w:t>a</w:t>
            </w:r>
            <w:r w:rsidRPr="002D3263">
              <w:rPr>
                <w:rFonts w:ascii="Calibri" w:hAnsi="Calibri"/>
                <w:sz w:val="18"/>
                <w:szCs w:val="16"/>
              </w:rPr>
              <w:t xml:space="preserve">ssisted Programs: </w:t>
            </w:r>
            <w:r w:rsidRPr="002D3263" w:rsidR="002B6909">
              <w:rPr>
                <w:rFonts w:ascii="Calibri" w:hAnsi="Calibri"/>
                <w:sz w:val="18"/>
                <w:szCs w:val="16"/>
              </w:rPr>
              <w:t>Final Rule Regulatory Impact Analysis</w:t>
            </w:r>
          </w:p>
        </w:tc>
        <w:tc>
          <w:tcPr>
            <w:tcW w:w="2394" w:type="dxa"/>
            <w:gridSpan w:val="2"/>
          </w:tcPr>
          <w:p w:rsidR="00F759C2" w:rsidRPr="002D3263" w:rsidP="00634AAC" w14:paraId="4016A85F" w14:textId="77777777">
            <w:pPr>
              <w:pStyle w:val="EndnoteText"/>
              <w:tabs>
                <w:tab w:val="left" w:pos="-720"/>
              </w:tabs>
              <w:suppressAutoHyphens/>
              <w:spacing w:before="90"/>
              <w:rPr>
                <w:rFonts w:ascii="Calibri" w:hAnsi="Calibri"/>
                <w:sz w:val="16"/>
                <w:szCs w:val="16"/>
              </w:rPr>
            </w:pPr>
            <w:r w:rsidRPr="002D3263">
              <w:rPr>
                <w:rFonts w:ascii="Calibri" w:hAnsi="Calibri"/>
                <w:sz w:val="16"/>
                <w:szCs w:val="16"/>
              </w:rPr>
              <w:t>5a. FUNDING NUMBERS</w:t>
            </w:r>
          </w:p>
          <w:p w:rsidR="00F759C2" w:rsidRPr="002D3263" w:rsidP="00EF4CBB" w14:paraId="4046118A" w14:textId="214850BD">
            <w:pPr>
              <w:widowControl/>
              <w:tabs>
                <w:tab w:val="left" w:pos="-720"/>
              </w:tabs>
              <w:suppressAutoHyphens/>
              <w:jc w:val="center"/>
              <w:rPr>
                <w:rFonts w:ascii="Calibri" w:hAnsi="Calibri" w:cs="Times New Roman"/>
                <w:sz w:val="18"/>
                <w:szCs w:val="18"/>
              </w:rPr>
            </w:pPr>
            <w:r w:rsidRPr="002D3263">
              <w:rPr>
                <w:rFonts w:ascii="Calibri" w:hAnsi="Calibri" w:cs="Times New Roman"/>
                <w:sz w:val="18"/>
                <w:szCs w:val="18"/>
              </w:rPr>
              <w:t>693JJ319N300029</w:t>
            </w:r>
          </w:p>
        </w:tc>
      </w:tr>
      <w:tr w14:paraId="03DD00E7" w14:textId="77777777" w:rsidTr="00A91F5F">
        <w:tblPrEx>
          <w:tblW w:w="10170" w:type="dxa"/>
          <w:tblInd w:w="-510" w:type="dxa"/>
          <w:tblLayout w:type="fixed"/>
          <w:tblCellMar>
            <w:left w:w="120" w:type="dxa"/>
            <w:right w:w="120" w:type="dxa"/>
          </w:tblCellMar>
          <w:tblLook w:val="0000"/>
        </w:tblPrEx>
        <w:tc>
          <w:tcPr>
            <w:tcW w:w="7776" w:type="dxa"/>
            <w:gridSpan w:val="5"/>
          </w:tcPr>
          <w:p w:rsidR="00EA3415" w:rsidRPr="002D3263" w:rsidP="00EF4CBB" w14:paraId="52DA9088" w14:textId="77777777">
            <w:pPr>
              <w:widowControl/>
              <w:tabs>
                <w:tab w:val="left" w:pos="-720"/>
              </w:tabs>
              <w:suppressAutoHyphens/>
              <w:spacing w:before="90"/>
              <w:rPr>
                <w:rFonts w:ascii="Calibri" w:hAnsi="Calibri"/>
                <w:sz w:val="16"/>
                <w:szCs w:val="16"/>
              </w:rPr>
            </w:pPr>
            <w:r w:rsidRPr="002D3263">
              <w:rPr>
                <w:rFonts w:ascii="Calibri" w:hAnsi="Calibri"/>
                <w:sz w:val="16"/>
                <w:szCs w:val="16"/>
              </w:rPr>
              <w:t>6. AUTHOR(S)</w:t>
            </w:r>
          </w:p>
          <w:p w:rsidR="00EA3415" w:rsidRPr="002D3263" w:rsidP="00EF4CBB" w14:paraId="25E78D1F" w14:textId="77777777">
            <w:pPr>
              <w:widowControl/>
              <w:spacing w:line="217" w:lineRule="exact"/>
              <w:ind w:right="-67"/>
              <w:rPr>
                <w:rFonts w:ascii="Calibri" w:eastAsia="Calibri" w:hAnsi="Calibri" w:cs="Times New Roman"/>
                <w:sz w:val="18"/>
                <w:szCs w:val="18"/>
              </w:rPr>
            </w:pPr>
            <w:r w:rsidRPr="002D3263">
              <w:rPr>
                <w:rFonts w:ascii="Calibri" w:eastAsia="Calibri" w:hAnsi="Calibri" w:cs="Times New Roman"/>
                <w:sz w:val="18"/>
                <w:szCs w:val="18"/>
              </w:rPr>
              <w:t>Catherine Taylor</w:t>
            </w:r>
            <w:r w:rsidRPr="002D3263" w:rsidR="00BB0E39">
              <w:rPr>
                <w:rFonts w:ascii="Calibri" w:eastAsia="Calibri" w:hAnsi="Calibri" w:cs="Times New Roman"/>
                <w:sz w:val="18"/>
                <w:szCs w:val="18"/>
              </w:rPr>
              <w:t>;</w:t>
            </w:r>
            <w:r w:rsidRPr="002D3263" w:rsidR="004F6BE3">
              <w:rPr>
                <w:rFonts w:ascii="Calibri" w:eastAsia="Calibri" w:hAnsi="Calibri" w:cs="Times New Roman"/>
                <w:sz w:val="18"/>
                <w:szCs w:val="18"/>
              </w:rPr>
              <w:t xml:space="preserve"> </w:t>
            </w:r>
            <w:r w:rsidRPr="002D3263" w:rsidR="00507949">
              <w:rPr>
                <w:rFonts w:ascii="Calibri" w:eastAsia="Calibri" w:hAnsi="Calibri" w:cs="Times New Roman"/>
                <w:sz w:val="18"/>
                <w:szCs w:val="18"/>
              </w:rPr>
              <w:t xml:space="preserve">Sarah Plotnick; </w:t>
            </w:r>
            <w:r w:rsidRPr="002D3263" w:rsidR="004F6BE3">
              <w:rPr>
                <w:rFonts w:ascii="Calibri" w:eastAsia="Calibri" w:hAnsi="Calibri" w:cs="Times New Roman"/>
                <w:sz w:val="18"/>
                <w:szCs w:val="18"/>
              </w:rPr>
              <w:t>Faisal Ajam;</w:t>
            </w:r>
            <w:r w:rsidRPr="002D3263" w:rsidR="00BB0E39">
              <w:rPr>
                <w:rFonts w:ascii="Calibri" w:eastAsia="Calibri" w:hAnsi="Calibri" w:cs="Times New Roman"/>
                <w:sz w:val="18"/>
                <w:szCs w:val="18"/>
              </w:rPr>
              <w:t xml:space="preserve"> </w:t>
            </w:r>
            <w:r w:rsidRPr="002D3263">
              <w:rPr>
                <w:rFonts w:ascii="Calibri" w:eastAsia="Calibri" w:hAnsi="Calibri" w:cs="Times New Roman"/>
                <w:sz w:val="18"/>
                <w:szCs w:val="18"/>
              </w:rPr>
              <w:t xml:space="preserve">Emily </w:t>
            </w:r>
            <w:r w:rsidRPr="002D3263">
              <w:rPr>
                <w:rFonts w:ascii="Calibri" w:eastAsia="Calibri" w:hAnsi="Calibri" w:cs="Times New Roman"/>
                <w:sz w:val="18"/>
                <w:szCs w:val="18"/>
              </w:rPr>
              <w:t>Futcher</w:t>
            </w:r>
            <w:r w:rsidRPr="002D3263">
              <w:rPr>
                <w:rFonts w:ascii="Calibri" w:eastAsia="Calibri" w:hAnsi="Calibri" w:cs="Times New Roman"/>
                <w:sz w:val="18"/>
                <w:szCs w:val="18"/>
              </w:rPr>
              <w:t>; Carson Poe</w:t>
            </w:r>
            <w:r w:rsidRPr="002D3263" w:rsidR="00BB0E39">
              <w:rPr>
                <w:rFonts w:ascii="Calibri" w:eastAsia="Calibri" w:hAnsi="Calibri" w:cs="Times New Roman"/>
                <w:sz w:val="18"/>
                <w:szCs w:val="18"/>
              </w:rPr>
              <w:t xml:space="preserve">; </w:t>
            </w:r>
            <w:r w:rsidRPr="002D3263" w:rsidR="00736286">
              <w:rPr>
                <w:rFonts w:ascii="Calibri" w:eastAsia="Calibri" w:hAnsi="Calibri" w:cs="Times New Roman"/>
                <w:sz w:val="18"/>
                <w:szCs w:val="18"/>
              </w:rPr>
              <w:t>Melissa Corder</w:t>
            </w:r>
            <w:r w:rsidRPr="002D3263" w:rsidR="00267730">
              <w:rPr>
                <w:rFonts w:ascii="Calibri" w:eastAsia="Calibri" w:hAnsi="Calibri" w:cs="Times New Roman"/>
                <w:sz w:val="18"/>
                <w:szCs w:val="18"/>
              </w:rPr>
              <w:t>; Arnold Feldman</w:t>
            </w:r>
          </w:p>
        </w:tc>
        <w:tc>
          <w:tcPr>
            <w:tcW w:w="2394" w:type="dxa"/>
            <w:gridSpan w:val="2"/>
          </w:tcPr>
          <w:p w:rsidR="00EA3415" w:rsidRPr="002D3263" w:rsidP="00634AAC" w14:paraId="3F1D9E53" w14:textId="77777777">
            <w:pPr>
              <w:pStyle w:val="EndnoteText"/>
              <w:tabs>
                <w:tab w:val="left" w:pos="-720"/>
              </w:tabs>
              <w:suppressAutoHyphens/>
              <w:spacing w:before="90"/>
              <w:rPr>
                <w:rFonts w:ascii="Calibri" w:hAnsi="Calibri"/>
                <w:sz w:val="16"/>
                <w:szCs w:val="16"/>
              </w:rPr>
            </w:pPr>
            <w:r w:rsidRPr="002D3263">
              <w:rPr>
                <w:rFonts w:ascii="Calibri" w:hAnsi="Calibri"/>
                <w:sz w:val="16"/>
                <w:szCs w:val="16"/>
              </w:rPr>
              <w:t>5b. CONTRACT NUMBER</w:t>
            </w:r>
          </w:p>
          <w:p w:rsidR="00EA3415" w:rsidRPr="002D3263" w:rsidP="00EF4CBB" w14:paraId="6E4FBB9A" w14:textId="77777777">
            <w:pPr>
              <w:widowControl/>
              <w:tabs>
                <w:tab w:val="left" w:pos="-720"/>
              </w:tabs>
              <w:suppressAutoHyphens/>
              <w:jc w:val="center"/>
              <w:rPr>
                <w:rFonts w:ascii="Calibri" w:hAnsi="Calibri"/>
                <w:sz w:val="18"/>
                <w:szCs w:val="18"/>
              </w:rPr>
            </w:pPr>
            <w:r w:rsidRPr="002D3263">
              <w:rPr>
                <w:rFonts w:ascii="Calibri" w:hAnsi="Calibri"/>
                <w:sz w:val="18"/>
                <w:szCs w:val="18"/>
              </w:rPr>
              <w:t>N/A</w:t>
            </w:r>
          </w:p>
        </w:tc>
      </w:tr>
      <w:tr w14:paraId="6DF3989B" w14:textId="77777777" w:rsidTr="00A91F5F">
        <w:tblPrEx>
          <w:tblW w:w="10170" w:type="dxa"/>
          <w:tblInd w:w="-510" w:type="dxa"/>
          <w:tblLayout w:type="fixed"/>
          <w:tblCellMar>
            <w:left w:w="120" w:type="dxa"/>
            <w:right w:w="120" w:type="dxa"/>
          </w:tblCellMar>
          <w:tblLook w:val="0000"/>
        </w:tblPrEx>
        <w:tc>
          <w:tcPr>
            <w:tcW w:w="7776" w:type="dxa"/>
            <w:gridSpan w:val="5"/>
          </w:tcPr>
          <w:p w:rsidR="00F759C2" w:rsidRPr="002D3263" w:rsidP="00EF4CBB" w14:paraId="50785E6E" w14:textId="77777777">
            <w:pPr>
              <w:widowControl/>
              <w:tabs>
                <w:tab w:val="left" w:pos="-720"/>
              </w:tabs>
              <w:suppressAutoHyphens/>
              <w:spacing w:before="90"/>
              <w:rPr>
                <w:rFonts w:ascii="Calibri" w:hAnsi="Calibri"/>
                <w:sz w:val="16"/>
                <w:szCs w:val="16"/>
              </w:rPr>
            </w:pPr>
            <w:r w:rsidRPr="002D3263">
              <w:rPr>
                <w:rFonts w:ascii="Calibri" w:hAnsi="Calibri"/>
                <w:sz w:val="16"/>
                <w:szCs w:val="16"/>
              </w:rPr>
              <w:t>7. PERFORMING ORGANIZATION NAME(S) AND ADDRESS(ES)</w:t>
            </w:r>
          </w:p>
          <w:p w:rsidR="00F759C2" w:rsidRPr="002D3263" w:rsidP="00EF4CBB" w14:paraId="34CB8ADD" w14:textId="77777777">
            <w:pPr>
              <w:widowControl/>
              <w:spacing w:before="1" w:line="241" w:lineRule="auto"/>
              <w:ind w:left="117" w:right="754"/>
              <w:rPr>
                <w:rFonts w:ascii="Calibri" w:eastAsia="Calibri" w:hAnsi="Calibri" w:cs="Calibri"/>
                <w:sz w:val="16"/>
                <w:szCs w:val="16"/>
              </w:rPr>
            </w:pPr>
            <w:r w:rsidRPr="002D3263">
              <w:rPr>
                <w:rFonts w:ascii="Calibri" w:eastAsia="Calibri" w:hAnsi="Calibri" w:cs="Calibri"/>
                <w:sz w:val="16"/>
                <w:szCs w:val="16"/>
              </w:rPr>
              <w:t>U.S. Department of Transportation Volpe National Transportation Systems Center</w:t>
            </w:r>
          </w:p>
          <w:p w:rsidR="00CF4FED" w:rsidRPr="002D3263" w:rsidP="00EF4CBB" w14:paraId="7F9AFF25" w14:textId="77777777">
            <w:pPr>
              <w:widowControl/>
              <w:spacing w:before="1" w:line="241" w:lineRule="auto"/>
              <w:ind w:left="117" w:right="754"/>
              <w:rPr>
                <w:rFonts w:ascii="Calibri" w:eastAsia="Calibri" w:hAnsi="Calibri" w:cs="Calibri"/>
                <w:sz w:val="16"/>
                <w:szCs w:val="16"/>
              </w:rPr>
            </w:pPr>
            <w:r w:rsidRPr="002D3263">
              <w:rPr>
                <w:rFonts w:ascii="Calibri" w:eastAsia="Calibri" w:hAnsi="Calibri" w:cs="Calibri"/>
                <w:sz w:val="16"/>
                <w:szCs w:val="16"/>
              </w:rPr>
              <w:t>55 Broadway, Kendall Square</w:t>
            </w:r>
          </w:p>
          <w:p w:rsidR="00CF4FED" w:rsidRPr="002D3263" w:rsidP="00EF4CBB" w14:paraId="783B3DDA" w14:textId="2ACD3155">
            <w:pPr>
              <w:widowControl/>
              <w:spacing w:before="1" w:line="241" w:lineRule="auto"/>
              <w:ind w:left="117" w:right="754"/>
              <w:rPr>
                <w:rFonts w:ascii="Calibri" w:eastAsia="Calibri" w:hAnsi="Calibri" w:cs="Calibri"/>
                <w:sz w:val="16"/>
                <w:szCs w:val="16"/>
              </w:rPr>
            </w:pPr>
            <w:r w:rsidRPr="002D3263">
              <w:rPr>
                <w:rFonts w:ascii="Calibri" w:eastAsia="Calibri" w:hAnsi="Calibri" w:cs="Calibri"/>
                <w:sz w:val="16"/>
                <w:szCs w:val="16"/>
              </w:rPr>
              <w:t>Cambridge, MA</w:t>
            </w:r>
            <w:r w:rsidR="00031493">
              <w:rPr>
                <w:rFonts w:ascii="Calibri" w:eastAsia="Calibri" w:hAnsi="Calibri" w:cs="Calibri"/>
                <w:sz w:val="16"/>
                <w:szCs w:val="16"/>
              </w:rPr>
              <w:t xml:space="preserve"> </w:t>
            </w:r>
            <w:r w:rsidRPr="002D3263">
              <w:rPr>
                <w:rFonts w:ascii="Calibri" w:eastAsia="Calibri" w:hAnsi="Calibri" w:cs="Calibri"/>
                <w:sz w:val="16"/>
                <w:szCs w:val="16"/>
              </w:rPr>
              <w:t xml:space="preserve"> 02142</w:t>
            </w:r>
          </w:p>
        </w:tc>
        <w:tc>
          <w:tcPr>
            <w:tcW w:w="2394" w:type="dxa"/>
            <w:gridSpan w:val="2"/>
          </w:tcPr>
          <w:p w:rsidR="00F759C2" w:rsidRPr="002D3263" w:rsidP="00EF4CBB" w14:paraId="13C0C783" w14:textId="77777777">
            <w:pPr>
              <w:widowControl/>
              <w:rPr>
                <w:rFonts w:ascii="Calibri" w:hAnsi="Calibri"/>
                <w:sz w:val="16"/>
                <w:szCs w:val="16"/>
              </w:rPr>
            </w:pPr>
            <w:r w:rsidRPr="002D3263">
              <w:rPr>
                <w:rFonts w:ascii="Calibri" w:hAnsi="Calibri"/>
                <w:sz w:val="16"/>
                <w:szCs w:val="16"/>
              </w:rPr>
              <w:t>8.</w:t>
            </w:r>
            <w:r w:rsidRPr="002D3263" w:rsidR="00AC30F3">
              <w:rPr>
                <w:rFonts w:ascii="Calibri" w:hAnsi="Calibri"/>
                <w:sz w:val="16"/>
                <w:szCs w:val="16"/>
              </w:rPr>
              <w:t xml:space="preserve"> </w:t>
            </w:r>
            <w:r w:rsidRPr="002D3263">
              <w:rPr>
                <w:rFonts w:ascii="Calibri" w:hAnsi="Calibri"/>
                <w:sz w:val="16"/>
                <w:szCs w:val="16"/>
              </w:rPr>
              <w:t>PERFORMING ORGANIZATION REPORT NUMBER</w:t>
            </w:r>
          </w:p>
          <w:p w:rsidR="00F759C2" w:rsidRPr="002D3263" w:rsidP="00EF4CBB" w14:paraId="65B2B50B" w14:textId="77777777">
            <w:pPr>
              <w:widowControl/>
              <w:ind w:left="24"/>
              <w:rPr>
                <w:rFonts w:ascii="Calibri" w:hAnsi="Calibri" w:cs="Times New Roman"/>
                <w:sz w:val="18"/>
                <w:szCs w:val="18"/>
              </w:rPr>
            </w:pPr>
          </w:p>
          <w:p w:rsidR="00F759C2" w:rsidRPr="002D3263" w:rsidP="00EF4CBB" w14:paraId="13D859A4" w14:textId="77777777">
            <w:pPr>
              <w:widowControl/>
              <w:ind w:left="24"/>
              <w:jc w:val="center"/>
              <w:rPr>
                <w:rFonts w:ascii="Calibri" w:hAnsi="Calibri" w:cs="Times New Roman"/>
                <w:sz w:val="18"/>
                <w:szCs w:val="18"/>
              </w:rPr>
            </w:pPr>
          </w:p>
        </w:tc>
      </w:tr>
      <w:tr w14:paraId="74F8D0E1" w14:textId="77777777" w:rsidTr="00A91F5F">
        <w:tblPrEx>
          <w:tblW w:w="10170" w:type="dxa"/>
          <w:tblInd w:w="-510" w:type="dxa"/>
          <w:tblLayout w:type="fixed"/>
          <w:tblCellMar>
            <w:left w:w="120" w:type="dxa"/>
            <w:right w:w="120" w:type="dxa"/>
          </w:tblCellMar>
          <w:tblLook w:val="0000"/>
        </w:tblPrEx>
        <w:tc>
          <w:tcPr>
            <w:tcW w:w="7776" w:type="dxa"/>
            <w:gridSpan w:val="5"/>
          </w:tcPr>
          <w:p w:rsidR="00F759C2" w:rsidRPr="002D3263" w:rsidP="00EF4CBB" w14:paraId="35325CB5" w14:textId="77777777">
            <w:pPr>
              <w:widowControl/>
              <w:tabs>
                <w:tab w:val="left" w:pos="-720"/>
              </w:tabs>
              <w:suppressAutoHyphens/>
              <w:spacing w:before="90"/>
              <w:rPr>
                <w:rFonts w:ascii="Calibri" w:hAnsi="Calibri"/>
                <w:sz w:val="16"/>
                <w:szCs w:val="16"/>
              </w:rPr>
            </w:pPr>
            <w:r w:rsidRPr="002D3263">
              <w:rPr>
                <w:rFonts w:ascii="Calibri" w:hAnsi="Calibri"/>
                <w:sz w:val="16"/>
                <w:szCs w:val="16"/>
              </w:rPr>
              <w:t>9. SPONSORING/MONITORING AGENCY NAME(S) AND ADDRESS(ES)</w:t>
            </w:r>
          </w:p>
          <w:p w:rsidR="00F759C2" w:rsidRPr="002D3263" w:rsidP="00EF4CBB" w14:paraId="681B62E5" w14:textId="794AA6F6">
            <w:pPr>
              <w:widowControl/>
              <w:spacing w:before="1" w:line="240" w:lineRule="auto"/>
              <w:ind w:left="117" w:right="2676"/>
              <w:rPr>
                <w:rFonts w:ascii="Calibri" w:eastAsia="Calibri" w:hAnsi="Calibri" w:cs="Calibri"/>
                <w:sz w:val="16"/>
                <w:szCs w:val="16"/>
              </w:rPr>
            </w:pPr>
            <w:r w:rsidRPr="002D3263">
              <w:rPr>
                <w:rFonts w:ascii="Calibri" w:eastAsia="Calibri" w:hAnsi="Calibri" w:cs="Calibri"/>
                <w:sz w:val="16"/>
                <w:szCs w:val="16"/>
              </w:rPr>
              <w:t>U.S. Department of Transportation</w:t>
            </w:r>
            <w:r w:rsidR="00031493">
              <w:rPr>
                <w:rFonts w:ascii="Calibri" w:eastAsia="Calibri" w:hAnsi="Calibri" w:cs="Calibri"/>
                <w:sz w:val="16"/>
                <w:szCs w:val="16"/>
              </w:rPr>
              <w:t>,</w:t>
            </w:r>
            <w:r w:rsidRPr="002D3263">
              <w:rPr>
                <w:rFonts w:ascii="Calibri" w:eastAsia="Calibri" w:hAnsi="Calibri" w:cs="Calibri"/>
                <w:sz w:val="16"/>
                <w:szCs w:val="16"/>
              </w:rPr>
              <w:t xml:space="preserve"> </w:t>
            </w:r>
            <w:r w:rsidRPr="002D3263" w:rsidR="00111308">
              <w:rPr>
                <w:rFonts w:ascii="Calibri" w:eastAsia="Calibri" w:hAnsi="Calibri" w:cs="Calibri"/>
                <w:sz w:val="16"/>
                <w:szCs w:val="16"/>
              </w:rPr>
              <w:t>Federal</w:t>
            </w:r>
            <w:r w:rsidRPr="002D3263">
              <w:rPr>
                <w:rFonts w:ascii="Calibri" w:eastAsia="Calibri" w:hAnsi="Calibri" w:cs="Calibri"/>
                <w:sz w:val="16"/>
                <w:szCs w:val="16"/>
              </w:rPr>
              <w:t xml:space="preserve"> Highway Administration</w:t>
            </w:r>
          </w:p>
          <w:p w:rsidR="00CF4FED" w:rsidRPr="002D3263" w:rsidP="00EF4CBB" w14:paraId="7DADCE8B" w14:textId="77777777">
            <w:pPr>
              <w:widowControl/>
              <w:spacing w:before="1" w:line="240" w:lineRule="auto"/>
              <w:ind w:left="117" w:right="2676"/>
              <w:rPr>
                <w:rFonts w:ascii="Calibri" w:eastAsia="Calibri" w:hAnsi="Calibri" w:cs="Calibri"/>
                <w:sz w:val="16"/>
                <w:szCs w:val="16"/>
              </w:rPr>
            </w:pPr>
            <w:r w:rsidRPr="002D3263">
              <w:rPr>
                <w:rFonts w:ascii="Calibri" w:eastAsia="Calibri" w:hAnsi="Calibri" w:cs="Calibri"/>
                <w:sz w:val="16"/>
                <w:szCs w:val="16"/>
              </w:rPr>
              <w:t>Office of Real Estate Services</w:t>
            </w:r>
          </w:p>
          <w:p w:rsidR="00CF4FED" w:rsidRPr="002D3263" w:rsidP="00EF4CBB" w14:paraId="0FD9A528" w14:textId="77777777">
            <w:pPr>
              <w:widowControl/>
              <w:spacing w:before="1" w:line="240" w:lineRule="auto"/>
              <w:ind w:left="117" w:right="2676"/>
              <w:rPr>
                <w:rFonts w:ascii="Calibri" w:eastAsia="Calibri" w:hAnsi="Calibri" w:cs="Calibri"/>
                <w:sz w:val="16"/>
                <w:szCs w:val="16"/>
              </w:rPr>
            </w:pPr>
            <w:r w:rsidRPr="002D3263">
              <w:rPr>
                <w:rFonts w:ascii="Calibri" w:eastAsia="Calibri" w:hAnsi="Calibri" w:cs="Calibri"/>
                <w:sz w:val="16"/>
                <w:szCs w:val="16"/>
              </w:rPr>
              <w:t>1200 New Jersey Ave, SE</w:t>
            </w:r>
          </w:p>
          <w:p w:rsidR="00CF4FED" w:rsidRPr="002D3263" w:rsidP="00EF4CBB" w14:paraId="2BA1B059" w14:textId="6E0B886A">
            <w:pPr>
              <w:widowControl/>
              <w:spacing w:before="1" w:line="240" w:lineRule="auto"/>
              <w:ind w:left="117" w:right="2676"/>
              <w:rPr>
                <w:rFonts w:ascii="Calibri" w:eastAsia="Calibri" w:hAnsi="Calibri" w:cs="Calibri"/>
                <w:sz w:val="16"/>
                <w:szCs w:val="16"/>
              </w:rPr>
            </w:pPr>
            <w:r w:rsidRPr="002D3263">
              <w:rPr>
                <w:rFonts w:ascii="Calibri" w:eastAsia="Calibri" w:hAnsi="Calibri" w:cs="Calibri"/>
                <w:sz w:val="16"/>
                <w:szCs w:val="16"/>
              </w:rPr>
              <w:t xml:space="preserve">Washington, DC </w:t>
            </w:r>
            <w:r w:rsidR="00031493">
              <w:rPr>
                <w:rFonts w:ascii="Calibri" w:eastAsia="Calibri" w:hAnsi="Calibri" w:cs="Calibri"/>
                <w:sz w:val="16"/>
                <w:szCs w:val="16"/>
              </w:rPr>
              <w:t xml:space="preserve"> </w:t>
            </w:r>
            <w:r w:rsidRPr="002D3263">
              <w:rPr>
                <w:rFonts w:ascii="Calibri" w:eastAsia="Calibri" w:hAnsi="Calibri" w:cs="Calibri"/>
                <w:sz w:val="16"/>
                <w:szCs w:val="16"/>
              </w:rPr>
              <w:t>20590</w:t>
            </w:r>
          </w:p>
        </w:tc>
        <w:tc>
          <w:tcPr>
            <w:tcW w:w="2394" w:type="dxa"/>
            <w:gridSpan w:val="2"/>
          </w:tcPr>
          <w:p w:rsidR="00F759C2" w:rsidRPr="002D3263" w:rsidP="00EF4CBB" w14:paraId="74F6FE60" w14:textId="77777777">
            <w:pPr>
              <w:widowControl/>
              <w:tabs>
                <w:tab w:val="left" w:pos="-720"/>
              </w:tabs>
              <w:suppressAutoHyphens/>
              <w:spacing w:before="90"/>
              <w:rPr>
                <w:rFonts w:ascii="Calibri" w:hAnsi="Calibri"/>
                <w:sz w:val="16"/>
                <w:szCs w:val="16"/>
              </w:rPr>
            </w:pPr>
            <w:r w:rsidRPr="002D3263">
              <w:rPr>
                <w:rFonts w:ascii="Calibri" w:hAnsi="Calibri"/>
                <w:sz w:val="16"/>
                <w:szCs w:val="16"/>
              </w:rPr>
              <w:t>10. SPONSORING/MONITORING</w:t>
            </w:r>
            <w:r w:rsidRPr="002D3263">
              <w:rPr>
                <w:rFonts w:ascii="Calibri" w:hAnsi="Calibri"/>
                <w:sz w:val="16"/>
                <w:szCs w:val="16"/>
              </w:rPr>
              <w:br/>
              <w:t xml:space="preserve"> AGENCY REPORT NUMBER</w:t>
            </w:r>
          </w:p>
          <w:p w:rsidR="00D50DEB" w:rsidRPr="002D3263" w:rsidP="00EF4CBB" w14:paraId="4289A3FB" w14:textId="77777777">
            <w:pPr>
              <w:widowControl/>
              <w:tabs>
                <w:tab w:val="left" w:pos="-720"/>
              </w:tabs>
              <w:suppressAutoHyphens/>
              <w:spacing w:after="54"/>
              <w:jc w:val="center"/>
              <w:rPr>
                <w:rFonts w:ascii="Calibri" w:eastAsia="Calibri" w:hAnsi="Calibri" w:cs="Times New Roman"/>
                <w:bCs/>
                <w:spacing w:val="-7"/>
                <w:w w:val="101"/>
                <w:sz w:val="18"/>
                <w:szCs w:val="18"/>
              </w:rPr>
            </w:pPr>
          </w:p>
          <w:p w:rsidR="00F759C2" w:rsidRPr="002D3263" w:rsidP="00EF4CBB" w14:paraId="3564BECF" w14:textId="77777777">
            <w:pPr>
              <w:widowControl/>
              <w:tabs>
                <w:tab w:val="left" w:pos="-720"/>
              </w:tabs>
              <w:suppressAutoHyphens/>
              <w:spacing w:after="54"/>
              <w:jc w:val="center"/>
              <w:rPr>
                <w:rFonts w:ascii="Calibri" w:hAnsi="Calibri"/>
                <w:sz w:val="16"/>
                <w:szCs w:val="16"/>
              </w:rPr>
            </w:pPr>
          </w:p>
        </w:tc>
      </w:tr>
      <w:tr w14:paraId="5A0A1E1F" w14:textId="77777777" w:rsidTr="00A91F5F">
        <w:tblPrEx>
          <w:tblW w:w="10170" w:type="dxa"/>
          <w:tblInd w:w="-510" w:type="dxa"/>
          <w:tblLayout w:type="fixed"/>
          <w:tblCellMar>
            <w:left w:w="120" w:type="dxa"/>
            <w:right w:w="120" w:type="dxa"/>
          </w:tblCellMar>
          <w:tblLook w:val="0000"/>
        </w:tblPrEx>
        <w:tc>
          <w:tcPr>
            <w:tcW w:w="10170" w:type="dxa"/>
            <w:gridSpan w:val="7"/>
          </w:tcPr>
          <w:p w:rsidR="00F759C2" w:rsidRPr="002D3263" w:rsidP="00634AAC" w14:paraId="08724519" w14:textId="77777777">
            <w:pPr>
              <w:pStyle w:val="EndnoteText"/>
              <w:tabs>
                <w:tab w:val="left" w:pos="-720"/>
              </w:tabs>
              <w:suppressAutoHyphens/>
              <w:spacing w:before="90"/>
              <w:ind w:left="150" w:hanging="150"/>
              <w:rPr>
                <w:rFonts w:ascii="Calibri" w:hAnsi="Calibri"/>
                <w:sz w:val="16"/>
                <w:szCs w:val="16"/>
              </w:rPr>
            </w:pPr>
            <w:r w:rsidRPr="002D3263">
              <w:rPr>
                <w:rFonts w:ascii="Calibri" w:hAnsi="Calibri"/>
                <w:sz w:val="16"/>
                <w:szCs w:val="16"/>
              </w:rPr>
              <w:t>11. SUPPLEMENTARY NOTES</w:t>
            </w:r>
          </w:p>
          <w:p w:rsidR="00F759C2" w:rsidRPr="002D3263" w:rsidP="00D2312D" w14:paraId="22D17F37" w14:textId="77777777">
            <w:pPr>
              <w:pStyle w:val="EndnoteText"/>
              <w:tabs>
                <w:tab w:val="left" w:pos="-720"/>
              </w:tabs>
              <w:suppressAutoHyphens/>
              <w:spacing w:before="0"/>
              <w:ind w:left="150" w:firstLine="0"/>
              <w:rPr>
                <w:rFonts w:ascii="Calibri" w:hAnsi="Calibri"/>
                <w:sz w:val="18"/>
                <w:szCs w:val="18"/>
              </w:rPr>
            </w:pPr>
          </w:p>
        </w:tc>
      </w:tr>
      <w:tr w14:paraId="37C48841" w14:textId="77777777" w:rsidTr="00A91F5F">
        <w:tblPrEx>
          <w:tblW w:w="10170" w:type="dxa"/>
          <w:tblInd w:w="-510" w:type="dxa"/>
          <w:tblLayout w:type="fixed"/>
          <w:tblCellMar>
            <w:left w:w="120" w:type="dxa"/>
            <w:right w:w="120" w:type="dxa"/>
          </w:tblCellMar>
          <w:tblLook w:val="0000"/>
        </w:tblPrEx>
        <w:tc>
          <w:tcPr>
            <w:tcW w:w="7776" w:type="dxa"/>
            <w:gridSpan w:val="5"/>
          </w:tcPr>
          <w:p w:rsidR="00F759C2" w:rsidRPr="002D3263" w:rsidP="00EF4CBB" w14:paraId="51326D7E" w14:textId="77777777">
            <w:pPr>
              <w:widowControl/>
              <w:tabs>
                <w:tab w:val="left" w:pos="-720"/>
              </w:tabs>
              <w:suppressAutoHyphens/>
              <w:spacing w:before="90"/>
              <w:rPr>
                <w:rFonts w:ascii="Calibri" w:hAnsi="Calibri"/>
                <w:sz w:val="16"/>
                <w:szCs w:val="16"/>
              </w:rPr>
            </w:pPr>
            <w:r w:rsidRPr="002D3263">
              <w:rPr>
                <w:rFonts w:ascii="Calibri" w:hAnsi="Calibri"/>
                <w:sz w:val="16"/>
                <w:szCs w:val="16"/>
              </w:rPr>
              <w:t>12a. DISTRIBUTION/AVAILABILITY STATEMENT</w:t>
            </w:r>
          </w:p>
          <w:p w:rsidR="00F759C2" w:rsidRPr="002D3263" w:rsidP="00EF4CBB" w14:paraId="169F59A3" w14:textId="77777777">
            <w:pPr>
              <w:widowControl/>
              <w:spacing w:line="240" w:lineRule="auto"/>
              <w:ind w:left="150" w:right="168"/>
              <w:rPr>
                <w:rFonts w:ascii="Calibri" w:eastAsia="Calibri" w:hAnsi="Calibri" w:cs="Times New Roman"/>
                <w:sz w:val="18"/>
                <w:szCs w:val="18"/>
              </w:rPr>
            </w:pPr>
          </w:p>
        </w:tc>
        <w:tc>
          <w:tcPr>
            <w:tcW w:w="2394" w:type="dxa"/>
            <w:gridSpan w:val="2"/>
          </w:tcPr>
          <w:p w:rsidR="00F759C2" w:rsidRPr="002D3263" w:rsidP="00EF4CBB" w14:paraId="7A3E740A" w14:textId="77777777">
            <w:pPr>
              <w:widowControl/>
              <w:tabs>
                <w:tab w:val="left" w:pos="-720"/>
              </w:tabs>
              <w:suppressAutoHyphens/>
              <w:spacing w:before="90"/>
              <w:rPr>
                <w:rFonts w:ascii="Calibri" w:hAnsi="Calibri"/>
                <w:sz w:val="16"/>
                <w:szCs w:val="16"/>
              </w:rPr>
            </w:pPr>
            <w:r w:rsidRPr="002D3263">
              <w:rPr>
                <w:rFonts w:ascii="Calibri" w:hAnsi="Calibri"/>
                <w:sz w:val="16"/>
                <w:szCs w:val="16"/>
              </w:rPr>
              <w:t>12b. DISTRIBUTION CODE</w:t>
            </w:r>
          </w:p>
          <w:p w:rsidR="00F759C2" w:rsidRPr="002D3263" w:rsidP="00EF4CBB" w14:paraId="48F69BD1" w14:textId="77777777">
            <w:pPr>
              <w:widowControl/>
              <w:tabs>
                <w:tab w:val="left" w:pos="-720"/>
              </w:tabs>
              <w:suppressAutoHyphens/>
              <w:spacing w:after="54"/>
              <w:jc w:val="center"/>
              <w:rPr>
                <w:rFonts w:ascii="Calibri" w:hAnsi="Calibri"/>
                <w:sz w:val="18"/>
                <w:szCs w:val="18"/>
              </w:rPr>
            </w:pPr>
          </w:p>
        </w:tc>
      </w:tr>
      <w:tr w14:paraId="1E2125EE" w14:textId="77777777" w:rsidTr="00A91F5F">
        <w:tblPrEx>
          <w:tblW w:w="10170" w:type="dxa"/>
          <w:tblInd w:w="-510" w:type="dxa"/>
          <w:tblLayout w:type="fixed"/>
          <w:tblCellMar>
            <w:left w:w="120" w:type="dxa"/>
            <w:right w:w="120" w:type="dxa"/>
          </w:tblCellMar>
          <w:tblLook w:val="0000"/>
        </w:tblPrEx>
        <w:tc>
          <w:tcPr>
            <w:tcW w:w="10170" w:type="dxa"/>
            <w:gridSpan w:val="7"/>
          </w:tcPr>
          <w:p w:rsidR="00F759C2" w:rsidRPr="002D3263" w:rsidP="00EF4CBB" w14:paraId="09ABEB9A" w14:textId="77777777">
            <w:pPr>
              <w:widowControl/>
              <w:tabs>
                <w:tab w:val="left" w:pos="-720"/>
              </w:tabs>
              <w:suppressAutoHyphens/>
              <w:spacing w:before="90"/>
              <w:rPr>
                <w:rFonts w:ascii="Calibri" w:hAnsi="Calibri"/>
                <w:sz w:val="16"/>
                <w:szCs w:val="16"/>
              </w:rPr>
            </w:pPr>
            <w:r w:rsidRPr="002D3263">
              <w:rPr>
                <w:rFonts w:ascii="Calibri" w:hAnsi="Calibri"/>
                <w:sz w:val="16"/>
                <w:szCs w:val="16"/>
              </w:rPr>
              <w:t>13. ABSTRACT (Maximum 200 words)</w:t>
            </w:r>
          </w:p>
          <w:p w:rsidR="00740A48" w:rsidRPr="002D3263" w:rsidP="00EF4CBB" w14:paraId="237A1916" w14:textId="2F560D1A">
            <w:pPr>
              <w:widowControl/>
              <w:spacing w:before="1" w:line="240" w:lineRule="auto"/>
              <w:ind w:left="117" w:right="150"/>
              <w:rPr>
                <w:rFonts w:ascii="Calibri" w:eastAsia="Calibri" w:hAnsi="Calibri" w:cs="Calibri"/>
                <w:sz w:val="16"/>
                <w:szCs w:val="16"/>
              </w:rPr>
            </w:pPr>
            <w:r w:rsidRPr="002D3263">
              <w:rPr>
                <w:rFonts w:ascii="Calibri" w:eastAsia="Calibri" w:hAnsi="Calibri" w:cs="Calibri"/>
                <w:sz w:val="16"/>
                <w:szCs w:val="16"/>
              </w:rPr>
              <w:t xml:space="preserve">This regulatory impact analysis </w:t>
            </w:r>
            <w:r w:rsidRPr="002D3263">
              <w:rPr>
                <w:rFonts w:ascii="Calibri" w:eastAsia="Calibri" w:hAnsi="Calibri" w:cs="Calibri"/>
                <w:sz w:val="16"/>
                <w:szCs w:val="16"/>
              </w:rPr>
              <w:t xml:space="preserve">estimates the costs and benefits associated with </w:t>
            </w:r>
            <w:r w:rsidRPr="002D3263">
              <w:rPr>
                <w:rFonts w:ascii="Calibri" w:eastAsia="Calibri" w:hAnsi="Calibri" w:cs="Calibri"/>
                <w:sz w:val="16"/>
                <w:szCs w:val="16"/>
              </w:rPr>
              <w:t>the final rule</w:t>
            </w:r>
            <w:r w:rsidRPr="002D3263">
              <w:rPr>
                <w:rFonts w:ascii="Calibri" w:eastAsia="Calibri" w:hAnsi="Calibri" w:cs="Calibri"/>
                <w:sz w:val="16"/>
                <w:szCs w:val="16"/>
              </w:rPr>
              <w:t xml:space="preserve"> for the Uniform Relocation Assistance and Real Property Acquisition Pol</w:t>
            </w:r>
            <w:r w:rsidRPr="002D3263" w:rsidR="00111308">
              <w:rPr>
                <w:rFonts w:ascii="Calibri" w:eastAsia="Calibri" w:hAnsi="Calibri" w:cs="Calibri"/>
                <w:sz w:val="16"/>
                <w:szCs w:val="16"/>
              </w:rPr>
              <w:t>icies Act of 1970</w:t>
            </w:r>
            <w:r w:rsidRPr="002D3263" w:rsidR="0026516D">
              <w:rPr>
                <w:rFonts w:ascii="Calibri" w:eastAsia="Calibri" w:hAnsi="Calibri" w:cs="Calibri"/>
                <w:sz w:val="16"/>
                <w:szCs w:val="16"/>
              </w:rPr>
              <w:t>.</w:t>
            </w:r>
          </w:p>
        </w:tc>
      </w:tr>
      <w:tr w14:paraId="3033C115" w14:textId="77777777" w:rsidTr="00A91F5F">
        <w:tblPrEx>
          <w:tblW w:w="10170" w:type="dxa"/>
          <w:tblInd w:w="-510" w:type="dxa"/>
          <w:tblLayout w:type="fixed"/>
          <w:tblCellMar>
            <w:left w:w="120" w:type="dxa"/>
            <w:right w:w="120" w:type="dxa"/>
          </w:tblCellMar>
          <w:tblLook w:val="0000"/>
        </w:tblPrEx>
        <w:tc>
          <w:tcPr>
            <w:tcW w:w="8034" w:type="dxa"/>
            <w:gridSpan w:val="6"/>
            <w:vMerge w:val="restart"/>
          </w:tcPr>
          <w:p w:rsidR="00F759C2" w:rsidRPr="002D3263" w:rsidP="00EF4CBB" w14:paraId="78B8D321" w14:textId="77777777">
            <w:pPr>
              <w:widowControl/>
              <w:tabs>
                <w:tab w:val="left" w:pos="-720"/>
              </w:tabs>
              <w:suppressAutoHyphens/>
              <w:spacing w:before="90" w:line="180" w:lineRule="auto"/>
              <w:rPr>
                <w:rFonts w:ascii="Calibri" w:hAnsi="Calibri"/>
                <w:sz w:val="16"/>
                <w:szCs w:val="16"/>
              </w:rPr>
            </w:pPr>
            <w:r w:rsidRPr="002D3263">
              <w:rPr>
                <w:rFonts w:ascii="Calibri" w:hAnsi="Calibri"/>
                <w:sz w:val="16"/>
                <w:szCs w:val="16"/>
              </w:rPr>
              <w:t>14. SUBJECT TERMS</w:t>
            </w:r>
          </w:p>
          <w:p w:rsidR="00F759C2" w:rsidRPr="002D3263" w:rsidP="00EF4CBB" w14:paraId="6588979D" w14:textId="77777777">
            <w:pPr>
              <w:widowControl/>
              <w:spacing w:line="240" w:lineRule="auto"/>
              <w:ind w:left="117" w:right="-53"/>
              <w:rPr>
                <w:rFonts w:ascii="Calibri" w:eastAsia="Calibri" w:hAnsi="Calibri" w:cs="Times New Roman"/>
                <w:spacing w:val="-3"/>
                <w:sz w:val="18"/>
                <w:szCs w:val="18"/>
              </w:rPr>
            </w:pPr>
          </w:p>
        </w:tc>
        <w:tc>
          <w:tcPr>
            <w:tcW w:w="2136" w:type="dxa"/>
          </w:tcPr>
          <w:p w:rsidR="00F759C2" w:rsidRPr="002D3263" w:rsidP="00EF4CBB" w14:paraId="442D6157" w14:textId="77777777">
            <w:pPr>
              <w:widowControl/>
              <w:tabs>
                <w:tab w:val="left" w:pos="-720"/>
              </w:tabs>
              <w:suppressAutoHyphens/>
              <w:spacing w:before="90"/>
              <w:rPr>
                <w:rFonts w:ascii="Calibri" w:hAnsi="Calibri"/>
                <w:sz w:val="16"/>
                <w:szCs w:val="16"/>
              </w:rPr>
            </w:pPr>
            <w:r w:rsidRPr="002D3263">
              <w:rPr>
                <w:rFonts w:ascii="Calibri" w:hAnsi="Calibri"/>
                <w:sz w:val="16"/>
                <w:szCs w:val="16"/>
              </w:rPr>
              <w:t>15. NUMBER OF PAGES</w:t>
            </w:r>
          </w:p>
          <w:p w:rsidR="00F759C2" w:rsidRPr="002D3263" w:rsidP="00EF4CBB" w14:paraId="1BFC1163" w14:textId="4A8FDBFE">
            <w:pPr>
              <w:widowControl/>
              <w:tabs>
                <w:tab w:val="left" w:pos="-720"/>
              </w:tabs>
              <w:suppressAutoHyphens/>
              <w:spacing w:after="54"/>
              <w:jc w:val="center"/>
              <w:rPr>
                <w:rFonts w:ascii="Calibri" w:hAnsi="Calibri" w:cs="Times New Roman"/>
                <w:sz w:val="18"/>
                <w:szCs w:val="18"/>
              </w:rPr>
            </w:pPr>
            <w:r w:rsidRPr="002D3263">
              <w:rPr>
                <w:rFonts w:ascii="Calibri" w:hAnsi="Calibri" w:cs="Times New Roman"/>
                <w:sz w:val="18"/>
                <w:szCs w:val="18"/>
              </w:rPr>
              <w:t>7</w:t>
            </w:r>
            <w:r w:rsidR="00B504FC">
              <w:rPr>
                <w:rFonts w:ascii="Calibri" w:hAnsi="Calibri" w:cs="Times New Roman"/>
                <w:sz w:val="18"/>
                <w:szCs w:val="18"/>
              </w:rPr>
              <w:t>9</w:t>
            </w:r>
          </w:p>
        </w:tc>
      </w:tr>
      <w:tr w14:paraId="14CB2E5A" w14:textId="77777777" w:rsidTr="00A91F5F">
        <w:tblPrEx>
          <w:tblW w:w="10170" w:type="dxa"/>
          <w:tblInd w:w="-510" w:type="dxa"/>
          <w:tblLayout w:type="fixed"/>
          <w:tblCellMar>
            <w:left w:w="120" w:type="dxa"/>
            <w:right w:w="120" w:type="dxa"/>
          </w:tblCellMar>
          <w:tblLook w:val="0000"/>
        </w:tblPrEx>
        <w:tc>
          <w:tcPr>
            <w:tcW w:w="8034" w:type="dxa"/>
            <w:gridSpan w:val="6"/>
            <w:vMerge/>
          </w:tcPr>
          <w:p w:rsidR="00F759C2" w:rsidRPr="002D3263" w:rsidP="00EF4CBB" w14:paraId="4C830C5C" w14:textId="77777777">
            <w:pPr>
              <w:widowControl/>
              <w:tabs>
                <w:tab w:val="left" w:pos="-720"/>
              </w:tabs>
              <w:suppressAutoHyphens/>
              <w:spacing w:before="90" w:after="54"/>
              <w:rPr>
                <w:rFonts w:ascii="Calibri" w:hAnsi="Calibri"/>
                <w:sz w:val="16"/>
                <w:szCs w:val="16"/>
              </w:rPr>
            </w:pPr>
          </w:p>
        </w:tc>
        <w:tc>
          <w:tcPr>
            <w:tcW w:w="2136" w:type="dxa"/>
          </w:tcPr>
          <w:p w:rsidR="00F759C2" w:rsidRPr="002D3263" w:rsidP="00EF4CBB" w14:paraId="5A7DF512" w14:textId="77777777">
            <w:pPr>
              <w:widowControl/>
              <w:tabs>
                <w:tab w:val="left" w:pos="-720"/>
              </w:tabs>
              <w:suppressAutoHyphens/>
              <w:spacing w:before="90"/>
              <w:rPr>
                <w:rFonts w:ascii="Calibri" w:hAnsi="Calibri"/>
                <w:sz w:val="16"/>
                <w:szCs w:val="16"/>
              </w:rPr>
            </w:pPr>
            <w:r w:rsidRPr="002D3263">
              <w:rPr>
                <w:rFonts w:ascii="Calibri" w:hAnsi="Calibri"/>
                <w:sz w:val="16"/>
                <w:szCs w:val="16"/>
              </w:rPr>
              <w:t>16. PRICE CODE</w:t>
            </w:r>
          </w:p>
          <w:p w:rsidR="00F759C2" w:rsidRPr="002D3263" w:rsidP="00EF4CBB" w14:paraId="2D2F909A" w14:textId="77777777">
            <w:pPr>
              <w:widowControl/>
              <w:tabs>
                <w:tab w:val="left" w:pos="-720"/>
              </w:tabs>
              <w:suppressAutoHyphens/>
              <w:spacing w:after="54"/>
              <w:jc w:val="center"/>
              <w:rPr>
                <w:rFonts w:ascii="Calibri" w:hAnsi="Calibri"/>
                <w:sz w:val="18"/>
                <w:szCs w:val="18"/>
              </w:rPr>
            </w:pPr>
          </w:p>
        </w:tc>
      </w:tr>
      <w:tr w14:paraId="2C2B3EC8" w14:textId="77777777" w:rsidTr="00A91F5F">
        <w:tblPrEx>
          <w:tblW w:w="10170" w:type="dxa"/>
          <w:tblInd w:w="-510" w:type="dxa"/>
          <w:tblLayout w:type="fixed"/>
          <w:tblCellMar>
            <w:left w:w="120" w:type="dxa"/>
            <w:right w:w="120" w:type="dxa"/>
          </w:tblCellMar>
          <w:tblLook w:val="0000"/>
        </w:tblPrEx>
        <w:tc>
          <w:tcPr>
            <w:tcW w:w="2678" w:type="dxa"/>
            <w:tcBorders>
              <w:bottom w:val="single" w:sz="6" w:space="0" w:color="auto"/>
            </w:tcBorders>
          </w:tcPr>
          <w:p w:rsidR="00F759C2" w:rsidRPr="002D3263" w:rsidP="00EF4CBB" w14:paraId="51BDF455" w14:textId="77777777">
            <w:pPr>
              <w:widowControl/>
              <w:tabs>
                <w:tab w:val="left" w:pos="-720"/>
              </w:tabs>
              <w:suppressAutoHyphens/>
              <w:spacing w:before="90"/>
              <w:rPr>
                <w:rFonts w:ascii="Calibri" w:hAnsi="Calibri"/>
                <w:sz w:val="16"/>
                <w:szCs w:val="16"/>
              </w:rPr>
            </w:pPr>
            <w:r w:rsidRPr="002D3263">
              <w:rPr>
                <w:rFonts w:ascii="Calibri" w:hAnsi="Calibri"/>
                <w:sz w:val="16"/>
                <w:szCs w:val="16"/>
              </w:rPr>
              <w:t>17. SECURITY CLASSIFICATION</w:t>
            </w:r>
            <w:r w:rsidRPr="002D3263">
              <w:rPr>
                <w:rFonts w:ascii="Calibri" w:hAnsi="Calibri"/>
                <w:sz w:val="16"/>
                <w:szCs w:val="16"/>
              </w:rPr>
              <w:br/>
              <w:t xml:space="preserve"> OF REPORT</w:t>
            </w:r>
          </w:p>
          <w:p w:rsidR="00F759C2" w:rsidRPr="002D3263" w:rsidP="00EF4CBB" w14:paraId="7F533F36" w14:textId="77777777">
            <w:pPr>
              <w:widowControl/>
              <w:tabs>
                <w:tab w:val="left" w:pos="-720"/>
              </w:tabs>
              <w:suppressAutoHyphens/>
              <w:spacing w:after="54"/>
              <w:jc w:val="center"/>
              <w:rPr>
                <w:rFonts w:ascii="Calibri" w:hAnsi="Calibri" w:cs="Times New Roman"/>
                <w:sz w:val="18"/>
                <w:szCs w:val="18"/>
              </w:rPr>
            </w:pPr>
          </w:p>
        </w:tc>
        <w:tc>
          <w:tcPr>
            <w:tcW w:w="2678" w:type="dxa"/>
            <w:gridSpan w:val="2"/>
            <w:tcBorders>
              <w:bottom w:val="single" w:sz="6" w:space="0" w:color="auto"/>
            </w:tcBorders>
          </w:tcPr>
          <w:p w:rsidR="00F759C2" w:rsidRPr="002D3263" w:rsidP="00EF4CBB" w14:paraId="37ACEEC2" w14:textId="77777777">
            <w:pPr>
              <w:widowControl/>
              <w:tabs>
                <w:tab w:val="left" w:pos="-720"/>
              </w:tabs>
              <w:suppressAutoHyphens/>
              <w:spacing w:before="90"/>
              <w:rPr>
                <w:rFonts w:ascii="Calibri" w:hAnsi="Calibri"/>
                <w:sz w:val="16"/>
                <w:szCs w:val="16"/>
              </w:rPr>
            </w:pPr>
            <w:r w:rsidRPr="002D3263">
              <w:rPr>
                <w:rFonts w:ascii="Calibri" w:hAnsi="Calibri"/>
                <w:sz w:val="16"/>
                <w:szCs w:val="16"/>
              </w:rPr>
              <w:t>18. SECURITY CLASSIFICATION</w:t>
            </w:r>
            <w:r w:rsidRPr="002D3263">
              <w:rPr>
                <w:rFonts w:ascii="Calibri" w:hAnsi="Calibri"/>
                <w:sz w:val="16"/>
                <w:szCs w:val="16"/>
              </w:rPr>
              <w:br/>
              <w:t xml:space="preserve"> OF THIS PAGE</w:t>
            </w:r>
          </w:p>
          <w:p w:rsidR="00F759C2" w:rsidRPr="002D3263" w:rsidP="00EF4CBB" w14:paraId="005050F0" w14:textId="77777777">
            <w:pPr>
              <w:widowControl/>
              <w:tabs>
                <w:tab w:val="center" w:pos="1229"/>
              </w:tabs>
              <w:suppressAutoHyphens/>
              <w:spacing w:after="54"/>
              <w:jc w:val="center"/>
              <w:rPr>
                <w:rFonts w:ascii="Calibri" w:hAnsi="Calibri" w:cs="Times New Roman"/>
                <w:sz w:val="18"/>
                <w:szCs w:val="18"/>
              </w:rPr>
            </w:pPr>
          </w:p>
        </w:tc>
        <w:tc>
          <w:tcPr>
            <w:tcW w:w="2678" w:type="dxa"/>
            <w:gridSpan w:val="3"/>
            <w:tcBorders>
              <w:bottom w:val="single" w:sz="6" w:space="0" w:color="auto"/>
            </w:tcBorders>
          </w:tcPr>
          <w:p w:rsidR="00F759C2" w:rsidRPr="002D3263" w:rsidP="00EF4CBB" w14:paraId="243DAD1A" w14:textId="77777777">
            <w:pPr>
              <w:widowControl/>
              <w:tabs>
                <w:tab w:val="left" w:pos="-720"/>
              </w:tabs>
              <w:suppressAutoHyphens/>
              <w:spacing w:before="90"/>
              <w:rPr>
                <w:rFonts w:ascii="Calibri" w:hAnsi="Calibri"/>
                <w:sz w:val="16"/>
                <w:szCs w:val="16"/>
              </w:rPr>
            </w:pPr>
            <w:r w:rsidRPr="002D3263">
              <w:rPr>
                <w:rFonts w:ascii="Calibri" w:hAnsi="Calibri"/>
                <w:sz w:val="16"/>
                <w:szCs w:val="16"/>
              </w:rPr>
              <w:t>19. SECURITY CLASSIFICATION</w:t>
            </w:r>
            <w:r w:rsidRPr="002D3263">
              <w:rPr>
                <w:rFonts w:ascii="Calibri" w:hAnsi="Calibri"/>
                <w:sz w:val="16"/>
                <w:szCs w:val="16"/>
              </w:rPr>
              <w:br/>
              <w:t xml:space="preserve"> OF ABSTRACT</w:t>
            </w:r>
          </w:p>
          <w:p w:rsidR="00F759C2" w:rsidRPr="002D3263" w:rsidP="00EF4CBB" w14:paraId="6D2694D6" w14:textId="77777777">
            <w:pPr>
              <w:widowControl/>
              <w:tabs>
                <w:tab w:val="center" w:pos="1230"/>
              </w:tabs>
              <w:suppressAutoHyphens/>
              <w:spacing w:after="54"/>
              <w:jc w:val="center"/>
              <w:rPr>
                <w:rFonts w:ascii="Calibri" w:hAnsi="Calibri" w:cs="Times New Roman"/>
                <w:sz w:val="18"/>
                <w:szCs w:val="18"/>
              </w:rPr>
            </w:pPr>
          </w:p>
        </w:tc>
        <w:tc>
          <w:tcPr>
            <w:tcW w:w="2136" w:type="dxa"/>
            <w:tcBorders>
              <w:bottom w:val="single" w:sz="6" w:space="0" w:color="auto"/>
            </w:tcBorders>
          </w:tcPr>
          <w:p w:rsidR="00F759C2" w:rsidRPr="002D3263" w:rsidP="00EF4CBB" w14:paraId="7C28CE86" w14:textId="77777777">
            <w:pPr>
              <w:widowControl/>
              <w:tabs>
                <w:tab w:val="left" w:pos="-720"/>
              </w:tabs>
              <w:suppressAutoHyphens/>
              <w:spacing w:before="90" w:after="54"/>
              <w:rPr>
                <w:rFonts w:ascii="Calibri" w:hAnsi="Calibri"/>
                <w:sz w:val="16"/>
                <w:szCs w:val="16"/>
              </w:rPr>
            </w:pPr>
            <w:r w:rsidRPr="002D3263">
              <w:rPr>
                <w:rFonts w:ascii="Calibri" w:hAnsi="Calibri"/>
                <w:sz w:val="16"/>
                <w:szCs w:val="16"/>
              </w:rPr>
              <w:t>20. LIMITATION OF ABSTRACT</w:t>
            </w:r>
          </w:p>
          <w:p w:rsidR="00F759C2" w:rsidRPr="002D3263" w:rsidP="00EF4CBB" w14:paraId="4487E364" w14:textId="77777777">
            <w:pPr>
              <w:widowControl/>
              <w:jc w:val="center"/>
              <w:rPr>
                <w:rFonts w:ascii="Calibri" w:hAnsi="Calibri" w:cs="Times New Roman"/>
                <w:sz w:val="18"/>
                <w:szCs w:val="18"/>
              </w:rPr>
            </w:pPr>
          </w:p>
        </w:tc>
      </w:tr>
      <w:tr w14:paraId="030C15B4" w14:textId="77777777" w:rsidTr="00A91F5F">
        <w:tblPrEx>
          <w:tblW w:w="10170" w:type="dxa"/>
          <w:tblInd w:w="-510" w:type="dxa"/>
          <w:tblLayout w:type="fixed"/>
          <w:tblCellMar>
            <w:left w:w="120" w:type="dxa"/>
            <w:right w:w="120" w:type="dxa"/>
          </w:tblCellMar>
          <w:tblLook w:val="0000"/>
        </w:tblPrEx>
        <w:tc>
          <w:tcPr>
            <w:tcW w:w="2678" w:type="dxa"/>
            <w:tcBorders>
              <w:left w:val="nil"/>
              <w:bottom w:val="nil"/>
              <w:right w:val="nil"/>
            </w:tcBorders>
          </w:tcPr>
          <w:p w:rsidR="0071217E" w:rsidRPr="002D3263" w:rsidP="00EF4CBB" w14:paraId="12145520" w14:textId="4CE9E619">
            <w:pPr>
              <w:widowControl/>
              <w:tabs>
                <w:tab w:val="left" w:pos="-720"/>
              </w:tabs>
              <w:suppressAutoHyphens/>
              <w:spacing w:before="90"/>
              <w:rPr>
                <w:rFonts w:ascii="Calibri" w:hAnsi="Calibri"/>
                <w:sz w:val="16"/>
                <w:szCs w:val="16"/>
              </w:rPr>
            </w:pPr>
          </w:p>
        </w:tc>
        <w:tc>
          <w:tcPr>
            <w:tcW w:w="2678" w:type="dxa"/>
            <w:gridSpan w:val="2"/>
            <w:tcBorders>
              <w:left w:val="nil"/>
              <w:bottom w:val="nil"/>
              <w:right w:val="nil"/>
            </w:tcBorders>
          </w:tcPr>
          <w:p w:rsidR="0071217E" w:rsidRPr="002D3263" w:rsidP="00EF4CBB" w14:paraId="311277A1" w14:textId="77777777">
            <w:pPr>
              <w:widowControl/>
              <w:tabs>
                <w:tab w:val="left" w:pos="-720"/>
              </w:tabs>
              <w:suppressAutoHyphens/>
              <w:spacing w:before="90"/>
              <w:rPr>
                <w:rFonts w:ascii="Calibri" w:hAnsi="Calibri"/>
                <w:sz w:val="16"/>
                <w:szCs w:val="16"/>
              </w:rPr>
            </w:pPr>
          </w:p>
        </w:tc>
        <w:tc>
          <w:tcPr>
            <w:tcW w:w="2678" w:type="dxa"/>
            <w:gridSpan w:val="3"/>
            <w:tcBorders>
              <w:left w:val="nil"/>
              <w:bottom w:val="nil"/>
              <w:right w:val="nil"/>
            </w:tcBorders>
          </w:tcPr>
          <w:p w:rsidR="0071217E" w:rsidRPr="002D3263" w:rsidP="00EF4CBB" w14:paraId="2C842E83" w14:textId="77777777">
            <w:pPr>
              <w:widowControl/>
              <w:tabs>
                <w:tab w:val="left" w:pos="-720"/>
              </w:tabs>
              <w:suppressAutoHyphens/>
              <w:spacing w:before="90"/>
              <w:rPr>
                <w:rFonts w:ascii="Calibri" w:hAnsi="Calibri"/>
                <w:sz w:val="16"/>
                <w:szCs w:val="16"/>
              </w:rPr>
            </w:pPr>
          </w:p>
        </w:tc>
        <w:tc>
          <w:tcPr>
            <w:tcW w:w="2136" w:type="dxa"/>
            <w:tcBorders>
              <w:left w:val="nil"/>
              <w:bottom w:val="nil"/>
              <w:right w:val="nil"/>
            </w:tcBorders>
          </w:tcPr>
          <w:p w:rsidR="0071217E" w:rsidRPr="002D3263" w:rsidP="00F62B83" w14:paraId="65F914F4" w14:textId="1CAD015F">
            <w:pPr>
              <w:pStyle w:val="BodyText2"/>
              <w:tabs>
                <w:tab w:val="left" w:pos="7380"/>
                <w:tab w:val="right" w:pos="10656"/>
              </w:tabs>
              <w:suppressAutoHyphens/>
              <w:spacing w:line="180" w:lineRule="auto"/>
              <w:ind w:left="-540"/>
              <w:jc w:val="right"/>
              <w:rPr>
                <w:rFonts w:ascii="Calibri" w:hAnsi="Calibri"/>
                <w:sz w:val="16"/>
                <w:szCs w:val="16"/>
              </w:rPr>
            </w:pPr>
            <w:r w:rsidRPr="002D3263">
              <w:rPr>
                <w:rFonts w:ascii="Calibri" w:hAnsi="Calibri"/>
                <w:sz w:val="16"/>
                <w:szCs w:val="16"/>
              </w:rPr>
              <w:t xml:space="preserve">Standard Form 298 (Rev. </w:t>
            </w:r>
            <w:r w:rsidRPr="002D3263" w:rsidR="0026516D">
              <w:rPr>
                <w:rFonts w:ascii="Calibri" w:hAnsi="Calibri"/>
                <w:sz w:val="16"/>
                <w:szCs w:val="16"/>
              </w:rPr>
              <w:t>2</w:t>
            </w:r>
            <w:r w:rsidRPr="002D3263">
              <w:rPr>
                <w:rFonts w:ascii="Calibri" w:hAnsi="Calibri"/>
                <w:sz w:val="16"/>
                <w:szCs w:val="16"/>
              </w:rPr>
              <w:t>-89)</w:t>
            </w:r>
          </w:p>
          <w:p w:rsidR="0071217E" w:rsidRPr="002D3263" w:rsidP="00F62B83" w14:paraId="368763CA" w14:textId="13415C57">
            <w:pPr>
              <w:widowControl/>
              <w:tabs>
                <w:tab w:val="right" w:pos="10656"/>
              </w:tabs>
              <w:suppressAutoHyphens/>
              <w:ind w:left="-540" w:hanging="7380"/>
              <w:jc w:val="right"/>
              <w:rPr>
                <w:rFonts w:ascii="Calibri" w:hAnsi="Calibri"/>
                <w:sz w:val="16"/>
                <w:szCs w:val="16"/>
              </w:rPr>
            </w:pPr>
            <w:r w:rsidRPr="002D3263">
              <w:rPr>
                <w:rFonts w:ascii="Calibri" w:hAnsi="Calibri"/>
                <w:sz w:val="16"/>
                <w:szCs w:val="16"/>
              </w:rPr>
              <w:t>Prescribed by ANSI Std. 239-18</w:t>
            </w:r>
          </w:p>
        </w:tc>
      </w:tr>
    </w:tbl>
    <w:p w:rsidR="009B4AE8" w:rsidRPr="002D3263" w:rsidP="00634AAC" w14:paraId="01A93B4A" w14:textId="77777777">
      <w:pPr>
        <w:widowControl/>
        <w:spacing w:after="200"/>
        <w:rPr>
          <w:rFonts w:eastAsia="Times New Roman" w:cs="Times New Roman"/>
          <w:color w:val="C00000"/>
          <w:szCs w:val="20"/>
        </w:rPr>
      </w:pPr>
    </w:p>
    <w:p w:rsidR="005C5E61" w:rsidRPr="002D3263" w:rsidP="00EF4CBB" w14:paraId="54542F65" w14:textId="77777777">
      <w:pPr>
        <w:widowControl/>
        <w:spacing w:after="200"/>
        <w:rPr>
          <w:rFonts w:eastAsia="Times New Roman" w:cs="Times New Roman"/>
          <w:color w:val="C00000"/>
          <w:szCs w:val="20"/>
        </w:rPr>
        <w:sectPr>
          <w:footerReference w:type="default" r:id="rId12"/>
          <w:type w:val="continuous"/>
          <w:pgSz w:w="12240" w:h="15840"/>
          <w:pgMar w:top="990" w:right="1440" w:bottom="540" w:left="1440" w:header="0" w:footer="863" w:gutter="0"/>
          <w:pgNumType w:start="1"/>
          <w:cols w:space="720"/>
          <w:docGrid w:linePitch="299"/>
        </w:sectPr>
      </w:pPr>
    </w:p>
    <w:sdt>
      <w:sdtPr>
        <w:rPr>
          <w:rFonts w:asciiTheme="minorHAnsi" w:eastAsiaTheme="minorHAnsi" w:hAnsiTheme="minorHAnsi" w:cstheme="minorBidi"/>
          <w:bCs w:val="0"/>
          <w:noProof/>
          <w:sz w:val="22"/>
          <w:szCs w:val="22"/>
        </w:rPr>
        <w:id w:val="6923263"/>
        <w:docPartObj>
          <w:docPartGallery w:val="Table of Contents"/>
          <w:docPartUnique/>
        </w:docPartObj>
      </w:sdtPr>
      <w:sdtEndPr>
        <w:rPr>
          <w:sz w:val="24"/>
        </w:rPr>
      </w:sdtEndPr>
      <w:sdtContent>
        <w:p w:rsidR="003C25A8" w:rsidRPr="002D3263" w:rsidP="00BD26C9" w14:paraId="3CAB184B" w14:textId="77777777">
          <w:pPr>
            <w:pStyle w:val="TOCHeading"/>
          </w:pPr>
          <w:r w:rsidRPr="002D3263">
            <w:t>Contents</w:t>
          </w:r>
        </w:p>
        <w:p w:rsidR="00BC5A99" w:rsidP="00FA2677" w14:paraId="289C9645" w14:textId="47C491D2">
          <w:pPr>
            <w:pStyle w:val="TOC1"/>
            <w:rPr>
              <w:rFonts w:eastAsiaTheme="minorEastAsia"/>
              <w:sz w:val="22"/>
            </w:rPr>
          </w:pPr>
          <w:r w:rsidRPr="002D3263">
            <w:fldChar w:fldCharType="begin"/>
          </w:r>
          <w:r w:rsidRPr="002D3263" w:rsidR="003C25A8">
            <w:instrText xml:space="preserve"> TOC \o "1-3" \h \z \u </w:instrText>
          </w:r>
          <w:r w:rsidRPr="002D3263">
            <w:fldChar w:fldCharType="separate"/>
          </w:r>
          <w:hyperlink w:anchor="_Toc127438001" w:history="1">
            <w:r w:rsidRPr="00C22AAF">
              <w:rPr>
                <w:rStyle w:val="Hyperlink"/>
              </w:rPr>
              <w:t>List of Figures</w:t>
            </w:r>
            <w:r>
              <w:rPr>
                <w:webHidden/>
              </w:rPr>
              <w:tab/>
            </w:r>
            <w:r>
              <w:rPr>
                <w:webHidden/>
              </w:rPr>
              <w:fldChar w:fldCharType="begin"/>
            </w:r>
            <w:r>
              <w:rPr>
                <w:webHidden/>
              </w:rPr>
              <w:instrText xml:space="preserve"> PAGEREF _Toc127438001 \h </w:instrText>
            </w:r>
            <w:r>
              <w:rPr>
                <w:webHidden/>
              </w:rPr>
              <w:fldChar w:fldCharType="separate"/>
            </w:r>
            <w:r w:rsidR="00E711E2">
              <w:rPr>
                <w:webHidden/>
              </w:rPr>
              <w:t>7</w:t>
            </w:r>
            <w:r>
              <w:rPr>
                <w:webHidden/>
              </w:rPr>
              <w:fldChar w:fldCharType="end"/>
            </w:r>
          </w:hyperlink>
        </w:p>
        <w:p w:rsidR="00BC5A99" w:rsidP="00FA2677" w14:paraId="1A3DA58B" w14:textId="3483F4A1">
          <w:pPr>
            <w:pStyle w:val="TOC1"/>
            <w:rPr>
              <w:rFonts w:eastAsiaTheme="minorEastAsia"/>
              <w:sz w:val="22"/>
            </w:rPr>
          </w:pPr>
          <w:hyperlink w:anchor="_Toc127438002" w:history="1">
            <w:r w:rsidRPr="00C22AAF">
              <w:rPr>
                <w:rStyle w:val="Hyperlink"/>
              </w:rPr>
              <w:t>L</w:t>
            </w:r>
            <w:r w:rsidRPr="00C22AAF">
              <w:rPr>
                <w:rStyle w:val="Hyperlink"/>
                <w:spacing w:val="2"/>
              </w:rPr>
              <w:t>i</w:t>
            </w:r>
            <w:r w:rsidRPr="00C22AAF">
              <w:rPr>
                <w:rStyle w:val="Hyperlink"/>
                <w:spacing w:val="-1"/>
              </w:rPr>
              <w:t>s</w:t>
            </w:r>
            <w:r w:rsidRPr="00C22AAF">
              <w:rPr>
                <w:rStyle w:val="Hyperlink"/>
              </w:rPr>
              <w:t>t of</w:t>
            </w:r>
            <w:r w:rsidRPr="00C22AAF">
              <w:rPr>
                <w:rStyle w:val="Hyperlink"/>
                <w:spacing w:val="-4"/>
              </w:rPr>
              <w:t xml:space="preserve"> </w:t>
            </w:r>
            <w:r w:rsidRPr="00C22AAF">
              <w:rPr>
                <w:rStyle w:val="Hyperlink"/>
                <w:spacing w:val="-29"/>
              </w:rPr>
              <w:t>T</w:t>
            </w:r>
            <w:r w:rsidRPr="00C22AAF">
              <w:rPr>
                <w:rStyle w:val="Hyperlink"/>
                <w:spacing w:val="-1"/>
              </w:rPr>
              <w:t>a</w:t>
            </w:r>
            <w:r w:rsidRPr="00C22AAF">
              <w:rPr>
                <w:rStyle w:val="Hyperlink"/>
              </w:rPr>
              <w:t>b</w:t>
            </w:r>
            <w:r w:rsidRPr="00C22AAF">
              <w:rPr>
                <w:rStyle w:val="Hyperlink"/>
                <w:spacing w:val="2"/>
              </w:rPr>
              <w:t>l</w:t>
            </w:r>
            <w:r w:rsidRPr="00C22AAF">
              <w:rPr>
                <w:rStyle w:val="Hyperlink"/>
                <w:spacing w:val="-1"/>
              </w:rPr>
              <w:t>e</w:t>
            </w:r>
            <w:r w:rsidRPr="00C22AAF">
              <w:rPr>
                <w:rStyle w:val="Hyperlink"/>
              </w:rPr>
              <w:t>s</w:t>
            </w:r>
            <w:r>
              <w:rPr>
                <w:webHidden/>
              </w:rPr>
              <w:tab/>
            </w:r>
            <w:r>
              <w:rPr>
                <w:webHidden/>
              </w:rPr>
              <w:fldChar w:fldCharType="begin"/>
            </w:r>
            <w:r>
              <w:rPr>
                <w:webHidden/>
              </w:rPr>
              <w:instrText xml:space="preserve"> PAGEREF _Toc127438002 \h </w:instrText>
            </w:r>
            <w:r>
              <w:rPr>
                <w:webHidden/>
              </w:rPr>
              <w:fldChar w:fldCharType="separate"/>
            </w:r>
            <w:r w:rsidR="00E711E2">
              <w:rPr>
                <w:webHidden/>
              </w:rPr>
              <w:t>7</w:t>
            </w:r>
            <w:r>
              <w:rPr>
                <w:webHidden/>
              </w:rPr>
              <w:fldChar w:fldCharType="end"/>
            </w:r>
          </w:hyperlink>
        </w:p>
        <w:p w:rsidR="00BC5A99" w:rsidP="00FA2677" w14:paraId="4A047C1E" w14:textId="25072959">
          <w:pPr>
            <w:pStyle w:val="TOC1"/>
            <w:rPr>
              <w:rFonts w:eastAsiaTheme="minorEastAsia"/>
              <w:sz w:val="22"/>
            </w:rPr>
          </w:pPr>
          <w:hyperlink w:anchor="_Toc127438003" w:history="1">
            <w:r w:rsidRPr="00C22AAF">
              <w:rPr>
                <w:rStyle w:val="Hyperlink"/>
              </w:rPr>
              <w:t>Abbreviations and Acronyms</w:t>
            </w:r>
            <w:r>
              <w:rPr>
                <w:webHidden/>
              </w:rPr>
              <w:tab/>
            </w:r>
            <w:r>
              <w:rPr>
                <w:webHidden/>
              </w:rPr>
              <w:fldChar w:fldCharType="begin"/>
            </w:r>
            <w:r>
              <w:rPr>
                <w:webHidden/>
              </w:rPr>
              <w:instrText xml:space="preserve"> PAGEREF _Toc127438003 \h </w:instrText>
            </w:r>
            <w:r>
              <w:rPr>
                <w:webHidden/>
              </w:rPr>
              <w:fldChar w:fldCharType="separate"/>
            </w:r>
            <w:r w:rsidR="00E711E2">
              <w:rPr>
                <w:webHidden/>
              </w:rPr>
              <w:t>8</w:t>
            </w:r>
            <w:r>
              <w:rPr>
                <w:webHidden/>
              </w:rPr>
              <w:fldChar w:fldCharType="end"/>
            </w:r>
          </w:hyperlink>
        </w:p>
        <w:p w:rsidR="00BC5A99" w:rsidP="00FA2677" w14:paraId="291A74B3" w14:textId="470028A9">
          <w:pPr>
            <w:pStyle w:val="TOC1"/>
            <w:rPr>
              <w:rFonts w:eastAsiaTheme="minorEastAsia"/>
              <w:sz w:val="22"/>
            </w:rPr>
          </w:pPr>
          <w:hyperlink w:anchor="_Toc127438004" w:history="1">
            <w:r w:rsidRPr="00C22AAF">
              <w:rPr>
                <w:rStyle w:val="Hyperlink"/>
              </w:rPr>
              <w:t>Executive Summary</w:t>
            </w:r>
            <w:r>
              <w:rPr>
                <w:webHidden/>
              </w:rPr>
              <w:tab/>
            </w:r>
            <w:r>
              <w:rPr>
                <w:webHidden/>
              </w:rPr>
              <w:fldChar w:fldCharType="begin"/>
            </w:r>
            <w:r>
              <w:rPr>
                <w:webHidden/>
              </w:rPr>
              <w:instrText xml:space="preserve"> PAGEREF _Toc127438004 \h </w:instrText>
            </w:r>
            <w:r>
              <w:rPr>
                <w:webHidden/>
              </w:rPr>
              <w:fldChar w:fldCharType="separate"/>
            </w:r>
            <w:r w:rsidR="00E711E2">
              <w:rPr>
                <w:webHidden/>
              </w:rPr>
              <w:t>9</w:t>
            </w:r>
            <w:r>
              <w:rPr>
                <w:webHidden/>
              </w:rPr>
              <w:fldChar w:fldCharType="end"/>
            </w:r>
          </w:hyperlink>
        </w:p>
        <w:p w:rsidR="00BC5A99" w:rsidP="00FA2677" w14:paraId="76FBBCC8" w14:textId="56C5566B">
          <w:pPr>
            <w:pStyle w:val="TOC1"/>
            <w:rPr>
              <w:rFonts w:eastAsiaTheme="minorEastAsia"/>
              <w:sz w:val="22"/>
            </w:rPr>
          </w:pPr>
          <w:hyperlink w:anchor="_Toc127438005" w:history="1">
            <w:r w:rsidRPr="00C22AAF">
              <w:rPr>
                <w:rStyle w:val="Hyperlink"/>
                <w14:scene3d>
                  <w14:camera w14:prst="orthographicFront"/>
                  <w14:lightRig w14:rig="threePt" w14:dir="t">
                    <w14:rot w14:lat="0" w14:lon="0" w14:rev="0"/>
                  </w14:lightRig>
                </w14:scene3d>
              </w:rPr>
              <w:t>1.</w:t>
            </w:r>
            <w:r>
              <w:rPr>
                <w:rFonts w:eastAsiaTheme="minorEastAsia"/>
                <w:sz w:val="22"/>
              </w:rPr>
              <w:tab/>
            </w:r>
            <w:r w:rsidRPr="00C22AAF">
              <w:rPr>
                <w:rStyle w:val="Hyperlink"/>
              </w:rPr>
              <w:t>Background</w:t>
            </w:r>
            <w:r>
              <w:rPr>
                <w:webHidden/>
              </w:rPr>
              <w:tab/>
            </w:r>
            <w:r>
              <w:rPr>
                <w:webHidden/>
              </w:rPr>
              <w:fldChar w:fldCharType="begin"/>
            </w:r>
            <w:r>
              <w:rPr>
                <w:webHidden/>
              </w:rPr>
              <w:instrText xml:space="preserve"> PAGEREF _Toc127438005 \h </w:instrText>
            </w:r>
            <w:r>
              <w:rPr>
                <w:webHidden/>
              </w:rPr>
              <w:fldChar w:fldCharType="separate"/>
            </w:r>
            <w:r w:rsidR="00E711E2">
              <w:rPr>
                <w:webHidden/>
              </w:rPr>
              <w:t>12</w:t>
            </w:r>
            <w:r>
              <w:rPr>
                <w:webHidden/>
              </w:rPr>
              <w:fldChar w:fldCharType="end"/>
            </w:r>
          </w:hyperlink>
        </w:p>
        <w:p w:rsidR="00BC5A99" w14:paraId="328648FB" w14:textId="39393C72">
          <w:pPr>
            <w:pStyle w:val="TOC2"/>
            <w:rPr>
              <w:rFonts w:eastAsiaTheme="minorEastAsia"/>
            </w:rPr>
          </w:pPr>
          <w:hyperlink w:anchor="_Toc127438006" w:history="1">
            <w:r w:rsidRPr="00C22AAF">
              <w:rPr>
                <w:rStyle w:val="Hyperlink"/>
              </w:rPr>
              <w:t>1.1</w:t>
            </w:r>
            <w:r>
              <w:rPr>
                <w:rFonts w:eastAsiaTheme="minorEastAsia"/>
              </w:rPr>
              <w:tab/>
            </w:r>
            <w:r w:rsidRPr="00C22AAF">
              <w:rPr>
                <w:rStyle w:val="Hyperlink"/>
              </w:rPr>
              <w:t>Summary of Proposed and Final Rule</w:t>
            </w:r>
            <w:r>
              <w:rPr>
                <w:webHidden/>
              </w:rPr>
              <w:tab/>
            </w:r>
            <w:r>
              <w:rPr>
                <w:webHidden/>
              </w:rPr>
              <w:fldChar w:fldCharType="begin"/>
            </w:r>
            <w:r>
              <w:rPr>
                <w:webHidden/>
              </w:rPr>
              <w:instrText xml:space="preserve"> PAGEREF _Toc127438006 \h </w:instrText>
            </w:r>
            <w:r>
              <w:rPr>
                <w:webHidden/>
              </w:rPr>
              <w:fldChar w:fldCharType="separate"/>
            </w:r>
            <w:r w:rsidR="00E711E2">
              <w:rPr>
                <w:webHidden/>
              </w:rPr>
              <w:t>12</w:t>
            </w:r>
            <w:r>
              <w:rPr>
                <w:webHidden/>
              </w:rPr>
              <w:fldChar w:fldCharType="end"/>
            </w:r>
          </w:hyperlink>
        </w:p>
        <w:p w:rsidR="00BC5A99" w14:paraId="64AA96A1" w14:textId="58DD8798">
          <w:pPr>
            <w:pStyle w:val="TOC2"/>
            <w:rPr>
              <w:rFonts w:eastAsiaTheme="minorEastAsia"/>
            </w:rPr>
          </w:pPr>
          <w:hyperlink w:anchor="_Toc127438007" w:history="1">
            <w:r w:rsidRPr="00C22AAF">
              <w:rPr>
                <w:rStyle w:val="Hyperlink"/>
              </w:rPr>
              <w:t>1.2</w:t>
            </w:r>
            <w:r>
              <w:rPr>
                <w:rFonts w:eastAsiaTheme="minorEastAsia"/>
              </w:rPr>
              <w:tab/>
            </w:r>
            <w:r w:rsidRPr="00C22AAF">
              <w:rPr>
                <w:rStyle w:val="Hyperlink"/>
              </w:rPr>
              <w:t>Legislative History</w:t>
            </w:r>
            <w:r>
              <w:rPr>
                <w:webHidden/>
              </w:rPr>
              <w:tab/>
            </w:r>
            <w:r>
              <w:rPr>
                <w:webHidden/>
              </w:rPr>
              <w:fldChar w:fldCharType="begin"/>
            </w:r>
            <w:r>
              <w:rPr>
                <w:webHidden/>
              </w:rPr>
              <w:instrText xml:space="preserve"> PAGEREF _Toc127438007 \h </w:instrText>
            </w:r>
            <w:r>
              <w:rPr>
                <w:webHidden/>
              </w:rPr>
              <w:fldChar w:fldCharType="separate"/>
            </w:r>
            <w:r w:rsidR="00E711E2">
              <w:rPr>
                <w:webHidden/>
              </w:rPr>
              <w:t>13</w:t>
            </w:r>
            <w:r>
              <w:rPr>
                <w:webHidden/>
              </w:rPr>
              <w:fldChar w:fldCharType="end"/>
            </w:r>
          </w:hyperlink>
        </w:p>
        <w:p w:rsidR="00BC5A99" w14:paraId="7F618955" w14:textId="50A81D45">
          <w:pPr>
            <w:pStyle w:val="TOC2"/>
            <w:rPr>
              <w:rFonts w:eastAsiaTheme="minorEastAsia"/>
            </w:rPr>
          </w:pPr>
          <w:hyperlink w:anchor="_Toc127438008" w:history="1">
            <w:r w:rsidRPr="00C22AAF">
              <w:rPr>
                <w:rStyle w:val="Hyperlink"/>
              </w:rPr>
              <w:t>1.3</w:t>
            </w:r>
            <w:r>
              <w:rPr>
                <w:rFonts w:eastAsiaTheme="minorEastAsia"/>
              </w:rPr>
              <w:tab/>
            </w:r>
            <w:r w:rsidRPr="00C22AAF">
              <w:rPr>
                <w:rStyle w:val="Hyperlink"/>
              </w:rPr>
              <w:t>Program Responsibilities and Expenditure Areas</w:t>
            </w:r>
            <w:r>
              <w:rPr>
                <w:webHidden/>
              </w:rPr>
              <w:tab/>
            </w:r>
            <w:r>
              <w:rPr>
                <w:webHidden/>
              </w:rPr>
              <w:fldChar w:fldCharType="begin"/>
            </w:r>
            <w:r>
              <w:rPr>
                <w:webHidden/>
              </w:rPr>
              <w:instrText xml:space="preserve"> PAGEREF _Toc127438008 \h </w:instrText>
            </w:r>
            <w:r>
              <w:rPr>
                <w:webHidden/>
              </w:rPr>
              <w:fldChar w:fldCharType="separate"/>
            </w:r>
            <w:r w:rsidR="00E711E2">
              <w:rPr>
                <w:webHidden/>
              </w:rPr>
              <w:t>14</w:t>
            </w:r>
            <w:r>
              <w:rPr>
                <w:webHidden/>
              </w:rPr>
              <w:fldChar w:fldCharType="end"/>
            </w:r>
          </w:hyperlink>
        </w:p>
        <w:p w:rsidR="00BC5A99" w14:paraId="5BDE82D4" w14:textId="79883AEA">
          <w:pPr>
            <w:pStyle w:val="TOC2"/>
            <w:rPr>
              <w:rFonts w:eastAsiaTheme="minorEastAsia"/>
            </w:rPr>
          </w:pPr>
          <w:hyperlink w:anchor="_Toc127438009" w:history="1">
            <w:r w:rsidRPr="00C22AAF">
              <w:rPr>
                <w:rStyle w:val="Hyperlink"/>
              </w:rPr>
              <w:t>1.4</w:t>
            </w:r>
            <w:r>
              <w:rPr>
                <w:rFonts w:eastAsiaTheme="minorEastAsia"/>
              </w:rPr>
              <w:tab/>
            </w:r>
            <w:r w:rsidRPr="00C22AAF">
              <w:rPr>
                <w:rStyle w:val="Hyperlink"/>
              </w:rPr>
              <w:t>Need for Regulatory Action</w:t>
            </w:r>
            <w:r>
              <w:rPr>
                <w:webHidden/>
              </w:rPr>
              <w:tab/>
            </w:r>
            <w:r>
              <w:rPr>
                <w:webHidden/>
              </w:rPr>
              <w:fldChar w:fldCharType="begin"/>
            </w:r>
            <w:r>
              <w:rPr>
                <w:webHidden/>
              </w:rPr>
              <w:instrText xml:space="preserve"> PAGEREF _Toc127438009 \h </w:instrText>
            </w:r>
            <w:r>
              <w:rPr>
                <w:webHidden/>
              </w:rPr>
              <w:fldChar w:fldCharType="separate"/>
            </w:r>
            <w:r w:rsidR="00E711E2">
              <w:rPr>
                <w:webHidden/>
              </w:rPr>
              <w:t>14</w:t>
            </w:r>
            <w:r>
              <w:rPr>
                <w:webHidden/>
              </w:rPr>
              <w:fldChar w:fldCharType="end"/>
            </w:r>
          </w:hyperlink>
        </w:p>
        <w:p w:rsidR="00BC5A99" w:rsidP="00E711E2" w14:paraId="024DF016" w14:textId="60EFF659">
          <w:pPr>
            <w:pStyle w:val="TOC3"/>
            <w:rPr>
              <w:rFonts w:eastAsiaTheme="minorEastAsia"/>
            </w:rPr>
          </w:pPr>
          <w:hyperlink w:anchor="_Toc127438010" w:history="1">
            <w:r w:rsidRPr="00C22AAF">
              <w:rPr>
                <w:rStyle w:val="Hyperlink"/>
              </w:rPr>
              <w:t>1.4.1</w:t>
            </w:r>
            <w:r>
              <w:rPr>
                <w:rFonts w:eastAsiaTheme="minorEastAsia"/>
              </w:rPr>
              <w:tab/>
            </w:r>
            <w:r w:rsidRPr="00C22AAF">
              <w:rPr>
                <w:rStyle w:val="Hyperlink"/>
              </w:rPr>
              <w:t>MAP-21 Mandates</w:t>
            </w:r>
            <w:r>
              <w:rPr>
                <w:webHidden/>
              </w:rPr>
              <w:tab/>
            </w:r>
            <w:r>
              <w:rPr>
                <w:webHidden/>
              </w:rPr>
              <w:fldChar w:fldCharType="begin"/>
            </w:r>
            <w:r>
              <w:rPr>
                <w:webHidden/>
              </w:rPr>
              <w:instrText xml:space="preserve"> PAGEREF _Toc127438010 \h </w:instrText>
            </w:r>
            <w:r>
              <w:rPr>
                <w:webHidden/>
              </w:rPr>
              <w:fldChar w:fldCharType="separate"/>
            </w:r>
            <w:r w:rsidR="00E711E2">
              <w:rPr>
                <w:webHidden/>
              </w:rPr>
              <w:t>15</w:t>
            </w:r>
            <w:r>
              <w:rPr>
                <w:webHidden/>
              </w:rPr>
              <w:fldChar w:fldCharType="end"/>
            </w:r>
          </w:hyperlink>
        </w:p>
        <w:p w:rsidR="00BC5A99" w:rsidP="00E711E2" w14:paraId="03003325" w14:textId="283B22F3">
          <w:pPr>
            <w:pStyle w:val="TOC3"/>
            <w:rPr>
              <w:rFonts w:eastAsiaTheme="minorEastAsia"/>
            </w:rPr>
          </w:pPr>
          <w:hyperlink w:anchor="_Toc127438011" w:history="1">
            <w:r w:rsidRPr="00C22AAF">
              <w:rPr>
                <w:rStyle w:val="Hyperlink"/>
              </w:rPr>
              <w:t>1.4.2</w:t>
            </w:r>
            <w:r>
              <w:rPr>
                <w:rFonts w:eastAsiaTheme="minorEastAsia"/>
              </w:rPr>
              <w:tab/>
            </w:r>
            <w:r w:rsidRPr="00C22AAF">
              <w:rPr>
                <w:rStyle w:val="Hyperlink"/>
              </w:rPr>
              <w:t>Interagency Coordination</w:t>
            </w:r>
            <w:r>
              <w:rPr>
                <w:webHidden/>
              </w:rPr>
              <w:tab/>
            </w:r>
            <w:r>
              <w:rPr>
                <w:webHidden/>
              </w:rPr>
              <w:fldChar w:fldCharType="begin"/>
            </w:r>
            <w:r>
              <w:rPr>
                <w:webHidden/>
              </w:rPr>
              <w:instrText xml:space="preserve"> PAGEREF _Toc127438011 \h </w:instrText>
            </w:r>
            <w:r>
              <w:rPr>
                <w:webHidden/>
              </w:rPr>
              <w:fldChar w:fldCharType="separate"/>
            </w:r>
            <w:r w:rsidR="00E711E2">
              <w:rPr>
                <w:webHidden/>
              </w:rPr>
              <w:t>16</w:t>
            </w:r>
            <w:r>
              <w:rPr>
                <w:webHidden/>
              </w:rPr>
              <w:fldChar w:fldCharType="end"/>
            </w:r>
          </w:hyperlink>
        </w:p>
        <w:p w:rsidR="00BC5A99" w:rsidP="00E711E2" w14:paraId="39B6B9EF" w14:textId="0BF76E07">
          <w:pPr>
            <w:pStyle w:val="TOC3"/>
            <w:rPr>
              <w:rFonts w:eastAsiaTheme="minorEastAsia"/>
            </w:rPr>
          </w:pPr>
          <w:hyperlink w:anchor="_Toc127438012" w:history="1">
            <w:r w:rsidRPr="00C22AAF">
              <w:rPr>
                <w:rStyle w:val="Hyperlink"/>
              </w:rPr>
              <w:t>1.4.3</w:t>
            </w:r>
            <w:r>
              <w:rPr>
                <w:rFonts w:eastAsiaTheme="minorEastAsia"/>
              </w:rPr>
              <w:tab/>
            </w:r>
            <w:r w:rsidRPr="00C22AAF">
              <w:rPr>
                <w:rStyle w:val="Hyperlink"/>
              </w:rPr>
              <w:t>Practitioner Input and Research</w:t>
            </w:r>
            <w:r>
              <w:rPr>
                <w:webHidden/>
              </w:rPr>
              <w:tab/>
            </w:r>
            <w:r>
              <w:rPr>
                <w:webHidden/>
              </w:rPr>
              <w:fldChar w:fldCharType="begin"/>
            </w:r>
            <w:r>
              <w:rPr>
                <w:webHidden/>
              </w:rPr>
              <w:instrText xml:space="preserve"> PAGEREF _Toc127438012 \h </w:instrText>
            </w:r>
            <w:r>
              <w:rPr>
                <w:webHidden/>
              </w:rPr>
              <w:fldChar w:fldCharType="separate"/>
            </w:r>
            <w:r w:rsidR="00E711E2">
              <w:rPr>
                <w:webHidden/>
              </w:rPr>
              <w:t>17</w:t>
            </w:r>
            <w:r>
              <w:rPr>
                <w:webHidden/>
              </w:rPr>
              <w:fldChar w:fldCharType="end"/>
            </w:r>
          </w:hyperlink>
        </w:p>
        <w:p w:rsidR="00BC5A99" w14:paraId="3207C5BC" w14:textId="6FE0D8AF">
          <w:pPr>
            <w:pStyle w:val="TOC2"/>
            <w:rPr>
              <w:rFonts w:eastAsiaTheme="minorEastAsia"/>
            </w:rPr>
          </w:pPr>
          <w:hyperlink w:anchor="_Toc127438013" w:history="1">
            <w:r w:rsidRPr="00C22AAF">
              <w:rPr>
                <w:rStyle w:val="Hyperlink"/>
              </w:rPr>
              <w:t>1.5</w:t>
            </w:r>
            <w:r>
              <w:rPr>
                <w:rFonts w:eastAsiaTheme="minorEastAsia"/>
              </w:rPr>
              <w:tab/>
            </w:r>
            <w:r w:rsidRPr="00C22AAF">
              <w:rPr>
                <w:rStyle w:val="Hyperlink"/>
              </w:rPr>
              <w:t>Notice of Proposed Rulemaking</w:t>
            </w:r>
            <w:r>
              <w:rPr>
                <w:webHidden/>
              </w:rPr>
              <w:tab/>
            </w:r>
            <w:r>
              <w:rPr>
                <w:webHidden/>
              </w:rPr>
              <w:fldChar w:fldCharType="begin"/>
            </w:r>
            <w:r>
              <w:rPr>
                <w:webHidden/>
              </w:rPr>
              <w:instrText xml:space="preserve"> PAGEREF _Toc127438013 \h </w:instrText>
            </w:r>
            <w:r>
              <w:rPr>
                <w:webHidden/>
              </w:rPr>
              <w:fldChar w:fldCharType="separate"/>
            </w:r>
            <w:r w:rsidR="00E711E2">
              <w:rPr>
                <w:webHidden/>
              </w:rPr>
              <w:t>18</w:t>
            </w:r>
            <w:r>
              <w:rPr>
                <w:webHidden/>
              </w:rPr>
              <w:fldChar w:fldCharType="end"/>
            </w:r>
          </w:hyperlink>
        </w:p>
        <w:p w:rsidR="00BC5A99" w14:paraId="6F398D2B" w14:textId="1C7AD5D4">
          <w:pPr>
            <w:pStyle w:val="TOC2"/>
            <w:rPr>
              <w:rFonts w:eastAsiaTheme="minorEastAsia"/>
            </w:rPr>
          </w:pPr>
          <w:hyperlink w:anchor="_Toc127438014" w:history="1">
            <w:r w:rsidRPr="00C22AAF">
              <w:rPr>
                <w:rStyle w:val="Hyperlink"/>
              </w:rPr>
              <w:t>1.6</w:t>
            </w:r>
            <w:r>
              <w:rPr>
                <w:rFonts w:eastAsiaTheme="minorEastAsia"/>
              </w:rPr>
              <w:tab/>
            </w:r>
            <w:r w:rsidRPr="00C22AAF">
              <w:rPr>
                <w:rStyle w:val="Hyperlink"/>
              </w:rPr>
              <w:t>Affected Entities</w:t>
            </w:r>
            <w:r>
              <w:rPr>
                <w:webHidden/>
              </w:rPr>
              <w:tab/>
            </w:r>
            <w:r>
              <w:rPr>
                <w:webHidden/>
              </w:rPr>
              <w:fldChar w:fldCharType="begin"/>
            </w:r>
            <w:r>
              <w:rPr>
                <w:webHidden/>
              </w:rPr>
              <w:instrText xml:space="preserve"> PAGEREF _Toc127438014 \h </w:instrText>
            </w:r>
            <w:r>
              <w:rPr>
                <w:webHidden/>
              </w:rPr>
              <w:fldChar w:fldCharType="separate"/>
            </w:r>
            <w:r w:rsidR="00E711E2">
              <w:rPr>
                <w:webHidden/>
              </w:rPr>
              <w:t>19</w:t>
            </w:r>
            <w:r>
              <w:rPr>
                <w:webHidden/>
              </w:rPr>
              <w:fldChar w:fldCharType="end"/>
            </w:r>
          </w:hyperlink>
        </w:p>
        <w:p w:rsidR="00BC5A99" w14:paraId="0DE99C97" w14:textId="110D17BD">
          <w:pPr>
            <w:pStyle w:val="TOC2"/>
            <w:rPr>
              <w:rFonts w:eastAsiaTheme="minorEastAsia"/>
            </w:rPr>
          </w:pPr>
          <w:hyperlink w:anchor="_Toc127438015" w:history="1">
            <w:r w:rsidRPr="00C22AAF">
              <w:rPr>
                <w:rStyle w:val="Hyperlink"/>
              </w:rPr>
              <w:t>1.7</w:t>
            </w:r>
            <w:r>
              <w:rPr>
                <w:rFonts w:eastAsiaTheme="minorEastAsia"/>
              </w:rPr>
              <w:tab/>
            </w:r>
            <w:r w:rsidRPr="00C22AAF">
              <w:rPr>
                <w:rStyle w:val="Hyperlink"/>
              </w:rPr>
              <w:t>Assumptions and Methodology for Cost-Benefit Analysis</w:t>
            </w:r>
            <w:r>
              <w:rPr>
                <w:webHidden/>
              </w:rPr>
              <w:tab/>
            </w:r>
            <w:r>
              <w:rPr>
                <w:webHidden/>
              </w:rPr>
              <w:fldChar w:fldCharType="begin"/>
            </w:r>
            <w:r>
              <w:rPr>
                <w:webHidden/>
              </w:rPr>
              <w:instrText xml:space="preserve"> PAGEREF _Toc127438015 \h </w:instrText>
            </w:r>
            <w:r>
              <w:rPr>
                <w:webHidden/>
              </w:rPr>
              <w:fldChar w:fldCharType="separate"/>
            </w:r>
            <w:r w:rsidR="00E711E2">
              <w:rPr>
                <w:webHidden/>
              </w:rPr>
              <w:t>21</w:t>
            </w:r>
            <w:r>
              <w:rPr>
                <w:webHidden/>
              </w:rPr>
              <w:fldChar w:fldCharType="end"/>
            </w:r>
          </w:hyperlink>
        </w:p>
        <w:p w:rsidR="00BC5A99" w:rsidP="00FA2677" w14:paraId="56290AF8" w14:textId="44BDBD4B">
          <w:pPr>
            <w:pStyle w:val="TOC1"/>
            <w:rPr>
              <w:rFonts w:eastAsiaTheme="minorEastAsia"/>
              <w:sz w:val="22"/>
            </w:rPr>
          </w:pPr>
          <w:hyperlink w:anchor="_Toc127438016" w:history="1">
            <w:r w:rsidRPr="00C22AAF">
              <w:rPr>
                <w:rStyle w:val="Hyperlink"/>
                <w14:scene3d>
                  <w14:camera w14:prst="orthographicFront"/>
                  <w14:lightRig w14:rig="threePt" w14:dir="t">
                    <w14:rot w14:lat="0" w14:lon="0" w14:rev="0"/>
                  </w14:lightRig>
                </w14:scene3d>
              </w:rPr>
              <w:t>2.</w:t>
            </w:r>
            <w:r>
              <w:rPr>
                <w:rFonts w:eastAsiaTheme="minorEastAsia"/>
                <w:sz w:val="22"/>
              </w:rPr>
              <w:tab/>
            </w:r>
            <w:r w:rsidRPr="00C22AAF">
              <w:rPr>
                <w:rStyle w:val="Hyperlink"/>
              </w:rPr>
              <w:t>Residential Displacements</w:t>
            </w:r>
            <w:r>
              <w:rPr>
                <w:webHidden/>
              </w:rPr>
              <w:tab/>
            </w:r>
            <w:r>
              <w:rPr>
                <w:webHidden/>
              </w:rPr>
              <w:fldChar w:fldCharType="begin"/>
            </w:r>
            <w:r>
              <w:rPr>
                <w:webHidden/>
              </w:rPr>
              <w:instrText xml:space="preserve"> PAGEREF _Toc127438016 \h </w:instrText>
            </w:r>
            <w:r>
              <w:rPr>
                <w:webHidden/>
              </w:rPr>
              <w:fldChar w:fldCharType="separate"/>
            </w:r>
            <w:r w:rsidR="00E711E2">
              <w:rPr>
                <w:webHidden/>
              </w:rPr>
              <w:t>22</w:t>
            </w:r>
            <w:r>
              <w:rPr>
                <w:webHidden/>
              </w:rPr>
              <w:fldChar w:fldCharType="end"/>
            </w:r>
          </w:hyperlink>
        </w:p>
        <w:p w:rsidR="00BC5A99" w14:paraId="7F96BC2F" w14:textId="17E4F059">
          <w:pPr>
            <w:pStyle w:val="TOC2"/>
            <w:rPr>
              <w:rFonts w:eastAsiaTheme="minorEastAsia"/>
            </w:rPr>
          </w:pPr>
          <w:hyperlink w:anchor="_Toc127438017" w:history="1">
            <w:r w:rsidRPr="00C22AAF">
              <w:rPr>
                <w:rStyle w:val="Hyperlink"/>
              </w:rPr>
              <w:t>2.1</w:t>
            </w:r>
            <w:r>
              <w:rPr>
                <w:rFonts w:eastAsiaTheme="minorEastAsia"/>
              </w:rPr>
              <w:tab/>
            </w:r>
            <w:r w:rsidRPr="00C22AAF">
              <w:rPr>
                <w:rStyle w:val="Hyperlink"/>
              </w:rPr>
              <w:t>Background</w:t>
            </w:r>
            <w:r>
              <w:rPr>
                <w:webHidden/>
              </w:rPr>
              <w:tab/>
            </w:r>
            <w:r>
              <w:rPr>
                <w:webHidden/>
              </w:rPr>
              <w:fldChar w:fldCharType="begin"/>
            </w:r>
            <w:r>
              <w:rPr>
                <w:webHidden/>
              </w:rPr>
              <w:instrText xml:space="preserve"> PAGEREF _Toc127438017 \h </w:instrText>
            </w:r>
            <w:r>
              <w:rPr>
                <w:webHidden/>
              </w:rPr>
              <w:fldChar w:fldCharType="separate"/>
            </w:r>
            <w:r w:rsidR="00E711E2">
              <w:rPr>
                <w:webHidden/>
              </w:rPr>
              <w:t>22</w:t>
            </w:r>
            <w:r>
              <w:rPr>
                <w:webHidden/>
              </w:rPr>
              <w:fldChar w:fldCharType="end"/>
            </w:r>
          </w:hyperlink>
        </w:p>
        <w:p w:rsidR="00BC5A99" w14:paraId="54BE4D16" w14:textId="287770EB">
          <w:pPr>
            <w:pStyle w:val="TOC2"/>
            <w:rPr>
              <w:rFonts w:eastAsiaTheme="minorEastAsia"/>
            </w:rPr>
          </w:pPr>
          <w:hyperlink w:anchor="_Toc127438018" w:history="1">
            <w:r w:rsidRPr="00C22AAF">
              <w:rPr>
                <w:rStyle w:val="Hyperlink"/>
              </w:rPr>
              <w:t>2.2</w:t>
            </w:r>
            <w:r>
              <w:rPr>
                <w:rFonts w:eastAsiaTheme="minorEastAsia"/>
              </w:rPr>
              <w:tab/>
            </w:r>
            <w:r w:rsidRPr="00C22AAF">
              <w:rPr>
                <w:rStyle w:val="Hyperlink"/>
              </w:rPr>
              <w:t>Data</w:t>
            </w:r>
            <w:r>
              <w:rPr>
                <w:webHidden/>
              </w:rPr>
              <w:tab/>
            </w:r>
            <w:r>
              <w:rPr>
                <w:webHidden/>
              </w:rPr>
              <w:fldChar w:fldCharType="begin"/>
            </w:r>
            <w:r>
              <w:rPr>
                <w:webHidden/>
              </w:rPr>
              <w:instrText xml:space="preserve"> PAGEREF _Toc127438018 \h </w:instrText>
            </w:r>
            <w:r>
              <w:rPr>
                <w:webHidden/>
              </w:rPr>
              <w:fldChar w:fldCharType="separate"/>
            </w:r>
            <w:r w:rsidR="00E711E2">
              <w:rPr>
                <w:webHidden/>
              </w:rPr>
              <w:t>22</w:t>
            </w:r>
            <w:r>
              <w:rPr>
                <w:webHidden/>
              </w:rPr>
              <w:fldChar w:fldCharType="end"/>
            </w:r>
          </w:hyperlink>
        </w:p>
        <w:p w:rsidR="00BC5A99" w14:paraId="23A02221" w14:textId="1CCDDCBD">
          <w:pPr>
            <w:pStyle w:val="TOC2"/>
            <w:rPr>
              <w:rFonts w:eastAsiaTheme="minorEastAsia"/>
            </w:rPr>
          </w:pPr>
          <w:hyperlink w:anchor="_Toc127438019" w:history="1">
            <w:r w:rsidRPr="00C22AAF">
              <w:rPr>
                <w:rStyle w:val="Hyperlink"/>
              </w:rPr>
              <w:t>2.3</w:t>
            </w:r>
            <w:r>
              <w:rPr>
                <w:rFonts w:eastAsiaTheme="minorEastAsia"/>
              </w:rPr>
              <w:tab/>
            </w:r>
            <w:r w:rsidRPr="00C22AAF">
              <w:rPr>
                <w:rStyle w:val="Hyperlink"/>
              </w:rPr>
              <w:t>Revising Maximum Replacement Housing Payment (RHP) and Rental Replacement Housing Payment (RRHP)</w:t>
            </w:r>
            <w:r>
              <w:rPr>
                <w:webHidden/>
              </w:rPr>
              <w:tab/>
            </w:r>
            <w:r>
              <w:rPr>
                <w:webHidden/>
              </w:rPr>
              <w:fldChar w:fldCharType="begin"/>
            </w:r>
            <w:r>
              <w:rPr>
                <w:webHidden/>
              </w:rPr>
              <w:instrText xml:space="preserve"> PAGEREF _Toc127438019 \h </w:instrText>
            </w:r>
            <w:r>
              <w:rPr>
                <w:webHidden/>
              </w:rPr>
              <w:fldChar w:fldCharType="separate"/>
            </w:r>
            <w:r w:rsidR="00E711E2">
              <w:rPr>
                <w:webHidden/>
              </w:rPr>
              <w:t>23</w:t>
            </w:r>
            <w:r>
              <w:rPr>
                <w:webHidden/>
              </w:rPr>
              <w:fldChar w:fldCharType="end"/>
            </w:r>
          </w:hyperlink>
        </w:p>
        <w:p w:rsidR="00BC5A99" w:rsidP="00E711E2" w14:paraId="514A1D5C" w14:textId="0C3C57C4">
          <w:pPr>
            <w:pStyle w:val="TOC3"/>
            <w:rPr>
              <w:rFonts w:eastAsiaTheme="minorEastAsia"/>
            </w:rPr>
          </w:pPr>
          <w:hyperlink w:anchor="_Toc127438020" w:history="1">
            <w:r w:rsidRPr="00C22AAF">
              <w:rPr>
                <w:rStyle w:val="Hyperlink"/>
              </w:rPr>
              <w:t>2.3.1</w:t>
            </w:r>
            <w:r>
              <w:rPr>
                <w:rFonts w:eastAsiaTheme="minorEastAsia"/>
              </w:rPr>
              <w:tab/>
            </w:r>
            <w:r w:rsidRPr="00C22AAF">
              <w:rPr>
                <w:rStyle w:val="Hyperlink"/>
              </w:rPr>
              <w:t>Administrative Cost Savings</w:t>
            </w:r>
            <w:r>
              <w:rPr>
                <w:webHidden/>
              </w:rPr>
              <w:tab/>
            </w:r>
            <w:r>
              <w:rPr>
                <w:webHidden/>
              </w:rPr>
              <w:fldChar w:fldCharType="begin"/>
            </w:r>
            <w:r>
              <w:rPr>
                <w:webHidden/>
              </w:rPr>
              <w:instrText xml:space="preserve"> PAGEREF _Toc127438020 \h </w:instrText>
            </w:r>
            <w:r>
              <w:rPr>
                <w:webHidden/>
              </w:rPr>
              <w:fldChar w:fldCharType="separate"/>
            </w:r>
            <w:r w:rsidR="00E711E2">
              <w:rPr>
                <w:webHidden/>
              </w:rPr>
              <w:t>24</w:t>
            </w:r>
            <w:r>
              <w:rPr>
                <w:webHidden/>
              </w:rPr>
              <w:fldChar w:fldCharType="end"/>
            </w:r>
          </w:hyperlink>
        </w:p>
        <w:p w:rsidR="00BC5A99" w:rsidP="00E711E2" w14:paraId="2355364E" w14:textId="5CB17462">
          <w:pPr>
            <w:pStyle w:val="TOC3"/>
            <w:rPr>
              <w:rFonts w:eastAsiaTheme="minorEastAsia"/>
            </w:rPr>
          </w:pPr>
          <w:hyperlink w:anchor="_Toc127438021" w:history="1">
            <w:r w:rsidRPr="00C22AAF">
              <w:rPr>
                <w:rStyle w:val="Hyperlink"/>
              </w:rPr>
              <w:t>2.3.2</w:t>
            </w:r>
            <w:r>
              <w:rPr>
                <w:rFonts w:eastAsiaTheme="minorEastAsia"/>
              </w:rPr>
              <w:tab/>
            </w:r>
            <w:r w:rsidRPr="00C22AAF">
              <w:rPr>
                <w:rStyle w:val="Hyperlink"/>
              </w:rPr>
              <w:t>Transfers (Increased Program Expenditures)</w:t>
            </w:r>
            <w:r>
              <w:rPr>
                <w:webHidden/>
              </w:rPr>
              <w:tab/>
            </w:r>
            <w:r>
              <w:rPr>
                <w:webHidden/>
              </w:rPr>
              <w:fldChar w:fldCharType="begin"/>
            </w:r>
            <w:r>
              <w:rPr>
                <w:webHidden/>
              </w:rPr>
              <w:instrText xml:space="preserve"> PAGEREF _Toc127438021 \h </w:instrText>
            </w:r>
            <w:r>
              <w:rPr>
                <w:webHidden/>
              </w:rPr>
              <w:fldChar w:fldCharType="separate"/>
            </w:r>
            <w:r w:rsidR="00E711E2">
              <w:rPr>
                <w:webHidden/>
              </w:rPr>
              <w:t>27</w:t>
            </w:r>
            <w:r>
              <w:rPr>
                <w:webHidden/>
              </w:rPr>
              <w:fldChar w:fldCharType="end"/>
            </w:r>
          </w:hyperlink>
        </w:p>
        <w:p w:rsidR="00BC5A99" w14:paraId="171106AF" w14:textId="64075035">
          <w:pPr>
            <w:pStyle w:val="TOC2"/>
            <w:rPr>
              <w:rFonts w:eastAsiaTheme="minorEastAsia"/>
            </w:rPr>
          </w:pPr>
          <w:hyperlink w:anchor="_Toc127438022" w:history="1">
            <w:r w:rsidRPr="00C22AAF">
              <w:rPr>
                <w:rStyle w:val="Hyperlink"/>
              </w:rPr>
              <w:t>2.4</w:t>
            </w:r>
            <w:r>
              <w:rPr>
                <w:rFonts w:eastAsiaTheme="minorEastAsia"/>
              </w:rPr>
              <w:tab/>
            </w:r>
            <w:r w:rsidRPr="00C22AAF">
              <w:rPr>
                <w:rStyle w:val="Hyperlink"/>
              </w:rPr>
              <w:t>Homeowner 90 Day Eligibility</w:t>
            </w:r>
            <w:r>
              <w:rPr>
                <w:webHidden/>
              </w:rPr>
              <w:tab/>
            </w:r>
            <w:r>
              <w:rPr>
                <w:webHidden/>
              </w:rPr>
              <w:fldChar w:fldCharType="begin"/>
            </w:r>
            <w:r>
              <w:rPr>
                <w:webHidden/>
              </w:rPr>
              <w:instrText xml:space="preserve"> PAGEREF _Toc127438022 \h </w:instrText>
            </w:r>
            <w:r>
              <w:rPr>
                <w:webHidden/>
              </w:rPr>
              <w:fldChar w:fldCharType="separate"/>
            </w:r>
            <w:r w:rsidR="00E711E2">
              <w:rPr>
                <w:webHidden/>
              </w:rPr>
              <w:t>27</w:t>
            </w:r>
            <w:r>
              <w:rPr>
                <w:webHidden/>
              </w:rPr>
              <w:fldChar w:fldCharType="end"/>
            </w:r>
          </w:hyperlink>
        </w:p>
        <w:p w:rsidR="00BC5A99" w:rsidP="00E711E2" w14:paraId="033A31D5" w14:textId="2A7677E6">
          <w:pPr>
            <w:pStyle w:val="TOC3"/>
            <w:rPr>
              <w:rFonts w:eastAsiaTheme="minorEastAsia"/>
            </w:rPr>
          </w:pPr>
          <w:hyperlink w:anchor="_Toc127438023" w:history="1">
            <w:r w:rsidRPr="00C22AAF">
              <w:rPr>
                <w:rStyle w:val="Hyperlink"/>
              </w:rPr>
              <w:t>2.4.1</w:t>
            </w:r>
            <w:r>
              <w:rPr>
                <w:rFonts w:eastAsiaTheme="minorEastAsia"/>
              </w:rPr>
              <w:tab/>
            </w:r>
            <w:r w:rsidRPr="00C22AAF">
              <w:rPr>
                <w:rStyle w:val="Hyperlink"/>
              </w:rPr>
              <w:t>Administrative Cost Savings</w:t>
            </w:r>
            <w:r>
              <w:rPr>
                <w:webHidden/>
              </w:rPr>
              <w:tab/>
            </w:r>
            <w:r>
              <w:rPr>
                <w:webHidden/>
              </w:rPr>
              <w:fldChar w:fldCharType="begin"/>
            </w:r>
            <w:r>
              <w:rPr>
                <w:webHidden/>
              </w:rPr>
              <w:instrText xml:space="preserve"> PAGEREF _Toc127438023 \h </w:instrText>
            </w:r>
            <w:r>
              <w:rPr>
                <w:webHidden/>
              </w:rPr>
              <w:fldChar w:fldCharType="separate"/>
            </w:r>
            <w:r w:rsidR="00E711E2">
              <w:rPr>
                <w:webHidden/>
              </w:rPr>
              <w:t>27</w:t>
            </w:r>
            <w:r>
              <w:rPr>
                <w:webHidden/>
              </w:rPr>
              <w:fldChar w:fldCharType="end"/>
            </w:r>
          </w:hyperlink>
        </w:p>
        <w:p w:rsidR="00BC5A99" w:rsidP="00E711E2" w14:paraId="6A966C14" w14:textId="49775538">
          <w:pPr>
            <w:pStyle w:val="TOC3"/>
            <w:rPr>
              <w:rFonts w:eastAsiaTheme="minorEastAsia"/>
            </w:rPr>
          </w:pPr>
          <w:hyperlink w:anchor="_Toc127438024" w:history="1">
            <w:r w:rsidRPr="00C22AAF">
              <w:rPr>
                <w:rStyle w:val="Hyperlink"/>
              </w:rPr>
              <w:t>2.4.2</w:t>
            </w:r>
            <w:r>
              <w:rPr>
                <w:rFonts w:eastAsiaTheme="minorEastAsia"/>
              </w:rPr>
              <w:tab/>
            </w:r>
            <w:r w:rsidRPr="00C22AAF">
              <w:rPr>
                <w:rStyle w:val="Hyperlink"/>
              </w:rPr>
              <w:t>Transfers (Increased Program Expenditures)</w:t>
            </w:r>
            <w:r>
              <w:rPr>
                <w:webHidden/>
              </w:rPr>
              <w:tab/>
            </w:r>
            <w:r>
              <w:rPr>
                <w:webHidden/>
              </w:rPr>
              <w:fldChar w:fldCharType="begin"/>
            </w:r>
            <w:r>
              <w:rPr>
                <w:webHidden/>
              </w:rPr>
              <w:instrText xml:space="preserve"> PAGEREF _Toc127438024 \h </w:instrText>
            </w:r>
            <w:r>
              <w:rPr>
                <w:webHidden/>
              </w:rPr>
              <w:fldChar w:fldCharType="separate"/>
            </w:r>
            <w:r w:rsidR="00E711E2">
              <w:rPr>
                <w:webHidden/>
              </w:rPr>
              <w:t>29</w:t>
            </w:r>
            <w:r>
              <w:rPr>
                <w:webHidden/>
              </w:rPr>
              <w:fldChar w:fldCharType="end"/>
            </w:r>
          </w:hyperlink>
        </w:p>
        <w:p w:rsidR="00BC5A99" w14:paraId="27BD21D9" w14:textId="5C3E1AFD">
          <w:pPr>
            <w:pStyle w:val="TOC2"/>
            <w:rPr>
              <w:rFonts w:eastAsiaTheme="minorEastAsia"/>
            </w:rPr>
          </w:pPr>
          <w:hyperlink w:anchor="_Toc127438025" w:history="1">
            <w:r w:rsidRPr="00C22AAF">
              <w:rPr>
                <w:rStyle w:val="Hyperlink"/>
              </w:rPr>
              <w:t>2.5</w:t>
            </w:r>
            <w:r>
              <w:rPr>
                <w:rFonts w:eastAsiaTheme="minorEastAsia"/>
              </w:rPr>
              <w:tab/>
            </w:r>
            <w:r w:rsidRPr="00C22AAF">
              <w:rPr>
                <w:rStyle w:val="Hyperlink"/>
              </w:rPr>
              <w:t>Reverse Mortgages</w:t>
            </w:r>
            <w:r>
              <w:rPr>
                <w:webHidden/>
              </w:rPr>
              <w:tab/>
            </w:r>
            <w:r>
              <w:rPr>
                <w:webHidden/>
              </w:rPr>
              <w:fldChar w:fldCharType="begin"/>
            </w:r>
            <w:r>
              <w:rPr>
                <w:webHidden/>
              </w:rPr>
              <w:instrText xml:space="preserve"> PAGEREF _Toc127438025 \h </w:instrText>
            </w:r>
            <w:r>
              <w:rPr>
                <w:webHidden/>
              </w:rPr>
              <w:fldChar w:fldCharType="separate"/>
            </w:r>
            <w:r w:rsidR="00E711E2">
              <w:rPr>
                <w:webHidden/>
              </w:rPr>
              <w:t>30</w:t>
            </w:r>
            <w:r>
              <w:rPr>
                <w:webHidden/>
              </w:rPr>
              <w:fldChar w:fldCharType="end"/>
            </w:r>
          </w:hyperlink>
        </w:p>
        <w:p w:rsidR="00BC5A99" w:rsidP="00E711E2" w14:paraId="1DC83F80" w14:textId="36468176">
          <w:pPr>
            <w:pStyle w:val="TOC3"/>
            <w:rPr>
              <w:rFonts w:eastAsiaTheme="minorEastAsia"/>
            </w:rPr>
          </w:pPr>
          <w:hyperlink w:anchor="_Toc127438026" w:history="1">
            <w:r w:rsidRPr="00C22AAF">
              <w:rPr>
                <w:rStyle w:val="Hyperlink"/>
              </w:rPr>
              <w:t>2.5.1</w:t>
            </w:r>
            <w:r>
              <w:rPr>
                <w:rFonts w:eastAsiaTheme="minorEastAsia"/>
              </w:rPr>
              <w:tab/>
            </w:r>
            <w:r w:rsidRPr="00C22AAF">
              <w:rPr>
                <w:rStyle w:val="Hyperlink"/>
              </w:rPr>
              <w:t>Benefits</w:t>
            </w:r>
            <w:r>
              <w:rPr>
                <w:webHidden/>
              </w:rPr>
              <w:tab/>
            </w:r>
            <w:r>
              <w:rPr>
                <w:webHidden/>
              </w:rPr>
              <w:fldChar w:fldCharType="begin"/>
            </w:r>
            <w:r>
              <w:rPr>
                <w:webHidden/>
              </w:rPr>
              <w:instrText xml:space="preserve"> PAGEREF _Toc127438026 \h </w:instrText>
            </w:r>
            <w:r>
              <w:rPr>
                <w:webHidden/>
              </w:rPr>
              <w:fldChar w:fldCharType="separate"/>
            </w:r>
            <w:r w:rsidR="00E711E2">
              <w:rPr>
                <w:webHidden/>
              </w:rPr>
              <w:t>30</w:t>
            </w:r>
            <w:r>
              <w:rPr>
                <w:webHidden/>
              </w:rPr>
              <w:fldChar w:fldCharType="end"/>
            </w:r>
          </w:hyperlink>
        </w:p>
        <w:p w:rsidR="00BC5A99" w:rsidP="00E711E2" w14:paraId="2638D7C9" w14:textId="63336E86">
          <w:pPr>
            <w:pStyle w:val="TOC3"/>
            <w:rPr>
              <w:rFonts w:eastAsiaTheme="minorEastAsia"/>
            </w:rPr>
          </w:pPr>
          <w:hyperlink w:anchor="_Toc127438027" w:history="1">
            <w:r w:rsidRPr="00C22AAF">
              <w:rPr>
                <w:rStyle w:val="Hyperlink"/>
              </w:rPr>
              <w:t>2.5.2</w:t>
            </w:r>
            <w:r>
              <w:rPr>
                <w:rFonts w:eastAsiaTheme="minorEastAsia"/>
              </w:rPr>
              <w:tab/>
            </w:r>
            <w:r w:rsidRPr="00C22AAF">
              <w:rPr>
                <w:rStyle w:val="Hyperlink"/>
              </w:rPr>
              <w:t>Transfers (Increased Program Expenditures)</w:t>
            </w:r>
            <w:r>
              <w:rPr>
                <w:webHidden/>
              </w:rPr>
              <w:tab/>
            </w:r>
            <w:r>
              <w:rPr>
                <w:webHidden/>
              </w:rPr>
              <w:fldChar w:fldCharType="begin"/>
            </w:r>
            <w:r>
              <w:rPr>
                <w:webHidden/>
              </w:rPr>
              <w:instrText xml:space="preserve"> PAGEREF _Toc127438027 \h </w:instrText>
            </w:r>
            <w:r>
              <w:rPr>
                <w:webHidden/>
              </w:rPr>
              <w:fldChar w:fldCharType="separate"/>
            </w:r>
            <w:r w:rsidR="00E711E2">
              <w:rPr>
                <w:webHidden/>
              </w:rPr>
              <w:t>31</w:t>
            </w:r>
            <w:r>
              <w:rPr>
                <w:webHidden/>
              </w:rPr>
              <w:fldChar w:fldCharType="end"/>
            </w:r>
          </w:hyperlink>
        </w:p>
        <w:p w:rsidR="00BC5A99" w:rsidP="00E711E2" w14:paraId="6DBAFC07" w14:textId="4A91CAFE">
          <w:pPr>
            <w:pStyle w:val="TOC3"/>
            <w:rPr>
              <w:rFonts w:eastAsiaTheme="minorEastAsia"/>
            </w:rPr>
          </w:pPr>
          <w:hyperlink w:anchor="_Toc127438028" w:history="1">
            <w:r w:rsidRPr="00C22AAF">
              <w:rPr>
                <w:rStyle w:val="Hyperlink"/>
              </w:rPr>
              <w:t>2.5.3</w:t>
            </w:r>
            <w:r>
              <w:rPr>
                <w:rFonts w:eastAsiaTheme="minorEastAsia"/>
              </w:rPr>
              <w:tab/>
            </w:r>
            <w:r w:rsidRPr="00C22AAF">
              <w:rPr>
                <w:rStyle w:val="Hyperlink"/>
              </w:rPr>
              <w:t>Costs</w:t>
            </w:r>
            <w:r>
              <w:rPr>
                <w:webHidden/>
              </w:rPr>
              <w:tab/>
            </w:r>
            <w:r>
              <w:rPr>
                <w:webHidden/>
              </w:rPr>
              <w:fldChar w:fldCharType="begin"/>
            </w:r>
            <w:r>
              <w:rPr>
                <w:webHidden/>
              </w:rPr>
              <w:instrText xml:space="preserve"> PAGEREF _Toc127438028 \h </w:instrText>
            </w:r>
            <w:r>
              <w:rPr>
                <w:webHidden/>
              </w:rPr>
              <w:fldChar w:fldCharType="separate"/>
            </w:r>
            <w:r w:rsidR="00E711E2">
              <w:rPr>
                <w:webHidden/>
              </w:rPr>
              <w:t>31</w:t>
            </w:r>
            <w:r>
              <w:rPr>
                <w:webHidden/>
              </w:rPr>
              <w:fldChar w:fldCharType="end"/>
            </w:r>
          </w:hyperlink>
        </w:p>
        <w:p w:rsidR="00BC5A99" w14:paraId="396399B8" w14:textId="6F86EA79">
          <w:pPr>
            <w:pStyle w:val="TOC2"/>
            <w:rPr>
              <w:rFonts w:eastAsiaTheme="minorEastAsia"/>
            </w:rPr>
          </w:pPr>
          <w:hyperlink w:anchor="_Toc127438029" w:history="1">
            <w:r w:rsidRPr="00C22AAF">
              <w:rPr>
                <w:rStyle w:val="Hyperlink"/>
              </w:rPr>
              <w:t>2.6</w:t>
            </w:r>
            <w:r>
              <w:rPr>
                <w:rFonts w:eastAsiaTheme="minorEastAsia"/>
              </w:rPr>
              <w:tab/>
            </w:r>
            <w:r w:rsidRPr="00C22AAF">
              <w:rPr>
                <w:rStyle w:val="Hyperlink"/>
              </w:rPr>
              <w:t>Rental Application and Credit Check Fees</w:t>
            </w:r>
            <w:r>
              <w:rPr>
                <w:webHidden/>
              </w:rPr>
              <w:tab/>
            </w:r>
            <w:r>
              <w:rPr>
                <w:webHidden/>
              </w:rPr>
              <w:fldChar w:fldCharType="begin"/>
            </w:r>
            <w:r>
              <w:rPr>
                <w:webHidden/>
              </w:rPr>
              <w:instrText xml:space="preserve"> PAGEREF _Toc127438029 \h </w:instrText>
            </w:r>
            <w:r>
              <w:rPr>
                <w:webHidden/>
              </w:rPr>
              <w:fldChar w:fldCharType="separate"/>
            </w:r>
            <w:r w:rsidR="00E711E2">
              <w:rPr>
                <w:webHidden/>
              </w:rPr>
              <w:t>32</w:t>
            </w:r>
            <w:r>
              <w:rPr>
                <w:webHidden/>
              </w:rPr>
              <w:fldChar w:fldCharType="end"/>
            </w:r>
          </w:hyperlink>
        </w:p>
        <w:p w:rsidR="00BC5A99" w:rsidP="00E711E2" w14:paraId="3D0D0761" w14:textId="536F0979">
          <w:pPr>
            <w:pStyle w:val="TOC3"/>
            <w:rPr>
              <w:rFonts w:eastAsiaTheme="minorEastAsia"/>
            </w:rPr>
          </w:pPr>
          <w:hyperlink w:anchor="_Toc127438030" w:history="1">
            <w:r w:rsidRPr="00C22AAF">
              <w:rPr>
                <w:rStyle w:val="Hyperlink"/>
              </w:rPr>
              <w:t>2.6.1</w:t>
            </w:r>
            <w:r>
              <w:rPr>
                <w:rFonts w:eastAsiaTheme="minorEastAsia"/>
              </w:rPr>
              <w:tab/>
            </w:r>
            <w:r w:rsidRPr="00C22AAF">
              <w:rPr>
                <w:rStyle w:val="Hyperlink"/>
              </w:rPr>
              <w:t>Benefits</w:t>
            </w:r>
            <w:r>
              <w:rPr>
                <w:webHidden/>
              </w:rPr>
              <w:tab/>
            </w:r>
            <w:r>
              <w:rPr>
                <w:webHidden/>
              </w:rPr>
              <w:fldChar w:fldCharType="begin"/>
            </w:r>
            <w:r>
              <w:rPr>
                <w:webHidden/>
              </w:rPr>
              <w:instrText xml:space="preserve"> PAGEREF _Toc127438030 \h </w:instrText>
            </w:r>
            <w:r>
              <w:rPr>
                <w:webHidden/>
              </w:rPr>
              <w:fldChar w:fldCharType="separate"/>
            </w:r>
            <w:r w:rsidR="00E711E2">
              <w:rPr>
                <w:webHidden/>
              </w:rPr>
              <w:t>32</w:t>
            </w:r>
            <w:r>
              <w:rPr>
                <w:webHidden/>
              </w:rPr>
              <w:fldChar w:fldCharType="end"/>
            </w:r>
          </w:hyperlink>
        </w:p>
        <w:p w:rsidR="00BC5A99" w:rsidP="00E711E2" w14:paraId="37E0DE6B" w14:textId="455017F1">
          <w:pPr>
            <w:pStyle w:val="TOC3"/>
            <w:rPr>
              <w:rFonts w:eastAsiaTheme="minorEastAsia"/>
            </w:rPr>
          </w:pPr>
          <w:hyperlink w:anchor="_Toc127438031" w:history="1">
            <w:r w:rsidRPr="00C22AAF">
              <w:rPr>
                <w:rStyle w:val="Hyperlink"/>
              </w:rPr>
              <w:t>2.6.2</w:t>
            </w:r>
            <w:r>
              <w:rPr>
                <w:rFonts w:eastAsiaTheme="minorEastAsia"/>
              </w:rPr>
              <w:tab/>
            </w:r>
            <w:r w:rsidRPr="00C22AAF">
              <w:rPr>
                <w:rStyle w:val="Hyperlink"/>
              </w:rPr>
              <w:t>Transfers (Increased Program Expenditures)</w:t>
            </w:r>
            <w:r>
              <w:rPr>
                <w:webHidden/>
              </w:rPr>
              <w:tab/>
            </w:r>
            <w:r>
              <w:rPr>
                <w:webHidden/>
              </w:rPr>
              <w:fldChar w:fldCharType="begin"/>
            </w:r>
            <w:r>
              <w:rPr>
                <w:webHidden/>
              </w:rPr>
              <w:instrText xml:space="preserve"> PAGEREF _Toc127438031 \h </w:instrText>
            </w:r>
            <w:r>
              <w:rPr>
                <w:webHidden/>
              </w:rPr>
              <w:fldChar w:fldCharType="separate"/>
            </w:r>
            <w:r w:rsidR="00E711E2">
              <w:rPr>
                <w:webHidden/>
              </w:rPr>
              <w:t>33</w:t>
            </w:r>
            <w:r>
              <w:rPr>
                <w:webHidden/>
              </w:rPr>
              <w:fldChar w:fldCharType="end"/>
            </w:r>
          </w:hyperlink>
        </w:p>
        <w:p w:rsidR="00BC5A99" w14:paraId="48C181F7" w14:textId="73F71452">
          <w:pPr>
            <w:pStyle w:val="TOC2"/>
            <w:rPr>
              <w:rFonts w:eastAsiaTheme="minorEastAsia"/>
            </w:rPr>
          </w:pPr>
          <w:hyperlink w:anchor="_Toc127438032" w:history="1">
            <w:r w:rsidRPr="00C22AAF">
              <w:rPr>
                <w:rStyle w:val="Hyperlink"/>
              </w:rPr>
              <w:t>2.7</w:t>
            </w:r>
            <w:r>
              <w:rPr>
                <w:rFonts w:eastAsiaTheme="minorEastAsia"/>
              </w:rPr>
              <w:tab/>
            </w:r>
            <w:r w:rsidRPr="00C22AAF">
              <w:rPr>
                <w:rStyle w:val="Hyperlink"/>
              </w:rPr>
              <w:t>Residential Self-Moves</w:t>
            </w:r>
            <w:r>
              <w:rPr>
                <w:webHidden/>
              </w:rPr>
              <w:tab/>
            </w:r>
            <w:r>
              <w:rPr>
                <w:webHidden/>
              </w:rPr>
              <w:fldChar w:fldCharType="begin"/>
            </w:r>
            <w:r>
              <w:rPr>
                <w:webHidden/>
              </w:rPr>
              <w:instrText xml:space="preserve"> PAGEREF _Toc127438032 \h </w:instrText>
            </w:r>
            <w:r>
              <w:rPr>
                <w:webHidden/>
              </w:rPr>
              <w:fldChar w:fldCharType="separate"/>
            </w:r>
            <w:r w:rsidR="00E711E2">
              <w:rPr>
                <w:webHidden/>
              </w:rPr>
              <w:t>34</w:t>
            </w:r>
            <w:r>
              <w:rPr>
                <w:webHidden/>
              </w:rPr>
              <w:fldChar w:fldCharType="end"/>
            </w:r>
          </w:hyperlink>
        </w:p>
        <w:p w:rsidR="00BC5A99" w:rsidP="00E711E2" w14:paraId="42A3CB6E" w14:textId="142F5B4D">
          <w:pPr>
            <w:pStyle w:val="TOC3"/>
            <w:rPr>
              <w:rFonts w:eastAsiaTheme="minorEastAsia"/>
            </w:rPr>
          </w:pPr>
          <w:hyperlink w:anchor="_Toc127438033" w:history="1">
            <w:r w:rsidRPr="00C22AAF">
              <w:rPr>
                <w:rStyle w:val="Hyperlink"/>
              </w:rPr>
              <w:t>2.7.1</w:t>
            </w:r>
            <w:r>
              <w:rPr>
                <w:rFonts w:eastAsiaTheme="minorEastAsia"/>
              </w:rPr>
              <w:tab/>
            </w:r>
            <w:r w:rsidRPr="00C22AAF">
              <w:rPr>
                <w:rStyle w:val="Hyperlink"/>
              </w:rPr>
              <w:t>Administrative Cost Savings</w:t>
            </w:r>
            <w:r>
              <w:rPr>
                <w:webHidden/>
              </w:rPr>
              <w:tab/>
            </w:r>
            <w:r>
              <w:rPr>
                <w:webHidden/>
              </w:rPr>
              <w:fldChar w:fldCharType="begin"/>
            </w:r>
            <w:r>
              <w:rPr>
                <w:webHidden/>
              </w:rPr>
              <w:instrText xml:space="preserve"> PAGEREF _Toc127438033 \h </w:instrText>
            </w:r>
            <w:r>
              <w:rPr>
                <w:webHidden/>
              </w:rPr>
              <w:fldChar w:fldCharType="separate"/>
            </w:r>
            <w:r w:rsidR="00E711E2">
              <w:rPr>
                <w:webHidden/>
              </w:rPr>
              <w:t>34</w:t>
            </w:r>
            <w:r>
              <w:rPr>
                <w:webHidden/>
              </w:rPr>
              <w:fldChar w:fldCharType="end"/>
            </w:r>
          </w:hyperlink>
        </w:p>
        <w:p w:rsidR="00BC5A99" w:rsidP="00E711E2" w14:paraId="20C0079D" w14:textId="40EA42DB">
          <w:pPr>
            <w:pStyle w:val="TOC3"/>
            <w:rPr>
              <w:rFonts w:eastAsiaTheme="minorEastAsia"/>
            </w:rPr>
          </w:pPr>
          <w:hyperlink w:anchor="_Toc127438034" w:history="1">
            <w:r w:rsidRPr="00C22AAF">
              <w:rPr>
                <w:rStyle w:val="Hyperlink"/>
              </w:rPr>
              <w:t>2.7.2</w:t>
            </w:r>
            <w:r>
              <w:rPr>
                <w:rFonts w:eastAsiaTheme="minorEastAsia"/>
              </w:rPr>
              <w:tab/>
            </w:r>
            <w:r w:rsidRPr="00C22AAF">
              <w:rPr>
                <w:rStyle w:val="Hyperlink"/>
              </w:rPr>
              <w:t>Transfer (Increased Program Expenditures)</w:t>
            </w:r>
            <w:r>
              <w:rPr>
                <w:webHidden/>
              </w:rPr>
              <w:tab/>
            </w:r>
            <w:r>
              <w:rPr>
                <w:webHidden/>
              </w:rPr>
              <w:fldChar w:fldCharType="begin"/>
            </w:r>
            <w:r>
              <w:rPr>
                <w:webHidden/>
              </w:rPr>
              <w:instrText xml:space="preserve"> PAGEREF _Toc127438034 \h </w:instrText>
            </w:r>
            <w:r>
              <w:rPr>
                <w:webHidden/>
              </w:rPr>
              <w:fldChar w:fldCharType="separate"/>
            </w:r>
            <w:r w:rsidR="00E711E2">
              <w:rPr>
                <w:webHidden/>
              </w:rPr>
              <w:t>35</w:t>
            </w:r>
            <w:r>
              <w:rPr>
                <w:webHidden/>
              </w:rPr>
              <w:fldChar w:fldCharType="end"/>
            </w:r>
          </w:hyperlink>
        </w:p>
        <w:p w:rsidR="00BC5A99" w:rsidP="00FA2677" w14:paraId="01F0E4E9" w14:textId="67EE6C0E">
          <w:pPr>
            <w:pStyle w:val="TOC1"/>
            <w:rPr>
              <w:rFonts w:eastAsiaTheme="minorEastAsia"/>
              <w:sz w:val="22"/>
            </w:rPr>
          </w:pPr>
          <w:hyperlink w:anchor="_Toc127438035" w:history="1">
            <w:r w:rsidRPr="00C22AAF">
              <w:rPr>
                <w:rStyle w:val="Hyperlink"/>
                <w14:scene3d>
                  <w14:camera w14:prst="orthographicFront"/>
                  <w14:lightRig w14:rig="threePt" w14:dir="t">
                    <w14:rot w14:lat="0" w14:lon="0" w14:rev="0"/>
                  </w14:lightRig>
                </w14:scene3d>
              </w:rPr>
              <w:t>3.</w:t>
            </w:r>
            <w:r>
              <w:rPr>
                <w:rFonts w:eastAsiaTheme="minorEastAsia"/>
                <w:sz w:val="22"/>
              </w:rPr>
              <w:tab/>
            </w:r>
            <w:r w:rsidRPr="00C22AAF">
              <w:rPr>
                <w:rStyle w:val="Hyperlink"/>
              </w:rPr>
              <w:t>Non-residential Displacements</w:t>
            </w:r>
            <w:r>
              <w:rPr>
                <w:webHidden/>
              </w:rPr>
              <w:tab/>
            </w:r>
            <w:r>
              <w:rPr>
                <w:webHidden/>
              </w:rPr>
              <w:fldChar w:fldCharType="begin"/>
            </w:r>
            <w:r>
              <w:rPr>
                <w:webHidden/>
              </w:rPr>
              <w:instrText xml:space="preserve"> PAGEREF _Toc127438035 \h </w:instrText>
            </w:r>
            <w:r>
              <w:rPr>
                <w:webHidden/>
              </w:rPr>
              <w:fldChar w:fldCharType="separate"/>
            </w:r>
            <w:r w:rsidR="00E711E2">
              <w:rPr>
                <w:webHidden/>
              </w:rPr>
              <w:t>36</w:t>
            </w:r>
            <w:r>
              <w:rPr>
                <w:webHidden/>
              </w:rPr>
              <w:fldChar w:fldCharType="end"/>
            </w:r>
          </w:hyperlink>
        </w:p>
        <w:p w:rsidR="00BC5A99" w14:paraId="118A6E14" w14:textId="6052D3E6">
          <w:pPr>
            <w:pStyle w:val="TOC2"/>
            <w:rPr>
              <w:rFonts w:eastAsiaTheme="minorEastAsia"/>
            </w:rPr>
          </w:pPr>
          <w:hyperlink w:anchor="_Toc127438036" w:history="1">
            <w:r w:rsidRPr="00C22AAF">
              <w:rPr>
                <w:rStyle w:val="Hyperlink"/>
              </w:rPr>
              <w:t>3.1</w:t>
            </w:r>
            <w:r>
              <w:rPr>
                <w:rFonts w:eastAsiaTheme="minorEastAsia"/>
              </w:rPr>
              <w:tab/>
            </w:r>
            <w:r w:rsidRPr="00C22AAF">
              <w:rPr>
                <w:rStyle w:val="Hyperlink"/>
              </w:rPr>
              <w:t>Background</w:t>
            </w:r>
            <w:r>
              <w:rPr>
                <w:webHidden/>
              </w:rPr>
              <w:tab/>
            </w:r>
            <w:r>
              <w:rPr>
                <w:webHidden/>
              </w:rPr>
              <w:fldChar w:fldCharType="begin"/>
            </w:r>
            <w:r>
              <w:rPr>
                <w:webHidden/>
              </w:rPr>
              <w:instrText xml:space="preserve"> PAGEREF _Toc127438036 \h </w:instrText>
            </w:r>
            <w:r>
              <w:rPr>
                <w:webHidden/>
              </w:rPr>
              <w:fldChar w:fldCharType="separate"/>
            </w:r>
            <w:r w:rsidR="00E711E2">
              <w:rPr>
                <w:webHidden/>
              </w:rPr>
              <w:t>36</w:t>
            </w:r>
            <w:r>
              <w:rPr>
                <w:webHidden/>
              </w:rPr>
              <w:fldChar w:fldCharType="end"/>
            </w:r>
          </w:hyperlink>
        </w:p>
        <w:p w:rsidR="00BC5A99" w14:paraId="06ADA7EC" w14:textId="3879A5D3">
          <w:pPr>
            <w:pStyle w:val="TOC2"/>
            <w:rPr>
              <w:rFonts w:eastAsiaTheme="minorEastAsia"/>
            </w:rPr>
          </w:pPr>
          <w:hyperlink w:anchor="_Toc127438037" w:history="1">
            <w:r w:rsidRPr="00C22AAF">
              <w:rPr>
                <w:rStyle w:val="Hyperlink"/>
              </w:rPr>
              <w:t>3.2</w:t>
            </w:r>
            <w:r>
              <w:rPr>
                <w:rFonts w:eastAsiaTheme="minorEastAsia"/>
              </w:rPr>
              <w:tab/>
            </w:r>
            <w:r w:rsidRPr="00C22AAF">
              <w:rPr>
                <w:rStyle w:val="Hyperlink"/>
              </w:rPr>
              <w:t>Data</w:t>
            </w:r>
            <w:r>
              <w:rPr>
                <w:webHidden/>
              </w:rPr>
              <w:tab/>
            </w:r>
            <w:r>
              <w:rPr>
                <w:webHidden/>
              </w:rPr>
              <w:fldChar w:fldCharType="begin"/>
            </w:r>
            <w:r>
              <w:rPr>
                <w:webHidden/>
              </w:rPr>
              <w:instrText xml:space="preserve"> PAGEREF _Toc127438037 \h </w:instrText>
            </w:r>
            <w:r>
              <w:rPr>
                <w:webHidden/>
              </w:rPr>
              <w:fldChar w:fldCharType="separate"/>
            </w:r>
            <w:r w:rsidR="00E711E2">
              <w:rPr>
                <w:webHidden/>
              </w:rPr>
              <w:t>37</w:t>
            </w:r>
            <w:r>
              <w:rPr>
                <w:webHidden/>
              </w:rPr>
              <w:fldChar w:fldCharType="end"/>
            </w:r>
          </w:hyperlink>
        </w:p>
        <w:p w:rsidR="00BC5A99" w14:paraId="4F0FCB1F" w14:textId="554859FF">
          <w:pPr>
            <w:pStyle w:val="TOC2"/>
            <w:rPr>
              <w:rFonts w:eastAsiaTheme="minorEastAsia"/>
            </w:rPr>
          </w:pPr>
          <w:hyperlink w:anchor="_Toc127438038" w:history="1">
            <w:r w:rsidRPr="00C22AAF">
              <w:rPr>
                <w:rStyle w:val="Hyperlink"/>
              </w:rPr>
              <w:t>3.3</w:t>
            </w:r>
            <w:r>
              <w:rPr>
                <w:rFonts w:eastAsiaTheme="minorEastAsia"/>
              </w:rPr>
              <w:tab/>
            </w:r>
            <w:r w:rsidRPr="00C22AAF">
              <w:rPr>
                <w:rStyle w:val="Hyperlink"/>
              </w:rPr>
              <w:t>Reimbursement for Updating Other Media</w:t>
            </w:r>
            <w:r>
              <w:rPr>
                <w:webHidden/>
              </w:rPr>
              <w:tab/>
            </w:r>
            <w:r>
              <w:rPr>
                <w:webHidden/>
              </w:rPr>
              <w:fldChar w:fldCharType="begin"/>
            </w:r>
            <w:r>
              <w:rPr>
                <w:webHidden/>
              </w:rPr>
              <w:instrText xml:space="preserve"> PAGEREF _Toc127438038 \h </w:instrText>
            </w:r>
            <w:r>
              <w:rPr>
                <w:webHidden/>
              </w:rPr>
              <w:fldChar w:fldCharType="separate"/>
            </w:r>
            <w:r w:rsidR="00E711E2">
              <w:rPr>
                <w:webHidden/>
              </w:rPr>
              <w:t>38</w:t>
            </w:r>
            <w:r>
              <w:rPr>
                <w:webHidden/>
              </w:rPr>
              <w:fldChar w:fldCharType="end"/>
            </w:r>
          </w:hyperlink>
        </w:p>
        <w:p w:rsidR="00BC5A99" w:rsidP="00E711E2" w14:paraId="2BF03B8E" w14:textId="5926F8A0">
          <w:pPr>
            <w:pStyle w:val="TOC3"/>
            <w:rPr>
              <w:rFonts w:eastAsiaTheme="minorEastAsia"/>
            </w:rPr>
          </w:pPr>
          <w:hyperlink w:anchor="_Toc127438039" w:history="1">
            <w:r w:rsidRPr="00C22AAF">
              <w:rPr>
                <w:rStyle w:val="Hyperlink"/>
              </w:rPr>
              <w:t>3.3.1</w:t>
            </w:r>
            <w:r>
              <w:rPr>
                <w:rFonts w:eastAsiaTheme="minorEastAsia"/>
              </w:rPr>
              <w:tab/>
            </w:r>
            <w:r w:rsidRPr="00C22AAF">
              <w:rPr>
                <w:rStyle w:val="Hyperlink"/>
              </w:rPr>
              <w:t>Benefits</w:t>
            </w:r>
            <w:r>
              <w:rPr>
                <w:webHidden/>
              </w:rPr>
              <w:tab/>
            </w:r>
            <w:r>
              <w:rPr>
                <w:webHidden/>
              </w:rPr>
              <w:fldChar w:fldCharType="begin"/>
            </w:r>
            <w:r>
              <w:rPr>
                <w:webHidden/>
              </w:rPr>
              <w:instrText xml:space="preserve"> PAGEREF _Toc127438039 \h </w:instrText>
            </w:r>
            <w:r>
              <w:rPr>
                <w:webHidden/>
              </w:rPr>
              <w:fldChar w:fldCharType="separate"/>
            </w:r>
            <w:r w:rsidR="00E711E2">
              <w:rPr>
                <w:webHidden/>
              </w:rPr>
              <w:t>38</w:t>
            </w:r>
            <w:r>
              <w:rPr>
                <w:webHidden/>
              </w:rPr>
              <w:fldChar w:fldCharType="end"/>
            </w:r>
          </w:hyperlink>
        </w:p>
        <w:p w:rsidR="00BC5A99" w:rsidP="00E711E2" w14:paraId="3A298184" w14:textId="3FCE03C7">
          <w:pPr>
            <w:pStyle w:val="TOC3"/>
            <w:rPr>
              <w:rFonts w:eastAsiaTheme="minorEastAsia"/>
            </w:rPr>
          </w:pPr>
          <w:hyperlink w:anchor="_Toc127438040" w:history="1">
            <w:r w:rsidRPr="00C22AAF">
              <w:rPr>
                <w:rStyle w:val="Hyperlink"/>
              </w:rPr>
              <w:t>3.3.2</w:t>
            </w:r>
            <w:r>
              <w:rPr>
                <w:rFonts w:eastAsiaTheme="minorEastAsia"/>
              </w:rPr>
              <w:tab/>
            </w:r>
            <w:r w:rsidRPr="00C22AAF">
              <w:rPr>
                <w:rStyle w:val="Hyperlink"/>
              </w:rPr>
              <w:t>Transfers (Increased Program Expenditures)</w:t>
            </w:r>
            <w:r>
              <w:rPr>
                <w:webHidden/>
              </w:rPr>
              <w:tab/>
            </w:r>
            <w:r>
              <w:rPr>
                <w:webHidden/>
              </w:rPr>
              <w:fldChar w:fldCharType="begin"/>
            </w:r>
            <w:r>
              <w:rPr>
                <w:webHidden/>
              </w:rPr>
              <w:instrText xml:space="preserve"> PAGEREF _Toc127438040 \h </w:instrText>
            </w:r>
            <w:r>
              <w:rPr>
                <w:webHidden/>
              </w:rPr>
              <w:fldChar w:fldCharType="separate"/>
            </w:r>
            <w:r w:rsidR="00E711E2">
              <w:rPr>
                <w:webHidden/>
              </w:rPr>
              <w:t>39</w:t>
            </w:r>
            <w:r>
              <w:rPr>
                <w:webHidden/>
              </w:rPr>
              <w:fldChar w:fldCharType="end"/>
            </w:r>
          </w:hyperlink>
        </w:p>
        <w:p w:rsidR="00BC5A99" w14:paraId="655A7101" w14:textId="3AC19BAA">
          <w:pPr>
            <w:pStyle w:val="TOC2"/>
            <w:rPr>
              <w:rFonts w:eastAsiaTheme="minorEastAsia"/>
            </w:rPr>
          </w:pPr>
          <w:hyperlink w:anchor="_Toc127438041" w:history="1">
            <w:r w:rsidRPr="00C22AAF">
              <w:rPr>
                <w:rStyle w:val="Hyperlink"/>
              </w:rPr>
              <w:t>3.4</w:t>
            </w:r>
            <w:r>
              <w:rPr>
                <w:rFonts w:eastAsiaTheme="minorEastAsia"/>
              </w:rPr>
              <w:tab/>
            </w:r>
            <w:r w:rsidRPr="00C22AAF">
              <w:rPr>
                <w:rStyle w:val="Hyperlink"/>
              </w:rPr>
              <w:t>Search Expenses</w:t>
            </w:r>
            <w:r>
              <w:rPr>
                <w:webHidden/>
              </w:rPr>
              <w:tab/>
            </w:r>
            <w:r>
              <w:rPr>
                <w:webHidden/>
              </w:rPr>
              <w:fldChar w:fldCharType="begin"/>
            </w:r>
            <w:r>
              <w:rPr>
                <w:webHidden/>
              </w:rPr>
              <w:instrText xml:space="preserve"> PAGEREF _Toc127438041 \h </w:instrText>
            </w:r>
            <w:r>
              <w:rPr>
                <w:webHidden/>
              </w:rPr>
              <w:fldChar w:fldCharType="separate"/>
            </w:r>
            <w:r w:rsidR="00E711E2">
              <w:rPr>
                <w:webHidden/>
              </w:rPr>
              <w:t>39</w:t>
            </w:r>
            <w:r>
              <w:rPr>
                <w:webHidden/>
              </w:rPr>
              <w:fldChar w:fldCharType="end"/>
            </w:r>
          </w:hyperlink>
        </w:p>
        <w:p w:rsidR="00BC5A99" w:rsidP="00E711E2" w14:paraId="59AE1B36" w14:textId="5F80117E">
          <w:pPr>
            <w:pStyle w:val="TOC3"/>
            <w:rPr>
              <w:rFonts w:eastAsiaTheme="minorEastAsia"/>
            </w:rPr>
          </w:pPr>
          <w:hyperlink w:anchor="_Toc127438042" w:history="1">
            <w:r w:rsidRPr="00C22AAF">
              <w:rPr>
                <w:rStyle w:val="Hyperlink"/>
              </w:rPr>
              <w:t>3.4.1</w:t>
            </w:r>
            <w:r>
              <w:rPr>
                <w:rFonts w:eastAsiaTheme="minorEastAsia"/>
              </w:rPr>
              <w:tab/>
            </w:r>
            <w:r w:rsidRPr="00C22AAF">
              <w:rPr>
                <w:rStyle w:val="Hyperlink"/>
              </w:rPr>
              <w:t>Benefits</w:t>
            </w:r>
            <w:r>
              <w:rPr>
                <w:webHidden/>
              </w:rPr>
              <w:tab/>
            </w:r>
            <w:r>
              <w:rPr>
                <w:webHidden/>
              </w:rPr>
              <w:fldChar w:fldCharType="begin"/>
            </w:r>
            <w:r>
              <w:rPr>
                <w:webHidden/>
              </w:rPr>
              <w:instrText xml:space="preserve"> PAGEREF _Toc127438042 \h </w:instrText>
            </w:r>
            <w:r>
              <w:rPr>
                <w:webHidden/>
              </w:rPr>
              <w:fldChar w:fldCharType="separate"/>
            </w:r>
            <w:r w:rsidR="00E711E2">
              <w:rPr>
                <w:webHidden/>
              </w:rPr>
              <w:t>39</w:t>
            </w:r>
            <w:r>
              <w:rPr>
                <w:webHidden/>
              </w:rPr>
              <w:fldChar w:fldCharType="end"/>
            </w:r>
          </w:hyperlink>
        </w:p>
        <w:p w:rsidR="00BC5A99" w:rsidP="00E711E2" w14:paraId="0756DD62" w14:textId="65A6BCC1">
          <w:pPr>
            <w:pStyle w:val="TOC3"/>
            <w:rPr>
              <w:rFonts w:eastAsiaTheme="minorEastAsia"/>
            </w:rPr>
          </w:pPr>
          <w:hyperlink w:anchor="_Toc127438043" w:history="1">
            <w:r w:rsidRPr="00C22AAF">
              <w:rPr>
                <w:rStyle w:val="Hyperlink"/>
              </w:rPr>
              <w:t>3.4.2</w:t>
            </w:r>
            <w:r>
              <w:rPr>
                <w:rFonts w:eastAsiaTheme="minorEastAsia"/>
              </w:rPr>
              <w:tab/>
            </w:r>
            <w:r w:rsidRPr="00C22AAF">
              <w:rPr>
                <w:rStyle w:val="Hyperlink"/>
              </w:rPr>
              <w:t>Transfers (Increased Program Expenditures)</w:t>
            </w:r>
            <w:r>
              <w:rPr>
                <w:webHidden/>
              </w:rPr>
              <w:tab/>
            </w:r>
            <w:r>
              <w:rPr>
                <w:webHidden/>
              </w:rPr>
              <w:fldChar w:fldCharType="begin"/>
            </w:r>
            <w:r>
              <w:rPr>
                <w:webHidden/>
              </w:rPr>
              <w:instrText xml:space="preserve"> PAGEREF _Toc127438043 \h </w:instrText>
            </w:r>
            <w:r>
              <w:rPr>
                <w:webHidden/>
              </w:rPr>
              <w:fldChar w:fldCharType="separate"/>
            </w:r>
            <w:r w:rsidR="00E711E2">
              <w:rPr>
                <w:webHidden/>
              </w:rPr>
              <w:t>40</w:t>
            </w:r>
            <w:r>
              <w:rPr>
                <w:webHidden/>
              </w:rPr>
              <w:fldChar w:fldCharType="end"/>
            </w:r>
          </w:hyperlink>
        </w:p>
        <w:p w:rsidR="00BC5A99" w14:paraId="2A77A842" w14:textId="5A098709">
          <w:pPr>
            <w:pStyle w:val="TOC2"/>
            <w:rPr>
              <w:rFonts w:eastAsiaTheme="minorEastAsia"/>
            </w:rPr>
          </w:pPr>
          <w:hyperlink w:anchor="_Toc127438044" w:history="1">
            <w:r w:rsidRPr="00C22AAF">
              <w:rPr>
                <w:rStyle w:val="Hyperlink"/>
              </w:rPr>
              <w:t>3.5</w:t>
            </w:r>
            <w:r>
              <w:rPr>
                <w:rFonts w:eastAsiaTheme="minorEastAsia"/>
              </w:rPr>
              <w:tab/>
            </w:r>
            <w:r w:rsidRPr="00C22AAF">
              <w:rPr>
                <w:rStyle w:val="Hyperlink"/>
              </w:rPr>
              <w:t>Re-establishment expenses</w:t>
            </w:r>
            <w:r>
              <w:rPr>
                <w:webHidden/>
              </w:rPr>
              <w:tab/>
            </w:r>
            <w:r>
              <w:rPr>
                <w:webHidden/>
              </w:rPr>
              <w:fldChar w:fldCharType="begin"/>
            </w:r>
            <w:r>
              <w:rPr>
                <w:webHidden/>
              </w:rPr>
              <w:instrText xml:space="preserve"> PAGEREF _Toc127438044 \h </w:instrText>
            </w:r>
            <w:r>
              <w:rPr>
                <w:webHidden/>
              </w:rPr>
              <w:fldChar w:fldCharType="separate"/>
            </w:r>
            <w:r w:rsidR="00E711E2">
              <w:rPr>
                <w:webHidden/>
              </w:rPr>
              <w:t>43</w:t>
            </w:r>
            <w:r>
              <w:rPr>
                <w:webHidden/>
              </w:rPr>
              <w:fldChar w:fldCharType="end"/>
            </w:r>
          </w:hyperlink>
        </w:p>
        <w:p w:rsidR="00BC5A99" w:rsidP="00E711E2" w14:paraId="4B7EB388" w14:textId="7E984257">
          <w:pPr>
            <w:pStyle w:val="TOC3"/>
            <w:rPr>
              <w:rFonts w:eastAsiaTheme="minorEastAsia"/>
            </w:rPr>
          </w:pPr>
          <w:hyperlink w:anchor="_Toc127438045" w:history="1">
            <w:r w:rsidRPr="00C22AAF">
              <w:rPr>
                <w:rStyle w:val="Hyperlink"/>
              </w:rPr>
              <w:t>3.5.1</w:t>
            </w:r>
            <w:r>
              <w:rPr>
                <w:rFonts w:eastAsiaTheme="minorEastAsia"/>
              </w:rPr>
              <w:tab/>
            </w:r>
            <w:r w:rsidRPr="00C22AAF">
              <w:rPr>
                <w:rStyle w:val="Hyperlink"/>
              </w:rPr>
              <w:t>Benefits</w:t>
            </w:r>
            <w:r>
              <w:rPr>
                <w:webHidden/>
              </w:rPr>
              <w:tab/>
            </w:r>
            <w:r>
              <w:rPr>
                <w:webHidden/>
              </w:rPr>
              <w:fldChar w:fldCharType="begin"/>
            </w:r>
            <w:r>
              <w:rPr>
                <w:webHidden/>
              </w:rPr>
              <w:instrText xml:space="preserve"> PAGEREF _Toc127438045 \h </w:instrText>
            </w:r>
            <w:r>
              <w:rPr>
                <w:webHidden/>
              </w:rPr>
              <w:fldChar w:fldCharType="separate"/>
            </w:r>
            <w:r w:rsidR="00E711E2">
              <w:rPr>
                <w:webHidden/>
              </w:rPr>
              <w:t>43</w:t>
            </w:r>
            <w:r>
              <w:rPr>
                <w:webHidden/>
              </w:rPr>
              <w:fldChar w:fldCharType="end"/>
            </w:r>
          </w:hyperlink>
        </w:p>
        <w:p w:rsidR="00BC5A99" w:rsidP="00E711E2" w14:paraId="56BA5427" w14:textId="5BD87DFB">
          <w:pPr>
            <w:pStyle w:val="TOC3"/>
            <w:rPr>
              <w:rFonts w:eastAsiaTheme="minorEastAsia"/>
            </w:rPr>
          </w:pPr>
          <w:hyperlink w:anchor="_Toc127438046" w:history="1">
            <w:r w:rsidRPr="00C22AAF">
              <w:rPr>
                <w:rStyle w:val="Hyperlink"/>
              </w:rPr>
              <w:t>3.5.2</w:t>
            </w:r>
            <w:r>
              <w:rPr>
                <w:rFonts w:eastAsiaTheme="minorEastAsia"/>
              </w:rPr>
              <w:tab/>
            </w:r>
            <w:r w:rsidRPr="00C22AAF">
              <w:rPr>
                <w:rStyle w:val="Hyperlink"/>
              </w:rPr>
              <w:t>Transfers (Increased Program Expenditures)</w:t>
            </w:r>
            <w:r>
              <w:rPr>
                <w:webHidden/>
              </w:rPr>
              <w:tab/>
            </w:r>
            <w:r>
              <w:rPr>
                <w:webHidden/>
              </w:rPr>
              <w:fldChar w:fldCharType="begin"/>
            </w:r>
            <w:r>
              <w:rPr>
                <w:webHidden/>
              </w:rPr>
              <w:instrText xml:space="preserve"> PAGEREF _Toc127438046 \h </w:instrText>
            </w:r>
            <w:r>
              <w:rPr>
                <w:webHidden/>
              </w:rPr>
              <w:fldChar w:fldCharType="separate"/>
            </w:r>
            <w:r w:rsidR="00E711E2">
              <w:rPr>
                <w:webHidden/>
              </w:rPr>
              <w:t>44</w:t>
            </w:r>
            <w:r>
              <w:rPr>
                <w:webHidden/>
              </w:rPr>
              <w:fldChar w:fldCharType="end"/>
            </w:r>
          </w:hyperlink>
        </w:p>
        <w:p w:rsidR="00BC5A99" w14:paraId="453B3DA6" w14:textId="31219764">
          <w:pPr>
            <w:pStyle w:val="TOC2"/>
            <w:rPr>
              <w:rFonts w:eastAsiaTheme="minorEastAsia"/>
            </w:rPr>
          </w:pPr>
          <w:hyperlink w:anchor="_Toc127438047" w:history="1">
            <w:r w:rsidRPr="00C22AAF">
              <w:rPr>
                <w:rStyle w:val="Hyperlink"/>
              </w:rPr>
              <w:t>3.6</w:t>
            </w:r>
            <w:r>
              <w:rPr>
                <w:rFonts w:eastAsiaTheme="minorEastAsia"/>
              </w:rPr>
              <w:tab/>
            </w:r>
            <w:r w:rsidRPr="00C22AAF">
              <w:rPr>
                <w:rStyle w:val="Hyperlink"/>
              </w:rPr>
              <w:t>Fixed Payment In-Lieu-of Moving Expenses</w:t>
            </w:r>
            <w:r>
              <w:rPr>
                <w:webHidden/>
              </w:rPr>
              <w:tab/>
            </w:r>
            <w:r>
              <w:rPr>
                <w:webHidden/>
              </w:rPr>
              <w:fldChar w:fldCharType="begin"/>
            </w:r>
            <w:r>
              <w:rPr>
                <w:webHidden/>
              </w:rPr>
              <w:instrText xml:space="preserve"> PAGEREF _Toc127438047 \h </w:instrText>
            </w:r>
            <w:r>
              <w:rPr>
                <w:webHidden/>
              </w:rPr>
              <w:fldChar w:fldCharType="separate"/>
            </w:r>
            <w:r w:rsidR="00E711E2">
              <w:rPr>
                <w:webHidden/>
              </w:rPr>
              <w:t>47</w:t>
            </w:r>
            <w:r>
              <w:rPr>
                <w:webHidden/>
              </w:rPr>
              <w:fldChar w:fldCharType="end"/>
            </w:r>
          </w:hyperlink>
        </w:p>
        <w:p w:rsidR="00BC5A99" w:rsidP="00E711E2" w14:paraId="0CB8EF36" w14:textId="1EF3EE9D">
          <w:pPr>
            <w:pStyle w:val="TOC3"/>
            <w:rPr>
              <w:rFonts w:eastAsiaTheme="minorEastAsia"/>
            </w:rPr>
          </w:pPr>
          <w:hyperlink w:anchor="_Toc127438048" w:history="1">
            <w:r w:rsidRPr="00C22AAF">
              <w:rPr>
                <w:rStyle w:val="Hyperlink"/>
              </w:rPr>
              <w:t>3.6.1</w:t>
            </w:r>
            <w:r>
              <w:rPr>
                <w:rFonts w:eastAsiaTheme="minorEastAsia"/>
              </w:rPr>
              <w:tab/>
            </w:r>
            <w:r w:rsidRPr="00C22AAF">
              <w:rPr>
                <w:rStyle w:val="Hyperlink"/>
              </w:rPr>
              <w:t>Benefits</w:t>
            </w:r>
            <w:r>
              <w:rPr>
                <w:webHidden/>
              </w:rPr>
              <w:tab/>
            </w:r>
            <w:r>
              <w:rPr>
                <w:webHidden/>
              </w:rPr>
              <w:fldChar w:fldCharType="begin"/>
            </w:r>
            <w:r>
              <w:rPr>
                <w:webHidden/>
              </w:rPr>
              <w:instrText xml:space="preserve"> PAGEREF _Toc127438048 \h </w:instrText>
            </w:r>
            <w:r>
              <w:rPr>
                <w:webHidden/>
              </w:rPr>
              <w:fldChar w:fldCharType="separate"/>
            </w:r>
            <w:r w:rsidR="00E711E2">
              <w:rPr>
                <w:webHidden/>
              </w:rPr>
              <w:t>47</w:t>
            </w:r>
            <w:r>
              <w:rPr>
                <w:webHidden/>
              </w:rPr>
              <w:fldChar w:fldCharType="end"/>
            </w:r>
          </w:hyperlink>
        </w:p>
        <w:p w:rsidR="00BC5A99" w:rsidP="00E711E2" w14:paraId="2DBD9F4B" w14:textId="518B3BF2">
          <w:pPr>
            <w:pStyle w:val="TOC3"/>
            <w:rPr>
              <w:rFonts w:eastAsiaTheme="minorEastAsia"/>
            </w:rPr>
          </w:pPr>
          <w:hyperlink w:anchor="_Toc127438049" w:history="1">
            <w:r w:rsidRPr="00C22AAF">
              <w:rPr>
                <w:rStyle w:val="Hyperlink"/>
              </w:rPr>
              <w:t>3.6.2</w:t>
            </w:r>
            <w:r>
              <w:rPr>
                <w:rFonts w:eastAsiaTheme="minorEastAsia"/>
              </w:rPr>
              <w:tab/>
            </w:r>
            <w:r w:rsidRPr="00C22AAF">
              <w:rPr>
                <w:rStyle w:val="Hyperlink"/>
              </w:rPr>
              <w:t>Transfers (Increased Program Expenditures)</w:t>
            </w:r>
            <w:r>
              <w:rPr>
                <w:webHidden/>
              </w:rPr>
              <w:tab/>
            </w:r>
            <w:r>
              <w:rPr>
                <w:webHidden/>
              </w:rPr>
              <w:fldChar w:fldCharType="begin"/>
            </w:r>
            <w:r>
              <w:rPr>
                <w:webHidden/>
              </w:rPr>
              <w:instrText xml:space="preserve"> PAGEREF _Toc127438049 \h </w:instrText>
            </w:r>
            <w:r>
              <w:rPr>
                <w:webHidden/>
              </w:rPr>
              <w:fldChar w:fldCharType="separate"/>
            </w:r>
            <w:r w:rsidR="00E711E2">
              <w:rPr>
                <w:webHidden/>
              </w:rPr>
              <w:t>48</w:t>
            </w:r>
            <w:r>
              <w:rPr>
                <w:webHidden/>
              </w:rPr>
              <w:fldChar w:fldCharType="end"/>
            </w:r>
          </w:hyperlink>
        </w:p>
        <w:p w:rsidR="00BC5A99" w14:paraId="5E94CE52" w14:textId="1E1843CD">
          <w:pPr>
            <w:pStyle w:val="TOC2"/>
            <w:rPr>
              <w:rFonts w:eastAsiaTheme="minorEastAsia"/>
            </w:rPr>
          </w:pPr>
          <w:hyperlink w:anchor="_Toc127438050" w:history="1">
            <w:r w:rsidRPr="00C22AAF">
              <w:rPr>
                <w:rStyle w:val="Hyperlink"/>
              </w:rPr>
              <w:t>3.7</w:t>
            </w:r>
            <w:r>
              <w:rPr>
                <w:rFonts w:eastAsiaTheme="minorEastAsia"/>
              </w:rPr>
              <w:tab/>
            </w:r>
            <w:r w:rsidRPr="00C22AAF">
              <w:rPr>
                <w:rStyle w:val="Hyperlink"/>
              </w:rPr>
              <w:t>Move Cost Finding</w:t>
            </w:r>
            <w:r>
              <w:rPr>
                <w:webHidden/>
              </w:rPr>
              <w:tab/>
            </w:r>
            <w:r>
              <w:rPr>
                <w:webHidden/>
              </w:rPr>
              <w:fldChar w:fldCharType="begin"/>
            </w:r>
            <w:r>
              <w:rPr>
                <w:webHidden/>
              </w:rPr>
              <w:instrText xml:space="preserve"> PAGEREF _Toc127438050 \h </w:instrText>
            </w:r>
            <w:r>
              <w:rPr>
                <w:webHidden/>
              </w:rPr>
              <w:fldChar w:fldCharType="separate"/>
            </w:r>
            <w:r w:rsidR="00E711E2">
              <w:rPr>
                <w:webHidden/>
              </w:rPr>
              <w:t>51</w:t>
            </w:r>
            <w:r>
              <w:rPr>
                <w:webHidden/>
              </w:rPr>
              <w:fldChar w:fldCharType="end"/>
            </w:r>
          </w:hyperlink>
        </w:p>
        <w:p w:rsidR="00BC5A99" w:rsidP="00E711E2" w14:paraId="0DBC03F9" w14:textId="778A05D6">
          <w:pPr>
            <w:pStyle w:val="TOC3"/>
            <w:rPr>
              <w:rFonts w:eastAsiaTheme="minorEastAsia"/>
            </w:rPr>
          </w:pPr>
          <w:hyperlink w:anchor="_Toc127438051" w:history="1">
            <w:r w:rsidRPr="00C22AAF">
              <w:rPr>
                <w:rStyle w:val="Hyperlink"/>
              </w:rPr>
              <w:t>3.7.1</w:t>
            </w:r>
            <w:r>
              <w:rPr>
                <w:rFonts w:eastAsiaTheme="minorEastAsia"/>
              </w:rPr>
              <w:tab/>
            </w:r>
            <w:r w:rsidRPr="00C22AAF">
              <w:rPr>
                <w:rStyle w:val="Hyperlink"/>
              </w:rPr>
              <w:t>Administrative Cost Savings</w:t>
            </w:r>
            <w:r>
              <w:rPr>
                <w:webHidden/>
              </w:rPr>
              <w:tab/>
            </w:r>
            <w:r>
              <w:rPr>
                <w:webHidden/>
              </w:rPr>
              <w:fldChar w:fldCharType="begin"/>
            </w:r>
            <w:r>
              <w:rPr>
                <w:webHidden/>
              </w:rPr>
              <w:instrText xml:space="preserve"> PAGEREF _Toc127438051 \h </w:instrText>
            </w:r>
            <w:r>
              <w:rPr>
                <w:webHidden/>
              </w:rPr>
              <w:fldChar w:fldCharType="separate"/>
            </w:r>
            <w:r w:rsidR="00E711E2">
              <w:rPr>
                <w:webHidden/>
              </w:rPr>
              <w:t>51</w:t>
            </w:r>
            <w:r>
              <w:rPr>
                <w:webHidden/>
              </w:rPr>
              <w:fldChar w:fldCharType="end"/>
            </w:r>
          </w:hyperlink>
        </w:p>
        <w:p w:rsidR="00BC5A99" w:rsidP="00E711E2" w14:paraId="00F11551" w14:textId="274D6DDA">
          <w:pPr>
            <w:pStyle w:val="TOC3"/>
            <w:rPr>
              <w:rFonts w:eastAsiaTheme="minorEastAsia"/>
            </w:rPr>
          </w:pPr>
          <w:hyperlink w:anchor="_Toc127438052" w:history="1">
            <w:r w:rsidRPr="00C22AAF">
              <w:rPr>
                <w:rStyle w:val="Hyperlink"/>
              </w:rPr>
              <w:t>3.7.2</w:t>
            </w:r>
            <w:r>
              <w:rPr>
                <w:rFonts w:eastAsiaTheme="minorEastAsia"/>
              </w:rPr>
              <w:tab/>
            </w:r>
            <w:r w:rsidRPr="00C22AAF">
              <w:rPr>
                <w:rStyle w:val="Hyperlink"/>
              </w:rPr>
              <w:t>Transfer (Increased Program Expenditures)</w:t>
            </w:r>
            <w:r>
              <w:rPr>
                <w:webHidden/>
              </w:rPr>
              <w:tab/>
            </w:r>
            <w:r>
              <w:rPr>
                <w:webHidden/>
              </w:rPr>
              <w:fldChar w:fldCharType="begin"/>
            </w:r>
            <w:r>
              <w:rPr>
                <w:webHidden/>
              </w:rPr>
              <w:instrText xml:space="preserve"> PAGEREF _Toc127438052 \h </w:instrText>
            </w:r>
            <w:r>
              <w:rPr>
                <w:webHidden/>
              </w:rPr>
              <w:fldChar w:fldCharType="separate"/>
            </w:r>
            <w:r w:rsidR="00E711E2">
              <w:rPr>
                <w:webHidden/>
              </w:rPr>
              <w:t>51</w:t>
            </w:r>
            <w:r>
              <w:rPr>
                <w:webHidden/>
              </w:rPr>
              <w:fldChar w:fldCharType="end"/>
            </w:r>
          </w:hyperlink>
        </w:p>
        <w:p w:rsidR="00BC5A99" w:rsidP="00FA2677" w14:paraId="3BCB7E32" w14:textId="12AD870F">
          <w:pPr>
            <w:pStyle w:val="TOC1"/>
            <w:rPr>
              <w:rFonts w:eastAsiaTheme="minorEastAsia"/>
              <w:sz w:val="22"/>
            </w:rPr>
          </w:pPr>
          <w:hyperlink w:anchor="_Toc127438053" w:history="1">
            <w:r w:rsidRPr="00C22AAF">
              <w:rPr>
                <w:rStyle w:val="Hyperlink"/>
                <w14:scene3d>
                  <w14:camera w14:prst="orthographicFront"/>
                  <w14:lightRig w14:rig="threePt" w14:dir="t">
                    <w14:rot w14:lat="0" w14:lon="0" w14:rev="0"/>
                  </w14:lightRig>
                </w14:scene3d>
              </w:rPr>
              <w:t>4.</w:t>
            </w:r>
            <w:r>
              <w:rPr>
                <w:rFonts w:eastAsiaTheme="minorEastAsia"/>
                <w:sz w:val="22"/>
              </w:rPr>
              <w:tab/>
            </w:r>
            <w:r w:rsidRPr="00C22AAF">
              <w:rPr>
                <w:rStyle w:val="Hyperlink"/>
              </w:rPr>
              <w:t>Program Administration</w:t>
            </w:r>
            <w:r>
              <w:rPr>
                <w:webHidden/>
              </w:rPr>
              <w:tab/>
            </w:r>
            <w:r>
              <w:rPr>
                <w:webHidden/>
              </w:rPr>
              <w:fldChar w:fldCharType="begin"/>
            </w:r>
            <w:r>
              <w:rPr>
                <w:webHidden/>
              </w:rPr>
              <w:instrText xml:space="preserve"> PAGEREF _Toc127438053 \h </w:instrText>
            </w:r>
            <w:r>
              <w:rPr>
                <w:webHidden/>
              </w:rPr>
              <w:fldChar w:fldCharType="separate"/>
            </w:r>
            <w:r w:rsidR="00E711E2">
              <w:rPr>
                <w:webHidden/>
              </w:rPr>
              <w:t>52</w:t>
            </w:r>
            <w:r>
              <w:rPr>
                <w:webHidden/>
              </w:rPr>
              <w:fldChar w:fldCharType="end"/>
            </w:r>
          </w:hyperlink>
        </w:p>
        <w:p w:rsidR="00BC5A99" w14:paraId="08B51FBB" w14:textId="2982471B">
          <w:pPr>
            <w:pStyle w:val="TOC2"/>
            <w:rPr>
              <w:rFonts w:eastAsiaTheme="minorEastAsia"/>
            </w:rPr>
          </w:pPr>
          <w:hyperlink w:anchor="_Toc127438054" w:history="1">
            <w:r w:rsidRPr="00C22AAF">
              <w:rPr>
                <w:rStyle w:val="Hyperlink"/>
              </w:rPr>
              <w:t>4.1</w:t>
            </w:r>
            <w:r>
              <w:rPr>
                <w:rFonts w:eastAsiaTheme="minorEastAsia"/>
              </w:rPr>
              <w:tab/>
            </w:r>
            <w:r w:rsidRPr="00C22AAF">
              <w:rPr>
                <w:rStyle w:val="Hyperlink"/>
              </w:rPr>
              <w:t>Appraisal Waiver Valuations</w:t>
            </w:r>
            <w:r>
              <w:rPr>
                <w:webHidden/>
              </w:rPr>
              <w:tab/>
            </w:r>
            <w:r>
              <w:rPr>
                <w:webHidden/>
              </w:rPr>
              <w:fldChar w:fldCharType="begin"/>
            </w:r>
            <w:r>
              <w:rPr>
                <w:webHidden/>
              </w:rPr>
              <w:instrText xml:space="preserve"> PAGEREF _Toc127438054 \h </w:instrText>
            </w:r>
            <w:r>
              <w:rPr>
                <w:webHidden/>
              </w:rPr>
              <w:fldChar w:fldCharType="separate"/>
            </w:r>
            <w:r w:rsidR="00E711E2">
              <w:rPr>
                <w:webHidden/>
              </w:rPr>
              <w:t>52</w:t>
            </w:r>
            <w:r>
              <w:rPr>
                <w:webHidden/>
              </w:rPr>
              <w:fldChar w:fldCharType="end"/>
            </w:r>
          </w:hyperlink>
        </w:p>
        <w:p w:rsidR="00BC5A99" w:rsidP="00E711E2" w14:paraId="278F0687" w14:textId="2D21AE56">
          <w:pPr>
            <w:pStyle w:val="TOC3"/>
            <w:rPr>
              <w:rFonts w:eastAsiaTheme="minorEastAsia"/>
            </w:rPr>
          </w:pPr>
          <w:hyperlink w:anchor="_Toc127438055" w:history="1">
            <w:r w:rsidRPr="00C22AAF">
              <w:rPr>
                <w:rStyle w:val="Hyperlink"/>
              </w:rPr>
              <w:t>4.1.1</w:t>
            </w:r>
            <w:r>
              <w:rPr>
                <w:rFonts w:eastAsiaTheme="minorEastAsia"/>
              </w:rPr>
              <w:tab/>
            </w:r>
            <w:r w:rsidRPr="00C22AAF">
              <w:rPr>
                <w:rStyle w:val="Hyperlink"/>
              </w:rPr>
              <w:t>Benefits</w:t>
            </w:r>
            <w:r>
              <w:rPr>
                <w:webHidden/>
              </w:rPr>
              <w:tab/>
            </w:r>
            <w:r>
              <w:rPr>
                <w:webHidden/>
              </w:rPr>
              <w:fldChar w:fldCharType="begin"/>
            </w:r>
            <w:r>
              <w:rPr>
                <w:webHidden/>
              </w:rPr>
              <w:instrText xml:space="preserve"> PAGEREF _Toc127438055 \h </w:instrText>
            </w:r>
            <w:r>
              <w:rPr>
                <w:webHidden/>
              </w:rPr>
              <w:fldChar w:fldCharType="separate"/>
            </w:r>
            <w:r w:rsidR="00E711E2">
              <w:rPr>
                <w:webHidden/>
              </w:rPr>
              <w:t>52</w:t>
            </w:r>
            <w:r>
              <w:rPr>
                <w:webHidden/>
              </w:rPr>
              <w:fldChar w:fldCharType="end"/>
            </w:r>
          </w:hyperlink>
        </w:p>
        <w:p w:rsidR="00BC5A99" w:rsidP="00E711E2" w14:paraId="34FA285C" w14:textId="636AE94B">
          <w:pPr>
            <w:pStyle w:val="TOC3"/>
            <w:rPr>
              <w:rFonts w:eastAsiaTheme="minorEastAsia"/>
            </w:rPr>
          </w:pPr>
          <w:hyperlink w:anchor="_Toc127438056" w:history="1">
            <w:r w:rsidRPr="00C22AAF">
              <w:rPr>
                <w:rStyle w:val="Hyperlink"/>
              </w:rPr>
              <w:t>4.1.2</w:t>
            </w:r>
            <w:r>
              <w:rPr>
                <w:rFonts w:eastAsiaTheme="minorEastAsia"/>
              </w:rPr>
              <w:tab/>
            </w:r>
            <w:r w:rsidRPr="00C22AAF">
              <w:rPr>
                <w:rStyle w:val="Hyperlink"/>
              </w:rPr>
              <w:t>Transfer (Increased Program Expenditures)</w:t>
            </w:r>
            <w:r>
              <w:rPr>
                <w:webHidden/>
              </w:rPr>
              <w:tab/>
            </w:r>
            <w:r>
              <w:rPr>
                <w:webHidden/>
              </w:rPr>
              <w:fldChar w:fldCharType="begin"/>
            </w:r>
            <w:r>
              <w:rPr>
                <w:webHidden/>
              </w:rPr>
              <w:instrText xml:space="preserve"> PAGEREF _Toc127438056 \h </w:instrText>
            </w:r>
            <w:r>
              <w:rPr>
                <w:webHidden/>
              </w:rPr>
              <w:fldChar w:fldCharType="separate"/>
            </w:r>
            <w:r w:rsidR="00E711E2">
              <w:rPr>
                <w:webHidden/>
              </w:rPr>
              <w:t>52</w:t>
            </w:r>
            <w:r>
              <w:rPr>
                <w:webHidden/>
              </w:rPr>
              <w:fldChar w:fldCharType="end"/>
            </w:r>
          </w:hyperlink>
        </w:p>
        <w:p w:rsidR="00BC5A99" w14:paraId="7BEB178D" w14:textId="5ADFD029">
          <w:pPr>
            <w:pStyle w:val="TOC2"/>
            <w:rPr>
              <w:rFonts w:eastAsiaTheme="minorEastAsia"/>
            </w:rPr>
          </w:pPr>
          <w:hyperlink w:anchor="_Toc127438057" w:history="1">
            <w:r w:rsidRPr="00C22AAF">
              <w:rPr>
                <w:rStyle w:val="Hyperlink"/>
              </w:rPr>
              <w:t>4.2</w:t>
            </w:r>
            <w:r>
              <w:rPr>
                <w:rFonts w:eastAsiaTheme="minorEastAsia"/>
              </w:rPr>
              <w:tab/>
            </w:r>
            <w:r w:rsidRPr="00C22AAF">
              <w:rPr>
                <w:rStyle w:val="Hyperlink"/>
              </w:rPr>
              <w:t>First and Second Tier Waiver Valuations</w:t>
            </w:r>
            <w:r>
              <w:rPr>
                <w:webHidden/>
              </w:rPr>
              <w:tab/>
            </w:r>
            <w:r>
              <w:rPr>
                <w:webHidden/>
              </w:rPr>
              <w:fldChar w:fldCharType="begin"/>
            </w:r>
            <w:r>
              <w:rPr>
                <w:webHidden/>
              </w:rPr>
              <w:instrText xml:space="preserve"> PAGEREF _Toc127438057 \h </w:instrText>
            </w:r>
            <w:r>
              <w:rPr>
                <w:webHidden/>
              </w:rPr>
              <w:fldChar w:fldCharType="separate"/>
            </w:r>
            <w:r w:rsidR="00E711E2">
              <w:rPr>
                <w:webHidden/>
              </w:rPr>
              <w:t>52</w:t>
            </w:r>
            <w:r>
              <w:rPr>
                <w:webHidden/>
              </w:rPr>
              <w:fldChar w:fldCharType="end"/>
            </w:r>
          </w:hyperlink>
        </w:p>
        <w:p w:rsidR="00BC5A99" w:rsidP="00E711E2" w14:paraId="04F37D07" w14:textId="0AD69F69">
          <w:pPr>
            <w:pStyle w:val="TOC3"/>
            <w:rPr>
              <w:rFonts w:eastAsiaTheme="minorEastAsia"/>
            </w:rPr>
          </w:pPr>
          <w:hyperlink w:anchor="_Toc127438058" w:history="1">
            <w:r w:rsidRPr="00C22AAF">
              <w:rPr>
                <w:rStyle w:val="Hyperlink"/>
              </w:rPr>
              <w:t>4.2.1</w:t>
            </w:r>
            <w:r>
              <w:rPr>
                <w:rFonts w:eastAsiaTheme="minorEastAsia"/>
              </w:rPr>
              <w:tab/>
            </w:r>
            <w:r w:rsidRPr="00C22AAF">
              <w:rPr>
                <w:rStyle w:val="Hyperlink"/>
              </w:rPr>
              <w:t>Benefits</w:t>
            </w:r>
            <w:r>
              <w:rPr>
                <w:webHidden/>
              </w:rPr>
              <w:tab/>
            </w:r>
            <w:r>
              <w:rPr>
                <w:webHidden/>
              </w:rPr>
              <w:fldChar w:fldCharType="begin"/>
            </w:r>
            <w:r>
              <w:rPr>
                <w:webHidden/>
              </w:rPr>
              <w:instrText xml:space="preserve"> PAGEREF _Toc127438058 \h </w:instrText>
            </w:r>
            <w:r>
              <w:rPr>
                <w:webHidden/>
              </w:rPr>
              <w:fldChar w:fldCharType="separate"/>
            </w:r>
            <w:r w:rsidR="00E711E2">
              <w:rPr>
                <w:webHidden/>
              </w:rPr>
              <w:t>53</w:t>
            </w:r>
            <w:r>
              <w:rPr>
                <w:webHidden/>
              </w:rPr>
              <w:fldChar w:fldCharType="end"/>
            </w:r>
          </w:hyperlink>
        </w:p>
        <w:p w:rsidR="00BC5A99" w:rsidP="00E711E2" w14:paraId="0C103250" w14:textId="4351B583">
          <w:pPr>
            <w:pStyle w:val="TOC3"/>
            <w:rPr>
              <w:rFonts w:eastAsiaTheme="minorEastAsia"/>
            </w:rPr>
          </w:pPr>
          <w:hyperlink w:anchor="_Toc127438059" w:history="1">
            <w:r w:rsidRPr="00C22AAF">
              <w:rPr>
                <w:rStyle w:val="Hyperlink"/>
              </w:rPr>
              <w:t>4.2.2</w:t>
            </w:r>
            <w:r>
              <w:rPr>
                <w:rFonts w:eastAsiaTheme="minorEastAsia"/>
              </w:rPr>
              <w:tab/>
            </w:r>
            <w:r w:rsidRPr="00C22AAF">
              <w:rPr>
                <w:rStyle w:val="Hyperlink"/>
              </w:rPr>
              <w:t>Transfer (Increased Program Expenditures)</w:t>
            </w:r>
            <w:r>
              <w:rPr>
                <w:webHidden/>
              </w:rPr>
              <w:tab/>
            </w:r>
            <w:r>
              <w:rPr>
                <w:webHidden/>
              </w:rPr>
              <w:fldChar w:fldCharType="begin"/>
            </w:r>
            <w:r>
              <w:rPr>
                <w:webHidden/>
              </w:rPr>
              <w:instrText xml:space="preserve"> PAGEREF _Toc127438059 \h </w:instrText>
            </w:r>
            <w:r>
              <w:rPr>
                <w:webHidden/>
              </w:rPr>
              <w:fldChar w:fldCharType="separate"/>
            </w:r>
            <w:r w:rsidR="00E711E2">
              <w:rPr>
                <w:webHidden/>
              </w:rPr>
              <w:t>53</w:t>
            </w:r>
            <w:r>
              <w:rPr>
                <w:webHidden/>
              </w:rPr>
              <w:fldChar w:fldCharType="end"/>
            </w:r>
          </w:hyperlink>
        </w:p>
        <w:p w:rsidR="00BC5A99" w14:paraId="6466E673" w14:textId="012AB72E">
          <w:pPr>
            <w:pStyle w:val="TOC2"/>
            <w:rPr>
              <w:rFonts w:eastAsiaTheme="minorEastAsia"/>
            </w:rPr>
          </w:pPr>
          <w:hyperlink w:anchor="_Toc127438060" w:history="1">
            <w:r w:rsidRPr="00C22AAF">
              <w:rPr>
                <w:rStyle w:val="Hyperlink"/>
              </w:rPr>
              <w:t>4.3</w:t>
            </w:r>
            <w:r>
              <w:rPr>
                <w:rFonts w:eastAsiaTheme="minorEastAsia"/>
              </w:rPr>
              <w:tab/>
            </w:r>
            <w:r w:rsidRPr="00C22AAF">
              <w:rPr>
                <w:rStyle w:val="Hyperlink"/>
              </w:rPr>
              <w:t>Third Tier of Waiver Valuations</w:t>
            </w:r>
            <w:r>
              <w:rPr>
                <w:webHidden/>
              </w:rPr>
              <w:tab/>
            </w:r>
            <w:r>
              <w:rPr>
                <w:webHidden/>
              </w:rPr>
              <w:fldChar w:fldCharType="begin"/>
            </w:r>
            <w:r>
              <w:rPr>
                <w:webHidden/>
              </w:rPr>
              <w:instrText xml:space="preserve"> PAGEREF _Toc127438060 \h </w:instrText>
            </w:r>
            <w:r>
              <w:rPr>
                <w:webHidden/>
              </w:rPr>
              <w:fldChar w:fldCharType="separate"/>
            </w:r>
            <w:r w:rsidR="00E711E2">
              <w:rPr>
                <w:webHidden/>
              </w:rPr>
              <w:t>53</w:t>
            </w:r>
            <w:r>
              <w:rPr>
                <w:webHidden/>
              </w:rPr>
              <w:fldChar w:fldCharType="end"/>
            </w:r>
          </w:hyperlink>
        </w:p>
        <w:p w:rsidR="00BC5A99" w:rsidP="00E711E2" w14:paraId="5AA3BD3E" w14:textId="56194D9A">
          <w:pPr>
            <w:pStyle w:val="TOC3"/>
            <w:rPr>
              <w:rFonts w:eastAsiaTheme="minorEastAsia"/>
            </w:rPr>
          </w:pPr>
          <w:hyperlink w:anchor="_Toc127438061" w:history="1">
            <w:r w:rsidRPr="00C22AAF">
              <w:rPr>
                <w:rStyle w:val="Hyperlink"/>
              </w:rPr>
              <w:t>4.3.1</w:t>
            </w:r>
            <w:r>
              <w:rPr>
                <w:rFonts w:eastAsiaTheme="minorEastAsia"/>
              </w:rPr>
              <w:tab/>
            </w:r>
            <w:r w:rsidRPr="00C22AAF">
              <w:rPr>
                <w:rStyle w:val="Hyperlink"/>
              </w:rPr>
              <w:t>Benefits</w:t>
            </w:r>
            <w:r>
              <w:rPr>
                <w:webHidden/>
              </w:rPr>
              <w:tab/>
            </w:r>
            <w:r>
              <w:rPr>
                <w:webHidden/>
              </w:rPr>
              <w:fldChar w:fldCharType="begin"/>
            </w:r>
            <w:r>
              <w:rPr>
                <w:webHidden/>
              </w:rPr>
              <w:instrText xml:space="preserve"> PAGEREF _Toc127438061 \h </w:instrText>
            </w:r>
            <w:r>
              <w:rPr>
                <w:webHidden/>
              </w:rPr>
              <w:fldChar w:fldCharType="separate"/>
            </w:r>
            <w:r w:rsidR="00E711E2">
              <w:rPr>
                <w:webHidden/>
              </w:rPr>
              <w:t>53</w:t>
            </w:r>
            <w:r>
              <w:rPr>
                <w:webHidden/>
              </w:rPr>
              <w:fldChar w:fldCharType="end"/>
            </w:r>
          </w:hyperlink>
        </w:p>
        <w:p w:rsidR="00BC5A99" w:rsidP="00E711E2" w14:paraId="569FC9D7" w14:textId="08307248">
          <w:pPr>
            <w:pStyle w:val="TOC3"/>
            <w:rPr>
              <w:rFonts w:eastAsiaTheme="minorEastAsia"/>
            </w:rPr>
          </w:pPr>
          <w:hyperlink w:anchor="_Toc127438062" w:history="1">
            <w:r w:rsidRPr="00C22AAF">
              <w:rPr>
                <w:rStyle w:val="Hyperlink"/>
              </w:rPr>
              <w:t>4.3.2</w:t>
            </w:r>
            <w:r>
              <w:rPr>
                <w:rFonts w:eastAsiaTheme="minorEastAsia"/>
              </w:rPr>
              <w:tab/>
            </w:r>
            <w:r w:rsidRPr="00C22AAF">
              <w:rPr>
                <w:rStyle w:val="Hyperlink"/>
              </w:rPr>
              <w:t>Transfer (Increased Program Expenditures)</w:t>
            </w:r>
            <w:r>
              <w:rPr>
                <w:webHidden/>
              </w:rPr>
              <w:tab/>
            </w:r>
            <w:r>
              <w:rPr>
                <w:webHidden/>
              </w:rPr>
              <w:fldChar w:fldCharType="begin"/>
            </w:r>
            <w:r>
              <w:rPr>
                <w:webHidden/>
              </w:rPr>
              <w:instrText xml:space="preserve"> PAGEREF _Toc127438062 \h </w:instrText>
            </w:r>
            <w:r>
              <w:rPr>
                <w:webHidden/>
              </w:rPr>
              <w:fldChar w:fldCharType="separate"/>
            </w:r>
            <w:r w:rsidR="00E711E2">
              <w:rPr>
                <w:webHidden/>
              </w:rPr>
              <w:t>53</w:t>
            </w:r>
            <w:r>
              <w:rPr>
                <w:webHidden/>
              </w:rPr>
              <w:fldChar w:fldCharType="end"/>
            </w:r>
          </w:hyperlink>
        </w:p>
        <w:p w:rsidR="00BC5A99" w14:paraId="4B0F2089" w14:textId="2D91D8FE">
          <w:pPr>
            <w:pStyle w:val="TOC2"/>
            <w:rPr>
              <w:rFonts w:eastAsiaTheme="minorEastAsia"/>
            </w:rPr>
          </w:pPr>
          <w:hyperlink w:anchor="_Toc127438063" w:history="1">
            <w:r w:rsidRPr="00C22AAF">
              <w:rPr>
                <w:rStyle w:val="Hyperlink"/>
              </w:rPr>
              <w:t>4.4</w:t>
            </w:r>
            <w:r>
              <w:rPr>
                <w:rFonts w:eastAsiaTheme="minorEastAsia"/>
              </w:rPr>
              <w:tab/>
            </w:r>
            <w:r w:rsidRPr="00C22AAF">
              <w:rPr>
                <w:rStyle w:val="Hyperlink"/>
              </w:rPr>
              <w:t>Use of Single Agents</w:t>
            </w:r>
            <w:r>
              <w:rPr>
                <w:webHidden/>
              </w:rPr>
              <w:tab/>
            </w:r>
            <w:r>
              <w:rPr>
                <w:webHidden/>
              </w:rPr>
              <w:fldChar w:fldCharType="begin"/>
            </w:r>
            <w:r>
              <w:rPr>
                <w:webHidden/>
              </w:rPr>
              <w:instrText xml:space="preserve"> PAGEREF _Toc127438063 \h </w:instrText>
            </w:r>
            <w:r>
              <w:rPr>
                <w:webHidden/>
              </w:rPr>
              <w:fldChar w:fldCharType="separate"/>
            </w:r>
            <w:r w:rsidR="00E711E2">
              <w:rPr>
                <w:webHidden/>
              </w:rPr>
              <w:t>53</w:t>
            </w:r>
            <w:r>
              <w:rPr>
                <w:webHidden/>
              </w:rPr>
              <w:fldChar w:fldCharType="end"/>
            </w:r>
          </w:hyperlink>
        </w:p>
        <w:p w:rsidR="00BC5A99" w:rsidP="00E711E2" w14:paraId="1E600309" w14:textId="263E501B">
          <w:pPr>
            <w:pStyle w:val="TOC3"/>
            <w:rPr>
              <w:rFonts w:eastAsiaTheme="minorEastAsia"/>
            </w:rPr>
          </w:pPr>
          <w:hyperlink w:anchor="_Toc127438064" w:history="1">
            <w:r w:rsidRPr="00C22AAF">
              <w:rPr>
                <w:rStyle w:val="Hyperlink"/>
              </w:rPr>
              <w:t>4.4.1</w:t>
            </w:r>
            <w:r>
              <w:rPr>
                <w:rFonts w:eastAsiaTheme="minorEastAsia"/>
              </w:rPr>
              <w:tab/>
            </w:r>
            <w:r w:rsidRPr="00C22AAF">
              <w:rPr>
                <w:rStyle w:val="Hyperlink"/>
              </w:rPr>
              <w:t>Benefits</w:t>
            </w:r>
            <w:r>
              <w:rPr>
                <w:webHidden/>
              </w:rPr>
              <w:tab/>
            </w:r>
            <w:r>
              <w:rPr>
                <w:webHidden/>
              </w:rPr>
              <w:fldChar w:fldCharType="begin"/>
            </w:r>
            <w:r>
              <w:rPr>
                <w:webHidden/>
              </w:rPr>
              <w:instrText xml:space="preserve"> PAGEREF _Toc127438064 \h </w:instrText>
            </w:r>
            <w:r>
              <w:rPr>
                <w:webHidden/>
              </w:rPr>
              <w:fldChar w:fldCharType="separate"/>
            </w:r>
            <w:r w:rsidR="00E711E2">
              <w:rPr>
                <w:webHidden/>
              </w:rPr>
              <w:t>54</w:t>
            </w:r>
            <w:r>
              <w:rPr>
                <w:webHidden/>
              </w:rPr>
              <w:fldChar w:fldCharType="end"/>
            </w:r>
          </w:hyperlink>
        </w:p>
        <w:p w:rsidR="00BC5A99" w:rsidP="00E711E2" w14:paraId="64612CE2" w14:textId="2985FB84">
          <w:pPr>
            <w:pStyle w:val="TOC3"/>
            <w:rPr>
              <w:rFonts w:eastAsiaTheme="minorEastAsia"/>
            </w:rPr>
          </w:pPr>
          <w:hyperlink w:anchor="_Toc127438065" w:history="1">
            <w:r w:rsidRPr="00C22AAF">
              <w:rPr>
                <w:rStyle w:val="Hyperlink"/>
              </w:rPr>
              <w:t>4.4.2</w:t>
            </w:r>
            <w:r>
              <w:rPr>
                <w:rFonts w:eastAsiaTheme="minorEastAsia"/>
              </w:rPr>
              <w:tab/>
            </w:r>
            <w:r w:rsidRPr="00C22AAF">
              <w:rPr>
                <w:rStyle w:val="Hyperlink"/>
              </w:rPr>
              <w:t>Transfer (Increased Program Expenditures)</w:t>
            </w:r>
            <w:r>
              <w:rPr>
                <w:webHidden/>
              </w:rPr>
              <w:tab/>
            </w:r>
            <w:r>
              <w:rPr>
                <w:webHidden/>
              </w:rPr>
              <w:fldChar w:fldCharType="begin"/>
            </w:r>
            <w:r>
              <w:rPr>
                <w:webHidden/>
              </w:rPr>
              <w:instrText xml:space="preserve"> PAGEREF _Toc127438065 \h </w:instrText>
            </w:r>
            <w:r>
              <w:rPr>
                <w:webHidden/>
              </w:rPr>
              <w:fldChar w:fldCharType="separate"/>
            </w:r>
            <w:r w:rsidR="00E711E2">
              <w:rPr>
                <w:webHidden/>
              </w:rPr>
              <w:t>54</w:t>
            </w:r>
            <w:r>
              <w:rPr>
                <w:webHidden/>
              </w:rPr>
              <w:fldChar w:fldCharType="end"/>
            </w:r>
          </w:hyperlink>
        </w:p>
        <w:p w:rsidR="00BC5A99" w14:paraId="7F03D847" w14:textId="12200A76">
          <w:pPr>
            <w:pStyle w:val="TOC2"/>
            <w:rPr>
              <w:rFonts w:eastAsiaTheme="minorEastAsia"/>
            </w:rPr>
          </w:pPr>
          <w:hyperlink w:anchor="_Toc127438066" w:history="1">
            <w:r w:rsidRPr="00C22AAF">
              <w:rPr>
                <w:rStyle w:val="Hyperlink"/>
              </w:rPr>
              <w:t>4.5</w:t>
            </w:r>
            <w:r>
              <w:rPr>
                <w:rFonts w:eastAsiaTheme="minorEastAsia"/>
              </w:rPr>
              <w:tab/>
            </w:r>
            <w:r w:rsidRPr="00C22AAF">
              <w:rPr>
                <w:rStyle w:val="Hyperlink"/>
              </w:rPr>
              <w:t>Inspection of Comparable Replacement Dwellings</w:t>
            </w:r>
            <w:r>
              <w:rPr>
                <w:webHidden/>
              </w:rPr>
              <w:tab/>
            </w:r>
            <w:r>
              <w:rPr>
                <w:webHidden/>
              </w:rPr>
              <w:fldChar w:fldCharType="begin"/>
            </w:r>
            <w:r>
              <w:rPr>
                <w:webHidden/>
              </w:rPr>
              <w:instrText xml:space="preserve"> PAGEREF _Toc127438066 \h </w:instrText>
            </w:r>
            <w:r>
              <w:rPr>
                <w:webHidden/>
              </w:rPr>
              <w:fldChar w:fldCharType="separate"/>
            </w:r>
            <w:r w:rsidR="00E711E2">
              <w:rPr>
                <w:webHidden/>
              </w:rPr>
              <w:t>54</w:t>
            </w:r>
            <w:r>
              <w:rPr>
                <w:webHidden/>
              </w:rPr>
              <w:fldChar w:fldCharType="end"/>
            </w:r>
          </w:hyperlink>
        </w:p>
        <w:p w:rsidR="00BC5A99" w:rsidP="00E711E2" w14:paraId="518D1780" w14:textId="543307DC">
          <w:pPr>
            <w:pStyle w:val="TOC3"/>
            <w:rPr>
              <w:rFonts w:eastAsiaTheme="minorEastAsia"/>
            </w:rPr>
          </w:pPr>
          <w:hyperlink w:anchor="_Toc127438067" w:history="1">
            <w:r w:rsidRPr="00C22AAF">
              <w:rPr>
                <w:rStyle w:val="Hyperlink"/>
              </w:rPr>
              <w:t>4.5.1</w:t>
            </w:r>
            <w:r>
              <w:rPr>
                <w:rFonts w:eastAsiaTheme="minorEastAsia"/>
              </w:rPr>
              <w:tab/>
            </w:r>
            <w:r w:rsidRPr="00C22AAF">
              <w:rPr>
                <w:rStyle w:val="Hyperlink"/>
              </w:rPr>
              <w:t>Benefits</w:t>
            </w:r>
            <w:r>
              <w:rPr>
                <w:webHidden/>
              </w:rPr>
              <w:tab/>
            </w:r>
            <w:r>
              <w:rPr>
                <w:webHidden/>
              </w:rPr>
              <w:fldChar w:fldCharType="begin"/>
            </w:r>
            <w:r>
              <w:rPr>
                <w:webHidden/>
              </w:rPr>
              <w:instrText xml:space="preserve"> PAGEREF _Toc127438067 \h </w:instrText>
            </w:r>
            <w:r>
              <w:rPr>
                <w:webHidden/>
              </w:rPr>
              <w:fldChar w:fldCharType="separate"/>
            </w:r>
            <w:r w:rsidR="00E711E2">
              <w:rPr>
                <w:webHidden/>
              </w:rPr>
              <w:t>55</w:t>
            </w:r>
            <w:r>
              <w:rPr>
                <w:webHidden/>
              </w:rPr>
              <w:fldChar w:fldCharType="end"/>
            </w:r>
          </w:hyperlink>
        </w:p>
        <w:p w:rsidR="00BC5A99" w:rsidP="00E711E2" w14:paraId="2CCB5F25" w14:textId="48D6F919">
          <w:pPr>
            <w:pStyle w:val="TOC3"/>
            <w:rPr>
              <w:rFonts w:eastAsiaTheme="minorEastAsia"/>
            </w:rPr>
          </w:pPr>
          <w:hyperlink w:anchor="_Toc127438068" w:history="1">
            <w:r w:rsidRPr="00C22AAF">
              <w:rPr>
                <w:rStyle w:val="Hyperlink"/>
              </w:rPr>
              <w:t>4.5.2</w:t>
            </w:r>
            <w:r>
              <w:rPr>
                <w:rFonts w:eastAsiaTheme="minorEastAsia"/>
              </w:rPr>
              <w:tab/>
            </w:r>
            <w:r w:rsidRPr="00C22AAF">
              <w:rPr>
                <w:rStyle w:val="Hyperlink"/>
              </w:rPr>
              <w:t>Transfer (Increased Program Expenditures)</w:t>
            </w:r>
            <w:r>
              <w:rPr>
                <w:webHidden/>
              </w:rPr>
              <w:tab/>
            </w:r>
            <w:r>
              <w:rPr>
                <w:webHidden/>
              </w:rPr>
              <w:fldChar w:fldCharType="begin"/>
            </w:r>
            <w:r>
              <w:rPr>
                <w:webHidden/>
              </w:rPr>
              <w:instrText xml:space="preserve"> PAGEREF _Toc127438068 \h </w:instrText>
            </w:r>
            <w:r>
              <w:rPr>
                <w:webHidden/>
              </w:rPr>
              <w:fldChar w:fldCharType="separate"/>
            </w:r>
            <w:r w:rsidR="00E711E2">
              <w:rPr>
                <w:webHidden/>
              </w:rPr>
              <w:t>55</w:t>
            </w:r>
            <w:r>
              <w:rPr>
                <w:webHidden/>
              </w:rPr>
              <w:fldChar w:fldCharType="end"/>
            </w:r>
          </w:hyperlink>
        </w:p>
        <w:p w:rsidR="00BC5A99" w14:paraId="110DD986" w14:textId="152F1F5B">
          <w:pPr>
            <w:pStyle w:val="TOC2"/>
            <w:rPr>
              <w:rFonts w:eastAsiaTheme="minorEastAsia"/>
            </w:rPr>
          </w:pPr>
          <w:hyperlink w:anchor="_Toc127438069" w:history="1">
            <w:r w:rsidRPr="00C22AAF">
              <w:rPr>
                <w:rStyle w:val="Hyperlink"/>
              </w:rPr>
              <w:t>4.6</w:t>
            </w:r>
            <w:r>
              <w:rPr>
                <w:rFonts w:eastAsiaTheme="minorEastAsia"/>
              </w:rPr>
              <w:tab/>
            </w:r>
            <w:r w:rsidRPr="00C22AAF">
              <w:rPr>
                <w:rStyle w:val="Hyperlink"/>
              </w:rPr>
              <w:t>Other Clarifications and Streamlining</w:t>
            </w:r>
            <w:r>
              <w:rPr>
                <w:webHidden/>
              </w:rPr>
              <w:tab/>
            </w:r>
            <w:r>
              <w:rPr>
                <w:webHidden/>
              </w:rPr>
              <w:fldChar w:fldCharType="begin"/>
            </w:r>
            <w:r>
              <w:rPr>
                <w:webHidden/>
              </w:rPr>
              <w:instrText xml:space="preserve"> PAGEREF _Toc127438069 \h </w:instrText>
            </w:r>
            <w:r>
              <w:rPr>
                <w:webHidden/>
              </w:rPr>
              <w:fldChar w:fldCharType="separate"/>
            </w:r>
            <w:r w:rsidR="00E711E2">
              <w:rPr>
                <w:webHidden/>
              </w:rPr>
              <w:t>55</w:t>
            </w:r>
            <w:r>
              <w:rPr>
                <w:webHidden/>
              </w:rPr>
              <w:fldChar w:fldCharType="end"/>
            </w:r>
          </w:hyperlink>
        </w:p>
        <w:p w:rsidR="00BC5A99" w:rsidP="00E711E2" w14:paraId="5B5E9D4E" w14:textId="6C0ACF67">
          <w:pPr>
            <w:pStyle w:val="TOC3"/>
            <w:rPr>
              <w:rFonts w:eastAsiaTheme="minorEastAsia"/>
            </w:rPr>
          </w:pPr>
          <w:hyperlink w:anchor="_Toc127438070" w:history="1">
            <w:r w:rsidRPr="00C22AAF">
              <w:rPr>
                <w:rStyle w:val="Hyperlink"/>
              </w:rPr>
              <w:t>4.6.1</w:t>
            </w:r>
            <w:r>
              <w:rPr>
                <w:rFonts w:eastAsiaTheme="minorEastAsia"/>
              </w:rPr>
              <w:tab/>
            </w:r>
            <w:r w:rsidRPr="00C22AAF">
              <w:rPr>
                <w:rStyle w:val="Hyperlink"/>
              </w:rPr>
              <w:t>Benefits</w:t>
            </w:r>
            <w:r>
              <w:rPr>
                <w:webHidden/>
              </w:rPr>
              <w:tab/>
            </w:r>
            <w:r>
              <w:rPr>
                <w:webHidden/>
              </w:rPr>
              <w:fldChar w:fldCharType="begin"/>
            </w:r>
            <w:r>
              <w:rPr>
                <w:webHidden/>
              </w:rPr>
              <w:instrText xml:space="preserve"> PAGEREF _Toc127438070 \h </w:instrText>
            </w:r>
            <w:r>
              <w:rPr>
                <w:webHidden/>
              </w:rPr>
              <w:fldChar w:fldCharType="separate"/>
            </w:r>
            <w:r w:rsidR="00E711E2">
              <w:rPr>
                <w:webHidden/>
              </w:rPr>
              <w:t>57</w:t>
            </w:r>
            <w:r>
              <w:rPr>
                <w:webHidden/>
              </w:rPr>
              <w:fldChar w:fldCharType="end"/>
            </w:r>
          </w:hyperlink>
        </w:p>
        <w:p w:rsidR="00BC5A99" w:rsidP="00E711E2" w14:paraId="57C598F1" w14:textId="68B37403">
          <w:pPr>
            <w:pStyle w:val="TOC3"/>
            <w:rPr>
              <w:rFonts w:eastAsiaTheme="minorEastAsia"/>
            </w:rPr>
          </w:pPr>
          <w:hyperlink w:anchor="_Toc127438071" w:history="1">
            <w:r w:rsidRPr="00C22AAF">
              <w:rPr>
                <w:rStyle w:val="Hyperlink"/>
              </w:rPr>
              <w:t>4.6.2</w:t>
            </w:r>
            <w:r>
              <w:rPr>
                <w:rFonts w:eastAsiaTheme="minorEastAsia"/>
              </w:rPr>
              <w:tab/>
            </w:r>
            <w:r w:rsidRPr="00C22AAF">
              <w:rPr>
                <w:rStyle w:val="Hyperlink"/>
              </w:rPr>
              <w:t>Costs</w:t>
            </w:r>
            <w:r>
              <w:rPr>
                <w:webHidden/>
              </w:rPr>
              <w:tab/>
            </w:r>
            <w:r>
              <w:rPr>
                <w:webHidden/>
              </w:rPr>
              <w:fldChar w:fldCharType="begin"/>
            </w:r>
            <w:r>
              <w:rPr>
                <w:webHidden/>
              </w:rPr>
              <w:instrText xml:space="preserve"> PAGEREF _Toc127438071 \h </w:instrText>
            </w:r>
            <w:r>
              <w:rPr>
                <w:webHidden/>
              </w:rPr>
              <w:fldChar w:fldCharType="separate"/>
            </w:r>
            <w:r w:rsidR="00E711E2">
              <w:rPr>
                <w:webHidden/>
              </w:rPr>
              <w:t>57</w:t>
            </w:r>
            <w:r>
              <w:rPr>
                <w:webHidden/>
              </w:rPr>
              <w:fldChar w:fldCharType="end"/>
            </w:r>
          </w:hyperlink>
        </w:p>
        <w:p w:rsidR="00BC5A99" w14:paraId="52894D10" w14:textId="2A5AB825">
          <w:pPr>
            <w:pStyle w:val="TOC2"/>
            <w:rPr>
              <w:rFonts w:eastAsiaTheme="minorEastAsia"/>
            </w:rPr>
          </w:pPr>
          <w:hyperlink w:anchor="_Toc127438072" w:history="1">
            <w:r w:rsidRPr="00C22AAF">
              <w:rPr>
                <w:rStyle w:val="Hyperlink"/>
              </w:rPr>
              <w:t>4.7</w:t>
            </w:r>
            <w:r>
              <w:rPr>
                <w:rFonts w:eastAsiaTheme="minorEastAsia"/>
              </w:rPr>
              <w:tab/>
            </w:r>
            <w:r w:rsidRPr="00C22AAF">
              <w:rPr>
                <w:rStyle w:val="Hyperlink"/>
              </w:rPr>
              <w:t>Legal Status Verification</w:t>
            </w:r>
            <w:r>
              <w:rPr>
                <w:webHidden/>
              </w:rPr>
              <w:tab/>
            </w:r>
            <w:r>
              <w:rPr>
                <w:webHidden/>
              </w:rPr>
              <w:fldChar w:fldCharType="begin"/>
            </w:r>
            <w:r>
              <w:rPr>
                <w:webHidden/>
              </w:rPr>
              <w:instrText xml:space="preserve"> PAGEREF _Toc127438072 \h </w:instrText>
            </w:r>
            <w:r>
              <w:rPr>
                <w:webHidden/>
              </w:rPr>
              <w:fldChar w:fldCharType="separate"/>
            </w:r>
            <w:r w:rsidR="00E711E2">
              <w:rPr>
                <w:webHidden/>
              </w:rPr>
              <w:t>57</w:t>
            </w:r>
            <w:r>
              <w:rPr>
                <w:webHidden/>
              </w:rPr>
              <w:fldChar w:fldCharType="end"/>
            </w:r>
          </w:hyperlink>
        </w:p>
        <w:p w:rsidR="00BC5A99" w:rsidP="00E711E2" w14:paraId="785E2DC9" w14:textId="2DB751C3">
          <w:pPr>
            <w:pStyle w:val="TOC3"/>
            <w:rPr>
              <w:rFonts w:eastAsiaTheme="minorEastAsia"/>
            </w:rPr>
          </w:pPr>
          <w:hyperlink w:anchor="_Toc127438073" w:history="1">
            <w:r w:rsidRPr="00C22AAF">
              <w:rPr>
                <w:rStyle w:val="Hyperlink"/>
              </w:rPr>
              <w:t>4.7.1</w:t>
            </w:r>
            <w:r>
              <w:rPr>
                <w:rFonts w:eastAsiaTheme="minorEastAsia"/>
              </w:rPr>
              <w:tab/>
            </w:r>
            <w:r w:rsidRPr="00C22AAF">
              <w:rPr>
                <w:rStyle w:val="Hyperlink"/>
              </w:rPr>
              <w:t>Benefits</w:t>
            </w:r>
            <w:r>
              <w:rPr>
                <w:webHidden/>
              </w:rPr>
              <w:tab/>
            </w:r>
            <w:r>
              <w:rPr>
                <w:webHidden/>
              </w:rPr>
              <w:fldChar w:fldCharType="begin"/>
            </w:r>
            <w:r>
              <w:rPr>
                <w:webHidden/>
              </w:rPr>
              <w:instrText xml:space="preserve"> PAGEREF _Toc127438073 \h </w:instrText>
            </w:r>
            <w:r>
              <w:rPr>
                <w:webHidden/>
              </w:rPr>
              <w:fldChar w:fldCharType="separate"/>
            </w:r>
            <w:r w:rsidR="00E711E2">
              <w:rPr>
                <w:webHidden/>
              </w:rPr>
              <w:t>58</w:t>
            </w:r>
            <w:r>
              <w:rPr>
                <w:webHidden/>
              </w:rPr>
              <w:fldChar w:fldCharType="end"/>
            </w:r>
          </w:hyperlink>
        </w:p>
        <w:p w:rsidR="00BC5A99" w:rsidP="00E711E2" w14:paraId="500F6317" w14:textId="61501978">
          <w:pPr>
            <w:pStyle w:val="TOC3"/>
            <w:rPr>
              <w:rFonts w:eastAsiaTheme="minorEastAsia"/>
            </w:rPr>
          </w:pPr>
          <w:hyperlink w:anchor="_Toc127438074" w:history="1">
            <w:r w:rsidRPr="00C22AAF">
              <w:rPr>
                <w:rStyle w:val="Hyperlink"/>
              </w:rPr>
              <w:t>4.7.2</w:t>
            </w:r>
            <w:r>
              <w:rPr>
                <w:rFonts w:eastAsiaTheme="minorEastAsia"/>
              </w:rPr>
              <w:tab/>
            </w:r>
            <w:r w:rsidRPr="00C22AAF">
              <w:rPr>
                <w:rStyle w:val="Hyperlink"/>
              </w:rPr>
              <w:t>Transfers (Increased Program Expenditures)</w:t>
            </w:r>
            <w:r>
              <w:rPr>
                <w:webHidden/>
              </w:rPr>
              <w:tab/>
            </w:r>
            <w:r>
              <w:rPr>
                <w:webHidden/>
              </w:rPr>
              <w:fldChar w:fldCharType="begin"/>
            </w:r>
            <w:r>
              <w:rPr>
                <w:webHidden/>
              </w:rPr>
              <w:instrText xml:space="preserve"> PAGEREF _Toc127438074 \h </w:instrText>
            </w:r>
            <w:r>
              <w:rPr>
                <w:webHidden/>
              </w:rPr>
              <w:fldChar w:fldCharType="separate"/>
            </w:r>
            <w:r w:rsidR="00E711E2">
              <w:rPr>
                <w:webHidden/>
              </w:rPr>
              <w:t>58</w:t>
            </w:r>
            <w:r>
              <w:rPr>
                <w:webHidden/>
              </w:rPr>
              <w:fldChar w:fldCharType="end"/>
            </w:r>
          </w:hyperlink>
        </w:p>
        <w:p w:rsidR="00BC5A99" w14:paraId="795958EC" w14:textId="3DBCCE2A">
          <w:pPr>
            <w:pStyle w:val="TOC2"/>
            <w:rPr>
              <w:rFonts w:eastAsiaTheme="minorEastAsia"/>
            </w:rPr>
          </w:pPr>
          <w:hyperlink w:anchor="_Toc127438075" w:history="1">
            <w:r w:rsidRPr="00C22AAF">
              <w:rPr>
                <w:rStyle w:val="Hyperlink"/>
              </w:rPr>
              <w:t>4.8</w:t>
            </w:r>
            <w:r>
              <w:rPr>
                <w:rFonts w:eastAsiaTheme="minorEastAsia"/>
              </w:rPr>
              <w:tab/>
            </w:r>
            <w:r w:rsidRPr="00C22AAF">
              <w:rPr>
                <w:rStyle w:val="Hyperlink"/>
              </w:rPr>
              <w:t>Revising Program Materials</w:t>
            </w:r>
            <w:r>
              <w:rPr>
                <w:webHidden/>
              </w:rPr>
              <w:tab/>
            </w:r>
            <w:r>
              <w:rPr>
                <w:webHidden/>
              </w:rPr>
              <w:fldChar w:fldCharType="begin"/>
            </w:r>
            <w:r>
              <w:rPr>
                <w:webHidden/>
              </w:rPr>
              <w:instrText xml:space="preserve"> PAGEREF _Toc127438075 \h </w:instrText>
            </w:r>
            <w:r>
              <w:rPr>
                <w:webHidden/>
              </w:rPr>
              <w:fldChar w:fldCharType="separate"/>
            </w:r>
            <w:r w:rsidR="00E711E2">
              <w:rPr>
                <w:webHidden/>
              </w:rPr>
              <w:t>58</w:t>
            </w:r>
            <w:r>
              <w:rPr>
                <w:webHidden/>
              </w:rPr>
              <w:fldChar w:fldCharType="end"/>
            </w:r>
          </w:hyperlink>
        </w:p>
        <w:p w:rsidR="00BC5A99" w:rsidP="00E711E2" w14:paraId="73B54154" w14:textId="57470638">
          <w:pPr>
            <w:pStyle w:val="TOC3"/>
            <w:rPr>
              <w:rFonts w:eastAsiaTheme="minorEastAsia"/>
            </w:rPr>
          </w:pPr>
          <w:hyperlink w:anchor="_Toc127438076" w:history="1">
            <w:r w:rsidRPr="00C22AAF">
              <w:rPr>
                <w:rStyle w:val="Hyperlink"/>
              </w:rPr>
              <w:t>4.8.1</w:t>
            </w:r>
            <w:r>
              <w:rPr>
                <w:rFonts w:eastAsiaTheme="minorEastAsia"/>
              </w:rPr>
              <w:tab/>
            </w:r>
            <w:r w:rsidRPr="00C22AAF">
              <w:rPr>
                <w:rStyle w:val="Hyperlink"/>
              </w:rPr>
              <w:t>Benefits</w:t>
            </w:r>
            <w:r>
              <w:rPr>
                <w:webHidden/>
              </w:rPr>
              <w:tab/>
            </w:r>
            <w:r>
              <w:rPr>
                <w:webHidden/>
              </w:rPr>
              <w:fldChar w:fldCharType="begin"/>
            </w:r>
            <w:r>
              <w:rPr>
                <w:webHidden/>
              </w:rPr>
              <w:instrText xml:space="preserve"> PAGEREF _Toc127438076 \h </w:instrText>
            </w:r>
            <w:r>
              <w:rPr>
                <w:webHidden/>
              </w:rPr>
              <w:fldChar w:fldCharType="separate"/>
            </w:r>
            <w:r w:rsidR="00E711E2">
              <w:rPr>
                <w:webHidden/>
              </w:rPr>
              <w:t>58</w:t>
            </w:r>
            <w:r>
              <w:rPr>
                <w:webHidden/>
              </w:rPr>
              <w:fldChar w:fldCharType="end"/>
            </w:r>
          </w:hyperlink>
        </w:p>
        <w:p w:rsidR="00BC5A99" w:rsidP="00E711E2" w14:paraId="0B982D6D" w14:textId="0B4200F4">
          <w:pPr>
            <w:pStyle w:val="TOC3"/>
            <w:rPr>
              <w:rFonts w:eastAsiaTheme="minorEastAsia"/>
            </w:rPr>
          </w:pPr>
          <w:hyperlink w:anchor="_Toc127438077" w:history="1">
            <w:r w:rsidRPr="00C22AAF">
              <w:rPr>
                <w:rStyle w:val="Hyperlink"/>
              </w:rPr>
              <w:t>4.8.2</w:t>
            </w:r>
            <w:r>
              <w:rPr>
                <w:rFonts w:eastAsiaTheme="minorEastAsia"/>
              </w:rPr>
              <w:tab/>
            </w:r>
            <w:r w:rsidRPr="00C22AAF">
              <w:rPr>
                <w:rStyle w:val="Hyperlink"/>
              </w:rPr>
              <w:t>Costs</w:t>
            </w:r>
            <w:r>
              <w:rPr>
                <w:webHidden/>
              </w:rPr>
              <w:tab/>
            </w:r>
            <w:r>
              <w:rPr>
                <w:webHidden/>
              </w:rPr>
              <w:fldChar w:fldCharType="begin"/>
            </w:r>
            <w:r>
              <w:rPr>
                <w:webHidden/>
              </w:rPr>
              <w:instrText xml:space="preserve"> PAGEREF _Toc127438077 \h </w:instrText>
            </w:r>
            <w:r>
              <w:rPr>
                <w:webHidden/>
              </w:rPr>
              <w:fldChar w:fldCharType="separate"/>
            </w:r>
            <w:r w:rsidR="00E711E2">
              <w:rPr>
                <w:webHidden/>
              </w:rPr>
              <w:t>58</w:t>
            </w:r>
            <w:r>
              <w:rPr>
                <w:webHidden/>
              </w:rPr>
              <w:fldChar w:fldCharType="end"/>
            </w:r>
          </w:hyperlink>
        </w:p>
        <w:p w:rsidR="00BC5A99" w14:paraId="68137674" w14:textId="5E28B5D3">
          <w:pPr>
            <w:pStyle w:val="TOC2"/>
            <w:rPr>
              <w:rFonts w:eastAsiaTheme="minorEastAsia"/>
            </w:rPr>
          </w:pPr>
          <w:hyperlink w:anchor="_Toc127438078" w:history="1">
            <w:r w:rsidRPr="00C22AAF">
              <w:rPr>
                <w:rStyle w:val="Hyperlink"/>
              </w:rPr>
              <w:t>4.9</w:t>
            </w:r>
            <w:r>
              <w:rPr>
                <w:rFonts w:eastAsiaTheme="minorEastAsia"/>
              </w:rPr>
              <w:tab/>
            </w:r>
            <w:r w:rsidRPr="00C22AAF">
              <w:rPr>
                <w:rStyle w:val="Hyperlink"/>
              </w:rPr>
              <w:t>Federal Agency Reporting Requirement</w:t>
            </w:r>
            <w:r>
              <w:rPr>
                <w:webHidden/>
              </w:rPr>
              <w:tab/>
            </w:r>
            <w:r>
              <w:rPr>
                <w:webHidden/>
              </w:rPr>
              <w:fldChar w:fldCharType="begin"/>
            </w:r>
            <w:r>
              <w:rPr>
                <w:webHidden/>
              </w:rPr>
              <w:instrText xml:space="preserve"> PAGEREF _Toc127438078 \h </w:instrText>
            </w:r>
            <w:r>
              <w:rPr>
                <w:webHidden/>
              </w:rPr>
              <w:fldChar w:fldCharType="separate"/>
            </w:r>
            <w:r w:rsidR="00E711E2">
              <w:rPr>
                <w:webHidden/>
              </w:rPr>
              <w:t>59</w:t>
            </w:r>
            <w:r>
              <w:rPr>
                <w:webHidden/>
              </w:rPr>
              <w:fldChar w:fldCharType="end"/>
            </w:r>
          </w:hyperlink>
        </w:p>
        <w:p w:rsidR="00BC5A99" w:rsidP="00E711E2" w14:paraId="4DB42166" w14:textId="1EF2B74E">
          <w:pPr>
            <w:pStyle w:val="TOC3"/>
            <w:rPr>
              <w:rFonts w:eastAsiaTheme="minorEastAsia"/>
            </w:rPr>
          </w:pPr>
          <w:hyperlink w:anchor="_Toc127438079" w:history="1">
            <w:r w:rsidRPr="00C22AAF">
              <w:rPr>
                <w:rStyle w:val="Hyperlink"/>
              </w:rPr>
              <w:t>4.9.1</w:t>
            </w:r>
            <w:r>
              <w:rPr>
                <w:rFonts w:eastAsiaTheme="minorEastAsia"/>
              </w:rPr>
              <w:tab/>
            </w:r>
            <w:r w:rsidRPr="00C22AAF">
              <w:rPr>
                <w:rStyle w:val="Hyperlink"/>
              </w:rPr>
              <w:t>Benefits</w:t>
            </w:r>
            <w:r>
              <w:rPr>
                <w:webHidden/>
              </w:rPr>
              <w:tab/>
            </w:r>
            <w:r>
              <w:rPr>
                <w:webHidden/>
              </w:rPr>
              <w:fldChar w:fldCharType="begin"/>
            </w:r>
            <w:r>
              <w:rPr>
                <w:webHidden/>
              </w:rPr>
              <w:instrText xml:space="preserve"> PAGEREF _Toc127438079 \h </w:instrText>
            </w:r>
            <w:r>
              <w:rPr>
                <w:webHidden/>
              </w:rPr>
              <w:fldChar w:fldCharType="separate"/>
            </w:r>
            <w:r w:rsidR="00E711E2">
              <w:rPr>
                <w:webHidden/>
              </w:rPr>
              <w:t>60</w:t>
            </w:r>
            <w:r>
              <w:rPr>
                <w:webHidden/>
              </w:rPr>
              <w:fldChar w:fldCharType="end"/>
            </w:r>
          </w:hyperlink>
        </w:p>
        <w:p w:rsidR="00BC5A99" w:rsidP="00E711E2" w14:paraId="1272170E" w14:textId="195DD81D">
          <w:pPr>
            <w:pStyle w:val="TOC3"/>
            <w:rPr>
              <w:rFonts w:eastAsiaTheme="minorEastAsia"/>
            </w:rPr>
          </w:pPr>
          <w:hyperlink w:anchor="_Toc127438080" w:history="1">
            <w:r w:rsidRPr="00C22AAF">
              <w:rPr>
                <w:rStyle w:val="Hyperlink"/>
              </w:rPr>
              <w:t>4.9.2</w:t>
            </w:r>
            <w:r>
              <w:rPr>
                <w:rFonts w:eastAsiaTheme="minorEastAsia"/>
              </w:rPr>
              <w:tab/>
            </w:r>
            <w:r w:rsidRPr="00C22AAF">
              <w:rPr>
                <w:rStyle w:val="Hyperlink"/>
              </w:rPr>
              <w:t>Costs</w:t>
            </w:r>
            <w:r>
              <w:rPr>
                <w:webHidden/>
              </w:rPr>
              <w:tab/>
            </w:r>
            <w:r>
              <w:rPr>
                <w:webHidden/>
              </w:rPr>
              <w:fldChar w:fldCharType="begin"/>
            </w:r>
            <w:r>
              <w:rPr>
                <w:webHidden/>
              </w:rPr>
              <w:instrText xml:space="preserve"> PAGEREF _Toc127438080 \h </w:instrText>
            </w:r>
            <w:r>
              <w:rPr>
                <w:webHidden/>
              </w:rPr>
              <w:fldChar w:fldCharType="separate"/>
            </w:r>
            <w:r w:rsidR="00E711E2">
              <w:rPr>
                <w:webHidden/>
              </w:rPr>
              <w:t>60</w:t>
            </w:r>
            <w:r>
              <w:rPr>
                <w:webHidden/>
              </w:rPr>
              <w:fldChar w:fldCharType="end"/>
            </w:r>
          </w:hyperlink>
        </w:p>
        <w:p w:rsidR="00BC5A99" w:rsidP="00FA2677" w14:paraId="3DEB3520" w14:textId="577D0719">
          <w:pPr>
            <w:pStyle w:val="TOC1"/>
            <w:rPr>
              <w:rFonts w:eastAsiaTheme="minorEastAsia"/>
              <w:sz w:val="22"/>
            </w:rPr>
          </w:pPr>
          <w:hyperlink w:anchor="_Toc127438081" w:history="1">
            <w:r w:rsidRPr="00C22AAF">
              <w:rPr>
                <w:rStyle w:val="Hyperlink"/>
                <w14:scene3d>
                  <w14:camera w14:prst="orthographicFront"/>
                  <w14:lightRig w14:rig="threePt" w14:dir="t">
                    <w14:rot w14:lat="0" w14:lon="0" w14:rev="0"/>
                  </w14:lightRig>
                </w14:scene3d>
              </w:rPr>
              <w:t>5.</w:t>
            </w:r>
            <w:r>
              <w:rPr>
                <w:rFonts w:eastAsiaTheme="minorEastAsia"/>
                <w:sz w:val="22"/>
              </w:rPr>
              <w:tab/>
            </w:r>
            <w:r w:rsidRPr="00C22AAF">
              <w:rPr>
                <w:rStyle w:val="Hyperlink"/>
              </w:rPr>
              <w:t>Summary</w:t>
            </w:r>
            <w:r>
              <w:rPr>
                <w:webHidden/>
              </w:rPr>
              <w:tab/>
            </w:r>
            <w:r>
              <w:rPr>
                <w:webHidden/>
              </w:rPr>
              <w:fldChar w:fldCharType="begin"/>
            </w:r>
            <w:r>
              <w:rPr>
                <w:webHidden/>
              </w:rPr>
              <w:instrText xml:space="preserve"> PAGEREF _Toc127438081 \h </w:instrText>
            </w:r>
            <w:r>
              <w:rPr>
                <w:webHidden/>
              </w:rPr>
              <w:fldChar w:fldCharType="separate"/>
            </w:r>
            <w:r w:rsidR="00E711E2">
              <w:rPr>
                <w:webHidden/>
              </w:rPr>
              <w:t>61</w:t>
            </w:r>
            <w:r>
              <w:rPr>
                <w:webHidden/>
              </w:rPr>
              <w:fldChar w:fldCharType="end"/>
            </w:r>
          </w:hyperlink>
        </w:p>
        <w:p w:rsidR="00BC5A99" w:rsidP="00FA2677" w14:paraId="0361D995" w14:textId="235B7586">
          <w:pPr>
            <w:pStyle w:val="TOC1"/>
            <w:rPr>
              <w:rFonts w:eastAsiaTheme="minorEastAsia"/>
              <w:sz w:val="22"/>
            </w:rPr>
          </w:pPr>
          <w:hyperlink w:anchor="_Toc127438082" w:history="1">
            <w:r w:rsidRPr="00C22AAF">
              <w:rPr>
                <w:rStyle w:val="Hyperlink"/>
                <w14:scene3d>
                  <w14:camera w14:prst="orthographicFront"/>
                  <w14:lightRig w14:rig="threePt" w14:dir="t">
                    <w14:rot w14:lat="0" w14:lon="0" w14:rev="0"/>
                  </w14:lightRig>
                </w14:scene3d>
              </w:rPr>
              <w:t>6.</w:t>
            </w:r>
            <w:r>
              <w:rPr>
                <w:rFonts w:eastAsiaTheme="minorEastAsia"/>
                <w:sz w:val="22"/>
              </w:rPr>
              <w:tab/>
            </w:r>
            <w:r w:rsidRPr="00C22AAF">
              <w:rPr>
                <w:rStyle w:val="Hyperlink"/>
              </w:rPr>
              <w:t>Appendix</w:t>
            </w:r>
            <w:r>
              <w:rPr>
                <w:webHidden/>
              </w:rPr>
              <w:tab/>
            </w:r>
            <w:r>
              <w:rPr>
                <w:webHidden/>
              </w:rPr>
              <w:fldChar w:fldCharType="begin"/>
            </w:r>
            <w:r>
              <w:rPr>
                <w:webHidden/>
              </w:rPr>
              <w:instrText xml:space="preserve"> PAGEREF _Toc127438082 \h </w:instrText>
            </w:r>
            <w:r>
              <w:rPr>
                <w:webHidden/>
              </w:rPr>
              <w:fldChar w:fldCharType="separate"/>
            </w:r>
            <w:r w:rsidR="00E711E2">
              <w:rPr>
                <w:webHidden/>
              </w:rPr>
              <w:t>65</w:t>
            </w:r>
            <w:r>
              <w:rPr>
                <w:webHidden/>
              </w:rPr>
              <w:fldChar w:fldCharType="end"/>
            </w:r>
          </w:hyperlink>
        </w:p>
        <w:p w:rsidR="00A731F8" w:rsidRPr="002D3263" w:rsidP="00FA2677" w14:paraId="04AAEF7D" w14:textId="5BE4CB25">
          <w:pPr>
            <w:pStyle w:val="TOC1"/>
          </w:pPr>
          <w:r w:rsidRPr="002D3263">
            <w:fldChar w:fldCharType="end"/>
          </w:r>
        </w:p>
      </w:sdtContent>
    </w:sdt>
    <w:p w:rsidR="001C5355" w:rsidRPr="002D3263" w:rsidP="00FA2677" w14:paraId="2CB22FC1" w14:textId="77777777">
      <w:pPr>
        <w:pStyle w:val="TOC1"/>
      </w:pPr>
      <w:r w:rsidRPr="002D3263">
        <w:br w:type="page"/>
      </w:r>
    </w:p>
    <w:p w:rsidR="00A240B4" w:rsidRPr="002D3263" w:rsidP="00BD26C9" w14:paraId="4ADED26F" w14:textId="77777777">
      <w:pPr>
        <w:pStyle w:val="Heading1"/>
        <w:numPr>
          <w:ilvl w:val="0"/>
          <w:numId w:val="0"/>
        </w:numPr>
      </w:pPr>
      <w:bookmarkStart w:id="0" w:name="_Toc127438001"/>
      <w:r w:rsidRPr="002D3263">
        <w:t>List of Figures</w:t>
      </w:r>
      <w:bookmarkEnd w:id="0"/>
    </w:p>
    <w:p w:rsidR="00BC5A99" w:rsidP="00FA2677" w14:paraId="591C302C" w14:textId="1DBB2C9E">
      <w:pPr>
        <w:pStyle w:val="TableofFigures"/>
        <w:rPr>
          <w:rFonts w:eastAsiaTheme="minorEastAsia"/>
        </w:rPr>
      </w:pPr>
      <w:r w:rsidRPr="002D3263">
        <w:rPr>
          <w:rFonts w:ascii="Arial" w:hAnsi="Arial" w:cs="Arial"/>
          <w:b/>
          <w:color w:val="1F497D" w:themeColor="text2"/>
          <w:sz w:val="32"/>
          <w:szCs w:val="32"/>
        </w:rPr>
        <w:fldChar w:fldCharType="begin"/>
      </w:r>
      <w:r w:rsidRPr="002D3263" w:rsidR="00E1560F">
        <w:rPr>
          <w:rFonts w:ascii="Arial" w:hAnsi="Arial" w:cs="Arial"/>
          <w:b/>
          <w:color w:val="1F497D" w:themeColor="text2"/>
          <w:sz w:val="32"/>
          <w:szCs w:val="32"/>
        </w:rPr>
        <w:instrText xml:space="preserve"> TOC \h \z \t "Figure Titles,1" \c "Figure" </w:instrText>
      </w:r>
      <w:r w:rsidRPr="002D3263">
        <w:rPr>
          <w:rFonts w:ascii="Arial" w:hAnsi="Arial" w:cs="Arial"/>
          <w:b/>
          <w:color w:val="1F497D" w:themeColor="text2"/>
          <w:sz w:val="32"/>
          <w:szCs w:val="32"/>
        </w:rPr>
        <w:fldChar w:fldCharType="separate"/>
      </w:r>
      <w:hyperlink w:anchor="_Toc127438083" w:history="1">
        <w:r w:rsidRPr="000F0F53">
          <w:rPr>
            <w:rStyle w:val="Hyperlink"/>
          </w:rPr>
          <w:t>Figure 1. Residential Relocations (FHWA)</w:t>
        </w:r>
        <w:r>
          <w:rPr>
            <w:webHidden/>
          </w:rPr>
          <w:tab/>
        </w:r>
        <w:r>
          <w:rPr>
            <w:webHidden/>
          </w:rPr>
          <w:fldChar w:fldCharType="begin"/>
        </w:r>
        <w:r>
          <w:rPr>
            <w:webHidden/>
          </w:rPr>
          <w:instrText xml:space="preserve"> PAGEREF _Toc127438083 \h </w:instrText>
        </w:r>
        <w:r>
          <w:rPr>
            <w:webHidden/>
          </w:rPr>
          <w:fldChar w:fldCharType="separate"/>
        </w:r>
        <w:r w:rsidR="00E711E2">
          <w:rPr>
            <w:webHidden/>
          </w:rPr>
          <w:t>23</w:t>
        </w:r>
        <w:r>
          <w:rPr>
            <w:webHidden/>
          </w:rPr>
          <w:fldChar w:fldCharType="end"/>
        </w:r>
      </w:hyperlink>
    </w:p>
    <w:p w:rsidR="00BC5A99" w:rsidP="00FA2677" w14:paraId="2970FF1F" w14:textId="3B2A971F">
      <w:pPr>
        <w:pStyle w:val="TableofFigures"/>
        <w:rPr>
          <w:rFonts w:eastAsiaTheme="minorEastAsia"/>
        </w:rPr>
      </w:pPr>
      <w:hyperlink w:anchor="_Toc127438084" w:history="1">
        <w:r w:rsidRPr="000F0F53">
          <w:rPr>
            <w:rStyle w:val="Hyperlink"/>
          </w:rPr>
          <w:t>Figure 2. Last Resort Housing as a Percent of All Residential Displacements (FHWA)</w:t>
        </w:r>
        <w:r>
          <w:rPr>
            <w:webHidden/>
          </w:rPr>
          <w:tab/>
        </w:r>
        <w:r>
          <w:rPr>
            <w:webHidden/>
          </w:rPr>
          <w:fldChar w:fldCharType="begin"/>
        </w:r>
        <w:r>
          <w:rPr>
            <w:webHidden/>
          </w:rPr>
          <w:instrText xml:space="preserve"> PAGEREF _Toc127438084 \h </w:instrText>
        </w:r>
        <w:r>
          <w:rPr>
            <w:webHidden/>
          </w:rPr>
          <w:fldChar w:fldCharType="separate"/>
        </w:r>
        <w:r w:rsidR="00E711E2">
          <w:rPr>
            <w:webHidden/>
          </w:rPr>
          <w:t>25</w:t>
        </w:r>
        <w:r>
          <w:rPr>
            <w:webHidden/>
          </w:rPr>
          <w:fldChar w:fldCharType="end"/>
        </w:r>
      </w:hyperlink>
    </w:p>
    <w:p w:rsidR="00BC5A99" w:rsidP="00FA2677" w14:paraId="6EF81AC1" w14:textId="18DB017D">
      <w:pPr>
        <w:pStyle w:val="TableofFigures"/>
        <w:rPr>
          <w:rFonts w:eastAsiaTheme="minorEastAsia"/>
        </w:rPr>
      </w:pPr>
      <w:hyperlink w:anchor="_Toc127438085" w:history="1">
        <w:r w:rsidRPr="000F0F53">
          <w:rPr>
            <w:rStyle w:val="Hyperlink"/>
          </w:rPr>
          <w:t>Figure 3. Non-Residential Displacements (FHWA)</w:t>
        </w:r>
        <w:r>
          <w:rPr>
            <w:webHidden/>
          </w:rPr>
          <w:tab/>
        </w:r>
        <w:r>
          <w:rPr>
            <w:webHidden/>
          </w:rPr>
          <w:fldChar w:fldCharType="begin"/>
        </w:r>
        <w:r>
          <w:rPr>
            <w:webHidden/>
          </w:rPr>
          <w:instrText xml:space="preserve"> PAGEREF _Toc127438085 \h </w:instrText>
        </w:r>
        <w:r>
          <w:rPr>
            <w:webHidden/>
          </w:rPr>
          <w:fldChar w:fldCharType="separate"/>
        </w:r>
        <w:r w:rsidR="00E711E2">
          <w:rPr>
            <w:webHidden/>
          </w:rPr>
          <w:t>37</w:t>
        </w:r>
        <w:r>
          <w:rPr>
            <w:webHidden/>
          </w:rPr>
          <w:fldChar w:fldCharType="end"/>
        </w:r>
      </w:hyperlink>
    </w:p>
    <w:p w:rsidR="00BC5A99" w:rsidP="00FA2677" w14:paraId="3F275DCB" w14:textId="165EA9F2">
      <w:pPr>
        <w:pStyle w:val="TableofFigures"/>
        <w:rPr>
          <w:rFonts w:eastAsiaTheme="minorEastAsia"/>
        </w:rPr>
      </w:pPr>
      <w:hyperlink w:anchor="_Toc127438086" w:history="1">
        <w:r w:rsidRPr="000F0F53">
          <w:rPr>
            <w:rStyle w:val="Hyperlink"/>
          </w:rPr>
          <w:t>Figure 4. Non-Residential In-Lieu-Of Payments (FHWA)</w:t>
        </w:r>
        <w:r>
          <w:rPr>
            <w:webHidden/>
          </w:rPr>
          <w:tab/>
        </w:r>
        <w:r>
          <w:rPr>
            <w:webHidden/>
          </w:rPr>
          <w:fldChar w:fldCharType="begin"/>
        </w:r>
        <w:r>
          <w:rPr>
            <w:webHidden/>
          </w:rPr>
          <w:instrText xml:space="preserve"> PAGEREF _Toc127438086 \h </w:instrText>
        </w:r>
        <w:r>
          <w:rPr>
            <w:webHidden/>
          </w:rPr>
          <w:fldChar w:fldCharType="separate"/>
        </w:r>
        <w:r w:rsidR="00E711E2">
          <w:rPr>
            <w:webHidden/>
          </w:rPr>
          <w:t>38</w:t>
        </w:r>
        <w:r>
          <w:rPr>
            <w:webHidden/>
          </w:rPr>
          <w:fldChar w:fldCharType="end"/>
        </w:r>
      </w:hyperlink>
    </w:p>
    <w:p w:rsidR="00A240B4" w:rsidRPr="002D3263" w:rsidP="00EF4CBB" w14:paraId="24154209" w14:textId="6445FC00">
      <w:pPr>
        <w:widowControl/>
        <w:tabs>
          <w:tab w:val="right" w:leader="dot" w:pos="9720"/>
        </w:tabs>
        <w:rPr>
          <w:b/>
        </w:rPr>
      </w:pPr>
      <w:r w:rsidRPr="002D3263">
        <w:rPr>
          <w:rFonts w:ascii="Arial" w:hAnsi="Arial" w:cs="Arial"/>
          <w:b/>
          <w:color w:val="1F497D" w:themeColor="text2"/>
          <w:sz w:val="32"/>
          <w:szCs w:val="32"/>
        </w:rPr>
        <w:fldChar w:fldCharType="end"/>
      </w:r>
    </w:p>
    <w:p w:rsidR="00A240B4" w:rsidRPr="002D3263" w:rsidP="00BD26C9" w14:paraId="5E932AA2" w14:textId="77777777">
      <w:pPr>
        <w:pStyle w:val="Heading1"/>
        <w:numPr>
          <w:ilvl w:val="0"/>
          <w:numId w:val="0"/>
        </w:numPr>
      </w:pPr>
      <w:bookmarkStart w:id="1" w:name="_Toc127438002"/>
      <w:r w:rsidRPr="002D3263">
        <w:t>L</w:t>
      </w:r>
      <w:r w:rsidRPr="002D3263">
        <w:rPr>
          <w:spacing w:val="2"/>
        </w:rPr>
        <w:t>i</w:t>
      </w:r>
      <w:r w:rsidRPr="002D3263">
        <w:rPr>
          <w:spacing w:val="-1"/>
        </w:rPr>
        <w:t>s</w:t>
      </w:r>
      <w:r w:rsidRPr="002D3263">
        <w:t>t of</w:t>
      </w:r>
      <w:r w:rsidRPr="002D3263">
        <w:rPr>
          <w:spacing w:val="-4"/>
        </w:rPr>
        <w:t xml:space="preserve"> </w:t>
      </w:r>
      <w:r w:rsidRPr="002D3263">
        <w:rPr>
          <w:spacing w:val="-29"/>
        </w:rPr>
        <w:t>T</w:t>
      </w:r>
      <w:r w:rsidRPr="002D3263">
        <w:rPr>
          <w:spacing w:val="-1"/>
        </w:rPr>
        <w:t>a</w:t>
      </w:r>
      <w:r w:rsidRPr="002D3263">
        <w:t>b</w:t>
      </w:r>
      <w:r w:rsidRPr="002D3263">
        <w:rPr>
          <w:spacing w:val="2"/>
        </w:rPr>
        <w:t>l</w:t>
      </w:r>
      <w:r w:rsidRPr="002D3263">
        <w:rPr>
          <w:spacing w:val="-1"/>
        </w:rPr>
        <w:t>e</w:t>
      </w:r>
      <w:r w:rsidRPr="002D3263">
        <w:t>s</w:t>
      </w:r>
      <w:bookmarkEnd w:id="1"/>
    </w:p>
    <w:bookmarkStart w:id="2" w:name="_Hlk509395280"/>
    <w:p w:rsidR="00BC5A99" w:rsidP="00FA2677" w14:paraId="34B09D21" w14:textId="493D625D">
      <w:pPr>
        <w:pStyle w:val="TableofFigures"/>
        <w:rPr>
          <w:rFonts w:eastAsiaTheme="minorEastAsia"/>
        </w:rPr>
      </w:pPr>
      <w:r w:rsidRPr="002D3263">
        <w:fldChar w:fldCharType="begin"/>
      </w:r>
      <w:r w:rsidRPr="002D3263">
        <w:instrText xml:space="preserve"> TOC \h \z \c "Table" </w:instrText>
      </w:r>
      <w:r w:rsidRPr="002D3263">
        <w:fldChar w:fldCharType="separate"/>
      </w:r>
      <w:r>
        <w:fldChar w:fldCharType="begin"/>
      </w:r>
      <w:r>
        <w:instrText xml:space="preserve"> HYPERLINK \l "_Toc127438087" </w:instrText>
      </w:r>
      <w:r>
        <w:fldChar w:fldCharType="separate"/>
      </w:r>
      <w:r w:rsidRPr="00395203">
        <w:rPr>
          <w:rStyle w:val="Hyperlink"/>
        </w:rPr>
        <w:t>Table 1. Federal Agencies Potentially Subject to the Uniform Act</w:t>
      </w:r>
      <w:r>
        <w:rPr>
          <w:webHidden/>
        </w:rPr>
        <w:tab/>
      </w:r>
      <w:r>
        <w:rPr>
          <w:webHidden/>
        </w:rPr>
        <w:fldChar w:fldCharType="begin"/>
      </w:r>
      <w:r>
        <w:rPr>
          <w:webHidden/>
        </w:rPr>
        <w:instrText xml:space="preserve"> PAGEREF _Toc127438087 \h </w:instrText>
      </w:r>
      <w:r>
        <w:rPr>
          <w:webHidden/>
        </w:rPr>
        <w:fldChar w:fldCharType="separate"/>
      </w:r>
      <w:r w:rsidR="00E711E2">
        <w:rPr>
          <w:webHidden/>
        </w:rPr>
        <w:t>20</w:t>
      </w:r>
      <w:r>
        <w:rPr>
          <w:webHidden/>
        </w:rPr>
        <w:fldChar w:fldCharType="end"/>
      </w:r>
      <w:r>
        <w:fldChar w:fldCharType="end"/>
      </w:r>
    </w:p>
    <w:p w:rsidR="00BC5A99" w:rsidP="00FA2677" w14:paraId="7688D007" w14:textId="5D532D88">
      <w:pPr>
        <w:pStyle w:val="TableofFigures"/>
        <w:rPr>
          <w:rFonts w:eastAsiaTheme="minorEastAsia"/>
        </w:rPr>
      </w:pPr>
      <w:hyperlink w:anchor="_Toc127438088" w:history="1">
        <w:r w:rsidRPr="00395203">
          <w:rPr>
            <w:rStyle w:val="Hyperlink"/>
          </w:rPr>
          <w:t>Table 2. Benefits from Increasing Maximum Amounts for Replacement Housing Assistance (FHWA)</w:t>
        </w:r>
        <w:r>
          <w:rPr>
            <w:webHidden/>
          </w:rPr>
          <w:tab/>
        </w:r>
        <w:r>
          <w:rPr>
            <w:webHidden/>
          </w:rPr>
          <w:fldChar w:fldCharType="begin"/>
        </w:r>
        <w:r>
          <w:rPr>
            <w:webHidden/>
          </w:rPr>
          <w:instrText xml:space="preserve"> PAGEREF _Toc127438088 \h </w:instrText>
        </w:r>
        <w:r>
          <w:rPr>
            <w:webHidden/>
          </w:rPr>
          <w:fldChar w:fldCharType="separate"/>
        </w:r>
        <w:r w:rsidR="00E711E2">
          <w:rPr>
            <w:webHidden/>
          </w:rPr>
          <w:t>27</w:t>
        </w:r>
        <w:r>
          <w:rPr>
            <w:webHidden/>
          </w:rPr>
          <w:fldChar w:fldCharType="end"/>
        </w:r>
      </w:hyperlink>
    </w:p>
    <w:p w:rsidR="00BC5A99" w:rsidP="00FA2677" w14:paraId="79A1A2F6" w14:textId="25E52CE6">
      <w:pPr>
        <w:pStyle w:val="TableofFigures"/>
        <w:rPr>
          <w:rFonts w:eastAsiaTheme="minorEastAsia"/>
        </w:rPr>
      </w:pPr>
      <w:hyperlink w:anchor="_Toc127438089" w:history="1">
        <w:r w:rsidRPr="00395203">
          <w:rPr>
            <w:rStyle w:val="Hyperlink"/>
          </w:rPr>
          <w:t>Table 3. Administrative Cost Savings from Changing Homeowner Eligibility from 180 days to 90 days (FHWA)</w:t>
        </w:r>
        <w:r>
          <w:rPr>
            <w:webHidden/>
          </w:rPr>
          <w:tab/>
        </w:r>
        <w:r>
          <w:rPr>
            <w:webHidden/>
          </w:rPr>
          <w:fldChar w:fldCharType="begin"/>
        </w:r>
        <w:r>
          <w:rPr>
            <w:webHidden/>
          </w:rPr>
          <w:instrText xml:space="preserve"> PAGEREF _Toc127438089 \h </w:instrText>
        </w:r>
        <w:r>
          <w:rPr>
            <w:webHidden/>
          </w:rPr>
          <w:fldChar w:fldCharType="separate"/>
        </w:r>
        <w:r w:rsidR="00E711E2">
          <w:rPr>
            <w:webHidden/>
          </w:rPr>
          <w:t>28</w:t>
        </w:r>
        <w:r>
          <w:rPr>
            <w:webHidden/>
          </w:rPr>
          <w:fldChar w:fldCharType="end"/>
        </w:r>
      </w:hyperlink>
    </w:p>
    <w:p w:rsidR="00BC5A99" w:rsidP="00FA2677" w14:paraId="48F5B279" w14:textId="4370FEE5">
      <w:pPr>
        <w:pStyle w:val="TableofFigures"/>
        <w:rPr>
          <w:rFonts w:eastAsiaTheme="minorEastAsia"/>
        </w:rPr>
      </w:pPr>
      <w:hyperlink w:anchor="_Toc127438090" w:history="1">
        <w:r w:rsidRPr="00395203">
          <w:rPr>
            <w:rStyle w:val="Hyperlink"/>
          </w:rPr>
          <w:t>Table 4. Transfers (Increased Program Expenditure) from Changing Homeowner Eligibility from 180 days to 90 days (FHWA)</w:t>
        </w:r>
        <w:r>
          <w:rPr>
            <w:webHidden/>
          </w:rPr>
          <w:tab/>
        </w:r>
        <w:r>
          <w:rPr>
            <w:webHidden/>
          </w:rPr>
          <w:fldChar w:fldCharType="begin"/>
        </w:r>
        <w:r>
          <w:rPr>
            <w:webHidden/>
          </w:rPr>
          <w:instrText xml:space="preserve"> PAGEREF _Toc127438090 \h </w:instrText>
        </w:r>
        <w:r>
          <w:rPr>
            <w:webHidden/>
          </w:rPr>
          <w:fldChar w:fldCharType="separate"/>
        </w:r>
        <w:r w:rsidR="00E711E2">
          <w:rPr>
            <w:webHidden/>
          </w:rPr>
          <w:t>30</w:t>
        </w:r>
        <w:r>
          <w:rPr>
            <w:webHidden/>
          </w:rPr>
          <w:fldChar w:fldCharType="end"/>
        </w:r>
      </w:hyperlink>
    </w:p>
    <w:p w:rsidR="00BC5A99" w:rsidP="00FA2677" w14:paraId="14CCB695" w14:textId="5D90A8E9">
      <w:pPr>
        <w:pStyle w:val="TableofFigures"/>
        <w:rPr>
          <w:rFonts w:eastAsiaTheme="minorEastAsia"/>
        </w:rPr>
      </w:pPr>
      <w:hyperlink w:anchor="_Toc127438091" w:history="1">
        <w:r w:rsidRPr="00395203">
          <w:rPr>
            <w:rStyle w:val="Hyperlink"/>
          </w:rPr>
          <w:t>Table 5. Administrative Costs of Reverse Mortgages (All Agencies)</w:t>
        </w:r>
        <w:r>
          <w:rPr>
            <w:webHidden/>
          </w:rPr>
          <w:tab/>
        </w:r>
        <w:r>
          <w:rPr>
            <w:webHidden/>
          </w:rPr>
          <w:fldChar w:fldCharType="begin"/>
        </w:r>
        <w:r>
          <w:rPr>
            <w:webHidden/>
          </w:rPr>
          <w:instrText xml:space="preserve"> PAGEREF _Toc127438091 \h </w:instrText>
        </w:r>
        <w:r>
          <w:rPr>
            <w:webHidden/>
          </w:rPr>
          <w:fldChar w:fldCharType="separate"/>
        </w:r>
        <w:r w:rsidR="00E711E2">
          <w:rPr>
            <w:webHidden/>
          </w:rPr>
          <w:t>32</w:t>
        </w:r>
        <w:r>
          <w:rPr>
            <w:webHidden/>
          </w:rPr>
          <w:fldChar w:fldCharType="end"/>
        </w:r>
      </w:hyperlink>
    </w:p>
    <w:p w:rsidR="00BC5A99" w:rsidP="00FA2677" w14:paraId="0C8537D1" w14:textId="31B9AE58">
      <w:pPr>
        <w:pStyle w:val="TableofFigures"/>
        <w:rPr>
          <w:rFonts w:eastAsiaTheme="minorEastAsia"/>
        </w:rPr>
      </w:pPr>
      <w:hyperlink w:anchor="_Toc127438092" w:history="1">
        <w:r w:rsidRPr="00395203">
          <w:rPr>
            <w:rStyle w:val="Hyperlink"/>
          </w:rPr>
          <w:t>Table 6. Transfers (Increased Program Expenditures) from Reimbursing Rental Application and Credit Check Fees</w:t>
        </w:r>
        <w:r>
          <w:rPr>
            <w:webHidden/>
          </w:rPr>
          <w:tab/>
        </w:r>
        <w:r>
          <w:rPr>
            <w:webHidden/>
          </w:rPr>
          <w:fldChar w:fldCharType="begin"/>
        </w:r>
        <w:r>
          <w:rPr>
            <w:webHidden/>
          </w:rPr>
          <w:instrText xml:space="preserve"> PAGEREF _Toc127438092 \h </w:instrText>
        </w:r>
        <w:r>
          <w:rPr>
            <w:webHidden/>
          </w:rPr>
          <w:fldChar w:fldCharType="separate"/>
        </w:r>
        <w:r w:rsidR="00E711E2">
          <w:rPr>
            <w:webHidden/>
          </w:rPr>
          <w:t>34</w:t>
        </w:r>
        <w:r>
          <w:rPr>
            <w:webHidden/>
          </w:rPr>
          <w:fldChar w:fldCharType="end"/>
        </w:r>
      </w:hyperlink>
    </w:p>
    <w:p w:rsidR="00BC5A99" w:rsidP="00FA2677" w14:paraId="6DBAFD8D" w14:textId="403CFC25">
      <w:pPr>
        <w:pStyle w:val="TableofFigures"/>
        <w:rPr>
          <w:rFonts w:eastAsiaTheme="minorEastAsia"/>
        </w:rPr>
      </w:pPr>
      <w:hyperlink w:anchor="_Toc127438093" w:history="1">
        <w:r w:rsidRPr="00395203">
          <w:rPr>
            <w:rStyle w:val="Hyperlink"/>
          </w:rPr>
          <w:t>Table 7. Non-Residential Maximum Payments</w:t>
        </w:r>
        <w:r>
          <w:rPr>
            <w:webHidden/>
          </w:rPr>
          <w:tab/>
        </w:r>
        <w:r>
          <w:rPr>
            <w:webHidden/>
          </w:rPr>
          <w:fldChar w:fldCharType="begin"/>
        </w:r>
        <w:r>
          <w:rPr>
            <w:webHidden/>
          </w:rPr>
          <w:instrText xml:space="preserve"> PAGEREF _Toc127438093 \h </w:instrText>
        </w:r>
        <w:r>
          <w:rPr>
            <w:webHidden/>
          </w:rPr>
          <w:fldChar w:fldCharType="separate"/>
        </w:r>
        <w:r w:rsidR="00E711E2">
          <w:rPr>
            <w:webHidden/>
          </w:rPr>
          <w:t>37</w:t>
        </w:r>
        <w:r>
          <w:rPr>
            <w:webHidden/>
          </w:rPr>
          <w:fldChar w:fldCharType="end"/>
        </w:r>
      </w:hyperlink>
    </w:p>
    <w:p w:rsidR="00BC5A99" w:rsidP="00FA2677" w14:paraId="399E0601" w14:textId="22902CEA">
      <w:pPr>
        <w:pStyle w:val="TableofFigures"/>
        <w:rPr>
          <w:rFonts w:eastAsiaTheme="minorEastAsia"/>
        </w:rPr>
      </w:pPr>
      <w:hyperlink w:anchor="_Toc127438094" w:history="1">
        <w:r w:rsidRPr="00395203">
          <w:rPr>
            <w:rStyle w:val="Hyperlink"/>
          </w:rPr>
          <w:t>Table 8. Change in Search Expense Reimbursement for Non-residential Relocations (FHWA)</w:t>
        </w:r>
        <w:r>
          <w:rPr>
            <w:webHidden/>
          </w:rPr>
          <w:tab/>
        </w:r>
        <w:r>
          <w:rPr>
            <w:webHidden/>
          </w:rPr>
          <w:fldChar w:fldCharType="begin"/>
        </w:r>
        <w:r>
          <w:rPr>
            <w:webHidden/>
          </w:rPr>
          <w:instrText xml:space="preserve"> PAGEREF _Toc127438094 \h </w:instrText>
        </w:r>
        <w:r>
          <w:rPr>
            <w:webHidden/>
          </w:rPr>
          <w:fldChar w:fldCharType="separate"/>
        </w:r>
        <w:r w:rsidR="00E711E2">
          <w:rPr>
            <w:webHidden/>
          </w:rPr>
          <w:t>43</w:t>
        </w:r>
        <w:r>
          <w:rPr>
            <w:webHidden/>
          </w:rPr>
          <w:fldChar w:fldCharType="end"/>
        </w:r>
      </w:hyperlink>
    </w:p>
    <w:p w:rsidR="00BC5A99" w:rsidP="00FA2677" w14:paraId="7E5930E5" w14:textId="7A06A94D">
      <w:pPr>
        <w:pStyle w:val="TableofFigures"/>
        <w:rPr>
          <w:rFonts w:eastAsiaTheme="minorEastAsia"/>
        </w:rPr>
      </w:pPr>
      <w:hyperlink w:anchor="_Toc127438095" w:history="1">
        <w:r w:rsidRPr="00395203">
          <w:rPr>
            <w:rStyle w:val="Hyperlink"/>
          </w:rPr>
          <w:t>Table 9. Change in Re-establishment Expense for Non-residential Relocations (FHWA)</w:t>
        </w:r>
        <w:r>
          <w:rPr>
            <w:webHidden/>
          </w:rPr>
          <w:tab/>
        </w:r>
        <w:r>
          <w:rPr>
            <w:webHidden/>
          </w:rPr>
          <w:fldChar w:fldCharType="begin"/>
        </w:r>
        <w:r>
          <w:rPr>
            <w:webHidden/>
          </w:rPr>
          <w:instrText xml:space="preserve"> PAGEREF _Toc127438095 \h </w:instrText>
        </w:r>
        <w:r>
          <w:rPr>
            <w:webHidden/>
          </w:rPr>
          <w:fldChar w:fldCharType="separate"/>
        </w:r>
        <w:r w:rsidR="00E711E2">
          <w:rPr>
            <w:webHidden/>
          </w:rPr>
          <w:t>47</w:t>
        </w:r>
        <w:r>
          <w:rPr>
            <w:webHidden/>
          </w:rPr>
          <w:fldChar w:fldCharType="end"/>
        </w:r>
      </w:hyperlink>
    </w:p>
    <w:p w:rsidR="00BC5A99" w:rsidP="00FA2677" w14:paraId="3EB5CDE8" w14:textId="69429A0A">
      <w:pPr>
        <w:pStyle w:val="TableofFigures"/>
        <w:rPr>
          <w:rFonts w:eastAsiaTheme="minorEastAsia"/>
        </w:rPr>
      </w:pPr>
      <w:hyperlink w:anchor="_Toc127438096" w:history="1">
        <w:r w:rsidRPr="00395203">
          <w:rPr>
            <w:rStyle w:val="Hyperlink"/>
          </w:rPr>
          <w:t>Table 10. Change in Fixed Payments In-Lieu-of Moving Costs for Non-residential Relocations (FHWA)</w:t>
        </w:r>
        <w:r>
          <w:rPr>
            <w:webHidden/>
          </w:rPr>
          <w:tab/>
        </w:r>
        <w:r>
          <w:rPr>
            <w:webHidden/>
          </w:rPr>
          <w:fldChar w:fldCharType="begin"/>
        </w:r>
        <w:r>
          <w:rPr>
            <w:webHidden/>
          </w:rPr>
          <w:instrText xml:space="preserve"> PAGEREF _Toc127438096 \h </w:instrText>
        </w:r>
        <w:r>
          <w:rPr>
            <w:webHidden/>
          </w:rPr>
          <w:fldChar w:fldCharType="separate"/>
        </w:r>
        <w:r w:rsidR="00E711E2">
          <w:rPr>
            <w:webHidden/>
          </w:rPr>
          <w:t>51</w:t>
        </w:r>
        <w:r>
          <w:rPr>
            <w:webHidden/>
          </w:rPr>
          <w:fldChar w:fldCharType="end"/>
        </w:r>
      </w:hyperlink>
    </w:p>
    <w:p w:rsidR="00BC5A99" w:rsidP="00FA2677" w14:paraId="5FA91BEA" w14:textId="4B48476F">
      <w:pPr>
        <w:pStyle w:val="TableofFigures"/>
        <w:rPr>
          <w:rFonts w:eastAsiaTheme="minorEastAsia"/>
        </w:rPr>
      </w:pPr>
      <w:hyperlink w:anchor="_Toc127438097" w:history="1">
        <w:r w:rsidRPr="00395203">
          <w:rPr>
            <w:rStyle w:val="Hyperlink"/>
          </w:rPr>
          <w:t>Table 11. Costs to Update Program Materials (All Agencies)</w:t>
        </w:r>
        <w:r>
          <w:rPr>
            <w:webHidden/>
          </w:rPr>
          <w:tab/>
        </w:r>
        <w:r>
          <w:rPr>
            <w:webHidden/>
          </w:rPr>
          <w:fldChar w:fldCharType="begin"/>
        </w:r>
        <w:r>
          <w:rPr>
            <w:webHidden/>
          </w:rPr>
          <w:instrText xml:space="preserve"> PAGEREF _Toc127438097 \h </w:instrText>
        </w:r>
        <w:r>
          <w:rPr>
            <w:webHidden/>
          </w:rPr>
          <w:fldChar w:fldCharType="separate"/>
        </w:r>
        <w:r w:rsidR="00E711E2">
          <w:rPr>
            <w:webHidden/>
          </w:rPr>
          <w:t>59</w:t>
        </w:r>
        <w:r>
          <w:rPr>
            <w:webHidden/>
          </w:rPr>
          <w:fldChar w:fldCharType="end"/>
        </w:r>
      </w:hyperlink>
    </w:p>
    <w:p w:rsidR="00BC5A99" w:rsidP="00FA2677" w14:paraId="75A0C9A7" w14:textId="46FCE0B0">
      <w:pPr>
        <w:pStyle w:val="TableofFigures"/>
        <w:rPr>
          <w:rFonts w:eastAsiaTheme="minorEastAsia"/>
        </w:rPr>
      </w:pPr>
      <w:hyperlink w:anchor="_Toc127438098" w:history="1">
        <w:r w:rsidRPr="00395203">
          <w:rPr>
            <w:rStyle w:val="Hyperlink"/>
          </w:rPr>
          <w:t>Table 12. Costs for Annual Reporting (All Agencies)</w:t>
        </w:r>
        <w:r>
          <w:rPr>
            <w:webHidden/>
          </w:rPr>
          <w:tab/>
        </w:r>
        <w:r>
          <w:rPr>
            <w:webHidden/>
          </w:rPr>
          <w:fldChar w:fldCharType="begin"/>
        </w:r>
        <w:r>
          <w:rPr>
            <w:webHidden/>
          </w:rPr>
          <w:instrText xml:space="preserve"> PAGEREF _Toc127438098 \h </w:instrText>
        </w:r>
        <w:r>
          <w:rPr>
            <w:webHidden/>
          </w:rPr>
          <w:fldChar w:fldCharType="separate"/>
        </w:r>
        <w:r w:rsidR="00E711E2">
          <w:rPr>
            <w:webHidden/>
          </w:rPr>
          <w:t>61</w:t>
        </w:r>
        <w:r>
          <w:rPr>
            <w:webHidden/>
          </w:rPr>
          <w:fldChar w:fldCharType="end"/>
        </w:r>
      </w:hyperlink>
    </w:p>
    <w:p w:rsidR="00F6710D" w:rsidRPr="002D3263" w:rsidP="00EF4CBB" w14:paraId="7F35818B" w14:textId="34651038">
      <w:pPr>
        <w:widowControl/>
      </w:pPr>
      <w:r w:rsidRPr="002D3263">
        <w:fldChar w:fldCharType="end"/>
      </w:r>
      <w:bookmarkEnd w:id="2"/>
      <w:r w:rsidRPr="002D3263">
        <w:br w:type="page"/>
      </w:r>
    </w:p>
    <w:p w:rsidR="0027479A" w:rsidRPr="002D3263" w:rsidP="00BD26C9" w14:paraId="42B7C09C" w14:textId="77777777">
      <w:pPr>
        <w:pStyle w:val="Heading1"/>
        <w:numPr>
          <w:ilvl w:val="0"/>
          <w:numId w:val="0"/>
        </w:numPr>
      </w:pPr>
      <w:bookmarkStart w:id="3" w:name="_Toc127438003"/>
      <w:r w:rsidRPr="002D3263">
        <w:t>Abbreviations</w:t>
      </w:r>
      <w:r w:rsidRPr="002D3263" w:rsidR="002F7F6F">
        <w:t xml:space="preserve"> and Acronyms</w:t>
      </w:r>
      <w:bookmarkEnd w:id="3"/>
    </w:p>
    <w:p w:rsidR="00383D22" w:rsidRPr="002D3263" w:rsidP="00EF4CBB" w14:paraId="1E64F81E" w14:textId="77777777">
      <w:pPr>
        <w:widowControl/>
      </w:pPr>
    </w:p>
    <w:tbl>
      <w:tblPr>
        <w:tblStyle w:val="LightShadingAccent1"/>
        <w:tblCaption w:val="List of Abbreviations"/>
        <w:tblDescription w:val="This shows the acronyms used in this repor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7470"/>
      </w:tblGrid>
      <w:tr w14:paraId="064B71AD" w14:textId="77777777" w:rsidTr="00EF4CBB">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1350" w:type="dxa"/>
            <w:tcBorders>
              <w:top w:val="none" w:sz="0" w:space="0" w:color="auto"/>
              <w:left w:val="none" w:sz="0" w:space="0" w:color="auto"/>
              <w:bottom w:val="none" w:sz="0" w:space="0" w:color="auto"/>
              <w:right w:val="none" w:sz="0" w:space="0" w:color="auto"/>
            </w:tcBorders>
            <w:shd w:val="clear" w:color="auto" w:fill="auto"/>
          </w:tcPr>
          <w:p w:rsidR="000F76CC" w:rsidRPr="002D3263" w:rsidP="00EF4CBB" w14:paraId="228F4967" w14:textId="77777777">
            <w:pPr>
              <w:widowControl/>
              <w:rPr>
                <w:color w:val="000000" w:themeColor="text1"/>
              </w:rPr>
            </w:pPr>
            <w:r w:rsidRPr="002D3263">
              <w:rPr>
                <w:color w:val="000000" w:themeColor="text1"/>
              </w:rPr>
              <w:t>BRARS</w:t>
            </w:r>
          </w:p>
        </w:tc>
        <w:tc>
          <w:tcPr>
            <w:tcW w:w="7470" w:type="dxa"/>
            <w:tcBorders>
              <w:top w:val="none" w:sz="0" w:space="0" w:color="auto"/>
              <w:left w:val="none" w:sz="0" w:space="0" w:color="auto"/>
              <w:bottom w:val="none" w:sz="0" w:space="0" w:color="auto"/>
              <w:right w:val="none" w:sz="0" w:space="0" w:color="auto"/>
            </w:tcBorders>
            <w:shd w:val="clear" w:color="auto" w:fill="auto"/>
          </w:tcPr>
          <w:p w:rsidR="000F76CC" w:rsidRPr="002D3263" w:rsidP="00EF4CBB" w14:paraId="6DFFB83A" w14:textId="77777777">
            <w:pPr>
              <w:widowControl/>
              <w:rPr>
                <w:color w:val="000000" w:themeColor="text1"/>
              </w:rPr>
            </w:pPr>
            <w:r w:rsidRPr="002D3263">
              <w:rPr>
                <w:b w:val="0"/>
                <w:bCs w:val="0"/>
                <w:color w:val="000000" w:themeColor="text1"/>
              </w:rPr>
              <w:t>Business Relocation Assistance Retrospective Study</w:t>
            </w:r>
          </w:p>
        </w:tc>
      </w:tr>
      <w:tr w14:paraId="56B0EA18" w14:textId="77777777" w:rsidTr="00EF4CBB">
        <w:tblPrEx>
          <w:tblW w:w="0" w:type="auto"/>
          <w:jc w:val="center"/>
          <w:tblLook w:val="04A0"/>
        </w:tblPrEx>
        <w:trPr>
          <w:jc w:val="center"/>
        </w:trPr>
        <w:tc>
          <w:tcPr>
            <w:tcW w:w="1350" w:type="dxa"/>
            <w:tcBorders>
              <w:left w:val="none" w:sz="0" w:space="0" w:color="auto"/>
              <w:right w:val="none" w:sz="0" w:space="0" w:color="auto"/>
            </w:tcBorders>
            <w:shd w:val="clear" w:color="auto" w:fill="auto"/>
          </w:tcPr>
          <w:p w:rsidR="006D528C" w:rsidRPr="002D3263" w:rsidP="00EF4CBB" w14:paraId="17549CD8" w14:textId="77777777">
            <w:pPr>
              <w:widowControl/>
              <w:rPr>
                <w:b w:val="0"/>
                <w:color w:val="000000" w:themeColor="text1"/>
              </w:rPr>
            </w:pPr>
            <w:r w:rsidRPr="002D3263">
              <w:rPr>
                <w:color w:val="000000" w:themeColor="text1"/>
              </w:rPr>
              <w:t>CFR</w:t>
            </w:r>
          </w:p>
        </w:tc>
        <w:tc>
          <w:tcPr>
            <w:tcW w:w="7470" w:type="dxa"/>
            <w:tcBorders>
              <w:left w:val="none" w:sz="0" w:space="0" w:color="auto"/>
              <w:right w:val="none" w:sz="0" w:space="0" w:color="auto"/>
            </w:tcBorders>
            <w:shd w:val="clear" w:color="auto" w:fill="auto"/>
          </w:tcPr>
          <w:p w:rsidR="006D528C" w:rsidRPr="002D3263" w:rsidP="00EF4CBB" w14:paraId="2411B747" w14:textId="77777777">
            <w:pPr>
              <w:widowControl/>
              <w:rPr>
                <w:color w:val="000000" w:themeColor="text1"/>
              </w:rPr>
            </w:pPr>
            <w:r w:rsidRPr="002D3263">
              <w:rPr>
                <w:color w:val="000000" w:themeColor="text1"/>
              </w:rPr>
              <w:t xml:space="preserve">Code of </w:t>
            </w:r>
            <w:r w:rsidRPr="002D3263" w:rsidR="00111308">
              <w:rPr>
                <w:color w:val="000000" w:themeColor="text1"/>
              </w:rPr>
              <w:t>Federal</w:t>
            </w:r>
            <w:r w:rsidRPr="002D3263">
              <w:rPr>
                <w:color w:val="000000" w:themeColor="text1"/>
              </w:rPr>
              <w:t xml:space="preserve"> Regulations</w:t>
            </w:r>
          </w:p>
        </w:tc>
      </w:tr>
      <w:tr w14:paraId="4F91DF6D" w14:textId="77777777" w:rsidTr="00EF4CBB">
        <w:tblPrEx>
          <w:tblW w:w="0" w:type="auto"/>
          <w:jc w:val="center"/>
          <w:tblLook w:val="04A0"/>
        </w:tblPrEx>
        <w:trPr>
          <w:jc w:val="center"/>
        </w:trPr>
        <w:tc>
          <w:tcPr>
            <w:tcW w:w="1350" w:type="dxa"/>
            <w:shd w:val="clear" w:color="auto" w:fill="auto"/>
          </w:tcPr>
          <w:p w:rsidR="006D528C" w:rsidRPr="002D3263" w:rsidP="00EF4CBB" w14:paraId="5C11899C" w14:textId="77777777">
            <w:pPr>
              <w:widowControl/>
              <w:rPr>
                <w:b w:val="0"/>
                <w:color w:val="000000" w:themeColor="text1"/>
              </w:rPr>
            </w:pPr>
            <w:r w:rsidRPr="002D3263">
              <w:rPr>
                <w:color w:val="000000" w:themeColor="text1"/>
              </w:rPr>
              <w:t>DOD</w:t>
            </w:r>
          </w:p>
        </w:tc>
        <w:tc>
          <w:tcPr>
            <w:tcW w:w="7470" w:type="dxa"/>
            <w:shd w:val="clear" w:color="auto" w:fill="auto"/>
          </w:tcPr>
          <w:p w:rsidR="006D528C" w:rsidRPr="002D3263" w:rsidP="00EF4CBB" w14:paraId="27D91F48" w14:textId="390CB9CB">
            <w:pPr>
              <w:widowControl/>
              <w:rPr>
                <w:color w:val="000000" w:themeColor="text1"/>
              </w:rPr>
            </w:pPr>
            <w:r>
              <w:rPr>
                <w:color w:val="000000" w:themeColor="text1"/>
              </w:rPr>
              <w:t xml:space="preserve">U.S. </w:t>
            </w:r>
            <w:r w:rsidRPr="002D3263" w:rsidR="005D2CD7">
              <w:rPr>
                <w:color w:val="000000" w:themeColor="text1"/>
              </w:rPr>
              <w:t>Department of Defense</w:t>
            </w:r>
          </w:p>
        </w:tc>
      </w:tr>
      <w:tr w14:paraId="6B8F5219" w14:textId="77777777" w:rsidTr="00EF4CBB">
        <w:tblPrEx>
          <w:tblW w:w="0" w:type="auto"/>
          <w:jc w:val="center"/>
          <w:tblLook w:val="04A0"/>
        </w:tblPrEx>
        <w:trPr>
          <w:jc w:val="center"/>
        </w:trPr>
        <w:tc>
          <w:tcPr>
            <w:tcW w:w="1350" w:type="dxa"/>
            <w:tcBorders>
              <w:left w:val="none" w:sz="0" w:space="0" w:color="auto"/>
              <w:right w:val="none" w:sz="0" w:space="0" w:color="auto"/>
            </w:tcBorders>
            <w:shd w:val="clear" w:color="auto" w:fill="auto"/>
          </w:tcPr>
          <w:p w:rsidR="005D2CD7" w:rsidRPr="002D3263" w:rsidP="00EF4CBB" w14:paraId="2A35435F" w14:textId="77777777">
            <w:pPr>
              <w:widowControl/>
              <w:rPr>
                <w:b w:val="0"/>
                <w:color w:val="000000" w:themeColor="text1"/>
              </w:rPr>
            </w:pPr>
            <w:r w:rsidRPr="002D3263">
              <w:rPr>
                <w:color w:val="000000" w:themeColor="text1"/>
              </w:rPr>
              <w:t>DOE</w:t>
            </w:r>
          </w:p>
        </w:tc>
        <w:tc>
          <w:tcPr>
            <w:tcW w:w="7470" w:type="dxa"/>
            <w:tcBorders>
              <w:left w:val="none" w:sz="0" w:space="0" w:color="auto"/>
              <w:right w:val="none" w:sz="0" w:space="0" w:color="auto"/>
            </w:tcBorders>
            <w:shd w:val="clear" w:color="auto" w:fill="auto"/>
          </w:tcPr>
          <w:p w:rsidR="005D2CD7" w:rsidRPr="002D3263" w:rsidP="00EF4CBB" w14:paraId="58666721" w14:textId="7C3FC8FA">
            <w:pPr>
              <w:widowControl/>
              <w:rPr>
                <w:color w:val="000000" w:themeColor="text1"/>
              </w:rPr>
            </w:pPr>
            <w:r>
              <w:rPr>
                <w:color w:val="000000" w:themeColor="text1"/>
              </w:rPr>
              <w:t xml:space="preserve">U.S. </w:t>
            </w:r>
            <w:r w:rsidRPr="002D3263">
              <w:rPr>
                <w:color w:val="000000" w:themeColor="text1"/>
              </w:rPr>
              <w:t>Department of Energy</w:t>
            </w:r>
          </w:p>
        </w:tc>
      </w:tr>
      <w:tr w14:paraId="2412B75E" w14:textId="77777777" w:rsidTr="00EF4CBB">
        <w:tblPrEx>
          <w:tblW w:w="0" w:type="auto"/>
          <w:jc w:val="center"/>
          <w:tblLook w:val="04A0"/>
        </w:tblPrEx>
        <w:trPr>
          <w:jc w:val="center"/>
        </w:trPr>
        <w:tc>
          <w:tcPr>
            <w:tcW w:w="1350" w:type="dxa"/>
            <w:shd w:val="clear" w:color="auto" w:fill="auto"/>
          </w:tcPr>
          <w:p w:rsidR="005D2CD7" w:rsidRPr="002D3263" w:rsidP="00EF4CBB" w14:paraId="744D859C" w14:textId="77777777">
            <w:pPr>
              <w:widowControl/>
              <w:rPr>
                <w:b w:val="0"/>
                <w:color w:val="000000" w:themeColor="text1"/>
              </w:rPr>
            </w:pPr>
            <w:r w:rsidRPr="002D3263">
              <w:rPr>
                <w:color w:val="000000" w:themeColor="text1"/>
              </w:rPr>
              <w:t>DOI</w:t>
            </w:r>
          </w:p>
        </w:tc>
        <w:tc>
          <w:tcPr>
            <w:tcW w:w="7470" w:type="dxa"/>
            <w:shd w:val="clear" w:color="auto" w:fill="auto"/>
          </w:tcPr>
          <w:p w:rsidR="005D2CD7" w:rsidRPr="002D3263" w:rsidP="00EF4CBB" w14:paraId="5D0BADAD" w14:textId="645A2704">
            <w:pPr>
              <w:widowControl/>
              <w:rPr>
                <w:color w:val="000000" w:themeColor="text1"/>
              </w:rPr>
            </w:pPr>
            <w:r>
              <w:rPr>
                <w:color w:val="000000" w:themeColor="text1"/>
              </w:rPr>
              <w:t xml:space="preserve">U.S. </w:t>
            </w:r>
            <w:r w:rsidRPr="002D3263">
              <w:rPr>
                <w:color w:val="000000" w:themeColor="text1"/>
              </w:rPr>
              <w:t>Department of the Interior</w:t>
            </w:r>
          </w:p>
        </w:tc>
      </w:tr>
      <w:tr w14:paraId="078EDA31" w14:textId="77777777" w:rsidTr="00EF4CBB">
        <w:tblPrEx>
          <w:tblW w:w="0" w:type="auto"/>
          <w:jc w:val="center"/>
          <w:tblLook w:val="04A0"/>
        </w:tblPrEx>
        <w:trPr>
          <w:jc w:val="center"/>
        </w:trPr>
        <w:tc>
          <w:tcPr>
            <w:tcW w:w="1350" w:type="dxa"/>
            <w:tcBorders>
              <w:left w:val="none" w:sz="0" w:space="0" w:color="auto"/>
              <w:right w:val="none" w:sz="0" w:space="0" w:color="auto"/>
            </w:tcBorders>
            <w:shd w:val="clear" w:color="auto" w:fill="auto"/>
          </w:tcPr>
          <w:p w:rsidR="005D2CD7" w:rsidRPr="002D3263" w:rsidP="00EF4CBB" w14:paraId="7D114BBD" w14:textId="77777777">
            <w:pPr>
              <w:widowControl/>
              <w:rPr>
                <w:b w:val="0"/>
                <w:color w:val="000000" w:themeColor="text1"/>
              </w:rPr>
            </w:pPr>
            <w:r w:rsidRPr="002D3263">
              <w:rPr>
                <w:color w:val="000000" w:themeColor="text1"/>
              </w:rPr>
              <w:t>DOJ</w:t>
            </w:r>
          </w:p>
        </w:tc>
        <w:tc>
          <w:tcPr>
            <w:tcW w:w="7470" w:type="dxa"/>
            <w:tcBorders>
              <w:left w:val="none" w:sz="0" w:space="0" w:color="auto"/>
              <w:right w:val="none" w:sz="0" w:space="0" w:color="auto"/>
            </w:tcBorders>
            <w:shd w:val="clear" w:color="auto" w:fill="auto"/>
          </w:tcPr>
          <w:p w:rsidR="005D2CD7" w:rsidRPr="002D3263" w:rsidP="00EF4CBB" w14:paraId="1B939383" w14:textId="3DA44656">
            <w:pPr>
              <w:widowControl/>
              <w:rPr>
                <w:color w:val="000000" w:themeColor="text1"/>
              </w:rPr>
            </w:pPr>
            <w:r>
              <w:rPr>
                <w:color w:val="000000" w:themeColor="text1"/>
              </w:rPr>
              <w:t xml:space="preserve">U.S. </w:t>
            </w:r>
            <w:r w:rsidRPr="002D3263">
              <w:rPr>
                <w:color w:val="000000" w:themeColor="text1"/>
              </w:rPr>
              <w:t>Department of Justice</w:t>
            </w:r>
          </w:p>
        </w:tc>
      </w:tr>
      <w:tr w14:paraId="54E490F9" w14:textId="77777777" w:rsidTr="00EF4CBB">
        <w:tblPrEx>
          <w:tblW w:w="0" w:type="auto"/>
          <w:jc w:val="center"/>
          <w:tblLook w:val="04A0"/>
        </w:tblPrEx>
        <w:trPr>
          <w:jc w:val="center"/>
        </w:trPr>
        <w:tc>
          <w:tcPr>
            <w:tcW w:w="1350" w:type="dxa"/>
            <w:shd w:val="clear" w:color="auto" w:fill="auto"/>
          </w:tcPr>
          <w:p w:rsidR="007D41B2" w:rsidRPr="002D3263" w:rsidP="00EF4CBB" w14:paraId="3E62E749" w14:textId="5ADD72D1">
            <w:pPr>
              <w:widowControl/>
              <w:rPr>
                <w:color w:val="000000" w:themeColor="text1"/>
              </w:rPr>
            </w:pPr>
            <w:r>
              <w:rPr>
                <w:color w:val="000000" w:themeColor="text1"/>
              </w:rPr>
              <w:t>DOT</w:t>
            </w:r>
          </w:p>
        </w:tc>
        <w:tc>
          <w:tcPr>
            <w:tcW w:w="7470" w:type="dxa"/>
            <w:shd w:val="clear" w:color="auto" w:fill="auto"/>
          </w:tcPr>
          <w:p w:rsidR="007D41B2" w:rsidP="00EF4CBB" w14:paraId="734FBBCD" w14:textId="50C931C9">
            <w:pPr>
              <w:widowControl/>
              <w:rPr>
                <w:color w:val="000000" w:themeColor="text1"/>
              </w:rPr>
            </w:pPr>
            <w:r>
              <w:rPr>
                <w:color w:val="000000" w:themeColor="text1"/>
              </w:rPr>
              <w:t>U.S. Department of Transportation</w:t>
            </w:r>
          </w:p>
        </w:tc>
      </w:tr>
      <w:tr w14:paraId="7ABD2171" w14:textId="77777777" w:rsidTr="00E85518">
        <w:tblPrEx>
          <w:tblW w:w="0" w:type="auto"/>
          <w:jc w:val="center"/>
          <w:tblLook w:val="04A0"/>
        </w:tblPrEx>
        <w:trPr>
          <w:jc w:val="center"/>
        </w:trPr>
        <w:tc>
          <w:tcPr>
            <w:tcW w:w="1350" w:type="dxa"/>
            <w:tcBorders>
              <w:left w:val="none" w:sz="0" w:space="0" w:color="auto"/>
              <w:right w:val="none" w:sz="0" w:space="0" w:color="auto"/>
            </w:tcBorders>
            <w:shd w:val="clear" w:color="auto" w:fill="auto"/>
          </w:tcPr>
          <w:p w:rsidR="002F7F6F" w:rsidRPr="002D3263" w:rsidP="00EF4CBB" w14:paraId="0E5535DD" w14:textId="77777777">
            <w:pPr>
              <w:widowControl/>
              <w:rPr>
                <w:color w:val="000000" w:themeColor="text1"/>
              </w:rPr>
            </w:pPr>
            <w:r w:rsidRPr="002D3263">
              <w:rPr>
                <w:color w:val="000000" w:themeColor="text1"/>
              </w:rPr>
              <w:t>DSS</w:t>
            </w:r>
          </w:p>
        </w:tc>
        <w:tc>
          <w:tcPr>
            <w:tcW w:w="7470" w:type="dxa"/>
            <w:tcBorders>
              <w:left w:val="none" w:sz="0" w:space="0" w:color="auto"/>
              <w:right w:val="none" w:sz="0" w:space="0" w:color="auto"/>
            </w:tcBorders>
            <w:shd w:val="clear" w:color="auto" w:fill="auto"/>
          </w:tcPr>
          <w:p w:rsidR="002F7F6F" w:rsidRPr="002D3263" w:rsidP="00EF4CBB" w14:paraId="76000B44" w14:textId="6D9C56C4">
            <w:pPr>
              <w:widowControl/>
              <w:rPr>
                <w:color w:val="000000" w:themeColor="text1"/>
              </w:rPr>
            </w:pPr>
            <w:r w:rsidRPr="002D3263">
              <w:rPr>
                <w:color w:val="000000" w:themeColor="text1"/>
              </w:rPr>
              <w:t xml:space="preserve">Decent, </w:t>
            </w:r>
            <w:r w:rsidR="00797CF8">
              <w:rPr>
                <w:color w:val="000000" w:themeColor="text1"/>
              </w:rPr>
              <w:t>S</w:t>
            </w:r>
            <w:r w:rsidRPr="002D3263">
              <w:rPr>
                <w:color w:val="000000" w:themeColor="text1"/>
              </w:rPr>
              <w:t xml:space="preserve">afe, and </w:t>
            </w:r>
            <w:r w:rsidR="00797CF8">
              <w:rPr>
                <w:color w:val="000000" w:themeColor="text1"/>
              </w:rPr>
              <w:t>S</w:t>
            </w:r>
            <w:r w:rsidRPr="002D3263">
              <w:rPr>
                <w:color w:val="000000" w:themeColor="text1"/>
              </w:rPr>
              <w:t>anitary</w:t>
            </w:r>
          </w:p>
        </w:tc>
      </w:tr>
      <w:tr w14:paraId="458BA7A6" w14:textId="77777777" w:rsidTr="00EF4CBB">
        <w:tblPrEx>
          <w:tblW w:w="0" w:type="auto"/>
          <w:jc w:val="center"/>
          <w:tblLook w:val="04A0"/>
        </w:tblPrEx>
        <w:trPr>
          <w:jc w:val="center"/>
        </w:trPr>
        <w:tc>
          <w:tcPr>
            <w:tcW w:w="1350" w:type="dxa"/>
            <w:shd w:val="clear" w:color="auto" w:fill="auto"/>
          </w:tcPr>
          <w:p w:rsidR="005D2CD7" w:rsidRPr="002D3263" w:rsidP="00EF4CBB" w14:paraId="44B8E210" w14:textId="77777777">
            <w:pPr>
              <w:widowControl/>
              <w:rPr>
                <w:b w:val="0"/>
                <w:color w:val="000000" w:themeColor="text1"/>
              </w:rPr>
            </w:pPr>
            <w:r w:rsidRPr="002D3263">
              <w:rPr>
                <w:color w:val="000000" w:themeColor="text1"/>
              </w:rPr>
              <w:t>EPA</w:t>
            </w:r>
          </w:p>
        </w:tc>
        <w:tc>
          <w:tcPr>
            <w:tcW w:w="7470" w:type="dxa"/>
            <w:shd w:val="clear" w:color="auto" w:fill="auto"/>
          </w:tcPr>
          <w:p w:rsidR="005D2CD7" w:rsidRPr="002D3263" w:rsidP="00EF4CBB" w14:paraId="03C55CF4" w14:textId="2232078E">
            <w:pPr>
              <w:widowControl/>
              <w:rPr>
                <w:color w:val="000000" w:themeColor="text1"/>
              </w:rPr>
            </w:pPr>
            <w:r>
              <w:rPr>
                <w:color w:val="000000" w:themeColor="text1"/>
              </w:rPr>
              <w:t xml:space="preserve">U.S. </w:t>
            </w:r>
            <w:r w:rsidRPr="002D3263">
              <w:rPr>
                <w:color w:val="000000" w:themeColor="text1"/>
              </w:rPr>
              <w:t>Environmental Protection Agency</w:t>
            </w:r>
          </w:p>
        </w:tc>
      </w:tr>
      <w:tr w14:paraId="6F89B545" w14:textId="77777777" w:rsidTr="00E85518">
        <w:tblPrEx>
          <w:tblW w:w="0" w:type="auto"/>
          <w:jc w:val="center"/>
          <w:tblLook w:val="04A0"/>
        </w:tblPrEx>
        <w:trPr>
          <w:jc w:val="center"/>
        </w:trPr>
        <w:tc>
          <w:tcPr>
            <w:tcW w:w="1350" w:type="dxa"/>
            <w:tcBorders>
              <w:left w:val="none" w:sz="0" w:space="0" w:color="auto"/>
              <w:right w:val="none" w:sz="0" w:space="0" w:color="auto"/>
            </w:tcBorders>
            <w:shd w:val="clear" w:color="auto" w:fill="auto"/>
          </w:tcPr>
          <w:p w:rsidR="005D2CD7" w:rsidRPr="002D3263" w:rsidP="00EF4CBB" w14:paraId="19AB6F30" w14:textId="77777777">
            <w:pPr>
              <w:widowControl/>
              <w:rPr>
                <w:b w:val="0"/>
                <w:color w:val="000000" w:themeColor="text1"/>
              </w:rPr>
            </w:pPr>
            <w:r w:rsidRPr="002D3263">
              <w:rPr>
                <w:color w:val="000000" w:themeColor="text1"/>
              </w:rPr>
              <w:t>FAA</w:t>
            </w:r>
          </w:p>
        </w:tc>
        <w:tc>
          <w:tcPr>
            <w:tcW w:w="7470" w:type="dxa"/>
            <w:tcBorders>
              <w:left w:val="none" w:sz="0" w:space="0" w:color="auto"/>
              <w:right w:val="none" w:sz="0" w:space="0" w:color="auto"/>
            </w:tcBorders>
            <w:shd w:val="clear" w:color="auto" w:fill="auto"/>
          </w:tcPr>
          <w:p w:rsidR="005D2CD7" w:rsidRPr="002D3263" w:rsidP="00EF4CBB" w14:paraId="60D53CC8" w14:textId="77777777">
            <w:pPr>
              <w:widowControl/>
              <w:rPr>
                <w:color w:val="000000" w:themeColor="text1"/>
              </w:rPr>
            </w:pPr>
            <w:r w:rsidRPr="002D3263">
              <w:rPr>
                <w:color w:val="000000" w:themeColor="text1"/>
              </w:rPr>
              <w:t>Federal</w:t>
            </w:r>
            <w:r w:rsidRPr="002D3263">
              <w:rPr>
                <w:color w:val="000000" w:themeColor="text1"/>
              </w:rPr>
              <w:t xml:space="preserve"> Aviation Administration</w:t>
            </w:r>
          </w:p>
        </w:tc>
      </w:tr>
      <w:tr w14:paraId="09028977" w14:textId="77777777" w:rsidTr="00EF4CBB">
        <w:tblPrEx>
          <w:tblW w:w="0" w:type="auto"/>
          <w:jc w:val="center"/>
          <w:tblLook w:val="04A0"/>
        </w:tblPrEx>
        <w:trPr>
          <w:jc w:val="center"/>
        </w:trPr>
        <w:tc>
          <w:tcPr>
            <w:tcW w:w="1350" w:type="dxa"/>
            <w:shd w:val="clear" w:color="auto" w:fill="auto"/>
          </w:tcPr>
          <w:p w:rsidR="005D2CD7" w:rsidRPr="002D3263" w:rsidP="00EF4CBB" w14:paraId="10FC187F" w14:textId="77777777">
            <w:pPr>
              <w:widowControl/>
              <w:rPr>
                <w:b w:val="0"/>
                <w:color w:val="000000" w:themeColor="text1"/>
              </w:rPr>
            </w:pPr>
            <w:r w:rsidRPr="002D3263">
              <w:rPr>
                <w:color w:val="000000" w:themeColor="text1"/>
              </w:rPr>
              <w:t>FEMA</w:t>
            </w:r>
          </w:p>
        </w:tc>
        <w:tc>
          <w:tcPr>
            <w:tcW w:w="7470" w:type="dxa"/>
            <w:shd w:val="clear" w:color="auto" w:fill="auto"/>
          </w:tcPr>
          <w:p w:rsidR="005D2CD7" w:rsidRPr="002D3263" w:rsidP="00EF4CBB" w14:paraId="32448080" w14:textId="77777777">
            <w:pPr>
              <w:widowControl/>
              <w:rPr>
                <w:color w:val="000000" w:themeColor="text1"/>
              </w:rPr>
            </w:pPr>
            <w:r w:rsidRPr="002D3263">
              <w:rPr>
                <w:color w:val="000000" w:themeColor="text1"/>
              </w:rPr>
              <w:t>Federal</w:t>
            </w:r>
            <w:r w:rsidRPr="002D3263">
              <w:rPr>
                <w:color w:val="000000" w:themeColor="text1"/>
              </w:rPr>
              <w:t xml:space="preserve"> Emergency Management Agency</w:t>
            </w:r>
          </w:p>
        </w:tc>
      </w:tr>
      <w:tr w14:paraId="22EB9058" w14:textId="77777777" w:rsidTr="00E85518">
        <w:tblPrEx>
          <w:tblW w:w="0" w:type="auto"/>
          <w:jc w:val="center"/>
          <w:tblLook w:val="04A0"/>
        </w:tblPrEx>
        <w:trPr>
          <w:jc w:val="center"/>
        </w:trPr>
        <w:tc>
          <w:tcPr>
            <w:tcW w:w="1350" w:type="dxa"/>
            <w:tcBorders>
              <w:left w:val="none" w:sz="0" w:space="0" w:color="auto"/>
              <w:right w:val="none" w:sz="0" w:space="0" w:color="auto"/>
            </w:tcBorders>
            <w:shd w:val="clear" w:color="auto" w:fill="auto"/>
          </w:tcPr>
          <w:p w:rsidR="005D2CD7" w:rsidRPr="002D3263" w:rsidP="00EF4CBB" w14:paraId="41606156" w14:textId="77777777">
            <w:pPr>
              <w:widowControl/>
              <w:rPr>
                <w:b w:val="0"/>
                <w:color w:val="000000" w:themeColor="text1"/>
              </w:rPr>
            </w:pPr>
            <w:r w:rsidRPr="002D3263">
              <w:rPr>
                <w:color w:val="000000" w:themeColor="text1"/>
              </w:rPr>
              <w:t>FHWA</w:t>
            </w:r>
          </w:p>
        </w:tc>
        <w:tc>
          <w:tcPr>
            <w:tcW w:w="7470" w:type="dxa"/>
            <w:tcBorders>
              <w:left w:val="none" w:sz="0" w:space="0" w:color="auto"/>
              <w:right w:val="none" w:sz="0" w:space="0" w:color="auto"/>
            </w:tcBorders>
            <w:shd w:val="clear" w:color="auto" w:fill="auto"/>
          </w:tcPr>
          <w:p w:rsidR="005D2CD7" w:rsidRPr="002D3263" w:rsidP="00EF4CBB" w14:paraId="2983088B" w14:textId="77777777">
            <w:pPr>
              <w:widowControl/>
              <w:rPr>
                <w:color w:val="000000" w:themeColor="text1"/>
              </w:rPr>
            </w:pPr>
            <w:r w:rsidRPr="002D3263">
              <w:rPr>
                <w:color w:val="000000" w:themeColor="text1"/>
              </w:rPr>
              <w:t>Federal</w:t>
            </w:r>
            <w:r w:rsidRPr="002D3263">
              <w:rPr>
                <w:color w:val="000000" w:themeColor="text1"/>
              </w:rPr>
              <w:t xml:space="preserve"> Highway Administration</w:t>
            </w:r>
          </w:p>
        </w:tc>
      </w:tr>
      <w:tr w14:paraId="7B434B0E" w14:textId="77777777" w:rsidTr="00EF4CBB">
        <w:tblPrEx>
          <w:tblW w:w="0" w:type="auto"/>
          <w:jc w:val="center"/>
          <w:tblLook w:val="04A0"/>
        </w:tblPrEx>
        <w:trPr>
          <w:jc w:val="center"/>
        </w:trPr>
        <w:tc>
          <w:tcPr>
            <w:tcW w:w="1350" w:type="dxa"/>
            <w:shd w:val="clear" w:color="auto" w:fill="auto"/>
          </w:tcPr>
          <w:p w:rsidR="005D2CD7" w:rsidRPr="002D3263" w:rsidP="00EF4CBB" w14:paraId="420D3D43" w14:textId="77777777">
            <w:pPr>
              <w:widowControl/>
              <w:rPr>
                <w:color w:val="000000" w:themeColor="text1"/>
              </w:rPr>
            </w:pPr>
            <w:r w:rsidRPr="002D3263">
              <w:rPr>
                <w:color w:val="000000" w:themeColor="text1"/>
              </w:rPr>
              <w:t>FRA</w:t>
            </w:r>
          </w:p>
        </w:tc>
        <w:tc>
          <w:tcPr>
            <w:tcW w:w="7470" w:type="dxa"/>
            <w:shd w:val="clear" w:color="auto" w:fill="auto"/>
          </w:tcPr>
          <w:p w:rsidR="005D2CD7" w:rsidRPr="002D3263" w:rsidP="00EF4CBB" w14:paraId="10F3FD26" w14:textId="77777777">
            <w:pPr>
              <w:widowControl/>
              <w:rPr>
                <w:color w:val="000000" w:themeColor="text1"/>
              </w:rPr>
            </w:pPr>
            <w:r w:rsidRPr="002D3263">
              <w:rPr>
                <w:color w:val="000000" w:themeColor="text1"/>
              </w:rPr>
              <w:t>Federal</w:t>
            </w:r>
            <w:r w:rsidRPr="002D3263">
              <w:rPr>
                <w:color w:val="000000" w:themeColor="text1"/>
              </w:rPr>
              <w:t xml:space="preserve"> Railroad Administration</w:t>
            </w:r>
          </w:p>
        </w:tc>
      </w:tr>
      <w:tr w14:paraId="2B2F6A29" w14:textId="77777777" w:rsidTr="00E85518">
        <w:tblPrEx>
          <w:tblW w:w="0" w:type="auto"/>
          <w:jc w:val="center"/>
          <w:tblLook w:val="04A0"/>
        </w:tblPrEx>
        <w:trPr>
          <w:jc w:val="center"/>
        </w:trPr>
        <w:tc>
          <w:tcPr>
            <w:tcW w:w="1350" w:type="dxa"/>
            <w:tcBorders>
              <w:left w:val="none" w:sz="0" w:space="0" w:color="auto"/>
              <w:right w:val="none" w:sz="0" w:space="0" w:color="auto"/>
            </w:tcBorders>
            <w:shd w:val="clear" w:color="auto" w:fill="auto"/>
          </w:tcPr>
          <w:p w:rsidR="005D2CD7" w:rsidRPr="002D3263" w:rsidP="00EF4CBB" w14:paraId="5FA35763" w14:textId="77777777">
            <w:pPr>
              <w:widowControl/>
              <w:rPr>
                <w:color w:val="000000" w:themeColor="text1"/>
              </w:rPr>
            </w:pPr>
            <w:r w:rsidRPr="002D3263">
              <w:rPr>
                <w:color w:val="000000" w:themeColor="text1"/>
              </w:rPr>
              <w:t>FTA</w:t>
            </w:r>
          </w:p>
        </w:tc>
        <w:tc>
          <w:tcPr>
            <w:tcW w:w="7470" w:type="dxa"/>
            <w:tcBorders>
              <w:left w:val="none" w:sz="0" w:space="0" w:color="auto"/>
              <w:right w:val="none" w:sz="0" w:space="0" w:color="auto"/>
            </w:tcBorders>
            <w:shd w:val="clear" w:color="auto" w:fill="auto"/>
          </w:tcPr>
          <w:p w:rsidR="005D2CD7" w:rsidRPr="002D3263" w:rsidP="00EF4CBB" w14:paraId="185C622F" w14:textId="77777777">
            <w:pPr>
              <w:widowControl/>
              <w:rPr>
                <w:color w:val="000000" w:themeColor="text1"/>
              </w:rPr>
            </w:pPr>
            <w:r w:rsidRPr="002D3263">
              <w:rPr>
                <w:color w:val="000000" w:themeColor="text1"/>
              </w:rPr>
              <w:t>Federal</w:t>
            </w:r>
            <w:r w:rsidRPr="002D3263">
              <w:rPr>
                <w:color w:val="000000" w:themeColor="text1"/>
              </w:rPr>
              <w:t xml:space="preserve"> Transit Administration</w:t>
            </w:r>
          </w:p>
        </w:tc>
      </w:tr>
      <w:tr w14:paraId="4A8CBE01" w14:textId="77777777" w:rsidTr="00EF4CBB">
        <w:tblPrEx>
          <w:tblW w:w="0" w:type="auto"/>
          <w:jc w:val="center"/>
          <w:tblLook w:val="04A0"/>
        </w:tblPrEx>
        <w:trPr>
          <w:jc w:val="center"/>
        </w:trPr>
        <w:tc>
          <w:tcPr>
            <w:tcW w:w="1350" w:type="dxa"/>
            <w:shd w:val="clear" w:color="auto" w:fill="auto"/>
          </w:tcPr>
          <w:p w:rsidR="005D2CD7" w:rsidRPr="002D3263" w:rsidP="00EF4CBB" w14:paraId="55086C81" w14:textId="77777777">
            <w:pPr>
              <w:widowControl/>
              <w:rPr>
                <w:color w:val="000000" w:themeColor="text1"/>
              </w:rPr>
            </w:pPr>
            <w:r w:rsidRPr="002D3263">
              <w:rPr>
                <w:color w:val="000000" w:themeColor="text1"/>
              </w:rPr>
              <w:t>GAO</w:t>
            </w:r>
          </w:p>
        </w:tc>
        <w:tc>
          <w:tcPr>
            <w:tcW w:w="7470" w:type="dxa"/>
            <w:shd w:val="clear" w:color="auto" w:fill="auto"/>
          </w:tcPr>
          <w:p w:rsidR="005D2CD7" w:rsidRPr="002D3263" w:rsidP="00EF4CBB" w14:paraId="3F3760E3" w14:textId="08CD84FA">
            <w:pPr>
              <w:widowControl/>
              <w:rPr>
                <w:color w:val="000000" w:themeColor="text1"/>
              </w:rPr>
            </w:pPr>
            <w:r w:rsidRPr="002D3263">
              <w:rPr>
                <w:color w:val="000000" w:themeColor="text1"/>
              </w:rPr>
              <w:t>U.S. Government Accountability</w:t>
            </w:r>
            <w:r w:rsidR="00B3784C">
              <w:rPr>
                <w:color w:val="000000" w:themeColor="text1"/>
              </w:rPr>
              <w:t xml:space="preserve"> Office</w:t>
            </w:r>
          </w:p>
        </w:tc>
      </w:tr>
      <w:tr w14:paraId="34B2A250" w14:textId="77777777" w:rsidTr="00E85518">
        <w:tblPrEx>
          <w:tblW w:w="0" w:type="auto"/>
          <w:jc w:val="center"/>
          <w:tblLook w:val="04A0"/>
        </w:tblPrEx>
        <w:trPr>
          <w:jc w:val="center"/>
        </w:trPr>
        <w:tc>
          <w:tcPr>
            <w:tcW w:w="1350" w:type="dxa"/>
            <w:tcBorders>
              <w:left w:val="none" w:sz="0" w:space="0" w:color="auto"/>
              <w:right w:val="none" w:sz="0" w:space="0" w:color="auto"/>
            </w:tcBorders>
            <w:shd w:val="clear" w:color="auto" w:fill="auto"/>
          </w:tcPr>
          <w:p w:rsidR="005D2CD7" w:rsidRPr="002D3263" w:rsidP="00EF4CBB" w14:paraId="14620887" w14:textId="77777777">
            <w:pPr>
              <w:widowControl/>
              <w:rPr>
                <w:b w:val="0"/>
                <w:color w:val="000000" w:themeColor="text1"/>
              </w:rPr>
            </w:pPr>
            <w:r w:rsidRPr="002D3263">
              <w:rPr>
                <w:color w:val="000000" w:themeColor="text1"/>
              </w:rPr>
              <w:t>GSA</w:t>
            </w:r>
          </w:p>
        </w:tc>
        <w:tc>
          <w:tcPr>
            <w:tcW w:w="7470" w:type="dxa"/>
            <w:tcBorders>
              <w:left w:val="none" w:sz="0" w:space="0" w:color="auto"/>
              <w:right w:val="none" w:sz="0" w:space="0" w:color="auto"/>
            </w:tcBorders>
            <w:shd w:val="clear" w:color="auto" w:fill="auto"/>
          </w:tcPr>
          <w:p w:rsidR="005D2CD7" w:rsidRPr="002D3263" w:rsidP="00EF4CBB" w14:paraId="0FEDE68E" w14:textId="77777777">
            <w:pPr>
              <w:widowControl/>
              <w:rPr>
                <w:color w:val="000000" w:themeColor="text1"/>
              </w:rPr>
            </w:pPr>
            <w:r w:rsidRPr="002D3263">
              <w:rPr>
                <w:color w:val="000000" w:themeColor="text1"/>
              </w:rPr>
              <w:t>General Services Administration</w:t>
            </w:r>
          </w:p>
        </w:tc>
      </w:tr>
      <w:tr w14:paraId="6863FD3E" w14:textId="77777777" w:rsidTr="00EF4CBB">
        <w:tblPrEx>
          <w:tblW w:w="0" w:type="auto"/>
          <w:jc w:val="center"/>
          <w:tblLook w:val="04A0"/>
        </w:tblPrEx>
        <w:trPr>
          <w:jc w:val="center"/>
        </w:trPr>
        <w:tc>
          <w:tcPr>
            <w:tcW w:w="1350" w:type="dxa"/>
            <w:shd w:val="clear" w:color="auto" w:fill="auto"/>
          </w:tcPr>
          <w:p w:rsidR="005D2CD7" w:rsidRPr="002D3263" w:rsidP="00EF4CBB" w14:paraId="4409B0E7" w14:textId="77777777">
            <w:pPr>
              <w:widowControl/>
              <w:rPr>
                <w:color w:val="000000" w:themeColor="text1"/>
              </w:rPr>
            </w:pPr>
            <w:r w:rsidRPr="002D3263">
              <w:rPr>
                <w:color w:val="000000" w:themeColor="text1"/>
              </w:rPr>
              <w:t>HHS</w:t>
            </w:r>
          </w:p>
        </w:tc>
        <w:tc>
          <w:tcPr>
            <w:tcW w:w="7470" w:type="dxa"/>
            <w:shd w:val="clear" w:color="auto" w:fill="auto"/>
          </w:tcPr>
          <w:p w:rsidR="005D2CD7" w:rsidRPr="002D3263" w:rsidP="00EF4CBB" w14:paraId="42D45F97" w14:textId="42C8BEFD">
            <w:pPr>
              <w:widowControl/>
              <w:rPr>
                <w:color w:val="000000" w:themeColor="text1"/>
              </w:rPr>
            </w:pPr>
            <w:r>
              <w:rPr>
                <w:color w:val="000000" w:themeColor="text1"/>
              </w:rPr>
              <w:t xml:space="preserve">U.S. </w:t>
            </w:r>
            <w:r w:rsidRPr="002D3263">
              <w:rPr>
                <w:color w:val="000000" w:themeColor="text1"/>
              </w:rPr>
              <w:t>Department of Health and Human Services</w:t>
            </w:r>
          </w:p>
        </w:tc>
      </w:tr>
      <w:tr w14:paraId="5C405EDC" w14:textId="77777777" w:rsidTr="00E85518">
        <w:tblPrEx>
          <w:tblW w:w="0" w:type="auto"/>
          <w:jc w:val="center"/>
          <w:tblLook w:val="04A0"/>
        </w:tblPrEx>
        <w:trPr>
          <w:jc w:val="center"/>
        </w:trPr>
        <w:tc>
          <w:tcPr>
            <w:tcW w:w="1350" w:type="dxa"/>
            <w:tcBorders>
              <w:left w:val="none" w:sz="0" w:space="0" w:color="auto"/>
              <w:right w:val="none" w:sz="0" w:space="0" w:color="auto"/>
            </w:tcBorders>
            <w:shd w:val="clear" w:color="auto" w:fill="auto"/>
          </w:tcPr>
          <w:p w:rsidR="005D2CD7" w:rsidRPr="002D3263" w:rsidP="00EF4CBB" w14:paraId="5EF7281C" w14:textId="77777777">
            <w:pPr>
              <w:widowControl/>
              <w:rPr>
                <w:color w:val="000000" w:themeColor="text1"/>
              </w:rPr>
            </w:pPr>
            <w:r w:rsidRPr="002D3263">
              <w:rPr>
                <w:color w:val="000000" w:themeColor="text1"/>
              </w:rPr>
              <w:t>HUD</w:t>
            </w:r>
          </w:p>
        </w:tc>
        <w:tc>
          <w:tcPr>
            <w:tcW w:w="7470" w:type="dxa"/>
            <w:tcBorders>
              <w:left w:val="none" w:sz="0" w:space="0" w:color="auto"/>
              <w:right w:val="none" w:sz="0" w:space="0" w:color="auto"/>
            </w:tcBorders>
            <w:shd w:val="clear" w:color="auto" w:fill="auto"/>
          </w:tcPr>
          <w:p w:rsidR="005D2CD7" w:rsidRPr="002D3263" w:rsidP="00EF4CBB" w14:paraId="4ACAAC4A" w14:textId="2A8B341F">
            <w:pPr>
              <w:widowControl/>
              <w:rPr>
                <w:color w:val="000000" w:themeColor="text1"/>
              </w:rPr>
            </w:pPr>
            <w:r>
              <w:rPr>
                <w:color w:val="000000" w:themeColor="text1"/>
              </w:rPr>
              <w:t xml:space="preserve">U.S. </w:t>
            </w:r>
            <w:r w:rsidRPr="002D3263">
              <w:rPr>
                <w:color w:val="000000" w:themeColor="text1"/>
              </w:rPr>
              <w:t>Department of Housing and Urban Development</w:t>
            </w:r>
          </w:p>
        </w:tc>
      </w:tr>
      <w:tr w14:paraId="5EB4EDB3" w14:textId="77777777" w:rsidTr="00EF4CBB">
        <w:tblPrEx>
          <w:tblW w:w="0" w:type="auto"/>
          <w:jc w:val="center"/>
          <w:tblLook w:val="04A0"/>
        </w:tblPrEx>
        <w:trPr>
          <w:jc w:val="center"/>
        </w:trPr>
        <w:tc>
          <w:tcPr>
            <w:tcW w:w="1350" w:type="dxa"/>
            <w:shd w:val="clear" w:color="auto" w:fill="auto"/>
          </w:tcPr>
          <w:p w:rsidR="005D2CD7" w:rsidRPr="002D3263" w:rsidP="00EF4CBB" w14:paraId="2C83FECE" w14:textId="77777777">
            <w:pPr>
              <w:widowControl/>
              <w:rPr>
                <w:b w:val="0"/>
                <w:color w:val="000000" w:themeColor="text1"/>
              </w:rPr>
            </w:pPr>
            <w:r w:rsidRPr="002D3263">
              <w:rPr>
                <w:color w:val="000000" w:themeColor="text1"/>
              </w:rPr>
              <w:t>MAP-21</w:t>
            </w:r>
          </w:p>
        </w:tc>
        <w:tc>
          <w:tcPr>
            <w:tcW w:w="7470" w:type="dxa"/>
            <w:shd w:val="clear" w:color="auto" w:fill="auto"/>
          </w:tcPr>
          <w:p w:rsidR="005D2CD7" w:rsidRPr="002D3263" w:rsidP="00EF4CBB" w14:paraId="5ED2F95A" w14:textId="69512B18">
            <w:pPr>
              <w:widowControl/>
              <w:rPr>
                <w:color w:val="000000" w:themeColor="text1"/>
              </w:rPr>
            </w:pPr>
            <w:r w:rsidRPr="002D3263">
              <w:rPr>
                <w:color w:val="000000" w:themeColor="text1"/>
              </w:rPr>
              <w:t>Moving Ahead for Progress in the 2</w:t>
            </w:r>
            <w:r w:rsidR="00797CF8">
              <w:rPr>
                <w:color w:val="000000" w:themeColor="text1"/>
              </w:rPr>
              <w:t>1st</w:t>
            </w:r>
            <w:r w:rsidRPr="002D3263">
              <w:rPr>
                <w:color w:val="000000" w:themeColor="text1"/>
              </w:rPr>
              <w:t xml:space="preserve"> Century</w:t>
            </w:r>
          </w:p>
        </w:tc>
      </w:tr>
      <w:tr w14:paraId="7C9219BC" w14:textId="77777777" w:rsidTr="00E85518">
        <w:tblPrEx>
          <w:tblW w:w="0" w:type="auto"/>
          <w:jc w:val="center"/>
          <w:tblLook w:val="04A0"/>
        </w:tblPrEx>
        <w:trPr>
          <w:jc w:val="center"/>
        </w:trPr>
        <w:tc>
          <w:tcPr>
            <w:tcW w:w="1350" w:type="dxa"/>
            <w:tcBorders>
              <w:left w:val="none" w:sz="0" w:space="0" w:color="auto"/>
              <w:right w:val="none" w:sz="0" w:space="0" w:color="auto"/>
            </w:tcBorders>
            <w:shd w:val="clear" w:color="auto" w:fill="auto"/>
          </w:tcPr>
          <w:p w:rsidR="005D2CD7" w:rsidRPr="002D3263" w:rsidP="00EF4CBB" w14:paraId="5E0FDD78" w14:textId="77777777">
            <w:pPr>
              <w:widowControl/>
              <w:rPr>
                <w:color w:val="000000" w:themeColor="text1"/>
              </w:rPr>
            </w:pPr>
            <w:r w:rsidRPr="002D3263">
              <w:rPr>
                <w:color w:val="000000" w:themeColor="text1"/>
              </w:rPr>
              <w:t>NASA</w:t>
            </w:r>
          </w:p>
        </w:tc>
        <w:tc>
          <w:tcPr>
            <w:tcW w:w="7470" w:type="dxa"/>
            <w:tcBorders>
              <w:left w:val="none" w:sz="0" w:space="0" w:color="auto"/>
              <w:right w:val="none" w:sz="0" w:space="0" w:color="auto"/>
            </w:tcBorders>
            <w:shd w:val="clear" w:color="auto" w:fill="auto"/>
          </w:tcPr>
          <w:p w:rsidR="005D2CD7" w:rsidRPr="002D3263" w:rsidP="00EF4CBB" w14:paraId="21B01E96" w14:textId="77777777">
            <w:pPr>
              <w:widowControl/>
              <w:rPr>
                <w:color w:val="000000" w:themeColor="text1"/>
              </w:rPr>
            </w:pPr>
            <w:r w:rsidRPr="002D3263">
              <w:rPr>
                <w:color w:val="000000" w:themeColor="text1"/>
              </w:rPr>
              <w:t>National Aeronautics and Space Administration</w:t>
            </w:r>
          </w:p>
        </w:tc>
      </w:tr>
      <w:tr w14:paraId="78005EED" w14:textId="77777777" w:rsidTr="00EF4CBB">
        <w:tblPrEx>
          <w:tblW w:w="0" w:type="auto"/>
          <w:jc w:val="center"/>
          <w:tblLook w:val="04A0"/>
        </w:tblPrEx>
        <w:trPr>
          <w:jc w:val="center"/>
        </w:trPr>
        <w:tc>
          <w:tcPr>
            <w:tcW w:w="1350" w:type="dxa"/>
            <w:shd w:val="clear" w:color="auto" w:fill="auto"/>
          </w:tcPr>
          <w:p w:rsidR="00F94E40" w:rsidRPr="002D3263" w:rsidP="00EF4CBB" w14:paraId="0BF238D0" w14:textId="77777777">
            <w:pPr>
              <w:widowControl/>
              <w:rPr>
                <w:color w:val="000000" w:themeColor="text1"/>
              </w:rPr>
            </w:pPr>
            <w:r w:rsidRPr="002D3263">
              <w:rPr>
                <w:color w:val="000000" w:themeColor="text1"/>
              </w:rPr>
              <w:t>RHP</w:t>
            </w:r>
          </w:p>
        </w:tc>
        <w:tc>
          <w:tcPr>
            <w:tcW w:w="7470" w:type="dxa"/>
            <w:shd w:val="clear" w:color="auto" w:fill="auto"/>
          </w:tcPr>
          <w:p w:rsidR="00F94E40" w:rsidRPr="002D3263" w:rsidP="00EF4CBB" w14:paraId="667A2C3F" w14:textId="77777777">
            <w:pPr>
              <w:widowControl/>
              <w:rPr>
                <w:color w:val="000000" w:themeColor="text1"/>
              </w:rPr>
            </w:pPr>
            <w:r w:rsidRPr="002D3263">
              <w:rPr>
                <w:color w:val="000000" w:themeColor="text1"/>
              </w:rPr>
              <w:t>Replacement Housing Payment—Owners</w:t>
            </w:r>
          </w:p>
        </w:tc>
      </w:tr>
      <w:tr w14:paraId="1209FE9A" w14:textId="77777777" w:rsidTr="00E85518">
        <w:tblPrEx>
          <w:tblW w:w="0" w:type="auto"/>
          <w:jc w:val="center"/>
          <w:tblLook w:val="04A0"/>
        </w:tblPrEx>
        <w:trPr>
          <w:jc w:val="center"/>
        </w:trPr>
        <w:tc>
          <w:tcPr>
            <w:tcW w:w="1350" w:type="dxa"/>
            <w:tcBorders>
              <w:left w:val="none" w:sz="0" w:space="0" w:color="auto"/>
              <w:right w:val="none" w:sz="0" w:space="0" w:color="auto"/>
            </w:tcBorders>
            <w:shd w:val="clear" w:color="auto" w:fill="auto"/>
          </w:tcPr>
          <w:p w:rsidR="00F94E40" w:rsidRPr="002D3263" w:rsidP="00EF4CBB" w14:paraId="41469578" w14:textId="77777777">
            <w:pPr>
              <w:widowControl/>
              <w:rPr>
                <w:color w:val="000000" w:themeColor="text1"/>
              </w:rPr>
            </w:pPr>
            <w:r w:rsidRPr="002D3263">
              <w:rPr>
                <w:color w:val="000000" w:themeColor="text1"/>
              </w:rPr>
              <w:t>RRHP</w:t>
            </w:r>
          </w:p>
        </w:tc>
        <w:tc>
          <w:tcPr>
            <w:tcW w:w="7470" w:type="dxa"/>
            <w:tcBorders>
              <w:left w:val="none" w:sz="0" w:space="0" w:color="auto"/>
              <w:right w:val="none" w:sz="0" w:space="0" w:color="auto"/>
            </w:tcBorders>
            <w:shd w:val="clear" w:color="auto" w:fill="auto"/>
          </w:tcPr>
          <w:p w:rsidR="00F94E40" w:rsidRPr="002D3263" w:rsidP="00EF4CBB" w14:paraId="4BE101AC" w14:textId="77777777">
            <w:pPr>
              <w:widowControl/>
              <w:rPr>
                <w:color w:val="000000" w:themeColor="text1"/>
              </w:rPr>
            </w:pPr>
            <w:r w:rsidRPr="002D3263">
              <w:rPr>
                <w:color w:val="000000" w:themeColor="text1"/>
              </w:rPr>
              <w:t>Rental R</w:t>
            </w:r>
            <w:r w:rsidRPr="002D3263">
              <w:rPr>
                <w:color w:val="000000" w:themeColor="text1"/>
              </w:rPr>
              <w:t>eplacement Housing Payment—Tenants</w:t>
            </w:r>
          </w:p>
        </w:tc>
      </w:tr>
      <w:tr w14:paraId="65C259AB" w14:textId="77777777" w:rsidTr="00EF4CBB">
        <w:tblPrEx>
          <w:tblW w:w="0" w:type="auto"/>
          <w:jc w:val="center"/>
          <w:tblLook w:val="04A0"/>
        </w:tblPrEx>
        <w:trPr>
          <w:jc w:val="center"/>
        </w:trPr>
        <w:tc>
          <w:tcPr>
            <w:tcW w:w="1350" w:type="dxa"/>
            <w:shd w:val="clear" w:color="auto" w:fill="auto"/>
          </w:tcPr>
          <w:p w:rsidR="00D171D2" w:rsidRPr="002D3263" w:rsidP="00EF4CBB" w14:paraId="247908A1" w14:textId="77777777">
            <w:pPr>
              <w:widowControl/>
              <w:rPr>
                <w:color w:val="000000" w:themeColor="text1"/>
              </w:rPr>
            </w:pPr>
            <w:r w:rsidRPr="002D3263">
              <w:rPr>
                <w:color w:val="000000" w:themeColor="text1"/>
              </w:rPr>
              <w:t>RUS</w:t>
            </w:r>
          </w:p>
        </w:tc>
        <w:tc>
          <w:tcPr>
            <w:tcW w:w="7470" w:type="dxa"/>
            <w:shd w:val="clear" w:color="auto" w:fill="auto"/>
          </w:tcPr>
          <w:p w:rsidR="00D171D2" w:rsidRPr="002D3263" w:rsidP="00EF4CBB" w14:paraId="524CC22F" w14:textId="77777777">
            <w:pPr>
              <w:widowControl/>
              <w:rPr>
                <w:color w:val="000000" w:themeColor="text1"/>
              </w:rPr>
            </w:pPr>
            <w:r w:rsidRPr="002D3263">
              <w:rPr>
                <w:color w:val="000000" w:themeColor="text1"/>
              </w:rPr>
              <w:t>Rural Utilities Service</w:t>
            </w:r>
          </w:p>
        </w:tc>
      </w:tr>
      <w:tr w14:paraId="791FF80C" w14:textId="77777777" w:rsidTr="00E85518">
        <w:tblPrEx>
          <w:tblW w:w="0" w:type="auto"/>
          <w:jc w:val="center"/>
          <w:tblLook w:val="04A0"/>
        </w:tblPrEx>
        <w:trPr>
          <w:jc w:val="center"/>
        </w:trPr>
        <w:tc>
          <w:tcPr>
            <w:tcW w:w="1350" w:type="dxa"/>
            <w:tcBorders>
              <w:left w:val="none" w:sz="0" w:space="0" w:color="auto"/>
              <w:right w:val="none" w:sz="0" w:space="0" w:color="auto"/>
            </w:tcBorders>
            <w:shd w:val="clear" w:color="auto" w:fill="auto"/>
          </w:tcPr>
          <w:p w:rsidR="007F3B5A" w:rsidRPr="002D3263" w:rsidP="00EF4CBB" w14:paraId="6BF6D1BB" w14:textId="77777777">
            <w:pPr>
              <w:widowControl/>
              <w:rPr>
                <w:color w:val="000000" w:themeColor="text1"/>
              </w:rPr>
            </w:pPr>
            <w:r w:rsidRPr="002D3263">
              <w:rPr>
                <w:color w:val="000000" w:themeColor="text1"/>
              </w:rPr>
              <w:t>TVA</w:t>
            </w:r>
          </w:p>
        </w:tc>
        <w:tc>
          <w:tcPr>
            <w:tcW w:w="7470" w:type="dxa"/>
            <w:tcBorders>
              <w:left w:val="none" w:sz="0" w:space="0" w:color="auto"/>
              <w:right w:val="none" w:sz="0" w:space="0" w:color="auto"/>
            </w:tcBorders>
            <w:shd w:val="clear" w:color="auto" w:fill="auto"/>
          </w:tcPr>
          <w:p w:rsidR="007F3B5A" w:rsidRPr="002D3263" w:rsidP="00EF4CBB" w14:paraId="76D8E040" w14:textId="77777777">
            <w:pPr>
              <w:widowControl/>
              <w:rPr>
                <w:color w:val="000000" w:themeColor="text1"/>
              </w:rPr>
            </w:pPr>
            <w:r w:rsidRPr="002D3263">
              <w:rPr>
                <w:color w:val="000000" w:themeColor="text1"/>
              </w:rPr>
              <w:t>Tennessee Valley Authority</w:t>
            </w:r>
          </w:p>
        </w:tc>
      </w:tr>
      <w:tr w14:paraId="1A677C40" w14:textId="77777777" w:rsidTr="00EF4CBB">
        <w:tblPrEx>
          <w:tblW w:w="0" w:type="auto"/>
          <w:jc w:val="center"/>
          <w:tblLook w:val="04A0"/>
        </w:tblPrEx>
        <w:trPr>
          <w:jc w:val="center"/>
        </w:trPr>
        <w:tc>
          <w:tcPr>
            <w:tcW w:w="1350" w:type="dxa"/>
            <w:shd w:val="clear" w:color="auto" w:fill="auto"/>
          </w:tcPr>
          <w:p w:rsidR="005D2CD7" w:rsidRPr="002D3263" w:rsidP="00EF4CBB" w14:paraId="5A7BEDDA" w14:textId="77777777">
            <w:pPr>
              <w:widowControl/>
              <w:rPr>
                <w:color w:val="000000" w:themeColor="text1"/>
              </w:rPr>
            </w:pPr>
            <w:r w:rsidRPr="002D3263">
              <w:rPr>
                <w:color w:val="000000" w:themeColor="text1"/>
              </w:rPr>
              <w:t>Uniform Act</w:t>
            </w:r>
          </w:p>
        </w:tc>
        <w:tc>
          <w:tcPr>
            <w:tcW w:w="7470" w:type="dxa"/>
            <w:shd w:val="clear" w:color="auto" w:fill="auto"/>
          </w:tcPr>
          <w:p w:rsidR="005D2CD7" w:rsidRPr="002D3263" w:rsidP="00EF4CBB" w14:paraId="5F60AA05" w14:textId="77777777">
            <w:pPr>
              <w:widowControl/>
              <w:rPr>
                <w:color w:val="000000" w:themeColor="text1"/>
              </w:rPr>
            </w:pPr>
            <w:r w:rsidRPr="002D3263">
              <w:rPr>
                <w:color w:val="000000" w:themeColor="text1"/>
              </w:rPr>
              <w:t>Uniform Relocation Assistance and Real Property Acquisition Policies Act of 1970</w:t>
            </w:r>
          </w:p>
        </w:tc>
      </w:tr>
      <w:tr w14:paraId="1FF18E16" w14:textId="77777777" w:rsidTr="00E85518">
        <w:tblPrEx>
          <w:tblW w:w="0" w:type="auto"/>
          <w:jc w:val="center"/>
          <w:tblLook w:val="04A0"/>
        </w:tblPrEx>
        <w:trPr>
          <w:jc w:val="center"/>
        </w:trPr>
        <w:tc>
          <w:tcPr>
            <w:tcW w:w="1350" w:type="dxa"/>
            <w:tcBorders>
              <w:left w:val="none" w:sz="0" w:space="0" w:color="auto"/>
              <w:right w:val="none" w:sz="0" w:space="0" w:color="auto"/>
            </w:tcBorders>
            <w:shd w:val="clear" w:color="auto" w:fill="auto"/>
          </w:tcPr>
          <w:p w:rsidR="005D2CD7" w:rsidRPr="002D3263" w:rsidP="00EF4CBB" w14:paraId="0F167573" w14:textId="77777777">
            <w:pPr>
              <w:widowControl/>
              <w:rPr>
                <w:b w:val="0"/>
                <w:color w:val="000000" w:themeColor="text1"/>
              </w:rPr>
            </w:pPr>
            <w:r w:rsidRPr="002D3263">
              <w:rPr>
                <w:color w:val="000000" w:themeColor="text1"/>
              </w:rPr>
              <w:t>USACE</w:t>
            </w:r>
          </w:p>
        </w:tc>
        <w:tc>
          <w:tcPr>
            <w:tcW w:w="7470" w:type="dxa"/>
            <w:tcBorders>
              <w:left w:val="none" w:sz="0" w:space="0" w:color="auto"/>
              <w:right w:val="none" w:sz="0" w:space="0" w:color="auto"/>
            </w:tcBorders>
            <w:shd w:val="clear" w:color="auto" w:fill="auto"/>
          </w:tcPr>
          <w:p w:rsidR="005D2CD7" w:rsidRPr="002D3263" w:rsidP="00EF4CBB" w14:paraId="6BA47A37" w14:textId="77777777">
            <w:pPr>
              <w:widowControl/>
              <w:rPr>
                <w:color w:val="000000" w:themeColor="text1"/>
              </w:rPr>
            </w:pPr>
            <w:r w:rsidRPr="002D3263">
              <w:rPr>
                <w:color w:val="000000" w:themeColor="text1"/>
              </w:rPr>
              <w:t>U.S. Army Corp of Engineers</w:t>
            </w:r>
          </w:p>
        </w:tc>
      </w:tr>
      <w:tr w14:paraId="4B3468BB" w14:textId="77777777" w:rsidTr="00EF4CBB">
        <w:tblPrEx>
          <w:tblW w:w="0" w:type="auto"/>
          <w:jc w:val="center"/>
          <w:tblLook w:val="04A0"/>
        </w:tblPrEx>
        <w:trPr>
          <w:trHeight w:val="80"/>
          <w:jc w:val="center"/>
        </w:trPr>
        <w:tc>
          <w:tcPr>
            <w:tcW w:w="1350" w:type="dxa"/>
            <w:shd w:val="clear" w:color="auto" w:fill="auto"/>
          </w:tcPr>
          <w:p w:rsidR="005D2CD7" w:rsidRPr="002D3263" w:rsidP="00EF4CBB" w14:paraId="10E4B072" w14:textId="77777777">
            <w:pPr>
              <w:widowControl/>
              <w:rPr>
                <w:b w:val="0"/>
                <w:color w:val="000000" w:themeColor="text1"/>
              </w:rPr>
            </w:pPr>
            <w:r w:rsidRPr="002D3263">
              <w:rPr>
                <w:color w:val="000000" w:themeColor="text1"/>
              </w:rPr>
              <w:t>USDA</w:t>
            </w:r>
          </w:p>
        </w:tc>
        <w:tc>
          <w:tcPr>
            <w:tcW w:w="7470" w:type="dxa"/>
            <w:shd w:val="clear" w:color="auto" w:fill="auto"/>
          </w:tcPr>
          <w:p w:rsidR="005D2CD7" w:rsidRPr="002D3263" w:rsidP="00EF4CBB" w14:paraId="3051BFB6" w14:textId="77777777">
            <w:pPr>
              <w:widowControl/>
              <w:rPr>
                <w:color w:val="000000" w:themeColor="text1"/>
              </w:rPr>
            </w:pPr>
            <w:r w:rsidRPr="002D3263">
              <w:rPr>
                <w:color w:val="000000" w:themeColor="text1"/>
              </w:rPr>
              <w:t>U.S. Department of Agriculture</w:t>
            </w:r>
          </w:p>
        </w:tc>
      </w:tr>
      <w:tr w14:paraId="2D452C1D" w14:textId="77777777" w:rsidTr="00EF4CBB">
        <w:tblPrEx>
          <w:tblW w:w="0" w:type="auto"/>
          <w:jc w:val="center"/>
          <w:tblLook w:val="04A0"/>
        </w:tblPrEx>
        <w:trPr>
          <w:jc w:val="center"/>
        </w:trPr>
        <w:tc>
          <w:tcPr>
            <w:tcW w:w="1350" w:type="dxa"/>
            <w:tcBorders>
              <w:left w:val="none" w:sz="0" w:space="0" w:color="auto"/>
              <w:right w:val="none" w:sz="0" w:space="0" w:color="auto"/>
            </w:tcBorders>
            <w:shd w:val="clear" w:color="auto" w:fill="auto"/>
          </w:tcPr>
          <w:p w:rsidR="005D2CD7" w:rsidRPr="002D3263" w:rsidP="00EF4CBB" w14:paraId="681D5891" w14:textId="77777777">
            <w:pPr>
              <w:widowControl/>
              <w:rPr>
                <w:b w:val="0"/>
                <w:color w:val="000000" w:themeColor="text1"/>
              </w:rPr>
            </w:pPr>
            <w:r w:rsidRPr="002D3263">
              <w:rPr>
                <w:color w:val="000000" w:themeColor="text1"/>
              </w:rPr>
              <w:t>VA</w:t>
            </w:r>
          </w:p>
        </w:tc>
        <w:tc>
          <w:tcPr>
            <w:tcW w:w="7470" w:type="dxa"/>
            <w:tcBorders>
              <w:left w:val="none" w:sz="0" w:space="0" w:color="auto"/>
              <w:right w:val="none" w:sz="0" w:space="0" w:color="auto"/>
            </w:tcBorders>
            <w:shd w:val="clear" w:color="auto" w:fill="auto"/>
          </w:tcPr>
          <w:p w:rsidR="005D2CD7" w:rsidRPr="002D3263" w:rsidP="00EF4CBB" w14:paraId="48DBA491" w14:textId="25D284A3">
            <w:pPr>
              <w:widowControl/>
              <w:rPr>
                <w:color w:val="000000" w:themeColor="text1"/>
              </w:rPr>
            </w:pPr>
            <w:r>
              <w:rPr>
                <w:color w:val="000000" w:themeColor="text1"/>
              </w:rPr>
              <w:t xml:space="preserve">U.S. </w:t>
            </w:r>
            <w:r w:rsidRPr="002D3263">
              <w:rPr>
                <w:color w:val="000000" w:themeColor="text1"/>
              </w:rPr>
              <w:t>Department of Veterans Affairs</w:t>
            </w:r>
          </w:p>
        </w:tc>
      </w:tr>
    </w:tbl>
    <w:p w:rsidR="00F94E40" w:rsidRPr="002D3263" w:rsidP="00EF4CBB" w14:paraId="51BA1B6B" w14:textId="77777777">
      <w:pPr>
        <w:widowControl/>
      </w:pPr>
    </w:p>
    <w:p w:rsidR="00F94E40" w:rsidRPr="002D3263" w:rsidP="00EF4CBB" w14:paraId="6BBAAB44" w14:textId="77777777">
      <w:pPr>
        <w:widowControl/>
      </w:pPr>
      <w:r w:rsidRPr="002D3263">
        <w:br w:type="page"/>
      </w:r>
    </w:p>
    <w:p w:rsidR="00111308" w:rsidRPr="002D3263" w:rsidP="00BD26C9" w14:paraId="73492FE9" w14:textId="77777777">
      <w:pPr>
        <w:pStyle w:val="Heading1"/>
        <w:numPr>
          <w:ilvl w:val="0"/>
          <w:numId w:val="0"/>
        </w:numPr>
        <w:sectPr>
          <w:footerReference w:type="first" r:id="rId13"/>
          <w:pgSz w:w="12240" w:h="15840" w:code="1"/>
          <w:pgMar w:top="1440" w:right="1440" w:bottom="1440" w:left="1440" w:header="720" w:footer="750" w:gutter="0"/>
          <w:cols w:space="720"/>
          <w:titlePg/>
          <w:docGrid w:linePitch="360"/>
        </w:sectPr>
      </w:pPr>
    </w:p>
    <w:p w:rsidR="000C221C" w:rsidRPr="002D3263" w:rsidP="00BD26C9" w14:paraId="59BFE02D" w14:textId="77777777">
      <w:pPr>
        <w:pStyle w:val="Heading1"/>
        <w:numPr>
          <w:ilvl w:val="0"/>
          <w:numId w:val="0"/>
        </w:numPr>
      </w:pPr>
      <w:bookmarkStart w:id="4" w:name="_Toc127438004"/>
      <w:r w:rsidRPr="002D3263">
        <w:t>Ex</w:t>
      </w:r>
      <w:r w:rsidRPr="002D3263" w:rsidR="00A15204">
        <w:t>ecutive Summary</w:t>
      </w:r>
      <w:bookmarkEnd w:id="4"/>
    </w:p>
    <w:p w:rsidR="00B128E1" w:rsidRPr="002D3263" w:rsidP="00EF4CBB" w14:paraId="3107F2CB" w14:textId="77777777">
      <w:pPr>
        <w:widowControl/>
        <w:tabs>
          <w:tab w:val="left" w:pos="7648"/>
        </w:tabs>
      </w:pPr>
      <w:r w:rsidRPr="002D3263">
        <w:tab/>
      </w:r>
    </w:p>
    <w:p w:rsidR="000E4B25" w:rsidRPr="002D3263" w:rsidP="00EF4CBB" w14:paraId="054E7441" w14:textId="0EA6D2B0">
      <w:pPr>
        <w:pStyle w:val="Body"/>
        <w:widowControl/>
        <w:rPr>
          <w:color w:val="000000" w:themeColor="text1"/>
        </w:rPr>
      </w:pPr>
      <w:r w:rsidRPr="002D3263">
        <w:t xml:space="preserve">The Uniform Relocation Assistance and Real Property Acquisition Policies Act of 1970 (Uniform Act) provides important protections and assistance for people affected by </w:t>
      </w:r>
      <w:r w:rsidRPr="002D3263" w:rsidR="00297759">
        <w:t>f</w:t>
      </w:r>
      <w:r w:rsidRPr="002D3263" w:rsidR="00111308">
        <w:t>ederal</w:t>
      </w:r>
      <w:r w:rsidRPr="002D3263">
        <w:t>ly</w:t>
      </w:r>
      <w:r w:rsidRPr="002D3263" w:rsidR="002F6403">
        <w:t xml:space="preserve"> </w:t>
      </w:r>
      <w:r w:rsidRPr="002D3263">
        <w:t>funded projects.</w:t>
      </w:r>
      <w:r w:rsidRPr="002D3263" w:rsidR="00AC30F3">
        <w:t xml:space="preserve"> </w:t>
      </w:r>
      <w:r w:rsidR="0059129A">
        <w:t xml:space="preserve"> </w:t>
      </w:r>
      <w:r w:rsidRPr="002D3263">
        <w:t xml:space="preserve">Congress passed the law to safeguard people whose real property is acquired or who move from their homes, businesses, </w:t>
      </w:r>
      <w:r w:rsidRPr="002D3263" w:rsidR="002F1F8B">
        <w:t xml:space="preserve">nonprofit </w:t>
      </w:r>
      <w:r w:rsidRPr="002D3263" w:rsidR="00736286">
        <w:t>organizations</w:t>
      </w:r>
      <w:r w:rsidRPr="002D3263" w:rsidR="003C6646">
        <w:t>,</w:t>
      </w:r>
      <w:r w:rsidRPr="002D3263" w:rsidR="002F1F8B">
        <w:t xml:space="preserve"> </w:t>
      </w:r>
      <w:r w:rsidRPr="002D3263">
        <w:t xml:space="preserve">or farms </w:t>
      </w:r>
      <w:r w:rsidRPr="002D3263">
        <w:t>as a result of</w:t>
      </w:r>
      <w:r w:rsidRPr="002D3263">
        <w:t xml:space="preserve"> projects receiving </w:t>
      </w:r>
      <w:r w:rsidRPr="002D3263" w:rsidR="00111308">
        <w:t>Federal</w:t>
      </w:r>
      <w:r w:rsidRPr="002D3263">
        <w:t xml:space="preserve"> funds. </w:t>
      </w:r>
      <w:r w:rsidR="0059129A">
        <w:t xml:space="preserve"> </w:t>
      </w:r>
      <w:r w:rsidRPr="002D3263" w:rsidR="000B786E">
        <w:t xml:space="preserve">The Moving Ahead for Progress in the 21st Century Act </w:t>
      </w:r>
      <w:r w:rsidRPr="002D3263" w:rsidR="000B786E">
        <w:rPr>
          <w:color w:val="000000" w:themeColor="text1"/>
        </w:rPr>
        <w:t>(MAP-21)</w:t>
      </w:r>
      <w:r w:rsidRPr="002D3263">
        <w:rPr>
          <w:color w:val="000000" w:themeColor="text1"/>
        </w:rPr>
        <w:t xml:space="preserve"> modified the statutory </w:t>
      </w:r>
      <w:r w:rsidRPr="002D3263" w:rsidR="00522ACF">
        <w:rPr>
          <w:color w:val="000000" w:themeColor="text1"/>
        </w:rPr>
        <w:t>payment</w:t>
      </w:r>
      <w:r w:rsidRPr="002D3263">
        <w:rPr>
          <w:color w:val="000000" w:themeColor="text1"/>
        </w:rPr>
        <w:t xml:space="preserve"> levels for </w:t>
      </w:r>
      <w:r w:rsidRPr="002D3263" w:rsidR="007C624B">
        <w:rPr>
          <w:color w:val="000000" w:themeColor="text1"/>
        </w:rPr>
        <w:t>which displaced persons</w:t>
      </w:r>
      <w:r w:rsidRPr="002D3263">
        <w:rPr>
          <w:color w:val="000000" w:themeColor="text1"/>
        </w:rPr>
        <w:t xml:space="preserve"> may be eligible under the Uniform Act’s implementing regulations</w:t>
      </w:r>
      <w:r w:rsidRPr="002D3263">
        <w:t xml:space="preserve">, necessitating </w:t>
      </w:r>
      <w:r w:rsidRPr="002D3263">
        <w:t>the</w:t>
      </w:r>
      <w:r w:rsidRPr="002D3263">
        <w:t xml:space="preserve"> current rule.</w:t>
      </w:r>
      <w:r w:rsidRPr="002D3263">
        <w:rPr>
          <w:color w:val="000000" w:themeColor="text1"/>
        </w:rPr>
        <w:t xml:space="preserve"> </w:t>
      </w:r>
      <w:r w:rsidR="0059129A">
        <w:rPr>
          <w:color w:val="000000" w:themeColor="text1"/>
        </w:rPr>
        <w:t xml:space="preserve"> </w:t>
      </w:r>
      <w:r w:rsidR="007D41B2">
        <w:rPr>
          <w:color w:val="000000" w:themeColor="text1"/>
        </w:rPr>
        <w:t>In addition</w:t>
      </w:r>
      <w:r w:rsidRPr="002D3263">
        <w:rPr>
          <w:color w:val="000000" w:themeColor="text1"/>
        </w:rPr>
        <w:t xml:space="preserve">, the </w:t>
      </w:r>
      <w:r w:rsidRPr="002D3263" w:rsidR="00111308">
        <w:rPr>
          <w:color w:val="000000" w:themeColor="text1"/>
        </w:rPr>
        <w:t>Federal</w:t>
      </w:r>
      <w:r w:rsidRPr="002D3263">
        <w:rPr>
          <w:color w:val="000000" w:themeColor="text1"/>
        </w:rPr>
        <w:t xml:space="preserve"> Highway Administration (FHWA) is </w:t>
      </w:r>
      <w:r w:rsidRPr="002D3263">
        <w:rPr>
          <w:color w:val="000000" w:themeColor="text1"/>
        </w:rPr>
        <w:t>making</w:t>
      </w:r>
      <w:r w:rsidRPr="002D3263">
        <w:rPr>
          <w:color w:val="000000" w:themeColor="text1"/>
        </w:rPr>
        <w:t xml:space="preserve"> </w:t>
      </w:r>
      <w:r w:rsidRPr="008C67D7">
        <w:t xml:space="preserve">changes to wording and section organization </w:t>
      </w:r>
      <w:r w:rsidRPr="008C67D7">
        <w:rPr>
          <w:color w:val="000000" w:themeColor="text1"/>
        </w:rPr>
        <w:t>to</w:t>
      </w:r>
      <w:r w:rsidRPr="002D3263">
        <w:rPr>
          <w:color w:val="000000" w:themeColor="text1"/>
        </w:rPr>
        <w:t xml:space="preserve"> better reflect the </w:t>
      </w:r>
      <w:r w:rsidRPr="002D3263" w:rsidR="00111308">
        <w:rPr>
          <w:color w:val="000000" w:themeColor="text1"/>
        </w:rPr>
        <w:t>Federal</w:t>
      </w:r>
      <w:r w:rsidRPr="002D3263">
        <w:rPr>
          <w:color w:val="000000" w:themeColor="text1"/>
        </w:rPr>
        <w:t xml:space="preserve"> experience implementing Uniform Act programs since the last comprehensive rulemaking for </w:t>
      </w:r>
      <w:r w:rsidRPr="002D3263" w:rsidR="002F1F8B">
        <w:rPr>
          <w:color w:val="000000" w:themeColor="text1"/>
        </w:rPr>
        <w:t xml:space="preserve">49 CFR </w:t>
      </w:r>
      <w:r w:rsidRPr="002D3263">
        <w:rPr>
          <w:color w:val="000000" w:themeColor="text1"/>
        </w:rPr>
        <w:t xml:space="preserve">24, which occurred in 2005. </w:t>
      </w:r>
      <w:r w:rsidR="0059129A">
        <w:rPr>
          <w:color w:val="000000" w:themeColor="text1"/>
        </w:rPr>
        <w:t xml:space="preserve"> </w:t>
      </w:r>
      <w:r w:rsidRPr="002D3263" w:rsidR="00522ACF">
        <w:rPr>
          <w:color w:val="000000" w:themeColor="text1"/>
        </w:rPr>
        <w:t xml:space="preserve">At the </w:t>
      </w:r>
      <w:r w:rsidRPr="002D3263" w:rsidR="00111308">
        <w:rPr>
          <w:color w:val="000000" w:themeColor="text1"/>
        </w:rPr>
        <w:t>Federal</w:t>
      </w:r>
      <w:r w:rsidRPr="002D3263" w:rsidR="00522ACF">
        <w:rPr>
          <w:color w:val="000000" w:themeColor="text1"/>
        </w:rPr>
        <w:t xml:space="preserve"> level</w:t>
      </w:r>
      <w:r w:rsidRPr="002D3263" w:rsidR="009F6B6F">
        <w:rPr>
          <w:color w:val="000000" w:themeColor="text1"/>
        </w:rPr>
        <w:t>, 14</w:t>
      </w:r>
      <w:r w:rsidRPr="002D3263" w:rsidR="00522ACF">
        <w:rPr>
          <w:color w:val="000000"/>
          <w:shd w:val="clear" w:color="auto" w:fill="FFFFFF"/>
        </w:rPr>
        <w:t xml:space="preserve"> departments and </w:t>
      </w:r>
      <w:r w:rsidRPr="002D3263" w:rsidR="0026387C">
        <w:rPr>
          <w:color w:val="000000"/>
          <w:shd w:val="clear" w:color="auto" w:fill="FFFFFF"/>
        </w:rPr>
        <w:t>5</w:t>
      </w:r>
      <w:r w:rsidRPr="002D3263" w:rsidR="00522ACF">
        <w:rPr>
          <w:color w:val="000000"/>
          <w:shd w:val="clear" w:color="auto" w:fill="FFFFFF"/>
        </w:rPr>
        <w:t xml:space="preserve"> independent </w:t>
      </w:r>
      <w:r w:rsidR="0059129A">
        <w:rPr>
          <w:color w:val="000000"/>
          <w:shd w:val="clear" w:color="auto" w:fill="FFFFFF"/>
        </w:rPr>
        <w:t>A</w:t>
      </w:r>
      <w:r w:rsidRPr="002D3263" w:rsidR="00522ACF">
        <w:rPr>
          <w:color w:val="000000"/>
          <w:shd w:val="clear" w:color="auto" w:fill="FFFFFF"/>
        </w:rPr>
        <w:t>gencies are subject to the Uniform Act</w:t>
      </w:r>
      <w:r w:rsidRPr="002D3263" w:rsidR="003C6646">
        <w:rPr>
          <w:color w:val="000000"/>
          <w:shd w:val="clear" w:color="auto" w:fill="FFFFFF"/>
        </w:rPr>
        <w:t>,</w:t>
      </w:r>
      <w:r w:rsidRPr="002D3263">
        <w:rPr>
          <w:color w:val="000000" w:themeColor="text1"/>
        </w:rPr>
        <w:t xml:space="preserve"> and their input </w:t>
      </w:r>
      <w:r w:rsidRPr="002D3263">
        <w:rPr>
          <w:color w:val="000000" w:themeColor="text1"/>
        </w:rPr>
        <w:t xml:space="preserve">was reflected in the Notice of Proposed Rulemaking (NPRM). </w:t>
      </w:r>
      <w:r w:rsidR="0059129A">
        <w:rPr>
          <w:color w:val="000000" w:themeColor="text1"/>
        </w:rPr>
        <w:t xml:space="preserve"> </w:t>
      </w:r>
      <w:r w:rsidRPr="002D3263">
        <w:rPr>
          <w:color w:val="000000" w:themeColor="text1"/>
        </w:rPr>
        <w:t>Subsequent to</w:t>
      </w:r>
      <w:r w:rsidRPr="002D3263">
        <w:rPr>
          <w:color w:val="000000" w:themeColor="text1"/>
        </w:rPr>
        <w:t xml:space="preserve"> the NPRM, FHWA responded to additional input from those </w:t>
      </w:r>
      <w:r w:rsidR="00925559">
        <w:rPr>
          <w:color w:val="000000" w:themeColor="text1"/>
        </w:rPr>
        <w:t>F</w:t>
      </w:r>
      <w:r w:rsidRPr="002D3263">
        <w:rPr>
          <w:color w:val="000000" w:themeColor="text1"/>
        </w:rPr>
        <w:t xml:space="preserve">ederal </w:t>
      </w:r>
      <w:r w:rsidR="00B403C7">
        <w:rPr>
          <w:color w:val="000000" w:themeColor="text1"/>
        </w:rPr>
        <w:t>A</w:t>
      </w:r>
      <w:r w:rsidRPr="002D3263">
        <w:rPr>
          <w:color w:val="000000" w:themeColor="text1"/>
        </w:rPr>
        <w:t xml:space="preserve">gencies, recipients, and other members of the public. The final rule reflects that input. </w:t>
      </w:r>
    </w:p>
    <w:p w:rsidR="00B664FC" w:rsidRPr="002D3263" w:rsidP="00BC5A99" w14:paraId="5FD72F23" w14:textId="30ED5639">
      <w:pPr>
        <w:pStyle w:val="Body"/>
      </w:pPr>
      <w:r w:rsidRPr="002D3263">
        <w:t xml:space="preserve">This regulatory evaluation is largely </w:t>
      </w:r>
      <w:r w:rsidRPr="002D3263">
        <w:t>similar to</w:t>
      </w:r>
      <w:r w:rsidRPr="002D3263">
        <w:t xml:space="preserve"> the regulatory evaluation of the NPRM. </w:t>
      </w:r>
      <w:r w:rsidR="0059129A">
        <w:t xml:space="preserve"> </w:t>
      </w:r>
      <w:r w:rsidRPr="002D3263">
        <w:t xml:space="preserve">However, it has been revised to reflect changes in the final rule compared to the NPRM and to </w:t>
      </w:r>
      <w:r w:rsidRPr="002D3263" w:rsidR="00755EC7">
        <w:t xml:space="preserve">update the analysis given that </w:t>
      </w:r>
      <w:r w:rsidRPr="002D3263" w:rsidR="007270F7">
        <w:t xml:space="preserve">roughly </w:t>
      </w:r>
      <w:r w:rsidR="003F751E">
        <w:t>3</w:t>
      </w:r>
      <w:r w:rsidRPr="002D3263" w:rsidR="007270F7">
        <w:t xml:space="preserve"> </w:t>
      </w:r>
      <w:r w:rsidRPr="002D3263" w:rsidR="00755EC7">
        <w:t>years have passed since the analysis conducted for the NPRM.</w:t>
      </w:r>
      <w:r w:rsidRPr="002D3263" w:rsidR="00881D85">
        <w:t xml:space="preserve"> </w:t>
      </w:r>
      <w:bookmarkStart w:id="5" w:name="_Hlk2263788"/>
      <w:r w:rsidR="0059129A">
        <w:t xml:space="preserve"> </w:t>
      </w:r>
      <w:r w:rsidRPr="002D3263">
        <w:t xml:space="preserve">No public comments were received related to the </w:t>
      </w:r>
      <w:r w:rsidR="00C774F2">
        <w:t xml:space="preserve">Regulatory Impact Analysis </w:t>
      </w:r>
      <w:r w:rsidR="008C2F44">
        <w:t>(</w:t>
      </w:r>
      <w:r w:rsidRPr="002D3263">
        <w:t>RIA</w:t>
      </w:r>
      <w:r w:rsidR="008C2F44">
        <w:t>)</w:t>
      </w:r>
      <w:r w:rsidRPr="002D3263">
        <w:t xml:space="preserve"> for the NPRM.</w:t>
      </w:r>
    </w:p>
    <w:p w:rsidR="00D661D5" w:rsidRPr="002D3263" w:rsidP="00BC5A99" w14:paraId="4F54126F" w14:textId="48267A52">
      <w:pPr>
        <w:pStyle w:val="Body"/>
      </w:pPr>
      <w:r w:rsidRPr="002D3263">
        <w:t xml:space="preserve">The costs of the </w:t>
      </w:r>
      <w:r w:rsidRPr="002D3263" w:rsidR="00755EC7">
        <w:t xml:space="preserve">final </w:t>
      </w:r>
      <w:r w:rsidRPr="002D3263">
        <w:t>rule</w:t>
      </w:r>
      <w:r w:rsidRPr="002D3263" w:rsidR="00B664FC">
        <w:t xml:space="preserve"> over 10 years</w:t>
      </w:r>
      <w:r w:rsidRPr="002D3263">
        <w:t xml:space="preserve"> for all Uniform Act </w:t>
      </w:r>
      <w:r w:rsidR="0059129A">
        <w:t>A</w:t>
      </w:r>
      <w:r w:rsidRPr="002D3263">
        <w:t>gencies are estimated to be $</w:t>
      </w:r>
      <w:r w:rsidRPr="002D3263" w:rsidR="00EF4CBB">
        <w:t>2.</w:t>
      </w:r>
      <w:r w:rsidRPr="002D3263" w:rsidR="00F9025C">
        <w:t>2</w:t>
      </w:r>
      <w:r w:rsidRPr="002D3263">
        <w:t xml:space="preserve"> million when discounted at 7 percent and $</w:t>
      </w:r>
      <w:r w:rsidRPr="002D3263" w:rsidR="004A469E">
        <w:t>2</w:t>
      </w:r>
      <w:r w:rsidRPr="002D3263">
        <w:t>.</w:t>
      </w:r>
      <w:r w:rsidRPr="002D3263" w:rsidR="00F9025C">
        <w:t>4</w:t>
      </w:r>
      <w:r w:rsidRPr="002D3263">
        <w:t xml:space="preserve"> million when discounted at 3 percent. </w:t>
      </w:r>
      <w:r w:rsidR="0059129A">
        <w:t xml:space="preserve"> </w:t>
      </w:r>
      <w:r w:rsidRPr="002D3263" w:rsidR="006C6FB4">
        <w:t>The</w:t>
      </w:r>
      <w:r w:rsidRPr="002D3263">
        <w:t xml:space="preserve"> annualized costs are estimated to be $</w:t>
      </w:r>
      <w:r w:rsidRPr="002D3263" w:rsidR="00EF4CBB">
        <w:t>3</w:t>
      </w:r>
      <w:r w:rsidRPr="002D3263" w:rsidR="00F9025C">
        <w:t>1</w:t>
      </w:r>
      <w:r w:rsidR="00FA2677">
        <w:t>1</w:t>
      </w:r>
      <w:r w:rsidRPr="002D3263" w:rsidR="00677604">
        <w:t>,000</w:t>
      </w:r>
      <w:r w:rsidRPr="002D3263">
        <w:t xml:space="preserve"> </w:t>
      </w:r>
      <w:r w:rsidRPr="002D3263" w:rsidR="006C6FB4">
        <w:t xml:space="preserve">per year </w:t>
      </w:r>
      <w:r w:rsidRPr="002D3263">
        <w:t>when discounted at 7</w:t>
      </w:r>
      <w:r w:rsidRPr="002D3263" w:rsidR="00162E96">
        <w:t xml:space="preserve"> percent</w:t>
      </w:r>
      <w:r w:rsidRPr="002D3263">
        <w:t xml:space="preserve"> and $</w:t>
      </w:r>
      <w:r w:rsidRPr="002D3263" w:rsidR="00B31C91">
        <w:t>2</w:t>
      </w:r>
      <w:r w:rsidRPr="002D3263" w:rsidR="00F9025C">
        <w:t>8</w:t>
      </w:r>
      <w:r w:rsidR="00FA2677">
        <w:t>3</w:t>
      </w:r>
      <w:r w:rsidRPr="002D3263" w:rsidR="00677604">
        <w:t>,000</w:t>
      </w:r>
      <w:r w:rsidRPr="002D3263">
        <w:t xml:space="preserve"> </w:t>
      </w:r>
      <w:r w:rsidRPr="002D3263" w:rsidR="006C6FB4">
        <w:t xml:space="preserve">per year </w:t>
      </w:r>
      <w:r w:rsidRPr="002D3263">
        <w:t>when discounted at 3</w:t>
      </w:r>
      <w:r w:rsidRPr="002D3263" w:rsidR="00162E96">
        <w:t xml:space="preserve"> percent</w:t>
      </w:r>
      <w:r w:rsidRPr="002D3263">
        <w:t xml:space="preserve">. </w:t>
      </w:r>
      <w:r w:rsidR="0059129A">
        <w:t xml:space="preserve"> </w:t>
      </w:r>
      <w:r w:rsidRPr="002D3263" w:rsidR="006C6FB4">
        <w:t xml:space="preserve">The larger impact of this </w:t>
      </w:r>
      <w:r w:rsidRPr="002D3263" w:rsidR="00755EC7">
        <w:t>final</w:t>
      </w:r>
      <w:r w:rsidRPr="002D3263" w:rsidR="003768A7">
        <w:t xml:space="preserve"> </w:t>
      </w:r>
      <w:r w:rsidRPr="002D3263" w:rsidR="006C6FB4">
        <w:t xml:space="preserve">rule is in the form of transfers from the </w:t>
      </w:r>
      <w:r w:rsidR="00AA3343">
        <w:t>displacing Agencies</w:t>
      </w:r>
      <w:r w:rsidRPr="002D3263" w:rsidR="00AA3343">
        <w:t xml:space="preserve"> </w:t>
      </w:r>
      <w:r w:rsidRPr="002D3263" w:rsidR="006C6FB4">
        <w:t>to property owners who</w:t>
      </w:r>
      <w:r w:rsidRPr="002D3263" w:rsidR="00162E96">
        <w:t>se real estate is acquired for F</w:t>
      </w:r>
      <w:r w:rsidRPr="002D3263" w:rsidR="006C6FB4">
        <w:t>ederal projects.</w:t>
      </w:r>
      <w:r w:rsidRPr="002D3263" w:rsidR="004410C8">
        <w:t xml:space="preserve"> </w:t>
      </w:r>
      <w:r w:rsidR="0059129A">
        <w:t xml:space="preserve"> </w:t>
      </w:r>
      <w:r w:rsidR="00AA3343">
        <w:t>T</w:t>
      </w:r>
      <w:r w:rsidRPr="002D3263">
        <w:t>ransfers</w:t>
      </w:r>
      <w:r w:rsidRPr="002D3263" w:rsidR="00D433CA">
        <w:t xml:space="preserve"> over the 10-year analysis period</w:t>
      </w:r>
      <w:r w:rsidRPr="002D3263">
        <w:t xml:space="preserve"> resulting from this rule </w:t>
      </w:r>
      <w:r w:rsidRPr="002D3263" w:rsidR="00D433CA">
        <w:t>are estimated to</w:t>
      </w:r>
      <w:r w:rsidRPr="002D3263" w:rsidR="003768A7">
        <w:t xml:space="preserve"> be</w:t>
      </w:r>
      <w:r w:rsidRPr="002D3263">
        <w:t xml:space="preserve"> </w:t>
      </w:r>
      <w:r w:rsidRPr="002D3263">
        <w:t>$</w:t>
      </w:r>
      <w:r w:rsidR="00FA2677">
        <w:t>16</w:t>
      </w:r>
      <w:r w:rsidR="00E711E2">
        <w:t>9.</w:t>
      </w:r>
      <w:r w:rsidR="00FA2677">
        <w:t>5</w:t>
      </w:r>
      <w:r w:rsidRPr="002D3263">
        <w:t xml:space="preserve"> million when discounted at 7</w:t>
      </w:r>
      <w:r w:rsidRPr="002D3263" w:rsidR="00162E96">
        <w:t xml:space="preserve"> percent</w:t>
      </w:r>
      <w:r w:rsidRPr="002D3263">
        <w:t xml:space="preserve"> and $</w:t>
      </w:r>
      <w:r w:rsidR="00FA2677">
        <w:t>2</w:t>
      </w:r>
      <w:r w:rsidR="00E711E2">
        <w:t>14.6</w:t>
      </w:r>
      <w:r w:rsidRPr="002D3263">
        <w:t xml:space="preserve"> million when discounted at </w:t>
      </w:r>
      <w:r w:rsidRPr="002D3263" w:rsidR="00C84557">
        <w:t xml:space="preserve">3 </w:t>
      </w:r>
      <w:r w:rsidRPr="002D3263" w:rsidR="00162E96">
        <w:t>percent</w:t>
      </w:r>
      <w:r w:rsidRPr="002D3263" w:rsidR="00D433CA">
        <w:t xml:space="preserve"> or roughly $</w:t>
      </w:r>
      <w:r w:rsidR="00FA2677">
        <w:t>2</w:t>
      </w:r>
      <w:r w:rsidR="00E711E2">
        <w:t>4.1</w:t>
      </w:r>
      <w:r w:rsidRPr="002D3263" w:rsidR="00D433CA">
        <w:t xml:space="preserve"> million per year when annualized at 7 percent or $</w:t>
      </w:r>
      <w:r w:rsidR="00FA2677">
        <w:t>2</w:t>
      </w:r>
      <w:r w:rsidR="00E711E2">
        <w:t>5.2</w:t>
      </w:r>
      <w:r w:rsidRPr="002D3263" w:rsidR="00D433CA">
        <w:t xml:space="preserve"> million per year when annualized at 3 percent</w:t>
      </w:r>
      <w:r w:rsidRPr="002D3263">
        <w:t xml:space="preserve">. </w:t>
      </w:r>
      <w:r w:rsidR="0059129A">
        <w:t xml:space="preserve"> </w:t>
      </w:r>
      <w:r w:rsidRPr="002D3263">
        <w:t xml:space="preserve">This rule can therefore be thought of as </w:t>
      </w:r>
      <w:r w:rsidRPr="002D3263" w:rsidR="006C6FB4">
        <w:t xml:space="preserve">predominantly </w:t>
      </w:r>
      <w:r w:rsidRPr="002D3263">
        <w:t>a transfer rule, as the estimated</w:t>
      </w:r>
      <w:r w:rsidR="00920BC7">
        <w:t xml:space="preserve"> social</w:t>
      </w:r>
      <w:r w:rsidRPr="002D3263">
        <w:t xml:space="preserve"> costs</w:t>
      </w:r>
      <w:r w:rsidR="00AA3343">
        <w:t xml:space="preserve"> </w:t>
      </w:r>
      <w:r w:rsidRPr="002D3263">
        <w:t xml:space="preserve">are significantly smaller than </w:t>
      </w:r>
      <w:r w:rsidR="00920BC7">
        <w:t>those</w:t>
      </w:r>
      <w:r w:rsidRPr="002D3263">
        <w:t xml:space="preserve"> </w:t>
      </w:r>
      <w:r w:rsidRPr="002D3263">
        <w:t>transfers</w:t>
      </w:r>
      <w:r w:rsidR="00AA3343">
        <w:t xml:space="preserve"> from the displacing Agencies to those compensated</w:t>
      </w:r>
      <w:r w:rsidRPr="002D3263">
        <w:t xml:space="preserve">. </w:t>
      </w:r>
      <w:r w:rsidR="0059129A">
        <w:t xml:space="preserve"> </w:t>
      </w:r>
      <w:r w:rsidRPr="002D3263" w:rsidR="00A92F35">
        <w:t xml:space="preserve">The FHWA was the only </w:t>
      </w:r>
      <w:r w:rsidR="007D41B2">
        <w:t>A</w:t>
      </w:r>
      <w:r w:rsidRPr="002D3263" w:rsidR="00A92F35">
        <w:t xml:space="preserve">gency that provided data upon which to base estimates of the transfers. </w:t>
      </w:r>
      <w:r w:rsidR="0059129A">
        <w:t xml:space="preserve"> </w:t>
      </w:r>
      <w:r w:rsidRPr="002D3263" w:rsidR="00A92F35">
        <w:t xml:space="preserve">Therefore, the magnitude of the change in transfers for all Federal </w:t>
      </w:r>
      <w:r w:rsidR="0059129A">
        <w:t>A</w:t>
      </w:r>
      <w:r w:rsidRPr="002D3263" w:rsidR="00A92F35">
        <w:t>gencies may be</w:t>
      </w:r>
      <w:r w:rsidRPr="002D3263" w:rsidR="00D433CA">
        <w:t xml:space="preserve"> somewhat</w:t>
      </w:r>
      <w:r w:rsidRPr="002D3263" w:rsidR="00A92F35">
        <w:t xml:space="preserve"> larger than is reported here.</w:t>
      </w:r>
    </w:p>
    <w:p w:rsidR="00D661D5" w:rsidRPr="002D3263" w:rsidP="00BC5A99" w14:paraId="1D74AB52" w14:textId="0F209BDC">
      <w:pPr>
        <w:pStyle w:val="Body"/>
      </w:pPr>
      <w:bookmarkStart w:id="6" w:name="_Hlk148688836"/>
      <w:r w:rsidRPr="002D3263">
        <w:t xml:space="preserve">The bulk of the </w:t>
      </w:r>
      <w:r w:rsidRPr="002D3263" w:rsidR="006C6FB4">
        <w:t xml:space="preserve">estimated </w:t>
      </w:r>
      <w:r w:rsidRPr="002D3263">
        <w:t xml:space="preserve">costs are related to updating program materials to reflect the changes in the </w:t>
      </w:r>
      <w:r w:rsidRPr="002D3263" w:rsidR="00755EC7">
        <w:t>final</w:t>
      </w:r>
      <w:r w:rsidRPr="002D3263">
        <w:t xml:space="preserve"> rule.</w:t>
      </w:r>
      <w:r w:rsidRPr="002D3263" w:rsidR="004410C8">
        <w:t xml:space="preserve"> </w:t>
      </w:r>
      <w:r w:rsidR="0059129A">
        <w:t xml:space="preserve"> </w:t>
      </w:r>
      <w:r w:rsidRPr="002D3263" w:rsidR="00162E96">
        <w:t>In addition, s</w:t>
      </w:r>
      <w:r w:rsidRPr="002D3263">
        <w:t xml:space="preserve">ome </w:t>
      </w:r>
      <w:r w:rsidRPr="002D3263" w:rsidR="003768A7">
        <w:t>smaller</w:t>
      </w:r>
      <w:r w:rsidRPr="002D3263">
        <w:t xml:space="preserve"> </w:t>
      </w:r>
      <w:r w:rsidRPr="002D3263" w:rsidR="001E44DA">
        <w:t xml:space="preserve">recipient and Federal </w:t>
      </w:r>
      <w:r w:rsidR="007D41B2">
        <w:t>A</w:t>
      </w:r>
      <w:r w:rsidRPr="002D3263" w:rsidR="001E44DA">
        <w:t xml:space="preserve">gency </w:t>
      </w:r>
      <w:r w:rsidRPr="002D3263">
        <w:t xml:space="preserve">administrative cost savings have been </w:t>
      </w:r>
      <w:r w:rsidRPr="002D3263">
        <w:t>estimated</w:t>
      </w:r>
      <w:bookmarkEnd w:id="6"/>
      <w:r w:rsidRPr="002D3263">
        <w:t>.</w:t>
      </w:r>
      <w:r>
        <w:rPr>
          <w:rStyle w:val="FootnoteReference"/>
        </w:rPr>
        <w:footnoteReference w:id="3"/>
      </w:r>
      <w:r w:rsidRPr="002D3263">
        <w:t xml:space="preserve"> </w:t>
      </w:r>
      <w:r w:rsidR="0059129A">
        <w:t xml:space="preserve"> </w:t>
      </w:r>
      <w:r w:rsidRPr="002D3263" w:rsidR="00A92F35">
        <w:t xml:space="preserve">Again, </w:t>
      </w:r>
      <w:r w:rsidRPr="002D3263">
        <w:t xml:space="preserve">FHWA was the only </w:t>
      </w:r>
      <w:r w:rsidR="007D41B2">
        <w:t>A</w:t>
      </w:r>
      <w:r w:rsidRPr="002D3263">
        <w:t xml:space="preserve">gency that had a detailed data set available for its Uniform Act </w:t>
      </w:r>
      <w:r w:rsidR="00D6005F">
        <w:t>P</w:t>
      </w:r>
      <w:r w:rsidRPr="002D3263">
        <w:t xml:space="preserve">rogram, and therefore only the administrative cost savings to FHWA have been estimated here. </w:t>
      </w:r>
      <w:r w:rsidR="0059129A">
        <w:t xml:space="preserve"> </w:t>
      </w:r>
      <w:r w:rsidRPr="002D3263">
        <w:t xml:space="preserve">Based on communications with other Uniform Act </w:t>
      </w:r>
      <w:r w:rsidR="0059129A">
        <w:t>A</w:t>
      </w:r>
      <w:r w:rsidRPr="002D3263">
        <w:t xml:space="preserve">gencies, FHWA analysts believe that FHWA has the largest Uniform Act </w:t>
      </w:r>
      <w:r w:rsidR="00D6005F">
        <w:t>P</w:t>
      </w:r>
      <w:r w:rsidRPr="002D3263">
        <w:t xml:space="preserve">rogram; however, other </w:t>
      </w:r>
      <w:r w:rsidR="0059129A">
        <w:t>A</w:t>
      </w:r>
      <w:r w:rsidRPr="002D3263">
        <w:t xml:space="preserve">gencies have sizable programs as well. Therefore, the total cost savings across all </w:t>
      </w:r>
      <w:r w:rsidR="0059129A">
        <w:t>A</w:t>
      </w:r>
      <w:r w:rsidRPr="002D3263">
        <w:t>gencies will likely be larger.</w:t>
      </w:r>
      <w:r w:rsidRPr="002D3263" w:rsidR="004410C8">
        <w:t xml:space="preserve"> </w:t>
      </w:r>
    </w:p>
    <w:bookmarkEnd w:id="5"/>
    <w:p w:rsidR="00F20E02" w:rsidRPr="002D3263" w:rsidP="00BC5A99" w14:paraId="025B39D1" w14:textId="13080FDF">
      <w:pPr>
        <w:pStyle w:val="Body"/>
      </w:pPr>
      <w:r w:rsidRPr="002D3263">
        <w:t xml:space="preserve">The benefits of the </w:t>
      </w:r>
      <w:r w:rsidRPr="002D3263" w:rsidR="00755EC7">
        <w:t>final</w:t>
      </w:r>
      <w:r w:rsidRPr="002D3263">
        <w:t xml:space="preserve"> rule primarily relate to improved equity and fairness to entities that are displaced </w:t>
      </w:r>
      <w:r w:rsidRPr="002D3263" w:rsidR="006A464C">
        <w:t xml:space="preserve">from their properties or </w:t>
      </w:r>
      <w:r w:rsidRPr="002D3263" w:rsidR="00740A48">
        <w:t xml:space="preserve">that </w:t>
      </w:r>
      <w:r w:rsidRPr="002D3263" w:rsidR="006A464C">
        <w:t xml:space="preserve">move </w:t>
      </w:r>
      <w:r w:rsidRPr="002D3263" w:rsidR="006A464C">
        <w:t>as a result of</w:t>
      </w:r>
      <w:r w:rsidRPr="002D3263" w:rsidR="006A464C">
        <w:t xml:space="preserve"> projects receiving </w:t>
      </w:r>
      <w:r w:rsidRPr="002D3263" w:rsidR="00111308">
        <w:t>Federal</w:t>
      </w:r>
      <w:r w:rsidRPr="002D3263" w:rsidR="006A464C">
        <w:t xml:space="preserve"> funds</w:t>
      </w:r>
      <w:r w:rsidRPr="002D3263" w:rsidR="00D337D5">
        <w:t xml:space="preserve">. </w:t>
      </w:r>
      <w:r w:rsidR="0059129A">
        <w:t xml:space="preserve"> </w:t>
      </w:r>
      <w:r w:rsidRPr="002D3263" w:rsidR="009727DB">
        <w:t>For example</w:t>
      </w:r>
      <w:r w:rsidRPr="002D3263" w:rsidR="00D337D5">
        <w:t xml:space="preserve">, the </w:t>
      </w:r>
      <w:r w:rsidRPr="002D3263" w:rsidR="00755EC7">
        <w:t>final</w:t>
      </w:r>
      <w:r w:rsidRPr="002D3263" w:rsidR="00D337D5">
        <w:t xml:space="preserve"> rule raises the statutory max</w:t>
      </w:r>
      <w:r w:rsidRPr="002D3263" w:rsidR="00CC697B">
        <w:t xml:space="preserve">imums for payments to displaced entities </w:t>
      </w:r>
      <w:r w:rsidRPr="002D3263" w:rsidR="00D337D5">
        <w:t>to assist</w:t>
      </w:r>
      <w:r w:rsidRPr="002D3263" w:rsidR="00111308">
        <w:t xml:space="preserve"> with </w:t>
      </w:r>
      <w:r w:rsidRPr="002D3263" w:rsidR="00D337D5">
        <w:t>the re</w:t>
      </w:r>
      <w:r w:rsidR="00732A88">
        <w:t>-</w:t>
      </w:r>
      <w:r w:rsidRPr="002D3263" w:rsidR="00D337D5">
        <w:t>establishment of the business</w:t>
      </w:r>
      <w:r w:rsidRPr="002D3263" w:rsidR="00DC4AD6">
        <w:t>,</w:t>
      </w:r>
      <w:r w:rsidRPr="002D3263" w:rsidR="002F1F8B">
        <w:t xml:space="preserve"> farm</w:t>
      </w:r>
      <w:r w:rsidRPr="002D3263" w:rsidR="001B3424">
        <w:t>,</w:t>
      </w:r>
      <w:r w:rsidRPr="002D3263" w:rsidR="002F1F8B">
        <w:t xml:space="preserve"> or nonprofit organization</w:t>
      </w:r>
      <w:r w:rsidRPr="002D3263" w:rsidR="00D337D5">
        <w:t xml:space="preserve">. </w:t>
      </w:r>
      <w:r w:rsidR="0059129A">
        <w:t xml:space="preserve"> </w:t>
      </w:r>
      <w:r w:rsidRPr="002D3263" w:rsidR="00D337D5">
        <w:t>T</w:t>
      </w:r>
      <w:r w:rsidRPr="002D3263" w:rsidR="006F205F">
        <w:t xml:space="preserve">here is strong evidence that </w:t>
      </w:r>
      <w:r w:rsidRPr="002D3263" w:rsidR="002F1F8B">
        <w:t xml:space="preserve">entities </w:t>
      </w:r>
      <w:r w:rsidRPr="002D3263" w:rsidR="00D337D5">
        <w:t>experience re</w:t>
      </w:r>
      <w:r w:rsidR="00732A88">
        <w:t>-</w:t>
      </w:r>
      <w:r w:rsidRPr="002D3263" w:rsidR="00D337D5">
        <w:t xml:space="preserve">establishment costs well above the current maximum amount. </w:t>
      </w:r>
      <w:r w:rsidR="0059129A">
        <w:t xml:space="preserve"> </w:t>
      </w:r>
      <w:r w:rsidRPr="002D3263" w:rsidR="00D337D5">
        <w:t xml:space="preserve">Raising the maximum payment levels </w:t>
      </w:r>
      <w:r w:rsidRPr="002D3263" w:rsidR="003768A7">
        <w:t>would</w:t>
      </w:r>
      <w:r w:rsidRPr="002D3263" w:rsidR="00D337D5">
        <w:t xml:space="preserve"> compensate those</w:t>
      </w:r>
      <w:r w:rsidRPr="002D3263" w:rsidR="002F1F8B">
        <w:t xml:space="preserve"> </w:t>
      </w:r>
      <w:r w:rsidRPr="002D3263" w:rsidR="00624DA8">
        <w:t>entities more</w:t>
      </w:r>
      <w:r w:rsidRPr="002D3263" w:rsidR="00D337D5">
        <w:t xml:space="preserve"> fairly and equitabl</w:t>
      </w:r>
      <w:r w:rsidRPr="002D3263" w:rsidR="002D48A5">
        <w:t>y</w:t>
      </w:r>
      <w:r w:rsidRPr="002D3263" w:rsidR="00D337D5">
        <w:t xml:space="preserve"> for the negative impacts they experience </w:t>
      </w:r>
      <w:r w:rsidRPr="002D3263" w:rsidR="00D337D5">
        <w:t>as a result of</w:t>
      </w:r>
      <w:r w:rsidRPr="002D3263" w:rsidR="00D337D5">
        <w:t xml:space="preserve"> a </w:t>
      </w:r>
      <w:r w:rsidRPr="002D3263" w:rsidR="00111308">
        <w:t>Federal</w:t>
      </w:r>
      <w:r w:rsidRPr="002D3263" w:rsidR="00D337D5">
        <w:t xml:space="preserve"> or </w:t>
      </w:r>
      <w:r w:rsidRPr="002D3263" w:rsidR="00297759">
        <w:t>f</w:t>
      </w:r>
      <w:r w:rsidRPr="002D3263" w:rsidR="00111308">
        <w:t>ederal</w:t>
      </w:r>
      <w:r w:rsidRPr="002D3263" w:rsidR="00D337D5">
        <w:t>ly</w:t>
      </w:r>
      <w:r w:rsidRPr="002D3263" w:rsidR="002F6403">
        <w:t xml:space="preserve"> </w:t>
      </w:r>
      <w:r w:rsidRPr="002D3263" w:rsidR="00D337D5">
        <w:t>assi</w:t>
      </w:r>
      <w:r w:rsidRPr="002D3263">
        <w:t>s</w:t>
      </w:r>
      <w:r w:rsidRPr="002D3263" w:rsidR="00D337D5">
        <w:t>ted project</w:t>
      </w:r>
      <w:r w:rsidRPr="002D3263" w:rsidR="00AC30F3">
        <w:t xml:space="preserve">. </w:t>
      </w:r>
      <w:r w:rsidR="0059129A">
        <w:t xml:space="preserve"> </w:t>
      </w:r>
      <w:r w:rsidRPr="002D3263" w:rsidR="00D337D5">
        <w:t>However, the</w:t>
      </w:r>
      <w:r w:rsidRPr="002D3263">
        <w:t xml:space="preserve"> fairness and equity benefits </w:t>
      </w:r>
      <w:r w:rsidRPr="002D3263" w:rsidR="00D337D5">
        <w:t xml:space="preserve">of the </w:t>
      </w:r>
      <w:r w:rsidRPr="002D3263" w:rsidR="00755EC7">
        <w:t>final</w:t>
      </w:r>
      <w:r w:rsidRPr="002D3263" w:rsidR="00D337D5">
        <w:t xml:space="preserve"> rule </w:t>
      </w:r>
      <w:r w:rsidRPr="002D3263">
        <w:t xml:space="preserve">cannot be quantified or monetized. </w:t>
      </w:r>
      <w:r w:rsidR="0059129A">
        <w:t xml:space="preserve"> </w:t>
      </w:r>
      <w:r w:rsidRPr="002D3263" w:rsidR="00AC30F3">
        <w:t xml:space="preserve">The higher level of payments may also contribute to more </w:t>
      </w:r>
      <w:r w:rsidRPr="002D3263" w:rsidR="002F1F8B">
        <w:t xml:space="preserve">entities </w:t>
      </w:r>
      <w:r w:rsidRPr="002D3263" w:rsidR="00AC30F3">
        <w:t>being able to successfully re</w:t>
      </w:r>
      <w:r w:rsidR="00732A88">
        <w:t>-</w:t>
      </w:r>
      <w:r w:rsidRPr="002D3263" w:rsidR="00AC30F3">
        <w:t>establish after displacement.</w:t>
      </w:r>
    </w:p>
    <w:p w:rsidR="00B128E1" w:rsidRPr="002D3263" w:rsidP="00BC5A99" w14:paraId="00C5B6E2" w14:textId="0FE65CC1">
      <w:pPr>
        <w:pStyle w:val="Body"/>
      </w:pPr>
      <w:r w:rsidRPr="002D3263">
        <w:t>T</w:t>
      </w:r>
      <w:r w:rsidRPr="002D3263">
        <w:t xml:space="preserve">he </w:t>
      </w:r>
      <w:r w:rsidRPr="002D3263" w:rsidR="00755EC7">
        <w:t>final</w:t>
      </w:r>
      <w:r w:rsidRPr="002D3263">
        <w:t xml:space="preserve"> rule contains changes</w:t>
      </w:r>
      <w:r w:rsidRPr="002D3263">
        <w:t>,</w:t>
      </w:r>
      <w:r w:rsidRPr="002D3263">
        <w:t xml:space="preserve"> such as </w:t>
      </w:r>
      <w:r w:rsidRPr="002D3263">
        <w:t>a</w:t>
      </w:r>
      <w:r w:rsidRPr="002D3263">
        <w:t xml:space="preserve"> requirement for annual reporting</w:t>
      </w:r>
      <w:r w:rsidRPr="002D3263">
        <w:t>,</w:t>
      </w:r>
      <w:r w:rsidRPr="002D3263">
        <w:t xml:space="preserve"> that can be e</w:t>
      </w:r>
      <w:r w:rsidRPr="002D3263">
        <w:t>xpected to improve transparency, and</w:t>
      </w:r>
      <w:r w:rsidRPr="002D3263" w:rsidR="003C6646">
        <w:t>,</w:t>
      </w:r>
      <w:r w:rsidRPr="002D3263">
        <w:t xml:space="preserve"> therefore</w:t>
      </w:r>
      <w:r w:rsidRPr="002D3263" w:rsidR="003C6646">
        <w:t>,</w:t>
      </w:r>
      <w:r w:rsidRPr="002D3263">
        <w:t xml:space="preserve"> oversight of the program. </w:t>
      </w:r>
      <w:r w:rsidR="0059129A">
        <w:t xml:space="preserve"> </w:t>
      </w:r>
      <w:r w:rsidRPr="002D3263">
        <w:t xml:space="preserve">Again, that benefit </w:t>
      </w:r>
      <w:r w:rsidR="00CC0775">
        <w:t xml:space="preserve"> is </w:t>
      </w:r>
      <w:r w:rsidRPr="002D3263">
        <w:t>not</w:t>
      </w:r>
      <w:r w:rsidRPr="002D3263">
        <w:t xml:space="preserve"> quantified </w:t>
      </w:r>
      <w:r w:rsidRPr="002D3263" w:rsidR="00F94E40">
        <w:t>o</w:t>
      </w:r>
      <w:r w:rsidRPr="002D3263">
        <w:t xml:space="preserve">r monetized. </w:t>
      </w:r>
    </w:p>
    <w:p w:rsidR="00B128E1" w:rsidRPr="002D3263" w:rsidP="00BC5A99" w14:paraId="429D98E2" w14:textId="3C6BDF0D">
      <w:pPr>
        <w:pStyle w:val="Body"/>
      </w:pPr>
      <w:r w:rsidRPr="002D3263">
        <w:t>The table below offers</w:t>
      </w:r>
      <w:r w:rsidRPr="002D3263">
        <w:t xml:space="preserve"> a summary of the costs and benefits of the </w:t>
      </w:r>
      <w:r w:rsidRPr="002D3263" w:rsidR="00755EC7">
        <w:t>final</w:t>
      </w:r>
      <w:r w:rsidRPr="002D3263">
        <w:t xml:space="preserve"> rule over the 10</w:t>
      </w:r>
      <w:r w:rsidRPr="002D3263" w:rsidR="00A3043D">
        <w:t>-</w:t>
      </w:r>
      <w:r w:rsidRPr="002D3263">
        <w:t>year analysis period.</w:t>
      </w:r>
      <w:r w:rsidR="0059129A">
        <w:t xml:space="preserve"> </w:t>
      </w:r>
      <w:r w:rsidRPr="002D3263">
        <w:t xml:space="preserve"> </w:t>
      </w:r>
      <w:r w:rsidRPr="002D3263">
        <w:t xml:space="preserve">Given that the benefits of the rule related to equity and fairness have not been quantified, it would be misleading to report a calculation of net benefits for this </w:t>
      </w:r>
      <w:r w:rsidRPr="002D3263" w:rsidR="00755EC7">
        <w:t>final</w:t>
      </w:r>
      <w:r w:rsidRPr="002D3263">
        <w:t xml:space="preserve"> rule.</w:t>
      </w:r>
      <w:r w:rsidRPr="002D3263" w:rsidR="0059407B">
        <w:t xml:space="preserve"> </w:t>
      </w:r>
      <w:r w:rsidR="0059129A">
        <w:t xml:space="preserve"> </w:t>
      </w:r>
      <w:r w:rsidRPr="002D3263" w:rsidR="0059407B">
        <w:t>Nonetheless, the benefits related to equity and fairness are</w:t>
      </w:r>
      <w:r w:rsidRPr="002D3263" w:rsidR="006D65A3">
        <w:t xml:space="preserve"> believed to be</w:t>
      </w:r>
      <w:r w:rsidRPr="002D3263" w:rsidR="0059407B">
        <w:t xml:space="preserve"> </w:t>
      </w:r>
      <w:r w:rsidRPr="002D3263" w:rsidR="003E6C4F">
        <w:t>sufficient to justify the</w:t>
      </w:r>
      <w:r w:rsidRPr="002D3263" w:rsidR="006D65A3">
        <w:t xml:space="preserve"> </w:t>
      </w:r>
      <w:r w:rsidRPr="002D3263" w:rsidR="003E6C4F">
        <w:t xml:space="preserve">cost of the </w:t>
      </w:r>
      <w:r w:rsidRPr="002D3263" w:rsidR="00755EC7">
        <w:t>final</w:t>
      </w:r>
      <w:r w:rsidRPr="002D3263" w:rsidR="00AE46B8">
        <w:t xml:space="preserve"> </w:t>
      </w:r>
      <w:r w:rsidRPr="002D3263" w:rsidR="003E6C4F">
        <w:t>rule.</w:t>
      </w:r>
      <w:r w:rsidRPr="002D3263" w:rsidR="004410C8">
        <w:t xml:space="preserve"> </w:t>
      </w:r>
    </w:p>
    <w:p w:rsidR="00D661D5" w:rsidRPr="002D3263" w:rsidP="00D6005F" w14:paraId="766DA312" w14:textId="3D9C85E2">
      <w:pPr>
        <w:pStyle w:val="Caption"/>
      </w:pPr>
      <w:r w:rsidRPr="002D3263">
        <w:t xml:space="preserve">Summary of Costs and Benefits for Analysis Period </w:t>
      </w:r>
      <w:r w:rsidRPr="002D3263" w:rsidR="009601EF">
        <w:t>202</w:t>
      </w:r>
      <w:r w:rsidRPr="002D3263" w:rsidR="009E321B">
        <w:t>3</w:t>
      </w:r>
      <w:r w:rsidRPr="002D3263" w:rsidR="009601EF">
        <w:t>-203</w:t>
      </w:r>
      <w:r w:rsidRPr="002D3263" w:rsidR="009E321B">
        <w:t>2</w:t>
      </w:r>
    </w:p>
    <w:tbl>
      <w:tblPr>
        <w:tblW w:w="9630" w:type="dxa"/>
        <w:tblInd w:w="-180" w:type="dxa"/>
        <w:tblLayout w:type="fixed"/>
        <w:tblLook w:val="04A0"/>
      </w:tblPr>
      <w:tblGrid>
        <w:gridCol w:w="3150"/>
        <w:gridCol w:w="1620"/>
        <w:gridCol w:w="1620"/>
        <w:gridCol w:w="1620"/>
        <w:gridCol w:w="1620"/>
      </w:tblGrid>
      <w:tr w14:paraId="53788013" w14:textId="77777777" w:rsidTr="00BC5A99">
        <w:tblPrEx>
          <w:tblW w:w="9630" w:type="dxa"/>
          <w:tblInd w:w="-180" w:type="dxa"/>
          <w:tblLayout w:type="fixed"/>
          <w:tblLook w:val="04A0"/>
        </w:tblPrEx>
        <w:trPr>
          <w:trHeight w:val="80"/>
        </w:trPr>
        <w:tc>
          <w:tcPr>
            <w:tcW w:w="3150" w:type="dxa"/>
            <w:tcBorders>
              <w:bottom w:val="single" w:sz="4" w:space="0" w:color="auto"/>
              <w:right w:val="nil"/>
            </w:tcBorders>
            <w:shd w:val="clear" w:color="auto" w:fill="auto"/>
            <w:noWrap/>
            <w:vAlign w:val="bottom"/>
            <w:hideMark/>
          </w:tcPr>
          <w:p w:rsidR="00D661D5" w:rsidRPr="002D3263" w:rsidP="00EF4CBB" w14:paraId="6715CDDE" w14:textId="77777777">
            <w:pPr>
              <w:keepNext/>
              <w:widowControl/>
              <w:spacing w:line="240" w:lineRule="auto"/>
              <w:jc w:val="center"/>
              <w:rPr>
                <w:rFonts w:eastAsia="Times New Roman" w:cs="Times New Roman"/>
                <w:b/>
                <w:bCs/>
                <w:color w:val="000000"/>
              </w:rPr>
            </w:pPr>
            <w:r w:rsidRPr="002D3263">
              <w:rPr>
                <w:rFonts w:ascii="Calibri" w:hAnsi="Calibri"/>
                <w:b/>
                <w:bCs/>
                <w:color w:val="000000"/>
              </w:rPr>
              <w:t>Item</w:t>
            </w:r>
          </w:p>
        </w:tc>
        <w:tc>
          <w:tcPr>
            <w:tcW w:w="1620" w:type="dxa"/>
            <w:tcBorders>
              <w:left w:val="nil"/>
              <w:bottom w:val="single" w:sz="4" w:space="0" w:color="auto"/>
              <w:right w:val="nil"/>
            </w:tcBorders>
            <w:shd w:val="clear" w:color="auto" w:fill="auto"/>
            <w:noWrap/>
            <w:vAlign w:val="bottom"/>
            <w:hideMark/>
          </w:tcPr>
          <w:p w:rsidR="00D661D5" w:rsidRPr="002D3263" w:rsidP="00EF4CBB" w14:paraId="4A879FE1" w14:textId="77777777">
            <w:pPr>
              <w:keepNext/>
              <w:widowControl/>
              <w:spacing w:line="240" w:lineRule="auto"/>
              <w:jc w:val="center"/>
              <w:rPr>
                <w:rFonts w:eastAsia="Times New Roman" w:cs="Times New Roman"/>
                <w:b/>
                <w:bCs/>
                <w:color w:val="000000"/>
              </w:rPr>
            </w:pPr>
            <w:r w:rsidRPr="002D3263">
              <w:rPr>
                <w:rFonts w:ascii="Calibri" w:hAnsi="Calibri"/>
                <w:b/>
                <w:bCs/>
                <w:color w:val="000000"/>
              </w:rPr>
              <w:t>Discounted 7%</w:t>
            </w:r>
          </w:p>
        </w:tc>
        <w:tc>
          <w:tcPr>
            <w:tcW w:w="1620" w:type="dxa"/>
            <w:tcBorders>
              <w:left w:val="nil"/>
              <w:bottom w:val="single" w:sz="4" w:space="0" w:color="auto"/>
              <w:right w:val="nil"/>
            </w:tcBorders>
            <w:shd w:val="clear" w:color="auto" w:fill="auto"/>
            <w:noWrap/>
            <w:vAlign w:val="bottom"/>
            <w:hideMark/>
          </w:tcPr>
          <w:p w:rsidR="00D661D5" w:rsidRPr="002D3263" w:rsidP="00EF4CBB" w14:paraId="500D5999" w14:textId="77777777">
            <w:pPr>
              <w:keepNext/>
              <w:widowControl/>
              <w:spacing w:line="240" w:lineRule="auto"/>
              <w:jc w:val="center"/>
              <w:rPr>
                <w:rFonts w:eastAsia="Times New Roman" w:cs="Times New Roman"/>
                <w:b/>
                <w:bCs/>
                <w:color w:val="000000"/>
              </w:rPr>
            </w:pPr>
            <w:r w:rsidRPr="002D3263">
              <w:rPr>
                <w:rFonts w:ascii="Calibri" w:hAnsi="Calibri"/>
                <w:b/>
                <w:bCs/>
                <w:color w:val="000000"/>
              </w:rPr>
              <w:t>Discounted 3%</w:t>
            </w:r>
          </w:p>
        </w:tc>
        <w:tc>
          <w:tcPr>
            <w:tcW w:w="1620" w:type="dxa"/>
            <w:tcBorders>
              <w:left w:val="nil"/>
              <w:bottom w:val="single" w:sz="4" w:space="0" w:color="auto"/>
            </w:tcBorders>
            <w:shd w:val="clear" w:color="auto" w:fill="auto"/>
            <w:noWrap/>
            <w:vAlign w:val="bottom"/>
            <w:hideMark/>
          </w:tcPr>
          <w:p w:rsidR="00D661D5" w:rsidRPr="002D3263" w:rsidP="00EF4CBB" w14:paraId="2B331AC6" w14:textId="77777777">
            <w:pPr>
              <w:keepNext/>
              <w:widowControl/>
              <w:spacing w:line="240" w:lineRule="auto"/>
              <w:jc w:val="center"/>
              <w:rPr>
                <w:rFonts w:eastAsia="Times New Roman" w:cs="Times New Roman"/>
                <w:b/>
                <w:bCs/>
                <w:color w:val="000000"/>
              </w:rPr>
            </w:pPr>
            <w:r w:rsidRPr="002D3263">
              <w:rPr>
                <w:rFonts w:ascii="Calibri" w:hAnsi="Calibri"/>
                <w:b/>
                <w:bCs/>
                <w:color w:val="000000"/>
              </w:rPr>
              <w:t>Annualized 7%</w:t>
            </w:r>
          </w:p>
        </w:tc>
        <w:tc>
          <w:tcPr>
            <w:tcW w:w="1620" w:type="dxa"/>
            <w:tcBorders>
              <w:left w:val="nil"/>
              <w:bottom w:val="single" w:sz="4" w:space="0" w:color="auto"/>
            </w:tcBorders>
            <w:vAlign w:val="bottom"/>
          </w:tcPr>
          <w:p w:rsidR="00D661D5" w:rsidRPr="002D3263" w:rsidP="00EF4CBB" w14:paraId="6296EFC0" w14:textId="77777777">
            <w:pPr>
              <w:keepNext/>
              <w:widowControl/>
              <w:spacing w:line="240" w:lineRule="auto"/>
              <w:jc w:val="center"/>
              <w:rPr>
                <w:rFonts w:eastAsia="Times New Roman" w:cs="Times New Roman"/>
                <w:b/>
                <w:bCs/>
                <w:color w:val="000000"/>
              </w:rPr>
            </w:pPr>
            <w:r w:rsidRPr="002D3263">
              <w:rPr>
                <w:rFonts w:ascii="Calibri" w:hAnsi="Calibri"/>
                <w:b/>
                <w:bCs/>
                <w:color w:val="000000"/>
              </w:rPr>
              <w:t>Annualized 3%</w:t>
            </w:r>
          </w:p>
        </w:tc>
      </w:tr>
      <w:tr w14:paraId="16BB04CC" w14:textId="77777777" w:rsidTr="00BC5A99">
        <w:tblPrEx>
          <w:tblW w:w="9630" w:type="dxa"/>
          <w:tblInd w:w="-180" w:type="dxa"/>
          <w:tblLayout w:type="fixed"/>
          <w:tblLook w:val="04A0"/>
        </w:tblPrEx>
        <w:trPr>
          <w:trHeight w:val="174"/>
        </w:trPr>
        <w:tc>
          <w:tcPr>
            <w:tcW w:w="3150" w:type="dxa"/>
            <w:tcBorders>
              <w:top w:val="nil"/>
              <w:bottom w:val="nil"/>
              <w:right w:val="nil"/>
            </w:tcBorders>
            <w:shd w:val="clear" w:color="auto" w:fill="auto"/>
            <w:noWrap/>
            <w:hideMark/>
          </w:tcPr>
          <w:p w:rsidR="00D661D5" w:rsidRPr="002D3263" w:rsidP="00634AAC" w14:paraId="50D6453F" w14:textId="77777777">
            <w:pPr>
              <w:keepNext/>
              <w:widowControl/>
              <w:spacing w:line="240" w:lineRule="auto"/>
              <w:rPr>
                <w:rFonts w:eastAsia="Times New Roman" w:cs="Times New Roman"/>
                <w:b/>
                <w:bCs/>
                <w:color w:val="000000"/>
              </w:rPr>
            </w:pPr>
            <w:r w:rsidRPr="002D3263">
              <w:rPr>
                <w:rFonts w:ascii="Calibri" w:hAnsi="Calibri"/>
                <w:b/>
                <w:bCs/>
                <w:color w:val="000000"/>
              </w:rPr>
              <w:t>Costs</w:t>
            </w:r>
          </w:p>
        </w:tc>
        <w:tc>
          <w:tcPr>
            <w:tcW w:w="1620" w:type="dxa"/>
            <w:tcBorders>
              <w:top w:val="nil"/>
              <w:left w:val="nil"/>
              <w:bottom w:val="nil"/>
              <w:right w:val="nil"/>
            </w:tcBorders>
            <w:shd w:val="clear" w:color="auto" w:fill="auto"/>
            <w:noWrap/>
            <w:vAlign w:val="bottom"/>
            <w:hideMark/>
          </w:tcPr>
          <w:p w:rsidR="00D661D5" w:rsidRPr="002D3263" w:rsidP="00D2312D" w14:paraId="472B74C0" w14:textId="77777777">
            <w:pPr>
              <w:keepNext/>
              <w:widowControl/>
              <w:spacing w:line="240" w:lineRule="auto"/>
              <w:rPr>
                <w:rFonts w:eastAsia="Times New Roman" w:cs="Times New Roman"/>
                <w:color w:val="000000"/>
              </w:rPr>
            </w:pPr>
            <w:r w:rsidRPr="002D3263">
              <w:rPr>
                <w:rFonts w:ascii="Calibri" w:hAnsi="Calibri"/>
                <w:color w:val="000000"/>
              </w:rPr>
              <w:t> </w:t>
            </w:r>
          </w:p>
        </w:tc>
        <w:tc>
          <w:tcPr>
            <w:tcW w:w="1620" w:type="dxa"/>
            <w:tcBorders>
              <w:top w:val="nil"/>
              <w:left w:val="nil"/>
              <w:bottom w:val="nil"/>
              <w:right w:val="nil"/>
            </w:tcBorders>
            <w:shd w:val="clear" w:color="auto" w:fill="auto"/>
            <w:noWrap/>
            <w:vAlign w:val="bottom"/>
            <w:hideMark/>
          </w:tcPr>
          <w:p w:rsidR="00D661D5" w:rsidRPr="002D3263" w:rsidP="00EF4CBB" w14:paraId="692AD50C" w14:textId="77777777">
            <w:pPr>
              <w:keepNext/>
              <w:widowControl/>
              <w:spacing w:line="240" w:lineRule="auto"/>
              <w:rPr>
                <w:rFonts w:eastAsia="Times New Roman" w:cs="Times New Roman"/>
                <w:color w:val="000000"/>
              </w:rPr>
            </w:pPr>
            <w:r w:rsidRPr="002D3263">
              <w:rPr>
                <w:rFonts w:ascii="Calibri" w:hAnsi="Calibri"/>
                <w:color w:val="000000"/>
              </w:rPr>
              <w:t> </w:t>
            </w:r>
          </w:p>
        </w:tc>
        <w:tc>
          <w:tcPr>
            <w:tcW w:w="1620" w:type="dxa"/>
            <w:tcBorders>
              <w:top w:val="nil"/>
              <w:left w:val="nil"/>
              <w:bottom w:val="nil"/>
            </w:tcBorders>
            <w:shd w:val="clear" w:color="auto" w:fill="auto"/>
            <w:noWrap/>
            <w:vAlign w:val="bottom"/>
            <w:hideMark/>
          </w:tcPr>
          <w:p w:rsidR="00D661D5" w:rsidRPr="002D3263" w:rsidP="00EF4CBB" w14:paraId="2B3C0B65" w14:textId="77777777">
            <w:pPr>
              <w:keepNext/>
              <w:widowControl/>
              <w:spacing w:line="240" w:lineRule="auto"/>
              <w:rPr>
                <w:rFonts w:eastAsia="Times New Roman" w:cs="Times New Roman"/>
                <w:color w:val="000000"/>
              </w:rPr>
            </w:pPr>
          </w:p>
        </w:tc>
        <w:tc>
          <w:tcPr>
            <w:tcW w:w="1620" w:type="dxa"/>
            <w:tcBorders>
              <w:top w:val="nil"/>
              <w:left w:val="nil"/>
              <w:bottom w:val="nil"/>
            </w:tcBorders>
            <w:vAlign w:val="bottom"/>
          </w:tcPr>
          <w:p w:rsidR="00D661D5" w:rsidRPr="002D3263" w:rsidP="00EF4CBB" w14:paraId="398DF9F5" w14:textId="77777777">
            <w:pPr>
              <w:keepNext/>
              <w:widowControl/>
              <w:spacing w:line="240" w:lineRule="auto"/>
              <w:rPr>
                <w:rFonts w:eastAsia="Times New Roman" w:cs="Times New Roman"/>
                <w:color w:val="000000"/>
              </w:rPr>
            </w:pPr>
            <w:r w:rsidRPr="002D3263">
              <w:rPr>
                <w:rFonts w:ascii="Calibri" w:hAnsi="Calibri"/>
                <w:color w:val="000000"/>
              </w:rPr>
              <w:t> </w:t>
            </w:r>
          </w:p>
        </w:tc>
      </w:tr>
      <w:tr w14:paraId="46EB982D" w14:textId="77777777" w:rsidTr="00BC5A99">
        <w:tblPrEx>
          <w:tblW w:w="9630" w:type="dxa"/>
          <w:tblInd w:w="-180" w:type="dxa"/>
          <w:tblLayout w:type="fixed"/>
          <w:tblLook w:val="04A0"/>
        </w:tblPrEx>
        <w:trPr>
          <w:trHeight w:val="181"/>
        </w:trPr>
        <w:tc>
          <w:tcPr>
            <w:tcW w:w="3150" w:type="dxa"/>
            <w:tcBorders>
              <w:top w:val="nil"/>
              <w:bottom w:val="nil"/>
              <w:right w:val="nil"/>
            </w:tcBorders>
            <w:shd w:val="clear" w:color="auto" w:fill="auto"/>
            <w:noWrap/>
            <w:hideMark/>
          </w:tcPr>
          <w:p w:rsidR="009E321B" w:rsidRPr="002D3263" w:rsidP="00634AAC" w14:paraId="1FB3C2F4" w14:textId="388B8630">
            <w:pPr>
              <w:keepNext/>
              <w:widowControl/>
              <w:spacing w:line="240" w:lineRule="auto"/>
              <w:ind w:left="288"/>
              <w:rPr>
                <w:rFonts w:eastAsia="Times New Roman" w:cs="Times New Roman"/>
                <w:color w:val="000000"/>
              </w:rPr>
            </w:pPr>
            <w:r w:rsidRPr="002D3263">
              <w:rPr>
                <w:rFonts w:ascii="Calibri" w:hAnsi="Calibri" w:cs="Calibri"/>
                <w:color w:val="000000"/>
              </w:rPr>
              <w:t>Reverse Mortgages</w:t>
            </w:r>
          </w:p>
        </w:tc>
        <w:tc>
          <w:tcPr>
            <w:tcW w:w="1620" w:type="dxa"/>
            <w:tcBorders>
              <w:top w:val="nil"/>
              <w:left w:val="nil"/>
              <w:bottom w:val="nil"/>
              <w:right w:val="nil"/>
            </w:tcBorders>
            <w:shd w:val="clear" w:color="auto" w:fill="auto"/>
            <w:noWrap/>
            <w:vAlign w:val="center"/>
          </w:tcPr>
          <w:p w:rsidR="009E321B" w:rsidRPr="002D3263" w:rsidP="00F9025C" w14:paraId="4E4AD0FF" w14:textId="38C9171A">
            <w:pPr>
              <w:widowControl/>
              <w:jc w:val="right"/>
              <w:rPr>
                <w:rFonts w:ascii="Calibri" w:hAnsi="Calibri"/>
                <w:color w:val="000000"/>
              </w:rPr>
            </w:pPr>
            <w:r w:rsidRPr="002D3263">
              <w:rPr>
                <w:rFonts w:ascii="Calibri" w:hAnsi="Calibri" w:cs="Calibri"/>
                <w:color w:val="000000"/>
              </w:rPr>
              <w:t xml:space="preserve">$29,046 </w:t>
            </w:r>
          </w:p>
        </w:tc>
        <w:tc>
          <w:tcPr>
            <w:tcW w:w="1620" w:type="dxa"/>
            <w:tcBorders>
              <w:top w:val="nil"/>
              <w:left w:val="nil"/>
              <w:bottom w:val="nil"/>
              <w:right w:val="nil"/>
            </w:tcBorders>
            <w:shd w:val="clear" w:color="auto" w:fill="auto"/>
            <w:noWrap/>
            <w:vAlign w:val="center"/>
          </w:tcPr>
          <w:p w:rsidR="009E321B" w:rsidRPr="002D3263" w:rsidP="00F9025C" w14:paraId="2740B5FB" w14:textId="15881EC8">
            <w:pPr>
              <w:widowControl/>
              <w:jc w:val="right"/>
              <w:rPr>
                <w:rFonts w:ascii="Calibri" w:hAnsi="Calibri"/>
                <w:color w:val="000000"/>
              </w:rPr>
            </w:pPr>
            <w:r w:rsidRPr="002D3263">
              <w:rPr>
                <w:rFonts w:ascii="Calibri" w:hAnsi="Calibri" w:cs="Calibri"/>
                <w:color w:val="000000"/>
              </w:rPr>
              <w:t xml:space="preserve">$36,647 </w:t>
            </w:r>
          </w:p>
        </w:tc>
        <w:tc>
          <w:tcPr>
            <w:tcW w:w="1620" w:type="dxa"/>
            <w:tcBorders>
              <w:top w:val="nil"/>
              <w:left w:val="nil"/>
              <w:bottom w:val="nil"/>
            </w:tcBorders>
            <w:shd w:val="clear" w:color="auto" w:fill="auto"/>
            <w:noWrap/>
            <w:vAlign w:val="center"/>
          </w:tcPr>
          <w:p w:rsidR="009E321B" w:rsidRPr="002D3263" w:rsidP="00F9025C" w14:paraId="789234DF" w14:textId="2211AC6F">
            <w:pPr>
              <w:widowControl/>
              <w:jc w:val="right"/>
              <w:rPr>
                <w:rFonts w:ascii="Calibri" w:hAnsi="Calibri"/>
                <w:color w:val="000000"/>
              </w:rPr>
            </w:pPr>
            <w:r w:rsidRPr="002D3263">
              <w:rPr>
                <w:rFonts w:ascii="Calibri" w:hAnsi="Calibri" w:cs="Calibri"/>
                <w:color w:val="000000"/>
              </w:rPr>
              <w:t xml:space="preserve">$4,136 </w:t>
            </w:r>
          </w:p>
        </w:tc>
        <w:tc>
          <w:tcPr>
            <w:tcW w:w="1620" w:type="dxa"/>
            <w:tcBorders>
              <w:top w:val="nil"/>
              <w:left w:val="nil"/>
              <w:bottom w:val="nil"/>
            </w:tcBorders>
            <w:vAlign w:val="center"/>
          </w:tcPr>
          <w:p w:rsidR="009E321B" w:rsidRPr="002D3263" w:rsidP="00F9025C" w14:paraId="1C035549" w14:textId="1B10E6A2">
            <w:pPr>
              <w:widowControl/>
              <w:jc w:val="right"/>
              <w:rPr>
                <w:rFonts w:ascii="Calibri" w:hAnsi="Calibri"/>
                <w:color w:val="000000"/>
              </w:rPr>
            </w:pPr>
            <w:r w:rsidRPr="002D3263">
              <w:rPr>
                <w:rFonts w:ascii="Calibri" w:hAnsi="Calibri" w:cs="Calibri"/>
                <w:color w:val="000000"/>
              </w:rPr>
              <w:t xml:space="preserve">$4,296 </w:t>
            </w:r>
          </w:p>
        </w:tc>
      </w:tr>
      <w:tr w14:paraId="561D5CD6" w14:textId="77777777" w:rsidTr="00BC5A99">
        <w:tblPrEx>
          <w:tblW w:w="9630" w:type="dxa"/>
          <w:tblInd w:w="-180" w:type="dxa"/>
          <w:tblLayout w:type="fixed"/>
          <w:tblLook w:val="04A0"/>
        </w:tblPrEx>
        <w:trPr>
          <w:trHeight w:val="181"/>
        </w:trPr>
        <w:tc>
          <w:tcPr>
            <w:tcW w:w="3150" w:type="dxa"/>
            <w:tcBorders>
              <w:top w:val="nil"/>
              <w:right w:val="nil"/>
            </w:tcBorders>
            <w:shd w:val="clear" w:color="auto" w:fill="auto"/>
            <w:noWrap/>
            <w:hideMark/>
          </w:tcPr>
          <w:p w:rsidR="00F9025C" w:rsidRPr="002D3263" w:rsidP="00F9025C" w14:paraId="5739DB33" w14:textId="643121AF">
            <w:pPr>
              <w:keepNext/>
              <w:widowControl/>
              <w:spacing w:line="240" w:lineRule="auto"/>
              <w:ind w:left="288"/>
              <w:rPr>
                <w:rFonts w:eastAsia="Times New Roman" w:cs="Times New Roman"/>
                <w:color w:val="000000"/>
              </w:rPr>
            </w:pPr>
            <w:r w:rsidRPr="002D3263">
              <w:rPr>
                <w:rFonts w:ascii="Calibri" w:hAnsi="Calibri"/>
                <w:color w:val="000000"/>
              </w:rPr>
              <w:t>Revising Program Materials</w:t>
            </w:r>
          </w:p>
        </w:tc>
        <w:tc>
          <w:tcPr>
            <w:tcW w:w="1620" w:type="dxa"/>
            <w:tcBorders>
              <w:top w:val="nil"/>
              <w:left w:val="nil"/>
              <w:right w:val="nil"/>
            </w:tcBorders>
            <w:shd w:val="clear" w:color="auto" w:fill="auto"/>
            <w:noWrap/>
            <w:vAlign w:val="center"/>
          </w:tcPr>
          <w:p w:rsidR="00F9025C" w:rsidRPr="002D3263" w:rsidP="00F9025C" w14:paraId="619B2019" w14:textId="2ED68AC4">
            <w:pPr>
              <w:widowControl/>
              <w:jc w:val="right"/>
              <w:rPr>
                <w:rFonts w:ascii="Calibri" w:hAnsi="Calibri"/>
                <w:color w:val="000000"/>
              </w:rPr>
            </w:pPr>
            <w:r w:rsidRPr="002D3263">
              <w:rPr>
                <w:rFonts w:ascii="Calibri" w:hAnsi="Calibri" w:cs="Calibri"/>
                <w:color w:val="000000"/>
              </w:rPr>
              <w:t xml:space="preserve">$2,216,271 </w:t>
            </w:r>
          </w:p>
        </w:tc>
        <w:tc>
          <w:tcPr>
            <w:tcW w:w="1620" w:type="dxa"/>
            <w:tcBorders>
              <w:top w:val="nil"/>
              <w:left w:val="nil"/>
              <w:right w:val="nil"/>
            </w:tcBorders>
            <w:shd w:val="clear" w:color="auto" w:fill="auto"/>
            <w:noWrap/>
            <w:vAlign w:val="center"/>
          </w:tcPr>
          <w:p w:rsidR="00F9025C" w:rsidRPr="002D3263" w:rsidP="00F9025C" w14:paraId="172B407E" w14:textId="77964948">
            <w:pPr>
              <w:widowControl/>
              <w:jc w:val="right"/>
              <w:rPr>
                <w:rFonts w:ascii="Calibri" w:hAnsi="Calibri"/>
                <w:color w:val="000000"/>
              </w:rPr>
            </w:pPr>
            <w:r w:rsidRPr="002D3263">
              <w:rPr>
                <w:rFonts w:ascii="Calibri" w:hAnsi="Calibri" w:cs="Calibri"/>
                <w:color w:val="000000"/>
              </w:rPr>
              <w:t xml:space="preserve">$2,451,123 </w:t>
            </w:r>
          </w:p>
        </w:tc>
        <w:tc>
          <w:tcPr>
            <w:tcW w:w="1620" w:type="dxa"/>
            <w:tcBorders>
              <w:top w:val="nil"/>
              <w:left w:val="nil"/>
            </w:tcBorders>
            <w:shd w:val="clear" w:color="auto" w:fill="auto"/>
            <w:noWrap/>
            <w:vAlign w:val="center"/>
          </w:tcPr>
          <w:p w:rsidR="00F9025C" w:rsidRPr="002D3263" w:rsidP="00F9025C" w14:paraId="7155DA57" w14:textId="5B864551">
            <w:pPr>
              <w:widowControl/>
              <w:jc w:val="right"/>
              <w:rPr>
                <w:rFonts w:ascii="Calibri" w:hAnsi="Calibri"/>
                <w:color w:val="000000"/>
              </w:rPr>
            </w:pPr>
            <w:r w:rsidRPr="002D3263">
              <w:rPr>
                <w:rFonts w:ascii="Calibri" w:hAnsi="Calibri" w:cs="Calibri"/>
                <w:color w:val="000000"/>
              </w:rPr>
              <w:t xml:space="preserve">$315,547 </w:t>
            </w:r>
          </w:p>
        </w:tc>
        <w:tc>
          <w:tcPr>
            <w:tcW w:w="1620" w:type="dxa"/>
            <w:tcBorders>
              <w:top w:val="nil"/>
              <w:left w:val="nil"/>
            </w:tcBorders>
            <w:vAlign w:val="center"/>
          </w:tcPr>
          <w:p w:rsidR="00F9025C" w:rsidRPr="002D3263" w:rsidP="00F9025C" w14:paraId="05A64122" w14:textId="491E1F80">
            <w:pPr>
              <w:widowControl/>
              <w:jc w:val="right"/>
              <w:rPr>
                <w:rFonts w:ascii="Calibri" w:hAnsi="Calibri"/>
                <w:color w:val="000000"/>
              </w:rPr>
            </w:pPr>
            <w:r w:rsidRPr="002D3263">
              <w:rPr>
                <w:rFonts w:ascii="Calibri" w:hAnsi="Calibri" w:cs="Calibri"/>
                <w:color w:val="000000"/>
              </w:rPr>
              <w:t xml:space="preserve">$287,346 </w:t>
            </w:r>
          </w:p>
        </w:tc>
      </w:tr>
      <w:tr w14:paraId="730A6C3C" w14:textId="77777777" w:rsidTr="00BC5A99">
        <w:tblPrEx>
          <w:tblW w:w="9630" w:type="dxa"/>
          <w:tblInd w:w="-180" w:type="dxa"/>
          <w:tblLayout w:type="fixed"/>
          <w:tblLook w:val="04A0"/>
        </w:tblPrEx>
        <w:trPr>
          <w:trHeight w:val="196"/>
        </w:trPr>
        <w:tc>
          <w:tcPr>
            <w:tcW w:w="3150" w:type="dxa"/>
            <w:tcBorders>
              <w:top w:val="nil"/>
              <w:bottom w:val="single" w:sz="4" w:space="0" w:color="auto"/>
              <w:right w:val="nil"/>
            </w:tcBorders>
            <w:shd w:val="clear" w:color="auto" w:fill="auto"/>
            <w:noWrap/>
            <w:hideMark/>
          </w:tcPr>
          <w:p w:rsidR="009E321B" w:rsidRPr="002D3263" w:rsidP="00634AAC" w14:paraId="3F7F7361" w14:textId="4D884F43">
            <w:pPr>
              <w:keepNext/>
              <w:widowControl/>
              <w:spacing w:line="240" w:lineRule="auto"/>
              <w:ind w:left="288"/>
              <w:rPr>
                <w:rFonts w:eastAsia="Times New Roman" w:cs="Times New Roman"/>
                <w:color w:val="000000"/>
              </w:rPr>
            </w:pPr>
            <w:r w:rsidRPr="002D3263">
              <w:rPr>
                <w:rFonts w:ascii="Calibri" w:hAnsi="Calibri"/>
                <w:color w:val="000000"/>
              </w:rPr>
              <w:t>Federal Agency Reporting Requirement</w:t>
            </w:r>
          </w:p>
        </w:tc>
        <w:tc>
          <w:tcPr>
            <w:tcW w:w="1620" w:type="dxa"/>
            <w:tcBorders>
              <w:top w:val="nil"/>
              <w:left w:val="nil"/>
              <w:bottom w:val="single" w:sz="4" w:space="0" w:color="auto"/>
              <w:right w:val="nil"/>
            </w:tcBorders>
            <w:shd w:val="clear" w:color="auto" w:fill="auto"/>
            <w:noWrap/>
            <w:vAlign w:val="center"/>
          </w:tcPr>
          <w:p w:rsidR="009E321B" w:rsidRPr="002D3263" w:rsidP="00F9025C" w14:paraId="177A30D3" w14:textId="79A9CDAB">
            <w:pPr>
              <w:widowControl/>
              <w:jc w:val="right"/>
              <w:rPr>
                <w:rFonts w:ascii="Calibri" w:hAnsi="Calibri"/>
                <w:color w:val="000000"/>
              </w:rPr>
            </w:pPr>
            <w:r w:rsidRPr="002D3263">
              <w:rPr>
                <w:rFonts w:ascii="Calibri" w:hAnsi="Calibri" w:cs="Calibri"/>
                <w:color w:val="000000"/>
              </w:rPr>
              <w:t xml:space="preserve">$184,582 </w:t>
            </w:r>
          </w:p>
        </w:tc>
        <w:tc>
          <w:tcPr>
            <w:tcW w:w="1620" w:type="dxa"/>
            <w:tcBorders>
              <w:top w:val="nil"/>
              <w:left w:val="nil"/>
              <w:bottom w:val="single" w:sz="4" w:space="0" w:color="auto"/>
              <w:right w:val="nil"/>
            </w:tcBorders>
            <w:shd w:val="clear" w:color="auto" w:fill="auto"/>
            <w:noWrap/>
            <w:vAlign w:val="center"/>
          </w:tcPr>
          <w:p w:rsidR="009E321B" w:rsidRPr="002D3263" w:rsidP="00F9025C" w14:paraId="45AFC74C" w14:textId="02441069">
            <w:pPr>
              <w:widowControl/>
              <w:jc w:val="right"/>
              <w:rPr>
                <w:rFonts w:ascii="Calibri" w:hAnsi="Calibri"/>
                <w:color w:val="000000"/>
              </w:rPr>
            </w:pPr>
            <w:r w:rsidRPr="002D3263">
              <w:rPr>
                <w:rFonts w:ascii="Calibri" w:hAnsi="Calibri" w:cs="Calibri"/>
                <w:color w:val="000000"/>
              </w:rPr>
              <w:t xml:space="preserve">$232,883 </w:t>
            </w:r>
          </w:p>
        </w:tc>
        <w:tc>
          <w:tcPr>
            <w:tcW w:w="1620" w:type="dxa"/>
            <w:tcBorders>
              <w:top w:val="nil"/>
              <w:left w:val="nil"/>
              <w:bottom w:val="single" w:sz="4" w:space="0" w:color="auto"/>
            </w:tcBorders>
            <w:shd w:val="clear" w:color="auto" w:fill="auto"/>
            <w:noWrap/>
            <w:vAlign w:val="center"/>
          </w:tcPr>
          <w:p w:rsidR="009E321B" w:rsidRPr="002D3263" w:rsidP="00F9025C" w14:paraId="037D94BE" w14:textId="08364638">
            <w:pPr>
              <w:widowControl/>
              <w:jc w:val="right"/>
              <w:rPr>
                <w:rFonts w:ascii="Calibri" w:hAnsi="Calibri"/>
                <w:color w:val="000000"/>
              </w:rPr>
            </w:pPr>
            <w:r w:rsidRPr="002D3263">
              <w:rPr>
                <w:rFonts w:ascii="Calibri" w:hAnsi="Calibri" w:cs="Calibri"/>
                <w:color w:val="000000"/>
              </w:rPr>
              <w:t xml:space="preserve">$26,280 </w:t>
            </w:r>
          </w:p>
        </w:tc>
        <w:tc>
          <w:tcPr>
            <w:tcW w:w="1620" w:type="dxa"/>
            <w:tcBorders>
              <w:top w:val="nil"/>
              <w:left w:val="nil"/>
              <w:bottom w:val="single" w:sz="4" w:space="0" w:color="auto"/>
            </w:tcBorders>
            <w:vAlign w:val="center"/>
          </w:tcPr>
          <w:p w:rsidR="009E321B" w:rsidRPr="002D3263" w:rsidP="00F9025C" w14:paraId="03BFE03E" w14:textId="25307D0F">
            <w:pPr>
              <w:widowControl/>
              <w:jc w:val="right"/>
              <w:rPr>
                <w:rFonts w:ascii="Calibri" w:hAnsi="Calibri"/>
                <w:color w:val="000000"/>
              </w:rPr>
            </w:pPr>
            <w:r w:rsidRPr="002D3263">
              <w:rPr>
                <w:rFonts w:ascii="Calibri" w:hAnsi="Calibri" w:cs="Calibri"/>
                <w:color w:val="000000"/>
              </w:rPr>
              <w:t xml:space="preserve">$27,301 </w:t>
            </w:r>
          </w:p>
        </w:tc>
      </w:tr>
      <w:tr w14:paraId="06E923CD" w14:textId="77777777" w:rsidTr="00BC5A99">
        <w:tblPrEx>
          <w:tblW w:w="9630" w:type="dxa"/>
          <w:tblInd w:w="-180" w:type="dxa"/>
          <w:tblLayout w:type="fixed"/>
          <w:tblLook w:val="04A0"/>
        </w:tblPrEx>
        <w:trPr>
          <w:trHeight w:val="196"/>
        </w:trPr>
        <w:tc>
          <w:tcPr>
            <w:tcW w:w="3150" w:type="dxa"/>
            <w:tcBorders>
              <w:top w:val="single" w:sz="4" w:space="0" w:color="auto"/>
              <w:bottom w:val="nil"/>
              <w:right w:val="nil"/>
            </w:tcBorders>
            <w:shd w:val="clear" w:color="auto" w:fill="auto"/>
            <w:noWrap/>
          </w:tcPr>
          <w:p w:rsidR="00FB1722" w:rsidRPr="002D3263" w:rsidP="00634AAC" w14:paraId="71E71F19" w14:textId="77777777">
            <w:pPr>
              <w:keepNext/>
              <w:widowControl/>
              <w:spacing w:line="240" w:lineRule="auto"/>
              <w:rPr>
                <w:rFonts w:ascii="Calibri" w:hAnsi="Calibri"/>
                <w:b/>
                <w:color w:val="000000"/>
              </w:rPr>
            </w:pPr>
            <w:r w:rsidRPr="002D3263">
              <w:rPr>
                <w:rFonts w:ascii="Calibri" w:hAnsi="Calibri"/>
                <w:b/>
                <w:color w:val="000000"/>
              </w:rPr>
              <w:t>Cost Savings</w:t>
            </w:r>
          </w:p>
        </w:tc>
        <w:tc>
          <w:tcPr>
            <w:tcW w:w="1620" w:type="dxa"/>
            <w:tcBorders>
              <w:top w:val="single" w:sz="4" w:space="0" w:color="auto"/>
              <w:left w:val="nil"/>
              <w:bottom w:val="nil"/>
              <w:right w:val="nil"/>
            </w:tcBorders>
            <w:shd w:val="clear" w:color="auto" w:fill="auto"/>
            <w:noWrap/>
            <w:vAlign w:val="center"/>
          </w:tcPr>
          <w:p w:rsidR="00FB1722" w:rsidRPr="002D3263" w:rsidP="00F9025C" w14:paraId="4AA0F219" w14:textId="5399628D">
            <w:pPr>
              <w:widowControl/>
              <w:jc w:val="right"/>
              <w:rPr>
                <w:rFonts w:ascii="Calibri" w:hAnsi="Calibri"/>
                <w:color w:val="FF0000"/>
              </w:rPr>
            </w:pPr>
          </w:p>
        </w:tc>
        <w:tc>
          <w:tcPr>
            <w:tcW w:w="1620" w:type="dxa"/>
            <w:tcBorders>
              <w:top w:val="single" w:sz="4" w:space="0" w:color="auto"/>
              <w:left w:val="nil"/>
              <w:bottom w:val="nil"/>
              <w:right w:val="nil"/>
            </w:tcBorders>
            <w:shd w:val="clear" w:color="auto" w:fill="auto"/>
            <w:noWrap/>
            <w:vAlign w:val="center"/>
          </w:tcPr>
          <w:p w:rsidR="00FB1722" w:rsidRPr="002D3263" w:rsidP="00F9025C" w14:paraId="1B749834" w14:textId="2991A5FB">
            <w:pPr>
              <w:widowControl/>
              <w:jc w:val="right"/>
              <w:rPr>
                <w:rFonts w:ascii="Calibri" w:hAnsi="Calibri"/>
                <w:color w:val="FF0000"/>
              </w:rPr>
            </w:pPr>
          </w:p>
        </w:tc>
        <w:tc>
          <w:tcPr>
            <w:tcW w:w="1620" w:type="dxa"/>
            <w:tcBorders>
              <w:top w:val="single" w:sz="4" w:space="0" w:color="auto"/>
              <w:left w:val="nil"/>
              <w:bottom w:val="nil"/>
            </w:tcBorders>
            <w:shd w:val="clear" w:color="auto" w:fill="auto"/>
            <w:noWrap/>
            <w:vAlign w:val="center"/>
          </w:tcPr>
          <w:p w:rsidR="00FB1722" w:rsidRPr="002D3263" w:rsidP="00F9025C" w14:paraId="62FFC4AD" w14:textId="67906578">
            <w:pPr>
              <w:widowControl/>
              <w:jc w:val="right"/>
              <w:rPr>
                <w:rFonts w:ascii="Calibri" w:hAnsi="Calibri"/>
                <w:color w:val="FF0000"/>
              </w:rPr>
            </w:pPr>
          </w:p>
        </w:tc>
        <w:tc>
          <w:tcPr>
            <w:tcW w:w="1620" w:type="dxa"/>
            <w:tcBorders>
              <w:top w:val="single" w:sz="4" w:space="0" w:color="auto"/>
              <w:left w:val="nil"/>
              <w:bottom w:val="nil"/>
            </w:tcBorders>
            <w:vAlign w:val="center"/>
          </w:tcPr>
          <w:p w:rsidR="00FB1722" w:rsidRPr="002D3263" w:rsidP="00F9025C" w14:paraId="09290D1F" w14:textId="01C46CD9">
            <w:pPr>
              <w:widowControl/>
              <w:jc w:val="right"/>
              <w:rPr>
                <w:rFonts w:ascii="Calibri" w:hAnsi="Calibri"/>
                <w:color w:val="FF0000"/>
              </w:rPr>
            </w:pPr>
          </w:p>
        </w:tc>
      </w:tr>
      <w:tr w14:paraId="68B938ED" w14:textId="77777777" w:rsidTr="006D5D1A">
        <w:tblPrEx>
          <w:tblW w:w="9630" w:type="dxa"/>
          <w:tblInd w:w="-180" w:type="dxa"/>
          <w:tblLayout w:type="fixed"/>
          <w:tblLook w:val="04A0"/>
        </w:tblPrEx>
        <w:trPr>
          <w:trHeight w:val="196"/>
        </w:trPr>
        <w:tc>
          <w:tcPr>
            <w:tcW w:w="3150" w:type="dxa"/>
            <w:tcBorders>
              <w:top w:val="nil"/>
              <w:bottom w:val="nil"/>
              <w:right w:val="nil"/>
            </w:tcBorders>
            <w:shd w:val="clear" w:color="auto" w:fill="auto"/>
            <w:noWrap/>
          </w:tcPr>
          <w:p w:rsidR="00FA2677" w:rsidRPr="002D3263" w:rsidP="00FA2677" w14:paraId="390F122A" w14:textId="503A6116">
            <w:pPr>
              <w:keepNext/>
              <w:widowControl/>
              <w:spacing w:line="240" w:lineRule="auto"/>
              <w:ind w:left="288"/>
              <w:rPr>
                <w:rFonts w:eastAsia="Times New Roman" w:cs="Times New Roman"/>
                <w:color w:val="000000"/>
              </w:rPr>
            </w:pPr>
            <w:r w:rsidRPr="002D3263">
              <w:rPr>
                <w:rFonts w:ascii="Calibri" w:hAnsi="Calibri"/>
                <w:color w:val="000000"/>
              </w:rPr>
              <w:t>Revising Max. RHP/RRHP (FHWA Only)</w:t>
            </w:r>
          </w:p>
        </w:tc>
        <w:tc>
          <w:tcPr>
            <w:tcW w:w="1620" w:type="dxa"/>
            <w:tcBorders>
              <w:top w:val="nil"/>
              <w:left w:val="nil"/>
              <w:bottom w:val="nil"/>
              <w:right w:val="nil"/>
            </w:tcBorders>
            <w:shd w:val="clear" w:color="auto" w:fill="auto"/>
            <w:noWrap/>
            <w:vAlign w:val="center"/>
          </w:tcPr>
          <w:p w:rsidR="00FA2677" w:rsidRPr="00FA2677" w:rsidP="00FA2677" w14:paraId="1238B2EC" w14:textId="584EF10D">
            <w:pPr>
              <w:widowControl/>
              <w:jc w:val="right"/>
              <w:rPr>
                <w:rFonts w:ascii="Calibri" w:hAnsi="Calibri"/>
              </w:rPr>
            </w:pPr>
            <w:r w:rsidRPr="006D5D1A">
              <w:rPr>
                <w:rFonts w:ascii="Calibri" w:hAnsi="Calibri" w:cs="Calibri"/>
              </w:rPr>
              <w:t>($235,772)</w:t>
            </w:r>
          </w:p>
        </w:tc>
        <w:tc>
          <w:tcPr>
            <w:tcW w:w="1620" w:type="dxa"/>
            <w:tcBorders>
              <w:top w:val="nil"/>
              <w:left w:val="nil"/>
              <w:bottom w:val="nil"/>
              <w:right w:val="nil"/>
            </w:tcBorders>
            <w:shd w:val="clear" w:color="auto" w:fill="auto"/>
            <w:noWrap/>
            <w:vAlign w:val="center"/>
          </w:tcPr>
          <w:p w:rsidR="00FA2677" w:rsidRPr="00FA2677" w:rsidP="00FA2677" w14:paraId="2434BD29" w14:textId="67825E5B">
            <w:pPr>
              <w:widowControl/>
              <w:jc w:val="right"/>
              <w:rPr>
                <w:rFonts w:ascii="Calibri" w:hAnsi="Calibri"/>
              </w:rPr>
            </w:pPr>
            <w:r w:rsidRPr="006D5D1A">
              <w:rPr>
                <w:rFonts w:ascii="Calibri" w:hAnsi="Calibri" w:cs="Calibri"/>
              </w:rPr>
              <w:t>($300,627)</w:t>
            </w:r>
          </w:p>
        </w:tc>
        <w:tc>
          <w:tcPr>
            <w:tcW w:w="1620" w:type="dxa"/>
            <w:tcBorders>
              <w:top w:val="nil"/>
              <w:left w:val="nil"/>
              <w:bottom w:val="nil"/>
            </w:tcBorders>
            <w:shd w:val="clear" w:color="auto" w:fill="auto"/>
            <w:noWrap/>
            <w:vAlign w:val="center"/>
          </w:tcPr>
          <w:p w:rsidR="00FA2677" w:rsidRPr="00FA2677" w:rsidP="00FA2677" w14:paraId="164994EE" w14:textId="0F6AB2B6">
            <w:pPr>
              <w:widowControl/>
              <w:jc w:val="right"/>
              <w:rPr>
                <w:rFonts w:ascii="Calibri" w:hAnsi="Calibri"/>
              </w:rPr>
            </w:pPr>
            <w:r w:rsidRPr="006D5D1A">
              <w:rPr>
                <w:rFonts w:ascii="Calibri" w:hAnsi="Calibri" w:cs="Calibri"/>
              </w:rPr>
              <w:t>($33,569)</w:t>
            </w:r>
          </w:p>
        </w:tc>
        <w:tc>
          <w:tcPr>
            <w:tcW w:w="1620" w:type="dxa"/>
            <w:tcBorders>
              <w:top w:val="nil"/>
              <w:left w:val="nil"/>
              <w:bottom w:val="nil"/>
            </w:tcBorders>
            <w:vAlign w:val="center"/>
          </w:tcPr>
          <w:p w:rsidR="00FA2677" w:rsidRPr="00FA2677" w:rsidP="00FA2677" w14:paraId="1FE3296F" w14:textId="0B56A7F1">
            <w:pPr>
              <w:widowControl/>
              <w:jc w:val="right"/>
              <w:rPr>
                <w:rFonts w:ascii="Calibri" w:hAnsi="Calibri"/>
              </w:rPr>
            </w:pPr>
            <w:r w:rsidRPr="006D5D1A">
              <w:rPr>
                <w:rFonts w:ascii="Calibri" w:hAnsi="Calibri" w:cs="Calibri"/>
              </w:rPr>
              <w:t>($35,243)</w:t>
            </w:r>
          </w:p>
        </w:tc>
      </w:tr>
      <w:tr w14:paraId="492A927A" w14:textId="77777777" w:rsidTr="00BC5A99">
        <w:tblPrEx>
          <w:tblW w:w="9630" w:type="dxa"/>
          <w:tblInd w:w="-180" w:type="dxa"/>
          <w:tblLayout w:type="fixed"/>
          <w:tblLook w:val="04A0"/>
        </w:tblPrEx>
        <w:trPr>
          <w:trHeight w:val="196"/>
        </w:trPr>
        <w:tc>
          <w:tcPr>
            <w:tcW w:w="3150" w:type="dxa"/>
            <w:tcBorders>
              <w:top w:val="nil"/>
              <w:right w:val="nil"/>
            </w:tcBorders>
            <w:shd w:val="clear" w:color="auto" w:fill="auto"/>
            <w:noWrap/>
          </w:tcPr>
          <w:p w:rsidR="009E321B" w:rsidRPr="002D3263" w:rsidP="00634AAC" w14:paraId="24C9BF61" w14:textId="77777777">
            <w:pPr>
              <w:keepNext/>
              <w:widowControl/>
              <w:spacing w:line="240" w:lineRule="auto"/>
              <w:ind w:left="288"/>
              <w:rPr>
                <w:rFonts w:eastAsia="Times New Roman" w:cs="Times New Roman"/>
                <w:color w:val="000000"/>
              </w:rPr>
            </w:pPr>
            <w:r w:rsidRPr="002D3263">
              <w:rPr>
                <w:rFonts w:ascii="Calibri" w:hAnsi="Calibri"/>
                <w:color w:val="000000"/>
              </w:rPr>
              <w:t>Homeowner 90 Day Eligibility (FHWA Only)</w:t>
            </w:r>
          </w:p>
        </w:tc>
        <w:tc>
          <w:tcPr>
            <w:tcW w:w="1620" w:type="dxa"/>
            <w:tcBorders>
              <w:top w:val="nil"/>
              <w:left w:val="nil"/>
              <w:right w:val="nil"/>
            </w:tcBorders>
            <w:shd w:val="clear" w:color="auto" w:fill="auto"/>
            <w:noWrap/>
            <w:vAlign w:val="center"/>
          </w:tcPr>
          <w:p w:rsidR="009E321B" w:rsidRPr="002D3263" w:rsidP="00F9025C" w14:paraId="6ABFB990" w14:textId="20AC4E6B">
            <w:pPr>
              <w:widowControl/>
              <w:jc w:val="right"/>
              <w:rPr>
                <w:rFonts w:ascii="Calibri" w:hAnsi="Calibri"/>
              </w:rPr>
            </w:pPr>
            <w:r w:rsidRPr="002D3263">
              <w:rPr>
                <w:rFonts w:ascii="Calibri" w:hAnsi="Calibri" w:cs="Calibri"/>
              </w:rPr>
              <w:t>($7,286)</w:t>
            </w:r>
          </w:p>
        </w:tc>
        <w:tc>
          <w:tcPr>
            <w:tcW w:w="1620" w:type="dxa"/>
            <w:tcBorders>
              <w:top w:val="nil"/>
              <w:left w:val="nil"/>
              <w:right w:val="nil"/>
            </w:tcBorders>
            <w:shd w:val="clear" w:color="auto" w:fill="auto"/>
            <w:noWrap/>
            <w:vAlign w:val="center"/>
          </w:tcPr>
          <w:p w:rsidR="009E321B" w:rsidRPr="002D3263" w:rsidP="00F9025C" w14:paraId="583EB489" w14:textId="0D493019">
            <w:pPr>
              <w:widowControl/>
              <w:jc w:val="right"/>
              <w:rPr>
                <w:rFonts w:ascii="Calibri" w:hAnsi="Calibri"/>
              </w:rPr>
            </w:pPr>
            <w:r w:rsidRPr="002D3263">
              <w:rPr>
                <w:rFonts w:ascii="Calibri" w:hAnsi="Calibri" w:cs="Calibri"/>
              </w:rPr>
              <w:t>($9,193)</w:t>
            </w:r>
          </w:p>
        </w:tc>
        <w:tc>
          <w:tcPr>
            <w:tcW w:w="1620" w:type="dxa"/>
            <w:tcBorders>
              <w:top w:val="nil"/>
              <w:left w:val="nil"/>
            </w:tcBorders>
            <w:shd w:val="clear" w:color="auto" w:fill="auto"/>
            <w:noWrap/>
            <w:vAlign w:val="center"/>
          </w:tcPr>
          <w:p w:rsidR="009E321B" w:rsidRPr="002D3263" w:rsidP="00F9025C" w14:paraId="78A0C2D5" w14:textId="4BC6DEA9">
            <w:pPr>
              <w:widowControl/>
              <w:jc w:val="right"/>
              <w:rPr>
                <w:rFonts w:ascii="Calibri" w:hAnsi="Calibri"/>
              </w:rPr>
            </w:pPr>
            <w:r w:rsidRPr="002D3263">
              <w:rPr>
                <w:rFonts w:ascii="Calibri" w:hAnsi="Calibri" w:cs="Calibri"/>
              </w:rPr>
              <w:t>($1,037)</w:t>
            </w:r>
          </w:p>
        </w:tc>
        <w:tc>
          <w:tcPr>
            <w:tcW w:w="1620" w:type="dxa"/>
            <w:tcBorders>
              <w:top w:val="nil"/>
              <w:left w:val="nil"/>
            </w:tcBorders>
            <w:vAlign w:val="center"/>
          </w:tcPr>
          <w:p w:rsidR="009E321B" w:rsidRPr="002D3263" w:rsidP="00F9025C" w14:paraId="4A5F6821" w14:textId="2758E059">
            <w:pPr>
              <w:widowControl/>
              <w:jc w:val="right"/>
              <w:rPr>
                <w:rFonts w:ascii="Calibri" w:hAnsi="Calibri"/>
              </w:rPr>
            </w:pPr>
            <w:r w:rsidRPr="002D3263">
              <w:rPr>
                <w:rFonts w:ascii="Calibri" w:hAnsi="Calibri" w:cs="Calibri"/>
              </w:rPr>
              <w:t>($1,078)</w:t>
            </w:r>
          </w:p>
        </w:tc>
      </w:tr>
      <w:tr w14:paraId="66DB7E70" w14:textId="77777777" w:rsidTr="00BC5A99">
        <w:tblPrEx>
          <w:tblW w:w="9630" w:type="dxa"/>
          <w:tblInd w:w="-180" w:type="dxa"/>
          <w:tblLayout w:type="fixed"/>
          <w:tblLook w:val="04A0"/>
        </w:tblPrEx>
        <w:trPr>
          <w:trHeight w:val="196"/>
        </w:trPr>
        <w:tc>
          <w:tcPr>
            <w:tcW w:w="3150" w:type="dxa"/>
            <w:tcBorders>
              <w:top w:val="nil"/>
              <w:right w:val="nil"/>
            </w:tcBorders>
            <w:shd w:val="clear" w:color="auto" w:fill="auto"/>
            <w:noWrap/>
          </w:tcPr>
          <w:p w:rsidR="00FB1722" w:rsidRPr="002D3263" w:rsidP="00634AAC" w14:paraId="01424005" w14:textId="77777777">
            <w:pPr>
              <w:keepNext/>
              <w:widowControl/>
              <w:spacing w:line="240" w:lineRule="auto"/>
              <w:ind w:left="288"/>
              <w:rPr>
                <w:rFonts w:ascii="Calibri" w:hAnsi="Calibri"/>
                <w:b/>
                <w:bCs/>
                <w:color w:val="000000"/>
              </w:rPr>
            </w:pPr>
            <w:r w:rsidRPr="002D3263">
              <w:rPr>
                <w:rFonts w:ascii="Calibri" w:hAnsi="Calibri"/>
                <w:color w:val="000000"/>
              </w:rPr>
              <w:t>Appraisal Waivers</w:t>
            </w:r>
          </w:p>
        </w:tc>
        <w:tc>
          <w:tcPr>
            <w:tcW w:w="1620" w:type="dxa"/>
            <w:tcBorders>
              <w:top w:val="nil"/>
              <w:left w:val="nil"/>
              <w:right w:val="nil"/>
            </w:tcBorders>
            <w:shd w:val="clear" w:color="auto" w:fill="auto"/>
            <w:noWrap/>
            <w:vAlign w:val="bottom"/>
          </w:tcPr>
          <w:p w:rsidR="00FB1722" w:rsidRPr="002D3263" w:rsidP="00EF4CBB" w14:paraId="659EB04B" w14:textId="4B6F2227">
            <w:pPr>
              <w:widowControl/>
              <w:jc w:val="right"/>
              <w:rPr>
                <w:rFonts w:ascii="Calibri" w:hAnsi="Calibri"/>
                <w:b/>
                <w:bCs/>
                <w:color w:val="000000"/>
              </w:rPr>
            </w:pPr>
            <w:r w:rsidRPr="002D3263">
              <w:rPr>
                <w:rFonts w:ascii="Calibri" w:hAnsi="Calibri" w:cs="Calibri"/>
                <w:color w:val="000000"/>
              </w:rPr>
              <w:t>Not Quantified</w:t>
            </w:r>
          </w:p>
        </w:tc>
        <w:tc>
          <w:tcPr>
            <w:tcW w:w="1620" w:type="dxa"/>
            <w:tcBorders>
              <w:top w:val="nil"/>
              <w:left w:val="nil"/>
              <w:right w:val="nil"/>
            </w:tcBorders>
            <w:shd w:val="clear" w:color="auto" w:fill="auto"/>
            <w:noWrap/>
            <w:vAlign w:val="bottom"/>
          </w:tcPr>
          <w:p w:rsidR="00FB1722" w:rsidRPr="002D3263" w:rsidP="00EF4CBB" w14:paraId="13DE1B18" w14:textId="017E0F4F">
            <w:pPr>
              <w:widowControl/>
              <w:jc w:val="right"/>
              <w:rPr>
                <w:rFonts w:ascii="Calibri" w:hAnsi="Calibri"/>
                <w:b/>
                <w:bCs/>
                <w:color w:val="000000"/>
              </w:rPr>
            </w:pPr>
            <w:r w:rsidRPr="002D3263">
              <w:rPr>
                <w:rFonts w:ascii="Calibri" w:hAnsi="Calibri" w:cs="Calibri"/>
                <w:color w:val="000000"/>
              </w:rPr>
              <w:t>Not Quantified</w:t>
            </w:r>
          </w:p>
        </w:tc>
        <w:tc>
          <w:tcPr>
            <w:tcW w:w="1620" w:type="dxa"/>
            <w:tcBorders>
              <w:top w:val="nil"/>
              <w:left w:val="nil"/>
            </w:tcBorders>
            <w:shd w:val="clear" w:color="auto" w:fill="auto"/>
            <w:noWrap/>
            <w:vAlign w:val="bottom"/>
          </w:tcPr>
          <w:p w:rsidR="00FB1722" w:rsidRPr="002D3263" w:rsidP="00EF4CBB" w14:paraId="4AC23199" w14:textId="5C1DF4B5">
            <w:pPr>
              <w:widowControl/>
              <w:jc w:val="right"/>
              <w:rPr>
                <w:rFonts w:ascii="Calibri" w:hAnsi="Calibri"/>
                <w:b/>
                <w:bCs/>
                <w:color w:val="000000"/>
              </w:rPr>
            </w:pPr>
            <w:r w:rsidRPr="002D3263">
              <w:rPr>
                <w:rFonts w:ascii="Calibri" w:hAnsi="Calibri" w:cs="Calibri"/>
                <w:color w:val="000000"/>
              </w:rPr>
              <w:t>Not Quantified</w:t>
            </w:r>
          </w:p>
        </w:tc>
        <w:tc>
          <w:tcPr>
            <w:tcW w:w="1620" w:type="dxa"/>
            <w:tcBorders>
              <w:top w:val="nil"/>
              <w:left w:val="nil"/>
            </w:tcBorders>
            <w:vAlign w:val="bottom"/>
          </w:tcPr>
          <w:p w:rsidR="00FB1722" w:rsidRPr="002D3263" w:rsidP="00EF4CBB" w14:paraId="16F5982C" w14:textId="0441A7A3">
            <w:pPr>
              <w:widowControl/>
              <w:jc w:val="right"/>
              <w:rPr>
                <w:rFonts w:ascii="Calibri" w:hAnsi="Calibri"/>
                <w:b/>
                <w:bCs/>
                <w:color w:val="000000"/>
              </w:rPr>
            </w:pPr>
            <w:r w:rsidRPr="002D3263">
              <w:rPr>
                <w:rFonts w:ascii="Calibri" w:hAnsi="Calibri" w:cs="Calibri"/>
                <w:color w:val="000000"/>
              </w:rPr>
              <w:t>Not Quantified</w:t>
            </w:r>
          </w:p>
        </w:tc>
      </w:tr>
      <w:tr w14:paraId="2FF2746C" w14:textId="77777777" w:rsidTr="00BC5A99">
        <w:tblPrEx>
          <w:tblW w:w="9630" w:type="dxa"/>
          <w:tblInd w:w="-180" w:type="dxa"/>
          <w:tblLayout w:type="fixed"/>
          <w:tblLook w:val="04A0"/>
        </w:tblPrEx>
        <w:trPr>
          <w:trHeight w:val="196"/>
        </w:trPr>
        <w:tc>
          <w:tcPr>
            <w:tcW w:w="3150" w:type="dxa"/>
            <w:tcBorders>
              <w:right w:val="nil"/>
            </w:tcBorders>
            <w:shd w:val="clear" w:color="auto" w:fill="auto"/>
            <w:noWrap/>
          </w:tcPr>
          <w:p w:rsidR="00FB1722" w:rsidRPr="002D3263" w:rsidP="00634AAC" w14:paraId="0D8E8035" w14:textId="77777777">
            <w:pPr>
              <w:keepNext/>
              <w:widowControl/>
              <w:spacing w:line="240" w:lineRule="auto"/>
              <w:ind w:left="288"/>
              <w:rPr>
                <w:rFonts w:ascii="Calibri" w:hAnsi="Calibri"/>
                <w:b/>
                <w:bCs/>
                <w:color w:val="000000"/>
              </w:rPr>
            </w:pPr>
            <w:r w:rsidRPr="002D3263">
              <w:rPr>
                <w:rFonts w:ascii="Calibri" w:hAnsi="Calibri"/>
                <w:color w:val="000000"/>
              </w:rPr>
              <w:t>Third Tier of Waiver Valuations</w:t>
            </w:r>
          </w:p>
        </w:tc>
        <w:tc>
          <w:tcPr>
            <w:tcW w:w="1620" w:type="dxa"/>
            <w:tcBorders>
              <w:left w:val="nil"/>
              <w:right w:val="nil"/>
            </w:tcBorders>
            <w:shd w:val="clear" w:color="auto" w:fill="auto"/>
            <w:noWrap/>
            <w:vAlign w:val="bottom"/>
          </w:tcPr>
          <w:p w:rsidR="00FB1722" w:rsidRPr="002D3263" w:rsidP="00EF4CBB" w14:paraId="2ED92BD9" w14:textId="65C8DC06">
            <w:pPr>
              <w:widowControl/>
              <w:jc w:val="right"/>
              <w:rPr>
                <w:rFonts w:ascii="Calibri" w:hAnsi="Calibri"/>
                <w:b/>
                <w:bCs/>
                <w:color w:val="000000"/>
              </w:rPr>
            </w:pPr>
            <w:r w:rsidRPr="002D3263">
              <w:rPr>
                <w:rFonts w:ascii="Calibri" w:hAnsi="Calibri" w:cs="Calibri"/>
                <w:color w:val="000000"/>
              </w:rPr>
              <w:t>Not Quantified</w:t>
            </w:r>
          </w:p>
        </w:tc>
        <w:tc>
          <w:tcPr>
            <w:tcW w:w="1620" w:type="dxa"/>
            <w:tcBorders>
              <w:left w:val="nil"/>
              <w:right w:val="nil"/>
            </w:tcBorders>
            <w:shd w:val="clear" w:color="auto" w:fill="auto"/>
            <w:noWrap/>
            <w:vAlign w:val="bottom"/>
          </w:tcPr>
          <w:p w:rsidR="00FB1722" w:rsidRPr="002D3263" w:rsidP="00EF4CBB" w14:paraId="5C73FF51" w14:textId="65ADBAC7">
            <w:pPr>
              <w:widowControl/>
              <w:jc w:val="right"/>
              <w:rPr>
                <w:rFonts w:ascii="Calibri" w:hAnsi="Calibri"/>
                <w:b/>
                <w:bCs/>
                <w:color w:val="000000"/>
              </w:rPr>
            </w:pPr>
            <w:r w:rsidRPr="002D3263">
              <w:rPr>
                <w:rFonts w:ascii="Calibri" w:hAnsi="Calibri" w:cs="Calibri"/>
                <w:color w:val="000000"/>
              </w:rPr>
              <w:t>Not Quantified</w:t>
            </w:r>
          </w:p>
        </w:tc>
        <w:tc>
          <w:tcPr>
            <w:tcW w:w="1620" w:type="dxa"/>
            <w:tcBorders>
              <w:left w:val="nil"/>
            </w:tcBorders>
            <w:shd w:val="clear" w:color="auto" w:fill="auto"/>
            <w:noWrap/>
            <w:vAlign w:val="bottom"/>
          </w:tcPr>
          <w:p w:rsidR="00FB1722" w:rsidRPr="002D3263" w:rsidP="00EF4CBB" w14:paraId="6916BE4F" w14:textId="54E35403">
            <w:pPr>
              <w:widowControl/>
              <w:jc w:val="right"/>
              <w:rPr>
                <w:rFonts w:ascii="Calibri" w:hAnsi="Calibri"/>
                <w:b/>
                <w:bCs/>
                <w:color w:val="000000"/>
              </w:rPr>
            </w:pPr>
            <w:r w:rsidRPr="002D3263">
              <w:rPr>
                <w:rFonts w:ascii="Calibri" w:hAnsi="Calibri" w:cs="Calibri"/>
                <w:color w:val="000000"/>
              </w:rPr>
              <w:t>Not Quantified</w:t>
            </w:r>
          </w:p>
        </w:tc>
        <w:tc>
          <w:tcPr>
            <w:tcW w:w="1620" w:type="dxa"/>
            <w:tcBorders>
              <w:left w:val="nil"/>
            </w:tcBorders>
            <w:vAlign w:val="bottom"/>
          </w:tcPr>
          <w:p w:rsidR="00FB1722" w:rsidRPr="002D3263" w:rsidP="00EF4CBB" w14:paraId="288FCE84" w14:textId="301ACA43">
            <w:pPr>
              <w:widowControl/>
              <w:jc w:val="right"/>
              <w:rPr>
                <w:rFonts w:ascii="Calibri" w:hAnsi="Calibri"/>
                <w:b/>
                <w:bCs/>
                <w:color w:val="000000"/>
              </w:rPr>
            </w:pPr>
            <w:r w:rsidRPr="002D3263">
              <w:rPr>
                <w:rFonts w:ascii="Calibri" w:hAnsi="Calibri" w:cs="Calibri"/>
                <w:color w:val="000000"/>
              </w:rPr>
              <w:t>Not Quantified</w:t>
            </w:r>
          </w:p>
        </w:tc>
      </w:tr>
      <w:tr w14:paraId="27ED4E03" w14:textId="77777777" w:rsidTr="00BC5A99">
        <w:tblPrEx>
          <w:tblW w:w="9630" w:type="dxa"/>
          <w:tblInd w:w="-180" w:type="dxa"/>
          <w:tblLayout w:type="fixed"/>
          <w:tblLook w:val="04A0"/>
        </w:tblPrEx>
        <w:trPr>
          <w:trHeight w:val="196"/>
        </w:trPr>
        <w:tc>
          <w:tcPr>
            <w:tcW w:w="3150" w:type="dxa"/>
            <w:tcBorders>
              <w:right w:val="nil"/>
            </w:tcBorders>
            <w:shd w:val="clear" w:color="auto" w:fill="auto"/>
            <w:noWrap/>
          </w:tcPr>
          <w:p w:rsidR="00FB1722" w:rsidRPr="002D3263" w:rsidP="00634AAC" w14:paraId="03691E3E" w14:textId="77777777">
            <w:pPr>
              <w:keepNext/>
              <w:widowControl/>
              <w:spacing w:line="240" w:lineRule="auto"/>
              <w:ind w:left="288"/>
              <w:rPr>
                <w:rFonts w:ascii="Calibri" w:hAnsi="Calibri"/>
                <w:b/>
                <w:bCs/>
                <w:color w:val="000000"/>
              </w:rPr>
            </w:pPr>
            <w:r w:rsidRPr="002D3263">
              <w:rPr>
                <w:rFonts w:ascii="Calibri" w:hAnsi="Calibri"/>
                <w:color w:val="000000"/>
              </w:rPr>
              <w:t>Use of Single Agents</w:t>
            </w:r>
          </w:p>
        </w:tc>
        <w:tc>
          <w:tcPr>
            <w:tcW w:w="1620" w:type="dxa"/>
            <w:tcBorders>
              <w:left w:val="nil"/>
              <w:right w:val="nil"/>
            </w:tcBorders>
            <w:shd w:val="clear" w:color="auto" w:fill="auto"/>
            <w:noWrap/>
            <w:vAlign w:val="bottom"/>
          </w:tcPr>
          <w:p w:rsidR="00FB1722" w:rsidRPr="002D3263" w:rsidP="00EF4CBB" w14:paraId="72B9DD2E" w14:textId="0ECE37A5">
            <w:pPr>
              <w:widowControl/>
              <w:jc w:val="right"/>
              <w:rPr>
                <w:rFonts w:ascii="Calibri" w:hAnsi="Calibri"/>
                <w:b/>
                <w:bCs/>
                <w:color w:val="000000"/>
              </w:rPr>
            </w:pPr>
            <w:r w:rsidRPr="002D3263">
              <w:rPr>
                <w:rFonts w:ascii="Calibri" w:hAnsi="Calibri" w:cs="Calibri"/>
                <w:color w:val="000000"/>
              </w:rPr>
              <w:t>Not Quantified</w:t>
            </w:r>
          </w:p>
        </w:tc>
        <w:tc>
          <w:tcPr>
            <w:tcW w:w="1620" w:type="dxa"/>
            <w:tcBorders>
              <w:left w:val="nil"/>
              <w:right w:val="nil"/>
            </w:tcBorders>
            <w:shd w:val="clear" w:color="auto" w:fill="auto"/>
            <w:noWrap/>
            <w:vAlign w:val="bottom"/>
          </w:tcPr>
          <w:p w:rsidR="00FB1722" w:rsidRPr="002D3263" w:rsidP="00EF4CBB" w14:paraId="5F671170" w14:textId="18397D7A">
            <w:pPr>
              <w:widowControl/>
              <w:jc w:val="right"/>
              <w:rPr>
                <w:rFonts w:ascii="Calibri" w:hAnsi="Calibri"/>
                <w:b/>
                <w:bCs/>
                <w:color w:val="000000"/>
              </w:rPr>
            </w:pPr>
            <w:r w:rsidRPr="002D3263">
              <w:rPr>
                <w:rFonts w:ascii="Calibri" w:hAnsi="Calibri" w:cs="Calibri"/>
                <w:color w:val="000000"/>
              </w:rPr>
              <w:t>Not Quantified</w:t>
            </w:r>
          </w:p>
        </w:tc>
        <w:tc>
          <w:tcPr>
            <w:tcW w:w="1620" w:type="dxa"/>
            <w:tcBorders>
              <w:left w:val="nil"/>
            </w:tcBorders>
            <w:shd w:val="clear" w:color="auto" w:fill="auto"/>
            <w:noWrap/>
            <w:vAlign w:val="bottom"/>
          </w:tcPr>
          <w:p w:rsidR="00FB1722" w:rsidRPr="002D3263" w:rsidP="00EF4CBB" w14:paraId="1014ECE7" w14:textId="708F5E33">
            <w:pPr>
              <w:widowControl/>
              <w:jc w:val="right"/>
              <w:rPr>
                <w:rFonts w:ascii="Calibri" w:hAnsi="Calibri"/>
                <w:b/>
                <w:bCs/>
                <w:color w:val="000000"/>
              </w:rPr>
            </w:pPr>
            <w:r w:rsidRPr="002D3263">
              <w:rPr>
                <w:rFonts w:ascii="Calibri" w:hAnsi="Calibri" w:cs="Calibri"/>
                <w:color w:val="000000"/>
              </w:rPr>
              <w:t>Not Quantified</w:t>
            </w:r>
          </w:p>
        </w:tc>
        <w:tc>
          <w:tcPr>
            <w:tcW w:w="1620" w:type="dxa"/>
            <w:tcBorders>
              <w:left w:val="nil"/>
            </w:tcBorders>
            <w:vAlign w:val="bottom"/>
          </w:tcPr>
          <w:p w:rsidR="00FB1722" w:rsidRPr="002D3263" w:rsidP="00EF4CBB" w14:paraId="0DD10D06" w14:textId="471DC329">
            <w:pPr>
              <w:widowControl/>
              <w:jc w:val="right"/>
              <w:rPr>
                <w:rFonts w:ascii="Calibri" w:hAnsi="Calibri"/>
                <w:b/>
                <w:bCs/>
                <w:color w:val="000000"/>
              </w:rPr>
            </w:pPr>
            <w:r w:rsidRPr="002D3263">
              <w:rPr>
                <w:rFonts w:ascii="Calibri" w:hAnsi="Calibri" w:cs="Calibri"/>
                <w:color w:val="000000"/>
              </w:rPr>
              <w:t>Not Quantified</w:t>
            </w:r>
          </w:p>
        </w:tc>
      </w:tr>
      <w:tr w14:paraId="676A1113" w14:textId="77777777" w:rsidTr="00BC5A99">
        <w:tblPrEx>
          <w:tblW w:w="9630" w:type="dxa"/>
          <w:tblInd w:w="-180" w:type="dxa"/>
          <w:tblLayout w:type="fixed"/>
          <w:tblLook w:val="04A0"/>
        </w:tblPrEx>
        <w:trPr>
          <w:trHeight w:val="196"/>
        </w:trPr>
        <w:tc>
          <w:tcPr>
            <w:tcW w:w="3150" w:type="dxa"/>
            <w:tcBorders>
              <w:right w:val="nil"/>
            </w:tcBorders>
            <w:shd w:val="clear" w:color="auto" w:fill="auto"/>
            <w:noWrap/>
          </w:tcPr>
          <w:p w:rsidR="00FB1722" w:rsidRPr="002D3263" w:rsidP="00634AAC" w14:paraId="55D690B8" w14:textId="77777777">
            <w:pPr>
              <w:keepNext/>
              <w:widowControl/>
              <w:spacing w:line="240" w:lineRule="auto"/>
              <w:ind w:left="288"/>
              <w:rPr>
                <w:rFonts w:ascii="Calibri" w:hAnsi="Calibri"/>
                <w:b/>
                <w:bCs/>
                <w:color w:val="000000"/>
              </w:rPr>
            </w:pPr>
            <w:r w:rsidRPr="002D3263">
              <w:rPr>
                <w:rFonts w:ascii="Calibri" w:hAnsi="Calibri"/>
                <w:color w:val="000000"/>
              </w:rPr>
              <w:t>Inspection of Comparable Housing</w:t>
            </w:r>
          </w:p>
        </w:tc>
        <w:tc>
          <w:tcPr>
            <w:tcW w:w="1620" w:type="dxa"/>
            <w:tcBorders>
              <w:left w:val="nil"/>
              <w:right w:val="nil"/>
            </w:tcBorders>
            <w:shd w:val="clear" w:color="auto" w:fill="auto"/>
            <w:noWrap/>
            <w:vAlign w:val="bottom"/>
          </w:tcPr>
          <w:p w:rsidR="00FB1722" w:rsidRPr="002D3263" w:rsidP="00EF4CBB" w14:paraId="237AD590" w14:textId="5BD4E6D1">
            <w:pPr>
              <w:widowControl/>
              <w:jc w:val="right"/>
              <w:rPr>
                <w:rFonts w:ascii="Calibri" w:hAnsi="Calibri"/>
                <w:b/>
                <w:bCs/>
                <w:color w:val="000000"/>
              </w:rPr>
            </w:pPr>
            <w:r w:rsidRPr="002D3263">
              <w:rPr>
                <w:rFonts w:ascii="Calibri" w:hAnsi="Calibri" w:cs="Calibri"/>
                <w:color w:val="000000"/>
              </w:rPr>
              <w:t>Not Quantified</w:t>
            </w:r>
          </w:p>
        </w:tc>
        <w:tc>
          <w:tcPr>
            <w:tcW w:w="1620" w:type="dxa"/>
            <w:tcBorders>
              <w:left w:val="nil"/>
              <w:right w:val="nil"/>
            </w:tcBorders>
            <w:shd w:val="clear" w:color="auto" w:fill="auto"/>
            <w:noWrap/>
            <w:vAlign w:val="bottom"/>
          </w:tcPr>
          <w:p w:rsidR="00FB1722" w:rsidRPr="002D3263" w:rsidP="00EF4CBB" w14:paraId="3A5FAC4F" w14:textId="11A7C17C">
            <w:pPr>
              <w:widowControl/>
              <w:jc w:val="right"/>
              <w:rPr>
                <w:rFonts w:ascii="Calibri" w:hAnsi="Calibri"/>
                <w:b/>
                <w:bCs/>
                <w:color w:val="000000"/>
              </w:rPr>
            </w:pPr>
            <w:r w:rsidRPr="002D3263">
              <w:rPr>
                <w:rFonts w:ascii="Calibri" w:hAnsi="Calibri" w:cs="Calibri"/>
                <w:color w:val="000000"/>
              </w:rPr>
              <w:t>Not Quantified</w:t>
            </w:r>
          </w:p>
        </w:tc>
        <w:tc>
          <w:tcPr>
            <w:tcW w:w="1620" w:type="dxa"/>
            <w:tcBorders>
              <w:left w:val="nil"/>
            </w:tcBorders>
            <w:shd w:val="clear" w:color="auto" w:fill="auto"/>
            <w:noWrap/>
            <w:vAlign w:val="bottom"/>
          </w:tcPr>
          <w:p w:rsidR="00FB1722" w:rsidRPr="002D3263" w:rsidP="00EF4CBB" w14:paraId="036238FB" w14:textId="6BB6788D">
            <w:pPr>
              <w:widowControl/>
              <w:jc w:val="right"/>
              <w:rPr>
                <w:rFonts w:ascii="Calibri" w:hAnsi="Calibri"/>
                <w:b/>
                <w:bCs/>
                <w:color w:val="000000"/>
              </w:rPr>
            </w:pPr>
            <w:r w:rsidRPr="002D3263">
              <w:rPr>
                <w:rFonts w:ascii="Calibri" w:hAnsi="Calibri" w:cs="Calibri"/>
                <w:color w:val="000000"/>
              </w:rPr>
              <w:t>Not Quantified</w:t>
            </w:r>
          </w:p>
        </w:tc>
        <w:tc>
          <w:tcPr>
            <w:tcW w:w="1620" w:type="dxa"/>
            <w:tcBorders>
              <w:left w:val="nil"/>
            </w:tcBorders>
            <w:vAlign w:val="bottom"/>
          </w:tcPr>
          <w:p w:rsidR="00FB1722" w:rsidRPr="002D3263" w:rsidP="00EF4CBB" w14:paraId="6A30A656" w14:textId="523BB681">
            <w:pPr>
              <w:widowControl/>
              <w:jc w:val="right"/>
              <w:rPr>
                <w:rFonts w:ascii="Calibri" w:hAnsi="Calibri"/>
                <w:b/>
                <w:bCs/>
                <w:color w:val="000000"/>
              </w:rPr>
            </w:pPr>
            <w:r w:rsidRPr="002D3263">
              <w:rPr>
                <w:rFonts w:ascii="Calibri" w:hAnsi="Calibri" w:cs="Calibri"/>
                <w:color w:val="000000"/>
              </w:rPr>
              <w:t>Not Quantified</w:t>
            </w:r>
          </w:p>
        </w:tc>
      </w:tr>
      <w:tr w14:paraId="5426F3BF" w14:textId="77777777" w:rsidTr="00BC5A99">
        <w:tblPrEx>
          <w:tblW w:w="9630" w:type="dxa"/>
          <w:tblInd w:w="-180" w:type="dxa"/>
          <w:tblLayout w:type="fixed"/>
          <w:tblLook w:val="04A0"/>
        </w:tblPrEx>
        <w:trPr>
          <w:trHeight w:val="196"/>
        </w:trPr>
        <w:tc>
          <w:tcPr>
            <w:tcW w:w="3150" w:type="dxa"/>
            <w:tcBorders>
              <w:right w:val="nil"/>
            </w:tcBorders>
            <w:shd w:val="clear" w:color="auto" w:fill="auto"/>
            <w:noWrap/>
          </w:tcPr>
          <w:p w:rsidR="00FB1722" w:rsidRPr="002D3263" w:rsidP="00634AAC" w14:paraId="6B1DEBF4" w14:textId="77777777">
            <w:pPr>
              <w:keepNext/>
              <w:widowControl/>
              <w:spacing w:line="240" w:lineRule="auto"/>
              <w:ind w:left="288"/>
              <w:rPr>
                <w:rFonts w:ascii="Calibri" w:hAnsi="Calibri"/>
                <w:b/>
                <w:bCs/>
                <w:color w:val="000000"/>
              </w:rPr>
            </w:pPr>
            <w:r w:rsidRPr="002D3263">
              <w:rPr>
                <w:rFonts w:ascii="Calibri" w:hAnsi="Calibri"/>
                <w:color w:val="000000"/>
              </w:rPr>
              <w:t>Other Clarity &amp; Streamlining Changes</w:t>
            </w:r>
          </w:p>
        </w:tc>
        <w:tc>
          <w:tcPr>
            <w:tcW w:w="1620" w:type="dxa"/>
            <w:tcBorders>
              <w:left w:val="nil"/>
              <w:right w:val="nil"/>
            </w:tcBorders>
            <w:shd w:val="clear" w:color="auto" w:fill="auto"/>
            <w:noWrap/>
            <w:vAlign w:val="bottom"/>
          </w:tcPr>
          <w:p w:rsidR="00FB1722" w:rsidRPr="002D3263" w:rsidP="00EF4CBB" w14:paraId="75F1D89D" w14:textId="57D54150">
            <w:pPr>
              <w:widowControl/>
              <w:jc w:val="right"/>
              <w:rPr>
                <w:rFonts w:ascii="Calibri" w:hAnsi="Calibri"/>
                <w:b/>
                <w:bCs/>
                <w:color w:val="000000"/>
              </w:rPr>
            </w:pPr>
            <w:r w:rsidRPr="002D3263">
              <w:rPr>
                <w:rFonts w:ascii="Calibri" w:hAnsi="Calibri" w:cs="Calibri"/>
                <w:color w:val="000000"/>
              </w:rPr>
              <w:t>Not Quantified</w:t>
            </w:r>
          </w:p>
        </w:tc>
        <w:tc>
          <w:tcPr>
            <w:tcW w:w="1620" w:type="dxa"/>
            <w:tcBorders>
              <w:left w:val="nil"/>
              <w:right w:val="nil"/>
            </w:tcBorders>
            <w:shd w:val="clear" w:color="auto" w:fill="auto"/>
            <w:noWrap/>
            <w:vAlign w:val="bottom"/>
          </w:tcPr>
          <w:p w:rsidR="00FB1722" w:rsidRPr="002D3263" w:rsidP="00EF4CBB" w14:paraId="5A0FEB4E" w14:textId="2B377AB9">
            <w:pPr>
              <w:widowControl/>
              <w:jc w:val="right"/>
              <w:rPr>
                <w:rFonts w:ascii="Calibri" w:hAnsi="Calibri"/>
                <w:b/>
                <w:bCs/>
                <w:color w:val="000000"/>
              </w:rPr>
            </w:pPr>
            <w:r w:rsidRPr="002D3263">
              <w:rPr>
                <w:rFonts w:ascii="Calibri" w:hAnsi="Calibri" w:cs="Calibri"/>
                <w:color w:val="000000"/>
              </w:rPr>
              <w:t>Not Quantified</w:t>
            </w:r>
          </w:p>
        </w:tc>
        <w:tc>
          <w:tcPr>
            <w:tcW w:w="1620" w:type="dxa"/>
            <w:tcBorders>
              <w:left w:val="nil"/>
            </w:tcBorders>
            <w:shd w:val="clear" w:color="auto" w:fill="auto"/>
            <w:noWrap/>
            <w:vAlign w:val="bottom"/>
          </w:tcPr>
          <w:p w:rsidR="00FB1722" w:rsidRPr="002D3263" w:rsidP="00EF4CBB" w14:paraId="2FC2FB4F" w14:textId="0A6BCAD3">
            <w:pPr>
              <w:widowControl/>
              <w:jc w:val="right"/>
              <w:rPr>
                <w:rFonts w:ascii="Calibri" w:hAnsi="Calibri"/>
                <w:b/>
                <w:bCs/>
                <w:color w:val="000000"/>
              </w:rPr>
            </w:pPr>
            <w:r w:rsidRPr="002D3263">
              <w:rPr>
                <w:rFonts w:ascii="Calibri" w:hAnsi="Calibri" w:cs="Calibri"/>
                <w:color w:val="000000"/>
              </w:rPr>
              <w:t>Not Quantified</w:t>
            </w:r>
          </w:p>
        </w:tc>
        <w:tc>
          <w:tcPr>
            <w:tcW w:w="1620" w:type="dxa"/>
            <w:tcBorders>
              <w:left w:val="nil"/>
            </w:tcBorders>
            <w:vAlign w:val="bottom"/>
          </w:tcPr>
          <w:p w:rsidR="00FB1722" w:rsidRPr="002D3263" w:rsidP="00EF4CBB" w14:paraId="662FD5B8" w14:textId="6450BC4B">
            <w:pPr>
              <w:widowControl/>
              <w:jc w:val="right"/>
              <w:rPr>
                <w:rFonts w:ascii="Calibri" w:hAnsi="Calibri"/>
                <w:b/>
                <w:bCs/>
                <w:color w:val="000000"/>
              </w:rPr>
            </w:pPr>
            <w:r w:rsidRPr="002D3263">
              <w:rPr>
                <w:rFonts w:ascii="Calibri" w:hAnsi="Calibri" w:cs="Calibri"/>
                <w:color w:val="000000"/>
              </w:rPr>
              <w:t>Not Quantified</w:t>
            </w:r>
          </w:p>
        </w:tc>
      </w:tr>
      <w:tr w14:paraId="7B1FED00" w14:textId="77777777" w:rsidTr="00BC5A99">
        <w:tblPrEx>
          <w:tblW w:w="9630" w:type="dxa"/>
          <w:tblInd w:w="-180" w:type="dxa"/>
          <w:tblLayout w:type="fixed"/>
          <w:tblLook w:val="04A0"/>
        </w:tblPrEx>
        <w:trPr>
          <w:trHeight w:val="196"/>
        </w:trPr>
        <w:tc>
          <w:tcPr>
            <w:tcW w:w="3150" w:type="dxa"/>
            <w:tcBorders>
              <w:bottom w:val="single" w:sz="4" w:space="0" w:color="auto"/>
              <w:right w:val="nil"/>
            </w:tcBorders>
            <w:shd w:val="clear" w:color="auto" w:fill="auto"/>
            <w:noWrap/>
            <w:hideMark/>
          </w:tcPr>
          <w:p w:rsidR="00FA2677" w:rsidRPr="002D3263" w:rsidP="00FA2677" w14:paraId="7561C28C" w14:textId="77777777">
            <w:pPr>
              <w:keepNext/>
              <w:widowControl/>
              <w:spacing w:line="240" w:lineRule="auto"/>
              <w:rPr>
                <w:rFonts w:eastAsia="Times New Roman" w:cs="Times New Roman"/>
                <w:b/>
                <w:bCs/>
                <w:color w:val="000000"/>
              </w:rPr>
            </w:pPr>
            <w:r w:rsidRPr="002D3263">
              <w:rPr>
                <w:rFonts w:ascii="Calibri" w:hAnsi="Calibri"/>
                <w:b/>
                <w:bCs/>
                <w:color w:val="000000"/>
              </w:rPr>
              <w:t>Total Costs*</w:t>
            </w:r>
          </w:p>
        </w:tc>
        <w:tc>
          <w:tcPr>
            <w:tcW w:w="1620" w:type="dxa"/>
            <w:tcBorders>
              <w:left w:val="nil"/>
              <w:bottom w:val="single" w:sz="4" w:space="0" w:color="auto"/>
              <w:right w:val="nil"/>
            </w:tcBorders>
            <w:shd w:val="clear" w:color="auto" w:fill="auto"/>
            <w:noWrap/>
            <w:vAlign w:val="bottom"/>
          </w:tcPr>
          <w:p w:rsidR="00FA2677" w:rsidRPr="002D3263" w:rsidP="00FA2677" w14:paraId="42715EBC" w14:textId="16758864">
            <w:pPr>
              <w:widowControl/>
              <w:jc w:val="right"/>
              <w:rPr>
                <w:rFonts w:ascii="Calibri" w:hAnsi="Calibri"/>
                <w:b/>
                <w:bCs/>
                <w:color w:val="000000"/>
              </w:rPr>
            </w:pPr>
            <w:r>
              <w:rPr>
                <w:rFonts w:ascii="Calibri" w:hAnsi="Calibri" w:cs="Calibri"/>
                <w:b/>
                <w:bCs/>
                <w:color w:val="000000"/>
              </w:rPr>
              <w:t xml:space="preserve">$2,186,841 </w:t>
            </w:r>
          </w:p>
        </w:tc>
        <w:tc>
          <w:tcPr>
            <w:tcW w:w="1620" w:type="dxa"/>
            <w:tcBorders>
              <w:left w:val="nil"/>
              <w:bottom w:val="single" w:sz="4" w:space="0" w:color="auto"/>
              <w:right w:val="nil"/>
            </w:tcBorders>
            <w:shd w:val="clear" w:color="auto" w:fill="auto"/>
            <w:noWrap/>
            <w:vAlign w:val="bottom"/>
          </w:tcPr>
          <w:p w:rsidR="00FA2677" w:rsidRPr="002D3263" w:rsidP="00FA2677" w14:paraId="124C1F1A" w14:textId="35FE34E1">
            <w:pPr>
              <w:widowControl/>
              <w:jc w:val="right"/>
              <w:rPr>
                <w:rFonts w:ascii="Calibri" w:hAnsi="Calibri"/>
                <w:b/>
                <w:bCs/>
                <w:color w:val="000000"/>
              </w:rPr>
            </w:pPr>
            <w:r>
              <w:rPr>
                <w:rFonts w:ascii="Calibri" w:hAnsi="Calibri" w:cs="Calibri"/>
                <w:b/>
                <w:bCs/>
                <w:color w:val="000000"/>
              </w:rPr>
              <w:t xml:space="preserve">$2,410,833 </w:t>
            </w:r>
          </w:p>
        </w:tc>
        <w:tc>
          <w:tcPr>
            <w:tcW w:w="1620" w:type="dxa"/>
            <w:tcBorders>
              <w:left w:val="nil"/>
              <w:bottom w:val="single" w:sz="4" w:space="0" w:color="auto"/>
            </w:tcBorders>
            <w:shd w:val="clear" w:color="auto" w:fill="auto"/>
            <w:noWrap/>
            <w:vAlign w:val="bottom"/>
          </w:tcPr>
          <w:p w:rsidR="00FA2677" w:rsidRPr="002D3263" w:rsidP="00FA2677" w14:paraId="0D51E2E5" w14:textId="743F5954">
            <w:pPr>
              <w:widowControl/>
              <w:jc w:val="right"/>
              <w:rPr>
                <w:rFonts w:ascii="Calibri" w:hAnsi="Calibri"/>
                <w:b/>
                <w:bCs/>
                <w:color w:val="000000"/>
              </w:rPr>
            </w:pPr>
            <w:r>
              <w:rPr>
                <w:rFonts w:ascii="Calibri" w:hAnsi="Calibri" w:cs="Calibri"/>
                <w:b/>
                <w:bCs/>
                <w:color w:val="000000"/>
              </w:rPr>
              <w:t xml:space="preserve">$311,357 </w:t>
            </w:r>
          </w:p>
        </w:tc>
        <w:tc>
          <w:tcPr>
            <w:tcW w:w="1620" w:type="dxa"/>
            <w:tcBorders>
              <w:left w:val="nil"/>
              <w:bottom w:val="single" w:sz="4" w:space="0" w:color="auto"/>
            </w:tcBorders>
            <w:vAlign w:val="bottom"/>
          </w:tcPr>
          <w:p w:rsidR="00FA2677" w:rsidRPr="002D3263" w:rsidP="00FA2677" w14:paraId="197A1262" w14:textId="3D52D132">
            <w:pPr>
              <w:widowControl/>
              <w:jc w:val="right"/>
              <w:rPr>
                <w:rFonts w:ascii="Calibri" w:hAnsi="Calibri"/>
                <w:b/>
                <w:bCs/>
                <w:color w:val="000000"/>
              </w:rPr>
            </w:pPr>
            <w:r>
              <w:rPr>
                <w:rFonts w:ascii="Calibri" w:hAnsi="Calibri" w:cs="Calibri"/>
                <w:b/>
                <w:bCs/>
                <w:color w:val="000000"/>
              </w:rPr>
              <w:t xml:space="preserve">$282,623 </w:t>
            </w:r>
          </w:p>
        </w:tc>
      </w:tr>
      <w:tr w14:paraId="49819D7E" w14:textId="77777777" w:rsidTr="00BC5A99">
        <w:tblPrEx>
          <w:tblW w:w="9630" w:type="dxa"/>
          <w:tblInd w:w="-180" w:type="dxa"/>
          <w:tblLayout w:type="fixed"/>
          <w:tblLook w:val="04A0"/>
        </w:tblPrEx>
        <w:trPr>
          <w:trHeight w:val="174"/>
        </w:trPr>
        <w:tc>
          <w:tcPr>
            <w:tcW w:w="3150" w:type="dxa"/>
            <w:tcBorders>
              <w:top w:val="nil"/>
              <w:bottom w:val="nil"/>
              <w:right w:val="nil"/>
            </w:tcBorders>
            <w:shd w:val="clear" w:color="auto" w:fill="auto"/>
            <w:noWrap/>
            <w:hideMark/>
          </w:tcPr>
          <w:p w:rsidR="00072244" w:rsidRPr="002D3263" w:rsidP="00634AAC" w14:paraId="12D40A12" w14:textId="77777777">
            <w:pPr>
              <w:keepNext/>
              <w:widowControl/>
              <w:spacing w:line="240" w:lineRule="auto"/>
              <w:rPr>
                <w:rFonts w:eastAsia="Times New Roman" w:cs="Times New Roman"/>
                <w:b/>
                <w:bCs/>
                <w:color w:val="000000"/>
              </w:rPr>
            </w:pPr>
            <w:r w:rsidRPr="002D3263">
              <w:rPr>
                <w:rFonts w:eastAsia="Times New Roman" w:cs="Times New Roman"/>
                <w:b/>
                <w:bCs/>
                <w:color w:val="000000"/>
              </w:rPr>
              <w:t>Benefits</w:t>
            </w:r>
          </w:p>
        </w:tc>
        <w:tc>
          <w:tcPr>
            <w:tcW w:w="1620" w:type="dxa"/>
            <w:tcBorders>
              <w:top w:val="nil"/>
              <w:left w:val="nil"/>
              <w:bottom w:val="nil"/>
              <w:right w:val="nil"/>
            </w:tcBorders>
            <w:shd w:val="clear" w:color="auto" w:fill="auto"/>
            <w:noWrap/>
          </w:tcPr>
          <w:p w:rsidR="00072244" w:rsidRPr="002D3263" w:rsidP="00D2312D" w14:paraId="6B930BC2" w14:textId="77777777">
            <w:pPr>
              <w:keepNext/>
              <w:widowControl/>
              <w:spacing w:line="240" w:lineRule="auto"/>
              <w:jc w:val="right"/>
              <w:rPr>
                <w:rFonts w:eastAsia="Times New Roman" w:cs="Times New Roman"/>
                <w:color w:val="000000"/>
              </w:rPr>
            </w:pPr>
          </w:p>
        </w:tc>
        <w:tc>
          <w:tcPr>
            <w:tcW w:w="1620" w:type="dxa"/>
            <w:tcBorders>
              <w:top w:val="nil"/>
              <w:left w:val="nil"/>
              <w:bottom w:val="nil"/>
              <w:right w:val="nil"/>
            </w:tcBorders>
            <w:shd w:val="clear" w:color="auto" w:fill="auto"/>
            <w:noWrap/>
          </w:tcPr>
          <w:p w:rsidR="00072244" w:rsidRPr="002D3263" w:rsidP="00EF4CBB" w14:paraId="03370CAA" w14:textId="77777777">
            <w:pPr>
              <w:keepNext/>
              <w:widowControl/>
              <w:spacing w:line="240" w:lineRule="auto"/>
              <w:jc w:val="right"/>
              <w:rPr>
                <w:rFonts w:eastAsia="Times New Roman" w:cs="Times New Roman"/>
                <w:color w:val="000000"/>
              </w:rPr>
            </w:pPr>
          </w:p>
        </w:tc>
        <w:tc>
          <w:tcPr>
            <w:tcW w:w="1620" w:type="dxa"/>
            <w:tcBorders>
              <w:top w:val="nil"/>
              <w:left w:val="nil"/>
              <w:bottom w:val="nil"/>
            </w:tcBorders>
            <w:shd w:val="clear" w:color="auto" w:fill="auto"/>
            <w:noWrap/>
          </w:tcPr>
          <w:p w:rsidR="00072244" w:rsidRPr="002D3263" w:rsidP="00EF4CBB" w14:paraId="71ED7A8B" w14:textId="77777777">
            <w:pPr>
              <w:keepNext/>
              <w:widowControl/>
              <w:spacing w:line="240" w:lineRule="auto"/>
              <w:jc w:val="right"/>
              <w:rPr>
                <w:rFonts w:eastAsia="Times New Roman" w:cs="Times New Roman"/>
                <w:color w:val="000000"/>
              </w:rPr>
            </w:pPr>
          </w:p>
        </w:tc>
        <w:tc>
          <w:tcPr>
            <w:tcW w:w="1620" w:type="dxa"/>
            <w:tcBorders>
              <w:top w:val="nil"/>
              <w:left w:val="nil"/>
              <w:bottom w:val="nil"/>
            </w:tcBorders>
          </w:tcPr>
          <w:p w:rsidR="00072244" w:rsidRPr="002D3263" w:rsidP="00EF4CBB" w14:paraId="3E832DD2" w14:textId="77777777">
            <w:pPr>
              <w:keepNext/>
              <w:widowControl/>
              <w:spacing w:line="240" w:lineRule="auto"/>
              <w:jc w:val="right"/>
              <w:rPr>
                <w:rFonts w:eastAsia="Times New Roman" w:cs="Times New Roman"/>
                <w:color w:val="000000"/>
              </w:rPr>
            </w:pPr>
          </w:p>
        </w:tc>
      </w:tr>
      <w:tr w14:paraId="67EBF25B" w14:textId="77777777" w:rsidTr="00BC5A99">
        <w:tblPrEx>
          <w:tblW w:w="9630" w:type="dxa"/>
          <w:tblInd w:w="-180" w:type="dxa"/>
          <w:tblLayout w:type="fixed"/>
          <w:tblLook w:val="04A0"/>
        </w:tblPrEx>
        <w:trPr>
          <w:trHeight w:val="196"/>
        </w:trPr>
        <w:tc>
          <w:tcPr>
            <w:tcW w:w="3150" w:type="dxa"/>
            <w:tcBorders>
              <w:top w:val="nil"/>
              <w:bottom w:val="nil"/>
              <w:right w:val="nil"/>
            </w:tcBorders>
            <w:shd w:val="clear" w:color="auto" w:fill="auto"/>
            <w:noWrap/>
            <w:hideMark/>
          </w:tcPr>
          <w:p w:rsidR="00072244" w:rsidRPr="002D3263" w:rsidP="00EF4CBB" w14:paraId="0C83BA33" w14:textId="77777777">
            <w:pPr>
              <w:widowControl/>
              <w:ind w:firstLine="220" w:firstLineChars="100"/>
              <w:rPr>
                <w:rFonts w:ascii="Calibri" w:hAnsi="Calibri"/>
                <w:color w:val="000000"/>
              </w:rPr>
            </w:pPr>
            <w:r w:rsidRPr="002D3263">
              <w:rPr>
                <w:rFonts w:ascii="Calibri" w:hAnsi="Calibri"/>
                <w:color w:val="000000"/>
              </w:rPr>
              <w:t>Equity &amp; Fairness</w:t>
            </w:r>
          </w:p>
        </w:tc>
        <w:tc>
          <w:tcPr>
            <w:tcW w:w="1620" w:type="dxa"/>
            <w:tcBorders>
              <w:top w:val="nil"/>
              <w:left w:val="nil"/>
              <w:bottom w:val="nil"/>
              <w:right w:val="nil"/>
            </w:tcBorders>
            <w:shd w:val="clear" w:color="auto" w:fill="auto"/>
            <w:noWrap/>
          </w:tcPr>
          <w:p w:rsidR="00072244" w:rsidRPr="002D3263" w:rsidP="00EF4CBB" w14:paraId="348AFEAF" w14:textId="77777777">
            <w:pPr>
              <w:widowControl/>
              <w:jc w:val="right"/>
              <w:rPr>
                <w:rFonts w:ascii="Calibri" w:hAnsi="Calibri"/>
                <w:color w:val="000000"/>
              </w:rPr>
            </w:pPr>
            <w:r w:rsidRPr="002D3263">
              <w:rPr>
                <w:rFonts w:ascii="Calibri" w:hAnsi="Calibri"/>
                <w:color w:val="000000"/>
              </w:rPr>
              <w:t>Not Quantified</w:t>
            </w:r>
          </w:p>
        </w:tc>
        <w:tc>
          <w:tcPr>
            <w:tcW w:w="1620" w:type="dxa"/>
            <w:tcBorders>
              <w:top w:val="nil"/>
              <w:left w:val="nil"/>
              <w:bottom w:val="nil"/>
              <w:right w:val="nil"/>
            </w:tcBorders>
            <w:shd w:val="clear" w:color="auto" w:fill="auto"/>
            <w:noWrap/>
          </w:tcPr>
          <w:p w:rsidR="00072244" w:rsidRPr="002D3263" w:rsidP="00EF4CBB" w14:paraId="53595657" w14:textId="77777777">
            <w:pPr>
              <w:widowControl/>
              <w:jc w:val="right"/>
              <w:rPr>
                <w:rFonts w:ascii="Calibri" w:hAnsi="Calibri"/>
                <w:color w:val="000000"/>
              </w:rPr>
            </w:pPr>
            <w:r w:rsidRPr="002D3263">
              <w:rPr>
                <w:rFonts w:ascii="Calibri" w:hAnsi="Calibri"/>
                <w:color w:val="000000"/>
              </w:rPr>
              <w:t>Not Quantified</w:t>
            </w:r>
          </w:p>
        </w:tc>
        <w:tc>
          <w:tcPr>
            <w:tcW w:w="1620" w:type="dxa"/>
            <w:tcBorders>
              <w:top w:val="nil"/>
              <w:left w:val="nil"/>
              <w:bottom w:val="nil"/>
            </w:tcBorders>
            <w:shd w:val="clear" w:color="auto" w:fill="auto"/>
            <w:noWrap/>
          </w:tcPr>
          <w:p w:rsidR="00072244" w:rsidRPr="002D3263" w:rsidP="00EF4CBB" w14:paraId="25522E7C" w14:textId="77777777">
            <w:pPr>
              <w:widowControl/>
              <w:jc w:val="right"/>
              <w:rPr>
                <w:rFonts w:ascii="Calibri" w:hAnsi="Calibri"/>
                <w:color w:val="000000"/>
              </w:rPr>
            </w:pPr>
            <w:r w:rsidRPr="002D3263">
              <w:rPr>
                <w:rFonts w:ascii="Calibri" w:hAnsi="Calibri"/>
                <w:color w:val="000000"/>
              </w:rPr>
              <w:t>Not Quantified</w:t>
            </w:r>
          </w:p>
        </w:tc>
        <w:tc>
          <w:tcPr>
            <w:tcW w:w="1620" w:type="dxa"/>
            <w:tcBorders>
              <w:top w:val="nil"/>
              <w:left w:val="nil"/>
              <w:bottom w:val="nil"/>
            </w:tcBorders>
          </w:tcPr>
          <w:p w:rsidR="00072244" w:rsidRPr="002D3263" w:rsidP="00EF4CBB" w14:paraId="5CCE0D95" w14:textId="77777777">
            <w:pPr>
              <w:widowControl/>
              <w:jc w:val="right"/>
              <w:rPr>
                <w:rFonts w:ascii="Calibri" w:hAnsi="Calibri"/>
                <w:color w:val="000000"/>
              </w:rPr>
            </w:pPr>
            <w:r w:rsidRPr="002D3263">
              <w:rPr>
                <w:rFonts w:ascii="Calibri" w:hAnsi="Calibri"/>
                <w:color w:val="000000"/>
              </w:rPr>
              <w:t>Not Quantified</w:t>
            </w:r>
          </w:p>
        </w:tc>
      </w:tr>
      <w:tr w14:paraId="30B02E18" w14:textId="77777777" w:rsidTr="00BC5A99">
        <w:tblPrEx>
          <w:tblW w:w="9630" w:type="dxa"/>
          <w:tblInd w:w="-180" w:type="dxa"/>
          <w:tblLayout w:type="fixed"/>
          <w:tblLook w:val="04A0"/>
        </w:tblPrEx>
        <w:trPr>
          <w:trHeight w:val="196"/>
        </w:trPr>
        <w:tc>
          <w:tcPr>
            <w:tcW w:w="3150" w:type="dxa"/>
            <w:tcBorders>
              <w:top w:val="nil"/>
              <w:right w:val="nil"/>
            </w:tcBorders>
            <w:shd w:val="clear" w:color="auto" w:fill="auto"/>
            <w:noWrap/>
            <w:hideMark/>
          </w:tcPr>
          <w:p w:rsidR="00072244" w:rsidRPr="002D3263" w:rsidP="00EF4CBB" w14:paraId="61BD761B" w14:textId="77777777">
            <w:pPr>
              <w:widowControl/>
              <w:ind w:firstLine="220" w:firstLineChars="100"/>
              <w:rPr>
                <w:rFonts w:ascii="Calibri" w:hAnsi="Calibri"/>
                <w:color w:val="000000"/>
              </w:rPr>
            </w:pPr>
            <w:r w:rsidRPr="002D3263">
              <w:rPr>
                <w:rFonts w:ascii="Calibri" w:hAnsi="Calibri"/>
                <w:color w:val="000000"/>
              </w:rPr>
              <w:t>Program Oversight</w:t>
            </w:r>
          </w:p>
        </w:tc>
        <w:tc>
          <w:tcPr>
            <w:tcW w:w="1620" w:type="dxa"/>
            <w:tcBorders>
              <w:top w:val="nil"/>
              <w:left w:val="nil"/>
              <w:right w:val="nil"/>
            </w:tcBorders>
            <w:shd w:val="clear" w:color="auto" w:fill="auto"/>
            <w:noWrap/>
          </w:tcPr>
          <w:p w:rsidR="00072244" w:rsidRPr="002D3263" w:rsidP="00EF4CBB" w14:paraId="3C68DCF9" w14:textId="77777777">
            <w:pPr>
              <w:widowControl/>
              <w:jc w:val="right"/>
              <w:rPr>
                <w:rFonts w:ascii="Calibri" w:hAnsi="Calibri"/>
                <w:color w:val="000000"/>
              </w:rPr>
            </w:pPr>
            <w:r w:rsidRPr="002D3263">
              <w:rPr>
                <w:rFonts w:ascii="Calibri" w:hAnsi="Calibri"/>
                <w:color w:val="000000"/>
              </w:rPr>
              <w:t>Not Quantified</w:t>
            </w:r>
          </w:p>
        </w:tc>
        <w:tc>
          <w:tcPr>
            <w:tcW w:w="1620" w:type="dxa"/>
            <w:tcBorders>
              <w:top w:val="nil"/>
              <w:left w:val="nil"/>
              <w:right w:val="nil"/>
            </w:tcBorders>
            <w:shd w:val="clear" w:color="auto" w:fill="auto"/>
            <w:noWrap/>
          </w:tcPr>
          <w:p w:rsidR="00072244" w:rsidRPr="002D3263" w:rsidP="00EF4CBB" w14:paraId="1DF21D44" w14:textId="77777777">
            <w:pPr>
              <w:widowControl/>
              <w:jc w:val="right"/>
              <w:rPr>
                <w:rFonts w:ascii="Calibri" w:hAnsi="Calibri"/>
                <w:b/>
                <w:color w:val="000000"/>
              </w:rPr>
            </w:pPr>
            <w:r w:rsidRPr="002D3263">
              <w:rPr>
                <w:rFonts w:ascii="Calibri" w:hAnsi="Calibri"/>
                <w:color w:val="000000"/>
              </w:rPr>
              <w:t>Not Quantified</w:t>
            </w:r>
          </w:p>
        </w:tc>
        <w:tc>
          <w:tcPr>
            <w:tcW w:w="1620" w:type="dxa"/>
            <w:tcBorders>
              <w:top w:val="nil"/>
              <w:left w:val="nil"/>
            </w:tcBorders>
            <w:shd w:val="clear" w:color="auto" w:fill="auto"/>
            <w:noWrap/>
          </w:tcPr>
          <w:p w:rsidR="00072244" w:rsidRPr="002D3263" w:rsidP="00EF4CBB" w14:paraId="6C598740" w14:textId="77777777">
            <w:pPr>
              <w:widowControl/>
              <w:jc w:val="right"/>
              <w:rPr>
                <w:rFonts w:ascii="Calibri" w:hAnsi="Calibri"/>
                <w:color w:val="000000"/>
              </w:rPr>
            </w:pPr>
            <w:r w:rsidRPr="002D3263">
              <w:rPr>
                <w:rFonts w:ascii="Calibri" w:hAnsi="Calibri"/>
                <w:color w:val="000000"/>
              </w:rPr>
              <w:t>Not Quantified</w:t>
            </w:r>
          </w:p>
        </w:tc>
        <w:tc>
          <w:tcPr>
            <w:tcW w:w="1620" w:type="dxa"/>
            <w:tcBorders>
              <w:top w:val="nil"/>
              <w:left w:val="nil"/>
            </w:tcBorders>
          </w:tcPr>
          <w:p w:rsidR="00072244" w:rsidRPr="002D3263" w:rsidP="00EF4CBB" w14:paraId="41A6A261" w14:textId="77777777">
            <w:pPr>
              <w:widowControl/>
              <w:jc w:val="right"/>
              <w:rPr>
                <w:rFonts w:ascii="Calibri" w:hAnsi="Calibri"/>
                <w:color w:val="000000"/>
              </w:rPr>
            </w:pPr>
            <w:r w:rsidRPr="002D3263">
              <w:rPr>
                <w:rFonts w:ascii="Calibri" w:hAnsi="Calibri"/>
                <w:color w:val="000000"/>
              </w:rPr>
              <w:t>Not Quantified</w:t>
            </w:r>
          </w:p>
        </w:tc>
      </w:tr>
      <w:tr w14:paraId="7C358B71" w14:textId="77777777" w:rsidTr="00BC5A99">
        <w:tblPrEx>
          <w:tblW w:w="9630" w:type="dxa"/>
          <w:tblInd w:w="-180" w:type="dxa"/>
          <w:tblLayout w:type="fixed"/>
          <w:tblLook w:val="04A0"/>
        </w:tblPrEx>
        <w:trPr>
          <w:trHeight w:val="288"/>
        </w:trPr>
        <w:tc>
          <w:tcPr>
            <w:tcW w:w="9630" w:type="dxa"/>
            <w:gridSpan w:val="5"/>
            <w:tcBorders>
              <w:top w:val="single" w:sz="4" w:space="0" w:color="auto"/>
            </w:tcBorders>
            <w:shd w:val="clear" w:color="auto" w:fill="auto"/>
            <w:noWrap/>
            <w:vAlign w:val="bottom"/>
          </w:tcPr>
          <w:p w:rsidR="00072244" w:rsidRPr="002D3263" w:rsidP="00EF4CBB" w14:paraId="71E513CD" w14:textId="77777777">
            <w:pPr>
              <w:widowControl/>
              <w:rPr>
                <w:rFonts w:ascii="Calibri" w:hAnsi="Calibri"/>
                <w:color w:val="000000"/>
              </w:rPr>
            </w:pPr>
            <w:r w:rsidRPr="002D3263">
              <w:rPr>
                <w:rFonts w:ascii="Calibri" w:hAnsi="Calibri"/>
                <w:color w:val="000000"/>
              </w:rPr>
              <w:t>*Totals may not match sums due to rounding</w:t>
            </w:r>
          </w:p>
        </w:tc>
      </w:tr>
    </w:tbl>
    <w:p w:rsidR="00B128E1" w:rsidRPr="002D3263" w:rsidP="00EF4CBB" w14:paraId="2D336484" w14:textId="77777777">
      <w:pPr>
        <w:widowControl/>
      </w:pPr>
    </w:p>
    <w:p w:rsidR="00DD4F27" w:rsidRPr="00D6005F" w:rsidP="00D6005F" w14:paraId="27A3D62D" w14:textId="77777777">
      <w:pPr>
        <w:pStyle w:val="Caption"/>
      </w:pPr>
    </w:p>
    <w:p w:rsidR="00D661D5" w:rsidRPr="002D3263" w:rsidP="00D6005F" w14:paraId="535C34FE" w14:textId="4EC22E06">
      <w:pPr>
        <w:pStyle w:val="Caption"/>
      </w:pPr>
      <w:r w:rsidRPr="002D3263">
        <w:t>Transfers to Displaced Persons for Analysis Period 20</w:t>
      </w:r>
      <w:r w:rsidRPr="002D3263" w:rsidR="00881D85">
        <w:t>2</w:t>
      </w:r>
      <w:r w:rsidRPr="002D3263" w:rsidR="009E321B">
        <w:t>3</w:t>
      </w:r>
      <w:r w:rsidRPr="002D3263">
        <w:t>—20</w:t>
      </w:r>
      <w:r w:rsidRPr="002D3263" w:rsidR="00881D85">
        <w:t>3</w:t>
      </w:r>
      <w:r w:rsidRPr="002D3263" w:rsidR="009E321B">
        <w:t>2</w:t>
      </w:r>
      <w:r w:rsidRPr="002D3263">
        <w:t xml:space="preserve"> (FHWA)</w:t>
      </w:r>
    </w:p>
    <w:tbl>
      <w:tblPr>
        <w:tblW w:w="9630" w:type="dxa"/>
        <w:tblLayout w:type="fixed"/>
        <w:tblLook w:val="04A0"/>
      </w:tblPr>
      <w:tblGrid>
        <w:gridCol w:w="3155"/>
        <w:gridCol w:w="1598"/>
        <w:gridCol w:w="1598"/>
        <w:gridCol w:w="1659"/>
        <w:gridCol w:w="1620"/>
      </w:tblGrid>
      <w:tr w14:paraId="5FE5EE82" w14:textId="77777777" w:rsidTr="008A4DC9">
        <w:tblPrEx>
          <w:tblW w:w="9630" w:type="dxa"/>
          <w:tblLayout w:type="fixed"/>
          <w:tblLook w:val="04A0"/>
        </w:tblPrEx>
        <w:trPr>
          <w:trHeight w:val="391"/>
        </w:trPr>
        <w:tc>
          <w:tcPr>
            <w:tcW w:w="3155" w:type="dxa"/>
            <w:tcBorders>
              <w:bottom w:val="single" w:sz="4" w:space="0" w:color="auto"/>
              <w:right w:val="nil"/>
            </w:tcBorders>
            <w:shd w:val="clear" w:color="auto" w:fill="auto"/>
            <w:noWrap/>
            <w:vAlign w:val="center"/>
            <w:hideMark/>
          </w:tcPr>
          <w:p w:rsidR="00D661D5" w:rsidRPr="002D3263" w:rsidP="00EF4CBB" w14:paraId="1369DA67" w14:textId="77777777">
            <w:pPr>
              <w:keepNext/>
              <w:widowControl/>
              <w:spacing w:line="240" w:lineRule="auto"/>
              <w:jc w:val="center"/>
              <w:rPr>
                <w:rFonts w:ascii="Calibri" w:hAnsi="Calibri"/>
                <w:b/>
                <w:color w:val="000000"/>
              </w:rPr>
            </w:pPr>
            <w:r w:rsidRPr="002D3263">
              <w:rPr>
                <w:rFonts w:ascii="Calibri" w:hAnsi="Calibri"/>
                <w:b/>
                <w:color w:val="000000"/>
              </w:rPr>
              <w:t>Item</w:t>
            </w:r>
          </w:p>
        </w:tc>
        <w:tc>
          <w:tcPr>
            <w:tcW w:w="1598" w:type="dxa"/>
            <w:tcBorders>
              <w:left w:val="nil"/>
              <w:bottom w:val="single" w:sz="4" w:space="0" w:color="auto"/>
              <w:right w:val="nil"/>
            </w:tcBorders>
            <w:shd w:val="clear" w:color="auto" w:fill="auto"/>
            <w:noWrap/>
            <w:vAlign w:val="center"/>
            <w:hideMark/>
          </w:tcPr>
          <w:p w:rsidR="00D661D5" w:rsidRPr="002D3263" w:rsidP="00EF4CBB" w14:paraId="5EEC6AFF" w14:textId="77777777">
            <w:pPr>
              <w:keepNext/>
              <w:widowControl/>
              <w:spacing w:line="240" w:lineRule="auto"/>
              <w:jc w:val="right"/>
              <w:rPr>
                <w:rFonts w:ascii="Calibri" w:hAnsi="Calibri"/>
                <w:b/>
                <w:color w:val="000000"/>
              </w:rPr>
            </w:pPr>
            <w:r w:rsidRPr="002D3263">
              <w:rPr>
                <w:rFonts w:ascii="Calibri" w:hAnsi="Calibri"/>
                <w:b/>
                <w:color w:val="000000"/>
              </w:rPr>
              <w:t>Discounted 7%</w:t>
            </w:r>
          </w:p>
        </w:tc>
        <w:tc>
          <w:tcPr>
            <w:tcW w:w="1598" w:type="dxa"/>
            <w:tcBorders>
              <w:left w:val="nil"/>
              <w:bottom w:val="single" w:sz="4" w:space="0" w:color="auto"/>
              <w:right w:val="nil"/>
            </w:tcBorders>
            <w:shd w:val="clear" w:color="auto" w:fill="auto"/>
            <w:noWrap/>
            <w:vAlign w:val="center"/>
            <w:hideMark/>
          </w:tcPr>
          <w:p w:rsidR="00D661D5" w:rsidRPr="002D3263" w:rsidP="00EF4CBB" w14:paraId="2ED1A0B7" w14:textId="77777777">
            <w:pPr>
              <w:keepNext/>
              <w:widowControl/>
              <w:spacing w:line="240" w:lineRule="auto"/>
              <w:jc w:val="center"/>
              <w:rPr>
                <w:rFonts w:ascii="Calibri" w:hAnsi="Calibri"/>
                <w:b/>
                <w:color w:val="000000"/>
              </w:rPr>
            </w:pPr>
            <w:r w:rsidRPr="002D3263">
              <w:rPr>
                <w:rFonts w:ascii="Calibri" w:hAnsi="Calibri"/>
                <w:b/>
                <w:color w:val="000000"/>
              </w:rPr>
              <w:t>Discounted 3%</w:t>
            </w:r>
          </w:p>
        </w:tc>
        <w:tc>
          <w:tcPr>
            <w:tcW w:w="1659" w:type="dxa"/>
            <w:tcBorders>
              <w:left w:val="nil"/>
              <w:bottom w:val="single" w:sz="4" w:space="0" w:color="auto"/>
            </w:tcBorders>
            <w:shd w:val="clear" w:color="auto" w:fill="auto"/>
            <w:noWrap/>
            <w:vAlign w:val="center"/>
            <w:hideMark/>
          </w:tcPr>
          <w:p w:rsidR="00D661D5" w:rsidRPr="002D3263" w:rsidP="00EF4CBB" w14:paraId="3B0F4B6C" w14:textId="77777777">
            <w:pPr>
              <w:keepNext/>
              <w:widowControl/>
              <w:spacing w:line="240" w:lineRule="auto"/>
              <w:jc w:val="center"/>
              <w:rPr>
                <w:rFonts w:ascii="Calibri" w:hAnsi="Calibri"/>
                <w:b/>
                <w:color w:val="000000"/>
              </w:rPr>
            </w:pPr>
            <w:r w:rsidRPr="002D3263">
              <w:rPr>
                <w:rFonts w:ascii="Calibri" w:hAnsi="Calibri"/>
                <w:b/>
                <w:color w:val="000000"/>
              </w:rPr>
              <w:t>Annualized 7%</w:t>
            </w:r>
          </w:p>
        </w:tc>
        <w:tc>
          <w:tcPr>
            <w:tcW w:w="1620" w:type="dxa"/>
            <w:tcBorders>
              <w:left w:val="nil"/>
              <w:bottom w:val="single" w:sz="4" w:space="0" w:color="auto"/>
            </w:tcBorders>
            <w:vAlign w:val="center"/>
          </w:tcPr>
          <w:p w:rsidR="00D661D5" w:rsidRPr="002D3263" w:rsidP="00EF4CBB" w14:paraId="54CD37E3" w14:textId="77777777">
            <w:pPr>
              <w:keepNext/>
              <w:widowControl/>
              <w:spacing w:line="240" w:lineRule="auto"/>
              <w:jc w:val="center"/>
              <w:rPr>
                <w:rFonts w:ascii="Calibri" w:eastAsia="Times New Roman" w:hAnsi="Calibri" w:cs="Times New Roman"/>
                <w:b/>
                <w:bCs/>
                <w:color w:val="000000"/>
              </w:rPr>
            </w:pPr>
            <w:r w:rsidRPr="002D3263">
              <w:rPr>
                <w:rFonts w:ascii="Calibri" w:hAnsi="Calibri"/>
                <w:b/>
                <w:color w:val="000000"/>
              </w:rPr>
              <w:t>Annualized 3%</w:t>
            </w:r>
          </w:p>
        </w:tc>
      </w:tr>
      <w:tr w14:paraId="674B0C92" w14:textId="77777777" w:rsidTr="008A4DC9">
        <w:tblPrEx>
          <w:tblW w:w="9630" w:type="dxa"/>
          <w:tblLayout w:type="fixed"/>
          <w:tblLook w:val="04A0"/>
        </w:tblPrEx>
        <w:trPr>
          <w:trHeight w:val="303"/>
        </w:trPr>
        <w:tc>
          <w:tcPr>
            <w:tcW w:w="3155" w:type="dxa"/>
            <w:tcBorders>
              <w:top w:val="nil"/>
              <w:bottom w:val="nil"/>
              <w:right w:val="nil"/>
            </w:tcBorders>
            <w:shd w:val="clear" w:color="auto" w:fill="auto"/>
            <w:noWrap/>
          </w:tcPr>
          <w:p w:rsidR="00F04A14" w:rsidRPr="002D3263" w:rsidP="00634AAC" w14:paraId="12FBD269" w14:textId="7DB7C9F6">
            <w:pPr>
              <w:keepNext/>
              <w:widowControl/>
              <w:spacing w:line="240" w:lineRule="auto"/>
              <w:rPr>
                <w:rFonts w:eastAsia="Times New Roman" w:cs="Times New Roman"/>
                <w:b/>
                <w:color w:val="000000"/>
              </w:rPr>
            </w:pPr>
            <w:r w:rsidRPr="002D3263">
              <w:rPr>
                <w:rFonts w:ascii="Calibri" w:hAnsi="Calibri"/>
                <w:b/>
                <w:bCs/>
                <w:color w:val="000000"/>
              </w:rPr>
              <w:t>Resident</w:t>
            </w:r>
            <w:r w:rsidRPr="002D3263" w:rsidR="00184090">
              <w:rPr>
                <w:rFonts w:ascii="Calibri" w:hAnsi="Calibri"/>
                <w:b/>
                <w:bCs/>
                <w:color w:val="000000"/>
              </w:rPr>
              <w:t>ial</w:t>
            </w:r>
          </w:p>
        </w:tc>
        <w:tc>
          <w:tcPr>
            <w:tcW w:w="1598" w:type="dxa"/>
            <w:tcBorders>
              <w:top w:val="nil"/>
              <w:left w:val="nil"/>
              <w:bottom w:val="nil"/>
              <w:right w:val="nil"/>
            </w:tcBorders>
            <w:shd w:val="clear" w:color="auto" w:fill="auto"/>
            <w:noWrap/>
            <w:vAlign w:val="center"/>
          </w:tcPr>
          <w:p w:rsidR="00D661D5" w:rsidRPr="002D3263" w:rsidP="00D2312D" w14:paraId="61C3D02C" w14:textId="49AC5D84">
            <w:pPr>
              <w:keepNext/>
              <w:widowControl/>
              <w:spacing w:line="240" w:lineRule="auto"/>
              <w:jc w:val="right"/>
              <w:rPr>
                <w:rFonts w:ascii="Calibri" w:eastAsia="Times New Roman" w:hAnsi="Calibri" w:cs="Times New Roman"/>
                <w:color w:val="000000"/>
              </w:rPr>
            </w:pPr>
          </w:p>
        </w:tc>
        <w:tc>
          <w:tcPr>
            <w:tcW w:w="1598" w:type="dxa"/>
            <w:tcBorders>
              <w:top w:val="nil"/>
              <w:left w:val="nil"/>
              <w:bottom w:val="nil"/>
              <w:right w:val="nil"/>
            </w:tcBorders>
            <w:shd w:val="clear" w:color="auto" w:fill="auto"/>
            <w:noWrap/>
            <w:vAlign w:val="center"/>
          </w:tcPr>
          <w:p w:rsidR="00D661D5" w:rsidRPr="002D3263" w:rsidP="00EF4CBB" w14:paraId="30161382" w14:textId="1A6838D2">
            <w:pPr>
              <w:keepNext/>
              <w:widowControl/>
              <w:spacing w:line="240" w:lineRule="auto"/>
              <w:jc w:val="right"/>
              <w:rPr>
                <w:rFonts w:ascii="Calibri" w:eastAsia="Times New Roman" w:hAnsi="Calibri" w:cs="Times New Roman"/>
                <w:color w:val="000000"/>
              </w:rPr>
            </w:pPr>
          </w:p>
        </w:tc>
        <w:tc>
          <w:tcPr>
            <w:tcW w:w="1659" w:type="dxa"/>
            <w:tcBorders>
              <w:top w:val="nil"/>
              <w:left w:val="nil"/>
              <w:bottom w:val="nil"/>
            </w:tcBorders>
            <w:shd w:val="clear" w:color="auto" w:fill="auto"/>
            <w:noWrap/>
            <w:vAlign w:val="center"/>
          </w:tcPr>
          <w:p w:rsidR="00D661D5" w:rsidRPr="002D3263" w:rsidP="00EF4CBB" w14:paraId="59F72ECD" w14:textId="2B589CF1">
            <w:pPr>
              <w:keepNext/>
              <w:widowControl/>
              <w:spacing w:line="240" w:lineRule="auto"/>
              <w:jc w:val="right"/>
              <w:rPr>
                <w:rFonts w:ascii="Calibri" w:eastAsia="Times New Roman" w:hAnsi="Calibri" w:cs="Times New Roman"/>
                <w:color w:val="000000"/>
              </w:rPr>
            </w:pPr>
          </w:p>
        </w:tc>
        <w:tc>
          <w:tcPr>
            <w:tcW w:w="1620" w:type="dxa"/>
            <w:tcBorders>
              <w:top w:val="nil"/>
              <w:left w:val="nil"/>
              <w:bottom w:val="nil"/>
            </w:tcBorders>
            <w:vAlign w:val="center"/>
          </w:tcPr>
          <w:p w:rsidR="00D661D5" w:rsidRPr="002D3263" w:rsidP="00EF4CBB" w14:paraId="7ACB60BC" w14:textId="01899C6D">
            <w:pPr>
              <w:keepNext/>
              <w:widowControl/>
              <w:spacing w:line="240" w:lineRule="auto"/>
              <w:jc w:val="right"/>
              <w:rPr>
                <w:rFonts w:ascii="Calibri" w:eastAsia="Times New Roman" w:hAnsi="Calibri" w:cs="Times New Roman"/>
                <w:color w:val="000000"/>
              </w:rPr>
            </w:pPr>
          </w:p>
        </w:tc>
      </w:tr>
      <w:tr w14:paraId="35E400FA" w14:textId="77777777" w:rsidTr="008A4DC9">
        <w:tblPrEx>
          <w:tblW w:w="9630" w:type="dxa"/>
          <w:tblLayout w:type="fixed"/>
          <w:tblLook w:val="04A0"/>
        </w:tblPrEx>
        <w:trPr>
          <w:trHeight w:val="303"/>
        </w:trPr>
        <w:tc>
          <w:tcPr>
            <w:tcW w:w="3155" w:type="dxa"/>
            <w:tcBorders>
              <w:top w:val="nil"/>
              <w:bottom w:val="nil"/>
              <w:right w:val="nil"/>
            </w:tcBorders>
            <w:shd w:val="clear" w:color="auto" w:fill="auto"/>
            <w:noWrap/>
          </w:tcPr>
          <w:p w:rsidR="00FB1722" w:rsidRPr="002D3263" w:rsidP="00634AAC" w14:paraId="452E3C0B" w14:textId="0A6C8B14">
            <w:pPr>
              <w:keepNext/>
              <w:widowControl/>
              <w:spacing w:line="240" w:lineRule="auto"/>
              <w:ind w:left="288"/>
              <w:rPr>
                <w:rFonts w:ascii="Calibri" w:hAnsi="Calibri"/>
                <w:color w:val="000000"/>
              </w:rPr>
            </w:pPr>
            <w:r w:rsidRPr="002D3263">
              <w:rPr>
                <w:rFonts w:ascii="Calibri" w:hAnsi="Calibri"/>
                <w:color w:val="000000"/>
              </w:rPr>
              <w:t>Revising Max. RHP/</w:t>
            </w:r>
            <w:r w:rsidRPr="002D3263" w:rsidR="00195CA8">
              <w:rPr>
                <w:rFonts w:ascii="Calibri" w:hAnsi="Calibri"/>
                <w:color w:val="000000"/>
              </w:rPr>
              <w:t>RRHP</w:t>
            </w:r>
          </w:p>
        </w:tc>
        <w:tc>
          <w:tcPr>
            <w:tcW w:w="1598" w:type="dxa"/>
            <w:tcBorders>
              <w:top w:val="nil"/>
              <w:left w:val="nil"/>
              <w:bottom w:val="nil"/>
              <w:right w:val="nil"/>
            </w:tcBorders>
            <w:shd w:val="clear" w:color="auto" w:fill="auto"/>
            <w:noWrap/>
            <w:vAlign w:val="center"/>
          </w:tcPr>
          <w:p w:rsidR="0029028D" w:rsidRPr="002D3263" w:rsidP="00D2312D" w14:paraId="19C24744" w14:textId="4FE61028">
            <w:pPr>
              <w:keepNext/>
              <w:widowControl/>
              <w:spacing w:line="240" w:lineRule="auto"/>
              <w:jc w:val="right"/>
              <w:rPr>
                <w:rFonts w:ascii="Calibri" w:hAnsi="Calibri"/>
                <w:color w:val="000000"/>
              </w:rPr>
            </w:pPr>
            <w:r w:rsidRPr="002D3263">
              <w:rPr>
                <w:rFonts w:ascii="Calibri" w:hAnsi="Calibri"/>
                <w:color w:val="000000"/>
              </w:rPr>
              <w:t>$0</w:t>
            </w:r>
          </w:p>
        </w:tc>
        <w:tc>
          <w:tcPr>
            <w:tcW w:w="1598" w:type="dxa"/>
            <w:tcBorders>
              <w:top w:val="nil"/>
              <w:left w:val="nil"/>
              <w:bottom w:val="nil"/>
              <w:right w:val="nil"/>
            </w:tcBorders>
            <w:shd w:val="clear" w:color="auto" w:fill="auto"/>
            <w:noWrap/>
            <w:vAlign w:val="center"/>
          </w:tcPr>
          <w:p w:rsidR="00FB1722" w:rsidRPr="002D3263" w:rsidP="00EF4CBB" w14:paraId="4D34CA4D" w14:textId="7438CDE9">
            <w:pPr>
              <w:keepNext/>
              <w:widowControl/>
              <w:spacing w:line="240" w:lineRule="auto"/>
              <w:jc w:val="right"/>
              <w:rPr>
                <w:rFonts w:ascii="Calibri" w:hAnsi="Calibri"/>
                <w:color w:val="000000"/>
              </w:rPr>
            </w:pPr>
            <w:r w:rsidRPr="002D3263">
              <w:rPr>
                <w:rFonts w:ascii="Calibri" w:hAnsi="Calibri"/>
                <w:color w:val="000000"/>
              </w:rPr>
              <w:t>$0</w:t>
            </w:r>
          </w:p>
        </w:tc>
        <w:tc>
          <w:tcPr>
            <w:tcW w:w="1659" w:type="dxa"/>
            <w:tcBorders>
              <w:top w:val="nil"/>
              <w:left w:val="nil"/>
              <w:bottom w:val="nil"/>
            </w:tcBorders>
            <w:shd w:val="clear" w:color="auto" w:fill="auto"/>
            <w:noWrap/>
            <w:vAlign w:val="bottom"/>
          </w:tcPr>
          <w:p w:rsidR="00FB1722" w:rsidRPr="002D3263" w:rsidP="00EF4CBB" w14:paraId="7D41DA90" w14:textId="23A04C73">
            <w:pPr>
              <w:keepNext/>
              <w:widowControl/>
              <w:spacing w:line="240" w:lineRule="auto"/>
              <w:jc w:val="right"/>
              <w:rPr>
                <w:rFonts w:ascii="Calibri" w:hAnsi="Calibri"/>
                <w:color w:val="000000"/>
              </w:rPr>
            </w:pPr>
            <w:r w:rsidRPr="002D3263">
              <w:rPr>
                <w:rFonts w:ascii="Calibri" w:hAnsi="Calibri"/>
                <w:color w:val="000000"/>
              </w:rPr>
              <w:t>$0</w:t>
            </w:r>
          </w:p>
        </w:tc>
        <w:tc>
          <w:tcPr>
            <w:tcW w:w="1620" w:type="dxa"/>
            <w:tcBorders>
              <w:top w:val="nil"/>
              <w:left w:val="nil"/>
              <w:bottom w:val="nil"/>
            </w:tcBorders>
            <w:vAlign w:val="bottom"/>
          </w:tcPr>
          <w:p w:rsidR="00FB1722" w:rsidRPr="002D3263" w:rsidP="00EF4CBB" w14:paraId="626ACA69" w14:textId="54D40B1D">
            <w:pPr>
              <w:keepNext/>
              <w:widowControl/>
              <w:spacing w:line="240" w:lineRule="auto"/>
              <w:jc w:val="right"/>
              <w:rPr>
                <w:rFonts w:ascii="Calibri" w:hAnsi="Calibri"/>
                <w:color w:val="000000"/>
              </w:rPr>
            </w:pPr>
            <w:r w:rsidRPr="002D3263">
              <w:rPr>
                <w:rFonts w:ascii="Calibri" w:hAnsi="Calibri"/>
                <w:color w:val="000000"/>
              </w:rPr>
              <w:t>$0</w:t>
            </w:r>
          </w:p>
        </w:tc>
      </w:tr>
      <w:tr w14:paraId="00391265" w14:textId="77777777" w:rsidTr="006D5D1A">
        <w:tblPrEx>
          <w:tblW w:w="9630" w:type="dxa"/>
          <w:tblLayout w:type="fixed"/>
          <w:tblLook w:val="04A0"/>
        </w:tblPrEx>
        <w:trPr>
          <w:trHeight w:val="303"/>
        </w:trPr>
        <w:tc>
          <w:tcPr>
            <w:tcW w:w="3155" w:type="dxa"/>
            <w:tcBorders>
              <w:top w:val="nil"/>
              <w:right w:val="nil"/>
            </w:tcBorders>
            <w:shd w:val="clear" w:color="auto" w:fill="auto"/>
            <w:noWrap/>
          </w:tcPr>
          <w:p w:rsidR="00FA2677" w:rsidRPr="002D3263" w:rsidP="00FA2677" w14:paraId="070640B4" w14:textId="77777777">
            <w:pPr>
              <w:keepNext/>
              <w:widowControl/>
              <w:spacing w:line="240" w:lineRule="auto"/>
              <w:ind w:left="288"/>
              <w:rPr>
                <w:rFonts w:ascii="Calibri" w:eastAsia="Times New Roman" w:hAnsi="Calibri" w:cs="Times New Roman"/>
                <w:color w:val="000000"/>
              </w:rPr>
            </w:pPr>
            <w:r w:rsidRPr="002D3263">
              <w:rPr>
                <w:rFonts w:ascii="Calibri" w:hAnsi="Calibri"/>
                <w:color w:val="000000"/>
              </w:rPr>
              <w:t>Homeowner 90-day Eligibility</w:t>
            </w:r>
            <w:r>
              <w:rPr>
                <w:rStyle w:val="FootnoteReference"/>
                <w:rFonts w:ascii="Calibri" w:hAnsi="Calibri"/>
                <w:color w:val="000000"/>
              </w:rPr>
              <w:footnoteReference w:id="4"/>
            </w:r>
          </w:p>
        </w:tc>
        <w:tc>
          <w:tcPr>
            <w:tcW w:w="1598" w:type="dxa"/>
            <w:tcBorders>
              <w:top w:val="nil"/>
              <w:left w:val="nil"/>
              <w:right w:val="nil"/>
            </w:tcBorders>
            <w:shd w:val="clear" w:color="auto" w:fill="auto"/>
            <w:noWrap/>
            <w:vAlign w:val="center"/>
          </w:tcPr>
          <w:p w:rsidR="00FA2677" w:rsidRPr="002D3263" w:rsidP="00FA2677" w14:paraId="15ECF09E" w14:textId="2D303160">
            <w:pPr>
              <w:keepNext/>
              <w:widowControl/>
              <w:spacing w:line="240" w:lineRule="auto"/>
              <w:jc w:val="right"/>
              <w:rPr>
                <w:rFonts w:ascii="Calibri" w:eastAsia="Times New Roman" w:hAnsi="Calibri" w:cs="Times New Roman"/>
                <w:color w:val="000000"/>
              </w:rPr>
            </w:pPr>
            <w:r>
              <w:rPr>
                <w:rFonts w:ascii="Calibri" w:hAnsi="Calibri" w:cs="Calibri"/>
                <w:color w:val="000000"/>
              </w:rPr>
              <w:t xml:space="preserve">$1,770,513 </w:t>
            </w:r>
          </w:p>
        </w:tc>
        <w:tc>
          <w:tcPr>
            <w:tcW w:w="1598" w:type="dxa"/>
            <w:tcBorders>
              <w:top w:val="nil"/>
              <w:left w:val="nil"/>
              <w:right w:val="nil"/>
            </w:tcBorders>
            <w:shd w:val="clear" w:color="auto" w:fill="auto"/>
            <w:noWrap/>
            <w:vAlign w:val="center"/>
          </w:tcPr>
          <w:p w:rsidR="00FA2677" w:rsidRPr="002D3263" w:rsidP="00FA2677" w14:paraId="3DD78BDB" w14:textId="2CE2EAEC">
            <w:pPr>
              <w:keepNext/>
              <w:widowControl/>
              <w:spacing w:line="240" w:lineRule="auto"/>
              <w:jc w:val="right"/>
              <w:rPr>
                <w:rFonts w:ascii="Calibri" w:eastAsia="Times New Roman" w:hAnsi="Calibri" w:cs="Times New Roman"/>
                <w:color w:val="000000"/>
              </w:rPr>
            </w:pPr>
            <w:r>
              <w:rPr>
                <w:rFonts w:ascii="Calibri" w:hAnsi="Calibri" w:cs="Calibri"/>
                <w:color w:val="000000"/>
              </w:rPr>
              <w:t xml:space="preserve">$2,231,474 </w:t>
            </w:r>
          </w:p>
        </w:tc>
        <w:tc>
          <w:tcPr>
            <w:tcW w:w="1659" w:type="dxa"/>
            <w:tcBorders>
              <w:top w:val="nil"/>
              <w:left w:val="nil"/>
            </w:tcBorders>
            <w:shd w:val="clear" w:color="auto" w:fill="auto"/>
            <w:noWrap/>
            <w:vAlign w:val="center"/>
          </w:tcPr>
          <w:p w:rsidR="00FA2677" w:rsidRPr="002D3263" w:rsidP="00FA2677" w14:paraId="111D1BB7" w14:textId="185B184F">
            <w:pPr>
              <w:keepNext/>
              <w:widowControl/>
              <w:spacing w:line="240" w:lineRule="auto"/>
              <w:jc w:val="right"/>
              <w:rPr>
                <w:rFonts w:ascii="Calibri" w:eastAsia="Times New Roman" w:hAnsi="Calibri" w:cs="Times New Roman"/>
                <w:color w:val="000000"/>
              </w:rPr>
            </w:pPr>
            <w:r>
              <w:rPr>
                <w:rFonts w:ascii="Calibri" w:hAnsi="Calibri" w:cs="Calibri"/>
                <w:color w:val="000000"/>
              </w:rPr>
              <w:t>$252,081</w:t>
            </w:r>
          </w:p>
        </w:tc>
        <w:tc>
          <w:tcPr>
            <w:tcW w:w="1620" w:type="dxa"/>
            <w:tcBorders>
              <w:top w:val="nil"/>
              <w:left w:val="nil"/>
            </w:tcBorders>
            <w:vAlign w:val="center"/>
          </w:tcPr>
          <w:p w:rsidR="00FA2677" w:rsidRPr="002D3263" w:rsidP="00FA2677" w14:paraId="24BCF614" w14:textId="79C0477E">
            <w:pPr>
              <w:keepNext/>
              <w:widowControl/>
              <w:spacing w:line="240" w:lineRule="auto"/>
              <w:jc w:val="right"/>
              <w:rPr>
                <w:rFonts w:ascii="Calibri" w:eastAsia="Times New Roman" w:hAnsi="Calibri" w:cs="Times New Roman"/>
                <w:color w:val="000000"/>
              </w:rPr>
            </w:pPr>
            <w:r>
              <w:rPr>
                <w:rFonts w:ascii="Calibri" w:hAnsi="Calibri" w:cs="Calibri"/>
                <w:color w:val="000000"/>
              </w:rPr>
              <w:t>$261,597</w:t>
            </w:r>
          </w:p>
        </w:tc>
      </w:tr>
      <w:tr w14:paraId="36BAB521" w14:textId="77777777" w:rsidTr="008A4DC9">
        <w:tblPrEx>
          <w:tblW w:w="9630" w:type="dxa"/>
          <w:tblLayout w:type="fixed"/>
          <w:tblLook w:val="04A0"/>
        </w:tblPrEx>
        <w:trPr>
          <w:trHeight w:val="303"/>
        </w:trPr>
        <w:tc>
          <w:tcPr>
            <w:tcW w:w="3155" w:type="dxa"/>
            <w:tcBorders>
              <w:top w:val="nil"/>
              <w:right w:val="nil"/>
            </w:tcBorders>
            <w:shd w:val="clear" w:color="auto" w:fill="auto"/>
            <w:noWrap/>
          </w:tcPr>
          <w:p w:rsidR="0029028D" w:rsidRPr="002D3263" w:rsidP="00634AAC" w14:paraId="288357DA" w14:textId="5D236560">
            <w:pPr>
              <w:keepNext/>
              <w:widowControl/>
              <w:spacing w:line="240" w:lineRule="auto"/>
              <w:ind w:left="288"/>
              <w:rPr>
                <w:rFonts w:eastAsia="Times New Roman" w:cs="Times New Roman"/>
                <w:color w:val="000000"/>
              </w:rPr>
            </w:pPr>
            <w:r w:rsidRPr="002D3263">
              <w:rPr>
                <w:rFonts w:ascii="Calibri" w:hAnsi="Calibri" w:cs="Calibri"/>
                <w:color w:val="000000"/>
              </w:rPr>
              <w:t>Reverse Mortgages</w:t>
            </w:r>
          </w:p>
        </w:tc>
        <w:tc>
          <w:tcPr>
            <w:tcW w:w="1598" w:type="dxa"/>
            <w:tcBorders>
              <w:top w:val="nil"/>
              <w:left w:val="nil"/>
              <w:right w:val="nil"/>
            </w:tcBorders>
            <w:shd w:val="clear" w:color="auto" w:fill="auto"/>
            <w:noWrap/>
            <w:vAlign w:val="bottom"/>
          </w:tcPr>
          <w:p w:rsidR="0029028D" w:rsidRPr="002D3263" w:rsidP="00D2312D" w14:paraId="51CE11A6" w14:textId="14A8F868">
            <w:pPr>
              <w:keepNext/>
              <w:widowControl/>
              <w:spacing w:line="240" w:lineRule="auto"/>
              <w:jc w:val="right"/>
              <w:rPr>
                <w:rFonts w:ascii="Calibri" w:eastAsia="Times New Roman" w:hAnsi="Calibri" w:cs="Times New Roman"/>
                <w:color w:val="000000"/>
              </w:rPr>
            </w:pPr>
            <w:r w:rsidRPr="002D3263">
              <w:rPr>
                <w:rFonts w:ascii="Calibri" w:hAnsi="Calibri" w:cs="Calibri"/>
                <w:color w:val="000000"/>
              </w:rPr>
              <w:t>Not Quantified</w:t>
            </w:r>
          </w:p>
        </w:tc>
        <w:tc>
          <w:tcPr>
            <w:tcW w:w="1598" w:type="dxa"/>
            <w:tcBorders>
              <w:top w:val="nil"/>
              <w:left w:val="nil"/>
              <w:right w:val="nil"/>
            </w:tcBorders>
            <w:shd w:val="clear" w:color="auto" w:fill="auto"/>
            <w:noWrap/>
            <w:vAlign w:val="bottom"/>
          </w:tcPr>
          <w:p w:rsidR="0029028D" w:rsidRPr="002D3263" w:rsidP="00EF4CBB" w14:paraId="6987F228" w14:textId="314E6E4C">
            <w:pPr>
              <w:keepNext/>
              <w:widowControl/>
              <w:spacing w:line="240" w:lineRule="auto"/>
              <w:jc w:val="right"/>
              <w:rPr>
                <w:rFonts w:ascii="Calibri" w:eastAsia="Times New Roman" w:hAnsi="Calibri" w:cs="Times New Roman"/>
                <w:color w:val="000000"/>
              </w:rPr>
            </w:pPr>
            <w:r w:rsidRPr="002D3263">
              <w:rPr>
                <w:rFonts w:ascii="Calibri" w:hAnsi="Calibri" w:cs="Calibri"/>
                <w:color w:val="000000"/>
              </w:rPr>
              <w:t>Not Quantified</w:t>
            </w:r>
          </w:p>
        </w:tc>
        <w:tc>
          <w:tcPr>
            <w:tcW w:w="1659" w:type="dxa"/>
            <w:tcBorders>
              <w:top w:val="nil"/>
              <w:left w:val="nil"/>
            </w:tcBorders>
            <w:shd w:val="clear" w:color="auto" w:fill="auto"/>
            <w:noWrap/>
            <w:vAlign w:val="bottom"/>
          </w:tcPr>
          <w:p w:rsidR="0029028D" w:rsidRPr="002D3263" w:rsidP="00EF4CBB" w14:paraId="1F61D51B" w14:textId="28EA1C26">
            <w:pPr>
              <w:keepNext/>
              <w:widowControl/>
              <w:spacing w:line="240" w:lineRule="auto"/>
              <w:jc w:val="right"/>
              <w:rPr>
                <w:rFonts w:ascii="Calibri" w:eastAsia="Times New Roman" w:hAnsi="Calibri" w:cs="Times New Roman"/>
                <w:color w:val="000000"/>
              </w:rPr>
            </w:pPr>
            <w:r w:rsidRPr="002D3263">
              <w:rPr>
                <w:rFonts w:ascii="Calibri" w:hAnsi="Calibri" w:cs="Calibri"/>
                <w:color w:val="000000"/>
              </w:rPr>
              <w:t>Not Quantified</w:t>
            </w:r>
          </w:p>
        </w:tc>
        <w:tc>
          <w:tcPr>
            <w:tcW w:w="1620" w:type="dxa"/>
            <w:tcBorders>
              <w:top w:val="nil"/>
              <w:left w:val="nil"/>
            </w:tcBorders>
            <w:vAlign w:val="bottom"/>
          </w:tcPr>
          <w:p w:rsidR="0029028D" w:rsidRPr="002D3263" w:rsidP="00EF4CBB" w14:paraId="073927DB" w14:textId="38469CAC">
            <w:pPr>
              <w:keepNext/>
              <w:widowControl/>
              <w:spacing w:line="240" w:lineRule="auto"/>
              <w:jc w:val="right"/>
              <w:rPr>
                <w:rFonts w:ascii="Calibri" w:eastAsia="Times New Roman" w:hAnsi="Calibri" w:cs="Times New Roman"/>
                <w:color w:val="000000"/>
              </w:rPr>
            </w:pPr>
            <w:r w:rsidRPr="002D3263">
              <w:rPr>
                <w:rFonts w:ascii="Calibri" w:hAnsi="Calibri" w:cs="Calibri"/>
                <w:color w:val="000000"/>
              </w:rPr>
              <w:t>Not Quantified</w:t>
            </w:r>
          </w:p>
        </w:tc>
      </w:tr>
      <w:tr w14:paraId="51631B07" w14:textId="77777777" w:rsidTr="00EF4CBB">
        <w:tblPrEx>
          <w:tblW w:w="9630" w:type="dxa"/>
          <w:tblLayout w:type="fixed"/>
          <w:tblLook w:val="04A0"/>
        </w:tblPrEx>
        <w:trPr>
          <w:trHeight w:val="303"/>
        </w:trPr>
        <w:tc>
          <w:tcPr>
            <w:tcW w:w="3155" w:type="dxa"/>
            <w:tcBorders>
              <w:bottom w:val="single" w:sz="4" w:space="0" w:color="auto"/>
              <w:right w:val="nil"/>
            </w:tcBorders>
            <w:shd w:val="clear" w:color="auto" w:fill="auto"/>
            <w:noWrap/>
          </w:tcPr>
          <w:p w:rsidR="009E321B" w:rsidRPr="002D3263" w:rsidP="00634AAC" w14:paraId="0A3ACEF9" w14:textId="2A2F7792">
            <w:pPr>
              <w:keepNext/>
              <w:widowControl/>
              <w:spacing w:line="240" w:lineRule="auto"/>
              <w:ind w:left="288"/>
              <w:rPr>
                <w:rFonts w:ascii="Calibri" w:hAnsi="Calibri"/>
                <w:color w:val="000000"/>
              </w:rPr>
            </w:pPr>
            <w:r w:rsidRPr="002D3263">
              <w:rPr>
                <w:rFonts w:ascii="Calibri" w:hAnsi="Calibri" w:cs="Calibri"/>
                <w:color w:val="000000"/>
              </w:rPr>
              <w:t>Rental Application and Credit Check Fees</w:t>
            </w:r>
          </w:p>
        </w:tc>
        <w:tc>
          <w:tcPr>
            <w:tcW w:w="1598" w:type="dxa"/>
            <w:tcBorders>
              <w:left w:val="nil"/>
              <w:bottom w:val="single" w:sz="4" w:space="0" w:color="auto"/>
              <w:right w:val="nil"/>
            </w:tcBorders>
            <w:shd w:val="clear" w:color="auto" w:fill="auto"/>
            <w:noWrap/>
            <w:vAlign w:val="center"/>
          </w:tcPr>
          <w:p w:rsidR="009E321B" w:rsidRPr="002D3263" w:rsidP="00D2312D" w14:paraId="0D22E0AE" w14:textId="20CE208F">
            <w:pPr>
              <w:keepNext/>
              <w:widowControl/>
              <w:spacing w:line="240" w:lineRule="auto"/>
              <w:jc w:val="right"/>
              <w:rPr>
                <w:rFonts w:ascii="Calibri" w:hAnsi="Calibri"/>
                <w:color w:val="000000"/>
              </w:rPr>
            </w:pPr>
            <w:r w:rsidRPr="002D3263">
              <w:rPr>
                <w:rFonts w:ascii="Calibri" w:hAnsi="Calibri" w:cs="Calibri"/>
                <w:color w:val="000000"/>
              </w:rPr>
              <w:t xml:space="preserve">$2,239,669 </w:t>
            </w:r>
          </w:p>
        </w:tc>
        <w:tc>
          <w:tcPr>
            <w:tcW w:w="1598" w:type="dxa"/>
            <w:tcBorders>
              <w:left w:val="nil"/>
              <w:bottom w:val="single" w:sz="4" w:space="0" w:color="auto"/>
              <w:right w:val="nil"/>
            </w:tcBorders>
            <w:shd w:val="clear" w:color="auto" w:fill="auto"/>
            <w:noWrap/>
            <w:vAlign w:val="center"/>
          </w:tcPr>
          <w:p w:rsidR="009E321B" w:rsidRPr="002D3263" w:rsidP="00EF4CBB" w14:paraId="0E122BDC" w14:textId="1EC3D369">
            <w:pPr>
              <w:keepNext/>
              <w:widowControl/>
              <w:spacing w:line="240" w:lineRule="auto"/>
              <w:jc w:val="right"/>
              <w:rPr>
                <w:rFonts w:ascii="Calibri" w:hAnsi="Calibri"/>
                <w:color w:val="000000"/>
              </w:rPr>
            </w:pPr>
            <w:r w:rsidRPr="002D3263">
              <w:rPr>
                <w:rFonts w:ascii="Calibri" w:hAnsi="Calibri" w:cs="Calibri"/>
                <w:color w:val="000000"/>
              </w:rPr>
              <w:t xml:space="preserve">$2,825,733 </w:t>
            </w:r>
          </w:p>
        </w:tc>
        <w:tc>
          <w:tcPr>
            <w:tcW w:w="1659" w:type="dxa"/>
            <w:tcBorders>
              <w:left w:val="nil"/>
              <w:bottom w:val="single" w:sz="4" w:space="0" w:color="auto"/>
            </w:tcBorders>
            <w:shd w:val="clear" w:color="auto" w:fill="auto"/>
            <w:noWrap/>
            <w:vAlign w:val="center"/>
          </w:tcPr>
          <w:p w:rsidR="009E321B" w:rsidRPr="002D3263" w:rsidP="00EF4CBB" w14:paraId="6A2956AF" w14:textId="5992253B">
            <w:pPr>
              <w:keepNext/>
              <w:widowControl/>
              <w:spacing w:line="240" w:lineRule="auto"/>
              <w:jc w:val="right"/>
              <w:rPr>
                <w:rFonts w:ascii="Calibri" w:hAnsi="Calibri"/>
                <w:color w:val="000000"/>
              </w:rPr>
            </w:pPr>
            <w:r w:rsidRPr="002D3263">
              <w:rPr>
                <w:rFonts w:ascii="Calibri" w:hAnsi="Calibri" w:cs="Calibri"/>
                <w:color w:val="000000"/>
              </w:rPr>
              <w:t>$318,879</w:t>
            </w:r>
          </w:p>
        </w:tc>
        <w:tc>
          <w:tcPr>
            <w:tcW w:w="1620" w:type="dxa"/>
            <w:tcBorders>
              <w:left w:val="nil"/>
              <w:bottom w:val="single" w:sz="4" w:space="0" w:color="auto"/>
            </w:tcBorders>
            <w:vAlign w:val="center"/>
          </w:tcPr>
          <w:p w:rsidR="009E321B" w:rsidRPr="002D3263" w:rsidP="00EF4CBB" w14:paraId="4EEF6784" w14:textId="56AB2A37">
            <w:pPr>
              <w:keepNext/>
              <w:widowControl/>
              <w:spacing w:line="240" w:lineRule="auto"/>
              <w:jc w:val="right"/>
              <w:rPr>
                <w:rFonts w:ascii="Calibri" w:hAnsi="Calibri"/>
                <w:color w:val="000000"/>
              </w:rPr>
            </w:pPr>
            <w:r w:rsidRPr="002D3263">
              <w:rPr>
                <w:rFonts w:ascii="Calibri" w:hAnsi="Calibri" w:cs="Calibri"/>
                <w:color w:val="000000"/>
              </w:rPr>
              <w:t>$331,262</w:t>
            </w:r>
          </w:p>
        </w:tc>
      </w:tr>
      <w:tr w14:paraId="054593A2" w14:textId="77777777" w:rsidTr="008A4DC9">
        <w:tblPrEx>
          <w:tblW w:w="9630" w:type="dxa"/>
          <w:tblLayout w:type="fixed"/>
          <w:tblLook w:val="04A0"/>
        </w:tblPrEx>
        <w:trPr>
          <w:trHeight w:val="303"/>
        </w:trPr>
        <w:tc>
          <w:tcPr>
            <w:tcW w:w="3155" w:type="dxa"/>
            <w:tcBorders>
              <w:top w:val="single" w:sz="4" w:space="0" w:color="auto"/>
              <w:right w:val="nil"/>
            </w:tcBorders>
            <w:shd w:val="clear" w:color="auto" w:fill="auto"/>
            <w:noWrap/>
          </w:tcPr>
          <w:p w:rsidR="0029028D" w:rsidRPr="002D3263" w:rsidP="00634AAC" w14:paraId="33C39226" w14:textId="0ECBDEAD">
            <w:pPr>
              <w:keepNext/>
              <w:widowControl/>
              <w:spacing w:line="240" w:lineRule="auto"/>
              <w:rPr>
                <w:rFonts w:ascii="Calibri" w:eastAsia="Times New Roman" w:hAnsi="Calibri" w:cs="Times New Roman"/>
                <w:b/>
                <w:color w:val="000000"/>
              </w:rPr>
            </w:pPr>
            <w:r w:rsidRPr="002D3263">
              <w:rPr>
                <w:rFonts w:ascii="Calibri" w:hAnsi="Calibri"/>
                <w:b/>
                <w:bCs/>
                <w:color w:val="000000"/>
              </w:rPr>
              <w:t>Nonresidential displaced persons</w:t>
            </w:r>
          </w:p>
        </w:tc>
        <w:tc>
          <w:tcPr>
            <w:tcW w:w="1598" w:type="dxa"/>
            <w:tcBorders>
              <w:top w:val="single" w:sz="4" w:space="0" w:color="auto"/>
              <w:left w:val="nil"/>
              <w:right w:val="nil"/>
            </w:tcBorders>
            <w:shd w:val="clear" w:color="auto" w:fill="auto"/>
            <w:noWrap/>
            <w:vAlign w:val="bottom"/>
          </w:tcPr>
          <w:p w:rsidR="0029028D" w:rsidRPr="002D3263" w:rsidP="00D2312D" w14:paraId="70CA8981" w14:textId="77777777">
            <w:pPr>
              <w:keepNext/>
              <w:widowControl/>
              <w:spacing w:line="240" w:lineRule="auto"/>
              <w:jc w:val="right"/>
              <w:rPr>
                <w:rFonts w:ascii="Calibri" w:eastAsia="Times New Roman" w:hAnsi="Calibri" w:cs="Times New Roman"/>
                <w:color w:val="000000"/>
              </w:rPr>
            </w:pPr>
          </w:p>
        </w:tc>
        <w:tc>
          <w:tcPr>
            <w:tcW w:w="1598" w:type="dxa"/>
            <w:tcBorders>
              <w:top w:val="single" w:sz="4" w:space="0" w:color="auto"/>
              <w:left w:val="nil"/>
              <w:right w:val="nil"/>
            </w:tcBorders>
            <w:shd w:val="clear" w:color="auto" w:fill="auto"/>
            <w:noWrap/>
            <w:vAlign w:val="bottom"/>
          </w:tcPr>
          <w:p w:rsidR="0029028D" w:rsidRPr="002D3263" w:rsidP="00EF4CBB" w14:paraId="250A0191" w14:textId="77777777">
            <w:pPr>
              <w:keepNext/>
              <w:widowControl/>
              <w:spacing w:line="240" w:lineRule="auto"/>
              <w:jc w:val="right"/>
              <w:rPr>
                <w:rFonts w:ascii="Calibri" w:eastAsia="Times New Roman" w:hAnsi="Calibri" w:cs="Times New Roman"/>
                <w:color w:val="000000"/>
              </w:rPr>
            </w:pPr>
          </w:p>
        </w:tc>
        <w:tc>
          <w:tcPr>
            <w:tcW w:w="1659" w:type="dxa"/>
            <w:tcBorders>
              <w:top w:val="single" w:sz="4" w:space="0" w:color="auto"/>
              <w:left w:val="nil"/>
            </w:tcBorders>
            <w:shd w:val="clear" w:color="auto" w:fill="auto"/>
            <w:noWrap/>
            <w:vAlign w:val="bottom"/>
          </w:tcPr>
          <w:p w:rsidR="0029028D" w:rsidRPr="002D3263" w:rsidP="00EF4CBB" w14:paraId="0BEADA24" w14:textId="4D090E70">
            <w:pPr>
              <w:keepNext/>
              <w:widowControl/>
              <w:spacing w:line="240" w:lineRule="auto"/>
              <w:jc w:val="right"/>
              <w:rPr>
                <w:rFonts w:ascii="Calibri" w:eastAsia="Times New Roman" w:hAnsi="Calibri" w:cs="Times New Roman"/>
                <w:color w:val="000000"/>
              </w:rPr>
            </w:pPr>
            <w:r w:rsidRPr="002D3263">
              <w:rPr>
                <w:rFonts w:ascii="Calibri" w:hAnsi="Calibri" w:cs="Calibri"/>
                <w:color w:val="000000"/>
              </w:rPr>
              <w:t> </w:t>
            </w:r>
          </w:p>
        </w:tc>
        <w:tc>
          <w:tcPr>
            <w:tcW w:w="1620" w:type="dxa"/>
            <w:tcBorders>
              <w:top w:val="single" w:sz="4" w:space="0" w:color="auto"/>
              <w:left w:val="nil"/>
            </w:tcBorders>
            <w:vAlign w:val="bottom"/>
          </w:tcPr>
          <w:p w:rsidR="0029028D" w:rsidRPr="002D3263" w:rsidP="00EF4CBB" w14:paraId="4BBF4EF9" w14:textId="6F7BCFE7">
            <w:pPr>
              <w:keepNext/>
              <w:widowControl/>
              <w:spacing w:line="240" w:lineRule="auto"/>
              <w:jc w:val="right"/>
              <w:rPr>
                <w:rFonts w:ascii="Calibri" w:eastAsia="Times New Roman" w:hAnsi="Calibri" w:cs="Times New Roman"/>
                <w:color w:val="000000"/>
              </w:rPr>
            </w:pPr>
            <w:r w:rsidRPr="002D3263">
              <w:rPr>
                <w:rFonts w:ascii="Calibri" w:hAnsi="Calibri" w:cs="Calibri"/>
                <w:color w:val="000000"/>
              </w:rPr>
              <w:t> </w:t>
            </w:r>
          </w:p>
        </w:tc>
      </w:tr>
      <w:tr w14:paraId="6A3FF784" w14:textId="77777777" w:rsidTr="008A4DC9">
        <w:tblPrEx>
          <w:tblW w:w="9630" w:type="dxa"/>
          <w:tblLayout w:type="fixed"/>
          <w:tblLook w:val="04A0"/>
        </w:tblPrEx>
        <w:trPr>
          <w:trHeight w:val="303"/>
        </w:trPr>
        <w:tc>
          <w:tcPr>
            <w:tcW w:w="3155" w:type="dxa"/>
            <w:tcBorders>
              <w:bottom w:val="nil"/>
              <w:right w:val="nil"/>
            </w:tcBorders>
            <w:shd w:val="clear" w:color="auto" w:fill="auto"/>
            <w:noWrap/>
            <w:hideMark/>
          </w:tcPr>
          <w:p w:rsidR="0029028D" w:rsidRPr="002D3263" w:rsidP="00634AAC" w14:paraId="593D53EA" w14:textId="77777777">
            <w:pPr>
              <w:keepNext/>
              <w:widowControl/>
              <w:spacing w:line="240" w:lineRule="auto"/>
              <w:ind w:left="288"/>
              <w:rPr>
                <w:rFonts w:ascii="Calibri" w:eastAsia="Times New Roman" w:hAnsi="Calibri" w:cs="Times New Roman"/>
                <w:color w:val="000000"/>
              </w:rPr>
            </w:pPr>
            <w:r w:rsidRPr="002D3263">
              <w:rPr>
                <w:rFonts w:ascii="Calibri" w:hAnsi="Calibri"/>
                <w:color w:val="000000"/>
              </w:rPr>
              <w:t>Reimbursement for Updating Other Media</w:t>
            </w:r>
          </w:p>
        </w:tc>
        <w:tc>
          <w:tcPr>
            <w:tcW w:w="1598" w:type="dxa"/>
            <w:tcBorders>
              <w:left w:val="nil"/>
              <w:bottom w:val="nil"/>
              <w:right w:val="nil"/>
            </w:tcBorders>
            <w:shd w:val="clear" w:color="auto" w:fill="auto"/>
            <w:noWrap/>
            <w:vAlign w:val="bottom"/>
          </w:tcPr>
          <w:p w:rsidR="0029028D" w:rsidRPr="002D3263" w:rsidP="00D2312D" w14:paraId="20C91C57" w14:textId="7BE3BC5D">
            <w:pPr>
              <w:keepNext/>
              <w:widowControl/>
              <w:spacing w:line="240" w:lineRule="auto"/>
              <w:jc w:val="right"/>
              <w:rPr>
                <w:rFonts w:ascii="Calibri" w:eastAsia="Times New Roman" w:hAnsi="Calibri" w:cs="Times New Roman"/>
                <w:color w:val="000000"/>
              </w:rPr>
            </w:pPr>
            <w:r w:rsidRPr="002D3263">
              <w:rPr>
                <w:rFonts w:ascii="Calibri" w:hAnsi="Calibri" w:cs="Calibri"/>
                <w:color w:val="000000"/>
              </w:rPr>
              <w:t>Not Quantified</w:t>
            </w:r>
          </w:p>
        </w:tc>
        <w:tc>
          <w:tcPr>
            <w:tcW w:w="1598" w:type="dxa"/>
            <w:tcBorders>
              <w:left w:val="nil"/>
              <w:bottom w:val="nil"/>
              <w:right w:val="nil"/>
            </w:tcBorders>
            <w:shd w:val="clear" w:color="auto" w:fill="auto"/>
            <w:noWrap/>
            <w:vAlign w:val="bottom"/>
          </w:tcPr>
          <w:p w:rsidR="0029028D" w:rsidRPr="002D3263" w:rsidP="00EF4CBB" w14:paraId="5E50F166" w14:textId="6ABE27E8">
            <w:pPr>
              <w:keepNext/>
              <w:widowControl/>
              <w:spacing w:line="240" w:lineRule="auto"/>
              <w:jc w:val="right"/>
              <w:rPr>
                <w:rFonts w:ascii="Calibri" w:eastAsia="Times New Roman" w:hAnsi="Calibri" w:cs="Times New Roman"/>
                <w:color w:val="000000"/>
              </w:rPr>
            </w:pPr>
            <w:r w:rsidRPr="002D3263">
              <w:rPr>
                <w:rFonts w:ascii="Calibri" w:hAnsi="Calibri" w:cs="Calibri"/>
                <w:color w:val="000000"/>
              </w:rPr>
              <w:t>Not Quantified</w:t>
            </w:r>
          </w:p>
        </w:tc>
        <w:tc>
          <w:tcPr>
            <w:tcW w:w="1659" w:type="dxa"/>
            <w:tcBorders>
              <w:left w:val="nil"/>
              <w:bottom w:val="nil"/>
            </w:tcBorders>
            <w:shd w:val="clear" w:color="auto" w:fill="auto"/>
            <w:noWrap/>
            <w:vAlign w:val="bottom"/>
          </w:tcPr>
          <w:p w:rsidR="0029028D" w:rsidRPr="002D3263" w:rsidP="00EF4CBB" w14:paraId="6249ADF2" w14:textId="1C0DCD52">
            <w:pPr>
              <w:keepNext/>
              <w:widowControl/>
              <w:spacing w:line="240" w:lineRule="auto"/>
              <w:jc w:val="right"/>
              <w:rPr>
                <w:rFonts w:ascii="Calibri" w:eastAsia="Times New Roman" w:hAnsi="Calibri" w:cs="Times New Roman"/>
                <w:color w:val="000000"/>
              </w:rPr>
            </w:pPr>
            <w:r w:rsidRPr="002D3263">
              <w:rPr>
                <w:rFonts w:ascii="Calibri" w:hAnsi="Calibri" w:cs="Calibri"/>
                <w:color w:val="000000"/>
              </w:rPr>
              <w:t>Not Quantified</w:t>
            </w:r>
          </w:p>
        </w:tc>
        <w:tc>
          <w:tcPr>
            <w:tcW w:w="1620" w:type="dxa"/>
            <w:tcBorders>
              <w:left w:val="nil"/>
              <w:bottom w:val="nil"/>
            </w:tcBorders>
            <w:vAlign w:val="bottom"/>
          </w:tcPr>
          <w:p w:rsidR="0029028D" w:rsidRPr="002D3263" w:rsidP="00EF4CBB" w14:paraId="3FA2F93A" w14:textId="588A74B1">
            <w:pPr>
              <w:keepNext/>
              <w:widowControl/>
              <w:spacing w:line="240" w:lineRule="auto"/>
              <w:jc w:val="right"/>
              <w:rPr>
                <w:rFonts w:ascii="Calibri" w:eastAsia="Times New Roman" w:hAnsi="Calibri" w:cs="Times New Roman"/>
                <w:color w:val="000000"/>
              </w:rPr>
            </w:pPr>
            <w:r w:rsidRPr="002D3263">
              <w:rPr>
                <w:rFonts w:ascii="Calibri" w:hAnsi="Calibri" w:cs="Calibri"/>
                <w:color w:val="000000"/>
              </w:rPr>
              <w:t>Not Quantified</w:t>
            </w:r>
          </w:p>
        </w:tc>
      </w:tr>
      <w:tr w14:paraId="52F944B4" w14:textId="77777777" w:rsidTr="006D5D1A">
        <w:tblPrEx>
          <w:tblW w:w="9630" w:type="dxa"/>
          <w:tblLayout w:type="fixed"/>
          <w:tblLook w:val="04A0"/>
        </w:tblPrEx>
        <w:trPr>
          <w:trHeight w:val="175"/>
        </w:trPr>
        <w:tc>
          <w:tcPr>
            <w:tcW w:w="3155" w:type="dxa"/>
            <w:tcBorders>
              <w:top w:val="nil"/>
              <w:bottom w:val="nil"/>
              <w:right w:val="nil"/>
            </w:tcBorders>
            <w:shd w:val="clear" w:color="auto" w:fill="auto"/>
            <w:noWrap/>
            <w:hideMark/>
          </w:tcPr>
          <w:p w:rsidR="00FA2677" w:rsidRPr="002D3263" w:rsidP="00FA2677" w14:paraId="33076DCD" w14:textId="77777777">
            <w:pPr>
              <w:keepNext/>
              <w:widowControl/>
              <w:spacing w:line="240" w:lineRule="auto"/>
              <w:ind w:left="288"/>
              <w:rPr>
                <w:rFonts w:ascii="Calibri" w:eastAsia="Times New Roman" w:hAnsi="Calibri" w:cs="Times New Roman"/>
                <w:color w:val="000000"/>
              </w:rPr>
            </w:pPr>
            <w:r w:rsidRPr="002D3263">
              <w:rPr>
                <w:rFonts w:ascii="Calibri" w:hAnsi="Calibri"/>
                <w:color w:val="000000"/>
              </w:rPr>
              <w:t>Search Expenses</w:t>
            </w:r>
            <w:r>
              <w:rPr>
                <w:rStyle w:val="FootnoteReference"/>
                <w:rFonts w:ascii="Calibri" w:hAnsi="Calibri"/>
                <w:color w:val="000000"/>
              </w:rPr>
              <w:footnoteReference w:id="5"/>
            </w:r>
          </w:p>
        </w:tc>
        <w:tc>
          <w:tcPr>
            <w:tcW w:w="1598" w:type="dxa"/>
            <w:tcBorders>
              <w:top w:val="nil"/>
              <w:left w:val="nil"/>
              <w:bottom w:val="nil"/>
              <w:right w:val="nil"/>
            </w:tcBorders>
            <w:shd w:val="clear" w:color="auto" w:fill="auto"/>
            <w:noWrap/>
            <w:vAlign w:val="center"/>
          </w:tcPr>
          <w:p w:rsidR="00FA2677" w:rsidRPr="002D3263" w:rsidP="00FA2677" w14:paraId="3F0C2C10" w14:textId="6083A0D6">
            <w:pPr>
              <w:widowControl/>
              <w:jc w:val="right"/>
              <w:rPr>
                <w:rFonts w:ascii="Calibri" w:hAnsi="Calibri"/>
                <w:color w:val="000000"/>
              </w:rPr>
            </w:pPr>
            <w:r>
              <w:rPr>
                <w:rFonts w:ascii="Calibri" w:hAnsi="Calibri" w:cs="Calibri"/>
                <w:color w:val="000000"/>
              </w:rPr>
              <w:t xml:space="preserve">$8,072,686 </w:t>
            </w:r>
          </w:p>
        </w:tc>
        <w:tc>
          <w:tcPr>
            <w:tcW w:w="1598" w:type="dxa"/>
            <w:tcBorders>
              <w:top w:val="nil"/>
              <w:left w:val="nil"/>
              <w:bottom w:val="nil"/>
              <w:right w:val="nil"/>
            </w:tcBorders>
            <w:shd w:val="clear" w:color="auto" w:fill="auto"/>
            <w:noWrap/>
            <w:vAlign w:val="center"/>
          </w:tcPr>
          <w:p w:rsidR="00FA2677" w:rsidRPr="002D3263" w:rsidP="00FA2677" w14:paraId="51032C71" w14:textId="34BE1985">
            <w:pPr>
              <w:widowControl/>
              <w:jc w:val="right"/>
              <w:rPr>
                <w:rFonts w:ascii="Calibri" w:hAnsi="Calibri"/>
                <w:color w:val="000000"/>
              </w:rPr>
            </w:pPr>
            <w:r>
              <w:rPr>
                <w:rFonts w:ascii="Calibri" w:hAnsi="Calibri" w:cs="Calibri"/>
                <w:color w:val="000000"/>
              </w:rPr>
              <w:t xml:space="preserve">$10,257,668 </w:t>
            </w:r>
          </w:p>
        </w:tc>
        <w:tc>
          <w:tcPr>
            <w:tcW w:w="1659" w:type="dxa"/>
            <w:tcBorders>
              <w:top w:val="nil"/>
              <w:left w:val="nil"/>
              <w:bottom w:val="nil"/>
            </w:tcBorders>
            <w:shd w:val="clear" w:color="auto" w:fill="auto"/>
            <w:noWrap/>
            <w:vAlign w:val="center"/>
          </w:tcPr>
          <w:p w:rsidR="00FA2677" w:rsidRPr="002D3263" w:rsidP="00FA2677" w14:paraId="01CCC199" w14:textId="7BE5CCBE">
            <w:pPr>
              <w:widowControl/>
              <w:jc w:val="right"/>
              <w:rPr>
                <w:rFonts w:ascii="Calibri" w:hAnsi="Calibri"/>
                <w:color w:val="000000"/>
              </w:rPr>
            </w:pPr>
            <w:r>
              <w:rPr>
                <w:rFonts w:ascii="Calibri" w:hAnsi="Calibri" w:cs="Calibri"/>
                <w:color w:val="000000"/>
              </w:rPr>
              <w:t>$1,149,369</w:t>
            </w:r>
          </w:p>
        </w:tc>
        <w:tc>
          <w:tcPr>
            <w:tcW w:w="1620" w:type="dxa"/>
            <w:tcBorders>
              <w:top w:val="nil"/>
              <w:left w:val="nil"/>
              <w:bottom w:val="nil"/>
            </w:tcBorders>
            <w:vAlign w:val="center"/>
          </w:tcPr>
          <w:p w:rsidR="00FA2677" w:rsidRPr="002D3263" w:rsidP="00FA2677" w14:paraId="272BB631" w14:textId="39EC9587">
            <w:pPr>
              <w:widowControl/>
              <w:jc w:val="right"/>
              <w:rPr>
                <w:rFonts w:ascii="Calibri" w:hAnsi="Calibri"/>
                <w:color w:val="000000"/>
              </w:rPr>
            </w:pPr>
            <w:r>
              <w:rPr>
                <w:rFonts w:ascii="Calibri" w:hAnsi="Calibri" w:cs="Calibri"/>
                <w:color w:val="000000"/>
              </w:rPr>
              <w:t>$1,202,512</w:t>
            </w:r>
          </w:p>
        </w:tc>
      </w:tr>
      <w:tr w14:paraId="07E1B4FE" w14:textId="77777777" w:rsidTr="006D5D1A">
        <w:tblPrEx>
          <w:tblW w:w="9630" w:type="dxa"/>
          <w:tblLayout w:type="fixed"/>
          <w:tblLook w:val="04A0"/>
        </w:tblPrEx>
        <w:trPr>
          <w:trHeight w:val="113"/>
        </w:trPr>
        <w:tc>
          <w:tcPr>
            <w:tcW w:w="3155" w:type="dxa"/>
            <w:tcBorders>
              <w:top w:val="nil"/>
              <w:bottom w:val="nil"/>
              <w:right w:val="nil"/>
            </w:tcBorders>
            <w:shd w:val="clear" w:color="auto" w:fill="auto"/>
            <w:noWrap/>
            <w:hideMark/>
          </w:tcPr>
          <w:p w:rsidR="00FA2677" w:rsidRPr="002D3263" w:rsidP="00FA2677" w14:paraId="3FCD8223" w14:textId="77777777">
            <w:pPr>
              <w:keepNext/>
              <w:widowControl/>
              <w:spacing w:line="240" w:lineRule="auto"/>
              <w:ind w:left="288"/>
              <w:rPr>
                <w:rFonts w:ascii="Calibri" w:eastAsia="Times New Roman" w:hAnsi="Calibri" w:cs="Times New Roman"/>
                <w:color w:val="000000"/>
              </w:rPr>
            </w:pPr>
            <w:r w:rsidRPr="002D3263">
              <w:rPr>
                <w:rFonts w:ascii="Calibri" w:hAnsi="Calibri"/>
                <w:color w:val="000000"/>
              </w:rPr>
              <w:t>Re-Establishment Expenses</w:t>
            </w:r>
          </w:p>
        </w:tc>
        <w:tc>
          <w:tcPr>
            <w:tcW w:w="1598" w:type="dxa"/>
            <w:tcBorders>
              <w:top w:val="nil"/>
              <w:left w:val="nil"/>
              <w:bottom w:val="nil"/>
              <w:right w:val="nil"/>
            </w:tcBorders>
            <w:shd w:val="clear" w:color="auto" w:fill="auto"/>
            <w:noWrap/>
            <w:vAlign w:val="center"/>
          </w:tcPr>
          <w:p w:rsidR="00FA2677" w:rsidRPr="002D3263" w:rsidP="00FA2677" w14:paraId="4A063CE6" w14:textId="4431234D">
            <w:pPr>
              <w:widowControl/>
              <w:jc w:val="right"/>
              <w:rPr>
                <w:rFonts w:ascii="Calibri" w:hAnsi="Calibri"/>
                <w:color w:val="000000"/>
              </w:rPr>
            </w:pPr>
            <w:r>
              <w:rPr>
                <w:rFonts w:ascii="Calibri" w:hAnsi="Calibri" w:cs="Calibri"/>
                <w:color w:val="000000"/>
              </w:rPr>
              <w:t xml:space="preserve">$125,461,485 </w:t>
            </w:r>
          </w:p>
        </w:tc>
        <w:tc>
          <w:tcPr>
            <w:tcW w:w="1598" w:type="dxa"/>
            <w:tcBorders>
              <w:top w:val="nil"/>
              <w:left w:val="nil"/>
              <w:bottom w:val="nil"/>
              <w:right w:val="nil"/>
            </w:tcBorders>
            <w:shd w:val="clear" w:color="auto" w:fill="auto"/>
            <w:noWrap/>
            <w:vAlign w:val="center"/>
          </w:tcPr>
          <w:p w:rsidR="00FA2677" w:rsidRPr="002D3263" w:rsidP="00FA2677" w14:paraId="6C5B28A1" w14:textId="2C2410D9">
            <w:pPr>
              <w:widowControl/>
              <w:jc w:val="right"/>
              <w:rPr>
                <w:rFonts w:ascii="Calibri" w:hAnsi="Calibri"/>
                <w:color w:val="000000"/>
              </w:rPr>
            </w:pPr>
            <w:r>
              <w:rPr>
                <w:rFonts w:ascii="Calibri" w:hAnsi="Calibri" w:cs="Calibri"/>
                <w:color w:val="000000"/>
              </w:rPr>
              <w:t xml:space="preserve">$158,817,606 </w:t>
            </w:r>
          </w:p>
        </w:tc>
        <w:tc>
          <w:tcPr>
            <w:tcW w:w="1659" w:type="dxa"/>
            <w:tcBorders>
              <w:top w:val="nil"/>
              <w:left w:val="nil"/>
              <w:bottom w:val="nil"/>
            </w:tcBorders>
            <w:shd w:val="clear" w:color="auto" w:fill="auto"/>
            <w:noWrap/>
            <w:vAlign w:val="center"/>
          </w:tcPr>
          <w:p w:rsidR="00FA2677" w:rsidRPr="002D3263" w:rsidP="00FA2677" w14:paraId="0032A9F8" w14:textId="7EA7206E">
            <w:pPr>
              <w:widowControl/>
              <w:jc w:val="right"/>
              <w:rPr>
                <w:rFonts w:ascii="Calibri" w:hAnsi="Calibri"/>
                <w:color w:val="000000"/>
              </w:rPr>
            </w:pPr>
            <w:r>
              <w:rPr>
                <w:rFonts w:ascii="Calibri" w:hAnsi="Calibri" w:cs="Calibri"/>
                <w:color w:val="000000"/>
              </w:rPr>
              <w:t>$17,862,893</w:t>
            </w:r>
          </w:p>
        </w:tc>
        <w:tc>
          <w:tcPr>
            <w:tcW w:w="1620" w:type="dxa"/>
            <w:tcBorders>
              <w:top w:val="nil"/>
              <w:left w:val="nil"/>
              <w:bottom w:val="nil"/>
            </w:tcBorders>
            <w:vAlign w:val="center"/>
          </w:tcPr>
          <w:p w:rsidR="00FA2677" w:rsidRPr="002D3263" w:rsidP="00FA2677" w14:paraId="32AF3DC6" w14:textId="6C9426BA">
            <w:pPr>
              <w:widowControl/>
              <w:jc w:val="right"/>
              <w:rPr>
                <w:rFonts w:ascii="Calibri" w:hAnsi="Calibri"/>
                <w:color w:val="000000"/>
              </w:rPr>
            </w:pPr>
            <w:r>
              <w:rPr>
                <w:rFonts w:ascii="Calibri" w:hAnsi="Calibri" w:cs="Calibri"/>
                <w:color w:val="000000"/>
              </w:rPr>
              <w:t>$18,618,268</w:t>
            </w:r>
          </w:p>
        </w:tc>
      </w:tr>
      <w:tr w14:paraId="4BA2A457" w14:textId="77777777" w:rsidTr="006D5D1A">
        <w:tblPrEx>
          <w:tblW w:w="9630" w:type="dxa"/>
          <w:tblLayout w:type="fixed"/>
          <w:tblLook w:val="04A0"/>
        </w:tblPrEx>
        <w:trPr>
          <w:trHeight w:val="113"/>
        </w:trPr>
        <w:tc>
          <w:tcPr>
            <w:tcW w:w="3155" w:type="dxa"/>
            <w:tcBorders>
              <w:top w:val="nil"/>
              <w:right w:val="nil"/>
            </w:tcBorders>
            <w:shd w:val="clear" w:color="auto" w:fill="auto"/>
            <w:noWrap/>
            <w:hideMark/>
          </w:tcPr>
          <w:p w:rsidR="00E711E2" w:rsidRPr="002D3263" w:rsidP="00E711E2" w14:paraId="78E930E3" w14:textId="77777777">
            <w:pPr>
              <w:keepNext/>
              <w:widowControl/>
              <w:spacing w:line="240" w:lineRule="auto"/>
              <w:ind w:left="288"/>
              <w:rPr>
                <w:rFonts w:ascii="Calibri" w:eastAsia="Times New Roman" w:hAnsi="Calibri" w:cs="Times New Roman"/>
                <w:color w:val="000000"/>
              </w:rPr>
            </w:pPr>
            <w:r w:rsidRPr="002D3263">
              <w:rPr>
                <w:rFonts w:ascii="Calibri" w:hAnsi="Calibri"/>
                <w:color w:val="000000"/>
              </w:rPr>
              <w:t>Fixed Payments In-Lieu-Of Moving Expenses</w:t>
            </w:r>
          </w:p>
        </w:tc>
        <w:tc>
          <w:tcPr>
            <w:tcW w:w="1598" w:type="dxa"/>
            <w:tcBorders>
              <w:top w:val="nil"/>
              <w:left w:val="nil"/>
              <w:right w:val="nil"/>
            </w:tcBorders>
            <w:shd w:val="clear" w:color="auto" w:fill="auto"/>
            <w:noWrap/>
            <w:vAlign w:val="center"/>
          </w:tcPr>
          <w:p w:rsidR="00E711E2" w:rsidRPr="002D3263" w:rsidP="00E711E2" w14:paraId="250572A5" w14:textId="0A9E96B3">
            <w:pPr>
              <w:widowControl/>
              <w:jc w:val="right"/>
              <w:rPr>
                <w:rFonts w:ascii="Calibri" w:hAnsi="Calibri"/>
                <w:color w:val="000000"/>
              </w:rPr>
            </w:pPr>
            <w:r>
              <w:rPr>
                <w:rFonts w:ascii="Calibri" w:hAnsi="Calibri" w:cs="Calibri"/>
                <w:color w:val="000000"/>
              </w:rPr>
              <w:t xml:space="preserve">$31,997,535 </w:t>
            </w:r>
          </w:p>
        </w:tc>
        <w:tc>
          <w:tcPr>
            <w:tcW w:w="1598" w:type="dxa"/>
            <w:tcBorders>
              <w:top w:val="nil"/>
              <w:left w:val="nil"/>
              <w:right w:val="nil"/>
            </w:tcBorders>
            <w:shd w:val="clear" w:color="auto" w:fill="auto"/>
            <w:noWrap/>
            <w:vAlign w:val="center"/>
          </w:tcPr>
          <w:p w:rsidR="00E711E2" w:rsidRPr="002D3263" w:rsidP="00E711E2" w14:paraId="5D0BF949" w14:textId="0107FE83">
            <w:pPr>
              <w:widowControl/>
              <w:jc w:val="right"/>
              <w:rPr>
                <w:rFonts w:ascii="Calibri" w:hAnsi="Calibri"/>
                <w:color w:val="000000"/>
              </w:rPr>
            </w:pPr>
            <w:r>
              <w:rPr>
                <w:rFonts w:ascii="Calibri" w:hAnsi="Calibri" w:cs="Calibri"/>
                <w:color w:val="000000"/>
              </w:rPr>
              <w:t xml:space="preserve">$40,514,920 </w:t>
            </w:r>
          </w:p>
        </w:tc>
        <w:tc>
          <w:tcPr>
            <w:tcW w:w="1659" w:type="dxa"/>
            <w:tcBorders>
              <w:top w:val="nil"/>
              <w:left w:val="nil"/>
            </w:tcBorders>
            <w:shd w:val="clear" w:color="auto" w:fill="auto"/>
            <w:noWrap/>
            <w:vAlign w:val="center"/>
          </w:tcPr>
          <w:p w:rsidR="00E711E2" w:rsidRPr="002D3263" w:rsidP="00E711E2" w14:paraId="2F673B17" w14:textId="2ABBA4E2">
            <w:pPr>
              <w:widowControl/>
              <w:jc w:val="right"/>
              <w:rPr>
                <w:rFonts w:ascii="Calibri" w:hAnsi="Calibri"/>
                <w:color w:val="000000"/>
              </w:rPr>
            </w:pPr>
            <w:r>
              <w:rPr>
                <w:rFonts w:ascii="Calibri" w:hAnsi="Calibri" w:cs="Calibri"/>
                <w:color w:val="000000"/>
              </w:rPr>
              <w:t>$4,555,729</w:t>
            </w:r>
          </w:p>
        </w:tc>
        <w:tc>
          <w:tcPr>
            <w:tcW w:w="1620" w:type="dxa"/>
            <w:tcBorders>
              <w:top w:val="nil"/>
              <w:left w:val="nil"/>
            </w:tcBorders>
            <w:vAlign w:val="center"/>
          </w:tcPr>
          <w:p w:rsidR="00E711E2" w:rsidRPr="002D3263" w:rsidP="00E711E2" w14:paraId="2652A578" w14:textId="7BB13BE7">
            <w:pPr>
              <w:widowControl/>
              <w:jc w:val="right"/>
              <w:rPr>
                <w:rFonts w:ascii="Calibri" w:hAnsi="Calibri"/>
                <w:color w:val="000000"/>
              </w:rPr>
            </w:pPr>
            <w:r>
              <w:rPr>
                <w:rFonts w:ascii="Calibri" w:hAnsi="Calibri" w:cs="Calibri"/>
                <w:color w:val="000000"/>
              </w:rPr>
              <w:t>$4,749,585</w:t>
            </w:r>
          </w:p>
        </w:tc>
      </w:tr>
      <w:tr w14:paraId="19BC12CF" w14:textId="77777777" w:rsidTr="006D5D1A">
        <w:tblPrEx>
          <w:tblW w:w="9630" w:type="dxa"/>
          <w:tblLayout w:type="fixed"/>
          <w:tblLook w:val="04A0"/>
        </w:tblPrEx>
        <w:trPr>
          <w:trHeight w:val="104"/>
        </w:trPr>
        <w:tc>
          <w:tcPr>
            <w:tcW w:w="3155" w:type="dxa"/>
            <w:tcBorders>
              <w:top w:val="nil"/>
              <w:bottom w:val="single" w:sz="4" w:space="0" w:color="auto"/>
              <w:right w:val="nil"/>
            </w:tcBorders>
            <w:shd w:val="clear" w:color="auto" w:fill="auto"/>
            <w:noWrap/>
            <w:hideMark/>
          </w:tcPr>
          <w:p w:rsidR="00E711E2" w:rsidRPr="002D3263" w:rsidP="00E711E2" w14:paraId="39877CD7" w14:textId="76ADFA2C">
            <w:pPr>
              <w:widowControl/>
              <w:spacing w:line="240" w:lineRule="auto"/>
              <w:rPr>
                <w:rFonts w:ascii="Calibri" w:eastAsia="Times New Roman" w:hAnsi="Calibri" w:cs="Times New Roman"/>
                <w:b/>
                <w:bCs/>
                <w:color w:val="000000"/>
              </w:rPr>
            </w:pPr>
            <w:r w:rsidRPr="002D3263">
              <w:rPr>
                <w:rFonts w:ascii="Calibri" w:hAnsi="Calibri"/>
                <w:b/>
                <w:bCs/>
                <w:color w:val="000000"/>
              </w:rPr>
              <w:t>Total*</w:t>
            </w:r>
          </w:p>
        </w:tc>
        <w:tc>
          <w:tcPr>
            <w:tcW w:w="1598" w:type="dxa"/>
            <w:tcBorders>
              <w:top w:val="nil"/>
              <w:left w:val="nil"/>
              <w:bottom w:val="single" w:sz="4" w:space="0" w:color="auto"/>
              <w:right w:val="nil"/>
            </w:tcBorders>
            <w:shd w:val="clear" w:color="auto" w:fill="auto"/>
            <w:noWrap/>
            <w:vAlign w:val="center"/>
          </w:tcPr>
          <w:p w:rsidR="00E711E2" w:rsidRPr="002D3263" w:rsidP="00E711E2" w14:paraId="1DCD18C7" w14:textId="59541566">
            <w:pPr>
              <w:widowControl/>
              <w:jc w:val="right"/>
              <w:rPr>
                <w:rFonts w:ascii="Calibri" w:hAnsi="Calibri"/>
                <w:b/>
                <w:bCs/>
                <w:color w:val="000000"/>
              </w:rPr>
            </w:pPr>
            <w:r>
              <w:rPr>
                <w:rFonts w:ascii="Calibri" w:hAnsi="Calibri" w:cs="Calibri"/>
                <w:b/>
                <w:bCs/>
                <w:color w:val="000000"/>
              </w:rPr>
              <w:t xml:space="preserve">$169,541,889 </w:t>
            </w:r>
          </w:p>
        </w:tc>
        <w:tc>
          <w:tcPr>
            <w:tcW w:w="1598" w:type="dxa"/>
            <w:tcBorders>
              <w:top w:val="nil"/>
              <w:left w:val="nil"/>
              <w:bottom w:val="single" w:sz="4" w:space="0" w:color="auto"/>
              <w:right w:val="nil"/>
            </w:tcBorders>
            <w:shd w:val="clear" w:color="auto" w:fill="auto"/>
            <w:noWrap/>
            <w:vAlign w:val="center"/>
          </w:tcPr>
          <w:p w:rsidR="00E711E2" w:rsidRPr="002D3263" w:rsidP="00E711E2" w14:paraId="603C4782" w14:textId="09C5D1AF">
            <w:pPr>
              <w:widowControl/>
              <w:jc w:val="right"/>
              <w:rPr>
                <w:rFonts w:ascii="Calibri" w:hAnsi="Calibri"/>
                <w:b/>
                <w:bCs/>
                <w:color w:val="000000"/>
              </w:rPr>
            </w:pPr>
            <w:r>
              <w:rPr>
                <w:rFonts w:ascii="Calibri" w:hAnsi="Calibri" w:cs="Calibri"/>
                <w:b/>
                <w:bCs/>
                <w:color w:val="000000"/>
              </w:rPr>
              <w:t xml:space="preserve">$214,647,402 </w:t>
            </w:r>
          </w:p>
        </w:tc>
        <w:tc>
          <w:tcPr>
            <w:tcW w:w="1659" w:type="dxa"/>
            <w:tcBorders>
              <w:top w:val="nil"/>
              <w:left w:val="nil"/>
              <w:bottom w:val="single" w:sz="4" w:space="0" w:color="auto"/>
            </w:tcBorders>
            <w:shd w:val="clear" w:color="auto" w:fill="auto"/>
            <w:noWrap/>
            <w:vAlign w:val="center"/>
          </w:tcPr>
          <w:p w:rsidR="00E711E2" w:rsidRPr="002D3263" w:rsidP="00E711E2" w14:paraId="03902F6E" w14:textId="0509E212">
            <w:pPr>
              <w:widowControl/>
              <w:jc w:val="right"/>
              <w:rPr>
                <w:rFonts w:ascii="Calibri" w:hAnsi="Calibri"/>
                <w:b/>
                <w:bCs/>
                <w:color w:val="000000"/>
              </w:rPr>
            </w:pPr>
            <w:r>
              <w:rPr>
                <w:rFonts w:ascii="Calibri" w:hAnsi="Calibri" w:cs="Calibri"/>
                <w:b/>
                <w:bCs/>
                <w:color w:val="000000"/>
              </w:rPr>
              <w:t>$24,138,951</w:t>
            </w:r>
          </w:p>
        </w:tc>
        <w:tc>
          <w:tcPr>
            <w:tcW w:w="1620" w:type="dxa"/>
            <w:tcBorders>
              <w:top w:val="nil"/>
              <w:left w:val="nil"/>
              <w:bottom w:val="single" w:sz="4" w:space="0" w:color="auto"/>
            </w:tcBorders>
            <w:vAlign w:val="center"/>
          </w:tcPr>
          <w:p w:rsidR="00E711E2" w:rsidRPr="002D3263" w:rsidP="00E711E2" w14:paraId="4D784356" w14:textId="6732888E">
            <w:pPr>
              <w:widowControl/>
              <w:jc w:val="right"/>
              <w:rPr>
                <w:rFonts w:ascii="Calibri" w:hAnsi="Calibri"/>
                <w:b/>
                <w:bCs/>
                <w:color w:val="000000"/>
              </w:rPr>
            </w:pPr>
            <w:r>
              <w:rPr>
                <w:rFonts w:ascii="Calibri" w:hAnsi="Calibri" w:cs="Calibri"/>
                <w:b/>
                <w:bCs/>
                <w:color w:val="000000"/>
              </w:rPr>
              <w:t>$25,163,224</w:t>
            </w:r>
          </w:p>
        </w:tc>
      </w:tr>
      <w:tr w14:paraId="6C50B58F" w14:textId="77777777" w:rsidTr="008A4DC9">
        <w:tblPrEx>
          <w:tblW w:w="9630" w:type="dxa"/>
          <w:tblLayout w:type="fixed"/>
          <w:tblLook w:val="04A0"/>
        </w:tblPrEx>
        <w:trPr>
          <w:trHeight w:val="104"/>
        </w:trPr>
        <w:tc>
          <w:tcPr>
            <w:tcW w:w="3155" w:type="dxa"/>
            <w:tcBorders>
              <w:top w:val="single" w:sz="4" w:space="0" w:color="auto"/>
              <w:right w:val="nil"/>
            </w:tcBorders>
            <w:shd w:val="clear" w:color="auto" w:fill="auto"/>
            <w:noWrap/>
            <w:vAlign w:val="center"/>
          </w:tcPr>
          <w:p w:rsidR="0029028D" w:rsidRPr="002D3263" w:rsidP="00634AAC" w14:paraId="5F2A5D7F" w14:textId="7C727160">
            <w:pPr>
              <w:widowControl/>
              <w:spacing w:line="240" w:lineRule="auto"/>
              <w:rPr>
                <w:rFonts w:ascii="Calibri" w:eastAsia="Times New Roman" w:hAnsi="Calibri" w:cs="Times New Roman"/>
                <w:b/>
                <w:bCs/>
                <w:color w:val="000000"/>
              </w:rPr>
            </w:pPr>
            <w:r w:rsidRPr="002D3263">
              <w:rPr>
                <w:rFonts w:ascii="Calibri" w:hAnsi="Calibri"/>
                <w:color w:val="000000"/>
              </w:rPr>
              <w:t>*Totals may not match sums</w:t>
            </w:r>
            <w:r w:rsidRPr="002D3263" w:rsidR="00634AAC">
              <w:rPr>
                <w:rFonts w:ascii="Calibri" w:hAnsi="Calibri"/>
                <w:color w:val="000000"/>
              </w:rPr>
              <w:t xml:space="preserve"> </w:t>
            </w:r>
            <w:r w:rsidRPr="002D3263">
              <w:rPr>
                <w:rFonts w:ascii="Calibri" w:hAnsi="Calibri"/>
                <w:color w:val="000000"/>
              </w:rPr>
              <w:t>due to rounding</w:t>
            </w:r>
          </w:p>
        </w:tc>
        <w:tc>
          <w:tcPr>
            <w:tcW w:w="1598" w:type="dxa"/>
            <w:tcBorders>
              <w:top w:val="single" w:sz="4" w:space="0" w:color="auto"/>
              <w:left w:val="nil"/>
              <w:right w:val="nil"/>
            </w:tcBorders>
            <w:shd w:val="clear" w:color="auto" w:fill="auto"/>
            <w:noWrap/>
            <w:vAlign w:val="center"/>
          </w:tcPr>
          <w:p w:rsidR="0029028D" w:rsidRPr="002D3263" w:rsidP="00EF4CBB" w14:paraId="7751CA38" w14:textId="77777777">
            <w:pPr>
              <w:widowControl/>
              <w:jc w:val="center"/>
              <w:rPr>
                <w:rFonts w:ascii="Calibri" w:hAnsi="Calibri"/>
                <w:b/>
                <w:bCs/>
                <w:color w:val="000000"/>
              </w:rPr>
            </w:pPr>
          </w:p>
        </w:tc>
        <w:tc>
          <w:tcPr>
            <w:tcW w:w="1598" w:type="dxa"/>
            <w:tcBorders>
              <w:top w:val="single" w:sz="4" w:space="0" w:color="auto"/>
              <w:left w:val="nil"/>
              <w:right w:val="nil"/>
            </w:tcBorders>
            <w:shd w:val="clear" w:color="auto" w:fill="auto"/>
            <w:noWrap/>
            <w:vAlign w:val="center"/>
          </w:tcPr>
          <w:p w:rsidR="0029028D" w:rsidRPr="002D3263" w:rsidP="00EF4CBB" w14:paraId="17C7B491" w14:textId="77777777">
            <w:pPr>
              <w:widowControl/>
              <w:jc w:val="center"/>
              <w:rPr>
                <w:rFonts w:ascii="Calibri" w:hAnsi="Calibri"/>
                <w:b/>
                <w:bCs/>
                <w:color w:val="000000"/>
              </w:rPr>
            </w:pPr>
          </w:p>
        </w:tc>
        <w:tc>
          <w:tcPr>
            <w:tcW w:w="1659" w:type="dxa"/>
            <w:tcBorders>
              <w:top w:val="single" w:sz="4" w:space="0" w:color="auto"/>
              <w:left w:val="nil"/>
            </w:tcBorders>
            <w:shd w:val="clear" w:color="auto" w:fill="auto"/>
            <w:noWrap/>
            <w:vAlign w:val="center"/>
          </w:tcPr>
          <w:p w:rsidR="0029028D" w:rsidRPr="002D3263" w:rsidP="00EF4CBB" w14:paraId="6366D9A4" w14:textId="77777777">
            <w:pPr>
              <w:widowControl/>
              <w:jc w:val="center"/>
              <w:rPr>
                <w:rFonts w:ascii="Calibri" w:hAnsi="Calibri"/>
                <w:b/>
                <w:bCs/>
                <w:color w:val="000000"/>
              </w:rPr>
            </w:pPr>
          </w:p>
        </w:tc>
        <w:tc>
          <w:tcPr>
            <w:tcW w:w="1620" w:type="dxa"/>
            <w:tcBorders>
              <w:top w:val="single" w:sz="4" w:space="0" w:color="auto"/>
              <w:left w:val="nil"/>
            </w:tcBorders>
            <w:vAlign w:val="center"/>
          </w:tcPr>
          <w:p w:rsidR="0029028D" w:rsidRPr="002D3263" w:rsidP="00EF4CBB" w14:paraId="7BB866E7" w14:textId="77777777">
            <w:pPr>
              <w:widowControl/>
              <w:jc w:val="center"/>
              <w:rPr>
                <w:rFonts w:ascii="Calibri" w:hAnsi="Calibri"/>
                <w:b/>
                <w:bCs/>
                <w:color w:val="000000"/>
              </w:rPr>
            </w:pPr>
          </w:p>
        </w:tc>
      </w:tr>
    </w:tbl>
    <w:p w:rsidR="00270376" w:rsidRPr="002D3263" w:rsidP="00BC5A99" w14:paraId="3D0A9262" w14:textId="21132052"/>
    <w:p w:rsidR="00EF45A5" w:rsidRPr="002D3263" w:rsidP="00EF4CBB" w14:paraId="6C9A1F27" w14:textId="25D71740">
      <w:pPr>
        <w:widowControl/>
      </w:pPr>
    </w:p>
    <w:p w:rsidR="00EF45A5" w:rsidRPr="002D3263" w:rsidP="00EF4CBB" w14:paraId="47A3B310" w14:textId="77777777">
      <w:pPr>
        <w:widowControl/>
        <w:spacing w:after="200"/>
      </w:pPr>
      <w:r w:rsidRPr="002D3263">
        <w:br w:type="page"/>
      </w:r>
    </w:p>
    <w:p w:rsidR="003C2276" w:rsidRPr="002D3263" w:rsidP="00BD26C9" w14:paraId="0414367F" w14:textId="0BECAD14">
      <w:pPr>
        <w:pStyle w:val="Heading1"/>
      </w:pPr>
      <w:r w:rsidRPr="002D3263">
        <w:t xml:space="preserve"> </w:t>
      </w:r>
      <w:bookmarkStart w:id="7" w:name="_Toc127438005"/>
      <w:r w:rsidRPr="002D3263">
        <w:t>Background</w:t>
      </w:r>
      <w:bookmarkEnd w:id="7"/>
    </w:p>
    <w:p w:rsidR="003C2276" w:rsidRPr="002D3263" w:rsidP="00EF4CBB" w14:paraId="167B5558" w14:textId="1751F997">
      <w:pPr>
        <w:pStyle w:val="Body"/>
        <w:widowControl/>
      </w:pPr>
      <w:r w:rsidRPr="002D3263">
        <w:t xml:space="preserve">The Uniform Act provides important protections and assistance for people affected by </w:t>
      </w:r>
      <w:r w:rsidRPr="002D3263" w:rsidR="002F6403">
        <w:t xml:space="preserve">federally </w:t>
      </w:r>
      <w:r w:rsidRPr="002D3263">
        <w:t>funded projects.</w:t>
      </w:r>
      <w:r w:rsidRPr="002D3263" w:rsidR="00AC30F3">
        <w:t xml:space="preserve"> </w:t>
      </w:r>
      <w:r w:rsidR="0059129A">
        <w:t xml:space="preserve"> </w:t>
      </w:r>
      <w:r w:rsidRPr="002D3263">
        <w:t xml:space="preserve">Congress passed the law to safeguard people whose real property is acquired or who move from their homes, businesses, </w:t>
      </w:r>
      <w:r w:rsidRPr="002D3263" w:rsidR="00CC697B">
        <w:t>nonprofit organizations</w:t>
      </w:r>
      <w:r w:rsidRPr="002D3263" w:rsidR="00F73D90">
        <w:t>,</w:t>
      </w:r>
      <w:r w:rsidRPr="002D3263" w:rsidR="00CC697B">
        <w:t xml:space="preserve"> </w:t>
      </w:r>
      <w:r w:rsidRPr="002D3263">
        <w:t xml:space="preserve">or farms </w:t>
      </w:r>
      <w:r w:rsidRPr="002D3263">
        <w:t>as a result of</w:t>
      </w:r>
      <w:r w:rsidRPr="002D3263">
        <w:t xml:space="preserve"> projects receiving </w:t>
      </w:r>
      <w:r w:rsidRPr="002D3263" w:rsidR="00111308">
        <w:t>Federal</w:t>
      </w:r>
      <w:r w:rsidRPr="002D3263">
        <w:t xml:space="preserve"> funds. </w:t>
      </w:r>
      <w:r w:rsidR="0059129A">
        <w:t xml:space="preserve"> </w:t>
      </w:r>
      <w:r w:rsidRPr="002D3263">
        <w:t>The Uniform Act ensures that these persons are treated fairly and equitably an</w:t>
      </w:r>
      <w:r w:rsidRPr="002D3263" w:rsidR="00E718F7">
        <w:t>d receive just compensation for</w:t>
      </w:r>
      <w:r w:rsidRPr="002D3263">
        <w:t xml:space="preserve"> and assistance in moving from</w:t>
      </w:r>
      <w:r w:rsidRPr="002D3263" w:rsidR="00E718F7">
        <w:t xml:space="preserve"> their properties</w:t>
      </w:r>
      <w:r w:rsidRPr="002D3263">
        <w:t xml:space="preserve">. </w:t>
      </w:r>
    </w:p>
    <w:p w:rsidR="003F0D71" w:rsidRPr="002D3263" w:rsidP="00C53C33" w14:paraId="1485D515" w14:textId="75CBAE32">
      <w:pPr>
        <w:pStyle w:val="Heading2"/>
      </w:pPr>
      <w:bookmarkStart w:id="8" w:name="_Toc127438006"/>
      <w:r w:rsidRPr="002D3263">
        <w:t>Summary of Proposed</w:t>
      </w:r>
      <w:r w:rsidRPr="002D3263" w:rsidR="00D53A35">
        <w:t xml:space="preserve"> and</w:t>
      </w:r>
      <w:r w:rsidRPr="002D3263" w:rsidR="008C5465">
        <w:t xml:space="preserve"> </w:t>
      </w:r>
      <w:r w:rsidRPr="002D3263" w:rsidR="005557F4">
        <w:t xml:space="preserve">Final </w:t>
      </w:r>
      <w:r w:rsidRPr="002D3263">
        <w:t>Rule</w:t>
      </w:r>
      <w:bookmarkEnd w:id="8"/>
    </w:p>
    <w:p w:rsidR="005248ED" w:rsidRPr="002D3263" w:rsidP="00EF4CBB" w14:paraId="5EE83F1A" w14:textId="74FDC165">
      <w:pPr>
        <w:pStyle w:val="Body"/>
        <w:widowControl/>
        <w:rPr>
          <w:color w:val="000000" w:themeColor="text1"/>
        </w:rPr>
      </w:pPr>
      <w:r w:rsidRPr="002D3263">
        <w:t>The changes</w:t>
      </w:r>
      <w:r w:rsidRPr="002D3263" w:rsidR="00F94E40">
        <w:t xml:space="preserve"> </w:t>
      </w:r>
      <w:r w:rsidRPr="002D3263" w:rsidR="00111308">
        <w:t>in this rule</w:t>
      </w:r>
      <w:r w:rsidRPr="002D3263">
        <w:t xml:space="preserve"> are necessitated in part by </w:t>
      </w:r>
      <w:r w:rsidRPr="002D3263" w:rsidR="00F73D90">
        <w:t xml:space="preserve">the </w:t>
      </w:r>
      <w:r w:rsidRPr="002D3263">
        <w:rPr>
          <w:color w:val="000000" w:themeColor="text1"/>
        </w:rPr>
        <w:t xml:space="preserve">MAP-21. </w:t>
      </w:r>
      <w:r w:rsidR="0059129A">
        <w:rPr>
          <w:color w:val="000000" w:themeColor="text1"/>
        </w:rPr>
        <w:t xml:space="preserve"> </w:t>
      </w:r>
      <w:r w:rsidRPr="002D3263" w:rsidR="0018494F">
        <w:rPr>
          <w:color w:val="000000" w:themeColor="text1"/>
        </w:rPr>
        <w:t xml:space="preserve">The </w:t>
      </w:r>
      <w:r w:rsidRPr="002D3263">
        <w:rPr>
          <w:color w:val="000000" w:themeColor="text1"/>
        </w:rPr>
        <w:t xml:space="preserve">MAP-21 </w:t>
      </w:r>
      <w:r w:rsidRPr="002D3263" w:rsidR="00F94E40">
        <w:rPr>
          <w:color w:val="000000" w:themeColor="text1"/>
        </w:rPr>
        <w:t xml:space="preserve">increased </w:t>
      </w:r>
      <w:r w:rsidRPr="002D3263">
        <w:rPr>
          <w:color w:val="000000" w:themeColor="text1"/>
        </w:rPr>
        <w:t xml:space="preserve">the </w:t>
      </w:r>
      <w:r w:rsidRPr="002D3263" w:rsidR="00522ACF">
        <w:rPr>
          <w:color w:val="000000" w:themeColor="text1"/>
        </w:rPr>
        <w:t xml:space="preserve">maximum </w:t>
      </w:r>
      <w:r w:rsidRPr="002D3263">
        <w:rPr>
          <w:color w:val="000000" w:themeColor="text1"/>
        </w:rPr>
        <w:t xml:space="preserve">statutory </w:t>
      </w:r>
      <w:r w:rsidRPr="002D3263" w:rsidR="00522ACF">
        <w:rPr>
          <w:color w:val="000000" w:themeColor="text1"/>
        </w:rPr>
        <w:t>payment</w:t>
      </w:r>
      <w:r w:rsidRPr="002D3263">
        <w:rPr>
          <w:color w:val="000000" w:themeColor="text1"/>
        </w:rPr>
        <w:t xml:space="preserve"> levels for which</w:t>
      </w:r>
      <w:r w:rsidRPr="002D3263" w:rsidR="001B46D8">
        <w:rPr>
          <w:color w:val="000000" w:themeColor="text1"/>
        </w:rPr>
        <w:t xml:space="preserve"> certain displaced persons</w:t>
      </w:r>
      <w:r w:rsidRPr="002D3263">
        <w:rPr>
          <w:color w:val="000000" w:themeColor="text1"/>
        </w:rPr>
        <w:t xml:space="preserve"> may be eligible under the Uniform Act’s implementing regulations at </w:t>
      </w:r>
      <w:r w:rsidR="0059129A">
        <w:t>T</w:t>
      </w:r>
      <w:r w:rsidRPr="002D3263">
        <w:t xml:space="preserve">itle 49 Code of </w:t>
      </w:r>
      <w:r w:rsidRPr="002D3263" w:rsidR="00111308">
        <w:t>Federal</w:t>
      </w:r>
      <w:r w:rsidRPr="002D3263" w:rsidR="00CC697B">
        <w:t xml:space="preserve"> Regulations</w:t>
      </w:r>
      <w:r w:rsidR="009B65D2">
        <w:t xml:space="preserve"> (CFR)</w:t>
      </w:r>
      <w:r w:rsidRPr="002D3263">
        <w:t xml:space="preserve"> part 24</w:t>
      </w:r>
      <w:r w:rsidRPr="002D3263" w:rsidR="00BF2373">
        <w:t xml:space="preserve"> (</w:t>
      </w:r>
      <w:bookmarkStart w:id="9" w:name="_Hlk509217134"/>
      <w:r w:rsidRPr="002D3263" w:rsidR="00BF2373">
        <w:t xml:space="preserve">49 CFR </w:t>
      </w:r>
      <w:r w:rsidR="0059129A">
        <w:t xml:space="preserve">part </w:t>
      </w:r>
      <w:r w:rsidRPr="002D3263" w:rsidR="00BF2373">
        <w:t>24</w:t>
      </w:r>
      <w:bookmarkEnd w:id="9"/>
      <w:r w:rsidRPr="002D3263" w:rsidR="00BF2373">
        <w:t>)</w:t>
      </w:r>
      <w:r w:rsidRPr="002D3263">
        <w:t>.</w:t>
      </w:r>
      <w:r w:rsidRPr="002D3263">
        <w:rPr>
          <w:color w:val="000000" w:themeColor="text1"/>
        </w:rPr>
        <w:t xml:space="preserve"> Specifically, it</w:t>
      </w:r>
      <w:r w:rsidR="00C774F2">
        <w:rPr>
          <w:color w:val="000000" w:themeColor="text1"/>
        </w:rPr>
        <w:t>:</w:t>
      </w:r>
    </w:p>
    <w:p w:rsidR="005248ED" w:rsidRPr="002D3263" w:rsidP="00EF4CBB" w14:paraId="59D7C911" w14:textId="076D2F7A">
      <w:pPr>
        <w:pStyle w:val="Bullets"/>
        <w:widowControl/>
        <w:rPr>
          <w:color w:val="000000" w:themeColor="text1"/>
        </w:rPr>
      </w:pPr>
      <w:r w:rsidRPr="002D3263">
        <w:rPr>
          <w:color w:val="000000" w:themeColor="text1"/>
        </w:rPr>
        <w:t xml:space="preserve">amended </w:t>
      </w:r>
      <w:r w:rsidRPr="002D3263" w:rsidR="00326A86">
        <w:rPr>
          <w:color w:val="000000" w:themeColor="text1"/>
        </w:rPr>
        <w:t>the</w:t>
      </w:r>
      <w:r w:rsidRPr="002D3263" w:rsidR="00292EC0">
        <w:rPr>
          <w:color w:val="000000" w:themeColor="text1"/>
        </w:rPr>
        <w:t xml:space="preserve"> </w:t>
      </w:r>
      <w:r w:rsidRPr="002D3263" w:rsidR="00522ACF">
        <w:rPr>
          <w:color w:val="000000" w:themeColor="text1"/>
        </w:rPr>
        <w:t xml:space="preserve">statutory </w:t>
      </w:r>
      <w:r w:rsidRPr="002D3263" w:rsidR="00292EC0">
        <w:rPr>
          <w:color w:val="000000" w:themeColor="text1"/>
        </w:rPr>
        <w:t xml:space="preserve">maximum for replacement housing </w:t>
      </w:r>
      <w:r w:rsidRPr="002D3263" w:rsidR="00292EC0">
        <w:t xml:space="preserve">payments for displaced homeowners and displaced </w:t>
      </w:r>
      <w:r w:rsidRPr="002D3263" w:rsidR="00292EC0">
        <w:t>tenants;</w:t>
      </w:r>
      <w:r w:rsidRPr="002D3263" w:rsidR="00292EC0">
        <w:t xml:space="preserve"> </w:t>
      </w:r>
    </w:p>
    <w:p w:rsidR="005248ED" w:rsidRPr="002D3263" w:rsidP="00EF4CBB" w14:paraId="7A599BC9" w14:textId="7D1A1DD5">
      <w:pPr>
        <w:pStyle w:val="Bullets"/>
        <w:widowControl/>
        <w:rPr>
          <w:color w:val="000000" w:themeColor="text1"/>
        </w:rPr>
      </w:pPr>
      <w:r w:rsidRPr="002D3263">
        <w:rPr>
          <w:color w:val="000000" w:themeColor="text1"/>
        </w:rPr>
        <w:t>amended</w:t>
      </w:r>
      <w:r w:rsidRPr="002D3263">
        <w:t xml:space="preserve"> </w:t>
      </w:r>
      <w:r w:rsidRPr="002D3263" w:rsidR="00292EC0">
        <w:t xml:space="preserve">the maximum statutory </w:t>
      </w:r>
      <w:r w:rsidRPr="002D3263" w:rsidR="00455B13">
        <w:t>payment amount</w:t>
      </w:r>
      <w:r w:rsidRPr="002D3263" w:rsidR="00292EC0">
        <w:t xml:space="preserve"> for </w:t>
      </w:r>
      <w:r w:rsidRPr="002D3263" w:rsidR="00305D57">
        <w:t>non-</w:t>
      </w:r>
      <w:r w:rsidRPr="002D3263" w:rsidR="0031050B">
        <w:t>residential re</w:t>
      </w:r>
      <w:r w:rsidR="00732A88">
        <w:t>-</w:t>
      </w:r>
      <w:r w:rsidRPr="002D3263" w:rsidR="0031050B">
        <w:t>establishment</w:t>
      </w:r>
      <w:r w:rsidRPr="002D3263" w:rsidR="001B46D8">
        <w:t xml:space="preserve"> </w:t>
      </w:r>
      <w:r w:rsidRPr="002D3263" w:rsidR="001B46D8">
        <w:t>expenses</w:t>
      </w:r>
      <w:r w:rsidRPr="002D3263" w:rsidR="00292EC0">
        <w:t>;</w:t>
      </w:r>
      <w:r w:rsidRPr="002D3263" w:rsidR="00292EC0">
        <w:t xml:space="preserve"> </w:t>
      </w:r>
    </w:p>
    <w:p w:rsidR="005248ED" w:rsidRPr="002D3263" w:rsidP="00EF4CBB" w14:paraId="34CC52F2" w14:textId="3C54309B">
      <w:pPr>
        <w:pStyle w:val="Bullets"/>
        <w:widowControl/>
        <w:rPr>
          <w:color w:val="000000" w:themeColor="text1"/>
        </w:rPr>
      </w:pPr>
      <w:r w:rsidRPr="002D3263">
        <w:rPr>
          <w:color w:val="000000" w:themeColor="text1"/>
        </w:rPr>
        <w:t>amended</w:t>
      </w:r>
      <w:r w:rsidRPr="002D3263">
        <w:t xml:space="preserve"> </w:t>
      </w:r>
      <w:r w:rsidRPr="002D3263" w:rsidR="00292EC0">
        <w:t xml:space="preserve">the maximum fixed payment </w:t>
      </w:r>
      <w:r w:rsidRPr="002D3263" w:rsidR="001B46D8">
        <w:t xml:space="preserve">amount </w:t>
      </w:r>
      <w:r w:rsidRPr="002D3263" w:rsidR="00292EC0">
        <w:t xml:space="preserve">for </w:t>
      </w:r>
      <w:r w:rsidRPr="002D3263" w:rsidR="00305D57">
        <w:t>non-residential</w:t>
      </w:r>
      <w:r w:rsidRPr="002D3263" w:rsidR="00176DF5">
        <w:t xml:space="preserve"> displacements</w:t>
      </w:r>
      <w:r w:rsidRPr="002D3263">
        <w:t>; and</w:t>
      </w:r>
    </w:p>
    <w:p w:rsidR="00292EC0" w:rsidRPr="002D3263" w:rsidP="00EF4CBB" w14:paraId="6D4C3E60" w14:textId="04D98DE4">
      <w:pPr>
        <w:pStyle w:val="Bullets"/>
        <w:widowControl/>
        <w:rPr>
          <w:color w:val="000000" w:themeColor="text1"/>
        </w:rPr>
      </w:pPr>
      <w:r w:rsidRPr="002D3263">
        <w:t>reduce</w:t>
      </w:r>
      <w:r w:rsidRPr="002D3263" w:rsidR="00F94E40">
        <w:t>d</w:t>
      </w:r>
      <w:r w:rsidRPr="002D3263">
        <w:t xml:space="preserve"> the length of occupancy requirement for </w:t>
      </w:r>
      <w:r w:rsidRPr="002D3263" w:rsidR="001B46D8">
        <w:t xml:space="preserve">displaced </w:t>
      </w:r>
      <w:r w:rsidRPr="002D3263">
        <w:t>homeowners to be eligible</w:t>
      </w:r>
      <w:r w:rsidRPr="002D3263" w:rsidR="00773594">
        <w:t xml:space="preserve"> </w:t>
      </w:r>
      <w:r w:rsidRPr="002D3263" w:rsidR="00DC758D">
        <w:t>for replacement</w:t>
      </w:r>
      <w:r w:rsidRPr="002D3263" w:rsidR="006B543D">
        <w:t xml:space="preserve"> housing payments</w:t>
      </w:r>
      <w:r w:rsidRPr="002D3263" w:rsidR="00522ACF">
        <w:t xml:space="preserve"> from 180 days to 90 days</w:t>
      </w:r>
      <w:r w:rsidRPr="002D3263" w:rsidR="009F6B6F">
        <w:t>.</w:t>
      </w:r>
      <w:r>
        <w:rPr>
          <w:rStyle w:val="FootnoteReference"/>
        </w:rPr>
        <w:footnoteReference w:id="6"/>
      </w:r>
    </w:p>
    <w:p w:rsidR="00E72E85" w:rsidRPr="002D3263" w:rsidP="00EF4CBB" w14:paraId="63D0EE01" w14:textId="77777777">
      <w:pPr>
        <w:pStyle w:val="Bullets"/>
        <w:widowControl/>
        <w:numPr>
          <w:ilvl w:val="0"/>
          <w:numId w:val="0"/>
        </w:numPr>
        <w:ind w:left="360"/>
        <w:rPr>
          <w:color w:val="000000" w:themeColor="text1"/>
        </w:rPr>
      </w:pPr>
    </w:p>
    <w:p w:rsidR="00292EC0" w:rsidRPr="002D3263" w:rsidP="00EF4CBB" w14:paraId="2101C81C" w14:textId="45F139E6">
      <w:pPr>
        <w:pStyle w:val="Body"/>
        <w:widowControl/>
      </w:pPr>
      <w:r w:rsidRPr="002D3263">
        <w:t xml:space="preserve">The FHWA used the </w:t>
      </w:r>
      <w:r w:rsidRPr="002D3263" w:rsidR="00141993">
        <w:t xml:space="preserve">rulemaking </w:t>
      </w:r>
      <w:r w:rsidRPr="002D3263">
        <w:t xml:space="preserve">opportunity </w:t>
      </w:r>
      <w:r w:rsidRPr="002D3263" w:rsidR="00141993">
        <w:t xml:space="preserve">provided by </w:t>
      </w:r>
      <w:r w:rsidRPr="002D3263" w:rsidR="009F6B6F">
        <w:t>MAP-21</w:t>
      </w:r>
      <w:r w:rsidRPr="002D3263">
        <w:t xml:space="preserve"> to review input on Uniform Act implementation issues that it has collected over recent years.</w:t>
      </w:r>
      <w:r w:rsidR="0059129A">
        <w:t xml:space="preserve"> </w:t>
      </w:r>
      <w:r w:rsidRPr="002D3263">
        <w:t xml:space="preserve"> Accordingly,</w:t>
      </w:r>
      <w:r w:rsidRPr="002D3263" w:rsidR="000B569A">
        <w:t xml:space="preserve"> in the NPRM</w:t>
      </w:r>
      <w:r w:rsidRPr="002D3263">
        <w:t xml:space="preserve"> </w:t>
      </w:r>
      <w:r w:rsidRPr="002D3263">
        <w:rPr>
          <w:color w:val="000000" w:themeColor="text1"/>
        </w:rPr>
        <w:t xml:space="preserve">FHWA </w:t>
      </w:r>
      <w:r w:rsidRPr="002D3263" w:rsidR="000B569A">
        <w:rPr>
          <w:color w:val="000000" w:themeColor="text1"/>
        </w:rPr>
        <w:t>proposed</w:t>
      </w:r>
      <w:r w:rsidRPr="002D3263">
        <w:rPr>
          <w:color w:val="000000" w:themeColor="text1"/>
        </w:rPr>
        <w:t xml:space="preserve"> to make </w:t>
      </w:r>
      <w:r w:rsidRPr="002D3263">
        <w:t xml:space="preserve">changes to wording and section organization </w:t>
      </w:r>
      <w:r w:rsidRPr="002D3263">
        <w:rPr>
          <w:color w:val="000000" w:themeColor="text1"/>
        </w:rPr>
        <w:t xml:space="preserve">to better reflect the </w:t>
      </w:r>
      <w:r w:rsidRPr="002D3263" w:rsidR="00111308">
        <w:rPr>
          <w:color w:val="000000" w:themeColor="text1"/>
        </w:rPr>
        <w:t>Federal</w:t>
      </w:r>
      <w:r w:rsidRPr="002D3263">
        <w:rPr>
          <w:color w:val="000000" w:themeColor="text1"/>
        </w:rPr>
        <w:t xml:space="preserve"> experience implementing Uniform Act </w:t>
      </w:r>
      <w:r w:rsidR="00C774F2">
        <w:rPr>
          <w:color w:val="000000" w:themeColor="text1"/>
        </w:rPr>
        <w:t>P</w:t>
      </w:r>
      <w:r w:rsidRPr="002D3263">
        <w:rPr>
          <w:color w:val="000000" w:themeColor="text1"/>
        </w:rPr>
        <w:t>rograms</w:t>
      </w:r>
      <w:r w:rsidRPr="002D3263" w:rsidR="00C85505">
        <w:rPr>
          <w:color w:val="000000" w:themeColor="text1"/>
        </w:rPr>
        <w:t>,</w:t>
      </w:r>
      <w:r w:rsidRPr="002D3263">
        <w:rPr>
          <w:color w:val="000000" w:themeColor="text1"/>
        </w:rPr>
        <w:t xml:space="preserve"> since the last comprehensive rulemaking for </w:t>
      </w:r>
      <w:r w:rsidRPr="002D3263" w:rsidR="00BF2373">
        <w:t>49 CFR 24</w:t>
      </w:r>
      <w:r w:rsidRPr="002D3263">
        <w:rPr>
          <w:color w:val="000000" w:themeColor="text1"/>
        </w:rPr>
        <w:t xml:space="preserve"> in 2005. </w:t>
      </w:r>
      <w:r w:rsidR="0059129A">
        <w:rPr>
          <w:color w:val="000000" w:themeColor="text1"/>
        </w:rPr>
        <w:t xml:space="preserve"> </w:t>
      </w:r>
      <w:r w:rsidRPr="002D3263" w:rsidR="005248ED">
        <w:t>The NPRM contained the MAP-21 changes and the following proposed changes:</w:t>
      </w:r>
    </w:p>
    <w:p w:rsidR="005248ED" w:rsidRPr="002D3263" w:rsidP="00EF4CBB" w14:paraId="60A8F44E" w14:textId="52471049">
      <w:pPr>
        <w:pStyle w:val="Bullets"/>
        <w:widowControl/>
      </w:pPr>
      <w:r w:rsidRPr="002D3263">
        <w:t>a</w:t>
      </w:r>
      <w:r w:rsidRPr="002D3263">
        <w:t xml:space="preserve">ddressed how </w:t>
      </w:r>
      <w:r w:rsidR="0059129A">
        <w:t>A</w:t>
      </w:r>
      <w:r w:rsidRPr="002D3263">
        <w:t>gencies should handle reverse mortgages also called home equity conversion mortgages (HECM</w:t>
      </w:r>
      <w:r w:rsidRPr="002D3263">
        <w:t>);</w:t>
      </w:r>
    </w:p>
    <w:p w:rsidR="005248ED" w:rsidRPr="002D3263" w:rsidP="00EF4CBB" w14:paraId="2A52A6E4" w14:textId="7A731077">
      <w:pPr>
        <w:pStyle w:val="Bullets"/>
        <w:widowControl/>
      </w:pPr>
      <w:r w:rsidRPr="002D3263">
        <w:t>p</w:t>
      </w:r>
      <w:r w:rsidRPr="002D3263">
        <w:t xml:space="preserve">rovided </w:t>
      </w:r>
      <w:r w:rsidRPr="002D3263">
        <w:t>reimbursement</w:t>
      </w:r>
      <w:r w:rsidRPr="002D3263">
        <w:t xml:space="preserve"> for updating </w:t>
      </w:r>
      <w:r w:rsidRPr="002D3263">
        <w:t xml:space="preserve">other media for non-residential </w:t>
      </w:r>
      <w:r w:rsidRPr="002D3263">
        <w:t>displacements;</w:t>
      </w:r>
    </w:p>
    <w:p w:rsidR="00F324A1" w:rsidRPr="002D3263" w:rsidP="00EF4CBB" w14:paraId="7BD5B6F9" w14:textId="77777777">
      <w:pPr>
        <w:pStyle w:val="Bullets"/>
        <w:widowControl/>
      </w:pPr>
      <w:r w:rsidRPr="002D3263">
        <w:t xml:space="preserve">increased the maximum amount of reimbursement for non-residential search </w:t>
      </w:r>
      <w:r w:rsidRPr="002D3263">
        <w:t>expenses;</w:t>
      </w:r>
    </w:p>
    <w:p w:rsidR="00F324A1" w:rsidRPr="002D3263" w:rsidP="00EF4CBB" w14:paraId="6CB3FED0" w14:textId="15302440">
      <w:pPr>
        <w:pStyle w:val="Bullets"/>
        <w:widowControl/>
      </w:pPr>
      <w:r w:rsidRPr="002D3263">
        <w:t>provided administrative streamlining changes related to:</w:t>
      </w:r>
    </w:p>
    <w:p w:rsidR="00F324A1" w:rsidRPr="002D3263" w:rsidP="00E85518" w14:paraId="2C493FF6" w14:textId="586CE5A2">
      <w:pPr>
        <w:pStyle w:val="Sub-bullets"/>
        <w:widowControl/>
        <w:numPr>
          <w:ilvl w:val="1"/>
          <w:numId w:val="59"/>
        </w:numPr>
      </w:pPr>
      <w:r w:rsidRPr="002D3263">
        <w:t>facilitating use of appraisal waivers,</w:t>
      </w:r>
    </w:p>
    <w:p w:rsidR="00F324A1" w:rsidRPr="002D3263" w:rsidP="00E85518" w14:paraId="2B196F5A" w14:textId="4CA63812">
      <w:pPr>
        <w:pStyle w:val="Sub-bullets"/>
        <w:widowControl/>
        <w:numPr>
          <w:ilvl w:val="1"/>
          <w:numId w:val="59"/>
        </w:numPr>
      </w:pPr>
      <w:r w:rsidRPr="002D3263">
        <w:t>introduction of a third tier of waiver valuations,</w:t>
      </w:r>
    </w:p>
    <w:p w:rsidR="00F324A1" w:rsidRPr="002D3263" w:rsidP="00E85518" w14:paraId="2C96F361" w14:textId="3E2A5383">
      <w:pPr>
        <w:pStyle w:val="Sub-bullets"/>
        <w:widowControl/>
        <w:numPr>
          <w:ilvl w:val="1"/>
          <w:numId w:val="59"/>
        </w:numPr>
      </w:pPr>
      <w:r w:rsidRPr="002D3263">
        <w:t xml:space="preserve">expansion of the use of </w:t>
      </w:r>
      <w:r w:rsidRPr="002D3263" w:rsidR="00E40D40">
        <w:t xml:space="preserve">the </w:t>
      </w:r>
      <w:r w:rsidRPr="002D3263">
        <w:t>single agent</w:t>
      </w:r>
      <w:r w:rsidRPr="002D3263" w:rsidR="00E40D40">
        <w:t xml:space="preserve"> concept</w:t>
      </w:r>
      <w:r w:rsidRPr="002D3263">
        <w:t xml:space="preserve">, </w:t>
      </w:r>
    </w:p>
    <w:p w:rsidR="00F324A1" w:rsidRPr="002D3263" w:rsidP="00E85518" w14:paraId="56EDE5AE" w14:textId="597681B3">
      <w:pPr>
        <w:pStyle w:val="Sub-bullets"/>
        <w:widowControl/>
        <w:numPr>
          <w:ilvl w:val="1"/>
          <w:numId w:val="59"/>
        </w:numPr>
      </w:pPr>
      <w:r w:rsidRPr="002D3263">
        <w:t xml:space="preserve">increased flexibility for inspection of comparable housing, and  </w:t>
      </w:r>
    </w:p>
    <w:p w:rsidR="00F324A1" w:rsidRPr="002D3263" w:rsidP="00E85518" w14:paraId="258B5E34" w14:textId="533FFC54">
      <w:pPr>
        <w:pStyle w:val="Sub-bullets"/>
        <w:widowControl/>
        <w:numPr>
          <w:ilvl w:val="1"/>
          <w:numId w:val="59"/>
        </w:numPr>
      </w:pPr>
      <w:r w:rsidRPr="002D3263">
        <w:t xml:space="preserve">other clarifications and streamlining </w:t>
      </w:r>
      <w:r w:rsidRPr="002D3263">
        <w:t>efforts</w:t>
      </w:r>
      <w:r w:rsidRPr="002D3263" w:rsidR="00D74AAA">
        <w:t>;</w:t>
      </w:r>
    </w:p>
    <w:p w:rsidR="00D433CA" w:rsidRPr="002D3263" w:rsidP="00EF4CBB" w14:paraId="54CC10DA" w14:textId="77777777">
      <w:pPr>
        <w:pStyle w:val="Bullets"/>
        <w:widowControl/>
      </w:pPr>
      <w:r w:rsidRPr="002D3263">
        <w:t xml:space="preserve">addressed how to conduct legal status </w:t>
      </w:r>
      <w:r w:rsidRPr="002D3263">
        <w:t>verification;</w:t>
      </w:r>
      <w:r w:rsidRPr="002D3263">
        <w:t xml:space="preserve"> </w:t>
      </w:r>
    </w:p>
    <w:p w:rsidR="00F324A1" w:rsidRPr="002D3263" w:rsidP="00EF4CBB" w14:paraId="05297C07" w14:textId="4D7473E6">
      <w:pPr>
        <w:pStyle w:val="Bullets"/>
        <w:widowControl/>
      </w:pPr>
      <w:r w:rsidRPr="002D3263">
        <w:t xml:space="preserve">how to adjust certain monetary limits and benefits payments for inflation and other </w:t>
      </w:r>
      <w:r w:rsidRPr="002D3263">
        <w:t>factors;</w:t>
      </w:r>
    </w:p>
    <w:p w:rsidR="00D74AAA" w:rsidP="00EF4CBB" w14:paraId="05CE505F" w14:textId="79FABCBD">
      <w:pPr>
        <w:pStyle w:val="Bullets"/>
        <w:widowControl/>
      </w:pPr>
      <w:r w:rsidRPr="002D3263">
        <w:t xml:space="preserve">introduced </w:t>
      </w:r>
      <w:r w:rsidRPr="002D3263">
        <w:t xml:space="preserve">new </w:t>
      </w:r>
      <w:r w:rsidR="00315569">
        <w:t>F</w:t>
      </w:r>
      <w:r w:rsidRPr="002D3263">
        <w:t xml:space="preserve">ederal </w:t>
      </w:r>
      <w:r w:rsidR="00315569">
        <w:t>A</w:t>
      </w:r>
      <w:r w:rsidRPr="002D3263">
        <w:t>gency reporting requirements.</w:t>
      </w:r>
    </w:p>
    <w:p w:rsidR="00084263" w:rsidRPr="002D3263" w:rsidP="00E85518" w14:paraId="518682AD" w14:textId="77777777">
      <w:pPr>
        <w:pStyle w:val="Bullets"/>
        <w:widowControl/>
        <w:numPr>
          <w:ilvl w:val="0"/>
          <w:numId w:val="0"/>
        </w:numPr>
        <w:ind w:left="360"/>
      </w:pPr>
    </w:p>
    <w:p w:rsidR="00D74AAA" w:rsidRPr="002D3263" w:rsidP="00EF4CBB" w14:paraId="560AEF66" w14:textId="4F81B3E1">
      <w:pPr>
        <w:pStyle w:val="Body"/>
        <w:widowControl/>
      </w:pPr>
      <w:r w:rsidRPr="002D3263">
        <w:t xml:space="preserve">In general, the proposed changes from the NPRM are included in the final rule. </w:t>
      </w:r>
      <w:r w:rsidR="0059129A">
        <w:t xml:space="preserve"> </w:t>
      </w:r>
      <w:r w:rsidRPr="002D3263">
        <w:t>However, i</w:t>
      </w:r>
      <w:r w:rsidRPr="002D3263">
        <w:t>n response to comments received to the NPRM, the final rule makes the following adjustments to the NPRM:</w:t>
      </w:r>
    </w:p>
    <w:p w:rsidR="00D74AAA" w:rsidRPr="002D3263" w:rsidP="00EF4CBB" w14:paraId="1DA9FE81" w14:textId="51CFFF3B">
      <w:pPr>
        <w:pStyle w:val="Bullets"/>
        <w:widowControl/>
      </w:pPr>
      <w:r w:rsidRPr="002D3263">
        <w:t xml:space="preserve">allows costs related rental applications and credit checks to be </w:t>
      </w:r>
      <w:r w:rsidRPr="002D3263">
        <w:t>reimbursed;</w:t>
      </w:r>
    </w:p>
    <w:p w:rsidR="0033675D" w:rsidRPr="002D3263" w:rsidP="00EF4CBB" w14:paraId="77692B13" w14:textId="23279E57">
      <w:pPr>
        <w:pStyle w:val="Bullets"/>
        <w:widowControl/>
      </w:pPr>
      <w:r w:rsidRPr="002D3263">
        <w:t xml:space="preserve">includes new flexibilities related to how an </w:t>
      </w:r>
      <w:r w:rsidR="007D41B2">
        <w:t>A</w:t>
      </w:r>
      <w:r w:rsidRPr="002D3263">
        <w:t>gency can pay displaced persons for self-</w:t>
      </w:r>
      <w:r w:rsidRPr="002D3263">
        <w:t>moves;</w:t>
      </w:r>
    </w:p>
    <w:p w:rsidR="001A0FB7" w:rsidRPr="002D3263" w:rsidP="00EF4CBB" w14:paraId="66D6A1C6" w14:textId="042F8C2A">
      <w:pPr>
        <w:pStyle w:val="Bullets"/>
        <w:widowControl/>
      </w:pPr>
      <w:r w:rsidRPr="002D3263">
        <w:t xml:space="preserve">provides an option for </w:t>
      </w:r>
      <w:r w:rsidR="0059129A">
        <w:t>Agencies</w:t>
      </w:r>
      <w:r w:rsidRPr="002D3263">
        <w:t xml:space="preserve"> to </w:t>
      </w:r>
      <w:r w:rsidRPr="002D3263" w:rsidR="00E41944">
        <w:t>de</w:t>
      </w:r>
      <w:r w:rsidRPr="002D3263" w:rsidR="001749D0">
        <w:t>ve</w:t>
      </w:r>
      <w:r w:rsidRPr="002D3263" w:rsidR="00E41944">
        <w:t xml:space="preserve">lop an estimate of move costs, </w:t>
      </w:r>
      <w:r w:rsidRPr="002D3263" w:rsidR="001749D0">
        <w:t>i.e.</w:t>
      </w:r>
      <w:r w:rsidRPr="002D3263" w:rsidR="001749D0">
        <w:t xml:space="preserve"> a “</w:t>
      </w:r>
      <w:r w:rsidRPr="002D3263" w:rsidR="00E41944">
        <w:t>move cost finding</w:t>
      </w:r>
      <w:r w:rsidRPr="002D3263" w:rsidR="001749D0">
        <w:t>”</w:t>
      </w:r>
      <w:r w:rsidRPr="002D3263" w:rsidR="00E41944">
        <w:t>,</w:t>
      </w:r>
      <w:r w:rsidRPr="002D3263">
        <w:t xml:space="preserve"> of </w:t>
      </w:r>
      <w:r w:rsidRPr="002D3263" w:rsidR="00E41944">
        <w:t xml:space="preserve">up to </w:t>
      </w:r>
      <w:r w:rsidRPr="002D3263">
        <w:t xml:space="preserve">$5,000 </w:t>
      </w:r>
      <w:r w:rsidRPr="002D3263">
        <w:t>for uncomplicated non-residential moves;</w:t>
      </w:r>
    </w:p>
    <w:p w:rsidR="00D74AAA" w:rsidRPr="002D3263" w:rsidP="00EF4CBB" w14:paraId="6E5075C3" w14:textId="2F1FF0E4">
      <w:pPr>
        <w:pStyle w:val="Bullets"/>
        <w:widowControl/>
      </w:pPr>
      <w:r w:rsidRPr="002D3263">
        <w:t xml:space="preserve">increases the threshold for tier 1 and tier 2 waiver </w:t>
      </w:r>
      <w:r w:rsidRPr="002D3263">
        <w:t>valuations;</w:t>
      </w:r>
    </w:p>
    <w:p w:rsidR="00D74AAA" w:rsidRPr="002D3263" w:rsidP="00EF4CBB" w14:paraId="7040D49E" w14:textId="78D2990F">
      <w:pPr>
        <w:pStyle w:val="Bullets"/>
        <w:widowControl/>
      </w:pPr>
      <w:r w:rsidRPr="002D3263">
        <w:t>modifies the</w:t>
      </w:r>
      <w:r w:rsidRPr="002D3263" w:rsidR="00A22F98">
        <w:t xml:space="preserve"> requirements</w:t>
      </w:r>
      <w:r w:rsidRPr="002D3263">
        <w:t xml:space="preserve"> regarding the implementation of the tier 3 waiver </w:t>
      </w:r>
      <w:r w:rsidRPr="002D3263">
        <w:t>valuation;</w:t>
      </w:r>
    </w:p>
    <w:p w:rsidR="00D74AAA" w:rsidRPr="002D3263" w:rsidP="00EF4CBB" w14:paraId="337F5399" w14:textId="6DA47085">
      <w:pPr>
        <w:pStyle w:val="Bullets"/>
        <w:widowControl/>
      </w:pPr>
      <w:r w:rsidRPr="002D3263">
        <w:t xml:space="preserve">allows the thresholds for appraisal waivers and tiers of waiver valuations </w:t>
      </w:r>
      <w:r w:rsidRPr="002D3263" w:rsidR="00EA6620">
        <w:t>and for conflict of interest, 49 CFR 24.</w:t>
      </w:r>
      <w:r w:rsidRPr="002D3263" w:rsidR="00E41944">
        <w:t>102(n)</w:t>
      </w:r>
      <w:r w:rsidRPr="002D3263" w:rsidR="00EA6620">
        <w:t>,</w:t>
      </w:r>
      <w:r w:rsidRPr="002D3263" w:rsidR="00E41944">
        <w:t xml:space="preserve"> </w:t>
      </w:r>
      <w:r w:rsidRPr="002D3263">
        <w:t xml:space="preserve">to be adjusted in the </w:t>
      </w:r>
      <w:r w:rsidRPr="002D3263">
        <w:t>future;</w:t>
      </w:r>
      <w:r w:rsidRPr="002D3263">
        <w:t xml:space="preserve"> </w:t>
      </w:r>
    </w:p>
    <w:p w:rsidR="00D74AAA" w:rsidRPr="002D3263" w:rsidP="00EF4CBB" w14:paraId="69F4F858" w14:textId="429B000E">
      <w:pPr>
        <w:pStyle w:val="Bullets"/>
        <w:widowControl/>
      </w:pPr>
      <w:r w:rsidRPr="002D3263">
        <w:t>allows the maximum amount of reimbursement for non-residential search expenses to be adjusted in the futu</w:t>
      </w:r>
      <w:r w:rsidRPr="002D3263" w:rsidR="00BF714A">
        <w:t>re; and</w:t>
      </w:r>
    </w:p>
    <w:p w:rsidR="00272C2C" w:rsidP="00E85518" w14:paraId="7AB95FD7" w14:textId="30BF2BBC">
      <w:pPr>
        <w:pStyle w:val="Bullets"/>
        <w:widowControl/>
        <w:spacing w:before="0" w:after="240"/>
        <w:ind w:right="0"/>
      </w:pPr>
      <w:r w:rsidRPr="002D3263">
        <w:t>provides a</w:t>
      </w:r>
      <w:r w:rsidRPr="002D3263">
        <w:t>dditional clarifications and streamlining measures related to section 24.101 Voluntary Acquisitions</w:t>
      </w:r>
      <w:r w:rsidRPr="002D3263">
        <w:t>.</w:t>
      </w:r>
    </w:p>
    <w:p w:rsidR="0068454C" w:rsidRPr="002D3263" w:rsidP="00E85518" w14:paraId="3E3366B1" w14:textId="77777777">
      <w:pPr>
        <w:pStyle w:val="Bullets"/>
        <w:widowControl/>
        <w:numPr>
          <w:ilvl w:val="0"/>
          <w:numId w:val="0"/>
        </w:numPr>
        <w:spacing w:before="0" w:after="240"/>
        <w:ind w:right="0"/>
      </w:pPr>
    </w:p>
    <w:p w:rsidR="00DA1F72" w:rsidRPr="002D3263" w:rsidP="00C53C33" w14:paraId="5C66AEEA" w14:textId="0437CF4D">
      <w:pPr>
        <w:pStyle w:val="Heading2"/>
      </w:pPr>
      <w:bookmarkStart w:id="10" w:name="_Toc68008749"/>
      <w:bookmarkStart w:id="11" w:name="_Toc68008915"/>
      <w:bookmarkStart w:id="12" w:name="_Toc127438007"/>
      <w:bookmarkEnd w:id="10"/>
      <w:bookmarkEnd w:id="11"/>
      <w:r w:rsidRPr="002D3263">
        <w:t>Legislative History</w:t>
      </w:r>
      <w:bookmarkEnd w:id="12"/>
    </w:p>
    <w:p w:rsidR="003C2276" w:rsidRPr="002D3263" w:rsidP="00EF4CBB" w14:paraId="6A51318E" w14:textId="64FB0025">
      <w:pPr>
        <w:pStyle w:val="Body"/>
        <w:widowControl/>
      </w:pPr>
      <w:r w:rsidRPr="002D3263">
        <w:t>When the Uniform Act was enacted January 1971,</w:t>
      </w:r>
      <w:r w:rsidRPr="002D3263" w:rsidR="001B46D8">
        <w:t xml:space="preserve"> </w:t>
      </w:r>
      <w:r w:rsidRPr="002D3263" w:rsidR="00111308">
        <w:t>Federal</w:t>
      </w:r>
      <w:r w:rsidRPr="002D3263">
        <w:t xml:space="preserve"> </w:t>
      </w:r>
      <w:r w:rsidR="0059129A">
        <w:t>Agencies</w:t>
      </w:r>
      <w:r w:rsidRPr="002D3263">
        <w:t xml:space="preserve"> that administered programs requiring real property acquisition individually implemented their own regulations. </w:t>
      </w:r>
      <w:r w:rsidR="0059129A">
        <w:t xml:space="preserve"> </w:t>
      </w:r>
      <w:r w:rsidRPr="002D3263">
        <w:t xml:space="preserve">In March 1978, the U.S. Government Accountability Office (GAO) issued a Report to Congress beginning a movement within </w:t>
      </w:r>
      <w:r w:rsidRPr="002D3263" w:rsidR="00F73D90">
        <w:t xml:space="preserve">the </w:t>
      </w:r>
      <w:r w:rsidRPr="002D3263">
        <w:t>government that led to the 1985 publication of a model “</w:t>
      </w:r>
      <w:r w:rsidRPr="002D3263" w:rsidR="00151297">
        <w:t xml:space="preserve">Common </w:t>
      </w:r>
      <w:r w:rsidRPr="002D3263">
        <w:t>Rule</w:t>
      </w:r>
      <w:r w:rsidRPr="002D3263" w:rsidR="00F73D90">
        <w:t>,</w:t>
      </w:r>
      <w:r w:rsidRPr="002D3263">
        <w:t xml:space="preserve">” with the U.S. Department of Transportation (DOT) serving as the </w:t>
      </w:r>
      <w:r w:rsidR="0059129A">
        <w:t>L</w:t>
      </w:r>
      <w:r w:rsidRPr="002D3263">
        <w:t xml:space="preserve">ead </w:t>
      </w:r>
      <w:r w:rsidR="007D41B2">
        <w:t>A</w:t>
      </w:r>
      <w:r w:rsidRPr="002D3263">
        <w:t xml:space="preserve">gency. </w:t>
      </w:r>
      <w:r w:rsidR="0059129A">
        <w:t xml:space="preserve"> </w:t>
      </w:r>
      <w:r w:rsidRPr="002D3263">
        <w:t xml:space="preserve">At that time, all affected </w:t>
      </w:r>
      <w:r w:rsidRPr="002D3263" w:rsidR="00111308">
        <w:t>Federal</w:t>
      </w:r>
      <w:r w:rsidRPr="002D3263">
        <w:t xml:space="preserve"> </w:t>
      </w:r>
      <w:r w:rsidR="0059129A">
        <w:t>Agencies</w:t>
      </w:r>
      <w:r w:rsidRPr="002D3263">
        <w:t xml:space="preserve"> issued their own rules based on the model. </w:t>
      </w:r>
      <w:r w:rsidR="0059129A">
        <w:t xml:space="preserve"> </w:t>
      </w:r>
      <w:r w:rsidRPr="002D3263">
        <w:t xml:space="preserve">In 1987, Congress passed The Surface Transportation and Uniform Relocation Assistance Act of 1987, amending the Uniform Act and confirming DOT as </w:t>
      </w:r>
      <w:r w:rsidR="0059129A">
        <w:t>L</w:t>
      </w:r>
      <w:r w:rsidRPr="002D3263">
        <w:t xml:space="preserve">ead </w:t>
      </w:r>
      <w:r w:rsidR="007D41B2">
        <w:t>A</w:t>
      </w:r>
      <w:r w:rsidRPr="002D3263">
        <w:t xml:space="preserve">gency, which </w:t>
      </w:r>
      <w:r w:rsidRPr="002D3263" w:rsidR="0018494F">
        <w:t xml:space="preserve">U.S. </w:t>
      </w:r>
      <w:r w:rsidRPr="002D3263">
        <w:t xml:space="preserve">DOT delegated to </w:t>
      </w:r>
      <w:r w:rsidRPr="002D3263" w:rsidR="00292EC0">
        <w:t>FHWA</w:t>
      </w:r>
      <w:r w:rsidRPr="002D3263">
        <w:t xml:space="preserve">. </w:t>
      </w:r>
      <w:r w:rsidR="0059129A">
        <w:t xml:space="preserve"> </w:t>
      </w:r>
      <w:r w:rsidRPr="002D3263">
        <w:t xml:space="preserve">Two years later, FHWA issued a Final Unified Rule, and the other </w:t>
      </w:r>
      <w:r w:rsidRPr="002D3263" w:rsidR="00111308">
        <w:t>Federal</w:t>
      </w:r>
      <w:r w:rsidRPr="002D3263">
        <w:t xml:space="preserve"> </w:t>
      </w:r>
      <w:r w:rsidR="0059129A">
        <w:t>Agencies</w:t>
      </w:r>
      <w:r w:rsidRPr="002D3263">
        <w:t xml:space="preserve"> rescinded their own rules and provided cross references in their policies to the governmentwide </w:t>
      </w:r>
      <w:r w:rsidRPr="002D3263" w:rsidR="00292EC0">
        <w:t>regulation at 49 CFR 24</w:t>
      </w:r>
      <w:r w:rsidRPr="002D3263">
        <w:t xml:space="preserve"> that has since implemented the Uniform Act.</w:t>
      </w:r>
    </w:p>
    <w:p w:rsidR="003C2276" w:rsidRPr="002D3263" w:rsidP="00EF4CBB" w14:paraId="47E6F9AA" w14:textId="532B8038">
      <w:pPr>
        <w:pStyle w:val="Body"/>
        <w:widowControl/>
      </w:pPr>
      <w:r w:rsidRPr="002D3263">
        <w:t xml:space="preserve">FHWA’s primary responsibilities as </w:t>
      </w:r>
      <w:r w:rsidR="0059129A">
        <w:t>L</w:t>
      </w:r>
      <w:r w:rsidRPr="002D3263">
        <w:t xml:space="preserve">ead </w:t>
      </w:r>
      <w:r w:rsidR="007D41B2">
        <w:t>A</w:t>
      </w:r>
      <w:r w:rsidRPr="002D3263">
        <w:t xml:space="preserve">gency are to: </w:t>
      </w:r>
    </w:p>
    <w:p w:rsidR="003C2276" w:rsidRPr="002D3263" w:rsidP="00EF4CBB" w14:paraId="0304C9E0" w14:textId="77777777">
      <w:pPr>
        <w:pStyle w:val="Bullets"/>
        <w:widowControl/>
      </w:pPr>
      <w:r w:rsidRPr="002D3263">
        <w:t xml:space="preserve">Develop, publish, issue, and </w:t>
      </w:r>
      <w:r w:rsidRPr="002D3263" w:rsidR="00E718F7">
        <w:t>update</w:t>
      </w:r>
      <w:r w:rsidRPr="002D3263">
        <w:t xml:space="preserve"> the regulations necessary to carry out </w:t>
      </w:r>
      <w:r w:rsidRPr="002D3263" w:rsidR="00326A86">
        <w:t xml:space="preserve">the </w:t>
      </w:r>
      <w:r w:rsidRPr="002D3263">
        <w:t>Uniform Act</w:t>
      </w:r>
      <w:r w:rsidRPr="002D3263" w:rsidR="00BF2373">
        <w:t>.</w:t>
      </w:r>
    </w:p>
    <w:p w:rsidR="003C2276" w:rsidRPr="002D3263" w:rsidP="00EF4CBB" w14:paraId="69C1450E" w14:textId="46E2BA10">
      <w:pPr>
        <w:pStyle w:val="Bullets"/>
        <w:widowControl/>
      </w:pPr>
      <w:r w:rsidRPr="002D3263">
        <w:t xml:space="preserve">Provide Uniform Act leadership, advisory assistance, and training materials for all affected </w:t>
      </w:r>
      <w:r w:rsidRPr="002D3263" w:rsidR="00111308">
        <w:t>Federal</w:t>
      </w:r>
      <w:r w:rsidRPr="002D3263">
        <w:t xml:space="preserve"> </w:t>
      </w:r>
      <w:r w:rsidR="0059129A">
        <w:t>Agencies</w:t>
      </w:r>
      <w:r w:rsidRPr="002D3263" w:rsidR="00BF2373">
        <w:t>.</w:t>
      </w:r>
    </w:p>
    <w:p w:rsidR="003C2276" w:rsidRPr="002D3263" w:rsidP="00EF4CBB" w14:paraId="36830A26" w14:textId="0308C9DD">
      <w:pPr>
        <w:pStyle w:val="Bullets"/>
        <w:widowControl/>
      </w:pPr>
      <w:r w:rsidRPr="002D3263">
        <w:t xml:space="preserve">Monitor implementation and enforcement of the Uniform Act in coordination with other </w:t>
      </w:r>
      <w:r w:rsidRPr="002D3263" w:rsidR="00111308">
        <w:t>Federal</w:t>
      </w:r>
      <w:r w:rsidRPr="002D3263">
        <w:t xml:space="preserve"> </w:t>
      </w:r>
      <w:r w:rsidR="0059129A">
        <w:t>Agencies</w:t>
      </w:r>
      <w:r w:rsidRPr="002D3263" w:rsidR="00BF2373">
        <w:t>.</w:t>
      </w:r>
    </w:p>
    <w:p w:rsidR="003C2276" w:rsidRPr="002D3263" w:rsidP="00634AAC" w14:paraId="5C291909" w14:textId="77777777">
      <w:pPr>
        <w:pStyle w:val="NormalWeb"/>
        <w:shd w:val="clear" w:color="auto" w:fill="FFFFFF"/>
        <w:spacing w:after="0"/>
        <w:rPr>
          <w:rFonts w:ascii="Arial" w:hAnsi="Arial" w:cs="Arial"/>
          <w:sz w:val="20"/>
          <w:szCs w:val="20"/>
        </w:rPr>
      </w:pPr>
    </w:p>
    <w:p w:rsidR="003C2276" w:rsidRPr="002D3263" w:rsidP="00EF4CBB" w14:paraId="2FB2682E" w14:textId="12C84DC7">
      <w:pPr>
        <w:pStyle w:val="Body"/>
        <w:widowControl/>
        <w:rPr>
          <w:color w:val="000000" w:themeColor="text1"/>
        </w:rPr>
      </w:pPr>
      <w:r w:rsidRPr="002D3263">
        <w:t xml:space="preserve">Acting as </w:t>
      </w:r>
      <w:r w:rsidR="0059129A">
        <w:t>L</w:t>
      </w:r>
      <w:r w:rsidRPr="002D3263">
        <w:t xml:space="preserve">ead </w:t>
      </w:r>
      <w:r w:rsidR="007D41B2">
        <w:t>A</w:t>
      </w:r>
      <w:r w:rsidRPr="002D3263">
        <w:t xml:space="preserve">gency, FHWA is now proposing to amend 49 CFR 24. </w:t>
      </w:r>
      <w:r w:rsidR="0059129A">
        <w:t xml:space="preserve"> </w:t>
      </w:r>
      <w:r w:rsidRPr="002D3263">
        <w:t xml:space="preserve">This activity would affect the land acquisition and displacement activities of all </w:t>
      </w:r>
      <w:r w:rsidRPr="002D3263" w:rsidR="00111308">
        <w:t>Federal</w:t>
      </w:r>
      <w:r w:rsidRPr="002D3263">
        <w:t xml:space="preserve"> </w:t>
      </w:r>
      <w:r w:rsidR="0059129A">
        <w:t>Agencies</w:t>
      </w:r>
      <w:r w:rsidRPr="002D3263">
        <w:t xml:space="preserve"> subject to the Uniform Act</w:t>
      </w:r>
      <w:r w:rsidRPr="002D3263" w:rsidR="00EB6576">
        <w:t xml:space="preserve"> (See Section</w:t>
      </w:r>
      <w:r w:rsidRPr="002D3263" w:rsidR="00911E2B">
        <w:t xml:space="preserve"> </w:t>
      </w:r>
      <w:r w:rsidRPr="002D3263" w:rsidR="00911E2B">
        <w:fldChar w:fldCharType="begin"/>
      </w:r>
      <w:r w:rsidRPr="002D3263" w:rsidR="00911E2B">
        <w:instrText xml:space="preserve"> REF _Ref416259819 \r \h </w:instrText>
      </w:r>
      <w:r w:rsidR="002D3263">
        <w:instrText xml:space="preserve"> \* MERGEFORMAT </w:instrText>
      </w:r>
      <w:r w:rsidRPr="002D3263" w:rsidR="00911E2B">
        <w:fldChar w:fldCharType="separate"/>
      </w:r>
      <w:r w:rsidR="00E762F5">
        <w:t>1.5</w:t>
      </w:r>
      <w:r w:rsidRPr="002D3263" w:rsidR="00911E2B">
        <w:fldChar w:fldCharType="end"/>
      </w:r>
      <w:r w:rsidRPr="002D3263" w:rsidR="00EB6576">
        <w:t>)</w:t>
      </w:r>
      <w:r w:rsidRPr="002D3263">
        <w:t>.</w:t>
      </w:r>
      <w:r>
        <w:rPr>
          <w:rStyle w:val="FootnoteReference"/>
          <w:rFonts w:ascii="Arial" w:eastAsia="Times New Roman" w:hAnsi="Arial" w:cs="Arial"/>
          <w:sz w:val="20"/>
          <w:szCs w:val="20"/>
        </w:rPr>
        <w:footnoteReference w:id="7"/>
      </w:r>
    </w:p>
    <w:p w:rsidR="003C2276" w:rsidRPr="002D3263" w:rsidP="00C53C33" w14:paraId="6A53747D" w14:textId="77777777">
      <w:pPr>
        <w:pStyle w:val="Heading2"/>
      </w:pPr>
      <w:bookmarkStart w:id="13" w:name="_Toc127438008"/>
      <w:r w:rsidRPr="002D3263">
        <w:t>Program Responsibilities and Expenditure Areas</w:t>
      </w:r>
      <w:bookmarkEnd w:id="13"/>
    </w:p>
    <w:p w:rsidR="003C2276" w:rsidRPr="002D3263" w:rsidP="00EF4CBB" w14:paraId="1EA8E010" w14:textId="4D70F50F">
      <w:pPr>
        <w:pStyle w:val="Body"/>
        <w:widowControl/>
        <w:rPr>
          <w:shd w:val="clear" w:color="auto" w:fill="FFFFFF"/>
        </w:rPr>
      </w:pPr>
      <w:r w:rsidRPr="002D3263">
        <w:t xml:space="preserve">The Uniform Act provides for compensation to owners whose property is acquired for </w:t>
      </w:r>
      <w:r w:rsidRPr="002D3263" w:rsidR="00111308">
        <w:t>Federal</w:t>
      </w:r>
      <w:r w:rsidRPr="002D3263">
        <w:t xml:space="preserve"> or </w:t>
      </w:r>
      <w:r w:rsidRPr="002D3263" w:rsidR="002F6403">
        <w:t xml:space="preserve">federally </w:t>
      </w:r>
      <w:r w:rsidRPr="002D3263">
        <w:t xml:space="preserve">assisted projects to ensure their fair and consistent treatment, as well as to </w:t>
      </w:r>
      <w:r w:rsidRPr="002D3263">
        <w:rPr>
          <w:shd w:val="clear" w:color="auto" w:fill="FFFFFF"/>
        </w:rPr>
        <w:t xml:space="preserve">persons displaced as a direct result of </w:t>
      </w:r>
      <w:r w:rsidRPr="002D3263" w:rsidR="00111308">
        <w:rPr>
          <w:shd w:val="clear" w:color="auto" w:fill="FFFFFF"/>
        </w:rPr>
        <w:t>Federal</w:t>
      </w:r>
      <w:r w:rsidRPr="002D3263">
        <w:rPr>
          <w:shd w:val="clear" w:color="auto" w:fill="FFFFFF"/>
        </w:rPr>
        <w:t xml:space="preserve"> or </w:t>
      </w:r>
      <w:r w:rsidRPr="002D3263" w:rsidR="002F6403">
        <w:rPr>
          <w:shd w:val="clear" w:color="auto" w:fill="FFFFFF"/>
        </w:rPr>
        <w:t xml:space="preserve">federally </w:t>
      </w:r>
      <w:r w:rsidRPr="002D3263">
        <w:rPr>
          <w:shd w:val="clear" w:color="auto" w:fill="FFFFFF"/>
        </w:rPr>
        <w:t>assisted projects</w:t>
      </w:r>
      <w:r w:rsidRPr="002D3263" w:rsidR="00BA49FA">
        <w:rPr>
          <w:shd w:val="clear" w:color="auto" w:fill="FFFFFF"/>
        </w:rPr>
        <w:t>,</w:t>
      </w:r>
      <w:r w:rsidRPr="002D3263">
        <w:rPr>
          <w:shd w:val="clear" w:color="auto" w:fill="FFFFFF"/>
        </w:rPr>
        <w:t xml:space="preserve"> so that they will not suffer disproportionate </w:t>
      </w:r>
      <w:r w:rsidRPr="002D3263" w:rsidR="00111308">
        <w:rPr>
          <w:shd w:val="clear" w:color="auto" w:fill="FFFFFF"/>
        </w:rPr>
        <w:t xml:space="preserve">adverse effects </w:t>
      </w:r>
      <w:r w:rsidRPr="002D3263" w:rsidR="00111308">
        <w:rPr>
          <w:shd w:val="clear" w:color="auto" w:fill="FFFFFF"/>
        </w:rPr>
        <w:t>a</w:t>
      </w:r>
      <w:r w:rsidRPr="002D3263">
        <w:rPr>
          <w:shd w:val="clear" w:color="auto" w:fill="FFFFFF"/>
        </w:rPr>
        <w:t>s a result of</w:t>
      </w:r>
      <w:r w:rsidRPr="002D3263">
        <w:rPr>
          <w:shd w:val="clear" w:color="auto" w:fill="FFFFFF"/>
        </w:rPr>
        <w:t xml:space="preserve"> projects designed for the benefit of the public as a whole.</w:t>
      </w:r>
      <w:r w:rsidR="0059129A">
        <w:rPr>
          <w:shd w:val="clear" w:color="auto" w:fill="FFFFFF"/>
        </w:rPr>
        <w:t xml:space="preserve"> </w:t>
      </w:r>
      <w:r w:rsidRPr="002D3263">
        <w:rPr>
          <w:shd w:val="clear" w:color="auto" w:fill="FFFFFF"/>
        </w:rPr>
        <w:t xml:space="preserve"> Agencies conducting a program or project under the Uniform Act must carry out their legal responsibilities to affected property owners and displaced persons. </w:t>
      </w:r>
      <w:r w:rsidR="0059129A">
        <w:rPr>
          <w:shd w:val="clear" w:color="auto" w:fill="FFFFFF"/>
        </w:rPr>
        <w:t xml:space="preserve"> </w:t>
      </w:r>
      <w:r w:rsidRPr="002D3263">
        <w:rPr>
          <w:shd w:val="clear" w:color="auto" w:fill="FFFFFF"/>
        </w:rPr>
        <w:t>These responsibilities include:</w:t>
      </w:r>
    </w:p>
    <w:p w:rsidR="003C2276" w:rsidRPr="002D3263" w:rsidP="00EF4CBB" w14:paraId="4FA89AEE" w14:textId="77777777">
      <w:pPr>
        <w:pStyle w:val="Body"/>
        <w:widowControl/>
      </w:pPr>
      <w:r w:rsidRPr="002D3263">
        <w:t>For Real Property Acquisition</w:t>
      </w:r>
    </w:p>
    <w:p w:rsidR="003C2276" w:rsidRPr="002D3263" w:rsidP="00EF4CBB" w14:paraId="124C837E" w14:textId="77777777">
      <w:pPr>
        <w:pStyle w:val="Bullets"/>
        <w:widowControl/>
      </w:pPr>
      <w:r w:rsidRPr="002D3263">
        <w:t xml:space="preserve">Appraise </w:t>
      </w:r>
      <w:r w:rsidRPr="002D3263" w:rsidR="00BA49FA">
        <w:t xml:space="preserve">the </w:t>
      </w:r>
      <w:r w:rsidRPr="002D3263">
        <w:t xml:space="preserve">property </w:t>
      </w:r>
      <w:r w:rsidRPr="002D3263" w:rsidR="0003043D">
        <w:t xml:space="preserve">to be acquired </w:t>
      </w:r>
      <w:r w:rsidRPr="002D3263">
        <w:t>before negotiations</w:t>
      </w:r>
      <w:r w:rsidRPr="002D3263" w:rsidR="00BA49FA">
        <w:t>.</w:t>
      </w:r>
    </w:p>
    <w:p w:rsidR="003C2276" w:rsidRPr="002D3263" w:rsidP="00EF4CBB" w14:paraId="1C5D22E3" w14:textId="77777777">
      <w:pPr>
        <w:pStyle w:val="Bullets"/>
        <w:widowControl/>
      </w:pPr>
      <w:r w:rsidRPr="002D3263">
        <w:t>Invite the property owner to accompany the appraiser during the property inspection</w:t>
      </w:r>
      <w:r w:rsidRPr="002D3263" w:rsidR="0003043D">
        <w:t>.</w:t>
      </w:r>
    </w:p>
    <w:p w:rsidR="003C2276" w:rsidRPr="002D3263" w:rsidP="00EF4CBB" w14:paraId="3C101517" w14:textId="77777777">
      <w:pPr>
        <w:pStyle w:val="Bullets"/>
        <w:widowControl/>
      </w:pPr>
      <w:r w:rsidRPr="002D3263">
        <w:t>Provide the owner with a written offer of just compensation and summary of what is being acquired</w:t>
      </w:r>
      <w:r w:rsidRPr="002D3263" w:rsidR="0003043D">
        <w:t>.</w:t>
      </w:r>
    </w:p>
    <w:p w:rsidR="003C2276" w:rsidRPr="002D3263" w:rsidP="00EF4CBB" w14:paraId="5005D6CA" w14:textId="77777777">
      <w:pPr>
        <w:pStyle w:val="Bullets"/>
        <w:widowControl/>
      </w:pPr>
      <w:r w:rsidRPr="002D3263">
        <w:t xml:space="preserve">Pay for </w:t>
      </w:r>
      <w:r w:rsidRPr="002D3263" w:rsidR="0003043D">
        <w:t xml:space="preserve">the </w:t>
      </w:r>
      <w:r w:rsidRPr="002D3263">
        <w:t xml:space="preserve">property before </w:t>
      </w:r>
      <w:r w:rsidRPr="002D3263" w:rsidR="0003043D">
        <w:t xml:space="preserve">taking </w:t>
      </w:r>
      <w:r w:rsidRPr="002D3263">
        <w:t>possession</w:t>
      </w:r>
      <w:r w:rsidRPr="002D3263" w:rsidR="0003043D">
        <w:t>.</w:t>
      </w:r>
    </w:p>
    <w:p w:rsidR="003C2276" w:rsidRPr="002D3263" w:rsidP="00E85518" w14:paraId="0B0DEF82" w14:textId="77777777">
      <w:pPr>
        <w:pStyle w:val="Bullets"/>
        <w:widowControl/>
        <w:spacing w:before="0" w:after="240"/>
        <w:ind w:right="0"/>
      </w:pPr>
      <w:r w:rsidRPr="002D3263">
        <w:t>Reimburse expenses resulting from the transfer of title such as recording fees, prepaid real estate taxes, or other expenses.</w:t>
      </w:r>
    </w:p>
    <w:p w:rsidR="003C2276" w:rsidRPr="002D3263" w:rsidP="00EF4CBB" w14:paraId="05AE40F4" w14:textId="77777777">
      <w:pPr>
        <w:pStyle w:val="Body"/>
        <w:widowControl/>
      </w:pPr>
      <w:r w:rsidRPr="002D3263">
        <w:t>For Residential Displacements</w:t>
      </w:r>
    </w:p>
    <w:p w:rsidR="003C2276" w:rsidRPr="002D3263" w:rsidP="00EF4CBB" w14:paraId="08FE8731" w14:textId="77777777">
      <w:pPr>
        <w:pStyle w:val="Bullets"/>
        <w:widowControl/>
      </w:pPr>
      <w:r w:rsidRPr="002D3263">
        <w:t xml:space="preserve">Provide relocation </w:t>
      </w:r>
      <w:r w:rsidRPr="002D3263" w:rsidR="0003043D">
        <w:t xml:space="preserve">assistance </w:t>
      </w:r>
      <w:r w:rsidRPr="002D3263">
        <w:t>advisory services to displaced tenants and owner occupants</w:t>
      </w:r>
      <w:r w:rsidRPr="002D3263" w:rsidR="0003043D">
        <w:t>.</w:t>
      </w:r>
    </w:p>
    <w:p w:rsidR="003C2276" w:rsidRPr="002D3263" w:rsidP="00EF4CBB" w14:paraId="27951F45" w14:textId="77777777">
      <w:pPr>
        <w:pStyle w:val="Bullets"/>
        <w:widowControl/>
      </w:pPr>
      <w:r w:rsidRPr="002D3263">
        <w:t xml:space="preserve">Provide a minimum </w:t>
      </w:r>
      <w:r w:rsidRPr="002D3263" w:rsidR="0003043D">
        <w:t xml:space="preserve">of </w:t>
      </w:r>
      <w:r w:rsidRPr="002D3263">
        <w:t>90</w:t>
      </w:r>
      <w:r w:rsidRPr="002D3263" w:rsidR="0003043D">
        <w:t>-</w:t>
      </w:r>
      <w:r w:rsidRPr="002D3263">
        <w:t xml:space="preserve">days </w:t>
      </w:r>
      <w:r w:rsidRPr="002D3263" w:rsidR="0003043D">
        <w:t xml:space="preserve">advance </w:t>
      </w:r>
      <w:r w:rsidRPr="002D3263">
        <w:t xml:space="preserve">written notice </w:t>
      </w:r>
      <w:r w:rsidRPr="002D3263" w:rsidR="0003043D">
        <w:t xml:space="preserve">of the earliest date </w:t>
      </w:r>
      <w:r w:rsidRPr="002D3263" w:rsidR="00DA74A3">
        <w:t xml:space="preserve">an occupant may be required </w:t>
      </w:r>
      <w:r w:rsidRPr="002D3263">
        <w:t>to vacate</w:t>
      </w:r>
      <w:r w:rsidRPr="002D3263" w:rsidR="00DA74A3">
        <w:t xml:space="preserve"> a property being acquired. </w:t>
      </w:r>
    </w:p>
    <w:p w:rsidR="003C2276" w:rsidRPr="002D3263" w:rsidP="00EF4CBB" w14:paraId="1EDD63F3" w14:textId="77777777">
      <w:pPr>
        <w:pStyle w:val="Bullets"/>
        <w:widowControl/>
      </w:pPr>
      <w:r w:rsidRPr="002D3263">
        <w:t>Reimburse</w:t>
      </w:r>
      <w:r w:rsidRPr="002D3263" w:rsidR="001F7B56">
        <w:t>ment of</w:t>
      </w:r>
      <w:r w:rsidRPr="002D3263">
        <w:t xml:space="preserve"> moving </w:t>
      </w:r>
      <w:r w:rsidRPr="002D3263" w:rsidR="00DA74A3">
        <w:t xml:space="preserve">and related </w:t>
      </w:r>
      <w:r w:rsidRPr="002D3263">
        <w:t>expenses</w:t>
      </w:r>
      <w:r w:rsidRPr="002D3263" w:rsidR="00DA74A3">
        <w:t>.</w:t>
      </w:r>
    </w:p>
    <w:p w:rsidR="003C2276" w:rsidRPr="002D3263" w:rsidP="00EF4CBB" w14:paraId="2E501880" w14:textId="647CADDB">
      <w:pPr>
        <w:pStyle w:val="Bullets"/>
        <w:widowControl/>
      </w:pPr>
      <w:r w:rsidRPr="002D3263">
        <w:t>Identify</w:t>
      </w:r>
      <w:r w:rsidRPr="002D3263" w:rsidR="00D36998">
        <w:t xml:space="preserve"> </w:t>
      </w:r>
      <w:r w:rsidRPr="002D3263">
        <w:t>comparable replacement housing that is decent, safe, and sanitary</w:t>
      </w:r>
      <w:r w:rsidR="0068454C">
        <w:t xml:space="preserve"> (DSS)</w:t>
      </w:r>
      <w:r w:rsidRPr="002D3263">
        <w:t>, and provide payment for the added cost of renting or purchasing the comparable replacement housing</w:t>
      </w:r>
      <w:r w:rsidRPr="002D3263" w:rsidR="00DA74A3">
        <w:t>.</w:t>
      </w:r>
      <w:r w:rsidRPr="002D3263">
        <w:br/>
        <w:t> </w:t>
      </w:r>
    </w:p>
    <w:p w:rsidR="003C2276" w:rsidRPr="002D3263" w:rsidP="00EF4CBB" w14:paraId="51C8BB51" w14:textId="77777777">
      <w:pPr>
        <w:pStyle w:val="Body"/>
        <w:widowControl/>
      </w:pPr>
      <w:r w:rsidRPr="002D3263">
        <w:t xml:space="preserve">For </w:t>
      </w:r>
      <w:r w:rsidRPr="002D3263" w:rsidR="00305D57">
        <w:t>Non</w:t>
      </w:r>
      <w:r w:rsidRPr="002D3263" w:rsidR="001F7B56">
        <w:t>-</w:t>
      </w:r>
      <w:r w:rsidRPr="002D3263" w:rsidR="00305D57">
        <w:t>residential</w:t>
      </w:r>
      <w:r w:rsidRPr="002D3263">
        <w:t xml:space="preserve"> Displacements</w:t>
      </w:r>
    </w:p>
    <w:p w:rsidR="003C2276" w:rsidRPr="002D3263" w:rsidP="00EF4CBB" w14:paraId="1CC703F2" w14:textId="77777777">
      <w:pPr>
        <w:pStyle w:val="Bullets"/>
        <w:widowControl/>
      </w:pPr>
      <w:r w:rsidRPr="002D3263">
        <w:t xml:space="preserve">Provide relocation </w:t>
      </w:r>
      <w:r w:rsidRPr="002D3263" w:rsidR="00DA74A3">
        <w:t xml:space="preserve">assistance </w:t>
      </w:r>
      <w:r w:rsidRPr="002D3263">
        <w:t>advisory services</w:t>
      </w:r>
      <w:r w:rsidRPr="002D3263" w:rsidR="00DA74A3">
        <w:t>.</w:t>
      </w:r>
    </w:p>
    <w:p w:rsidR="003C2276" w:rsidRPr="002D3263" w:rsidP="00EF4CBB" w14:paraId="19EF1583" w14:textId="77777777">
      <w:pPr>
        <w:pStyle w:val="Bullets"/>
        <w:widowControl/>
      </w:pPr>
      <w:r w:rsidRPr="002D3263">
        <w:t xml:space="preserve">Provide a minimum </w:t>
      </w:r>
      <w:r w:rsidRPr="002D3263" w:rsidR="00DA74A3">
        <w:t xml:space="preserve">of </w:t>
      </w:r>
      <w:r w:rsidRPr="002D3263">
        <w:t>90</w:t>
      </w:r>
      <w:r w:rsidRPr="002D3263" w:rsidR="00DA74A3">
        <w:t>-</w:t>
      </w:r>
      <w:r w:rsidRPr="002D3263">
        <w:t xml:space="preserve">days </w:t>
      </w:r>
      <w:r w:rsidRPr="002D3263" w:rsidR="00DA74A3">
        <w:t xml:space="preserve">advance </w:t>
      </w:r>
      <w:r w:rsidRPr="002D3263">
        <w:t>written notice</w:t>
      </w:r>
      <w:r w:rsidRPr="002D3263" w:rsidR="00DA74A3">
        <w:t xml:space="preserve"> of the earliest date an occupant may be required</w:t>
      </w:r>
      <w:r w:rsidRPr="002D3263">
        <w:t xml:space="preserve"> to vacate </w:t>
      </w:r>
      <w:r w:rsidRPr="002D3263" w:rsidR="00DA74A3">
        <w:t>a property being acquired.</w:t>
      </w:r>
    </w:p>
    <w:p w:rsidR="003C2276" w:rsidRPr="002D3263" w:rsidP="00E85518" w14:paraId="0418F7B8" w14:textId="2023B5FE">
      <w:pPr>
        <w:pStyle w:val="Bullets"/>
        <w:widowControl/>
        <w:spacing w:before="0" w:after="240"/>
        <w:ind w:right="0"/>
      </w:pPr>
      <w:r w:rsidRPr="002D3263">
        <w:t>Reimburse for moving</w:t>
      </w:r>
      <w:r w:rsidRPr="002D3263" w:rsidR="00240EAD">
        <w:t>,</w:t>
      </w:r>
      <w:r w:rsidRPr="002D3263">
        <w:t xml:space="preserve"> re</w:t>
      </w:r>
      <w:r w:rsidR="00732A88">
        <w:t>-</w:t>
      </w:r>
      <w:r w:rsidRPr="002D3263">
        <w:t>establishment</w:t>
      </w:r>
      <w:r w:rsidRPr="002D3263" w:rsidR="00240EAD">
        <w:t>, and related</w:t>
      </w:r>
      <w:r w:rsidRPr="002D3263">
        <w:t xml:space="preserve"> expenses</w:t>
      </w:r>
      <w:r w:rsidRPr="002D3263" w:rsidR="00240EAD">
        <w:t xml:space="preserve"> as applicable.</w:t>
      </w:r>
    </w:p>
    <w:p w:rsidR="003C2276" w:rsidRPr="002D3263" w:rsidP="00C53C33" w14:paraId="4CE3F901" w14:textId="77777777">
      <w:pPr>
        <w:pStyle w:val="Heading2"/>
      </w:pPr>
      <w:bookmarkStart w:id="14" w:name="_Toc127438009"/>
      <w:r w:rsidRPr="002D3263">
        <w:t>Need for Regulatory Action</w:t>
      </w:r>
      <w:bookmarkEnd w:id="14"/>
    </w:p>
    <w:p w:rsidR="00B338E0" w:rsidRPr="002D3263" w:rsidP="00EF4CBB" w14:paraId="78288BB1" w14:textId="705792E2">
      <w:pPr>
        <w:pStyle w:val="Body"/>
        <w:widowControl/>
      </w:pPr>
      <w:r w:rsidRPr="002D3263">
        <w:t xml:space="preserve">Since publication of the last Uniform Act </w:t>
      </w:r>
      <w:r w:rsidRPr="002D3263">
        <w:t>Final R</w:t>
      </w:r>
      <w:r w:rsidRPr="002D3263">
        <w:t>ule in 2005, FHWA has undertaken a comprehensive effort to identify potential opportunities for improving Uniform Act implementation.</w:t>
      </w:r>
      <w:r w:rsidRPr="002D3263" w:rsidR="004410C8">
        <w:t xml:space="preserve"> </w:t>
      </w:r>
      <w:r w:rsidR="0059129A">
        <w:t xml:space="preserve"> </w:t>
      </w:r>
      <w:r w:rsidRPr="002D3263" w:rsidR="00446E01">
        <w:t>The FHWA initiatives have included research on the need for regulatory and statutory change to the Uniform Act; co-sponsorship of national symposiums on Uniform Act implementation issues</w:t>
      </w:r>
      <w:r w:rsidRPr="002D3263">
        <w:t>; implementation of pilot projects designed to determine the effect of changes in certain Uniform Act requirements and procedures</w:t>
      </w:r>
      <w:r w:rsidRPr="002D3263" w:rsidR="00446E01">
        <w:t xml:space="preserve"> and an examination of the experiences of several State </w:t>
      </w:r>
      <w:r w:rsidR="00D207D7">
        <w:t>d</w:t>
      </w:r>
      <w:r w:rsidRPr="002D3263" w:rsidR="00446E01">
        <w:t xml:space="preserve">epartments of </w:t>
      </w:r>
      <w:r w:rsidR="00D207D7">
        <w:t>t</w:t>
      </w:r>
      <w:r w:rsidRPr="002D3263" w:rsidR="00446E01">
        <w:t>ransportation (S</w:t>
      </w:r>
      <w:r w:rsidR="00C774F2">
        <w:t xml:space="preserve">tate </w:t>
      </w:r>
      <w:r w:rsidRPr="002D3263" w:rsidR="00446E01">
        <w:t>DOT</w:t>
      </w:r>
      <w:r w:rsidRPr="002D3263" w:rsidR="009E321B">
        <w:t>s</w:t>
      </w:r>
      <w:r w:rsidRPr="002D3263" w:rsidR="00446E01">
        <w:t>) in providing payments required by State law which supplemented Uniform Act benefits.</w:t>
      </w:r>
      <w:r w:rsidRPr="002D3263" w:rsidR="004410C8">
        <w:t xml:space="preserve"> </w:t>
      </w:r>
      <w:r w:rsidR="0059129A">
        <w:t xml:space="preserve"> </w:t>
      </w:r>
      <w:r w:rsidRPr="002D3263" w:rsidR="009D71AF">
        <w:t xml:space="preserve">These activities confirmed that there are </w:t>
      </w:r>
      <w:r w:rsidRPr="002D3263" w:rsidR="009D71AF">
        <w:t>a number of</w:t>
      </w:r>
      <w:r w:rsidRPr="002D3263" w:rsidR="009D71AF">
        <w:t xml:space="preserve"> improvements to implementation that could be made which would clarify existing requirements, reduce</w:t>
      </w:r>
      <w:r w:rsidRPr="002D3263" w:rsidR="00075F59">
        <w:t xml:space="preserve"> </w:t>
      </w:r>
      <w:r w:rsidRPr="002D3263" w:rsidR="009D71AF">
        <w:t>administrative burdens</w:t>
      </w:r>
      <w:r w:rsidRPr="002D3263" w:rsidR="00075F59">
        <w:t xml:space="preserve"> </w:t>
      </w:r>
      <w:r w:rsidRPr="002D3263" w:rsidR="001E44DA">
        <w:t xml:space="preserve">recipients and Federal </w:t>
      </w:r>
      <w:r w:rsidR="0059129A">
        <w:t>Agencies</w:t>
      </w:r>
      <w:r w:rsidRPr="002D3263" w:rsidR="009D71AF">
        <w:t>, and improve the government’s service to individuals and businesses a</w:t>
      </w:r>
      <w:r w:rsidRPr="002D3263" w:rsidR="002F6403">
        <w:t xml:space="preserve">ffected by Federal or federally </w:t>
      </w:r>
      <w:r w:rsidRPr="002D3263" w:rsidR="009D71AF">
        <w:t>assisted projects and programs.</w:t>
      </w:r>
      <w:r w:rsidRPr="002D3263" w:rsidR="004410C8">
        <w:t xml:space="preserve"> </w:t>
      </w:r>
      <w:r w:rsidR="0059129A">
        <w:t xml:space="preserve"> </w:t>
      </w:r>
      <w:r w:rsidRPr="002D3263" w:rsidR="009D71AF">
        <w:t xml:space="preserve">The mandated changes in MAP-21 presented an occasion to formally address these, and a practical impetus for FHWA to partner with the other </w:t>
      </w:r>
      <w:r w:rsidR="0059129A">
        <w:t>Agencies</w:t>
      </w:r>
      <w:r w:rsidRPr="002D3263" w:rsidR="009D71AF">
        <w:t xml:space="preserve"> subject to the Uniform Act t</w:t>
      </w:r>
      <w:r w:rsidRPr="002D3263" w:rsidR="009D71AF">
        <w:rPr>
          <w:color w:val="000000" w:themeColor="text1"/>
        </w:rPr>
        <w:t xml:space="preserve">o again take a broad look at the Uniform Act to discuss their ideas on how </w:t>
      </w:r>
      <w:r w:rsidRPr="002D3263" w:rsidR="001F4628">
        <w:rPr>
          <w:color w:val="000000" w:themeColor="text1"/>
        </w:rPr>
        <w:t>i</w:t>
      </w:r>
      <w:r w:rsidRPr="002D3263" w:rsidR="009D71AF">
        <w:rPr>
          <w:color w:val="000000" w:themeColor="text1"/>
        </w:rPr>
        <w:t>mplementation might be improved.</w:t>
      </w:r>
      <w:r w:rsidRPr="002D3263" w:rsidR="00AB1773">
        <w:rPr>
          <w:color w:val="000000" w:themeColor="text1"/>
        </w:rPr>
        <w:t xml:space="preserve"> </w:t>
      </w:r>
      <w:r w:rsidR="0059129A">
        <w:rPr>
          <w:color w:val="000000" w:themeColor="text1"/>
        </w:rPr>
        <w:t xml:space="preserve"> </w:t>
      </w:r>
      <w:r w:rsidRPr="002D3263" w:rsidR="00F73D90">
        <w:rPr>
          <w:color w:val="000000" w:themeColor="text1"/>
        </w:rPr>
        <w:t xml:space="preserve">The </w:t>
      </w:r>
      <w:r w:rsidRPr="002D3263">
        <w:rPr>
          <w:color w:val="000000" w:themeColor="text1"/>
        </w:rPr>
        <w:t xml:space="preserve">FHWA also used the rulemaking opportunity to review input on Uniform Act implementation issues that it has been collecting and compiling over recent years. </w:t>
      </w:r>
      <w:r w:rsidR="0059129A">
        <w:rPr>
          <w:color w:val="000000" w:themeColor="text1"/>
        </w:rPr>
        <w:t xml:space="preserve"> </w:t>
      </w:r>
      <w:r w:rsidRPr="002D3263">
        <w:t xml:space="preserve">Each of these sources of </w:t>
      </w:r>
      <w:r w:rsidRPr="002D3263" w:rsidR="00755EC7">
        <w:t xml:space="preserve">final </w:t>
      </w:r>
      <w:r w:rsidRPr="002D3263">
        <w:t xml:space="preserve">changes to 49 CFR 24 </w:t>
      </w:r>
      <w:r w:rsidRPr="002D3263" w:rsidR="00755EC7">
        <w:t>are</w:t>
      </w:r>
      <w:r w:rsidRPr="002D3263">
        <w:t xml:space="preserve"> discussed below.</w:t>
      </w:r>
    </w:p>
    <w:p w:rsidR="003C2276" w:rsidRPr="002D3263" w:rsidP="00E85518" w14:paraId="4683FEAF" w14:textId="77777777">
      <w:pPr>
        <w:pStyle w:val="Heading3"/>
        <w:widowControl/>
        <w:spacing w:before="0" w:after="240"/>
        <w:ind w:right="0"/>
      </w:pPr>
      <w:bookmarkStart w:id="15" w:name="_Toc127438010"/>
      <w:r w:rsidRPr="002D3263">
        <w:t>MAP-21 Mandates</w:t>
      </w:r>
      <w:bookmarkEnd w:id="15"/>
    </w:p>
    <w:p w:rsidR="003C2276" w:rsidRPr="002D3263" w:rsidP="00EF4CBB" w14:paraId="18C4781D" w14:textId="6AAADB30">
      <w:pPr>
        <w:pStyle w:val="Body"/>
        <w:widowControl/>
        <w:rPr>
          <w:b/>
          <w:color w:val="000000" w:themeColor="text1"/>
        </w:rPr>
      </w:pPr>
      <w:r w:rsidRPr="002D3263">
        <w:rPr>
          <w:rFonts w:eastAsia="Times New Roman"/>
        </w:rPr>
        <w:t xml:space="preserve">Section 1521 of MAP-21 included increases in </w:t>
      </w:r>
      <w:r w:rsidRPr="002D3263" w:rsidR="001B46D8">
        <w:rPr>
          <w:rFonts w:eastAsia="Times New Roman"/>
        </w:rPr>
        <w:t xml:space="preserve">certain </w:t>
      </w:r>
      <w:r w:rsidRPr="002D3263" w:rsidR="009B622F">
        <w:rPr>
          <w:rFonts w:eastAsia="Times New Roman"/>
        </w:rPr>
        <w:t xml:space="preserve">relocation assistance </w:t>
      </w:r>
      <w:r w:rsidRPr="002D3263">
        <w:rPr>
          <w:rFonts w:eastAsia="Times New Roman"/>
        </w:rPr>
        <w:t xml:space="preserve">benefit levels for displaced persons; the authority to develop </w:t>
      </w:r>
      <w:r w:rsidRPr="002D3263">
        <w:t>a regulatory mechanism to consider and implement future adjustments to those benefit levels; and a requirement for an</w:t>
      </w:r>
      <w:r w:rsidRPr="002D3263">
        <w:rPr>
          <w:color w:val="000000" w:themeColor="text1"/>
        </w:rPr>
        <w:t xml:space="preserve"> annual report on governmentwide real property acquisitions subject to the Uniform Act.</w:t>
      </w:r>
      <w:r w:rsidR="0059129A">
        <w:rPr>
          <w:color w:val="000000" w:themeColor="text1"/>
        </w:rPr>
        <w:t xml:space="preserve"> </w:t>
      </w:r>
      <w:r w:rsidRPr="002D3263">
        <w:rPr>
          <w:color w:val="000000" w:themeColor="text1"/>
        </w:rPr>
        <w:t xml:space="preserve"> Specifically, MAP-21:</w:t>
      </w:r>
    </w:p>
    <w:p w:rsidR="003C2276" w:rsidRPr="002D3263" w:rsidP="00EF4CBB" w14:paraId="44409CAB" w14:textId="37A7C0A4">
      <w:pPr>
        <w:pStyle w:val="Bullets"/>
        <w:widowControl/>
      </w:pPr>
      <w:r w:rsidRPr="002D3263">
        <w:t>Amended the maximum statutory benefit for replacement housing payments (RHP) for displaced homeowners from $22,500 to $31,000</w:t>
      </w:r>
      <w:r w:rsidRPr="002D3263" w:rsidR="009B622F">
        <w:t>.</w:t>
      </w:r>
      <w:r w:rsidRPr="002D3263">
        <w:t xml:space="preserve"> </w:t>
      </w:r>
    </w:p>
    <w:p w:rsidR="003C2276" w:rsidRPr="002D3263" w:rsidP="00EF4CBB" w14:paraId="7DC7256F" w14:textId="39962540">
      <w:pPr>
        <w:pStyle w:val="Bullets"/>
        <w:widowControl/>
      </w:pPr>
      <w:r w:rsidRPr="002D3263">
        <w:t>Amended the maximum statutory benefit for</w:t>
      </w:r>
      <w:r w:rsidRPr="002D3263" w:rsidR="005F462B">
        <w:t xml:space="preserve"> </w:t>
      </w:r>
      <w:r w:rsidRPr="002D3263" w:rsidR="0044068D">
        <w:t>rental r</w:t>
      </w:r>
      <w:r w:rsidRPr="002D3263" w:rsidR="005F462B">
        <w:t>e</w:t>
      </w:r>
      <w:r w:rsidRPr="002D3263" w:rsidR="0044068D">
        <w:t>placement housing p</w:t>
      </w:r>
      <w:r w:rsidRPr="002D3263" w:rsidR="005F462B">
        <w:t>ayment</w:t>
      </w:r>
      <w:r w:rsidRPr="002D3263">
        <w:t xml:space="preserve"> </w:t>
      </w:r>
      <w:r w:rsidRPr="002D3263" w:rsidR="0044068D">
        <w:t>(</w:t>
      </w:r>
      <w:r w:rsidRPr="002D3263" w:rsidR="00226CDC">
        <w:t>R</w:t>
      </w:r>
      <w:r w:rsidRPr="002D3263">
        <w:t>RHP</w:t>
      </w:r>
      <w:r w:rsidRPr="002D3263" w:rsidR="009B622F">
        <w:t>)</w:t>
      </w:r>
      <w:r w:rsidRPr="002D3263">
        <w:t xml:space="preserve"> for displaced tenants from $5,250 to $7,200</w:t>
      </w:r>
      <w:r w:rsidRPr="002D3263" w:rsidR="009B622F">
        <w:t>.</w:t>
      </w:r>
    </w:p>
    <w:p w:rsidR="003C2276" w:rsidRPr="002D3263" w:rsidP="00EF4CBB" w14:paraId="5BF400F1" w14:textId="77777777">
      <w:pPr>
        <w:pStyle w:val="Bullets"/>
        <w:widowControl/>
      </w:pPr>
      <w:r w:rsidRPr="002D3263">
        <w:t xml:space="preserve">Reduced the length of occupancy requirement for homeowners to be eligible </w:t>
      </w:r>
      <w:r w:rsidRPr="002D3263" w:rsidR="009B622F">
        <w:t xml:space="preserve">for replacement housing payments </w:t>
      </w:r>
      <w:r w:rsidRPr="002D3263">
        <w:t xml:space="preserve">from 180 days to 90 days before the initiation of negotiations. </w:t>
      </w:r>
    </w:p>
    <w:p w:rsidR="003C2276" w:rsidRPr="002D3263" w:rsidP="00EF4CBB" w14:paraId="3AD513DD" w14:textId="65423840">
      <w:pPr>
        <w:pStyle w:val="Bullets"/>
        <w:widowControl/>
      </w:pPr>
      <w:r w:rsidRPr="002D3263">
        <w:t>Amended the maximum statutory benefit for</w:t>
      </w:r>
      <w:r w:rsidRPr="002D3263" w:rsidR="009B622F">
        <w:t xml:space="preserve"> reimbursement of</w:t>
      </w:r>
      <w:r w:rsidRPr="002D3263">
        <w:t xml:space="preserve"> business re</w:t>
      </w:r>
      <w:r w:rsidR="00732A88">
        <w:t>-</w:t>
      </w:r>
      <w:r w:rsidRPr="002D3263">
        <w:t xml:space="preserve">establishment </w:t>
      </w:r>
      <w:r w:rsidRPr="002D3263" w:rsidR="009B622F">
        <w:t xml:space="preserve">expenses </w:t>
      </w:r>
      <w:r w:rsidRPr="002D3263">
        <w:t>from $10,000 to $25,000</w:t>
      </w:r>
      <w:r w:rsidRPr="002D3263" w:rsidR="009B622F">
        <w:t>.</w:t>
      </w:r>
    </w:p>
    <w:p w:rsidR="00275B90" w:rsidP="00EF4CBB" w14:paraId="6061E441" w14:textId="18AD9C62">
      <w:pPr>
        <w:pStyle w:val="Bullets"/>
        <w:widowControl/>
      </w:pPr>
      <w:r w:rsidRPr="002D3263">
        <w:t xml:space="preserve">Amended the maximum </w:t>
      </w:r>
      <w:r w:rsidRPr="002D3263" w:rsidR="00C43CA8">
        <w:t xml:space="preserve">amount for </w:t>
      </w:r>
      <w:r w:rsidRPr="002D3263" w:rsidR="00F47493">
        <w:t xml:space="preserve">the </w:t>
      </w:r>
      <w:r w:rsidRPr="002D3263">
        <w:t xml:space="preserve">fixed </w:t>
      </w:r>
      <w:r w:rsidRPr="002D3263" w:rsidR="00911E2B">
        <w:t>“in-lieu-of</w:t>
      </w:r>
      <w:r w:rsidRPr="002D3263" w:rsidR="009B622F">
        <w:t xml:space="preserve"> moving cost</w:t>
      </w:r>
      <w:r w:rsidRPr="002D3263" w:rsidR="00C43CA8">
        <w:t>s</w:t>
      </w:r>
      <w:r w:rsidRPr="002D3263" w:rsidR="00911E2B">
        <w:t xml:space="preserve">” </w:t>
      </w:r>
      <w:r w:rsidRPr="002D3263">
        <w:t xml:space="preserve">payment for </w:t>
      </w:r>
      <w:r w:rsidRPr="002D3263" w:rsidR="00305D57">
        <w:t>non-residential</w:t>
      </w:r>
      <w:r w:rsidRPr="002D3263" w:rsidR="00176DF5">
        <w:t xml:space="preserve"> displacements</w:t>
      </w:r>
      <w:r w:rsidRPr="002D3263">
        <w:t xml:space="preserve"> from $20,000 to $40,000</w:t>
      </w:r>
      <w:r w:rsidRPr="002D3263" w:rsidR="00C43CA8">
        <w:t>.</w:t>
      </w:r>
    </w:p>
    <w:p w:rsidR="00275B90" w:rsidP="006D5D1A" w14:paraId="09C78CB9" w14:textId="57552B8D">
      <w:pPr>
        <w:pStyle w:val="Bullets"/>
        <w:widowControl/>
      </w:pPr>
      <w:r>
        <w:t>Allows that if the head of the Lead Agency determines that the cost of living, inflation, or other</w:t>
      </w:r>
      <w:r>
        <w:t xml:space="preserve"> </w:t>
      </w:r>
      <w:r>
        <w:t xml:space="preserve">factors indicate the relocation assistance benefits should be adjusted to meet the policy objectives of the Uniform Act, that the head of the Lead Agency may adjust certain benefit levels. </w:t>
      </w:r>
    </w:p>
    <w:p w:rsidR="00275B90" w:rsidP="000D67A7" w14:paraId="36D6FC08" w14:textId="77777777">
      <w:pPr>
        <w:pStyle w:val="Bullets"/>
        <w:widowControl/>
        <w:numPr>
          <w:ilvl w:val="0"/>
          <w:numId w:val="0"/>
        </w:numPr>
      </w:pPr>
    </w:p>
    <w:p w:rsidR="000D67A7" w:rsidP="000D67A7" w14:paraId="2DD62557" w14:textId="646ECD7F">
      <w:pPr>
        <w:pStyle w:val="Bullets"/>
        <w:widowControl/>
        <w:numPr>
          <w:ilvl w:val="0"/>
          <w:numId w:val="0"/>
        </w:numPr>
      </w:pPr>
      <w:r>
        <w:t xml:space="preserve">This final rule includes increases </w:t>
      </w:r>
      <w:r w:rsidR="00275B90">
        <w:t xml:space="preserve">in </w:t>
      </w:r>
      <w:r w:rsidR="004E09F4">
        <w:t xml:space="preserve">certain benefits by </w:t>
      </w:r>
      <w:r w:rsidR="00275B90">
        <w:t xml:space="preserve">roughly 33 </w:t>
      </w:r>
      <w:r w:rsidR="004E09F4">
        <w:t xml:space="preserve">percent </w:t>
      </w:r>
      <w:r>
        <w:t xml:space="preserve">to account for inflation </w:t>
      </w:r>
      <w:r w:rsidR="00BA2875">
        <w:t xml:space="preserve">and other factors </w:t>
      </w:r>
      <w:r>
        <w:t>since 2012</w:t>
      </w:r>
      <w:r w:rsidR="00275B90">
        <w:t xml:space="preserve">. </w:t>
      </w:r>
      <w:r w:rsidR="0059129A">
        <w:t xml:space="preserve"> </w:t>
      </w:r>
      <w:r w:rsidR="00275B90">
        <w:t xml:space="preserve">This was determined by using the </w:t>
      </w:r>
      <w:r w:rsidR="002E64E4">
        <w:t>most current Consumer Price Index for All Urban Consumers (CPI-U)</w:t>
      </w:r>
      <w:r w:rsidR="00BA2875">
        <w:t xml:space="preserve"> </w:t>
      </w:r>
      <w:r w:rsidR="002E64E4">
        <w:t xml:space="preserve">available, June 2023, compared to the end of year CPI for 2012 (305.1 / 229.6 = 1.33). </w:t>
      </w:r>
      <w:r w:rsidR="0059129A">
        <w:t xml:space="preserve"> </w:t>
      </w:r>
      <w:r w:rsidR="00BA2875">
        <w:t>Specifically, the final rule:</w:t>
      </w:r>
    </w:p>
    <w:p w:rsidR="00BA2875" w:rsidP="000D67A7" w14:paraId="03581249" w14:textId="77777777">
      <w:pPr>
        <w:pStyle w:val="Bullets"/>
        <w:widowControl/>
        <w:numPr>
          <w:ilvl w:val="0"/>
          <w:numId w:val="0"/>
        </w:numPr>
      </w:pPr>
    </w:p>
    <w:p w:rsidR="00BA2875" w:rsidRPr="002D3263" w:rsidP="00BA2875" w14:paraId="4BA3C3B9" w14:textId="72201ECD">
      <w:pPr>
        <w:pStyle w:val="Bullets"/>
        <w:widowControl/>
      </w:pPr>
      <w:r w:rsidRPr="002D3263">
        <w:t>Amend</w:t>
      </w:r>
      <w:r>
        <w:t>s</w:t>
      </w:r>
      <w:r w:rsidRPr="002D3263">
        <w:t xml:space="preserve"> the maximum statutory benefit for RHPs for displaced homeowners to $</w:t>
      </w:r>
      <w:r w:rsidR="00275B90">
        <w:t>41,2</w:t>
      </w:r>
      <w:r w:rsidR="009237FC">
        <w:t>0</w:t>
      </w:r>
      <w:r w:rsidR="00275B90">
        <w:t>0</w:t>
      </w:r>
      <w:r w:rsidRPr="002D3263">
        <w:t xml:space="preserve">. </w:t>
      </w:r>
    </w:p>
    <w:p w:rsidR="00BA2875" w:rsidRPr="002D3263" w:rsidP="00BA2875" w14:paraId="64987ECD" w14:textId="2CF0F822">
      <w:pPr>
        <w:pStyle w:val="Bullets"/>
        <w:widowControl/>
      </w:pPr>
      <w:r w:rsidRPr="002D3263">
        <w:t>Amen</w:t>
      </w:r>
      <w:r>
        <w:t>ds</w:t>
      </w:r>
      <w:r w:rsidRPr="002D3263">
        <w:t xml:space="preserve"> the maximum statutory benefit for RRHPs for displaced tenants to $</w:t>
      </w:r>
      <w:r w:rsidR="00275B90">
        <w:t>9,570</w:t>
      </w:r>
      <w:r w:rsidRPr="002D3263">
        <w:t>.</w:t>
      </w:r>
    </w:p>
    <w:p w:rsidR="00BA2875" w:rsidRPr="002D3263" w:rsidP="00BA2875" w14:paraId="04EF4003" w14:textId="7BC15E54">
      <w:pPr>
        <w:pStyle w:val="Bullets"/>
        <w:widowControl/>
      </w:pPr>
      <w:r w:rsidRPr="002D3263">
        <w:t>Amend</w:t>
      </w:r>
      <w:r>
        <w:t xml:space="preserve">s </w:t>
      </w:r>
      <w:r w:rsidRPr="002D3263">
        <w:t>the maximum statutory benefit for reimbursement of business re</w:t>
      </w:r>
      <w:r w:rsidR="00732A88">
        <w:t>-</w:t>
      </w:r>
      <w:r w:rsidRPr="002D3263">
        <w:t>establishment expenses</w:t>
      </w:r>
      <w:r>
        <w:t xml:space="preserve"> </w:t>
      </w:r>
      <w:r w:rsidRPr="002D3263">
        <w:t>to $</w:t>
      </w:r>
      <w:r>
        <w:t>3</w:t>
      </w:r>
      <w:r w:rsidR="00275B90">
        <w:t>3,200</w:t>
      </w:r>
      <w:r w:rsidRPr="002D3263">
        <w:t>.</w:t>
      </w:r>
    </w:p>
    <w:p w:rsidR="00BA2875" w:rsidP="00BA2875" w14:paraId="69777600" w14:textId="2C4A1CF4">
      <w:pPr>
        <w:pStyle w:val="Bullets"/>
        <w:widowControl/>
      </w:pPr>
      <w:r w:rsidRPr="002D3263">
        <w:t>Amend</w:t>
      </w:r>
      <w:r>
        <w:t xml:space="preserve">s </w:t>
      </w:r>
      <w:r w:rsidRPr="002D3263">
        <w:t xml:space="preserve">the maximum amount for the fixed “in-lieu-of moving costs” payment for non-residential displacements </w:t>
      </w:r>
      <w:r>
        <w:t xml:space="preserve">to </w:t>
      </w:r>
      <w:r w:rsidRPr="002D3263">
        <w:t>$</w:t>
      </w:r>
      <w:r w:rsidR="003976D0">
        <w:t>53,200</w:t>
      </w:r>
      <w:r w:rsidRPr="002D3263">
        <w:t>.</w:t>
      </w:r>
    </w:p>
    <w:p w:rsidR="00BA2875" w:rsidRPr="002D3263" w:rsidP="006D5D1A" w14:paraId="3DEC45DD" w14:textId="77777777">
      <w:pPr>
        <w:pStyle w:val="Bullets"/>
        <w:widowControl/>
        <w:numPr>
          <w:ilvl w:val="0"/>
          <w:numId w:val="0"/>
        </w:numPr>
      </w:pPr>
    </w:p>
    <w:p w:rsidR="003C2276" w:rsidRPr="002D3263" w:rsidP="00E85518" w14:paraId="5A4F3D9A" w14:textId="193B5976">
      <w:pPr>
        <w:widowControl/>
        <w:spacing w:after="240"/>
      </w:pPr>
      <w:r w:rsidRPr="002D3263">
        <w:t xml:space="preserve">The </w:t>
      </w:r>
      <w:r w:rsidRPr="002D3263">
        <w:t xml:space="preserve">MAP-21 also required that </w:t>
      </w:r>
      <w:r w:rsidRPr="002D3263" w:rsidR="00111308">
        <w:t>Federal</w:t>
      </w:r>
      <w:r w:rsidRPr="002D3263">
        <w:t xml:space="preserve"> </w:t>
      </w:r>
      <w:r w:rsidR="0059129A">
        <w:t>Agencies</w:t>
      </w:r>
      <w:r w:rsidRPr="002D3263">
        <w:t xml:space="preserve"> that are subject to the Uniform </w:t>
      </w:r>
      <w:r w:rsidRPr="002D3263">
        <w:t>Act</w:t>
      </w:r>
      <w:r w:rsidRPr="002D3263" w:rsidR="001B46D8">
        <w:t>,</w:t>
      </w:r>
      <w:r w:rsidRPr="002D3263">
        <w:t xml:space="preserve"> and</w:t>
      </w:r>
      <w:r w:rsidRPr="002D3263">
        <w:t xml:space="preserve"> have programs or projects requiring the acquisition of real property</w:t>
      </w:r>
      <w:r w:rsidRPr="002D3263" w:rsidR="00C43CA8">
        <w:t>,</w:t>
      </w:r>
      <w:r w:rsidRPr="002D3263">
        <w:t xml:space="preserve"> or causing a displacement from real property </w:t>
      </w:r>
      <w:r w:rsidRPr="002D3263" w:rsidR="00C43CA8">
        <w:t xml:space="preserve">to </w:t>
      </w:r>
      <w:r w:rsidRPr="002D3263">
        <w:t xml:space="preserve">provide </w:t>
      </w:r>
      <w:r w:rsidRPr="002D3263" w:rsidR="00C43CA8">
        <w:t xml:space="preserve">FHWA, as </w:t>
      </w:r>
      <w:r w:rsidR="0059129A">
        <w:t>L</w:t>
      </w:r>
      <w:r w:rsidRPr="002D3263">
        <w:t xml:space="preserve">ead </w:t>
      </w:r>
      <w:r w:rsidR="007D41B2">
        <w:t>A</w:t>
      </w:r>
      <w:r w:rsidRPr="002D3263">
        <w:t>gency</w:t>
      </w:r>
      <w:r w:rsidRPr="002D3263" w:rsidR="00C43CA8">
        <w:t>,</w:t>
      </w:r>
      <w:r w:rsidRPr="002D3263">
        <w:t xml:space="preserve"> with an annual summary report describing its Uniform Act activities.</w:t>
      </w:r>
      <w:r w:rsidRPr="002D3263" w:rsidR="0091417E">
        <w:t xml:space="preserve"> </w:t>
      </w:r>
      <w:r w:rsidR="0059129A">
        <w:t xml:space="preserve"> </w:t>
      </w:r>
      <w:r w:rsidRPr="002D3263" w:rsidR="0091417E">
        <w:t xml:space="preserve">The previous requirement was that </w:t>
      </w:r>
      <w:r w:rsidR="0059129A">
        <w:t>Agencies</w:t>
      </w:r>
      <w:r w:rsidRPr="002D3263" w:rsidR="0091417E">
        <w:t xml:space="preserve"> provide a report (49 CFR 24</w:t>
      </w:r>
      <w:r w:rsidRPr="002D3263" w:rsidR="00EA6620">
        <w:t>.</w:t>
      </w:r>
      <w:r w:rsidRPr="002D3263" w:rsidR="00E41944">
        <w:t>9</w:t>
      </w:r>
      <w:r w:rsidR="007D41B2">
        <w:t>I</w:t>
      </w:r>
      <w:r w:rsidRPr="002D3263" w:rsidR="0091417E">
        <w:t xml:space="preserve">) not more than every </w:t>
      </w:r>
      <w:r w:rsidRPr="002D3263" w:rsidR="0026387C">
        <w:t>3</w:t>
      </w:r>
      <w:r w:rsidRPr="002D3263" w:rsidR="00A756CA">
        <w:t xml:space="preserve"> years.</w:t>
      </w:r>
      <w:r w:rsidRPr="002D3263" w:rsidR="004410C8">
        <w:t xml:space="preserve"> </w:t>
      </w:r>
      <w:r w:rsidR="0059129A">
        <w:t xml:space="preserve"> </w:t>
      </w:r>
      <w:r w:rsidRPr="002D3263" w:rsidR="008516C9">
        <w:t>The FHWA</w:t>
      </w:r>
      <w:r w:rsidRPr="002D3263">
        <w:t xml:space="preserve"> </w:t>
      </w:r>
      <w:r w:rsidRPr="002D3263" w:rsidR="00C839BF">
        <w:t xml:space="preserve">invited </w:t>
      </w:r>
      <w:r w:rsidRPr="002D3263" w:rsidR="00CF4AE0">
        <w:t>all</w:t>
      </w:r>
      <w:r w:rsidRPr="002D3263" w:rsidR="00C839BF">
        <w:t xml:space="preserve"> the affected Federal </w:t>
      </w:r>
      <w:r w:rsidR="0059129A">
        <w:t>Agencies</w:t>
      </w:r>
      <w:r w:rsidRPr="002D3263" w:rsidR="00C839BF">
        <w:t xml:space="preserve"> to </w:t>
      </w:r>
      <w:r w:rsidRPr="002D3263">
        <w:t>discuss the new reporting requirement</w:t>
      </w:r>
      <w:r w:rsidRPr="002D3263" w:rsidR="00C839BF">
        <w:t>.</w:t>
      </w:r>
      <w:r w:rsidRPr="002D3263" w:rsidR="004410C8">
        <w:t xml:space="preserve"> </w:t>
      </w:r>
      <w:r w:rsidR="0059129A">
        <w:t xml:space="preserve"> </w:t>
      </w:r>
      <w:r w:rsidRPr="002D3263" w:rsidR="00C839BF">
        <w:t>A</w:t>
      </w:r>
      <w:r w:rsidRPr="002D3263">
        <w:t xml:space="preserve"> working group consisting of a cross-section of affected </w:t>
      </w:r>
      <w:r w:rsidRPr="002D3263" w:rsidR="00111308">
        <w:t>Federal</w:t>
      </w:r>
      <w:r w:rsidRPr="002D3263">
        <w:t xml:space="preserve"> </w:t>
      </w:r>
      <w:r w:rsidR="0059129A">
        <w:t>Agencies</w:t>
      </w:r>
      <w:r w:rsidRPr="002D3263" w:rsidR="0026387C">
        <w:t xml:space="preserve"> </w:t>
      </w:r>
      <w:r w:rsidRPr="002D3263">
        <w:t xml:space="preserve">collectively developed </w:t>
      </w:r>
      <w:r w:rsidRPr="002D3263" w:rsidR="00C839BF">
        <w:t>language for 49 CFR</w:t>
      </w:r>
      <w:r w:rsidRPr="002D3263" w:rsidR="00BF2373">
        <w:t xml:space="preserve"> </w:t>
      </w:r>
      <w:r w:rsidRPr="002D3263" w:rsidR="00C839BF">
        <w:t xml:space="preserve">24 and </w:t>
      </w:r>
      <w:r w:rsidRPr="002D3263">
        <w:t xml:space="preserve">a proposed template for the </w:t>
      </w:r>
      <w:r w:rsidRPr="002D3263" w:rsidR="00BD7103">
        <w:t xml:space="preserve">detailed </w:t>
      </w:r>
      <w:r w:rsidRPr="002D3263">
        <w:t>annual report</w:t>
      </w:r>
      <w:r w:rsidRPr="002D3263" w:rsidR="00C839BF">
        <w:t>.</w:t>
      </w:r>
      <w:r w:rsidRPr="002D3263">
        <w:t xml:space="preserve"> </w:t>
      </w:r>
      <w:r w:rsidR="0059129A">
        <w:t xml:space="preserve"> </w:t>
      </w:r>
      <w:r w:rsidRPr="002D3263" w:rsidR="007F6496">
        <w:t xml:space="preserve">The </w:t>
      </w:r>
      <w:r w:rsidRPr="002D3263">
        <w:t xml:space="preserve">FHWA </w:t>
      </w:r>
      <w:r w:rsidRPr="002D3263" w:rsidR="00E718F7">
        <w:t xml:space="preserve">believes </w:t>
      </w:r>
      <w:r w:rsidRPr="002D3263" w:rsidR="00111308">
        <w:t>that the NPRM</w:t>
      </w:r>
      <w:r w:rsidRPr="002D3263" w:rsidR="00E718F7">
        <w:t xml:space="preserve"> provides </w:t>
      </w:r>
      <w:r w:rsidR="0059129A">
        <w:t>Agencies</w:t>
      </w:r>
      <w:r w:rsidRPr="002D3263" w:rsidR="00E718F7">
        <w:t xml:space="preserve"> with a streamlined reporting format that balances the need to provide </w:t>
      </w:r>
      <w:r w:rsidR="0059129A">
        <w:t>Agencies</w:t>
      </w:r>
      <w:r w:rsidRPr="002D3263" w:rsidR="00E718F7">
        <w:t xml:space="preserve"> with appropriate time to develop </w:t>
      </w:r>
      <w:r w:rsidRPr="002D3263" w:rsidR="005F462B">
        <w:t xml:space="preserve">the </w:t>
      </w:r>
      <w:r w:rsidRPr="002D3263" w:rsidR="00E718F7">
        <w:t>necessary reporting systems</w:t>
      </w:r>
      <w:r w:rsidRPr="002D3263" w:rsidR="00BD7103">
        <w:t xml:space="preserve"> from which details can be ext</w:t>
      </w:r>
      <w:r w:rsidRPr="002D3263" w:rsidR="005F462B">
        <w:t>r</w:t>
      </w:r>
      <w:r w:rsidRPr="002D3263" w:rsidR="00BD7103">
        <w:t>acted,</w:t>
      </w:r>
      <w:r w:rsidRPr="002D3263" w:rsidR="00E718F7">
        <w:t xml:space="preserve"> with the need to compile the information into a meaningful report. </w:t>
      </w:r>
      <w:r w:rsidR="0059129A">
        <w:t xml:space="preserve"> </w:t>
      </w:r>
      <w:r w:rsidRPr="002D3263" w:rsidR="00E718F7">
        <w:t xml:space="preserve">Understanding that it may be unworkable for an </w:t>
      </w:r>
      <w:r w:rsidR="007D41B2">
        <w:t>A</w:t>
      </w:r>
      <w:r w:rsidRPr="002D3263" w:rsidR="00E718F7">
        <w:t xml:space="preserve">gency to complete </w:t>
      </w:r>
      <w:r w:rsidRPr="002D3263" w:rsidR="00BD7103">
        <w:t>a detailed</w:t>
      </w:r>
      <w:r w:rsidRPr="002D3263" w:rsidR="00E718F7">
        <w:t xml:space="preserve"> report in the first year or </w:t>
      </w:r>
      <w:r w:rsidRPr="002D3263" w:rsidR="00E718F7">
        <w:t>during the course of</w:t>
      </w:r>
      <w:r w:rsidRPr="002D3263" w:rsidR="00E718F7">
        <w:t xml:space="preserve"> successive years, the group agreed that an interim</w:t>
      </w:r>
      <w:r w:rsidRPr="002D3263" w:rsidR="00BD7103">
        <w:t xml:space="preserve"> narrative</w:t>
      </w:r>
      <w:r w:rsidRPr="002D3263" w:rsidR="00E718F7">
        <w:t xml:space="preserve"> report option</w:t>
      </w:r>
      <w:r w:rsidRPr="002D3263" w:rsidR="00111308">
        <w:t xml:space="preserve"> where the </w:t>
      </w:r>
      <w:r w:rsidR="007D41B2">
        <w:t>A</w:t>
      </w:r>
      <w:r w:rsidRPr="002D3263" w:rsidR="00111308">
        <w:t>gency summarize</w:t>
      </w:r>
      <w:r w:rsidRPr="002D3263" w:rsidR="00C839BF">
        <w:t>s</w:t>
      </w:r>
      <w:r w:rsidRPr="002D3263" w:rsidR="00111308">
        <w:t xml:space="preserve"> its Uniform Act stewardship and oversight efforts and detailed its progress toward being able to provide a detailed annual report w</w:t>
      </w:r>
      <w:r w:rsidRPr="002D3263" w:rsidR="009B0BEE">
        <w:t>ould be appropriate.</w:t>
      </w:r>
    </w:p>
    <w:p w:rsidR="003C2276" w:rsidRPr="002D3263" w:rsidP="00E85518" w14:paraId="2CFB338F" w14:textId="77777777">
      <w:pPr>
        <w:pStyle w:val="Heading3"/>
        <w:keepNext/>
        <w:widowControl/>
        <w:spacing w:before="0" w:after="240"/>
        <w:ind w:right="0"/>
      </w:pPr>
      <w:bookmarkStart w:id="16" w:name="_Toc127438011"/>
      <w:r w:rsidRPr="002D3263">
        <w:t>Interagency Coordination</w:t>
      </w:r>
      <w:bookmarkEnd w:id="16"/>
      <w:r w:rsidRPr="002D3263">
        <w:t xml:space="preserve"> </w:t>
      </w:r>
    </w:p>
    <w:p w:rsidR="003C2276" w:rsidRPr="002D3263" w:rsidP="00EF4CBB" w14:paraId="5D61ABB4" w14:textId="7EC9BEF7">
      <w:pPr>
        <w:pStyle w:val="Body"/>
        <w:widowControl/>
        <w:rPr>
          <w:rFonts w:ascii="Arial" w:hAnsi="Arial" w:cs="Arial"/>
          <w:sz w:val="20"/>
          <w:szCs w:val="20"/>
        </w:rPr>
      </w:pPr>
      <w:r w:rsidRPr="002D3263">
        <w:t>The FHWA</w:t>
      </w:r>
      <w:r w:rsidRPr="002D3263">
        <w:t xml:space="preserve"> actively engaged other </w:t>
      </w:r>
      <w:r w:rsidR="0059129A">
        <w:t>Agencies</w:t>
      </w:r>
      <w:r w:rsidRPr="002D3263">
        <w:t xml:space="preserve"> to identify other potential regulatory improvements. </w:t>
      </w:r>
      <w:r w:rsidR="0059129A">
        <w:t xml:space="preserve"> </w:t>
      </w:r>
      <w:r w:rsidRPr="002D3263">
        <w:t xml:space="preserve">Immediately after MAP-21 was enacted, FHWA began outreach to the </w:t>
      </w:r>
      <w:r w:rsidRPr="002D3263" w:rsidR="006A464C">
        <w:t>other</w:t>
      </w:r>
      <w:r w:rsidRPr="002D3263">
        <w:t xml:space="preserve"> </w:t>
      </w:r>
      <w:r w:rsidRPr="002D3263" w:rsidR="00111308">
        <w:t>Federal</w:t>
      </w:r>
      <w:r w:rsidRPr="002D3263">
        <w:t xml:space="preserve"> </w:t>
      </w:r>
      <w:r w:rsidR="0059129A">
        <w:t>Agencies</w:t>
      </w:r>
      <w:r w:rsidRPr="002D3263">
        <w:t xml:space="preserve"> subject to </w:t>
      </w:r>
      <w:r w:rsidRPr="002D3263" w:rsidR="00D523D0">
        <w:t>Uniform Act requirements.</w:t>
      </w:r>
    </w:p>
    <w:p w:rsidR="007C43E4" w:rsidRPr="002D3263" w:rsidP="00EF4CBB" w14:paraId="07050364" w14:textId="1CB006F0">
      <w:pPr>
        <w:pStyle w:val="Body"/>
        <w:widowControl/>
      </w:pPr>
      <w:r w:rsidRPr="002D3263">
        <w:t xml:space="preserve">First, </w:t>
      </w:r>
      <w:r w:rsidRPr="002D3263" w:rsidR="009B0BEE">
        <w:t>F</w:t>
      </w:r>
      <w:r w:rsidRPr="002D3263">
        <w:t xml:space="preserve">HWA assembled a working group of approximately 25 </w:t>
      </w:r>
      <w:r w:rsidRPr="002D3263" w:rsidR="00111308">
        <w:t>Federal</w:t>
      </w:r>
      <w:r w:rsidRPr="002D3263">
        <w:t xml:space="preserve"> </w:t>
      </w:r>
      <w:r w:rsidR="007D41B2">
        <w:t>A</w:t>
      </w:r>
      <w:r w:rsidRPr="002D3263">
        <w:t>gency</w:t>
      </w:r>
      <w:r w:rsidRPr="002D3263" w:rsidR="008D36EB">
        <w:t xml:space="preserve"> </w:t>
      </w:r>
      <w:r w:rsidRPr="002D3263" w:rsidR="008F590B">
        <w:t>representatives</w:t>
      </w:r>
      <w:r w:rsidRPr="002D3263">
        <w:t xml:space="preserve"> to discuss the regulatory amendments that MAP-21 required and other clarifications or modifications that might streamline implementation for practitioners and </w:t>
      </w:r>
      <w:r w:rsidRPr="002D3263" w:rsidR="00BF3213">
        <w:t>recipients</w:t>
      </w:r>
      <w:r w:rsidRPr="002D3263">
        <w:t xml:space="preserve">. </w:t>
      </w:r>
      <w:r w:rsidR="0059129A">
        <w:t xml:space="preserve"> </w:t>
      </w:r>
      <w:r w:rsidRPr="002D3263">
        <w:t>From November 2012 to April 2013,</w:t>
      </w:r>
      <w:r w:rsidRPr="002D3263" w:rsidR="009B0BEE">
        <w:t xml:space="preserve"> </w:t>
      </w:r>
      <w:r w:rsidRPr="002D3263">
        <w:t xml:space="preserve">FHWA conducted a series of 10 conference calls with the working group. </w:t>
      </w:r>
      <w:r w:rsidR="0059129A">
        <w:t xml:space="preserve"> </w:t>
      </w:r>
      <w:r w:rsidRPr="002D3263">
        <w:t>Together, the group rev</w:t>
      </w:r>
      <w:r w:rsidRPr="002D3263" w:rsidR="00BF2373">
        <w:t>iewed 84 sections of 49 CFR</w:t>
      </w:r>
      <w:r w:rsidRPr="002D3263">
        <w:t xml:space="preserve"> 24 to discuss suggestions on how provisions of the regulation should be updated, clarified, or improved, as well as rationales for each revision. </w:t>
      </w:r>
      <w:r w:rsidR="0059129A">
        <w:t xml:space="preserve"> </w:t>
      </w:r>
      <w:r w:rsidRPr="002D3263">
        <w:t xml:space="preserve">Contributions from working group members were based on their experiences implementing the rule and feedback they had received from their stakeholders. </w:t>
      </w:r>
      <w:r w:rsidR="0059129A">
        <w:t xml:space="preserve"> </w:t>
      </w:r>
      <w:r w:rsidRPr="002D3263" w:rsidR="008516C9">
        <w:rPr>
          <w:rFonts w:eastAsia="Times New Roman"/>
        </w:rPr>
        <w:t>The FHWA</w:t>
      </w:r>
      <w:r w:rsidRPr="002D3263">
        <w:rPr>
          <w:rFonts w:eastAsia="Times New Roman"/>
        </w:rPr>
        <w:t xml:space="preserve"> considered the group’s recommendations for each of the regulation’s subparts and then </w:t>
      </w:r>
      <w:r w:rsidRPr="002D3263">
        <w:t xml:space="preserve">convened a second </w:t>
      </w:r>
      <w:r w:rsidRPr="002D3263" w:rsidR="00111308">
        <w:t>Federal</w:t>
      </w:r>
      <w:r w:rsidRPr="002D3263">
        <w:t xml:space="preserve"> working group to discuss a vetted list of proposed changes. </w:t>
      </w:r>
      <w:r w:rsidR="0059129A">
        <w:t xml:space="preserve"> </w:t>
      </w:r>
      <w:r w:rsidRPr="002D3263">
        <w:t xml:space="preserve">The second group met via </w:t>
      </w:r>
      <w:r w:rsidRPr="002D3263" w:rsidR="00311A69">
        <w:t xml:space="preserve">7 </w:t>
      </w:r>
      <w:r w:rsidRPr="002D3263">
        <w:t>conference calls between April and June 2013 to review the list of proposed changes, ultimately identifying approximately 50 items it believed should be advanced in a rulemaking.</w:t>
      </w:r>
    </w:p>
    <w:p w:rsidR="00D53A35" w:rsidRPr="002D3263" w:rsidP="00EF4CBB" w14:paraId="790D4BB5" w14:textId="11EC969F">
      <w:pPr>
        <w:pStyle w:val="Body"/>
        <w:widowControl/>
      </w:pPr>
      <w:r w:rsidRPr="002D3263">
        <w:t>I</w:t>
      </w:r>
      <w:r w:rsidRPr="002D3263" w:rsidR="000E5087">
        <w:t>n</w:t>
      </w:r>
      <w:r w:rsidRPr="002D3263" w:rsidR="005A6DD3">
        <w:t xml:space="preserve"> </w:t>
      </w:r>
      <w:r w:rsidRPr="002D3263" w:rsidR="008F590B">
        <w:t xml:space="preserve">October </w:t>
      </w:r>
      <w:r w:rsidRPr="002D3263" w:rsidR="005A6DD3">
        <w:t xml:space="preserve">2017, FHWA </w:t>
      </w:r>
      <w:r w:rsidRPr="002D3263" w:rsidR="00311A69">
        <w:t>re</w:t>
      </w:r>
      <w:r w:rsidRPr="002D3263" w:rsidR="005A6DD3">
        <w:t>convened</w:t>
      </w:r>
      <w:r w:rsidRPr="002D3263">
        <w:t xml:space="preserve"> the Federal</w:t>
      </w:r>
      <w:r w:rsidRPr="002D3263" w:rsidR="005A6DD3">
        <w:t xml:space="preserve"> interagency working group</w:t>
      </w:r>
      <w:r w:rsidRPr="002D3263" w:rsidR="00311A69">
        <w:t xml:space="preserve"> representatives</w:t>
      </w:r>
      <w:r w:rsidRPr="002D3263" w:rsidR="005A6DD3">
        <w:t xml:space="preserve"> </w:t>
      </w:r>
      <w:r w:rsidRPr="002D3263" w:rsidR="008F590B">
        <w:t xml:space="preserve">in a series of </w:t>
      </w:r>
      <w:r w:rsidRPr="002D3263" w:rsidR="00311A69">
        <w:t xml:space="preserve">10 </w:t>
      </w:r>
      <w:r w:rsidRPr="002D3263" w:rsidR="005A6DD3">
        <w:t>meetings</w:t>
      </w:r>
      <w:r w:rsidRPr="002D3263" w:rsidR="00311A69">
        <w:t xml:space="preserve"> between November 8, 2017</w:t>
      </w:r>
      <w:r w:rsidR="00D207D7">
        <w:t>,</w:t>
      </w:r>
      <w:r w:rsidRPr="002D3263" w:rsidR="00311A69">
        <w:t xml:space="preserve"> and February 6, 2018</w:t>
      </w:r>
      <w:r w:rsidRPr="002D3263">
        <w:t>,</w:t>
      </w:r>
      <w:r w:rsidRPr="002D3263" w:rsidR="005A6DD3">
        <w:t xml:space="preserve"> to </w:t>
      </w:r>
      <w:r w:rsidRPr="002D3263" w:rsidR="000E5087">
        <w:t xml:space="preserve">again review </w:t>
      </w:r>
      <w:r w:rsidRPr="002D3263" w:rsidR="005A6DD3">
        <w:t>the draft NPRM</w:t>
      </w:r>
      <w:r w:rsidRPr="002D3263">
        <w:t>.</w:t>
      </w:r>
      <w:r w:rsidRPr="002D3263" w:rsidR="00E06B32">
        <w:t xml:space="preserve"> </w:t>
      </w:r>
    </w:p>
    <w:p w:rsidR="00EA0310" w:rsidRPr="002D3263" w:rsidP="00EF4CBB" w14:paraId="058E052A" w14:textId="06965A1E">
      <w:pPr>
        <w:pStyle w:val="Body"/>
        <w:widowControl/>
      </w:pPr>
      <w:r w:rsidRPr="002D3263">
        <w:t xml:space="preserve">Between February and March of 2020, FHWA held NPRM listening sessions. </w:t>
      </w:r>
      <w:r w:rsidR="0059129A">
        <w:t xml:space="preserve"> </w:t>
      </w:r>
      <w:r w:rsidRPr="002D3263" w:rsidR="00E72E85">
        <w:t xml:space="preserve">The </w:t>
      </w:r>
      <w:r w:rsidRPr="002D3263">
        <w:t xml:space="preserve">FHWA held two internal listening sessions, and four were held for the public to include State </w:t>
      </w:r>
      <w:r w:rsidR="00C774F2">
        <w:t>DOTs</w:t>
      </w:r>
      <w:r w:rsidRPr="002D3263">
        <w:t xml:space="preserve">, </w:t>
      </w:r>
      <w:r w:rsidR="00C774F2">
        <w:t>l</w:t>
      </w:r>
      <w:r w:rsidRPr="002D3263">
        <w:t xml:space="preserve">ocal </w:t>
      </w:r>
      <w:r w:rsidR="00C774F2">
        <w:t>p</w:t>
      </w:r>
      <w:r w:rsidRPr="002D3263">
        <w:t xml:space="preserve">ublic </w:t>
      </w:r>
      <w:r w:rsidR="00C774F2">
        <w:t>a</w:t>
      </w:r>
      <w:r w:rsidRPr="002D3263">
        <w:t xml:space="preserve">gencies, the American Association of State Highway Transportation Organization, the International Right of Way </w:t>
      </w:r>
      <w:r w:rsidRPr="002D3263">
        <w:t>Association</w:t>
      </w:r>
      <w:r w:rsidRPr="002D3263">
        <w:t xml:space="preserve"> and other Federal Agency funding recipients.</w:t>
      </w:r>
    </w:p>
    <w:p w:rsidR="003C2276" w:rsidRPr="002D3263" w:rsidP="00E85518" w14:paraId="3468CD30" w14:textId="4424C027">
      <w:pPr>
        <w:pStyle w:val="Heading3"/>
        <w:keepNext/>
        <w:widowControl/>
        <w:spacing w:before="0" w:after="240"/>
        <w:ind w:right="0"/>
      </w:pPr>
      <w:bookmarkStart w:id="17" w:name="_Toc127438012"/>
      <w:r w:rsidRPr="002D3263">
        <w:t>Practitioner Input and Research</w:t>
      </w:r>
      <w:bookmarkEnd w:id="17"/>
    </w:p>
    <w:p w:rsidR="003C2276" w:rsidRPr="002D3263" w:rsidP="00EF4CBB" w14:paraId="61676333" w14:textId="510BDAA2">
      <w:pPr>
        <w:pStyle w:val="Body"/>
        <w:widowControl/>
        <w:rPr>
          <w:rFonts w:ascii="Arial" w:hAnsi="Arial" w:cs="Arial"/>
          <w:sz w:val="20"/>
          <w:szCs w:val="20"/>
        </w:rPr>
      </w:pPr>
      <w:r w:rsidRPr="002D3263">
        <w:t>The FHWA</w:t>
      </w:r>
      <w:r w:rsidRPr="002D3263">
        <w:t xml:space="preserve"> has collected input and recommendations on Uniform Act implementation in the years since the last rulemaking. </w:t>
      </w:r>
      <w:r w:rsidR="0059129A">
        <w:t xml:space="preserve"> </w:t>
      </w:r>
      <w:r w:rsidRPr="002D3263">
        <w:t xml:space="preserve">Field-level suggestions for improvement have come from direct practitioner </w:t>
      </w:r>
      <w:r w:rsidRPr="002D3263" w:rsidR="005F462B">
        <w:t>comments and views expressed to</w:t>
      </w:r>
      <w:r w:rsidRPr="002D3263">
        <w:t xml:space="preserve"> FHWA and research projects that the </w:t>
      </w:r>
      <w:r w:rsidR="007D41B2">
        <w:t>A</w:t>
      </w:r>
      <w:r w:rsidRPr="002D3263">
        <w:t xml:space="preserve">gency has </w:t>
      </w:r>
      <w:r w:rsidRPr="002D3263" w:rsidR="00E718F7">
        <w:t>funded</w:t>
      </w:r>
      <w:r w:rsidRPr="002D3263">
        <w:t>.</w:t>
      </w:r>
    </w:p>
    <w:p w:rsidR="003C2276" w:rsidRPr="002D3263" w:rsidP="00EF4CBB" w14:paraId="56558360" w14:textId="77777777">
      <w:pPr>
        <w:pStyle w:val="Heading4"/>
        <w:widowControl/>
      </w:pPr>
      <w:r w:rsidRPr="002D3263">
        <w:t>Practitioner Input</w:t>
      </w:r>
    </w:p>
    <w:p w:rsidR="003C2276" w:rsidRPr="002D3263" w:rsidP="00EF4CBB" w14:paraId="299DF0A3" w14:textId="5805DD12">
      <w:pPr>
        <w:pStyle w:val="Body"/>
        <w:widowControl/>
      </w:pPr>
      <w:r w:rsidRPr="002D3263">
        <w:t xml:space="preserve">Practitioners periodically contact FHWA to express confusion over certain sections of the regulation. </w:t>
      </w:r>
      <w:r w:rsidR="0059129A">
        <w:t xml:space="preserve"> </w:t>
      </w:r>
      <w:r w:rsidRPr="002D3263">
        <w:t xml:space="preserve">They </w:t>
      </w:r>
      <w:r w:rsidRPr="002D3263" w:rsidR="006A464C">
        <w:t>do</w:t>
      </w:r>
      <w:r w:rsidRPr="002D3263">
        <w:t xml:space="preserve"> so via communication with FHWA Division Offices or FHWA program office responsible for the Uniform Act; conversations at national conferences and symposiums co-sponsored by</w:t>
      </w:r>
      <w:r w:rsidRPr="002D3263" w:rsidR="009B0BEE">
        <w:t xml:space="preserve"> </w:t>
      </w:r>
      <w:r w:rsidRPr="002D3263" w:rsidR="00013EE8">
        <w:t>FHWA;</w:t>
      </w:r>
      <w:r w:rsidRPr="002D3263">
        <w:t xml:space="preserve"> feedback on FHWA pilot projects</w:t>
      </w:r>
      <w:r w:rsidRPr="002D3263" w:rsidR="00013EE8">
        <w:t>;</w:t>
      </w:r>
      <w:r w:rsidRPr="002D3263">
        <w:t xml:space="preserve"> and research designed to determine the effect of making changes to various Uniform Act requirements and procedures.</w:t>
      </w:r>
    </w:p>
    <w:p w:rsidR="003C2276" w:rsidRPr="002D3263" w:rsidP="00EF4CBB" w14:paraId="2B25733C" w14:textId="77777777">
      <w:pPr>
        <w:pStyle w:val="Heading4"/>
        <w:keepNext/>
        <w:widowControl/>
      </w:pPr>
      <w:r w:rsidRPr="002D3263">
        <w:t>Research</w:t>
      </w:r>
    </w:p>
    <w:p w:rsidR="003C2276" w:rsidRPr="002D3263" w:rsidP="00EF4CBB" w14:paraId="56C28C5A" w14:textId="2B5680F2">
      <w:pPr>
        <w:pStyle w:val="Body"/>
        <w:keepNext/>
        <w:widowControl/>
      </w:pPr>
      <w:r w:rsidRPr="002D3263">
        <w:t>The FHWA</w:t>
      </w:r>
      <w:r w:rsidRPr="002D3263">
        <w:t xml:space="preserve"> has used information from several recent research studies to further assess the adequacy of the current benefit levels.</w:t>
      </w:r>
      <w:r w:rsidRPr="002D3263" w:rsidR="00DE0E07">
        <w:t xml:space="preserve"> </w:t>
      </w:r>
      <w:r w:rsidR="0059129A">
        <w:t xml:space="preserve"> </w:t>
      </w:r>
      <w:r w:rsidRPr="002D3263" w:rsidR="00593734">
        <w:t>Several of the</w:t>
      </w:r>
      <w:r w:rsidRPr="002D3263">
        <w:t xml:space="preserve"> studies and their outcomes are discussed below.</w:t>
      </w:r>
    </w:p>
    <w:p w:rsidR="003C2276" w:rsidRPr="002D3263" w:rsidP="00634AAC" w14:paraId="008F4472" w14:textId="77777777">
      <w:pPr>
        <w:keepNext/>
        <w:widowControl/>
        <w:numPr>
          <w:ilvl w:val="0"/>
          <w:numId w:val="40"/>
        </w:numPr>
        <w:spacing w:before="360" w:after="60" w:line="240" w:lineRule="auto"/>
        <w:contextualSpacing/>
        <w:rPr>
          <w:rStyle w:val="Emphasis"/>
        </w:rPr>
      </w:pPr>
      <w:r w:rsidRPr="002D3263">
        <w:rPr>
          <w:rStyle w:val="Emphasis"/>
        </w:rPr>
        <w:t>Business Relocation Assistance Retrospective Stud</w:t>
      </w:r>
      <w:r w:rsidRPr="002D3263" w:rsidR="000F76CC">
        <w:rPr>
          <w:rStyle w:val="Emphasis"/>
        </w:rPr>
        <w:t>y (BRARS)</w:t>
      </w:r>
    </w:p>
    <w:p w:rsidR="00DE0E07" w:rsidRPr="002D3263" w:rsidP="00EF4CBB" w14:paraId="13418489" w14:textId="77777777">
      <w:pPr>
        <w:keepNext/>
        <w:widowControl/>
        <w:spacing w:before="360" w:after="60" w:line="240" w:lineRule="auto"/>
        <w:ind w:left="360"/>
        <w:contextualSpacing/>
        <w:rPr>
          <w:rStyle w:val="Emphasis"/>
        </w:rPr>
      </w:pPr>
    </w:p>
    <w:p w:rsidR="003C2276" w:rsidRPr="002D3263" w:rsidP="00EF4CBB" w14:paraId="53863B4F" w14:textId="4197D3D1">
      <w:pPr>
        <w:pStyle w:val="Body"/>
        <w:widowControl/>
        <w:rPr>
          <w:color w:val="000000" w:themeColor="text1"/>
        </w:rPr>
      </w:pPr>
      <w:r w:rsidRPr="002D3263">
        <w:rPr>
          <w:color w:val="000000" w:themeColor="text1"/>
        </w:rPr>
        <w:t xml:space="preserve">A 2006 GAO report </w:t>
      </w:r>
      <w:r w:rsidRPr="002D3263">
        <w:t>found evidence that displaced business owner interviewees considered Uniform Act benefits available to business to be inadequate.</w:t>
      </w:r>
      <w:r>
        <w:rPr>
          <w:rStyle w:val="FootnoteReference"/>
          <w:rFonts w:ascii="Arial" w:hAnsi="Arial" w:cs="Arial"/>
          <w:color w:val="000000" w:themeColor="text1"/>
          <w:sz w:val="20"/>
          <w:szCs w:val="20"/>
        </w:rPr>
        <w:footnoteReference w:id="8"/>
      </w:r>
      <w:r w:rsidRPr="002D3263">
        <w:t xml:space="preserve"> </w:t>
      </w:r>
      <w:r w:rsidR="0059129A">
        <w:t xml:space="preserve"> </w:t>
      </w:r>
      <w:r w:rsidRPr="002D3263">
        <w:t xml:space="preserve">From 2010 to 2012, FHWA commissioned a study of the actual costs businesses incur </w:t>
      </w:r>
      <w:r w:rsidRPr="002D3263">
        <w:t>as a result of</w:t>
      </w:r>
      <w:r w:rsidRPr="002D3263">
        <w:t xml:space="preserve"> having to relocate for a public transportation project. </w:t>
      </w:r>
      <w:r w:rsidR="0059129A">
        <w:t xml:space="preserve"> </w:t>
      </w:r>
      <w:r w:rsidRPr="002D3263">
        <w:t>The primary focus of the research was to determine the costs that a business incurs that would be reimbursable if re</w:t>
      </w:r>
      <w:r w:rsidR="00732A88">
        <w:t>-</w:t>
      </w:r>
      <w:r w:rsidRPr="002D3263">
        <w:t>establishment expense payments were not limited to the</w:t>
      </w:r>
      <w:r w:rsidRPr="002D3263" w:rsidR="0042455E">
        <w:t xml:space="preserve"> existing Federal</w:t>
      </w:r>
      <w:r w:rsidRPr="002D3263">
        <w:t xml:space="preserve"> statutory maximum amount of $10,000. </w:t>
      </w:r>
      <w:r w:rsidR="0059129A">
        <w:t xml:space="preserve"> </w:t>
      </w:r>
      <w:r w:rsidRPr="002D3263" w:rsidR="008516C9">
        <w:t>The FHWA</w:t>
      </w:r>
      <w:r w:rsidRPr="002D3263">
        <w:t xml:space="preserve"> ha</w:t>
      </w:r>
      <w:r w:rsidRPr="002D3263" w:rsidR="0031628A">
        <w:t>d</w:t>
      </w:r>
      <w:r w:rsidRPr="002D3263">
        <w:t xml:space="preserve"> heard anecdotal evidence for many years that the payments were not adequate to re</w:t>
      </w:r>
      <w:r w:rsidR="00732A88">
        <w:t>-</w:t>
      </w:r>
      <w:r w:rsidRPr="002D3263">
        <w:t>establish a busine</w:t>
      </w:r>
      <w:r w:rsidRPr="002D3263" w:rsidR="00DC72F4">
        <w:t xml:space="preserve">ss. </w:t>
      </w:r>
      <w:r w:rsidR="0059129A">
        <w:t xml:space="preserve"> </w:t>
      </w:r>
      <w:r w:rsidRPr="002D3263" w:rsidR="00DC72F4">
        <w:t>The study also investigated</w:t>
      </w:r>
      <w:r w:rsidRPr="002D3263" w:rsidR="0031628A">
        <w:t xml:space="preserve"> a</w:t>
      </w:r>
      <w:r w:rsidRPr="002D3263" w:rsidR="00DC72F4">
        <w:t xml:space="preserve"> f</w:t>
      </w:r>
      <w:r w:rsidRPr="002D3263">
        <w:t>ixed payment (</w:t>
      </w:r>
      <w:r w:rsidRPr="002D3263" w:rsidR="0031628A">
        <w:t xml:space="preserve">payment </w:t>
      </w:r>
      <w:r w:rsidRPr="002D3263">
        <w:t>in-lie</w:t>
      </w:r>
      <w:r w:rsidRPr="002D3263">
        <w:rPr>
          <w:color w:val="000000" w:themeColor="text1"/>
        </w:rPr>
        <w:t xml:space="preserve">u-of </w:t>
      </w:r>
      <w:r w:rsidRPr="002D3263" w:rsidR="0031628A">
        <w:rPr>
          <w:color w:val="000000" w:themeColor="text1"/>
        </w:rPr>
        <w:t>the re</w:t>
      </w:r>
      <w:r w:rsidR="00732A88">
        <w:rPr>
          <w:color w:val="000000" w:themeColor="text1"/>
        </w:rPr>
        <w:t>-</w:t>
      </w:r>
      <w:r w:rsidRPr="002D3263" w:rsidR="0031628A">
        <w:rPr>
          <w:color w:val="000000" w:themeColor="text1"/>
        </w:rPr>
        <w:t xml:space="preserve">establishment and </w:t>
      </w:r>
      <w:r w:rsidRPr="002D3263" w:rsidR="00400F49">
        <w:rPr>
          <w:color w:val="000000" w:themeColor="text1"/>
        </w:rPr>
        <w:t xml:space="preserve">other </w:t>
      </w:r>
      <w:r w:rsidRPr="002D3263" w:rsidR="0031628A">
        <w:rPr>
          <w:color w:val="000000" w:themeColor="text1"/>
        </w:rPr>
        <w:t>move cost benefits</w:t>
      </w:r>
      <w:r w:rsidRPr="002D3263">
        <w:rPr>
          <w:color w:val="000000" w:themeColor="text1"/>
        </w:rPr>
        <w:t>) a business may be eligible to receive, if not for the statutory maximum payment of $20,000</w:t>
      </w:r>
      <w:r w:rsidRPr="002D3263" w:rsidR="0031628A">
        <w:rPr>
          <w:color w:val="000000" w:themeColor="text1"/>
        </w:rPr>
        <w:t>.</w:t>
      </w:r>
    </w:p>
    <w:p w:rsidR="00DE0E07" w:rsidRPr="002D3263" w:rsidP="00634AAC" w14:paraId="5213FCEC" w14:textId="77777777">
      <w:pPr>
        <w:keepNext/>
        <w:widowControl/>
        <w:numPr>
          <w:ilvl w:val="0"/>
          <w:numId w:val="40"/>
        </w:numPr>
        <w:spacing w:before="360" w:after="60" w:line="240" w:lineRule="auto"/>
        <w:contextualSpacing/>
        <w:rPr>
          <w:rStyle w:val="Emphasis"/>
        </w:rPr>
      </w:pPr>
      <w:r w:rsidRPr="002D3263">
        <w:rPr>
          <w:rStyle w:val="Emphasis"/>
        </w:rPr>
        <w:t xml:space="preserve">A Study of Reverse Mortgages in Relocation Assistance </w:t>
      </w:r>
    </w:p>
    <w:p w:rsidR="00DE0E07" w:rsidRPr="002D3263" w:rsidP="00EF4CBB" w14:paraId="63DABEA0" w14:textId="77777777">
      <w:pPr>
        <w:keepNext/>
        <w:widowControl/>
        <w:spacing w:before="360" w:after="60" w:line="240" w:lineRule="auto"/>
        <w:ind w:left="360"/>
        <w:contextualSpacing/>
        <w:rPr>
          <w:i/>
          <w:iCs/>
        </w:rPr>
      </w:pPr>
    </w:p>
    <w:p w:rsidR="009D71AF" w:rsidRPr="002D3263" w:rsidP="00EF4CBB" w14:paraId="59CFF89C" w14:textId="5362D4D4">
      <w:pPr>
        <w:pStyle w:val="Body"/>
        <w:widowControl/>
      </w:pPr>
      <w:r w:rsidRPr="002D3263">
        <w:t>The FHWA</w:t>
      </w:r>
      <w:r w:rsidRPr="002D3263" w:rsidR="003C2276">
        <w:t xml:space="preserve"> commissioned a </w:t>
      </w:r>
      <w:r w:rsidRPr="002D3263" w:rsidR="00400F49">
        <w:t>research effort</w:t>
      </w:r>
      <w:r w:rsidRPr="002D3263" w:rsidR="003C2276">
        <w:t xml:space="preserve"> focused on establishing a fair and effective method of calculating </w:t>
      </w:r>
      <w:r w:rsidRPr="002D3263" w:rsidR="00400F49">
        <w:t>benefit</w:t>
      </w:r>
      <w:r w:rsidRPr="002D3263" w:rsidR="003C2276">
        <w:t xml:space="preserve"> payments available under the Uniform Act, when </w:t>
      </w:r>
      <w:r w:rsidRPr="002D3263" w:rsidR="009B0BEE">
        <w:t>displacing</w:t>
      </w:r>
      <w:r w:rsidRPr="002D3263" w:rsidR="003C2276">
        <w:t xml:space="preserve"> persons with </w:t>
      </w:r>
      <w:r w:rsidRPr="002D3263" w:rsidR="005C31A0">
        <w:t xml:space="preserve">a </w:t>
      </w:r>
      <w:r w:rsidRPr="002D3263" w:rsidR="003C2276">
        <w:t xml:space="preserve">reverse </w:t>
      </w:r>
      <w:r w:rsidRPr="002D3263" w:rsidR="003C2276">
        <w:t>mortgage</w:t>
      </w:r>
      <w:r w:rsidRPr="002D3263" w:rsidR="00184090">
        <w:t>, also referred to as</w:t>
      </w:r>
      <w:r w:rsidRPr="002D3263" w:rsidR="005C31A0">
        <w:t xml:space="preserve"> HECM</w:t>
      </w:r>
      <w:r w:rsidRPr="002D3263" w:rsidR="003C2276">
        <w:t xml:space="preserve">. </w:t>
      </w:r>
      <w:r w:rsidR="00A71421">
        <w:t xml:space="preserve"> </w:t>
      </w:r>
      <w:r w:rsidRPr="002D3263" w:rsidR="00A71421">
        <w:rPr>
          <w:rFonts w:cstheme="minorHAnsi"/>
        </w:rPr>
        <w:t xml:space="preserve">A reverse mortgage is a valid lien and is secured by the residence. </w:t>
      </w:r>
      <w:r w:rsidR="00A71421">
        <w:rPr>
          <w:rFonts w:cstheme="minorHAnsi"/>
        </w:rPr>
        <w:t xml:space="preserve"> </w:t>
      </w:r>
      <w:r w:rsidRPr="002D3263" w:rsidR="00A71421">
        <w:rPr>
          <w:rFonts w:cstheme="minorHAnsi"/>
        </w:rPr>
        <w:t xml:space="preserve">However, unlike typical mortgages used to finance the dwelling, reverse mortgages allow the owner to withdraw some of the equity in their homes while still residing in them and to remain in the dwelling until either the owner passes away or decides to move from the dwelling. </w:t>
      </w:r>
      <w:r w:rsidR="00A71421">
        <w:rPr>
          <w:rFonts w:cstheme="minorHAnsi"/>
        </w:rPr>
        <w:t xml:space="preserve"> </w:t>
      </w:r>
      <w:r w:rsidR="00A71421">
        <w:t>The research concluded that</w:t>
      </w:r>
      <w:r w:rsidRPr="005B7A12" w:rsidR="00A71421">
        <w:rPr>
          <w:rFonts w:ascii="Palatino Linotype" w:hAnsi="Palatino Linotype"/>
        </w:rPr>
        <w:t xml:space="preserve"> </w:t>
      </w:r>
      <w:r w:rsidRPr="005B7A12" w:rsidR="00A71421">
        <w:t xml:space="preserve">displacing owners whose property is encumbered with a </w:t>
      </w:r>
      <w:r w:rsidR="00A71421">
        <w:t xml:space="preserve">HECM </w:t>
      </w:r>
      <w:r w:rsidRPr="005B7A12" w:rsidR="00A71421">
        <w:t>present</w:t>
      </w:r>
      <w:r w:rsidR="00A71421">
        <w:t>s</w:t>
      </w:r>
      <w:r w:rsidRPr="005B7A12" w:rsidR="00A71421">
        <w:t xml:space="preserve"> </w:t>
      </w:r>
      <w:r w:rsidRPr="005B7A12" w:rsidR="00A71421">
        <w:t>a number of</w:t>
      </w:r>
      <w:r w:rsidRPr="005B7A12" w:rsidR="00A71421">
        <w:t xml:space="preserve"> challenges that do not fit neatly within the parameters of the Uniform Act or its implementing regulations.  </w:t>
      </w:r>
      <w:r w:rsidR="00A71421">
        <w:t>It recommended that w</w:t>
      </w:r>
      <w:r w:rsidRPr="005B7A12" w:rsidR="00A71421">
        <w:t>hen dealing with</w:t>
      </w:r>
      <w:r w:rsidR="00A71421">
        <w:t xml:space="preserve"> displacements</w:t>
      </w:r>
      <w:r w:rsidRPr="005B7A12" w:rsidR="00A71421">
        <w:t xml:space="preserve"> involving homeowners with a HECM, each situation must be approached on a case-by-case basis, depending on the individual circumstances presented.</w:t>
      </w:r>
      <w:r w:rsidR="0059129A">
        <w:t xml:space="preserve"> </w:t>
      </w:r>
      <w:r w:rsidR="00A71421">
        <w:t xml:space="preserve"> </w:t>
      </w:r>
      <w:r w:rsidRPr="002D3263" w:rsidR="003C2276">
        <w:t xml:space="preserve">Based on </w:t>
      </w:r>
      <w:r w:rsidR="00A71421">
        <w:t xml:space="preserve">these report </w:t>
      </w:r>
      <w:r w:rsidRPr="002D3263" w:rsidR="003C2276">
        <w:t>findings</w:t>
      </w:r>
      <w:r w:rsidR="00A71421">
        <w:t xml:space="preserve"> and </w:t>
      </w:r>
      <w:r w:rsidR="00A71421">
        <w:t xml:space="preserve">FHWA’s </w:t>
      </w:r>
      <w:r w:rsidR="00A71421">
        <w:t xml:space="preserve">programmatic experience, FHWA </w:t>
      </w:r>
      <w:r w:rsidR="00A71421">
        <w:t xml:space="preserve">agrees that </w:t>
      </w:r>
      <w:r w:rsidRPr="002D3263" w:rsidR="00936FFE">
        <w:rPr>
          <w:rFonts w:cstheme="minorHAnsi"/>
        </w:rPr>
        <w:t xml:space="preserve">the Uniform Act, its implementing regulations, and current guidance </w:t>
      </w:r>
      <w:r w:rsidRPr="002D3263" w:rsidR="00B35C98">
        <w:rPr>
          <w:rFonts w:cstheme="minorHAnsi"/>
        </w:rPr>
        <w:t xml:space="preserve">do not adequately support determinations of benefits to be provided for displaced persons with a </w:t>
      </w:r>
      <w:r w:rsidRPr="002D3263" w:rsidR="00F16F81">
        <w:rPr>
          <w:rFonts w:cstheme="minorHAnsi"/>
        </w:rPr>
        <w:t>reverse mort</w:t>
      </w:r>
      <w:r w:rsidRPr="002D3263" w:rsidR="005D5D7E">
        <w:rPr>
          <w:rFonts w:cstheme="minorHAnsi"/>
        </w:rPr>
        <w:t>g</w:t>
      </w:r>
      <w:r w:rsidRPr="002D3263" w:rsidR="00F16F81">
        <w:rPr>
          <w:rFonts w:cstheme="minorHAnsi"/>
        </w:rPr>
        <w:t>age</w:t>
      </w:r>
      <w:r w:rsidRPr="002D3263" w:rsidR="001A52CE">
        <w:rPr>
          <w:rFonts w:cstheme="minorHAnsi"/>
        </w:rPr>
        <w:t>.</w:t>
      </w:r>
      <w:r w:rsidRPr="002D3263" w:rsidR="004410C8">
        <w:rPr>
          <w:rFonts w:cstheme="minorHAnsi"/>
        </w:rPr>
        <w:t xml:space="preserve"> </w:t>
      </w:r>
      <w:r w:rsidR="0059129A">
        <w:rPr>
          <w:rFonts w:cstheme="minorHAnsi"/>
        </w:rPr>
        <w:t xml:space="preserve"> </w:t>
      </w:r>
      <w:r w:rsidRPr="002D3263" w:rsidR="00801E50">
        <w:rPr>
          <w:rFonts w:cstheme="minorHAnsi"/>
        </w:rPr>
        <w:t xml:space="preserve">The </w:t>
      </w:r>
      <w:r w:rsidRPr="002D3263" w:rsidR="007D36BE">
        <w:t xml:space="preserve">final rule includes </w:t>
      </w:r>
      <w:r w:rsidRPr="002D3263" w:rsidR="00BF2373">
        <w:t>a new section</w:t>
      </w:r>
      <w:r w:rsidRPr="002D3263" w:rsidR="007D36BE">
        <w:t>,</w:t>
      </w:r>
      <w:r w:rsidRPr="002D3263" w:rsidR="00BF2373">
        <w:t xml:space="preserve"> </w:t>
      </w:r>
      <w:r w:rsidRPr="002D3263" w:rsidR="003C2276">
        <w:t>24</w:t>
      </w:r>
      <w:r w:rsidRPr="002D3263" w:rsidR="007D36BE">
        <w:t>.401</w:t>
      </w:r>
      <w:r w:rsidR="0059129A">
        <w:t>(e)</w:t>
      </w:r>
      <w:r w:rsidRPr="002D3263" w:rsidR="007D36BE">
        <w:t xml:space="preserve">, </w:t>
      </w:r>
      <w:r w:rsidRPr="002D3263" w:rsidR="003C2276">
        <w:t xml:space="preserve">that specifies how practitioners should </w:t>
      </w:r>
      <w:r w:rsidRPr="002D3263" w:rsidR="00400F49">
        <w:t>calculate benefits for displaced homeowners who</w:t>
      </w:r>
      <w:r w:rsidRPr="002D3263" w:rsidR="003C2276">
        <w:t xml:space="preserve"> have </w:t>
      </w:r>
      <w:r w:rsidRPr="002D3263" w:rsidR="001F4628">
        <w:t>reverse mortgages</w:t>
      </w:r>
      <w:r w:rsidRPr="002D3263" w:rsidR="001A52CE">
        <w:t>.</w:t>
      </w:r>
    </w:p>
    <w:p w:rsidR="009316D9" w:rsidRPr="002D3263" w:rsidP="00634AAC" w14:paraId="1A815583" w14:textId="77777777">
      <w:pPr>
        <w:keepNext/>
        <w:widowControl/>
        <w:numPr>
          <w:ilvl w:val="0"/>
          <w:numId w:val="40"/>
        </w:numPr>
        <w:spacing w:before="360" w:after="60" w:line="240" w:lineRule="auto"/>
        <w:contextualSpacing/>
        <w:rPr>
          <w:rStyle w:val="Emphasis"/>
        </w:rPr>
      </w:pPr>
      <w:r w:rsidRPr="002D3263">
        <w:rPr>
          <w:rStyle w:val="Emphasis"/>
        </w:rPr>
        <w:t>Electronic Notices and Offers</w:t>
      </w:r>
    </w:p>
    <w:p w:rsidR="009316D9" w:rsidRPr="002D3263" w:rsidP="00EF4CBB" w14:paraId="6EBA3816" w14:textId="77777777">
      <w:pPr>
        <w:keepNext/>
        <w:widowControl/>
        <w:spacing w:before="360" w:after="60" w:line="240" w:lineRule="auto"/>
        <w:ind w:left="360"/>
        <w:contextualSpacing/>
        <w:rPr>
          <w:i/>
          <w:iCs/>
        </w:rPr>
      </w:pPr>
    </w:p>
    <w:p w:rsidR="009316D9" w:rsidRPr="002D3263" w:rsidP="00EF4CBB" w14:paraId="7906985A" w14:textId="723F031A">
      <w:pPr>
        <w:pStyle w:val="Body"/>
        <w:widowControl/>
        <w:rPr>
          <w:color w:val="000000" w:themeColor="text1"/>
        </w:rPr>
      </w:pPr>
      <w:r w:rsidRPr="002D3263">
        <w:rPr>
          <w:color w:val="000000" w:themeColor="text1"/>
        </w:rPr>
        <w:t xml:space="preserve">Currently, 49 CFR </w:t>
      </w:r>
      <w:r w:rsidRPr="002D3263">
        <w:rPr>
          <w:color w:val="000000" w:themeColor="text1"/>
        </w:rPr>
        <w:t xml:space="preserve">24 requires that </w:t>
      </w:r>
      <w:r w:rsidR="0059129A">
        <w:rPr>
          <w:color w:val="000000" w:themeColor="text1"/>
        </w:rPr>
        <w:t>Agencies</w:t>
      </w:r>
      <w:r w:rsidRPr="002D3263">
        <w:rPr>
          <w:color w:val="000000" w:themeColor="text1"/>
        </w:rPr>
        <w:t xml:space="preserve"> personally deliver or send notices to property owners or occupants by certified or registered first-class mail, return receipt requested. </w:t>
      </w:r>
      <w:r w:rsidR="0059129A">
        <w:rPr>
          <w:color w:val="000000" w:themeColor="text1"/>
        </w:rPr>
        <w:t xml:space="preserve"> </w:t>
      </w:r>
      <w:r w:rsidRPr="002D3263" w:rsidR="008516C9">
        <w:rPr>
          <w:color w:val="000000" w:themeColor="text1"/>
        </w:rPr>
        <w:t>The FHWA</w:t>
      </w:r>
      <w:r w:rsidRPr="002D3263">
        <w:rPr>
          <w:color w:val="000000" w:themeColor="text1"/>
        </w:rPr>
        <w:t xml:space="preserve"> sponsored a research project</w:t>
      </w:r>
      <w:r>
        <w:rPr>
          <w:rStyle w:val="FootnoteReference"/>
          <w:color w:val="000000" w:themeColor="text1"/>
        </w:rPr>
        <w:footnoteReference w:id="9"/>
      </w:r>
      <w:r w:rsidRPr="002D3263">
        <w:rPr>
          <w:color w:val="000000" w:themeColor="text1"/>
        </w:rPr>
        <w:t xml:space="preserve"> to evaluate the feasibility of using electronic methods to deliver notices and offers without jeopardizing an owner’s or a tenant’s rights under the Uniform Act. </w:t>
      </w:r>
      <w:r w:rsidR="0059129A">
        <w:rPr>
          <w:color w:val="000000" w:themeColor="text1"/>
        </w:rPr>
        <w:t xml:space="preserve"> </w:t>
      </w:r>
      <w:r w:rsidRPr="002D3263">
        <w:rPr>
          <w:color w:val="000000" w:themeColor="text1"/>
        </w:rPr>
        <w:t xml:space="preserve">The research included interviews with </w:t>
      </w:r>
      <w:r w:rsidRPr="002D3263" w:rsidR="001B3424">
        <w:rPr>
          <w:color w:val="000000" w:themeColor="text1"/>
        </w:rPr>
        <w:t>S</w:t>
      </w:r>
      <w:r w:rsidRPr="002D3263" w:rsidR="007C2E13">
        <w:rPr>
          <w:color w:val="000000" w:themeColor="text1"/>
        </w:rPr>
        <w:t>tate</w:t>
      </w:r>
      <w:r w:rsidRPr="002D3263">
        <w:rPr>
          <w:color w:val="000000" w:themeColor="text1"/>
        </w:rPr>
        <w:t xml:space="preserve"> DOT personnel regarding their experience with electronic </w:t>
      </w:r>
      <w:r w:rsidRPr="002D3263" w:rsidR="00400F49">
        <w:rPr>
          <w:color w:val="000000" w:themeColor="text1"/>
        </w:rPr>
        <w:t xml:space="preserve">notices </w:t>
      </w:r>
      <w:r w:rsidRPr="002D3263">
        <w:rPr>
          <w:color w:val="000000" w:themeColor="text1"/>
        </w:rPr>
        <w:t xml:space="preserve">and the convening of a working group to identify the challenges that must be addressed when using an electronic delivery or signature verification system for </w:t>
      </w:r>
      <w:r w:rsidRPr="002D3263" w:rsidR="002F6403">
        <w:rPr>
          <w:color w:val="000000" w:themeColor="text1"/>
        </w:rPr>
        <w:t xml:space="preserve">federally </w:t>
      </w:r>
      <w:r w:rsidRPr="002D3263">
        <w:rPr>
          <w:color w:val="000000" w:themeColor="text1"/>
        </w:rPr>
        <w:t xml:space="preserve">funded projects. </w:t>
      </w:r>
      <w:r w:rsidR="0059129A">
        <w:rPr>
          <w:color w:val="000000" w:themeColor="text1"/>
        </w:rPr>
        <w:t xml:space="preserve"> </w:t>
      </w:r>
      <w:r w:rsidRPr="002D3263">
        <w:rPr>
          <w:color w:val="000000" w:themeColor="text1"/>
        </w:rPr>
        <w:t>Findings suggested that</w:t>
      </w:r>
      <w:r w:rsidRPr="002D3263" w:rsidR="00C12594">
        <w:rPr>
          <w:color w:val="000000" w:themeColor="text1"/>
        </w:rPr>
        <w:t>,</w:t>
      </w:r>
      <w:r w:rsidRPr="002D3263">
        <w:rPr>
          <w:color w:val="000000" w:themeColor="text1"/>
        </w:rPr>
        <w:t xml:space="preserve"> although personal contact and delivery is the preferred approach, the flexibility to use electronic delivery and signature verification would offer streamlining opportunities at various points throughout the right of way acquisition process. </w:t>
      </w:r>
      <w:r w:rsidR="0059129A">
        <w:rPr>
          <w:color w:val="000000" w:themeColor="text1"/>
        </w:rPr>
        <w:t xml:space="preserve"> </w:t>
      </w:r>
      <w:r w:rsidRPr="002D3263">
        <w:rPr>
          <w:color w:val="000000" w:themeColor="text1"/>
        </w:rPr>
        <w:t>The research team recommended that FHWA:</w:t>
      </w:r>
    </w:p>
    <w:p w:rsidR="009316D9" w:rsidRPr="002D3263" w:rsidP="00E85518" w14:paraId="0D0FB859" w14:textId="7666E80A">
      <w:pPr>
        <w:pStyle w:val="ListParagraph"/>
        <w:widowControl/>
        <w:numPr>
          <w:ilvl w:val="0"/>
          <w:numId w:val="42"/>
        </w:numPr>
        <w:spacing w:after="240" w:line="240" w:lineRule="auto"/>
        <w:rPr>
          <w:color w:val="000000" w:themeColor="text1"/>
        </w:rPr>
      </w:pPr>
      <w:r w:rsidRPr="002D3263">
        <w:rPr>
          <w:color w:val="000000" w:themeColor="text1"/>
        </w:rPr>
        <w:t xml:space="preserve">Update the </w:t>
      </w:r>
      <w:r w:rsidRPr="002D3263" w:rsidR="00400F49">
        <w:rPr>
          <w:color w:val="000000" w:themeColor="text1"/>
        </w:rPr>
        <w:t xml:space="preserve">Uniform Act </w:t>
      </w:r>
      <w:r w:rsidRPr="002D3263">
        <w:rPr>
          <w:color w:val="000000" w:themeColor="text1"/>
        </w:rPr>
        <w:t xml:space="preserve">regulations to permit </w:t>
      </w:r>
      <w:r w:rsidR="0059129A">
        <w:rPr>
          <w:color w:val="000000" w:themeColor="text1"/>
        </w:rPr>
        <w:t>Agencies</w:t>
      </w:r>
      <w:r w:rsidRPr="002D3263">
        <w:rPr>
          <w:color w:val="000000" w:themeColor="text1"/>
        </w:rPr>
        <w:t xml:space="preserve"> the flexibility to implement electronic delivery/signature verification systems for notices and offers and to allow methods of mail delivery other than the U.S. Postal Service.</w:t>
      </w:r>
    </w:p>
    <w:p w:rsidR="00E06B32" w:rsidRPr="002D3263" w:rsidP="00E85518" w14:paraId="2F1FE75B" w14:textId="64E0C18A">
      <w:pPr>
        <w:pStyle w:val="ListParagraph"/>
        <w:widowControl/>
        <w:numPr>
          <w:ilvl w:val="0"/>
          <w:numId w:val="42"/>
        </w:numPr>
        <w:spacing w:after="240" w:line="240" w:lineRule="auto"/>
        <w:rPr>
          <w:color w:val="000000" w:themeColor="text1"/>
        </w:rPr>
      </w:pPr>
      <w:r w:rsidRPr="002D3263">
        <w:rPr>
          <w:color w:val="000000" w:themeColor="text1"/>
        </w:rPr>
        <w:t xml:space="preserve">Implement minimum safeguards or a certification process that allows the use of electronic notices or signatures consistent with existing </w:t>
      </w:r>
      <w:r w:rsidR="00C37494">
        <w:rPr>
          <w:color w:val="000000" w:themeColor="text1"/>
        </w:rPr>
        <w:t>S</w:t>
      </w:r>
      <w:r w:rsidRPr="002D3263">
        <w:rPr>
          <w:color w:val="000000" w:themeColor="text1"/>
        </w:rPr>
        <w:t xml:space="preserve">tate and </w:t>
      </w:r>
      <w:r w:rsidRPr="002D3263" w:rsidR="00111308">
        <w:rPr>
          <w:color w:val="000000" w:themeColor="text1"/>
        </w:rPr>
        <w:t>Federal</w:t>
      </w:r>
      <w:r w:rsidRPr="002D3263">
        <w:rPr>
          <w:color w:val="000000" w:themeColor="text1"/>
        </w:rPr>
        <w:t xml:space="preserve"> laws.</w:t>
      </w:r>
    </w:p>
    <w:p w:rsidR="0067786F" w:rsidRPr="002D3263" w:rsidP="00C53C33" w14:paraId="4F7AC290" w14:textId="4DF3EAF3">
      <w:pPr>
        <w:pStyle w:val="Heading2"/>
      </w:pPr>
      <w:bookmarkStart w:id="18" w:name="_Toc127438013"/>
      <w:bookmarkStart w:id="19" w:name="_Ref416259819"/>
      <w:r w:rsidRPr="002D3263">
        <w:t>Notice of Proposed Rulemaking</w:t>
      </w:r>
      <w:bookmarkEnd w:id="18"/>
    </w:p>
    <w:p w:rsidR="00C07E9B" w:rsidRPr="002D3263" w:rsidP="00C07E9B" w14:paraId="50290882" w14:textId="3884339E">
      <w:pPr>
        <w:pStyle w:val="Body"/>
        <w:widowControl/>
        <w:rPr>
          <w:color w:val="000000" w:themeColor="text1"/>
        </w:rPr>
      </w:pPr>
      <w:r>
        <w:t xml:space="preserve">The </w:t>
      </w:r>
      <w:r w:rsidRPr="002D3263">
        <w:t xml:space="preserve">FHWA published the NPRM in December 2019. </w:t>
      </w:r>
      <w:r w:rsidR="0059129A">
        <w:t xml:space="preserve"> </w:t>
      </w:r>
      <w:r w:rsidRPr="002D3263">
        <w:rPr>
          <w:color w:val="000000" w:themeColor="text1"/>
        </w:rPr>
        <w:t>Subsequent to</w:t>
      </w:r>
      <w:r w:rsidRPr="002D3263">
        <w:rPr>
          <w:color w:val="000000" w:themeColor="text1"/>
        </w:rPr>
        <w:t xml:space="preserve"> the NPRM, FHWA responded to additional input from those </w:t>
      </w:r>
      <w:r w:rsidR="007D41B2">
        <w:rPr>
          <w:color w:val="000000" w:themeColor="text1"/>
        </w:rPr>
        <w:t>F</w:t>
      </w:r>
      <w:r w:rsidRPr="002D3263">
        <w:rPr>
          <w:color w:val="000000" w:themeColor="text1"/>
        </w:rPr>
        <w:t xml:space="preserve">ederal </w:t>
      </w:r>
      <w:r>
        <w:rPr>
          <w:color w:val="000000" w:themeColor="text1"/>
        </w:rPr>
        <w:t>A</w:t>
      </w:r>
      <w:r w:rsidRPr="002D3263">
        <w:rPr>
          <w:color w:val="000000" w:themeColor="text1"/>
        </w:rPr>
        <w:t xml:space="preserve">gencies, recipients, and other members of the public. </w:t>
      </w:r>
      <w:r w:rsidR="0059129A">
        <w:rPr>
          <w:color w:val="000000" w:themeColor="text1"/>
        </w:rPr>
        <w:t xml:space="preserve"> </w:t>
      </w:r>
      <w:r w:rsidRPr="002D3263">
        <w:rPr>
          <w:color w:val="000000" w:themeColor="text1"/>
        </w:rPr>
        <w:t>The final rule reflects that input and incorporates the following changes:</w:t>
      </w:r>
    </w:p>
    <w:p w:rsidR="00C07E9B" w:rsidRPr="002D3263" w:rsidP="00C07E9B" w14:paraId="789777FA" w14:textId="3E7782EB">
      <w:pPr>
        <w:pStyle w:val="Body"/>
        <w:widowControl/>
        <w:numPr>
          <w:ilvl w:val="0"/>
          <w:numId w:val="58"/>
        </w:numPr>
        <w:rPr>
          <w:color w:val="000000" w:themeColor="text1"/>
        </w:rPr>
      </w:pPr>
      <w:r w:rsidRPr="002D3263">
        <w:rPr>
          <w:color w:val="000000" w:themeColor="text1"/>
        </w:rPr>
        <w:t>The final rule adds reimbursement of costs for rental replacement dwelling application fees and credit reports.</w:t>
      </w:r>
    </w:p>
    <w:p w:rsidR="00C07E9B" w:rsidRPr="002D3263" w:rsidP="00C07E9B" w14:paraId="09E659C0" w14:textId="46C03BEA">
      <w:pPr>
        <w:pStyle w:val="Body"/>
        <w:widowControl/>
        <w:numPr>
          <w:ilvl w:val="0"/>
          <w:numId w:val="58"/>
        </w:numPr>
        <w:rPr>
          <w:color w:val="000000" w:themeColor="text1"/>
        </w:rPr>
      </w:pPr>
      <w:r w:rsidRPr="002D3263">
        <w:rPr>
          <w:color w:val="000000" w:themeColor="text1"/>
        </w:rPr>
        <w:t>The final rule adds flexibility on how payments for self-moves (both residential and non-residential) can be calculated.</w:t>
      </w:r>
    </w:p>
    <w:p w:rsidR="00C07E9B" w:rsidRPr="002D3263" w:rsidP="00C07E9B" w14:paraId="57C74E88" w14:textId="4279B1F5">
      <w:pPr>
        <w:pStyle w:val="Body"/>
        <w:widowControl/>
        <w:numPr>
          <w:ilvl w:val="0"/>
          <w:numId w:val="58"/>
        </w:numPr>
        <w:rPr>
          <w:color w:val="000000" w:themeColor="text1"/>
        </w:rPr>
      </w:pPr>
      <w:r w:rsidRPr="002D3263">
        <w:rPr>
          <w:color w:val="000000" w:themeColor="text1"/>
        </w:rPr>
        <w:t>The final rule adds additional flexibility on when waiver valuations can be used.</w:t>
      </w:r>
    </w:p>
    <w:p w:rsidR="00C07E9B" w:rsidRPr="002D3263" w:rsidP="00C07E9B" w14:paraId="4C3B2E3C" w14:textId="42BD015A">
      <w:pPr>
        <w:pStyle w:val="Body"/>
        <w:widowControl/>
        <w:numPr>
          <w:ilvl w:val="0"/>
          <w:numId w:val="58"/>
        </w:numPr>
        <w:rPr>
          <w:color w:val="000000" w:themeColor="text1"/>
        </w:rPr>
      </w:pPr>
      <w:r w:rsidRPr="002D3263">
        <w:rPr>
          <w:color w:val="000000" w:themeColor="text1"/>
        </w:rPr>
        <w:t xml:space="preserve">The final rule has added flexibility on when certain limits and benefit payments can be adjusted for inflation and other factors. The proposed rule had proposed that such adjustments occur only after </w:t>
      </w:r>
      <w:r w:rsidR="00BE2887">
        <w:rPr>
          <w:color w:val="000000" w:themeColor="text1"/>
        </w:rPr>
        <w:t>5</w:t>
      </w:r>
      <w:r w:rsidRPr="002D3263">
        <w:rPr>
          <w:color w:val="000000" w:themeColor="text1"/>
        </w:rPr>
        <w:t xml:space="preserve"> years.</w:t>
      </w:r>
    </w:p>
    <w:p w:rsidR="00C07E9B" w:rsidRPr="002D3263" w:rsidP="00BC5A99" w14:paraId="6D5A0B3E" w14:textId="59F4F071">
      <w:pPr>
        <w:pStyle w:val="Body"/>
        <w:widowControl/>
        <w:numPr>
          <w:ilvl w:val="0"/>
          <w:numId w:val="58"/>
        </w:numPr>
        <w:rPr>
          <w:color w:val="000000" w:themeColor="text1"/>
        </w:rPr>
      </w:pPr>
      <w:r w:rsidRPr="002D3263">
        <w:rPr>
          <w:color w:val="000000" w:themeColor="text1"/>
        </w:rPr>
        <w:t xml:space="preserve">The final rule clarifies which payment limits can be adjusted in the future for inflation and other factors. </w:t>
      </w:r>
    </w:p>
    <w:p w:rsidR="00C07E9B" w:rsidRPr="002D3263" w:rsidP="00C07E9B" w14:paraId="21D9167D" w14:textId="67E9AD8A">
      <w:pPr>
        <w:pStyle w:val="Body"/>
        <w:widowControl/>
        <w:rPr>
          <w:color w:val="000000" w:themeColor="text1"/>
        </w:rPr>
      </w:pPr>
      <w:r w:rsidRPr="002D3263">
        <w:t xml:space="preserve">This regulatory evaluation is largely </w:t>
      </w:r>
      <w:r w:rsidRPr="002D3263">
        <w:t>similar to</w:t>
      </w:r>
      <w:r w:rsidRPr="002D3263">
        <w:t xml:space="preserve"> the regulatory evaluation of the NPRM. </w:t>
      </w:r>
      <w:r w:rsidR="0059129A">
        <w:t xml:space="preserve"> </w:t>
      </w:r>
      <w:r w:rsidRPr="002D3263">
        <w:t xml:space="preserve">However, it has been revised to reflect changes in the final rule compared to the NPRM </w:t>
      </w:r>
      <w:r w:rsidRPr="002D3263" w:rsidR="001B78BF">
        <w:t xml:space="preserve">(as summarized above) </w:t>
      </w:r>
      <w:r w:rsidRPr="002D3263">
        <w:t xml:space="preserve">and to update the analysis given that roughly </w:t>
      </w:r>
      <w:r w:rsidR="00BE2887">
        <w:t>3</w:t>
      </w:r>
      <w:r w:rsidRPr="002D3263">
        <w:t xml:space="preserve"> years have passed since the analysis conducted for the NPRM. </w:t>
      </w:r>
      <w:r w:rsidR="0059129A">
        <w:t xml:space="preserve"> </w:t>
      </w:r>
      <w:r w:rsidRPr="002D3263">
        <w:t>No public comments were received related to the RIA for the NPRM.</w:t>
      </w:r>
    </w:p>
    <w:p w:rsidR="00D66DB5" w:rsidRPr="002D3263" w:rsidP="00C53C33" w14:paraId="75FB4A4C" w14:textId="767CA2B4">
      <w:pPr>
        <w:pStyle w:val="Heading2"/>
      </w:pPr>
      <w:bookmarkStart w:id="20" w:name="_Toc127438014"/>
      <w:r w:rsidRPr="002D3263">
        <w:t>Affected Entities</w:t>
      </w:r>
      <w:bookmarkEnd w:id="19"/>
      <w:bookmarkEnd w:id="20"/>
    </w:p>
    <w:p w:rsidR="00834434" w:rsidRPr="002D3263" w:rsidP="00EF4CBB" w14:paraId="611712DE" w14:textId="382D7D95">
      <w:pPr>
        <w:pStyle w:val="Body"/>
        <w:widowControl/>
        <w:rPr>
          <w:shd w:val="clear" w:color="auto" w:fill="FFFFFF"/>
        </w:rPr>
      </w:pPr>
      <w:r w:rsidRPr="002D3263">
        <w:rPr>
          <w:shd w:val="clear" w:color="auto" w:fill="FFFFFF"/>
        </w:rPr>
        <w:t xml:space="preserve">All acquiring </w:t>
      </w:r>
      <w:r w:rsidR="0059129A">
        <w:rPr>
          <w:shd w:val="clear" w:color="auto" w:fill="FFFFFF"/>
        </w:rPr>
        <w:t>Agencies</w:t>
      </w:r>
      <w:r w:rsidRPr="002D3263">
        <w:rPr>
          <w:shd w:val="clear" w:color="auto" w:fill="FFFFFF"/>
        </w:rPr>
        <w:t xml:space="preserve"> meeting the definition set out in </w:t>
      </w:r>
      <w:r w:rsidRPr="002D3263" w:rsidR="00A12FCF">
        <w:rPr>
          <w:shd w:val="clear" w:color="auto" w:fill="FFFFFF"/>
        </w:rPr>
        <w:t>Section</w:t>
      </w:r>
      <w:r w:rsidRPr="002D3263">
        <w:rPr>
          <w:rStyle w:val="apple-converted-space"/>
          <w:color w:val="000000"/>
          <w:shd w:val="clear" w:color="auto" w:fill="FFFFFF"/>
        </w:rPr>
        <w:t> </w:t>
      </w:r>
      <w:r w:rsidRPr="002D3263">
        <w:rPr>
          <w:shd w:val="clear" w:color="auto" w:fill="FFFFFF"/>
        </w:rPr>
        <w:t>24.2(a</w:t>
      </w:r>
      <w:r w:rsidRPr="002D3263" w:rsidR="005C31A0">
        <w:rPr>
          <w:shd w:val="clear" w:color="auto" w:fill="FFFFFF"/>
        </w:rPr>
        <w:t>)</w:t>
      </w:r>
      <w:r w:rsidRPr="002D3263" w:rsidR="00E5540D">
        <w:rPr>
          <w:shd w:val="clear" w:color="auto" w:fill="FFFFFF"/>
        </w:rPr>
        <w:t>(i)</w:t>
      </w:r>
      <w:r w:rsidRPr="002D3263" w:rsidR="00905F98">
        <w:rPr>
          <w:shd w:val="clear" w:color="auto" w:fill="FFFFFF"/>
        </w:rPr>
        <w:t xml:space="preserve"> </w:t>
      </w:r>
      <w:r w:rsidRPr="002D3263">
        <w:rPr>
          <w:shd w:val="clear" w:color="auto" w:fill="FFFFFF"/>
        </w:rPr>
        <w:t xml:space="preserve">are required to comply with the Uniform Act and the implementing regulation, 49 CFR </w:t>
      </w:r>
      <w:r w:rsidRPr="002D3263" w:rsidR="001B3424">
        <w:rPr>
          <w:shd w:val="clear" w:color="auto" w:fill="FFFFFF"/>
        </w:rPr>
        <w:t xml:space="preserve">Part </w:t>
      </w:r>
      <w:r w:rsidRPr="002D3263">
        <w:rPr>
          <w:shd w:val="clear" w:color="auto" w:fill="FFFFFF"/>
        </w:rPr>
        <w:t xml:space="preserve">24. </w:t>
      </w:r>
      <w:r w:rsidR="00B210CA">
        <w:rPr>
          <w:shd w:val="clear" w:color="auto" w:fill="FFFFFF"/>
        </w:rPr>
        <w:t xml:space="preserve"> </w:t>
      </w:r>
      <w:r w:rsidRPr="002D3263" w:rsidR="008516C9">
        <w:rPr>
          <w:shd w:val="clear" w:color="auto" w:fill="FFFFFF"/>
        </w:rPr>
        <w:t>The FHWA</w:t>
      </w:r>
      <w:r w:rsidRPr="002D3263">
        <w:rPr>
          <w:shd w:val="clear" w:color="auto" w:fill="FFFFFF"/>
        </w:rPr>
        <w:t xml:space="preserve"> identified</w:t>
      </w:r>
      <w:r w:rsidRPr="002D3263" w:rsidR="007062AD">
        <w:rPr>
          <w:shd w:val="clear" w:color="auto" w:fill="FFFFFF"/>
        </w:rPr>
        <w:t xml:space="preserve"> the</w:t>
      </w:r>
      <w:r w:rsidRPr="002D3263" w:rsidR="00E06B32">
        <w:rPr>
          <w:shd w:val="clear" w:color="auto" w:fill="FFFFFF"/>
        </w:rPr>
        <w:t xml:space="preserve"> 1</w:t>
      </w:r>
      <w:r w:rsidRPr="002D3263" w:rsidR="008D36EB">
        <w:rPr>
          <w:shd w:val="clear" w:color="auto" w:fill="FFFFFF"/>
        </w:rPr>
        <w:t>4</w:t>
      </w:r>
      <w:r w:rsidRPr="002D3263" w:rsidR="007C2E13">
        <w:rPr>
          <w:shd w:val="clear" w:color="auto" w:fill="FFFFFF"/>
        </w:rPr>
        <w:t xml:space="preserve"> departments and </w:t>
      </w:r>
      <w:r w:rsidRPr="002D3263" w:rsidR="00E06B32">
        <w:rPr>
          <w:shd w:val="clear" w:color="auto" w:fill="FFFFFF"/>
        </w:rPr>
        <w:t>5</w:t>
      </w:r>
      <w:r w:rsidRPr="002D3263" w:rsidR="007C2E13">
        <w:rPr>
          <w:shd w:val="clear" w:color="auto" w:fill="FFFFFF"/>
        </w:rPr>
        <w:t xml:space="preserve"> independent </w:t>
      </w:r>
      <w:r w:rsidR="0059129A">
        <w:rPr>
          <w:shd w:val="clear" w:color="auto" w:fill="FFFFFF"/>
        </w:rPr>
        <w:t>Agencies</w:t>
      </w:r>
      <w:r w:rsidRPr="002D3263" w:rsidR="00AC30F3">
        <w:rPr>
          <w:shd w:val="clear" w:color="auto" w:fill="FFFFFF"/>
        </w:rPr>
        <w:t xml:space="preserve"> </w:t>
      </w:r>
      <w:r w:rsidRPr="002D3263" w:rsidR="006A464C">
        <w:rPr>
          <w:shd w:val="clear" w:color="auto" w:fill="FFFFFF"/>
        </w:rPr>
        <w:t xml:space="preserve">listed in </w:t>
      </w:r>
      <w:r w:rsidRPr="002D3263" w:rsidR="001F4628">
        <w:rPr>
          <w:shd w:val="clear" w:color="auto" w:fill="FFFFFF"/>
        </w:rPr>
        <w:fldChar w:fldCharType="begin"/>
      </w:r>
      <w:r w:rsidRPr="002D3263" w:rsidR="001F4628">
        <w:rPr>
          <w:shd w:val="clear" w:color="auto" w:fill="FFFFFF"/>
        </w:rPr>
        <w:instrText xml:space="preserve"> REF _Ref67906077 \h </w:instrText>
      </w:r>
      <w:r w:rsidR="002D3263">
        <w:rPr>
          <w:shd w:val="clear" w:color="auto" w:fill="FFFFFF"/>
        </w:rPr>
        <w:instrText xml:space="preserve"> \* MERGEFORMAT </w:instrText>
      </w:r>
      <w:r w:rsidRPr="002D3263" w:rsidR="001F4628">
        <w:rPr>
          <w:shd w:val="clear" w:color="auto" w:fill="FFFFFF"/>
        </w:rPr>
        <w:fldChar w:fldCharType="separate"/>
      </w:r>
      <w:r w:rsidRPr="002D3263" w:rsidR="00E762F5">
        <w:t xml:space="preserve">Table </w:t>
      </w:r>
      <w:r w:rsidR="00E762F5">
        <w:rPr>
          <w:noProof/>
        </w:rPr>
        <w:t>1</w:t>
      </w:r>
      <w:r w:rsidRPr="002D3263" w:rsidR="001F4628">
        <w:rPr>
          <w:shd w:val="clear" w:color="auto" w:fill="FFFFFF"/>
        </w:rPr>
        <w:fldChar w:fldCharType="end"/>
      </w:r>
      <w:r w:rsidRPr="002D3263" w:rsidR="006A464C">
        <w:rPr>
          <w:shd w:val="clear" w:color="auto" w:fill="FFFFFF"/>
        </w:rPr>
        <w:t xml:space="preserve"> as being </w:t>
      </w:r>
      <w:r w:rsidRPr="002D3263" w:rsidR="001D5A53">
        <w:rPr>
          <w:shd w:val="clear" w:color="auto" w:fill="FFFFFF"/>
        </w:rPr>
        <w:t>potentially subject to the Uniform Ac</w:t>
      </w:r>
      <w:r w:rsidRPr="002D3263" w:rsidR="009B0BEE">
        <w:rPr>
          <w:shd w:val="clear" w:color="auto" w:fill="FFFFFF"/>
        </w:rPr>
        <w:t>t</w:t>
      </w:r>
      <w:r w:rsidRPr="002D3263" w:rsidR="001D5A53">
        <w:rPr>
          <w:shd w:val="clear" w:color="auto" w:fill="FFFFFF"/>
        </w:rPr>
        <w:t>.</w:t>
      </w:r>
      <w:r w:rsidR="007219C3">
        <w:rPr>
          <w:shd w:val="clear" w:color="auto" w:fill="FFFFFF"/>
        </w:rPr>
        <w:t xml:space="preserve"> </w:t>
      </w:r>
      <w:r w:rsidRPr="002D3263" w:rsidR="001D5A53">
        <w:rPr>
          <w:shd w:val="clear" w:color="auto" w:fill="FFFFFF"/>
        </w:rPr>
        <w:t xml:space="preserve"> </w:t>
      </w:r>
      <w:r w:rsidRPr="002D3263" w:rsidR="00470FBC">
        <w:rPr>
          <w:shd w:val="clear" w:color="auto" w:fill="FFFFFF"/>
        </w:rPr>
        <w:t>Of these,</w:t>
      </w:r>
      <w:r w:rsidRPr="002D3263" w:rsidR="00013EE8">
        <w:rPr>
          <w:shd w:val="clear" w:color="auto" w:fill="FFFFFF"/>
        </w:rPr>
        <w:t xml:space="preserve"> </w:t>
      </w:r>
      <w:r w:rsidR="007219C3">
        <w:rPr>
          <w:shd w:val="clear" w:color="auto" w:fill="FFFFFF"/>
        </w:rPr>
        <w:t>seven</w:t>
      </w:r>
      <w:r w:rsidRPr="002D3263" w:rsidR="00470FBC">
        <w:rPr>
          <w:shd w:val="clear" w:color="auto" w:fill="FFFFFF"/>
        </w:rPr>
        <w:t xml:space="preserve"> departments and </w:t>
      </w:r>
      <w:r w:rsidR="007219C3">
        <w:rPr>
          <w:shd w:val="clear" w:color="auto" w:fill="FFFFFF"/>
        </w:rPr>
        <w:t>three</w:t>
      </w:r>
      <w:r w:rsidRPr="002D3263" w:rsidR="00470FBC">
        <w:rPr>
          <w:shd w:val="clear" w:color="auto" w:fill="FFFFFF"/>
        </w:rPr>
        <w:t xml:space="preserve"> independent </w:t>
      </w:r>
      <w:r w:rsidR="0059129A">
        <w:rPr>
          <w:shd w:val="clear" w:color="auto" w:fill="FFFFFF"/>
        </w:rPr>
        <w:t>Agencies</w:t>
      </w:r>
      <w:r w:rsidRPr="002D3263" w:rsidR="00470FBC">
        <w:rPr>
          <w:shd w:val="clear" w:color="auto" w:fill="FFFFFF"/>
        </w:rPr>
        <w:t xml:space="preserve"> were found to not have active programs. </w:t>
      </w:r>
      <w:r w:rsidR="00B210CA">
        <w:rPr>
          <w:shd w:val="clear" w:color="auto" w:fill="FFFFFF"/>
        </w:rPr>
        <w:t xml:space="preserve"> </w:t>
      </w:r>
      <w:r w:rsidRPr="002D3263" w:rsidR="00470FBC">
        <w:rPr>
          <w:shd w:val="clear" w:color="auto" w:fill="FFFFFF"/>
        </w:rPr>
        <w:t xml:space="preserve">Some active departments have multiple </w:t>
      </w:r>
      <w:r w:rsidRPr="002D3263" w:rsidR="009B0BEE">
        <w:rPr>
          <w:shd w:val="clear" w:color="auto" w:fill="FFFFFF"/>
        </w:rPr>
        <w:t xml:space="preserve">sub-agencies, or modes in the case of DOT, </w:t>
      </w:r>
      <w:r w:rsidRPr="002D3263" w:rsidR="00470FBC">
        <w:rPr>
          <w:shd w:val="clear" w:color="auto" w:fill="FFFFFF"/>
        </w:rPr>
        <w:t xml:space="preserve">that administer separate Uniform Act </w:t>
      </w:r>
      <w:r w:rsidR="00C774F2">
        <w:rPr>
          <w:shd w:val="clear" w:color="auto" w:fill="FFFFFF"/>
        </w:rPr>
        <w:t>P</w:t>
      </w:r>
      <w:r w:rsidRPr="002D3263" w:rsidR="00470FBC">
        <w:rPr>
          <w:shd w:val="clear" w:color="auto" w:fill="FFFFFF"/>
        </w:rPr>
        <w:t xml:space="preserve">rograms. </w:t>
      </w:r>
      <w:r w:rsidR="00B210CA">
        <w:rPr>
          <w:shd w:val="clear" w:color="auto" w:fill="FFFFFF"/>
        </w:rPr>
        <w:t xml:space="preserve"> </w:t>
      </w:r>
      <w:r w:rsidRPr="002D3263" w:rsidR="001E6B59">
        <w:t xml:space="preserve">Based on outreach to other </w:t>
      </w:r>
      <w:r w:rsidR="0059129A">
        <w:t>Agencies</w:t>
      </w:r>
      <w:r w:rsidRPr="002D3263" w:rsidR="001E6B59">
        <w:t xml:space="preserve"> conducted as part of this rulemaking, FHWA analysts believe that FHWA has the largest Uniform Act </w:t>
      </w:r>
      <w:r w:rsidR="00405AAA">
        <w:t>P</w:t>
      </w:r>
      <w:r w:rsidRPr="002D3263" w:rsidR="001E6B59">
        <w:t>rogram.</w:t>
      </w:r>
      <w:r w:rsidR="00B210CA">
        <w:t xml:space="preserve"> </w:t>
      </w:r>
      <w:r w:rsidRPr="002D3263" w:rsidR="001E6B59">
        <w:t xml:space="preserve"> However</w:t>
      </w:r>
      <w:r w:rsidRPr="002D3263" w:rsidR="00747CCD">
        <w:t>,</w:t>
      </w:r>
      <w:r w:rsidRPr="002D3263" w:rsidR="001E6B59">
        <w:t xml:space="preserve"> other </w:t>
      </w:r>
      <w:r w:rsidR="0059129A">
        <w:t>Agencies</w:t>
      </w:r>
      <w:r w:rsidRPr="002D3263" w:rsidR="001E6B59">
        <w:t xml:space="preserve"> have sizable programs as well. </w:t>
      </w:r>
      <w:r w:rsidR="00B210CA">
        <w:t xml:space="preserve"> </w:t>
      </w:r>
      <w:r w:rsidRPr="002D3263" w:rsidR="005D5D7E">
        <w:rPr>
          <w:shd w:val="clear" w:color="auto" w:fill="FFFFFF"/>
        </w:rPr>
        <w:fldChar w:fldCharType="begin"/>
      </w:r>
      <w:r w:rsidRPr="002D3263" w:rsidR="005D5D7E">
        <w:instrText xml:space="preserve"> REF _Ref67906077 \h </w:instrText>
      </w:r>
      <w:r w:rsidR="002D3263">
        <w:rPr>
          <w:shd w:val="clear" w:color="auto" w:fill="FFFFFF"/>
        </w:rPr>
        <w:instrText xml:space="preserve"> \* MERGEFORMAT </w:instrText>
      </w:r>
      <w:r w:rsidRPr="002D3263" w:rsidR="005D5D7E">
        <w:rPr>
          <w:shd w:val="clear" w:color="auto" w:fill="FFFFFF"/>
        </w:rPr>
        <w:fldChar w:fldCharType="separate"/>
      </w:r>
      <w:r w:rsidRPr="002D3263" w:rsidR="00E762F5">
        <w:t xml:space="preserve">Table </w:t>
      </w:r>
      <w:r w:rsidR="00E762F5">
        <w:rPr>
          <w:noProof/>
        </w:rPr>
        <w:t>1</w:t>
      </w:r>
      <w:r w:rsidRPr="002D3263" w:rsidR="005D5D7E">
        <w:rPr>
          <w:shd w:val="clear" w:color="auto" w:fill="FFFFFF"/>
        </w:rPr>
        <w:fldChar w:fldCharType="end"/>
      </w:r>
      <w:r w:rsidRPr="002D3263" w:rsidR="001E6B59">
        <w:rPr>
          <w:shd w:val="clear" w:color="auto" w:fill="FFFFFF"/>
        </w:rPr>
        <w:t xml:space="preserve"> provides </w:t>
      </w:r>
      <w:r w:rsidRPr="002D3263" w:rsidR="00727EFF">
        <w:rPr>
          <w:shd w:val="clear" w:color="auto" w:fill="FFFFFF"/>
        </w:rPr>
        <w:t xml:space="preserve">a list of the Uniform Act </w:t>
      </w:r>
      <w:r w:rsidR="0059129A">
        <w:rPr>
          <w:shd w:val="clear" w:color="auto" w:fill="FFFFFF"/>
        </w:rPr>
        <w:t>Agencies</w:t>
      </w:r>
      <w:r w:rsidRPr="002D3263" w:rsidR="00727EFF">
        <w:rPr>
          <w:shd w:val="clear" w:color="auto" w:fill="FFFFFF"/>
        </w:rPr>
        <w:t xml:space="preserve"> and their active status.</w:t>
      </w:r>
      <w:r w:rsidRPr="002D3263" w:rsidR="004410C8">
        <w:rPr>
          <w:shd w:val="clear" w:color="auto" w:fill="FFFFFF"/>
        </w:rPr>
        <w:t xml:space="preserve"> </w:t>
      </w:r>
    </w:p>
    <w:p w:rsidR="005371E1" w:rsidRPr="002D3263" w:rsidP="00EF4CBB" w14:paraId="4D3BC6C2" w14:textId="126764C0">
      <w:pPr>
        <w:pStyle w:val="Body"/>
        <w:widowControl/>
        <w:rPr>
          <w:shd w:val="clear" w:color="auto" w:fill="FFFFFF"/>
        </w:rPr>
      </w:pPr>
      <w:r w:rsidRPr="002D3263">
        <w:rPr>
          <w:shd w:val="clear" w:color="auto" w:fill="FFFFFF"/>
        </w:rPr>
        <w:t>As part of the interagency coordination to develop this rulemaking</w:t>
      </w:r>
      <w:r w:rsidRPr="002D3263" w:rsidR="00834434">
        <w:rPr>
          <w:shd w:val="clear" w:color="auto" w:fill="FFFFFF"/>
        </w:rPr>
        <w:t xml:space="preserve"> in 2013</w:t>
      </w:r>
      <w:r w:rsidRPr="002D3263">
        <w:rPr>
          <w:shd w:val="clear" w:color="auto" w:fill="FFFFFF"/>
        </w:rPr>
        <w:t>, s</w:t>
      </w:r>
      <w:r w:rsidRPr="002D3263" w:rsidR="001E6B59">
        <w:rPr>
          <w:shd w:val="clear" w:color="auto" w:fill="FFFFFF"/>
        </w:rPr>
        <w:t xml:space="preserve">ome </w:t>
      </w:r>
      <w:r w:rsidR="0059129A">
        <w:rPr>
          <w:shd w:val="clear" w:color="auto" w:fill="FFFFFF"/>
        </w:rPr>
        <w:t>Agencies</w:t>
      </w:r>
      <w:r w:rsidRPr="002D3263" w:rsidR="001E6B59">
        <w:rPr>
          <w:shd w:val="clear" w:color="auto" w:fill="FFFFFF"/>
        </w:rPr>
        <w:t xml:space="preserve"> </w:t>
      </w:r>
      <w:r w:rsidRPr="002D3263" w:rsidR="007062AD">
        <w:rPr>
          <w:shd w:val="clear" w:color="auto" w:fill="FFFFFF"/>
        </w:rPr>
        <w:t>provided data on the size of their respective programs</w:t>
      </w:r>
      <w:r w:rsidRPr="002D3263" w:rsidR="00747CCD">
        <w:rPr>
          <w:shd w:val="clear" w:color="auto" w:fill="FFFFFF"/>
        </w:rPr>
        <w:t>,</w:t>
      </w:r>
      <w:r w:rsidRPr="002D3263" w:rsidR="007062AD">
        <w:rPr>
          <w:shd w:val="clear" w:color="auto" w:fill="FFFFFF"/>
        </w:rPr>
        <w:t xml:space="preserve"> whi</w:t>
      </w:r>
      <w:r w:rsidRPr="002D3263" w:rsidR="00013EE8">
        <w:rPr>
          <w:shd w:val="clear" w:color="auto" w:fill="FFFFFF"/>
        </w:rPr>
        <w:t>ch is presented in Table A1</w:t>
      </w:r>
      <w:r w:rsidRPr="002D3263" w:rsidR="007404C8">
        <w:rPr>
          <w:shd w:val="clear" w:color="auto" w:fill="FFFFFF"/>
        </w:rPr>
        <w:t>3</w:t>
      </w:r>
      <w:r w:rsidRPr="002D3263" w:rsidR="00013EE8">
        <w:rPr>
          <w:shd w:val="clear" w:color="auto" w:fill="FFFFFF"/>
        </w:rPr>
        <w:t xml:space="preserve">, </w:t>
      </w:r>
      <w:r w:rsidRPr="002D3263" w:rsidR="007062AD">
        <w:rPr>
          <w:shd w:val="clear" w:color="auto" w:fill="FFFFFF"/>
        </w:rPr>
        <w:t>Appendix A</w:t>
      </w:r>
      <w:r w:rsidRPr="002D3263" w:rsidR="00013EE8">
        <w:rPr>
          <w:shd w:val="clear" w:color="auto" w:fill="FFFFFF"/>
        </w:rPr>
        <w:t xml:space="preserve"> </w:t>
      </w:r>
      <w:bookmarkStart w:id="21" w:name="_Hlk510075790"/>
      <w:r w:rsidRPr="002D3263" w:rsidR="00013EE8">
        <w:rPr>
          <w:shd w:val="clear" w:color="auto" w:fill="FFFFFF"/>
        </w:rPr>
        <w:t>of this report</w:t>
      </w:r>
      <w:bookmarkEnd w:id="21"/>
      <w:r w:rsidRPr="002D3263" w:rsidR="007062AD">
        <w:rPr>
          <w:shd w:val="clear" w:color="auto" w:fill="FFFFFF"/>
        </w:rPr>
        <w:t xml:space="preserve">. </w:t>
      </w:r>
      <w:r w:rsidR="00B210CA">
        <w:rPr>
          <w:shd w:val="clear" w:color="auto" w:fill="FFFFFF"/>
        </w:rPr>
        <w:t xml:space="preserve"> </w:t>
      </w:r>
      <w:r w:rsidRPr="002D3263" w:rsidR="00707B5A">
        <w:rPr>
          <w:shd w:val="clear" w:color="auto" w:fill="FFFFFF"/>
        </w:rPr>
        <w:t>H</w:t>
      </w:r>
      <w:r w:rsidRPr="002D3263" w:rsidR="00A629C6">
        <w:rPr>
          <w:shd w:val="clear" w:color="auto" w:fill="FFFFFF"/>
        </w:rPr>
        <w:t xml:space="preserve">owever, since </w:t>
      </w:r>
      <w:r w:rsidRPr="002D3263">
        <w:rPr>
          <w:shd w:val="clear" w:color="auto" w:fill="FFFFFF"/>
        </w:rPr>
        <w:t>that</w:t>
      </w:r>
      <w:r w:rsidRPr="002D3263" w:rsidR="00A629C6">
        <w:rPr>
          <w:shd w:val="clear" w:color="auto" w:fill="FFFFFF"/>
        </w:rPr>
        <w:t xml:space="preserve"> </w:t>
      </w:r>
      <w:r w:rsidRPr="002D3263" w:rsidR="00747CCD">
        <w:rPr>
          <w:shd w:val="clear" w:color="auto" w:fill="FFFFFF"/>
        </w:rPr>
        <w:t>effort</w:t>
      </w:r>
      <w:r w:rsidRPr="002D3263" w:rsidR="00A629C6">
        <w:rPr>
          <w:shd w:val="clear" w:color="auto" w:fill="FFFFFF"/>
        </w:rPr>
        <w:t xml:space="preserve"> represent</w:t>
      </w:r>
      <w:r w:rsidRPr="002D3263">
        <w:rPr>
          <w:shd w:val="clear" w:color="auto" w:fill="FFFFFF"/>
        </w:rPr>
        <w:t>ed</w:t>
      </w:r>
      <w:r w:rsidRPr="002D3263" w:rsidR="00A629C6">
        <w:rPr>
          <w:shd w:val="clear" w:color="auto" w:fill="FFFFFF"/>
        </w:rPr>
        <w:t xml:space="preserve"> the</w:t>
      </w:r>
      <w:r w:rsidRPr="002D3263" w:rsidR="00707B5A">
        <w:rPr>
          <w:shd w:val="clear" w:color="auto" w:fill="FFFFFF"/>
        </w:rPr>
        <w:t xml:space="preserve"> first time that this data ha</w:t>
      </w:r>
      <w:r w:rsidRPr="002D3263" w:rsidR="00364013">
        <w:rPr>
          <w:shd w:val="clear" w:color="auto" w:fill="FFFFFF"/>
        </w:rPr>
        <w:t>d</w:t>
      </w:r>
      <w:r w:rsidRPr="002D3263" w:rsidR="00707B5A">
        <w:rPr>
          <w:shd w:val="clear" w:color="auto" w:fill="FFFFFF"/>
        </w:rPr>
        <w:t xml:space="preserve"> been assembled</w:t>
      </w:r>
      <w:r w:rsidRPr="002D3263" w:rsidR="00747CCD">
        <w:rPr>
          <w:shd w:val="clear" w:color="auto" w:fill="FFFFFF"/>
        </w:rPr>
        <w:t>, the figures</w:t>
      </w:r>
      <w:r w:rsidRPr="002D3263" w:rsidR="00707B5A">
        <w:rPr>
          <w:shd w:val="clear" w:color="auto" w:fill="FFFFFF"/>
        </w:rPr>
        <w:t xml:space="preserve"> may not </w:t>
      </w:r>
      <w:r w:rsidRPr="002D3263">
        <w:rPr>
          <w:shd w:val="clear" w:color="auto" w:fill="FFFFFF"/>
        </w:rPr>
        <w:t xml:space="preserve">have </w:t>
      </w:r>
      <w:r w:rsidRPr="002D3263" w:rsidR="00707B5A">
        <w:rPr>
          <w:shd w:val="clear" w:color="auto" w:fill="FFFFFF"/>
        </w:rPr>
        <w:t>be</w:t>
      </w:r>
      <w:r w:rsidRPr="002D3263">
        <w:rPr>
          <w:shd w:val="clear" w:color="auto" w:fill="FFFFFF"/>
        </w:rPr>
        <w:t>en</w:t>
      </w:r>
      <w:r w:rsidRPr="002D3263" w:rsidR="00707B5A">
        <w:rPr>
          <w:shd w:val="clear" w:color="auto" w:fill="FFFFFF"/>
        </w:rPr>
        <w:t xml:space="preserve"> complete.</w:t>
      </w:r>
      <w:r w:rsidRPr="002D3263">
        <w:rPr>
          <w:shd w:val="clear" w:color="auto" w:fill="FFFFFF"/>
        </w:rPr>
        <w:t xml:space="preserve"> </w:t>
      </w:r>
      <w:r w:rsidR="00B210CA">
        <w:rPr>
          <w:shd w:val="clear" w:color="auto" w:fill="FFFFFF"/>
        </w:rPr>
        <w:t xml:space="preserve"> </w:t>
      </w:r>
      <w:r w:rsidRPr="002D3263">
        <w:rPr>
          <w:shd w:val="clear" w:color="auto" w:fill="FFFFFF"/>
        </w:rPr>
        <w:t xml:space="preserve">More recently, </w:t>
      </w:r>
      <w:r w:rsidR="0059129A">
        <w:rPr>
          <w:shd w:val="clear" w:color="auto" w:fill="FFFFFF"/>
        </w:rPr>
        <w:t>Agencies</w:t>
      </w:r>
      <w:r w:rsidRPr="002D3263">
        <w:rPr>
          <w:shd w:val="clear" w:color="auto" w:fill="FFFFFF"/>
        </w:rPr>
        <w:t xml:space="preserve"> have begun to report on their Uniform Act activities in compliance with MAP-21 and in anticipation of this r</w:t>
      </w:r>
      <w:r w:rsidRPr="002D3263" w:rsidR="006308DB">
        <w:rPr>
          <w:shd w:val="clear" w:color="auto" w:fill="FFFFFF"/>
        </w:rPr>
        <w:t xml:space="preserve">ulemaking. </w:t>
      </w:r>
      <w:r w:rsidR="00B210CA">
        <w:rPr>
          <w:shd w:val="clear" w:color="auto" w:fill="FFFFFF"/>
        </w:rPr>
        <w:t xml:space="preserve"> </w:t>
      </w:r>
      <w:r w:rsidRPr="002D3263" w:rsidR="006308DB">
        <w:rPr>
          <w:shd w:val="clear" w:color="auto" w:fill="FFFFFF"/>
        </w:rPr>
        <w:t>The more current information is also presented in Table A1</w:t>
      </w:r>
      <w:r w:rsidRPr="002D3263" w:rsidR="007404C8">
        <w:rPr>
          <w:shd w:val="clear" w:color="auto" w:fill="FFFFFF"/>
        </w:rPr>
        <w:t>3</w:t>
      </w:r>
      <w:r w:rsidRPr="002D3263" w:rsidR="006308DB">
        <w:rPr>
          <w:shd w:val="clear" w:color="auto" w:fill="FFFFFF"/>
        </w:rPr>
        <w:t xml:space="preserve"> o</w:t>
      </w:r>
      <w:r w:rsidRPr="002D3263" w:rsidR="00902072">
        <w:rPr>
          <w:shd w:val="clear" w:color="auto" w:fill="FFFFFF"/>
        </w:rPr>
        <w:t>f Appendix A</w:t>
      </w:r>
      <w:r w:rsidRPr="002D3263" w:rsidR="007636CC">
        <w:rPr>
          <w:shd w:val="clear" w:color="auto" w:fill="FFFFFF"/>
        </w:rPr>
        <w:t xml:space="preserve"> of this report</w:t>
      </w:r>
      <w:r w:rsidRPr="002D3263" w:rsidR="00902072">
        <w:rPr>
          <w:shd w:val="clear" w:color="auto" w:fill="FFFFFF"/>
        </w:rPr>
        <w:t xml:space="preserve">. </w:t>
      </w:r>
      <w:r w:rsidR="00B210CA">
        <w:rPr>
          <w:shd w:val="clear" w:color="auto" w:fill="FFFFFF"/>
        </w:rPr>
        <w:t xml:space="preserve"> </w:t>
      </w:r>
      <w:r w:rsidRPr="002D3263" w:rsidR="00902072">
        <w:rPr>
          <w:shd w:val="clear" w:color="auto" w:fill="FFFFFF"/>
        </w:rPr>
        <w:t>Again, due to</w:t>
      </w:r>
      <w:r w:rsidRPr="002D3263" w:rsidR="00400F49">
        <w:rPr>
          <w:shd w:val="clear" w:color="auto" w:fill="FFFFFF"/>
        </w:rPr>
        <w:t xml:space="preserve"> the still developi</w:t>
      </w:r>
      <w:r w:rsidRPr="002D3263" w:rsidR="00902072">
        <w:rPr>
          <w:shd w:val="clear" w:color="auto" w:fill="FFFFFF"/>
        </w:rPr>
        <w:t xml:space="preserve">ng nature of </w:t>
      </w:r>
      <w:r w:rsidR="007D41B2">
        <w:rPr>
          <w:shd w:val="clear" w:color="auto" w:fill="FFFFFF"/>
        </w:rPr>
        <w:t>A</w:t>
      </w:r>
      <w:r w:rsidRPr="002D3263" w:rsidR="00902072">
        <w:rPr>
          <w:shd w:val="clear" w:color="auto" w:fill="FFFFFF"/>
        </w:rPr>
        <w:t xml:space="preserve">gency reports </w:t>
      </w:r>
      <w:r w:rsidRPr="002D3263" w:rsidR="006308DB">
        <w:rPr>
          <w:shd w:val="clear" w:color="auto" w:fill="FFFFFF"/>
        </w:rPr>
        <w:t>the figures may not be complete.</w:t>
      </w:r>
      <w:r w:rsidRPr="002D3263" w:rsidR="00834434">
        <w:rPr>
          <w:shd w:val="clear" w:color="auto" w:fill="FFFFFF"/>
        </w:rPr>
        <w:t xml:space="preserve"> </w:t>
      </w:r>
      <w:r w:rsidR="00B210CA">
        <w:rPr>
          <w:shd w:val="clear" w:color="auto" w:fill="FFFFFF"/>
        </w:rPr>
        <w:t xml:space="preserve"> </w:t>
      </w:r>
      <w:r w:rsidRPr="002D3263" w:rsidR="00834434">
        <w:rPr>
          <w:shd w:val="clear" w:color="auto" w:fill="FFFFFF"/>
        </w:rPr>
        <w:t xml:space="preserve">Some of the </w:t>
      </w:r>
      <w:r w:rsidR="0059129A">
        <w:rPr>
          <w:shd w:val="clear" w:color="auto" w:fill="FFFFFF"/>
        </w:rPr>
        <w:t>Agencies</w:t>
      </w:r>
      <w:r w:rsidRPr="002D3263" w:rsidR="00834434">
        <w:rPr>
          <w:shd w:val="clear" w:color="auto" w:fill="FFFFFF"/>
        </w:rPr>
        <w:t xml:space="preserve"> have provided a narrative report</w:t>
      </w:r>
      <w:r w:rsidRPr="002D3263" w:rsidR="00707B5A">
        <w:rPr>
          <w:shd w:val="clear" w:color="auto" w:fill="FFFFFF"/>
        </w:rPr>
        <w:t xml:space="preserve"> </w:t>
      </w:r>
      <w:r w:rsidRPr="002D3263" w:rsidR="00834434">
        <w:rPr>
          <w:shd w:val="clear" w:color="auto" w:fill="FFFFFF"/>
        </w:rPr>
        <w:t>rather than a</w:t>
      </w:r>
      <w:r w:rsidRPr="002D3263" w:rsidR="00400F49">
        <w:rPr>
          <w:shd w:val="clear" w:color="auto" w:fill="FFFFFF"/>
        </w:rPr>
        <w:t xml:space="preserve"> numeric</w:t>
      </w:r>
      <w:r w:rsidRPr="002D3263" w:rsidR="00902072">
        <w:rPr>
          <w:shd w:val="clear" w:color="auto" w:fill="FFFFFF"/>
        </w:rPr>
        <w:t xml:space="preserve"> </w:t>
      </w:r>
      <w:r w:rsidRPr="002D3263" w:rsidR="00834434">
        <w:rPr>
          <w:shd w:val="clear" w:color="auto" w:fill="FFFFFF"/>
        </w:rPr>
        <w:t>report.</w:t>
      </w:r>
      <w:r w:rsidRPr="002D3263" w:rsidR="004410C8">
        <w:rPr>
          <w:shd w:val="clear" w:color="auto" w:fill="FFFFFF"/>
        </w:rPr>
        <w:t xml:space="preserve"> </w:t>
      </w:r>
    </w:p>
    <w:p w:rsidR="009B0BEE" w:rsidRPr="002D3263" w:rsidP="00EF4CBB" w14:paraId="0944E0D7" w14:textId="08319850">
      <w:pPr>
        <w:pStyle w:val="Body"/>
        <w:widowControl/>
        <w:rPr>
          <w:shd w:val="clear" w:color="auto" w:fill="FFFFFF"/>
        </w:rPr>
      </w:pPr>
      <w:r w:rsidRPr="002D3263">
        <w:rPr>
          <w:shd w:val="clear" w:color="auto" w:fill="FFFFFF"/>
        </w:rPr>
        <w:t xml:space="preserve">In this analysis, the costs of the </w:t>
      </w:r>
      <w:r w:rsidRPr="002D3263" w:rsidR="00755EC7">
        <w:rPr>
          <w:shd w:val="clear" w:color="auto" w:fill="FFFFFF"/>
        </w:rPr>
        <w:t>final</w:t>
      </w:r>
      <w:r w:rsidRPr="002D3263">
        <w:rPr>
          <w:shd w:val="clear" w:color="auto" w:fill="FFFFFF"/>
        </w:rPr>
        <w:t xml:space="preserve"> rule are estimated for all </w:t>
      </w:r>
      <w:r w:rsidRPr="002D3263" w:rsidR="00410149">
        <w:rPr>
          <w:shd w:val="clear" w:color="auto" w:fill="FFFFFF"/>
        </w:rPr>
        <w:t xml:space="preserve">Federal </w:t>
      </w:r>
      <w:r w:rsidR="0059129A">
        <w:rPr>
          <w:shd w:val="clear" w:color="auto" w:fill="FFFFFF"/>
        </w:rPr>
        <w:t>Agencies</w:t>
      </w:r>
      <w:r w:rsidRPr="002D3263" w:rsidR="00410149">
        <w:rPr>
          <w:shd w:val="clear" w:color="auto" w:fill="FFFFFF"/>
        </w:rPr>
        <w:t xml:space="preserve"> that are subject to the</w:t>
      </w:r>
      <w:r w:rsidRPr="002D3263" w:rsidR="00180816">
        <w:rPr>
          <w:shd w:val="clear" w:color="auto" w:fill="FFFFFF"/>
        </w:rPr>
        <w:t xml:space="preserve"> </w:t>
      </w:r>
      <w:r w:rsidRPr="002D3263">
        <w:rPr>
          <w:shd w:val="clear" w:color="auto" w:fill="FFFFFF"/>
        </w:rPr>
        <w:t xml:space="preserve">Uniform Act. </w:t>
      </w:r>
      <w:r w:rsidR="00B210CA">
        <w:rPr>
          <w:shd w:val="clear" w:color="auto" w:fill="FFFFFF"/>
        </w:rPr>
        <w:t xml:space="preserve"> </w:t>
      </w:r>
      <w:r w:rsidRPr="002D3263">
        <w:rPr>
          <w:shd w:val="clear" w:color="auto" w:fill="FFFFFF"/>
        </w:rPr>
        <w:t>However, due to data limitations</w:t>
      </w:r>
      <w:r w:rsidRPr="002D3263" w:rsidR="00747CCD">
        <w:rPr>
          <w:shd w:val="clear" w:color="auto" w:fill="FFFFFF"/>
        </w:rPr>
        <w:t>,</w:t>
      </w:r>
      <w:r w:rsidRPr="002D3263">
        <w:rPr>
          <w:shd w:val="clear" w:color="auto" w:fill="FFFFFF"/>
        </w:rPr>
        <w:t xml:space="preserve"> the benefits (where quantifiable) are estimated only for FHWA. </w:t>
      </w:r>
      <w:r w:rsidR="00B210CA">
        <w:rPr>
          <w:shd w:val="clear" w:color="auto" w:fill="FFFFFF"/>
        </w:rPr>
        <w:t xml:space="preserve"> </w:t>
      </w:r>
      <w:r w:rsidRPr="002D3263">
        <w:rPr>
          <w:shd w:val="clear" w:color="auto" w:fill="FFFFFF"/>
        </w:rPr>
        <w:t>The magnitude of transfers</w:t>
      </w:r>
      <w:r w:rsidRPr="002D3263" w:rsidR="00A629C6">
        <w:rPr>
          <w:shd w:val="clear" w:color="auto" w:fill="FFFFFF"/>
        </w:rPr>
        <w:t xml:space="preserve"> </w:t>
      </w:r>
      <w:r w:rsidRPr="002D3263" w:rsidR="00747CCD">
        <w:rPr>
          <w:shd w:val="clear" w:color="auto" w:fill="FFFFFF"/>
        </w:rPr>
        <w:t>is</w:t>
      </w:r>
      <w:r w:rsidRPr="002D3263">
        <w:rPr>
          <w:shd w:val="clear" w:color="auto" w:fill="FFFFFF"/>
        </w:rPr>
        <w:t xml:space="preserve"> also estimated only for FHWA due to data limitations.</w:t>
      </w:r>
      <w:r w:rsidRPr="002D3263" w:rsidR="00A629C6">
        <w:rPr>
          <w:shd w:val="clear" w:color="auto" w:fill="FFFFFF"/>
        </w:rPr>
        <w:t xml:space="preserve"> </w:t>
      </w:r>
      <w:r w:rsidR="00B210CA">
        <w:rPr>
          <w:shd w:val="clear" w:color="auto" w:fill="FFFFFF"/>
        </w:rPr>
        <w:t xml:space="preserve"> </w:t>
      </w:r>
      <w:r w:rsidRPr="002D3263" w:rsidR="00A629C6">
        <w:rPr>
          <w:shd w:val="clear" w:color="auto" w:fill="FFFFFF"/>
        </w:rPr>
        <w:t>The MAP-21 requirement (</w:t>
      </w:r>
      <w:r w:rsidRPr="002D3263" w:rsidR="001B3424">
        <w:rPr>
          <w:shd w:val="clear" w:color="auto" w:fill="FFFFFF"/>
        </w:rPr>
        <w:t>further clarified in</w:t>
      </w:r>
      <w:r w:rsidRPr="002D3263" w:rsidR="00A629C6">
        <w:rPr>
          <w:shd w:val="clear" w:color="auto" w:fill="FFFFFF"/>
        </w:rPr>
        <w:t xml:space="preserve"> this </w:t>
      </w:r>
      <w:r w:rsidRPr="002D3263" w:rsidR="00755EC7">
        <w:rPr>
          <w:shd w:val="clear" w:color="auto" w:fill="FFFFFF"/>
        </w:rPr>
        <w:t xml:space="preserve">final </w:t>
      </w:r>
      <w:r w:rsidRPr="002D3263" w:rsidR="00A629C6">
        <w:rPr>
          <w:shd w:val="clear" w:color="auto" w:fill="FFFFFF"/>
        </w:rPr>
        <w:t xml:space="preserve">rule) for annual summary reports of Uniform Act activity from </w:t>
      </w:r>
      <w:r w:rsidRPr="002D3263" w:rsidR="006671FF">
        <w:rPr>
          <w:shd w:val="clear" w:color="auto" w:fill="FFFFFF"/>
        </w:rPr>
        <w:t>F</w:t>
      </w:r>
      <w:r w:rsidRPr="002D3263" w:rsidR="00A629C6">
        <w:rPr>
          <w:shd w:val="clear" w:color="auto" w:fill="FFFFFF"/>
        </w:rPr>
        <w:t xml:space="preserve">ederal </w:t>
      </w:r>
      <w:r w:rsidR="0059129A">
        <w:rPr>
          <w:shd w:val="clear" w:color="auto" w:fill="FFFFFF"/>
        </w:rPr>
        <w:t>Agencies</w:t>
      </w:r>
      <w:r w:rsidRPr="002D3263" w:rsidR="00A629C6">
        <w:rPr>
          <w:shd w:val="clear" w:color="auto" w:fill="FFFFFF"/>
        </w:rPr>
        <w:t xml:space="preserve"> is</w:t>
      </w:r>
      <w:r w:rsidRPr="002D3263" w:rsidR="00801E50">
        <w:rPr>
          <w:shd w:val="clear" w:color="auto" w:fill="FFFFFF"/>
        </w:rPr>
        <w:t xml:space="preserve"> </w:t>
      </w:r>
      <w:r w:rsidRPr="002D3263" w:rsidR="00A629C6">
        <w:rPr>
          <w:shd w:val="clear" w:color="auto" w:fill="FFFFFF"/>
        </w:rPr>
        <w:t>expected to alleviate these types of data issues going forward.</w:t>
      </w:r>
    </w:p>
    <w:p w:rsidR="001D5A53" w:rsidRPr="002D3263" w:rsidP="00D6005F" w14:paraId="2AC708D3" w14:textId="5D3609AF">
      <w:pPr>
        <w:pStyle w:val="Caption"/>
      </w:pPr>
      <w:bookmarkStart w:id="22" w:name="_Ref414620134"/>
      <w:bookmarkStart w:id="23" w:name="_Ref67906077"/>
      <w:bookmarkStart w:id="24" w:name="_Toc127438087"/>
      <w:r w:rsidRPr="002D3263">
        <w:t xml:space="preserve">Table </w:t>
      </w:r>
      <w:r w:rsidR="00F903AF">
        <w:fldChar w:fldCharType="begin"/>
      </w:r>
      <w:r w:rsidR="00F903AF">
        <w:instrText xml:space="preserve"> SEQ Table \* ARABIC </w:instrText>
      </w:r>
      <w:r w:rsidR="00F903AF">
        <w:fldChar w:fldCharType="separate"/>
      </w:r>
      <w:r w:rsidR="00E762F5">
        <w:rPr>
          <w:noProof/>
        </w:rPr>
        <w:t>1</w:t>
      </w:r>
      <w:r w:rsidR="00F903AF">
        <w:rPr>
          <w:noProof/>
        </w:rPr>
        <w:fldChar w:fldCharType="end"/>
      </w:r>
      <w:bookmarkEnd w:id="22"/>
      <w:bookmarkEnd w:id="23"/>
      <w:r w:rsidRPr="002D3263">
        <w:t xml:space="preserve">. </w:t>
      </w:r>
      <w:r w:rsidRPr="002D3263" w:rsidR="00111308">
        <w:t>Federal</w:t>
      </w:r>
      <w:r w:rsidRPr="002D3263">
        <w:t xml:space="preserve"> Agencies Potentially Subject to the Uniform Act</w:t>
      </w:r>
      <w:bookmarkEnd w:id="24"/>
    </w:p>
    <w:tbl>
      <w:tblPr>
        <w:tblW w:w="6668" w:type="dxa"/>
        <w:shd w:val="clear" w:color="auto" w:fill="FFFFFF" w:themeFill="background1"/>
        <w:tblLook w:val="04A0"/>
      </w:tblPr>
      <w:tblGrid>
        <w:gridCol w:w="5448"/>
        <w:gridCol w:w="1220"/>
      </w:tblGrid>
      <w:tr w14:paraId="51107798" w14:textId="77777777" w:rsidTr="008B6AFD">
        <w:tblPrEx>
          <w:tblW w:w="6668" w:type="dxa"/>
          <w:shd w:val="clear" w:color="auto" w:fill="FFFFFF" w:themeFill="background1"/>
          <w:tblLook w:val="04A0"/>
        </w:tblPrEx>
        <w:trPr>
          <w:cantSplit/>
          <w:trHeight w:val="300"/>
        </w:trPr>
        <w:tc>
          <w:tcPr>
            <w:tcW w:w="5448"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8B6AFD" w:rsidRPr="002D3263" w:rsidP="00D2312D" w14:paraId="30AA52EE" w14:textId="77777777">
            <w:pPr>
              <w:keepNext/>
              <w:widowControl/>
              <w:jc w:val="center"/>
              <w:rPr>
                <w:rFonts w:ascii="Calibri" w:hAnsi="Calibri"/>
                <w:b/>
                <w:bCs/>
                <w:color w:val="000000"/>
              </w:rPr>
            </w:pPr>
            <w:r w:rsidRPr="002D3263">
              <w:rPr>
                <w:rFonts w:ascii="Calibri" w:hAnsi="Calibri"/>
                <w:b/>
                <w:bCs/>
                <w:color w:val="000000"/>
              </w:rPr>
              <w:t>Department</w:t>
            </w:r>
          </w:p>
        </w:tc>
        <w:tc>
          <w:tcPr>
            <w:tcW w:w="1220" w:type="dxa"/>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8B6AFD" w:rsidRPr="002D3263" w:rsidP="00EF4CBB" w14:paraId="113C4ADB" w14:textId="77777777">
            <w:pPr>
              <w:keepNext/>
              <w:widowControl/>
              <w:jc w:val="center"/>
              <w:rPr>
                <w:rFonts w:ascii="Calibri" w:hAnsi="Calibri"/>
                <w:b/>
                <w:bCs/>
                <w:color w:val="000000"/>
              </w:rPr>
            </w:pPr>
            <w:r w:rsidRPr="002D3263">
              <w:rPr>
                <w:rFonts w:ascii="Calibri" w:hAnsi="Calibri"/>
                <w:b/>
                <w:bCs/>
                <w:color w:val="000000"/>
              </w:rPr>
              <w:t>Status</w:t>
            </w:r>
          </w:p>
        </w:tc>
      </w:tr>
      <w:tr w14:paraId="6D4A83BC" w14:textId="77777777" w:rsidTr="008A4DC9">
        <w:tblPrEx>
          <w:tblW w:w="6668" w:type="dxa"/>
          <w:shd w:val="clear" w:color="auto" w:fill="FFFFFF" w:themeFill="background1"/>
          <w:tblLook w:val="04A0"/>
        </w:tblPrEx>
        <w:trPr>
          <w:cantSplit/>
          <w:trHeight w:val="300"/>
        </w:trPr>
        <w:tc>
          <w:tcPr>
            <w:tcW w:w="5448" w:type="dxa"/>
            <w:tcBorders>
              <w:top w:val="single" w:sz="4" w:space="0" w:color="000000"/>
              <w:left w:val="single" w:sz="4" w:space="0" w:color="auto"/>
              <w:right w:val="nil"/>
            </w:tcBorders>
            <w:shd w:val="clear" w:color="auto" w:fill="FFFFFF" w:themeFill="background1"/>
            <w:vAlign w:val="bottom"/>
            <w:hideMark/>
          </w:tcPr>
          <w:p w:rsidR="008B6AFD" w:rsidRPr="002D3263" w:rsidP="00EF4CBB" w14:paraId="7FC8D95B" w14:textId="77777777">
            <w:pPr>
              <w:keepNext/>
              <w:widowControl/>
              <w:rPr>
                <w:rFonts w:ascii="Calibri" w:hAnsi="Calibri"/>
                <w:color w:val="000000"/>
              </w:rPr>
            </w:pPr>
            <w:r w:rsidRPr="002D3263">
              <w:rPr>
                <w:rFonts w:ascii="Calibri" w:hAnsi="Calibri"/>
                <w:color w:val="000000"/>
              </w:rPr>
              <w:t>Department of Agriculture (USDA)</w:t>
            </w:r>
          </w:p>
        </w:tc>
        <w:tc>
          <w:tcPr>
            <w:tcW w:w="1220" w:type="dxa"/>
            <w:tcBorders>
              <w:top w:val="single" w:sz="4" w:space="0" w:color="000000"/>
              <w:left w:val="nil"/>
              <w:right w:val="single" w:sz="4" w:space="0" w:color="auto"/>
            </w:tcBorders>
            <w:shd w:val="clear" w:color="auto" w:fill="FFFFFF" w:themeFill="background1"/>
            <w:noWrap/>
            <w:hideMark/>
          </w:tcPr>
          <w:p w:rsidR="008B6AFD" w:rsidRPr="002D3263" w:rsidP="00EF4CBB" w14:paraId="574781C7" w14:textId="77777777">
            <w:pPr>
              <w:keepNext/>
              <w:widowControl/>
              <w:rPr>
                <w:rFonts w:ascii="Calibri" w:hAnsi="Calibri"/>
                <w:color w:val="000000"/>
              </w:rPr>
            </w:pPr>
            <w:r w:rsidRPr="002D3263">
              <w:rPr>
                <w:rFonts w:ascii="Calibri" w:hAnsi="Calibri"/>
                <w:color w:val="000000"/>
              </w:rPr>
              <w:t> </w:t>
            </w:r>
          </w:p>
        </w:tc>
      </w:tr>
      <w:tr w14:paraId="6559AA68" w14:textId="77777777" w:rsidTr="008A4DC9">
        <w:tblPrEx>
          <w:tblW w:w="6668" w:type="dxa"/>
          <w:shd w:val="clear" w:color="auto" w:fill="FFFFFF" w:themeFill="background1"/>
          <w:tblLook w:val="04A0"/>
        </w:tblPrEx>
        <w:trPr>
          <w:cantSplit/>
          <w:trHeight w:val="300"/>
        </w:trPr>
        <w:tc>
          <w:tcPr>
            <w:tcW w:w="5448" w:type="dxa"/>
            <w:tcBorders>
              <w:left w:val="single" w:sz="4" w:space="0" w:color="auto"/>
              <w:right w:val="nil"/>
            </w:tcBorders>
            <w:shd w:val="clear" w:color="auto" w:fill="FFFFFF" w:themeFill="background1"/>
            <w:vAlign w:val="bottom"/>
          </w:tcPr>
          <w:p w:rsidR="00643B46" w:rsidRPr="002D3263" w:rsidP="00EF4CBB" w14:paraId="5EACB855" w14:textId="71ACD774">
            <w:pPr>
              <w:keepNext/>
              <w:widowControl/>
              <w:rPr>
                <w:rFonts w:ascii="Calibri" w:hAnsi="Calibri"/>
                <w:color w:val="000000"/>
              </w:rPr>
            </w:pPr>
            <w:r w:rsidRPr="002D3263">
              <w:rPr>
                <w:rFonts w:ascii="Calibri" w:hAnsi="Calibri"/>
                <w:color w:val="000000"/>
              </w:rPr>
              <w:t>Rural Utilities Service (RUS)</w:t>
            </w:r>
          </w:p>
        </w:tc>
        <w:tc>
          <w:tcPr>
            <w:tcW w:w="1220" w:type="dxa"/>
            <w:tcBorders>
              <w:left w:val="nil"/>
              <w:right w:val="single" w:sz="4" w:space="0" w:color="auto"/>
            </w:tcBorders>
            <w:shd w:val="clear" w:color="auto" w:fill="FFFFFF" w:themeFill="background1"/>
            <w:noWrap/>
          </w:tcPr>
          <w:p w:rsidR="00643B46" w:rsidRPr="002D3263" w:rsidP="00EF4CBB" w14:paraId="23288A98" w14:textId="77777777">
            <w:pPr>
              <w:keepNext/>
              <w:widowControl/>
              <w:rPr>
                <w:rFonts w:ascii="Calibri" w:hAnsi="Calibri"/>
                <w:color w:val="000000"/>
              </w:rPr>
            </w:pPr>
            <w:r w:rsidRPr="002D3263">
              <w:rPr>
                <w:rFonts w:ascii="Calibri" w:hAnsi="Calibri"/>
                <w:color w:val="000000"/>
              </w:rPr>
              <w:t>Not Active</w:t>
            </w:r>
          </w:p>
        </w:tc>
      </w:tr>
      <w:tr w14:paraId="2D9BB02F" w14:textId="77777777" w:rsidTr="008B6AFD">
        <w:tblPrEx>
          <w:tblW w:w="6668" w:type="dxa"/>
          <w:shd w:val="clear" w:color="auto" w:fill="FFFFFF" w:themeFill="background1"/>
          <w:tblLook w:val="04A0"/>
        </w:tblPrEx>
        <w:trPr>
          <w:cantSplit/>
          <w:trHeight w:val="300"/>
        </w:trPr>
        <w:tc>
          <w:tcPr>
            <w:tcW w:w="5448" w:type="dxa"/>
            <w:tcBorders>
              <w:left w:val="single" w:sz="4" w:space="0" w:color="auto"/>
              <w:bottom w:val="nil"/>
              <w:right w:val="nil"/>
            </w:tcBorders>
            <w:shd w:val="clear" w:color="auto" w:fill="FFFFFF" w:themeFill="background1"/>
            <w:vAlign w:val="center"/>
          </w:tcPr>
          <w:p w:rsidR="008B6AFD" w:rsidRPr="002D3263" w:rsidP="00EF4CBB" w14:paraId="3BEB32AB" w14:textId="77777777">
            <w:pPr>
              <w:keepNext/>
              <w:widowControl/>
              <w:ind w:firstLine="220" w:firstLineChars="100"/>
              <w:rPr>
                <w:rFonts w:ascii="Calibri" w:hAnsi="Calibri"/>
                <w:color w:val="000000"/>
              </w:rPr>
            </w:pPr>
            <w:r w:rsidRPr="002D3263">
              <w:rPr>
                <w:rFonts w:ascii="Calibri" w:hAnsi="Calibri"/>
                <w:color w:val="000000"/>
              </w:rPr>
              <w:t>U</w:t>
            </w:r>
            <w:r w:rsidRPr="002D3263" w:rsidR="00D171D2">
              <w:rPr>
                <w:rFonts w:ascii="Calibri" w:hAnsi="Calibri"/>
                <w:color w:val="000000"/>
              </w:rPr>
              <w:t>.</w:t>
            </w:r>
            <w:r w:rsidRPr="002D3263">
              <w:rPr>
                <w:rFonts w:ascii="Calibri" w:hAnsi="Calibri"/>
                <w:color w:val="000000"/>
              </w:rPr>
              <w:t>S</w:t>
            </w:r>
            <w:r w:rsidRPr="002D3263" w:rsidR="00D171D2">
              <w:rPr>
                <w:rFonts w:ascii="Calibri" w:hAnsi="Calibri"/>
                <w:color w:val="000000"/>
              </w:rPr>
              <w:t>.</w:t>
            </w:r>
            <w:r w:rsidRPr="002D3263">
              <w:rPr>
                <w:rFonts w:ascii="Calibri" w:hAnsi="Calibri"/>
                <w:color w:val="000000"/>
              </w:rPr>
              <w:t xml:space="preserve"> Forest Service (FS)</w:t>
            </w:r>
          </w:p>
        </w:tc>
        <w:tc>
          <w:tcPr>
            <w:tcW w:w="1220" w:type="dxa"/>
            <w:tcBorders>
              <w:left w:val="nil"/>
              <w:bottom w:val="nil"/>
              <w:right w:val="single" w:sz="4" w:space="0" w:color="auto"/>
            </w:tcBorders>
            <w:shd w:val="clear" w:color="auto" w:fill="FFFFFF" w:themeFill="background1"/>
            <w:noWrap/>
          </w:tcPr>
          <w:p w:rsidR="008B6AFD" w:rsidRPr="002D3263" w:rsidP="00EF4CBB" w14:paraId="4903B09F" w14:textId="77777777">
            <w:pPr>
              <w:keepNext/>
              <w:widowControl/>
              <w:rPr>
                <w:rFonts w:ascii="Calibri" w:hAnsi="Calibri"/>
                <w:color w:val="000000"/>
              </w:rPr>
            </w:pPr>
            <w:r w:rsidRPr="002D3263">
              <w:rPr>
                <w:rFonts w:ascii="Calibri" w:hAnsi="Calibri"/>
                <w:color w:val="000000"/>
              </w:rPr>
              <w:t>Active</w:t>
            </w:r>
          </w:p>
        </w:tc>
      </w:tr>
      <w:tr w14:paraId="1D3351E5" w14:textId="77777777" w:rsidTr="00902072">
        <w:tblPrEx>
          <w:tblW w:w="6668" w:type="dxa"/>
          <w:shd w:val="clear" w:color="auto" w:fill="FFFFFF" w:themeFill="background1"/>
          <w:tblLook w:val="04A0"/>
        </w:tblPrEx>
        <w:trPr>
          <w:cantSplit/>
          <w:trHeight w:val="300"/>
        </w:trPr>
        <w:tc>
          <w:tcPr>
            <w:tcW w:w="5448" w:type="dxa"/>
            <w:tcBorders>
              <w:top w:val="nil"/>
              <w:left w:val="single" w:sz="4" w:space="0" w:color="auto"/>
              <w:bottom w:val="nil"/>
              <w:right w:val="nil"/>
            </w:tcBorders>
            <w:shd w:val="clear" w:color="auto" w:fill="FFFFFF" w:themeFill="background1"/>
            <w:vAlign w:val="bottom"/>
            <w:hideMark/>
          </w:tcPr>
          <w:p w:rsidR="008B6AFD" w:rsidRPr="002D3263" w:rsidP="00EF4CBB" w14:paraId="48C2CE8B" w14:textId="77777777">
            <w:pPr>
              <w:keepNext/>
              <w:widowControl/>
              <w:rPr>
                <w:rFonts w:ascii="Calibri" w:hAnsi="Calibri"/>
                <w:color w:val="000000"/>
              </w:rPr>
            </w:pPr>
            <w:r w:rsidRPr="002D3263">
              <w:rPr>
                <w:rFonts w:ascii="Calibri" w:hAnsi="Calibri"/>
                <w:color w:val="000000"/>
              </w:rPr>
              <w:t>Department of Commerce</w:t>
            </w:r>
          </w:p>
        </w:tc>
        <w:tc>
          <w:tcPr>
            <w:tcW w:w="1220" w:type="dxa"/>
            <w:tcBorders>
              <w:top w:val="nil"/>
              <w:left w:val="nil"/>
              <w:bottom w:val="nil"/>
              <w:right w:val="single" w:sz="4" w:space="0" w:color="auto"/>
            </w:tcBorders>
            <w:shd w:val="clear" w:color="auto" w:fill="FFFFFF" w:themeFill="background1"/>
            <w:noWrap/>
            <w:hideMark/>
          </w:tcPr>
          <w:p w:rsidR="008B6AFD" w:rsidRPr="002D3263" w:rsidP="00EF4CBB" w14:paraId="747A91AB" w14:textId="77777777">
            <w:pPr>
              <w:keepNext/>
              <w:widowControl/>
              <w:rPr>
                <w:rFonts w:ascii="Calibri" w:hAnsi="Calibri"/>
                <w:color w:val="000000"/>
              </w:rPr>
            </w:pPr>
            <w:r w:rsidRPr="002D3263">
              <w:rPr>
                <w:rFonts w:ascii="Calibri" w:hAnsi="Calibri"/>
                <w:color w:val="000000"/>
              </w:rPr>
              <w:t>Not Active</w:t>
            </w:r>
          </w:p>
        </w:tc>
      </w:tr>
      <w:tr w14:paraId="652EB297" w14:textId="77777777" w:rsidTr="00902072">
        <w:tblPrEx>
          <w:tblW w:w="6668" w:type="dxa"/>
          <w:shd w:val="clear" w:color="auto" w:fill="FFFFFF" w:themeFill="background1"/>
          <w:tblLook w:val="04A0"/>
        </w:tblPrEx>
        <w:trPr>
          <w:cantSplit/>
          <w:trHeight w:val="300"/>
        </w:trPr>
        <w:tc>
          <w:tcPr>
            <w:tcW w:w="5448" w:type="dxa"/>
            <w:tcBorders>
              <w:top w:val="nil"/>
              <w:left w:val="single" w:sz="4" w:space="0" w:color="auto"/>
              <w:bottom w:val="nil"/>
              <w:right w:val="nil"/>
            </w:tcBorders>
            <w:shd w:val="clear" w:color="auto" w:fill="FFFFFF" w:themeFill="background1"/>
            <w:vAlign w:val="center"/>
            <w:hideMark/>
          </w:tcPr>
          <w:p w:rsidR="008B6AFD" w:rsidRPr="002D3263" w:rsidP="00EF4CBB" w14:paraId="54D992EF" w14:textId="77777777">
            <w:pPr>
              <w:keepNext/>
              <w:widowControl/>
              <w:rPr>
                <w:rFonts w:ascii="Calibri" w:hAnsi="Calibri"/>
                <w:color w:val="000000"/>
              </w:rPr>
            </w:pPr>
            <w:r w:rsidRPr="002D3263">
              <w:rPr>
                <w:rFonts w:ascii="Calibri" w:hAnsi="Calibri"/>
                <w:color w:val="000000"/>
              </w:rPr>
              <w:t>Department of Defense (DOD)</w:t>
            </w:r>
          </w:p>
        </w:tc>
        <w:tc>
          <w:tcPr>
            <w:tcW w:w="1220" w:type="dxa"/>
            <w:tcBorders>
              <w:top w:val="nil"/>
              <w:left w:val="nil"/>
              <w:bottom w:val="nil"/>
              <w:right w:val="single" w:sz="4" w:space="0" w:color="auto"/>
            </w:tcBorders>
            <w:shd w:val="clear" w:color="auto" w:fill="FFFFFF" w:themeFill="background1"/>
            <w:noWrap/>
            <w:hideMark/>
          </w:tcPr>
          <w:p w:rsidR="008B6AFD" w:rsidRPr="002D3263" w:rsidP="00EF4CBB" w14:paraId="39E6C55F" w14:textId="77777777">
            <w:pPr>
              <w:keepNext/>
              <w:widowControl/>
              <w:rPr>
                <w:rFonts w:ascii="Calibri" w:hAnsi="Calibri"/>
                <w:color w:val="000000"/>
              </w:rPr>
            </w:pPr>
          </w:p>
        </w:tc>
      </w:tr>
      <w:tr w14:paraId="58B9CEC6" w14:textId="77777777" w:rsidTr="00902072">
        <w:tblPrEx>
          <w:tblW w:w="6668" w:type="dxa"/>
          <w:shd w:val="clear" w:color="auto" w:fill="FFFFFF" w:themeFill="background1"/>
          <w:tblLook w:val="04A0"/>
        </w:tblPrEx>
        <w:trPr>
          <w:cantSplit/>
          <w:trHeight w:val="300"/>
        </w:trPr>
        <w:tc>
          <w:tcPr>
            <w:tcW w:w="5448" w:type="dxa"/>
            <w:tcBorders>
              <w:top w:val="nil"/>
              <w:left w:val="single" w:sz="4" w:space="0" w:color="auto"/>
              <w:bottom w:val="nil"/>
              <w:right w:val="nil"/>
            </w:tcBorders>
            <w:shd w:val="clear" w:color="auto" w:fill="FFFFFF" w:themeFill="background1"/>
            <w:vAlign w:val="bottom"/>
            <w:hideMark/>
          </w:tcPr>
          <w:p w:rsidR="008B6AFD" w:rsidRPr="002D3263" w:rsidP="00EF4CBB" w14:paraId="4B8625F8" w14:textId="77777777">
            <w:pPr>
              <w:keepNext/>
              <w:widowControl/>
              <w:ind w:firstLine="220" w:firstLineChars="100"/>
              <w:rPr>
                <w:rFonts w:ascii="Calibri" w:hAnsi="Calibri"/>
                <w:color w:val="000000"/>
              </w:rPr>
            </w:pPr>
            <w:r w:rsidRPr="002D3263">
              <w:rPr>
                <w:rFonts w:ascii="Calibri" w:hAnsi="Calibri"/>
                <w:color w:val="000000"/>
              </w:rPr>
              <w:t xml:space="preserve">U.S. </w:t>
            </w:r>
            <w:r w:rsidRPr="002D3263">
              <w:rPr>
                <w:rFonts w:ascii="Calibri" w:hAnsi="Calibri"/>
                <w:color w:val="000000"/>
              </w:rPr>
              <w:t>Army Corp of Engineers (USACE)</w:t>
            </w:r>
          </w:p>
        </w:tc>
        <w:tc>
          <w:tcPr>
            <w:tcW w:w="1220" w:type="dxa"/>
            <w:tcBorders>
              <w:top w:val="nil"/>
              <w:left w:val="nil"/>
              <w:bottom w:val="nil"/>
              <w:right w:val="single" w:sz="4" w:space="0" w:color="auto"/>
            </w:tcBorders>
            <w:shd w:val="clear" w:color="auto" w:fill="FFFFFF" w:themeFill="background1"/>
            <w:noWrap/>
            <w:hideMark/>
          </w:tcPr>
          <w:p w:rsidR="008B6AFD" w:rsidRPr="002D3263" w:rsidP="00EF4CBB" w14:paraId="746B7022" w14:textId="77777777">
            <w:pPr>
              <w:keepNext/>
              <w:widowControl/>
              <w:rPr>
                <w:rFonts w:ascii="Calibri" w:hAnsi="Calibri"/>
                <w:color w:val="000000"/>
              </w:rPr>
            </w:pPr>
            <w:r w:rsidRPr="002D3263">
              <w:rPr>
                <w:rFonts w:ascii="Calibri" w:hAnsi="Calibri"/>
                <w:color w:val="000000"/>
              </w:rPr>
              <w:t>Active</w:t>
            </w:r>
          </w:p>
        </w:tc>
      </w:tr>
      <w:tr w14:paraId="19D1EB23" w14:textId="77777777" w:rsidTr="00902072">
        <w:tblPrEx>
          <w:tblW w:w="6668" w:type="dxa"/>
          <w:shd w:val="clear" w:color="auto" w:fill="FFFFFF" w:themeFill="background1"/>
          <w:tblLook w:val="04A0"/>
        </w:tblPrEx>
        <w:trPr>
          <w:cantSplit/>
          <w:trHeight w:val="300"/>
        </w:trPr>
        <w:tc>
          <w:tcPr>
            <w:tcW w:w="5448" w:type="dxa"/>
            <w:tcBorders>
              <w:top w:val="nil"/>
              <w:left w:val="single" w:sz="4" w:space="0" w:color="auto"/>
              <w:bottom w:val="nil"/>
              <w:right w:val="nil"/>
            </w:tcBorders>
            <w:shd w:val="clear" w:color="auto" w:fill="FFFFFF" w:themeFill="background1"/>
            <w:vAlign w:val="bottom"/>
            <w:hideMark/>
          </w:tcPr>
          <w:p w:rsidR="008B6AFD" w:rsidRPr="002D3263" w:rsidP="00EF4CBB" w14:paraId="6B3E56AC" w14:textId="77777777">
            <w:pPr>
              <w:keepNext/>
              <w:widowControl/>
              <w:ind w:firstLine="220" w:firstLineChars="100"/>
              <w:rPr>
                <w:rFonts w:ascii="Calibri" w:hAnsi="Calibri"/>
                <w:color w:val="000000"/>
              </w:rPr>
            </w:pPr>
            <w:r w:rsidRPr="002D3263">
              <w:rPr>
                <w:rFonts w:ascii="Calibri" w:hAnsi="Calibri"/>
                <w:color w:val="000000"/>
              </w:rPr>
              <w:t xml:space="preserve">U.S. </w:t>
            </w:r>
            <w:r w:rsidRPr="002D3263">
              <w:rPr>
                <w:rFonts w:ascii="Calibri" w:hAnsi="Calibri"/>
                <w:color w:val="000000"/>
              </w:rPr>
              <w:t>Navy</w:t>
            </w:r>
          </w:p>
        </w:tc>
        <w:tc>
          <w:tcPr>
            <w:tcW w:w="1220" w:type="dxa"/>
            <w:tcBorders>
              <w:top w:val="nil"/>
              <w:left w:val="nil"/>
              <w:bottom w:val="nil"/>
              <w:right w:val="single" w:sz="4" w:space="0" w:color="auto"/>
            </w:tcBorders>
            <w:shd w:val="clear" w:color="auto" w:fill="FFFFFF" w:themeFill="background1"/>
            <w:noWrap/>
            <w:hideMark/>
          </w:tcPr>
          <w:p w:rsidR="008B6AFD" w:rsidRPr="002D3263" w:rsidP="00EF4CBB" w14:paraId="518FEF08" w14:textId="77777777">
            <w:pPr>
              <w:keepNext/>
              <w:widowControl/>
              <w:rPr>
                <w:rFonts w:ascii="Calibri" w:hAnsi="Calibri"/>
                <w:color w:val="000000"/>
              </w:rPr>
            </w:pPr>
            <w:r w:rsidRPr="002D3263">
              <w:rPr>
                <w:rFonts w:ascii="Calibri" w:hAnsi="Calibri"/>
                <w:color w:val="000000"/>
              </w:rPr>
              <w:t>Active</w:t>
            </w:r>
          </w:p>
        </w:tc>
      </w:tr>
      <w:tr w14:paraId="21D07127" w14:textId="77777777" w:rsidTr="00902072">
        <w:tblPrEx>
          <w:tblW w:w="6668" w:type="dxa"/>
          <w:shd w:val="clear" w:color="auto" w:fill="FFFFFF" w:themeFill="background1"/>
          <w:tblLook w:val="04A0"/>
        </w:tblPrEx>
        <w:trPr>
          <w:cantSplit/>
          <w:trHeight w:val="300"/>
        </w:trPr>
        <w:tc>
          <w:tcPr>
            <w:tcW w:w="5448" w:type="dxa"/>
            <w:tcBorders>
              <w:top w:val="nil"/>
              <w:left w:val="single" w:sz="4" w:space="0" w:color="auto"/>
              <w:bottom w:val="nil"/>
              <w:right w:val="nil"/>
            </w:tcBorders>
            <w:shd w:val="clear" w:color="auto" w:fill="FFFFFF" w:themeFill="background1"/>
            <w:vAlign w:val="bottom"/>
          </w:tcPr>
          <w:p w:rsidR="008B6AFD" w:rsidRPr="002D3263" w:rsidP="00EF4CBB" w14:paraId="25366067" w14:textId="77777777">
            <w:pPr>
              <w:keepNext/>
              <w:widowControl/>
              <w:rPr>
                <w:rFonts w:ascii="Calibri" w:hAnsi="Calibri"/>
                <w:color w:val="000000"/>
              </w:rPr>
            </w:pPr>
            <w:r w:rsidRPr="002D3263">
              <w:rPr>
                <w:rFonts w:ascii="Calibri" w:hAnsi="Calibri"/>
                <w:color w:val="000000"/>
              </w:rPr>
              <w:t>Department of Education</w:t>
            </w:r>
          </w:p>
        </w:tc>
        <w:tc>
          <w:tcPr>
            <w:tcW w:w="1220" w:type="dxa"/>
            <w:tcBorders>
              <w:top w:val="nil"/>
              <w:left w:val="nil"/>
              <w:bottom w:val="nil"/>
              <w:right w:val="single" w:sz="4" w:space="0" w:color="auto"/>
            </w:tcBorders>
            <w:shd w:val="clear" w:color="auto" w:fill="FFFFFF" w:themeFill="background1"/>
            <w:noWrap/>
          </w:tcPr>
          <w:p w:rsidR="008B6AFD" w:rsidRPr="002D3263" w:rsidP="00EF4CBB" w14:paraId="321D1C38" w14:textId="77777777">
            <w:pPr>
              <w:keepNext/>
              <w:widowControl/>
              <w:rPr>
                <w:rFonts w:ascii="Calibri" w:hAnsi="Calibri"/>
                <w:color w:val="000000"/>
              </w:rPr>
            </w:pPr>
            <w:r w:rsidRPr="002D3263">
              <w:rPr>
                <w:rFonts w:ascii="Calibri" w:hAnsi="Calibri"/>
                <w:color w:val="000000"/>
              </w:rPr>
              <w:t>Not Active</w:t>
            </w:r>
          </w:p>
        </w:tc>
      </w:tr>
      <w:tr w14:paraId="3DAA2960" w14:textId="77777777" w:rsidTr="00902072">
        <w:tblPrEx>
          <w:tblW w:w="6668" w:type="dxa"/>
          <w:shd w:val="clear" w:color="auto" w:fill="FFFFFF" w:themeFill="background1"/>
          <w:tblLook w:val="04A0"/>
        </w:tblPrEx>
        <w:trPr>
          <w:cantSplit/>
          <w:trHeight w:val="300"/>
        </w:trPr>
        <w:tc>
          <w:tcPr>
            <w:tcW w:w="5448" w:type="dxa"/>
            <w:tcBorders>
              <w:top w:val="nil"/>
              <w:left w:val="single" w:sz="4" w:space="0" w:color="auto"/>
              <w:bottom w:val="nil"/>
              <w:right w:val="nil"/>
            </w:tcBorders>
            <w:shd w:val="clear" w:color="auto" w:fill="FFFFFF" w:themeFill="background1"/>
            <w:vAlign w:val="bottom"/>
            <w:hideMark/>
          </w:tcPr>
          <w:p w:rsidR="008B6AFD" w:rsidRPr="002D3263" w:rsidP="00EF4CBB" w14:paraId="5491B2B8" w14:textId="77777777">
            <w:pPr>
              <w:keepNext/>
              <w:widowControl/>
              <w:rPr>
                <w:rFonts w:ascii="Calibri" w:hAnsi="Calibri"/>
                <w:color w:val="000000"/>
              </w:rPr>
            </w:pPr>
            <w:r w:rsidRPr="002D3263">
              <w:rPr>
                <w:rFonts w:ascii="Calibri" w:hAnsi="Calibri"/>
                <w:color w:val="000000"/>
              </w:rPr>
              <w:t>Department of Energy (DOE)</w:t>
            </w:r>
          </w:p>
        </w:tc>
        <w:tc>
          <w:tcPr>
            <w:tcW w:w="1220" w:type="dxa"/>
            <w:tcBorders>
              <w:top w:val="nil"/>
              <w:left w:val="nil"/>
              <w:bottom w:val="nil"/>
              <w:right w:val="single" w:sz="4" w:space="0" w:color="auto"/>
            </w:tcBorders>
            <w:shd w:val="clear" w:color="auto" w:fill="FFFFFF" w:themeFill="background1"/>
            <w:noWrap/>
            <w:hideMark/>
          </w:tcPr>
          <w:p w:rsidR="008B6AFD" w:rsidRPr="002D3263" w:rsidP="00EF4CBB" w14:paraId="7482169B" w14:textId="77777777">
            <w:pPr>
              <w:keepNext/>
              <w:widowControl/>
              <w:rPr>
                <w:rFonts w:ascii="Calibri" w:hAnsi="Calibri"/>
                <w:color w:val="000000"/>
              </w:rPr>
            </w:pPr>
          </w:p>
        </w:tc>
      </w:tr>
      <w:tr w14:paraId="12AECF18" w14:textId="77777777" w:rsidTr="00902072">
        <w:tblPrEx>
          <w:tblW w:w="6668" w:type="dxa"/>
          <w:shd w:val="clear" w:color="auto" w:fill="FFFFFF" w:themeFill="background1"/>
          <w:tblLook w:val="04A0"/>
        </w:tblPrEx>
        <w:trPr>
          <w:cantSplit/>
          <w:trHeight w:val="300"/>
        </w:trPr>
        <w:tc>
          <w:tcPr>
            <w:tcW w:w="5448" w:type="dxa"/>
            <w:tcBorders>
              <w:top w:val="nil"/>
              <w:left w:val="single" w:sz="4" w:space="0" w:color="auto"/>
              <w:bottom w:val="nil"/>
              <w:right w:val="nil"/>
            </w:tcBorders>
            <w:shd w:val="clear" w:color="auto" w:fill="FFFFFF" w:themeFill="background1"/>
            <w:vAlign w:val="bottom"/>
            <w:hideMark/>
          </w:tcPr>
          <w:p w:rsidR="008B6AFD" w:rsidRPr="002D3263" w:rsidP="00EF4CBB" w14:paraId="44022576" w14:textId="77777777">
            <w:pPr>
              <w:keepNext/>
              <w:widowControl/>
              <w:ind w:firstLine="220" w:firstLineChars="100"/>
              <w:rPr>
                <w:rFonts w:ascii="Calibri" w:hAnsi="Calibri"/>
                <w:color w:val="000000"/>
              </w:rPr>
            </w:pPr>
            <w:r w:rsidRPr="002D3263">
              <w:rPr>
                <w:rFonts w:ascii="Calibri" w:hAnsi="Calibri"/>
                <w:color w:val="000000"/>
              </w:rPr>
              <w:t>Bonneville Power Administration (BPA)</w:t>
            </w:r>
          </w:p>
        </w:tc>
        <w:tc>
          <w:tcPr>
            <w:tcW w:w="1220" w:type="dxa"/>
            <w:tcBorders>
              <w:top w:val="nil"/>
              <w:left w:val="nil"/>
              <w:bottom w:val="nil"/>
              <w:right w:val="single" w:sz="4" w:space="0" w:color="auto"/>
            </w:tcBorders>
            <w:shd w:val="clear" w:color="auto" w:fill="FFFFFF" w:themeFill="background1"/>
            <w:noWrap/>
            <w:hideMark/>
          </w:tcPr>
          <w:p w:rsidR="008B6AFD" w:rsidRPr="002D3263" w:rsidP="00EF4CBB" w14:paraId="2163F4B0" w14:textId="77777777">
            <w:pPr>
              <w:keepNext/>
              <w:widowControl/>
              <w:rPr>
                <w:rFonts w:ascii="Calibri" w:hAnsi="Calibri"/>
                <w:color w:val="000000"/>
              </w:rPr>
            </w:pPr>
            <w:r w:rsidRPr="002D3263">
              <w:rPr>
                <w:rFonts w:ascii="Calibri" w:hAnsi="Calibri"/>
                <w:color w:val="000000"/>
              </w:rPr>
              <w:t>Active</w:t>
            </w:r>
          </w:p>
        </w:tc>
      </w:tr>
      <w:tr w14:paraId="6972A0BE" w14:textId="77777777" w:rsidTr="00902072">
        <w:tblPrEx>
          <w:tblW w:w="6668" w:type="dxa"/>
          <w:shd w:val="clear" w:color="auto" w:fill="FFFFFF" w:themeFill="background1"/>
          <w:tblLook w:val="04A0"/>
        </w:tblPrEx>
        <w:trPr>
          <w:cantSplit/>
          <w:trHeight w:val="300"/>
        </w:trPr>
        <w:tc>
          <w:tcPr>
            <w:tcW w:w="5448" w:type="dxa"/>
            <w:tcBorders>
              <w:top w:val="nil"/>
              <w:left w:val="single" w:sz="4" w:space="0" w:color="auto"/>
              <w:bottom w:val="nil"/>
              <w:right w:val="nil"/>
            </w:tcBorders>
            <w:shd w:val="clear" w:color="auto" w:fill="FFFFFF" w:themeFill="background1"/>
            <w:vAlign w:val="bottom"/>
            <w:hideMark/>
          </w:tcPr>
          <w:p w:rsidR="008B6AFD" w:rsidRPr="002D3263" w:rsidP="00EF4CBB" w14:paraId="574B8650" w14:textId="77777777">
            <w:pPr>
              <w:keepNext/>
              <w:widowControl/>
              <w:ind w:firstLine="220" w:firstLineChars="100"/>
              <w:rPr>
                <w:rFonts w:ascii="Calibri" w:hAnsi="Calibri"/>
                <w:color w:val="000000"/>
              </w:rPr>
            </w:pPr>
            <w:r w:rsidRPr="002D3263">
              <w:rPr>
                <w:rFonts w:ascii="Calibri" w:hAnsi="Calibri"/>
                <w:color w:val="000000"/>
              </w:rPr>
              <w:t>Southwestern Power Administration (SWPA)</w:t>
            </w:r>
          </w:p>
        </w:tc>
        <w:tc>
          <w:tcPr>
            <w:tcW w:w="1220" w:type="dxa"/>
            <w:tcBorders>
              <w:top w:val="nil"/>
              <w:left w:val="nil"/>
              <w:bottom w:val="nil"/>
              <w:right w:val="single" w:sz="4" w:space="0" w:color="auto"/>
            </w:tcBorders>
            <w:shd w:val="clear" w:color="auto" w:fill="FFFFFF" w:themeFill="background1"/>
            <w:noWrap/>
            <w:hideMark/>
          </w:tcPr>
          <w:p w:rsidR="008B6AFD" w:rsidRPr="002D3263" w:rsidP="00EF4CBB" w14:paraId="076C868E" w14:textId="77777777">
            <w:pPr>
              <w:keepNext/>
              <w:widowControl/>
              <w:rPr>
                <w:rFonts w:ascii="Calibri" w:hAnsi="Calibri"/>
                <w:color w:val="000000"/>
              </w:rPr>
            </w:pPr>
            <w:r w:rsidRPr="002D3263">
              <w:rPr>
                <w:rFonts w:ascii="Calibri" w:hAnsi="Calibri"/>
                <w:color w:val="000000"/>
              </w:rPr>
              <w:t>Active</w:t>
            </w:r>
          </w:p>
        </w:tc>
      </w:tr>
      <w:tr w14:paraId="2398428F" w14:textId="77777777" w:rsidTr="00902072">
        <w:tblPrEx>
          <w:tblW w:w="6668" w:type="dxa"/>
          <w:shd w:val="clear" w:color="auto" w:fill="FFFFFF" w:themeFill="background1"/>
          <w:tblLook w:val="04A0"/>
        </w:tblPrEx>
        <w:trPr>
          <w:cantSplit/>
          <w:trHeight w:val="300"/>
        </w:trPr>
        <w:tc>
          <w:tcPr>
            <w:tcW w:w="5448" w:type="dxa"/>
            <w:tcBorders>
              <w:top w:val="nil"/>
              <w:left w:val="single" w:sz="4" w:space="0" w:color="auto"/>
              <w:bottom w:val="nil"/>
              <w:right w:val="nil"/>
            </w:tcBorders>
            <w:shd w:val="clear" w:color="auto" w:fill="FFFFFF" w:themeFill="background1"/>
            <w:vAlign w:val="bottom"/>
            <w:hideMark/>
          </w:tcPr>
          <w:p w:rsidR="008B6AFD" w:rsidRPr="002D3263" w:rsidP="00EF4CBB" w14:paraId="6D8D8AD6" w14:textId="77777777">
            <w:pPr>
              <w:keepNext/>
              <w:widowControl/>
              <w:ind w:firstLine="220" w:firstLineChars="100"/>
              <w:rPr>
                <w:rFonts w:ascii="Calibri" w:hAnsi="Calibri"/>
                <w:color w:val="000000"/>
              </w:rPr>
            </w:pPr>
            <w:r w:rsidRPr="002D3263">
              <w:rPr>
                <w:rFonts w:ascii="Calibri" w:hAnsi="Calibri"/>
                <w:color w:val="000000"/>
              </w:rPr>
              <w:t>Western Area Power Administration (WAPA)</w:t>
            </w:r>
          </w:p>
        </w:tc>
        <w:tc>
          <w:tcPr>
            <w:tcW w:w="1220" w:type="dxa"/>
            <w:tcBorders>
              <w:top w:val="nil"/>
              <w:left w:val="nil"/>
              <w:bottom w:val="nil"/>
              <w:right w:val="single" w:sz="4" w:space="0" w:color="auto"/>
            </w:tcBorders>
            <w:shd w:val="clear" w:color="auto" w:fill="FFFFFF" w:themeFill="background1"/>
            <w:noWrap/>
            <w:hideMark/>
          </w:tcPr>
          <w:p w:rsidR="008B6AFD" w:rsidRPr="002D3263" w:rsidP="00EF4CBB" w14:paraId="6A143092" w14:textId="77777777">
            <w:pPr>
              <w:keepNext/>
              <w:widowControl/>
              <w:rPr>
                <w:rFonts w:ascii="Calibri" w:hAnsi="Calibri"/>
                <w:color w:val="000000"/>
              </w:rPr>
            </w:pPr>
            <w:r w:rsidRPr="002D3263">
              <w:rPr>
                <w:rFonts w:ascii="Calibri" w:hAnsi="Calibri"/>
                <w:color w:val="000000"/>
              </w:rPr>
              <w:t>Active</w:t>
            </w:r>
          </w:p>
        </w:tc>
      </w:tr>
      <w:tr w14:paraId="5F4BDA11" w14:textId="77777777" w:rsidTr="00902072">
        <w:tblPrEx>
          <w:tblW w:w="6668" w:type="dxa"/>
          <w:shd w:val="clear" w:color="auto" w:fill="FFFFFF" w:themeFill="background1"/>
          <w:tblLook w:val="04A0"/>
        </w:tblPrEx>
        <w:trPr>
          <w:cantSplit/>
          <w:trHeight w:val="300"/>
        </w:trPr>
        <w:tc>
          <w:tcPr>
            <w:tcW w:w="5448" w:type="dxa"/>
            <w:tcBorders>
              <w:top w:val="nil"/>
              <w:left w:val="single" w:sz="4" w:space="0" w:color="auto"/>
              <w:bottom w:val="nil"/>
              <w:right w:val="nil"/>
            </w:tcBorders>
            <w:shd w:val="clear" w:color="auto" w:fill="FFFFFF" w:themeFill="background1"/>
            <w:vAlign w:val="bottom"/>
            <w:hideMark/>
          </w:tcPr>
          <w:p w:rsidR="008B6AFD" w:rsidRPr="002D3263" w:rsidP="00EF4CBB" w14:paraId="233E228C" w14:textId="77777777">
            <w:pPr>
              <w:keepNext/>
              <w:widowControl/>
              <w:rPr>
                <w:rFonts w:ascii="Calibri" w:hAnsi="Calibri"/>
                <w:color w:val="000000"/>
              </w:rPr>
            </w:pPr>
            <w:r w:rsidRPr="002D3263">
              <w:rPr>
                <w:rFonts w:ascii="Calibri" w:hAnsi="Calibri"/>
                <w:color w:val="000000"/>
              </w:rPr>
              <w:t>Department of Health and Human Services (HHS)</w:t>
            </w:r>
          </w:p>
        </w:tc>
        <w:tc>
          <w:tcPr>
            <w:tcW w:w="1220" w:type="dxa"/>
            <w:tcBorders>
              <w:top w:val="nil"/>
              <w:left w:val="nil"/>
              <w:bottom w:val="nil"/>
              <w:right w:val="single" w:sz="4" w:space="0" w:color="auto"/>
            </w:tcBorders>
            <w:shd w:val="clear" w:color="auto" w:fill="FFFFFF" w:themeFill="background1"/>
            <w:noWrap/>
            <w:hideMark/>
          </w:tcPr>
          <w:p w:rsidR="008B6AFD" w:rsidRPr="002D3263" w:rsidP="00EF4CBB" w14:paraId="21C009FC" w14:textId="77777777">
            <w:pPr>
              <w:keepNext/>
              <w:widowControl/>
              <w:rPr>
                <w:rFonts w:ascii="Calibri" w:hAnsi="Calibri"/>
                <w:color w:val="000000"/>
              </w:rPr>
            </w:pPr>
            <w:r w:rsidRPr="002D3263">
              <w:rPr>
                <w:rFonts w:ascii="Calibri" w:hAnsi="Calibri"/>
                <w:color w:val="000000"/>
              </w:rPr>
              <w:t>Not Active</w:t>
            </w:r>
          </w:p>
        </w:tc>
      </w:tr>
      <w:tr w14:paraId="4908392D" w14:textId="77777777" w:rsidTr="003C0537">
        <w:tblPrEx>
          <w:tblW w:w="6668" w:type="dxa"/>
          <w:shd w:val="clear" w:color="auto" w:fill="FFFFFF" w:themeFill="background1"/>
          <w:tblLook w:val="04A0"/>
        </w:tblPrEx>
        <w:trPr>
          <w:cantSplit/>
          <w:trHeight w:val="300"/>
        </w:trPr>
        <w:tc>
          <w:tcPr>
            <w:tcW w:w="5448" w:type="dxa"/>
            <w:tcBorders>
              <w:top w:val="nil"/>
              <w:left w:val="single" w:sz="4" w:space="0" w:color="auto"/>
              <w:bottom w:val="nil"/>
              <w:right w:val="nil"/>
            </w:tcBorders>
            <w:shd w:val="clear" w:color="auto" w:fill="FFFFFF" w:themeFill="background1"/>
            <w:vAlign w:val="bottom"/>
          </w:tcPr>
          <w:p w:rsidR="008B6AFD" w:rsidRPr="002D3263" w:rsidP="00EF4CBB" w14:paraId="7BF9AFFD" w14:textId="77777777">
            <w:pPr>
              <w:keepNext/>
              <w:widowControl/>
              <w:rPr>
                <w:rFonts w:ascii="Calibri" w:hAnsi="Calibri"/>
                <w:color w:val="000000"/>
              </w:rPr>
            </w:pPr>
            <w:r w:rsidRPr="002D3263">
              <w:rPr>
                <w:rFonts w:ascii="Calibri" w:hAnsi="Calibri"/>
                <w:color w:val="000000"/>
              </w:rPr>
              <w:t>Department of Housing and Urban Development (HUD)</w:t>
            </w:r>
          </w:p>
        </w:tc>
        <w:tc>
          <w:tcPr>
            <w:tcW w:w="1220" w:type="dxa"/>
            <w:tcBorders>
              <w:top w:val="nil"/>
              <w:left w:val="nil"/>
              <w:bottom w:val="nil"/>
              <w:right w:val="single" w:sz="4" w:space="0" w:color="auto"/>
            </w:tcBorders>
            <w:shd w:val="clear" w:color="auto" w:fill="FFFFFF" w:themeFill="background1"/>
            <w:noWrap/>
            <w:hideMark/>
          </w:tcPr>
          <w:p w:rsidR="008B6AFD" w:rsidRPr="002D3263" w:rsidP="00EF4CBB" w14:paraId="34E179BE" w14:textId="77777777">
            <w:pPr>
              <w:keepNext/>
              <w:widowControl/>
              <w:rPr>
                <w:rFonts w:ascii="Calibri" w:hAnsi="Calibri"/>
                <w:color w:val="000000"/>
              </w:rPr>
            </w:pPr>
            <w:r w:rsidRPr="002D3263">
              <w:rPr>
                <w:rFonts w:ascii="Calibri" w:hAnsi="Calibri"/>
                <w:color w:val="000000"/>
              </w:rPr>
              <w:t>Active</w:t>
            </w:r>
          </w:p>
        </w:tc>
      </w:tr>
      <w:tr w14:paraId="4C34E32D" w14:textId="77777777" w:rsidTr="00902072">
        <w:tblPrEx>
          <w:tblW w:w="6668" w:type="dxa"/>
          <w:shd w:val="clear" w:color="auto" w:fill="FFFFFF" w:themeFill="background1"/>
          <w:tblLook w:val="04A0"/>
        </w:tblPrEx>
        <w:trPr>
          <w:cantSplit/>
          <w:trHeight w:val="300"/>
        </w:trPr>
        <w:tc>
          <w:tcPr>
            <w:tcW w:w="5448" w:type="dxa"/>
            <w:tcBorders>
              <w:top w:val="nil"/>
              <w:left w:val="single" w:sz="4" w:space="0" w:color="auto"/>
              <w:bottom w:val="nil"/>
              <w:right w:val="nil"/>
            </w:tcBorders>
            <w:shd w:val="clear" w:color="auto" w:fill="FFFFFF" w:themeFill="background1"/>
            <w:vAlign w:val="bottom"/>
            <w:hideMark/>
          </w:tcPr>
          <w:p w:rsidR="008B6AFD" w:rsidRPr="002D3263" w:rsidP="00EF4CBB" w14:paraId="5B86544E" w14:textId="77777777">
            <w:pPr>
              <w:keepNext/>
              <w:widowControl/>
              <w:rPr>
                <w:rFonts w:ascii="Calibri" w:hAnsi="Calibri"/>
                <w:color w:val="000000"/>
              </w:rPr>
            </w:pPr>
            <w:r w:rsidRPr="002D3263">
              <w:rPr>
                <w:rFonts w:ascii="Calibri" w:hAnsi="Calibri"/>
                <w:color w:val="000000"/>
              </w:rPr>
              <w:t>Department of Homeland Security (DHS)</w:t>
            </w:r>
          </w:p>
        </w:tc>
        <w:tc>
          <w:tcPr>
            <w:tcW w:w="1220" w:type="dxa"/>
            <w:tcBorders>
              <w:top w:val="nil"/>
              <w:left w:val="nil"/>
              <w:bottom w:val="nil"/>
              <w:right w:val="single" w:sz="4" w:space="0" w:color="auto"/>
            </w:tcBorders>
            <w:shd w:val="clear" w:color="auto" w:fill="FFFFFF" w:themeFill="background1"/>
            <w:noWrap/>
            <w:hideMark/>
          </w:tcPr>
          <w:p w:rsidR="008B6AFD" w:rsidRPr="002D3263" w:rsidP="00EF4CBB" w14:paraId="4B5D0FD3" w14:textId="77777777">
            <w:pPr>
              <w:keepNext/>
              <w:widowControl/>
              <w:rPr>
                <w:rFonts w:ascii="Calibri" w:hAnsi="Calibri"/>
                <w:color w:val="000000"/>
              </w:rPr>
            </w:pPr>
          </w:p>
        </w:tc>
      </w:tr>
      <w:tr w14:paraId="3DF37E8E" w14:textId="77777777" w:rsidTr="004A046B">
        <w:tblPrEx>
          <w:tblW w:w="6668" w:type="dxa"/>
          <w:shd w:val="clear" w:color="auto" w:fill="FFFFFF" w:themeFill="background1"/>
          <w:tblLook w:val="04A0"/>
        </w:tblPrEx>
        <w:trPr>
          <w:cantSplit/>
          <w:trHeight w:val="300"/>
        </w:trPr>
        <w:tc>
          <w:tcPr>
            <w:tcW w:w="5448" w:type="dxa"/>
            <w:tcBorders>
              <w:top w:val="nil"/>
              <w:left w:val="single" w:sz="4" w:space="0" w:color="auto"/>
              <w:bottom w:val="nil"/>
              <w:right w:val="nil"/>
            </w:tcBorders>
            <w:shd w:val="clear" w:color="auto" w:fill="FFFFFF" w:themeFill="background1"/>
            <w:vAlign w:val="center"/>
          </w:tcPr>
          <w:p w:rsidR="008B6AFD" w:rsidRPr="002D3263" w:rsidP="00EF4CBB" w14:paraId="23FC00CD" w14:textId="77777777">
            <w:pPr>
              <w:keepNext/>
              <w:widowControl/>
              <w:ind w:firstLine="220" w:firstLineChars="100"/>
              <w:rPr>
                <w:rFonts w:ascii="Calibri" w:hAnsi="Calibri"/>
                <w:color w:val="000000"/>
              </w:rPr>
            </w:pPr>
            <w:r w:rsidRPr="002D3263">
              <w:rPr>
                <w:rFonts w:ascii="Calibri" w:hAnsi="Calibri"/>
                <w:color w:val="000000"/>
              </w:rPr>
              <w:t>U</w:t>
            </w:r>
            <w:r w:rsidRPr="002D3263" w:rsidR="00D171D2">
              <w:rPr>
                <w:rFonts w:ascii="Calibri" w:hAnsi="Calibri"/>
                <w:color w:val="000000"/>
              </w:rPr>
              <w:t>.</w:t>
            </w:r>
            <w:r w:rsidRPr="002D3263">
              <w:rPr>
                <w:rFonts w:ascii="Calibri" w:hAnsi="Calibri"/>
                <w:color w:val="000000"/>
              </w:rPr>
              <w:t>S</w:t>
            </w:r>
            <w:r w:rsidRPr="002D3263" w:rsidR="00D171D2">
              <w:rPr>
                <w:rFonts w:ascii="Calibri" w:hAnsi="Calibri"/>
                <w:color w:val="000000"/>
              </w:rPr>
              <w:t>.</w:t>
            </w:r>
            <w:r w:rsidRPr="002D3263">
              <w:rPr>
                <w:rFonts w:ascii="Calibri" w:hAnsi="Calibri"/>
                <w:color w:val="000000"/>
              </w:rPr>
              <w:t xml:space="preserve"> Coast Guard</w:t>
            </w:r>
          </w:p>
        </w:tc>
        <w:tc>
          <w:tcPr>
            <w:tcW w:w="1220" w:type="dxa"/>
            <w:tcBorders>
              <w:top w:val="nil"/>
              <w:left w:val="nil"/>
              <w:bottom w:val="nil"/>
              <w:right w:val="single" w:sz="4" w:space="0" w:color="auto"/>
            </w:tcBorders>
            <w:shd w:val="clear" w:color="auto" w:fill="FFFFFF" w:themeFill="background1"/>
            <w:noWrap/>
            <w:hideMark/>
          </w:tcPr>
          <w:p w:rsidR="008B6AFD" w:rsidRPr="002D3263" w:rsidP="00EF4CBB" w14:paraId="15B78EF1" w14:textId="77777777">
            <w:pPr>
              <w:keepNext/>
              <w:widowControl/>
              <w:rPr>
                <w:rFonts w:ascii="Calibri" w:hAnsi="Calibri"/>
                <w:color w:val="000000"/>
              </w:rPr>
            </w:pPr>
            <w:r w:rsidRPr="002D3263">
              <w:rPr>
                <w:rFonts w:ascii="Calibri" w:hAnsi="Calibri"/>
                <w:color w:val="000000"/>
              </w:rPr>
              <w:t>Not Active</w:t>
            </w:r>
          </w:p>
        </w:tc>
      </w:tr>
      <w:tr w14:paraId="7ECB1667" w14:textId="77777777" w:rsidTr="00902072">
        <w:tblPrEx>
          <w:tblW w:w="6668" w:type="dxa"/>
          <w:shd w:val="clear" w:color="auto" w:fill="FFFFFF" w:themeFill="background1"/>
          <w:tblLook w:val="04A0"/>
        </w:tblPrEx>
        <w:trPr>
          <w:cantSplit/>
          <w:trHeight w:val="300"/>
        </w:trPr>
        <w:tc>
          <w:tcPr>
            <w:tcW w:w="5448" w:type="dxa"/>
            <w:tcBorders>
              <w:top w:val="nil"/>
              <w:left w:val="single" w:sz="4" w:space="0" w:color="auto"/>
              <w:bottom w:val="nil"/>
              <w:right w:val="nil"/>
            </w:tcBorders>
            <w:shd w:val="clear" w:color="auto" w:fill="FFFFFF" w:themeFill="background1"/>
            <w:vAlign w:val="center"/>
            <w:hideMark/>
          </w:tcPr>
          <w:p w:rsidR="008B6AFD" w:rsidRPr="002D3263" w:rsidP="00EF4CBB" w14:paraId="414AE09B" w14:textId="77777777">
            <w:pPr>
              <w:keepNext/>
              <w:widowControl/>
              <w:ind w:firstLine="220" w:firstLineChars="100"/>
              <w:rPr>
                <w:rFonts w:ascii="Calibri" w:hAnsi="Calibri"/>
                <w:color w:val="000000"/>
              </w:rPr>
            </w:pPr>
            <w:r w:rsidRPr="002D3263">
              <w:rPr>
                <w:rFonts w:ascii="Calibri" w:hAnsi="Calibri"/>
                <w:color w:val="000000"/>
              </w:rPr>
              <w:t>FEMA</w:t>
            </w:r>
          </w:p>
        </w:tc>
        <w:tc>
          <w:tcPr>
            <w:tcW w:w="1220" w:type="dxa"/>
            <w:tcBorders>
              <w:top w:val="nil"/>
              <w:left w:val="nil"/>
              <w:bottom w:val="nil"/>
              <w:right w:val="single" w:sz="4" w:space="0" w:color="auto"/>
            </w:tcBorders>
            <w:shd w:val="clear" w:color="auto" w:fill="FFFFFF" w:themeFill="background1"/>
            <w:noWrap/>
            <w:hideMark/>
          </w:tcPr>
          <w:p w:rsidR="008B6AFD" w:rsidRPr="002D3263" w:rsidP="00EF4CBB" w14:paraId="70977E09" w14:textId="77777777">
            <w:pPr>
              <w:keepNext/>
              <w:widowControl/>
              <w:rPr>
                <w:rFonts w:ascii="Calibri" w:hAnsi="Calibri"/>
                <w:color w:val="000000"/>
              </w:rPr>
            </w:pPr>
            <w:r w:rsidRPr="002D3263">
              <w:rPr>
                <w:rFonts w:ascii="Calibri" w:hAnsi="Calibri"/>
                <w:color w:val="000000"/>
              </w:rPr>
              <w:t>Active</w:t>
            </w:r>
          </w:p>
        </w:tc>
      </w:tr>
      <w:tr w14:paraId="6AF42C14" w14:textId="77777777" w:rsidTr="00902072">
        <w:tblPrEx>
          <w:tblW w:w="6668" w:type="dxa"/>
          <w:shd w:val="clear" w:color="auto" w:fill="FFFFFF" w:themeFill="background1"/>
          <w:tblLook w:val="04A0"/>
        </w:tblPrEx>
        <w:trPr>
          <w:cantSplit/>
          <w:trHeight w:val="300"/>
        </w:trPr>
        <w:tc>
          <w:tcPr>
            <w:tcW w:w="5448" w:type="dxa"/>
            <w:tcBorders>
              <w:top w:val="nil"/>
              <w:left w:val="single" w:sz="4" w:space="0" w:color="auto"/>
              <w:bottom w:val="nil"/>
              <w:right w:val="nil"/>
            </w:tcBorders>
            <w:shd w:val="clear" w:color="auto" w:fill="FFFFFF" w:themeFill="background1"/>
            <w:vAlign w:val="bottom"/>
            <w:hideMark/>
          </w:tcPr>
          <w:p w:rsidR="008B6AFD" w:rsidRPr="002D3263" w:rsidP="00EF4CBB" w14:paraId="5027666D" w14:textId="77777777">
            <w:pPr>
              <w:keepNext/>
              <w:widowControl/>
              <w:rPr>
                <w:rFonts w:ascii="Calibri" w:hAnsi="Calibri"/>
                <w:color w:val="000000"/>
              </w:rPr>
            </w:pPr>
            <w:r w:rsidRPr="002D3263">
              <w:rPr>
                <w:rFonts w:ascii="Calibri" w:hAnsi="Calibri"/>
                <w:color w:val="000000"/>
              </w:rPr>
              <w:t>Department of Interior (DOI)</w:t>
            </w:r>
          </w:p>
        </w:tc>
        <w:tc>
          <w:tcPr>
            <w:tcW w:w="1220" w:type="dxa"/>
            <w:tcBorders>
              <w:top w:val="nil"/>
              <w:left w:val="nil"/>
              <w:bottom w:val="nil"/>
              <w:right w:val="single" w:sz="4" w:space="0" w:color="auto"/>
            </w:tcBorders>
            <w:shd w:val="clear" w:color="auto" w:fill="FFFFFF" w:themeFill="background1"/>
            <w:noWrap/>
            <w:hideMark/>
          </w:tcPr>
          <w:p w:rsidR="008B6AFD" w:rsidRPr="002D3263" w:rsidP="00EF4CBB" w14:paraId="12914AED" w14:textId="77777777">
            <w:pPr>
              <w:keepNext/>
              <w:widowControl/>
              <w:rPr>
                <w:rFonts w:ascii="Calibri" w:hAnsi="Calibri"/>
                <w:color w:val="000000"/>
              </w:rPr>
            </w:pPr>
          </w:p>
        </w:tc>
      </w:tr>
      <w:tr w14:paraId="47B9D56D" w14:textId="77777777" w:rsidTr="00902072">
        <w:tblPrEx>
          <w:tblW w:w="6668" w:type="dxa"/>
          <w:shd w:val="clear" w:color="auto" w:fill="FFFFFF" w:themeFill="background1"/>
          <w:tblLook w:val="04A0"/>
        </w:tblPrEx>
        <w:trPr>
          <w:cantSplit/>
          <w:trHeight w:val="300"/>
        </w:trPr>
        <w:tc>
          <w:tcPr>
            <w:tcW w:w="5448" w:type="dxa"/>
            <w:tcBorders>
              <w:top w:val="nil"/>
              <w:left w:val="single" w:sz="4" w:space="0" w:color="auto"/>
              <w:bottom w:val="nil"/>
              <w:right w:val="nil"/>
            </w:tcBorders>
            <w:shd w:val="clear" w:color="auto" w:fill="FFFFFF" w:themeFill="background1"/>
            <w:vAlign w:val="bottom"/>
          </w:tcPr>
          <w:p w:rsidR="008B6AFD" w:rsidRPr="002D3263" w:rsidP="00EF4CBB" w14:paraId="344BEE22" w14:textId="60864FEB">
            <w:pPr>
              <w:keepNext/>
              <w:widowControl/>
              <w:ind w:firstLine="220" w:firstLineChars="100"/>
              <w:rPr>
                <w:rFonts w:ascii="Calibri" w:hAnsi="Calibri"/>
                <w:color w:val="000000"/>
              </w:rPr>
            </w:pPr>
            <w:r w:rsidRPr="002D3263">
              <w:rPr>
                <w:rFonts w:ascii="Calibri" w:hAnsi="Calibri"/>
                <w:color w:val="000000"/>
              </w:rPr>
              <w:t>Bureau of Reclamation (</w:t>
            </w:r>
            <w:r w:rsidRPr="002D3263" w:rsidR="00BD081B">
              <w:rPr>
                <w:rFonts w:ascii="Calibri" w:hAnsi="Calibri"/>
                <w:color w:val="000000"/>
              </w:rPr>
              <w:t>US</w:t>
            </w:r>
            <w:r w:rsidRPr="002D3263">
              <w:rPr>
                <w:rFonts w:ascii="Calibri" w:hAnsi="Calibri"/>
                <w:color w:val="000000"/>
              </w:rPr>
              <w:t>BR)</w:t>
            </w:r>
          </w:p>
        </w:tc>
        <w:tc>
          <w:tcPr>
            <w:tcW w:w="1220" w:type="dxa"/>
            <w:tcBorders>
              <w:top w:val="nil"/>
              <w:left w:val="nil"/>
              <w:bottom w:val="nil"/>
              <w:right w:val="single" w:sz="4" w:space="0" w:color="auto"/>
            </w:tcBorders>
            <w:shd w:val="clear" w:color="auto" w:fill="FFFFFF" w:themeFill="background1"/>
            <w:noWrap/>
          </w:tcPr>
          <w:p w:rsidR="008B6AFD" w:rsidRPr="002D3263" w:rsidP="00EF4CBB" w14:paraId="5FFB535C" w14:textId="77777777">
            <w:pPr>
              <w:keepNext/>
              <w:widowControl/>
              <w:rPr>
                <w:rFonts w:ascii="Calibri" w:hAnsi="Calibri"/>
                <w:color w:val="000000"/>
              </w:rPr>
            </w:pPr>
            <w:r w:rsidRPr="002D3263">
              <w:rPr>
                <w:rFonts w:ascii="Calibri" w:hAnsi="Calibri"/>
                <w:color w:val="000000"/>
              </w:rPr>
              <w:t>Active</w:t>
            </w:r>
          </w:p>
        </w:tc>
      </w:tr>
      <w:tr w14:paraId="2776351F" w14:textId="77777777" w:rsidTr="00902072">
        <w:tblPrEx>
          <w:tblW w:w="6668" w:type="dxa"/>
          <w:shd w:val="clear" w:color="auto" w:fill="FFFFFF" w:themeFill="background1"/>
          <w:tblLook w:val="04A0"/>
        </w:tblPrEx>
        <w:trPr>
          <w:cantSplit/>
          <w:trHeight w:val="300"/>
        </w:trPr>
        <w:tc>
          <w:tcPr>
            <w:tcW w:w="5448" w:type="dxa"/>
            <w:tcBorders>
              <w:top w:val="nil"/>
              <w:left w:val="single" w:sz="4" w:space="0" w:color="auto"/>
              <w:bottom w:val="nil"/>
              <w:right w:val="nil"/>
            </w:tcBorders>
            <w:shd w:val="clear" w:color="auto" w:fill="FFFFFF" w:themeFill="background1"/>
            <w:vAlign w:val="bottom"/>
          </w:tcPr>
          <w:p w:rsidR="008B6AFD" w:rsidRPr="002D3263" w:rsidP="00EF4CBB" w14:paraId="3F3D8ABE" w14:textId="77777777">
            <w:pPr>
              <w:keepNext/>
              <w:widowControl/>
              <w:ind w:firstLine="220" w:firstLineChars="100"/>
              <w:rPr>
                <w:rFonts w:ascii="Calibri" w:hAnsi="Calibri"/>
                <w:color w:val="000000"/>
              </w:rPr>
            </w:pPr>
            <w:r w:rsidRPr="002D3263">
              <w:rPr>
                <w:rFonts w:ascii="Calibri" w:hAnsi="Calibri"/>
                <w:color w:val="000000"/>
              </w:rPr>
              <w:t>Bureau of Land Management (BLM)</w:t>
            </w:r>
          </w:p>
        </w:tc>
        <w:tc>
          <w:tcPr>
            <w:tcW w:w="1220" w:type="dxa"/>
            <w:tcBorders>
              <w:top w:val="nil"/>
              <w:left w:val="nil"/>
              <w:bottom w:val="nil"/>
              <w:right w:val="single" w:sz="4" w:space="0" w:color="auto"/>
            </w:tcBorders>
            <w:shd w:val="clear" w:color="auto" w:fill="FFFFFF" w:themeFill="background1"/>
            <w:noWrap/>
          </w:tcPr>
          <w:p w:rsidR="008B6AFD" w:rsidRPr="002D3263" w:rsidP="00EF4CBB" w14:paraId="37007430" w14:textId="77777777">
            <w:pPr>
              <w:keepNext/>
              <w:widowControl/>
              <w:rPr>
                <w:rFonts w:ascii="Calibri" w:hAnsi="Calibri"/>
                <w:color w:val="000000"/>
              </w:rPr>
            </w:pPr>
            <w:r w:rsidRPr="002D3263">
              <w:rPr>
                <w:rFonts w:ascii="Calibri" w:hAnsi="Calibri"/>
                <w:color w:val="000000"/>
              </w:rPr>
              <w:t>Active</w:t>
            </w:r>
          </w:p>
        </w:tc>
      </w:tr>
      <w:tr w14:paraId="3D310FE1" w14:textId="77777777" w:rsidTr="00902072">
        <w:tblPrEx>
          <w:tblW w:w="6668" w:type="dxa"/>
          <w:shd w:val="clear" w:color="auto" w:fill="FFFFFF" w:themeFill="background1"/>
          <w:tblLook w:val="04A0"/>
        </w:tblPrEx>
        <w:trPr>
          <w:cantSplit/>
          <w:trHeight w:val="300"/>
        </w:trPr>
        <w:tc>
          <w:tcPr>
            <w:tcW w:w="5448" w:type="dxa"/>
            <w:tcBorders>
              <w:top w:val="nil"/>
              <w:left w:val="single" w:sz="4" w:space="0" w:color="auto"/>
              <w:bottom w:val="nil"/>
              <w:right w:val="nil"/>
            </w:tcBorders>
            <w:shd w:val="clear" w:color="auto" w:fill="FFFFFF" w:themeFill="background1"/>
            <w:vAlign w:val="bottom"/>
          </w:tcPr>
          <w:p w:rsidR="008B6AFD" w:rsidRPr="002D3263" w:rsidP="00EF4CBB" w14:paraId="7CE0BE60" w14:textId="77777777">
            <w:pPr>
              <w:keepNext/>
              <w:widowControl/>
              <w:ind w:firstLine="220" w:firstLineChars="100"/>
              <w:rPr>
                <w:rFonts w:ascii="Calibri" w:hAnsi="Calibri"/>
                <w:color w:val="000000"/>
              </w:rPr>
            </w:pPr>
            <w:r w:rsidRPr="002D3263">
              <w:rPr>
                <w:rFonts w:ascii="Calibri" w:hAnsi="Calibri"/>
                <w:color w:val="000000"/>
              </w:rPr>
              <w:t>Fish and Wildlife Service (FWS)</w:t>
            </w:r>
          </w:p>
        </w:tc>
        <w:tc>
          <w:tcPr>
            <w:tcW w:w="1220" w:type="dxa"/>
            <w:tcBorders>
              <w:top w:val="nil"/>
              <w:left w:val="nil"/>
              <w:bottom w:val="nil"/>
              <w:right w:val="single" w:sz="4" w:space="0" w:color="auto"/>
            </w:tcBorders>
            <w:shd w:val="clear" w:color="auto" w:fill="FFFFFF" w:themeFill="background1"/>
            <w:noWrap/>
          </w:tcPr>
          <w:p w:rsidR="008B6AFD" w:rsidRPr="002D3263" w:rsidP="00EF4CBB" w14:paraId="54F45A17" w14:textId="77777777">
            <w:pPr>
              <w:keepNext/>
              <w:widowControl/>
              <w:rPr>
                <w:rFonts w:ascii="Calibri" w:hAnsi="Calibri"/>
                <w:color w:val="000000"/>
              </w:rPr>
            </w:pPr>
            <w:r w:rsidRPr="002D3263">
              <w:rPr>
                <w:rFonts w:ascii="Calibri" w:hAnsi="Calibri"/>
                <w:color w:val="000000"/>
              </w:rPr>
              <w:t>Active</w:t>
            </w:r>
          </w:p>
        </w:tc>
      </w:tr>
      <w:tr w14:paraId="3449326E" w14:textId="77777777" w:rsidTr="00902072">
        <w:tblPrEx>
          <w:tblW w:w="6668" w:type="dxa"/>
          <w:shd w:val="clear" w:color="auto" w:fill="FFFFFF" w:themeFill="background1"/>
          <w:tblLook w:val="04A0"/>
        </w:tblPrEx>
        <w:trPr>
          <w:cantSplit/>
          <w:trHeight w:val="300"/>
        </w:trPr>
        <w:tc>
          <w:tcPr>
            <w:tcW w:w="5448" w:type="dxa"/>
            <w:tcBorders>
              <w:top w:val="nil"/>
              <w:left w:val="single" w:sz="4" w:space="0" w:color="auto"/>
              <w:bottom w:val="nil"/>
              <w:right w:val="nil"/>
            </w:tcBorders>
            <w:shd w:val="clear" w:color="auto" w:fill="FFFFFF" w:themeFill="background1"/>
            <w:vAlign w:val="bottom"/>
          </w:tcPr>
          <w:p w:rsidR="008B6AFD" w:rsidRPr="002D3263" w:rsidP="00EF4CBB" w14:paraId="1E3AF751" w14:textId="77777777">
            <w:pPr>
              <w:keepNext/>
              <w:widowControl/>
              <w:ind w:firstLine="220" w:firstLineChars="100"/>
              <w:rPr>
                <w:rFonts w:ascii="Calibri" w:hAnsi="Calibri"/>
                <w:color w:val="000000"/>
              </w:rPr>
            </w:pPr>
            <w:r w:rsidRPr="002D3263">
              <w:rPr>
                <w:rFonts w:ascii="Calibri" w:hAnsi="Calibri"/>
                <w:color w:val="000000"/>
              </w:rPr>
              <w:t>National Park Service (NPS)</w:t>
            </w:r>
          </w:p>
        </w:tc>
        <w:tc>
          <w:tcPr>
            <w:tcW w:w="1220" w:type="dxa"/>
            <w:tcBorders>
              <w:top w:val="nil"/>
              <w:left w:val="nil"/>
              <w:bottom w:val="nil"/>
              <w:right w:val="single" w:sz="4" w:space="0" w:color="auto"/>
            </w:tcBorders>
            <w:shd w:val="clear" w:color="auto" w:fill="FFFFFF" w:themeFill="background1"/>
            <w:noWrap/>
          </w:tcPr>
          <w:p w:rsidR="008B6AFD" w:rsidRPr="002D3263" w:rsidP="00EF4CBB" w14:paraId="572EAA54" w14:textId="77777777">
            <w:pPr>
              <w:keepNext/>
              <w:widowControl/>
              <w:rPr>
                <w:rFonts w:ascii="Calibri" w:hAnsi="Calibri"/>
                <w:color w:val="000000"/>
              </w:rPr>
            </w:pPr>
            <w:r w:rsidRPr="002D3263">
              <w:rPr>
                <w:rFonts w:ascii="Calibri" w:hAnsi="Calibri"/>
                <w:color w:val="000000"/>
              </w:rPr>
              <w:t>Active</w:t>
            </w:r>
          </w:p>
        </w:tc>
      </w:tr>
      <w:tr w14:paraId="533F9FBB" w14:textId="77777777" w:rsidTr="00902072">
        <w:tblPrEx>
          <w:tblW w:w="6668" w:type="dxa"/>
          <w:shd w:val="clear" w:color="auto" w:fill="FFFFFF" w:themeFill="background1"/>
          <w:tblLook w:val="04A0"/>
        </w:tblPrEx>
        <w:trPr>
          <w:cantSplit/>
          <w:trHeight w:val="300"/>
        </w:trPr>
        <w:tc>
          <w:tcPr>
            <w:tcW w:w="5448" w:type="dxa"/>
            <w:tcBorders>
              <w:top w:val="nil"/>
              <w:left w:val="single" w:sz="4" w:space="0" w:color="auto"/>
              <w:bottom w:val="nil"/>
              <w:right w:val="nil"/>
            </w:tcBorders>
            <w:shd w:val="clear" w:color="auto" w:fill="FFFFFF" w:themeFill="background1"/>
            <w:vAlign w:val="bottom"/>
            <w:hideMark/>
          </w:tcPr>
          <w:p w:rsidR="008B6AFD" w:rsidRPr="002D3263" w:rsidP="00EF4CBB" w14:paraId="77207E99" w14:textId="77777777">
            <w:pPr>
              <w:keepNext/>
              <w:widowControl/>
              <w:rPr>
                <w:rFonts w:ascii="Calibri" w:hAnsi="Calibri"/>
                <w:color w:val="000000"/>
              </w:rPr>
            </w:pPr>
            <w:r w:rsidRPr="002D3263">
              <w:rPr>
                <w:rFonts w:ascii="Calibri" w:hAnsi="Calibri"/>
                <w:color w:val="000000"/>
              </w:rPr>
              <w:t>Department of Justice (DOJ)</w:t>
            </w:r>
          </w:p>
        </w:tc>
        <w:tc>
          <w:tcPr>
            <w:tcW w:w="1220" w:type="dxa"/>
            <w:tcBorders>
              <w:top w:val="nil"/>
              <w:left w:val="nil"/>
              <w:bottom w:val="nil"/>
              <w:right w:val="single" w:sz="4" w:space="0" w:color="auto"/>
            </w:tcBorders>
            <w:shd w:val="clear" w:color="auto" w:fill="FFFFFF" w:themeFill="background1"/>
            <w:noWrap/>
            <w:hideMark/>
          </w:tcPr>
          <w:p w:rsidR="008B6AFD" w:rsidRPr="002D3263" w:rsidP="00EF4CBB" w14:paraId="34A5AF37" w14:textId="77777777">
            <w:pPr>
              <w:keepNext/>
              <w:widowControl/>
              <w:rPr>
                <w:rFonts w:ascii="Calibri" w:hAnsi="Calibri"/>
                <w:color w:val="000000"/>
              </w:rPr>
            </w:pPr>
            <w:r w:rsidRPr="002D3263">
              <w:rPr>
                <w:rFonts w:ascii="Calibri" w:hAnsi="Calibri"/>
                <w:color w:val="000000"/>
              </w:rPr>
              <w:t>Not Active</w:t>
            </w:r>
          </w:p>
        </w:tc>
      </w:tr>
      <w:tr w14:paraId="6ED743B1" w14:textId="77777777" w:rsidTr="00902072">
        <w:tblPrEx>
          <w:tblW w:w="6668" w:type="dxa"/>
          <w:shd w:val="clear" w:color="auto" w:fill="FFFFFF" w:themeFill="background1"/>
          <w:tblLook w:val="04A0"/>
        </w:tblPrEx>
        <w:trPr>
          <w:cantSplit/>
          <w:trHeight w:val="300"/>
        </w:trPr>
        <w:tc>
          <w:tcPr>
            <w:tcW w:w="5448" w:type="dxa"/>
            <w:tcBorders>
              <w:top w:val="nil"/>
              <w:left w:val="single" w:sz="4" w:space="0" w:color="auto"/>
              <w:bottom w:val="nil"/>
              <w:right w:val="nil"/>
            </w:tcBorders>
            <w:shd w:val="clear" w:color="auto" w:fill="FFFFFF" w:themeFill="background1"/>
            <w:vAlign w:val="bottom"/>
            <w:hideMark/>
          </w:tcPr>
          <w:p w:rsidR="008B6AFD" w:rsidRPr="002D3263" w:rsidP="00EF4CBB" w14:paraId="4ADF9F1A" w14:textId="77777777">
            <w:pPr>
              <w:keepNext/>
              <w:widowControl/>
              <w:rPr>
                <w:rFonts w:ascii="Calibri" w:hAnsi="Calibri"/>
                <w:color w:val="000000"/>
              </w:rPr>
            </w:pPr>
            <w:r w:rsidRPr="002D3263">
              <w:rPr>
                <w:rFonts w:ascii="Calibri" w:hAnsi="Calibri"/>
                <w:color w:val="000000"/>
              </w:rPr>
              <w:t>Department of Labor</w:t>
            </w:r>
          </w:p>
        </w:tc>
        <w:tc>
          <w:tcPr>
            <w:tcW w:w="1220" w:type="dxa"/>
            <w:tcBorders>
              <w:top w:val="nil"/>
              <w:left w:val="nil"/>
              <w:bottom w:val="nil"/>
              <w:right w:val="single" w:sz="4" w:space="0" w:color="auto"/>
            </w:tcBorders>
            <w:shd w:val="clear" w:color="auto" w:fill="FFFFFF" w:themeFill="background1"/>
            <w:noWrap/>
            <w:hideMark/>
          </w:tcPr>
          <w:p w:rsidR="008B6AFD" w:rsidRPr="002D3263" w:rsidP="00EF4CBB" w14:paraId="7FE77DEF" w14:textId="77777777">
            <w:pPr>
              <w:keepNext/>
              <w:widowControl/>
              <w:rPr>
                <w:rFonts w:ascii="Calibri" w:hAnsi="Calibri"/>
                <w:color w:val="000000"/>
              </w:rPr>
            </w:pPr>
            <w:r w:rsidRPr="002D3263">
              <w:rPr>
                <w:rFonts w:ascii="Calibri" w:hAnsi="Calibri"/>
                <w:color w:val="000000"/>
              </w:rPr>
              <w:t>Not Active</w:t>
            </w:r>
          </w:p>
        </w:tc>
      </w:tr>
      <w:tr w14:paraId="76F31FC3" w14:textId="77777777" w:rsidTr="00902072">
        <w:tblPrEx>
          <w:tblW w:w="6668" w:type="dxa"/>
          <w:shd w:val="clear" w:color="auto" w:fill="FFFFFF" w:themeFill="background1"/>
          <w:tblLook w:val="04A0"/>
        </w:tblPrEx>
        <w:trPr>
          <w:cantSplit/>
          <w:trHeight w:val="300"/>
        </w:trPr>
        <w:tc>
          <w:tcPr>
            <w:tcW w:w="5448" w:type="dxa"/>
            <w:tcBorders>
              <w:top w:val="nil"/>
              <w:left w:val="single" w:sz="4" w:space="0" w:color="auto"/>
              <w:bottom w:val="nil"/>
              <w:right w:val="nil"/>
            </w:tcBorders>
            <w:shd w:val="clear" w:color="auto" w:fill="FFFFFF" w:themeFill="background1"/>
            <w:vAlign w:val="bottom"/>
            <w:hideMark/>
          </w:tcPr>
          <w:p w:rsidR="008B6AFD" w:rsidRPr="002D3263" w:rsidP="00EF4CBB" w14:paraId="534CBF88" w14:textId="77777777">
            <w:pPr>
              <w:keepNext/>
              <w:widowControl/>
              <w:rPr>
                <w:rFonts w:ascii="Calibri" w:hAnsi="Calibri"/>
                <w:color w:val="000000"/>
              </w:rPr>
            </w:pPr>
            <w:r w:rsidRPr="002D3263">
              <w:rPr>
                <w:rFonts w:ascii="Calibri" w:hAnsi="Calibri"/>
                <w:color w:val="000000"/>
              </w:rPr>
              <w:t>Department of State</w:t>
            </w:r>
          </w:p>
        </w:tc>
        <w:tc>
          <w:tcPr>
            <w:tcW w:w="1220" w:type="dxa"/>
            <w:tcBorders>
              <w:top w:val="nil"/>
              <w:left w:val="nil"/>
              <w:bottom w:val="nil"/>
              <w:right w:val="single" w:sz="4" w:space="0" w:color="auto"/>
            </w:tcBorders>
            <w:shd w:val="clear" w:color="auto" w:fill="FFFFFF" w:themeFill="background1"/>
            <w:noWrap/>
            <w:hideMark/>
          </w:tcPr>
          <w:p w:rsidR="008B6AFD" w:rsidRPr="002D3263" w:rsidP="00EF4CBB" w14:paraId="425CA357" w14:textId="77777777">
            <w:pPr>
              <w:keepNext/>
              <w:widowControl/>
              <w:rPr>
                <w:rFonts w:ascii="Calibri" w:hAnsi="Calibri"/>
                <w:color w:val="000000"/>
              </w:rPr>
            </w:pPr>
            <w:r w:rsidRPr="002D3263">
              <w:rPr>
                <w:rFonts w:ascii="Calibri" w:hAnsi="Calibri"/>
                <w:color w:val="000000"/>
              </w:rPr>
              <w:t>Not Active</w:t>
            </w:r>
          </w:p>
        </w:tc>
      </w:tr>
      <w:tr w14:paraId="23B8EE19" w14:textId="77777777" w:rsidTr="00902072">
        <w:tblPrEx>
          <w:tblW w:w="6668" w:type="dxa"/>
          <w:shd w:val="clear" w:color="auto" w:fill="FFFFFF" w:themeFill="background1"/>
          <w:tblLook w:val="04A0"/>
        </w:tblPrEx>
        <w:trPr>
          <w:cantSplit/>
          <w:trHeight w:val="300"/>
        </w:trPr>
        <w:tc>
          <w:tcPr>
            <w:tcW w:w="5448" w:type="dxa"/>
            <w:tcBorders>
              <w:top w:val="nil"/>
              <w:left w:val="single" w:sz="4" w:space="0" w:color="auto"/>
              <w:bottom w:val="nil"/>
              <w:right w:val="nil"/>
            </w:tcBorders>
            <w:shd w:val="clear" w:color="auto" w:fill="FFFFFF" w:themeFill="background1"/>
            <w:vAlign w:val="center"/>
            <w:hideMark/>
          </w:tcPr>
          <w:p w:rsidR="008B6AFD" w:rsidRPr="002D3263" w:rsidP="00EF4CBB" w14:paraId="68166FE7" w14:textId="77777777">
            <w:pPr>
              <w:keepNext/>
              <w:widowControl/>
              <w:rPr>
                <w:rFonts w:ascii="Calibri" w:hAnsi="Calibri"/>
                <w:color w:val="000000"/>
              </w:rPr>
            </w:pPr>
            <w:r w:rsidRPr="002D3263">
              <w:rPr>
                <w:rFonts w:ascii="Calibri" w:hAnsi="Calibri"/>
                <w:color w:val="000000"/>
              </w:rPr>
              <w:t>Department of Transportation (DOT)</w:t>
            </w:r>
          </w:p>
        </w:tc>
        <w:tc>
          <w:tcPr>
            <w:tcW w:w="1220" w:type="dxa"/>
            <w:tcBorders>
              <w:top w:val="nil"/>
              <w:left w:val="nil"/>
              <w:bottom w:val="nil"/>
              <w:right w:val="single" w:sz="4" w:space="0" w:color="auto"/>
            </w:tcBorders>
            <w:shd w:val="clear" w:color="auto" w:fill="FFFFFF" w:themeFill="background1"/>
            <w:noWrap/>
            <w:hideMark/>
          </w:tcPr>
          <w:p w:rsidR="008B6AFD" w:rsidRPr="002D3263" w:rsidP="00EF4CBB" w14:paraId="3FCFD8B2" w14:textId="77777777">
            <w:pPr>
              <w:keepNext/>
              <w:widowControl/>
              <w:rPr>
                <w:rFonts w:ascii="Calibri" w:hAnsi="Calibri"/>
                <w:color w:val="000000"/>
              </w:rPr>
            </w:pPr>
          </w:p>
        </w:tc>
      </w:tr>
      <w:tr w14:paraId="0DA95FB8" w14:textId="77777777" w:rsidTr="00902072">
        <w:tblPrEx>
          <w:tblW w:w="6668" w:type="dxa"/>
          <w:shd w:val="clear" w:color="auto" w:fill="FFFFFF" w:themeFill="background1"/>
          <w:tblLook w:val="04A0"/>
        </w:tblPrEx>
        <w:trPr>
          <w:cantSplit/>
          <w:trHeight w:val="300"/>
        </w:trPr>
        <w:tc>
          <w:tcPr>
            <w:tcW w:w="5448" w:type="dxa"/>
            <w:tcBorders>
              <w:top w:val="nil"/>
              <w:left w:val="single" w:sz="4" w:space="0" w:color="auto"/>
              <w:bottom w:val="nil"/>
              <w:right w:val="nil"/>
            </w:tcBorders>
            <w:shd w:val="clear" w:color="auto" w:fill="FFFFFF" w:themeFill="background1"/>
            <w:vAlign w:val="bottom"/>
            <w:hideMark/>
          </w:tcPr>
          <w:p w:rsidR="008B6AFD" w:rsidRPr="002D3263" w:rsidP="00EF4CBB" w14:paraId="0892E8DC" w14:textId="77777777">
            <w:pPr>
              <w:keepNext/>
              <w:widowControl/>
              <w:ind w:firstLine="220" w:firstLineChars="100"/>
              <w:rPr>
                <w:rFonts w:ascii="Calibri" w:hAnsi="Calibri"/>
                <w:color w:val="000000"/>
              </w:rPr>
            </w:pPr>
            <w:r w:rsidRPr="002D3263">
              <w:rPr>
                <w:rFonts w:ascii="Calibri" w:hAnsi="Calibri"/>
                <w:color w:val="000000"/>
              </w:rPr>
              <w:t>Federal Highway Administration (FHWA)</w:t>
            </w:r>
          </w:p>
        </w:tc>
        <w:tc>
          <w:tcPr>
            <w:tcW w:w="1220" w:type="dxa"/>
            <w:tcBorders>
              <w:top w:val="nil"/>
              <w:left w:val="nil"/>
              <w:bottom w:val="nil"/>
              <w:right w:val="single" w:sz="4" w:space="0" w:color="auto"/>
            </w:tcBorders>
            <w:shd w:val="clear" w:color="auto" w:fill="FFFFFF" w:themeFill="background1"/>
            <w:noWrap/>
            <w:hideMark/>
          </w:tcPr>
          <w:p w:rsidR="008B6AFD" w:rsidRPr="002D3263" w:rsidP="00EF4CBB" w14:paraId="06FC071C" w14:textId="77777777">
            <w:pPr>
              <w:keepNext/>
              <w:widowControl/>
              <w:rPr>
                <w:rFonts w:ascii="Calibri" w:hAnsi="Calibri"/>
                <w:color w:val="000000"/>
              </w:rPr>
            </w:pPr>
            <w:r w:rsidRPr="002D3263">
              <w:rPr>
                <w:rFonts w:ascii="Calibri" w:hAnsi="Calibri"/>
                <w:color w:val="000000"/>
              </w:rPr>
              <w:t>Active</w:t>
            </w:r>
          </w:p>
        </w:tc>
      </w:tr>
      <w:tr w14:paraId="31F15105" w14:textId="77777777" w:rsidTr="00902072">
        <w:tblPrEx>
          <w:tblW w:w="6668" w:type="dxa"/>
          <w:shd w:val="clear" w:color="auto" w:fill="FFFFFF" w:themeFill="background1"/>
          <w:tblLook w:val="04A0"/>
        </w:tblPrEx>
        <w:trPr>
          <w:cantSplit/>
          <w:trHeight w:val="300"/>
        </w:trPr>
        <w:tc>
          <w:tcPr>
            <w:tcW w:w="5448" w:type="dxa"/>
            <w:tcBorders>
              <w:top w:val="nil"/>
              <w:left w:val="single" w:sz="4" w:space="0" w:color="auto"/>
              <w:bottom w:val="nil"/>
              <w:right w:val="nil"/>
            </w:tcBorders>
            <w:shd w:val="clear" w:color="auto" w:fill="FFFFFF" w:themeFill="background1"/>
            <w:vAlign w:val="bottom"/>
            <w:hideMark/>
          </w:tcPr>
          <w:p w:rsidR="008B6AFD" w:rsidRPr="002D3263" w:rsidP="00EF4CBB" w14:paraId="35C9BF35" w14:textId="77777777">
            <w:pPr>
              <w:keepNext/>
              <w:widowControl/>
              <w:ind w:firstLine="220" w:firstLineChars="100"/>
              <w:rPr>
                <w:rFonts w:ascii="Calibri" w:hAnsi="Calibri"/>
                <w:color w:val="000000"/>
              </w:rPr>
            </w:pPr>
            <w:r w:rsidRPr="002D3263">
              <w:rPr>
                <w:rFonts w:ascii="Calibri" w:hAnsi="Calibri"/>
                <w:color w:val="000000"/>
              </w:rPr>
              <w:t>Federal Railroad Administration (FRA)</w:t>
            </w:r>
          </w:p>
        </w:tc>
        <w:tc>
          <w:tcPr>
            <w:tcW w:w="1220" w:type="dxa"/>
            <w:tcBorders>
              <w:top w:val="nil"/>
              <w:left w:val="nil"/>
              <w:bottom w:val="nil"/>
              <w:right w:val="single" w:sz="4" w:space="0" w:color="auto"/>
            </w:tcBorders>
            <w:shd w:val="clear" w:color="auto" w:fill="FFFFFF" w:themeFill="background1"/>
            <w:noWrap/>
            <w:hideMark/>
          </w:tcPr>
          <w:p w:rsidR="008B6AFD" w:rsidRPr="002D3263" w:rsidP="00EF4CBB" w14:paraId="17B911EC" w14:textId="77777777">
            <w:pPr>
              <w:keepNext/>
              <w:widowControl/>
              <w:rPr>
                <w:rFonts w:ascii="Calibri" w:hAnsi="Calibri"/>
                <w:color w:val="000000"/>
              </w:rPr>
            </w:pPr>
            <w:r w:rsidRPr="002D3263">
              <w:rPr>
                <w:rFonts w:ascii="Calibri" w:hAnsi="Calibri"/>
                <w:color w:val="000000"/>
              </w:rPr>
              <w:t>Active</w:t>
            </w:r>
          </w:p>
        </w:tc>
      </w:tr>
      <w:tr w14:paraId="52D2458C" w14:textId="77777777" w:rsidTr="00902072">
        <w:tblPrEx>
          <w:tblW w:w="6668" w:type="dxa"/>
          <w:shd w:val="clear" w:color="auto" w:fill="FFFFFF" w:themeFill="background1"/>
          <w:tblLook w:val="04A0"/>
        </w:tblPrEx>
        <w:trPr>
          <w:cantSplit/>
          <w:trHeight w:val="300"/>
        </w:trPr>
        <w:tc>
          <w:tcPr>
            <w:tcW w:w="5448" w:type="dxa"/>
            <w:tcBorders>
              <w:top w:val="nil"/>
              <w:left w:val="single" w:sz="4" w:space="0" w:color="auto"/>
              <w:bottom w:val="nil"/>
              <w:right w:val="nil"/>
            </w:tcBorders>
            <w:shd w:val="clear" w:color="auto" w:fill="FFFFFF" w:themeFill="background1"/>
            <w:vAlign w:val="bottom"/>
            <w:hideMark/>
          </w:tcPr>
          <w:p w:rsidR="008B6AFD" w:rsidRPr="002D3263" w:rsidP="00EF4CBB" w14:paraId="11BDEED5" w14:textId="77777777">
            <w:pPr>
              <w:keepNext/>
              <w:widowControl/>
              <w:ind w:firstLine="220" w:firstLineChars="100"/>
              <w:rPr>
                <w:rFonts w:ascii="Calibri" w:hAnsi="Calibri"/>
                <w:color w:val="000000"/>
              </w:rPr>
            </w:pPr>
            <w:r w:rsidRPr="002D3263">
              <w:rPr>
                <w:rFonts w:ascii="Calibri" w:hAnsi="Calibri"/>
                <w:color w:val="000000"/>
              </w:rPr>
              <w:t>Federal Transit Administration (FTA)</w:t>
            </w:r>
          </w:p>
        </w:tc>
        <w:tc>
          <w:tcPr>
            <w:tcW w:w="1220" w:type="dxa"/>
            <w:tcBorders>
              <w:top w:val="nil"/>
              <w:left w:val="nil"/>
              <w:bottom w:val="nil"/>
              <w:right w:val="single" w:sz="4" w:space="0" w:color="auto"/>
            </w:tcBorders>
            <w:shd w:val="clear" w:color="auto" w:fill="FFFFFF" w:themeFill="background1"/>
            <w:noWrap/>
            <w:hideMark/>
          </w:tcPr>
          <w:p w:rsidR="008B6AFD" w:rsidRPr="002D3263" w:rsidP="00EF4CBB" w14:paraId="3E8015D4" w14:textId="77777777">
            <w:pPr>
              <w:keepNext/>
              <w:widowControl/>
              <w:rPr>
                <w:rFonts w:ascii="Calibri" w:hAnsi="Calibri"/>
                <w:color w:val="000000"/>
              </w:rPr>
            </w:pPr>
            <w:r w:rsidRPr="002D3263">
              <w:rPr>
                <w:rFonts w:ascii="Calibri" w:hAnsi="Calibri"/>
                <w:color w:val="000000"/>
              </w:rPr>
              <w:t>Active</w:t>
            </w:r>
          </w:p>
        </w:tc>
      </w:tr>
      <w:tr w14:paraId="1654624A" w14:textId="77777777" w:rsidTr="00902072">
        <w:tblPrEx>
          <w:tblW w:w="6668" w:type="dxa"/>
          <w:shd w:val="clear" w:color="auto" w:fill="FFFFFF" w:themeFill="background1"/>
          <w:tblLook w:val="04A0"/>
        </w:tblPrEx>
        <w:trPr>
          <w:cantSplit/>
          <w:trHeight w:val="300"/>
        </w:trPr>
        <w:tc>
          <w:tcPr>
            <w:tcW w:w="5448" w:type="dxa"/>
            <w:tcBorders>
              <w:top w:val="nil"/>
              <w:left w:val="single" w:sz="4" w:space="0" w:color="auto"/>
              <w:bottom w:val="nil"/>
              <w:right w:val="nil"/>
            </w:tcBorders>
            <w:shd w:val="clear" w:color="auto" w:fill="FFFFFF" w:themeFill="background1"/>
            <w:vAlign w:val="bottom"/>
            <w:hideMark/>
          </w:tcPr>
          <w:p w:rsidR="008B6AFD" w:rsidRPr="002D3263" w:rsidP="00EF4CBB" w14:paraId="67C2FC66" w14:textId="77777777">
            <w:pPr>
              <w:keepNext/>
              <w:widowControl/>
              <w:ind w:firstLine="220" w:firstLineChars="100"/>
              <w:rPr>
                <w:rFonts w:ascii="Calibri" w:hAnsi="Calibri"/>
                <w:color w:val="000000"/>
              </w:rPr>
            </w:pPr>
            <w:r w:rsidRPr="002D3263">
              <w:rPr>
                <w:rFonts w:ascii="Calibri" w:hAnsi="Calibri"/>
                <w:color w:val="000000"/>
              </w:rPr>
              <w:t>Federal Aviation Administration (FAA)</w:t>
            </w:r>
          </w:p>
        </w:tc>
        <w:tc>
          <w:tcPr>
            <w:tcW w:w="1220" w:type="dxa"/>
            <w:tcBorders>
              <w:top w:val="nil"/>
              <w:left w:val="nil"/>
              <w:bottom w:val="nil"/>
              <w:right w:val="single" w:sz="4" w:space="0" w:color="auto"/>
            </w:tcBorders>
            <w:shd w:val="clear" w:color="auto" w:fill="FFFFFF" w:themeFill="background1"/>
            <w:noWrap/>
            <w:hideMark/>
          </w:tcPr>
          <w:p w:rsidR="008B6AFD" w:rsidRPr="002D3263" w:rsidP="00EF4CBB" w14:paraId="3E59CE84" w14:textId="77777777">
            <w:pPr>
              <w:keepNext/>
              <w:widowControl/>
              <w:rPr>
                <w:rFonts w:ascii="Calibri" w:hAnsi="Calibri"/>
                <w:color w:val="000000"/>
              </w:rPr>
            </w:pPr>
            <w:r w:rsidRPr="002D3263">
              <w:rPr>
                <w:rFonts w:ascii="Calibri" w:hAnsi="Calibri"/>
                <w:color w:val="000000"/>
              </w:rPr>
              <w:t>Active</w:t>
            </w:r>
          </w:p>
        </w:tc>
      </w:tr>
      <w:tr w14:paraId="512D405F" w14:textId="77777777" w:rsidTr="00902072">
        <w:tblPrEx>
          <w:tblW w:w="6668" w:type="dxa"/>
          <w:shd w:val="clear" w:color="auto" w:fill="FFFFFF" w:themeFill="background1"/>
          <w:tblLook w:val="04A0"/>
        </w:tblPrEx>
        <w:trPr>
          <w:cantSplit/>
          <w:trHeight w:val="300"/>
        </w:trPr>
        <w:tc>
          <w:tcPr>
            <w:tcW w:w="5448" w:type="dxa"/>
            <w:tcBorders>
              <w:top w:val="nil"/>
              <w:left w:val="single" w:sz="4" w:space="0" w:color="auto"/>
              <w:bottom w:val="nil"/>
              <w:right w:val="nil"/>
            </w:tcBorders>
            <w:shd w:val="clear" w:color="auto" w:fill="FFFFFF" w:themeFill="background1"/>
            <w:vAlign w:val="bottom"/>
            <w:hideMark/>
          </w:tcPr>
          <w:p w:rsidR="008B6AFD" w:rsidRPr="002D3263" w:rsidP="00EF4CBB" w14:paraId="3E4B7D89" w14:textId="77777777">
            <w:pPr>
              <w:keepNext/>
              <w:widowControl/>
              <w:rPr>
                <w:rFonts w:ascii="Calibri" w:hAnsi="Calibri"/>
                <w:color w:val="000000"/>
              </w:rPr>
            </w:pPr>
            <w:r w:rsidRPr="002D3263">
              <w:rPr>
                <w:rFonts w:ascii="Calibri" w:hAnsi="Calibri"/>
                <w:color w:val="000000"/>
              </w:rPr>
              <w:t>Department of Veterans Affairs (VA)</w:t>
            </w:r>
          </w:p>
        </w:tc>
        <w:tc>
          <w:tcPr>
            <w:tcW w:w="1220" w:type="dxa"/>
            <w:tcBorders>
              <w:top w:val="nil"/>
              <w:left w:val="nil"/>
              <w:bottom w:val="nil"/>
              <w:right w:val="single" w:sz="4" w:space="0" w:color="auto"/>
            </w:tcBorders>
            <w:shd w:val="clear" w:color="auto" w:fill="FFFFFF" w:themeFill="background1"/>
            <w:noWrap/>
            <w:hideMark/>
          </w:tcPr>
          <w:p w:rsidR="008B6AFD" w:rsidRPr="002D3263" w:rsidP="00EF4CBB" w14:paraId="711BC3A3" w14:textId="77777777">
            <w:pPr>
              <w:keepNext/>
              <w:widowControl/>
              <w:rPr>
                <w:rFonts w:ascii="Calibri" w:hAnsi="Calibri"/>
                <w:color w:val="000000"/>
              </w:rPr>
            </w:pPr>
            <w:r w:rsidRPr="002D3263">
              <w:rPr>
                <w:rFonts w:ascii="Calibri" w:hAnsi="Calibri"/>
                <w:color w:val="000000"/>
              </w:rPr>
              <w:t>Not Active</w:t>
            </w:r>
          </w:p>
        </w:tc>
      </w:tr>
      <w:tr w14:paraId="6DE1A8A1" w14:textId="77777777" w:rsidTr="00902072">
        <w:tblPrEx>
          <w:tblW w:w="6668" w:type="dxa"/>
          <w:shd w:val="clear" w:color="auto" w:fill="FFFFFF" w:themeFill="background1"/>
          <w:tblLook w:val="04A0"/>
        </w:tblPrEx>
        <w:trPr>
          <w:cantSplit/>
          <w:trHeight w:val="300"/>
        </w:trPr>
        <w:tc>
          <w:tcPr>
            <w:tcW w:w="5448" w:type="dxa"/>
            <w:tcBorders>
              <w:top w:val="nil"/>
              <w:left w:val="single" w:sz="4" w:space="0" w:color="auto"/>
              <w:bottom w:val="nil"/>
              <w:right w:val="nil"/>
            </w:tcBorders>
            <w:shd w:val="clear" w:color="auto" w:fill="FFFFFF" w:themeFill="background1"/>
            <w:vAlign w:val="bottom"/>
            <w:hideMark/>
          </w:tcPr>
          <w:p w:rsidR="008B6AFD" w:rsidRPr="002D3263" w:rsidP="00EF4CBB" w14:paraId="500B559A" w14:textId="77777777">
            <w:pPr>
              <w:keepNext/>
              <w:widowControl/>
              <w:rPr>
                <w:rFonts w:ascii="Calibri" w:hAnsi="Calibri"/>
                <w:color w:val="000000"/>
              </w:rPr>
            </w:pPr>
            <w:r w:rsidRPr="002D3263">
              <w:rPr>
                <w:rFonts w:ascii="Calibri" w:hAnsi="Calibri"/>
                <w:color w:val="000000"/>
              </w:rPr>
              <w:t>Independent Agencies</w:t>
            </w:r>
          </w:p>
        </w:tc>
        <w:tc>
          <w:tcPr>
            <w:tcW w:w="1220" w:type="dxa"/>
            <w:tcBorders>
              <w:top w:val="nil"/>
              <w:left w:val="nil"/>
              <w:bottom w:val="nil"/>
              <w:right w:val="single" w:sz="4" w:space="0" w:color="auto"/>
            </w:tcBorders>
            <w:shd w:val="clear" w:color="auto" w:fill="FFFFFF" w:themeFill="background1"/>
            <w:noWrap/>
            <w:hideMark/>
          </w:tcPr>
          <w:p w:rsidR="008B6AFD" w:rsidRPr="002D3263" w:rsidP="00EF4CBB" w14:paraId="5DDFCDA9" w14:textId="77777777">
            <w:pPr>
              <w:keepNext/>
              <w:widowControl/>
              <w:rPr>
                <w:rFonts w:ascii="Calibri" w:hAnsi="Calibri"/>
                <w:color w:val="000000"/>
              </w:rPr>
            </w:pPr>
          </w:p>
        </w:tc>
      </w:tr>
      <w:tr w14:paraId="02782102" w14:textId="77777777" w:rsidTr="00902072">
        <w:tblPrEx>
          <w:tblW w:w="6668" w:type="dxa"/>
          <w:shd w:val="clear" w:color="auto" w:fill="FFFFFF" w:themeFill="background1"/>
          <w:tblLook w:val="04A0"/>
        </w:tblPrEx>
        <w:trPr>
          <w:cantSplit/>
          <w:trHeight w:val="300"/>
        </w:trPr>
        <w:tc>
          <w:tcPr>
            <w:tcW w:w="5448" w:type="dxa"/>
            <w:tcBorders>
              <w:top w:val="nil"/>
              <w:left w:val="single" w:sz="4" w:space="0" w:color="auto"/>
              <w:bottom w:val="nil"/>
              <w:right w:val="nil"/>
            </w:tcBorders>
            <w:shd w:val="clear" w:color="auto" w:fill="FFFFFF" w:themeFill="background1"/>
            <w:vAlign w:val="center"/>
            <w:hideMark/>
          </w:tcPr>
          <w:p w:rsidR="008B6AFD" w:rsidRPr="002D3263" w:rsidP="00EF4CBB" w14:paraId="050F1956" w14:textId="77777777">
            <w:pPr>
              <w:keepNext/>
              <w:widowControl/>
              <w:ind w:firstLine="220" w:firstLineChars="100"/>
              <w:rPr>
                <w:rFonts w:ascii="Calibri" w:hAnsi="Calibri"/>
                <w:color w:val="000000"/>
              </w:rPr>
            </w:pPr>
            <w:r w:rsidRPr="002D3263">
              <w:rPr>
                <w:rFonts w:ascii="Calibri" w:hAnsi="Calibri"/>
                <w:color w:val="000000"/>
              </w:rPr>
              <w:t>Environmental Protection Agency (EPA)</w:t>
            </w:r>
          </w:p>
        </w:tc>
        <w:tc>
          <w:tcPr>
            <w:tcW w:w="1220" w:type="dxa"/>
            <w:tcBorders>
              <w:top w:val="nil"/>
              <w:left w:val="nil"/>
              <w:bottom w:val="nil"/>
              <w:right w:val="single" w:sz="4" w:space="0" w:color="auto"/>
            </w:tcBorders>
            <w:shd w:val="clear" w:color="auto" w:fill="FFFFFF" w:themeFill="background1"/>
            <w:noWrap/>
            <w:hideMark/>
          </w:tcPr>
          <w:p w:rsidR="008B6AFD" w:rsidRPr="002D3263" w:rsidP="00EF4CBB" w14:paraId="2F4B9AA3" w14:textId="77777777">
            <w:pPr>
              <w:keepNext/>
              <w:widowControl/>
              <w:rPr>
                <w:rFonts w:ascii="Calibri" w:hAnsi="Calibri"/>
                <w:color w:val="000000"/>
              </w:rPr>
            </w:pPr>
            <w:r w:rsidRPr="002D3263">
              <w:rPr>
                <w:rFonts w:ascii="Calibri" w:hAnsi="Calibri"/>
                <w:color w:val="000000"/>
              </w:rPr>
              <w:t>Active</w:t>
            </w:r>
          </w:p>
        </w:tc>
      </w:tr>
      <w:tr w14:paraId="5AF2CECA" w14:textId="77777777" w:rsidTr="00902072">
        <w:tblPrEx>
          <w:tblW w:w="6668" w:type="dxa"/>
          <w:shd w:val="clear" w:color="auto" w:fill="FFFFFF" w:themeFill="background1"/>
          <w:tblLook w:val="04A0"/>
        </w:tblPrEx>
        <w:trPr>
          <w:cantSplit/>
          <w:trHeight w:val="300"/>
        </w:trPr>
        <w:tc>
          <w:tcPr>
            <w:tcW w:w="5448" w:type="dxa"/>
            <w:tcBorders>
              <w:top w:val="nil"/>
              <w:left w:val="single" w:sz="4" w:space="0" w:color="auto"/>
              <w:bottom w:val="nil"/>
              <w:right w:val="nil"/>
            </w:tcBorders>
            <w:shd w:val="clear" w:color="auto" w:fill="FFFFFF" w:themeFill="background1"/>
            <w:vAlign w:val="center"/>
            <w:hideMark/>
          </w:tcPr>
          <w:p w:rsidR="008B6AFD" w:rsidRPr="002D3263" w:rsidP="00EF4CBB" w14:paraId="5596E945" w14:textId="77777777">
            <w:pPr>
              <w:keepNext/>
              <w:widowControl/>
              <w:ind w:firstLine="220" w:firstLineChars="100"/>
              <w:rPr>
                <w:rFonts w:ascii="Calibri" w:hAnsi="Calibri"/>
                <w:color w:val="000000"/>
              </w:rPr>
            </w:pPr>
            <w:r w:rsidRPr="002D3263">
              <w:rPr>
                <w:rFonts w:ascii="Calibri" w:hAnsi="Calibri"/>
                <w:color w:val="000000"/>
              </w:rPr>
              <w:t>General Services Administration (GSA)</w:t>
            </w:r>
          </w:p>
        </w:tc>
        <w:tc>
          <w:tcPr>
            <w:tcW w:w="1220" w:type="dxa"/>
            <w:tcBorders>
              <w:top w:val="nil"/>
              <w:left w:val="nil"/>
              <w:bottom w:val="nil"/>
              <w:right w:val="single" w:sz="4" w:space="0" w:color="auto"/>
            </w:tcBorders>
            <w:shd w:val="clear" w:color="auto" w:fill="FFFFFF" w:themeFill="background1"/>
            <w:noWrap/>
            <w:hideMark/>
          </w:tcPr>
          <w:p w:rsidR="008B6AFD" w:rsidRPr="002D3263" w:rsidP="00EF4CBB" w14:paraId="197FE7F8" w14:textId="77777777">
            <w:pPr>
              <w:keepNext/>
              <w:widowControl/>
              <w:rPr>
                <w:rFonts w:ascii="Calibri" w:hAnsi="Calibri"/>
                <w:color w:val="000000"/>
              </w:rPr>
            </w:pPr>
            <w:r w:rsidRPr="002D3263">
              <w:rPr>
                <w:rFonts w:ascii="Calibri" w:hAnsi="Calibri"/>
                <w:color w:val="000000"/>
              </w:rPr>
              <w:t>Active</w:t>
            </w:r>
          </w:p>
        </w:tc>
      </w:tr>
      <w:tr w14:paraId="03B13749" w14:textId="77777777" w:rsidTr="00902072">
        <w:tblPrEx>
          <w:tblW w:w="6668" w:type="dxa"/>
          <w:shd w:val="clear" w:color="auto" w:fill="FFFFFF" w:themeFill="background1"/>
          <w:tblLook w:val="04A0"/>
        </w:tblPrEx>
        <w:trPr>
          <w:cantSplit/>
          <w:trHeight w:val="300"/>
        </w:trPr>
        <w:tc>
          <w:tcPr>
            <w:tcW w:w="5448" w:type="dxa"/>
            <w:tcBorders>
              <w:top w:val="nil"/>
              <w:left w:val="single" w:sz="4" w:space="0" w:color="auto"/>
              <w:bottom w:val="nil"/>
              <w:right w:val="nil"/>
            </w:tcBorders>
            <w:shd w:val="clear" w:color="auto" w:fill="FFFFFF" w:themeFill="background1"/>
            <w:vAlign w:val="center"/>
            <w:hideMark/>
          </w:tcPr>
          <w:p w:rsidR="008B6AFD" w:rsidRPr="002D3263" w:rsidP="00EF4CBB" w14:paraId="2FF3EFFA" w14:textId="77777777">
            <w:pPr>
              <w:keepNext/>
              <w:widowControl/>
              <w:ind w:firstLine="220" w:firstLineChars="100"/>
              <w:rPr>
                <w:rFonts w:ascii="Calibri" w:hAnsi="Calibri"/>
                <w:color w:val="000000"/>
              </w:rPr>
            </w:pPr>
            <w:r w:rsidRPr="002D3263">
              <w:rPr>
                <w:rFonts w:ascii="Calibri" w:hAnsi="Calibri"/>
                <w:color w:val="000000"/>
              </w:rPr>
              <w:t>National Aeronautics and Space Administration (NASA)</w:t>
            </w:r>
          </w:p>
        </w:tc>
        <w:tc>
          <w:tcPr>
            <w:tcW w:w="1220" w:type="dxa"/>
            <w:tcBorders>
              <w:top w:val="nil"/>
              <w:left w:val="nil"/>
              <w:bottom w:val="nil"/>
              <w:right w:val="single" w:sz="4" w:space="0" w:color="auto"/>
            </w:tcBorders>
            <w:shd w:val="clear" w:color="auto" w:fill="FFFFFF" w:themeFill="background1"/>
            <w:noWrap/>
            <w:hideMark/>
          </w:tcPr>
          <w:p w:rsidR="008B6AFD" w:rsidRPr="002D3263" w:rsidP="00EF4CBB" w14:paraId="3C4A266F" w14:textId="77777777">
            <w:pPr>
              <w:keepNext/>
              <w:widowControl/>
              <w:rPr>
                <w:rFonts w:ascii="Calibri" w:hAnsi="Calibri"/>
                <w:color w:val="000000"/>
              </w:rPr>
            </w:pPr>
            <w:r w:rsidRPr="002D3263">
              <w:rPr>
                <w:rFonts w:ascii="Calibri" w:hAnsi="Calibri"/>
                <w:color w:val="000000"/>
              </w:rPr>
              <w:t>Not Active</w:t>
            </w:r>
          </w:p>
        </w:tc>
      </w:tr>
      <w:tr w14:paraId="44138B53" w14:textId="77777777" w:rsidTr="00902072">
        <w:tblPrEx>
          <w:tblW w:w="6668" w:type="dxa"/>
          <w:shd w:val="clear" w:color="auto" w:fill="FFFFFF" w:themeFill="background1"/>
          <w:tblLook w:val="04A0"/>
        </w:tblPrEx>
        <w:trPr>
          <w:cantSplit/>
          <w:trHeight w:val="300"/>
        </w:trPr>
        <w:tc>
          <w:tcPr>
            <w:tcW w:w="5448" w:type="dxa"/>
            <w:tcBorders>
              <w:top w:val="nil"/>
              <w:left w:val="single" w:sz="4" w:space="0" w:color="auto"/>
              <w:bottom w:val="nil"/>
              <w:right w:val="nil"/>
            </w:tcBorders>
            <w:shd w:val="clear" w:color="auto" w:fill="FFFFFF" w:themeFill="background1"/>
            <w:vAlign w:val="bottom"/>
            <w:hideMark/>
          </w:tcPr>
          <w:p w:rsidR="008B6AFD" w:rsidRPr="002D3263" w:rsidP="00EF4CBB" w14:paraId="40A29F85" w14:textId="77777777">
            <w:pPr>
              <w:keepNext/>
              <w:widowControl/>
              <w:ind w:firstLine="220" w:firstLineChars="100"/>
              <w:rPr>
                <w:rFonts w:ascii="Calibri" w:hAnsi="Calibri"/>
                <w:color w:val="000000"/>
              </w:rPr>
            </w:pPr>
            <w:r w:rsidRPr="002D3263">
              <w:rPr>
                <w:rFonts w:ascii="Calibri" w:hAnsi="Calibri"/>
                <w:color w:val="000000"/>
              </w:rPr>
              <w:t>United States Postal Service (USPS)</w:t>
            </w:r>
          </w:p>
        </w:tc>
        <w:tc>
          <w:tcPr>
            <w:tcW w:w="1220" w:type="dxa"/>
            <w:tcBorders>
              <w:top w:val="nil"/>
              <w:left w:val="nil"/>
              <w:bottom w:val="nil"/>
              <w:right w:val="single" w:sz="4" w:space="0" w:color="auto"/>
            </w:tcBorders>
            <w:shd w:val="clear" w:color="auto" w:fill="FFFFFF" w:themeFill="background1"/>
            <w:noWrap/>
            <w:hideMark/>
          </w:tcPr>
          <w:p w:rsidR="008B6AFD" w:rsidRPr="002D3263" w:rsidP="00EF4CBB" w14:paraId="39CE8D67" w14:textId="77777777">
            <w:pPr>
              <w:keepNext/>
              <w:widowControl/>
              <w:rPr>
                <w:rFonts w:ascii="Calibri" w:hAnsi="Calibri"/>
                <w:color w:val="000000"/>
              </w:rPr>
            </w:pPr>
            <w:r w:rsidRPr="002D3263">
              <w:rPr>
                <w:rFonts w:ascii="Calibri" w:hAnsi="Calibri"/>
                <w:color w:val="000000"/>
              </w:rPr>
              <w:t>Not Active</w:t>
            </w:r>
          </w:p>
        </w:tc>
      </w:tr>
      <w:tr w14:paraId="6BCA3F6C" w14:textId="77777777" w:rsidTr="00902072">
        <w:tblPrEx>
          <w:tblW w:w="6668" w:type="dxa"/>
          <w:shd w:val="clear" w:color="auto" w:fill="FFFFFF" w:themeFill="background1"/>
          <w:tblLook w:val="04A0"/>
        </w:tblPrEx>
        <w:trPr>
          <w:trHeight w:val="300"/>
        </w:trPr>
        <w:tc>
          <w:tcPr>
            <w:tcW w:w="5448" w:type="dxa"/>
            <w:tcBorders>
              <w:top w:val="nil"/>
              <w:left w:val="single" w:sz="4" w:space="0" w:color="auto"/>
              <w:bottom w:val="single" w:sz="4" w:space="0" w:color="auto"/>
              <w:right w:val="nil"/>
            </w:tcBorders>
            <w:shd w:val="clear" w:color="auto" w:fill="FFFFFF" w:themeFill="background1"/>
            <w:vAlign w:val="bottom"/>
            <w:hideMark/>
          </w:tcPr>
          <w:p w:rsidR="008B6AFD" w:rsidRPr="002D3263" w:rsidP="00EF4CBB" w14:paraId="3CD4C000" w14:textId="77777777">
            <w:pPr>
              <w:widowControl/>
              <w:ind w:firstLine="220" w:firstLineChars="100"/>
              <w:rPr>
                <w:rFonts w:ascii="Calibri" w:hAnsi="Calibri"/>
                <w:color w:val="000000"/>
              </w:rPr>
            </w:pPr>
            <w:r w:rsidRPr="002D3263">
              <w:rPr>
                <w:rFonts w:ascii="Calibri" w:hAnsi="Calibri"/>
                <w:color w:val="000000"/>
              </w:rPr>
              <w:t>Tennessee Valley Authority</w:t>
            </w:r>
            <w:r w:rsidRPr="002D3263" w:rsidR="007F3B5A">
              <w:rPr>
                <w:rFonts w:ascii="Calibri" w:hAnsi="Calibri"/>
                <w:color w:val="000000"/>
              </w:rPr>
              <w:t xml:space="preserve"> (TVA)</w:t>
            </w:r>
          </w:p>
        </w:tc>
        <w:tc>
          <w:tcPr>
            <w:tcW w:w="1220" w:type="dxa"/>
            <w:tcBorders>
              <w:top w:val="nil"/>
              <w:left w:val="nil"/>
              <w:bottom w:val="single" w:sz="4" w:space="0" w:color="auto"/>
              <w:right w:val="single" w:sz="4" w:space="0" w:color="auto"/>
            </w:tcBorders>
            <w:shd w:val="clear" w:color="auto" w:fill="FFFFFF" w:themeFill="background1"/>
            <w:noWrap/>
            <w:hideMark/>
          </w:tcPr>
          <w:p w:rsidR="008B6AFD" w:rsidRPr="002D3263" w:rsidP="00EF4CBB" w14:paraId="48D69977" w14:textId="77777777">
            <w:pPr>
              <w:widowControl/>
              <w:rPr>
                <w:rFonts w:ascii="Calibri" w:hAnsi="Calibri"/>
                <w:color w:val="000000"/>
              </w:rPr>
            </w:pPr>
            <w:r w:rsidRPr="002D3263">
              <w:rPr>
                <w:rFonts w:ascii="Calibri" w:hAnsi="Calibri"/>
                <w:color w:val="000000"/>
              </w:rPr>
              <w:t>Not Active</w:t>
            </w:r>
          </w:p>
        </w:tc>
      </w:tr>
    </w:tbl>
    <w:p w:rsidR="00835097" w:rsidRPr="002D3263" w:rsidP="00F62B83" w14:paraId="48F0003B" w14:textId="77777777">
      <w:pPr>
        <w:widowControl/>
        <w:rPr>
          <w:rFonts w:ascii="Gill Sans MT" w:hAnsi="Gill Sans MT" w:cs="Arial"/>
          <w:spacing w:val="-6"/>
          <w:sz w:val="32"/>
          <w:szCs w:val="32"/>
        </w:rPr>
      </w:pPr>
      <w:bookmarkStart w:id="25" w:name="_Toc507669456"/>
      <w:bookmarkEnd w:id="25"/>
      <w:r w:rsidRPr="002D3263">
        <w:br w:type="page"/>
      </w:r>
    </w:p>
    <w:p w:rsidR="00D66DB5" w:rsidRPr="002D3263" w:rsidP="00C53C33" w14:paraId="3A45A3C9" w14:textId="77777777">
      <w:pPr>
        <w:pStyle w:val="Heading2"/>
      </w:pPr>
      <w:bookmarkStart w:id="26" w:name="_Toc127438015"/>
      <w:r w:rsidRPr="002D3263">
        <w:t>Assumptions and Methodology for Cost-Benefit Analysis</w:t>
      </w:r>
      <w:bookmarkEnd w:id="26"/>
    </w:p>
    <w:p w:rsidR="005749F8" w:rsidRPr="002D3263" w:rsidP="00F62B83" w14:paraId="1CA93362" w14:textId="77777777">
      <w:pPr>
        <w:pStyle w:val="Body"/>
        <w:widowControl/>
      </w:pPr>
      <w:r w:rsidRPr="002D3263">
        <w:t xml:space="preserve">The key elements used in framing this analysis are as follows: </w:t>
      </w:r>
    </w:p>
    <w:p w:rsidR="005749F8" w:rsidRPr="002D3263" w:rsidP="00F62B83" w14:paraId="2224F684" w14:textId="77777777">
      <w:pPr>
        <w:pStyle w:val="Bullets"/>
        <w:widowControl/>
      </w:pPr>
      <w:r w:rsidRPr="002D3263">
        <w:t>Discount Rates: 7</w:t>
      </w:r>
      <w:r w:rsidRPr="002D3263" w:rsidR="001307AA">
        <w:t xml:space="preserve"> percent</w:t>
      </w:r>
      <w:r w:rsidRPr="002D3263">
        <w:t xml:space="preserve"> and 3</w:t>
      </w:r>
      <w:r w:rsidRPr="002D3263" w:rsidR="001307AA">
        <w:t xml:space="preserve"> percent</w:t>
      </w:r>
      <w:r>
        <w:rPr>
          <w:rStyle w:val="FootnoteReference"/>
        </w:rPr>
        <w:footnoteReference w:id="10"/>
      </w:r>
    </w:p>
    <w:p w:rsidR="005749F8" w:rsidRPr="002D3263" w:rsidP="00F62B83" w14:paraId="7F11FD77" w14:textId="0ED2654B">
      <w:pPr>
        <w:pStyle w:val="Bullets"/>
        <w:widowControl/>
      </w:pPr>
      <w:r w:rsidRPr="002D3263">
        <w:t xml:space="preserve">Period of Analysis: </w:t>
      </w:r>
      <w:r w:rsidRPr="002D3263" w:rsidR="002D0DAD">
        <w:t xml:space="preserve">10 years </w:t>
      </w:r>
      <w:r w:rsidRPr="00D22B86" w:rsidR="002D0DAD">
        <w:t xml:space="preserve">from </w:t>
      </w:r>
      <w:r w:rsidRPr="00D22B86" w:rsidR="00934AF8">
        <w:t>20</w:t>
      </w:r>
      <w:r w:rsidR="007D41B2">
        <w:t>–</w:t>
      </w:r>
      <w:r w:rsidRPr="00D22B86" w:rsidR="009E321B">
        <w:t>3</w:t>
      </w:r>
      <w:r w:rsidRPr="00D22B86" w:rsidR="00934AF8">
        <w:t xml:space="preserve"> - 203</w:t>
      </w:r>
      <w:r w:rsidRPr="00D22B86" w:rsidR="009E321B">
        <w:t>2</w:t>
      </w:r>
    </w:p>
    <w:p w:rsidR="005749F8" w:rsidRPr="002D3263" w:rsidP="00F62B83" w14:paraId="7035C46D" w14:textId="7CE8352B">
      <w:pPr>
        <w:pStyle w:val="Bullets"/>
        <w:widowControl/>
      </w:pPr>
      <w:r w:rsidRPr="002D3263">
        <w:t xml:space="preserve">Monetary values expressed in </w:t>
      </w:r>
      <w:r w:rsidRPr="002D3263" w:rsidR="00934AF8">
        <w:t>20</w:t>
      </w:r>
      <w:r w:rsidRPr="002D3263" w:rsidR="009E321B">
        <w:t>21</w:t>
      </w:r>
      <w:r w:rsidRPr="002D3263" w:rsidR="00934AF8">
        <w:t xml:space="preserve"> </w:t>
      </w:r>
      <w:r w:rsidRPr="002D3263">
        <w:t>dollars</w:t>
      </w:r>
      <w:r w:rsidRPr="002D3263" w:rsidR="001C53A8">
        <w:t xml:space="preserve"> unless otherwise specified</w:t>
      </w:r>
    </w:p>
    <w:p w:rsidR="005749F8" w:rsidRPr="002D3263" w:rsidP="00F62B83" w14:paraId="59BD6FB9" w14:textId="734C9D2B">
      <w:pPr>
        <w:pStyle w:val="Bullets"/>
        <w:widowControl/>
      </w:pPr>
      <w:r w:rsidRPr="002D3263">
        <w:t>D</w:t>
      </w:r>
      <w:r w:rsidRPr="002D3263" w:rsidR="006707E5">
        <w:t xml:space="preserve">iscounting calculations use </w:t>
      </w:r>
      <w:r w:rsidRPr="002D3263" w:rsidR="00934AF8">
        <w:t>20</w:t>
      </w:r>
      <w:r w:rsidRPr="002D3263" w:rsidR="009E321B">
        <w:t>21</w:t>
      </w:r>
      <w:r w:rsidRPr="002D3263" w:rsidR="00934AF8">
        <w:t xml:space="preserve"> </w:t>
      </w:r>
      <w:r w:rsidRPr="002D3263">
        <w:t>as the base year</w:t>
      </w:r>
    </w:p>
    <w:p w:rsidR="005749F8" w:rsidRPr="002D3263" w:rsidP="00E85518" w14:paraId="5373FC39" w14:textId="615D6619">
      <w:pPr>
        <w:pStyle w:val="Bullets"/>
        <w:widowControl/>
        <w:spacing w:before="0" w:after="240"/>
        <w:ind w:right="0"/>
      </w:pPr>
      <w:r w:rsidRPr="002D3263">
        <w:t>Expected inflation rate</w:t>
      </w:r>
      <w:r w:rsidRPr="002D3263" w:rsidR="00C608BF">
        <w:t xml:space="preserve"> over analysis period</w:t>
      </w:r>
      <w:r w:rsidRPr="002D3263">
        <w:t>: 2</w:t>
      </w:r>
      <w:r w:rsidRPr="002D3263" w:rsidR="007D61C5">
        <w:t>.</w:t>
      </w:r>
      <w:r w:rsidRPr="002D3263" w:rsidR="006E0DCC">
        <w:t>3</w:t>
      </w:r>
      <w:r w:rsidRPr="002D3263">
        <w:t xml:space="preserve"> percent</w:t>
      </w:r>
      <w:r>
        <w:rPr>
          <w:rStyle w:val="FootnoteReference"/>
        </w:rPr>
        <w:footnoteReference w:id="11"/>
      </w:r>
    </w:p>
    <w:p w:rsidR="007A0678" w:rsidRPr="002D3263" w:rsidP="00C80FAA" w14:paraId="23A005C1" w14:textId="77777777">
      <w:pPr>
        <w:pStyle w:val="Bullets"/>
        <w:numPr>
          <w:ilvl w:val="0"/>
          <w:numId w:val="0"/>
        </w:numPr>
      </w:pPr>
    </w:p>
    <w:p w:rsidR="006E0DCC" w:rsidRPr="002D3263" w:rsidP="006E0DCC" w14:paraId="7A88C704" w14:textId="3B9AB103">
      <w:pPr>
        <w:pStyle w:val="Body"/>
        <w:widowControl/>
      </w:pPr>
      <w:r w:rsidRPr="002D3263">
        <w:t>Section</w:t>
      </w:r>
      <w:r w:rsidRPr="002D3263" w:rsidR="001B3424">
        <w:t xml:space="preserve"> </w:t>
      </w:r>
      <w:r w:rsidRPr="002D3263" w:rsidR="005749F8">
        <w:t>2</w:t>
      </w:r>
      <w:r w:rsidRPr="002D3263" w:rsidR="00114E12">
        <w:t xml:space="preserve">4.11 of the </w:t>
      </w:r>
      <w:r w:rsidRPr="002D3263" w:rsidR="00D72013">
        <w:t>final</w:t>
      </w:r>
      <w:r w:rsidRPr="002D3263" w:rsidR="00114E12">
        <w:t xml:space="preserve"> rule allow</w:t>
      </w:r>
      <w:r w:rsidRPr="002D3263" w:rsidR="00494055">
        <w:t>s</w:t>
      </w:r>
      <w:r w:rsidRPr="002D3263" w:rsidR="00114E12">
        <w:t xml:space="preserve"> t</w:t>
      </w:r>
      <w:r w:rsidRPr="002D3263" w:rsidR="005749F8">
        <w:t xml:space="preserve">he </w:t>
      </w:r>
      <w:r w:rsidR="0059129A">
        <w:t>L</w:t>
      </w:r>
      <w:r w:rsidRPr="002D3263" w:rsidR="005749F8">
        <w:t xml:space="preserve">ead </w:t>
      </w:r>
      <w:r w:rsidR="007D41B2">
        <w:t>A</w:t>
      </w:r>
      <w:r w:rsidRPr="002D3263" w:rsidR="005749F8">
        <w:t>gency to adjust the maximum payment amounts</w:t>
      </w:r>
      <w:r w:rsidRPr="002D3263" w:rsidR="00B92A68">
        <w:t xml:space="preserve"> for </w:t>
      </w:r>
      <w:r w:rsidRPr="002D3263" w:rsidR="00501ECC">
        <w:t>certain</w:t>
      </w:r>
      <w:r w:rsidRPr="002D3263" w:rsidR="00B92A68">
        <w:t xml:space="preserve"> </w:t>
      </w:r>
      <w:r w:rsidRPr="002D3263" w:rsidR="00501ECC">
        <w:t>limits and benefits payments listed</w:t>
      </w:r>
      <w:r w:rsidRPr="002D3263" w:rsidR="00B92A68">
        <w:t xml:space="preserve"> in Section 24.11(a)</w:t>
      </w:r>
      <w:r w:rsidRPr="002D3263" w:rsidR="005749F8">
        <w:t xml:space="preserve"> </w:t>
      </w:r>
      <w:r w:rsidRPr="002D3263" w:rsidR="00B92A68">
        <w:t>w</w:t>
      </w:r>
      <w:r w:rsidRPr="002D3263" w:rsidR="002375BF">
        <w:t xml:space="preserve">hen it determines </w:t>
      </w:r>
      <w:r w:rsidRPr="002D3263" w:rsidR="00B92A68">
        <w:t>that</w:t>
      </w:r>
      <w:r w:rsidRPr="002D3263" w:rsidR="00501ECC">
        <w:t>,</w:t>
      </w:r>
      <w:r w:rsidRPr="002D3263" w:rsidR="00B92A68">
        <w:t xml:space="preserve"> </w:t>
      </w:r>
      <w:r w:rsidRPr="002D3263" w:rsidR="00B92A68">
        <w:t>due to the effects</w:t>
      </w:r>
      <w:r w:rsidRPr="002D3263" w:rsidR="00B92A68">
        <w:t xml:space="preserve"> </w:t>
      </w:r>
      <w:bookmarkStart w:id="27" w:name="_Hlk123028918"/>
      <w:r w:rsidRPr="002D3263" w:rsidR="00B92A68">
        <w:t>of</w:t>
      </w:r>
      <w:r w:rsidRPr="002D3263" w:rsidR="00B92A68">
        <w:rPr>
          <w:rFonts w:ascii="Times New Roman" w:hAnsi="Times New Roman" w:cs="Times New Roman"/>
          <w:sz w:val="24"/>
          <w:szCs w:val="24"/>
        </w:rPr>
        <w:t xml:space="preserve"> </w:t>
      </w:r>
      <w:r w:rsidRPr="002D3263" w:rsidR="00B92A68">
        <w:t>the cost of living, inflation, or other factors</w:t>
      </w:r>
      <w:bookmarkEnd w:id="27"/>
      <w:r w:rsidRPr="002D3263" w:rsidR="00501ECC">
        <w:t>, those</w:t>
      </w:r>
      <w:r w:rsidRPr="002D3263" w:rsidR="00B92A68">
        <w:t xml:space="preserve"> limits</w:t>
      </w:r>
      <w:r w:rsidRPr="002D3263" w:rsidR="00501ECC">
        <w:t xml:space="preserve"> and benefits payments </w:t>
      </w:r>
      <w:r w:rsidRPr="002D3263" w:rsidR="00B92A68">
        <w:t xml:space="preserve">should be adjusted to meet the policy objectives of the Uniform Act. </w:t>
      </w:r>
      <w:r w:rsidR="00B210CA">
        <w:t xml:space="preserve"> </w:t>
      </w:r>
      <w:r w:rsidRPr="002D3263" w:rsidR="001A41CE">
        <w:t>While the rule is flexible,</w:t>
      </w:r>
      <w:r w:rsidRPr="002D3263" w:rsidR="003D2EB1">
        <w:t xml:space="preserve"> </w:t>
      </w:r>
      <w:r w:rsidRPr="00BC5A99">
        <w:t xml:space="preserve">allowing such adjustments to </w:t>
      </w:r>
      <w:r w:rsidRPr="00BC5A99">
        <w:t>occur</w:t>
      </w:r>
      <w:r w:rsidRPr="00BC5A99">
        <w:t xml:space="preserve"> when necessary, this analysis explores a scenario with adjustments </w:t>
      </w:r>
      <w:r w:rsidR="009237FC">
        <w:t xml:space="preserve">approximately every </w:t>
      </w:r>
      <w:r w:rsidR="001C7A48">
        <w:t>2-3</w:t>
      </w:r>
      <w:r w:rsidR="009237FC">
        <w:t xml:space="preserve"> years through the </w:t>
      </w:r>
      <w:r w:rsidRPr="00BC5A99">
        <w:t>analysis period (</w:t>
      </w:r>
      <w:r w:rsidRPr="00D22B86">
        <w:t>2025, 2028 and 2031</w:t>
      </w:r>
      <w:r w:rsidRPr="00BC5A99">
        <w:t xml:space="preserve">). </w:t>
      </w:r>
      <w:r w:rsidR="00B210CA">
        <w:t xml:space="preserve"> </w:t>
      </w:r>
      <w:r w:rsidRPr="00BC5A99">
        <w:t xml:space="preserve">The first adjustment after the final rule becomes effective makes an inflation adjustment assuming the base is </w:t>
      </w:r>
      <w:r w:rsidR="00D22B86">
        <w:t>June 2023, which set the payment levels for this final rule</w:t>
      </w:r>
      <w:r w:rsidRPr="00BC5A99">
        <w:t>.</w:t>
      </w:r>
    </w:p>
    <w:p w:rsidR="00D661D5" w:rsidRPr="002D3263" w:rsidP="00EF4CBB" w14:paraId="7F4AD5DA" w14:textId="77777777">
      <w:pPr>
        <w:widowControl/>
        <w:spacing w:after="200"/>
      </w:pPr>
      <w:r w:rsidRPr="002D3263">
        <w:br w:type="page"/>
      </w:r>
    </w:p>
    <w:p w:rsidR="00896F36" w:rsidRPr="002D3263" w:rsidP="00BD26C9" w14:paraId="5AFE1A7E" w14:textId="11E24A06">
      <w:pPr>
        <w:pStyle w:val="Heading1"/>
      </w:pPr>
      <w:r w:rsidRPr="002D3263">
        <w:t xml:space="preserve"> </w:t>
      </w:r>
      <w:bookmarkStart w:id="28" w:name="_Toc127438016"/>
      <w:r w:rsidRPr="002D3263">
        <w:t>Residential Displacements</w:t>
      </w:r>
      <w:bookmarkEnd w:id="28"/>
    </w:p>
    <w:p w:rsidR="00896F36" w:rsidRPr="002D3263" w:rsidP="00C53C33" w14:paraId="614B4D15" w14:textId="77777777">
      <w:pPr>
        <w:pStyle w:val="Heading2"/>
      </w:pPr>
      <w:bookmarkStart w:id="29" w:name="_Toc127438017"/>
      <w:r w:rsidRPr="002D3263">
        <w:t>Background</w:t>
      </w:r>
      <w:bookmarkEnd w:id="29"/>
    </w:p>
    <w:p w:rsidR="00896F36" w:rsidRPr="002D3263" w:rsidP="00EF4CBB" w14:paraId="20D8FB64" w14:textId="1F6ECD41">
      <w:pPr>
        <w:pStyle w:val="Body"/>
        <w:widowControl/>
      </w:pPr>
      <w:r w:rsidRPr="002D3263">
        <w:t xml:space="preserve">Displaced </w:t>
      </w:r>
      <w:r w:rsidRPr="002D3263" w:rsidR="001B3424">
        <w:t>persons</w:t>
      </w:r>
      <w:r w:rsidRPr="002D3263">
        <w:t xml:space="preserve"> (both homeowners and tenants) are provided with relocation</w:t>
      </w:r>
      <w:r w:rsidRPr="002D3263" w:rsidR="000F517A">
        <w:t xml:space="preserve"> </w:t>
      </w:r>
      <w:r w:rsidRPr="002D3263" w:rsidR="002429E9">
        <w:t>benefits</w:t>
      </w:r>
      <w:r w:rsidRPr="002D3263" w:rsidR="000F517A">
        <w:t xml:space="preserve"> and other</w:t>
      </w:r>
      <w:r w:rsidRPr="002D3263">
        <w:t xml:space="preserve"> assistance under the Uniform Act. </w:t>
      </w:r>
      <w:r w:rsidR="00E53C7B">
        <w:t xml:space="preserve"> </w:t>
      </w:r>
      <w:r w:rsidRPr="002D3263">
        <w:t>All actual</w:t>
      </w:r>
      <w:r w:rsidRPr="002D3263" w:rsidR="000F517A">
        <w:t>, necessary</w:t>
      </w:r>
      <w:r w:rsidRPr="002D3263" w:rsidR="001B3424">
        <w:t>,</w:t>
      </w:r>
      <w:r w:rsidRPr="002D3263">
        <w:t xml:space="preserve"> and reasonable moving expenses are reimbursed</w:t>
      </w:r>
      <w:r w:rsidRPr="002D3263" w:rsidR="0044068D">
        <w:t xml:space="preserve">. </w:t>
      </w:r>
      <w:r w:rsidR="00E53C7B">
        <w:t xml:space="preserve"> In addition</w:t>
      </w:r>
      <w:r w:rsidRPr="002D3263">
        <w:t xml:space="preserve">, </w:t>
      </w:r>
      <w:r w:rsidRPr="002D3263" w:rsidR="000F517A">
        <w:t xml:space="preserve">displaced </w:t>
      </w:r>
      <w:r w:rsidRPr="002D3263">
        <w:t>homeowner a</w:t>
      </w:r>
      <w:r w:rsidRPr="002D3263" w:rsidR="00E718F7">
        <w:t>nd tenant</w:t>
      </w:r>
      <w:r w:rsidRPr="002D3263" w:rsidR="000F517A">
        <w:t xml:space="preserve"> occupants</w:t>
      </w:r>
      <w:r w:rsidRPr="002D3263" w:rsidR="00E718F7">
        <w:t xml:space="preserve"> may be eligible for</w:t>
      </w:r>
      <w:r w:rsidRPr="002D3263">
        <w:t xml:space="preserve"> RHP</w:t>
      </w:r>
      <w:r w:rsidRPr="002D3263" w:rsidR="002429E9">
        <w:t xml:space="preserve"> or RRHP as applicable, </w:t>
      </w:r>
      <w:r w:rsidRPr="002D3263">
        <w:t xml:space="preserve">to assist </w:t>
      </w:r>
      <w:r w:rsidRPr="002D3263" w:rsidR="007A0678">
        <w:t>with</w:t>
      </w:r>
      <w:r w:rsidRPr="002D3263">
        <w:t xml:space="preserve"> </w:t>
      </w:r>
      <w:r w:rsidRPr="002D3263" w:rsidR="002429E9">
        <w:t xml:space="preserve">purchasing or </w:t>
      </w:r>
      <w:r w:rsidRPr="002D3263">
        <w:t>renting</w:t>
      </w:r>
      <w:r w:rsidRPr="002D3263" w:rsidR="007A0678">
        <w:t xml:space="preserve"> </w:t>
      </w:r>
      <w:r w:rsidRPr="002D3263">
        <w:t xml:space="preserve">a comparable </w:t>
      </w:r>
      <w:r w:rsidRPr="002D3263" w:rsidR="00326A86">
        <w:t xml:space="preserve">replacement </w:t>
      </w:r>
      <w:r w:rsidRPr="002D3263">
        <w:t>dwelling.</w:t>
      </w:r>
    </w:p>
    <w:p w:rsidR="004456DD" w:rsidP="00EF4CBB" w14:paraId="55E25CD4" w14:textId="3920DA51">
      <w:pPr>
        <w:widowControl/>
      </w:pPr>
      <w:r w:rsidRPr="002D3263">
        <w:t xml:space="preserve">Although MAP-21 changes to Uniform Act benefit levels were effective on </w:t>
      </w:r>
      <w:r w:rsidRPr="002D3263" w:rsidR="00510AD1">
        <w:t>October 12, 2014,</w:t>
      </w:r>
      <w:r w:rsidRPr="002D3263">
        <w:t xml:space="preserve"> </w:t>
      </w:r>
      <w:r w:rsidRPr="002D3263" w:rsidR="00510AD1">
        <w:t>t</w:t>
      </w:r>
      <w:r w:rsidRPr="002D3263">
        <w:t xml:space="preserve">here has been no </w:t>
      </w:r>
      <w:r w:rsidRPr="002D3263" w:rsidR="00510AD1">
        <w:t>corresponding</w:t>
      </w:r>
      <w:r w:rsidRPr="002D3263">
        <w:t xml:space="preserve"> update of the published rule.</w:t>
      </w:r>
      <w:r w:rsidRPr="002D3263" w:rsidR="004410C8">
        <w:t xml:space="preserve"> </w:t>
      </w:r>
      <w:r w:rsidR="003121FE">
        <w:t xml:space="preserve"> </w:t>
      </w:r>
      <w:r w:rsidRPr="002D3263" w:rsidR="00896F36">
        <w:t>Under the current</w:t>
      </w:r>
      <w:r w:rsidRPr="002D3263">
        <w:t xml:space="preserve"> published version of the</w:t>
      </w:r>
      <w:r w:rsidRPr="002D3263" w:rsidR="00896F36">
        <w:t xml:space="preserve"> rule, the maximum </w:t>
      </w:r>
      <w:r w:rsidRPr="002D3263" w:rsidR="009C4239">
        <w:t xml:space="preserve">RHP </w:t>
      </w:r>
      <w:r w:rsidRPr="002D3263" w:rsidR="00896F36">
        <w:t xml:space="preserve">amount for </w:t>
      </w:r>
      <w:r w:rsidRPr="002D3263">
        <w:t>90</w:t>
      </w:r>
      <w:r w:rsidRPr="002D3263" w:rsidR="00326A86">
        <w:t xml:space="preserve">-day </w:t>
      </w:r>
      <w:r w:rsidRPr="002D3263" w:rsidR="00896F36">
        <w:t>homeowner</w:t>
      </w:r>
      <w:r w:rsidRPr="002D3263" w:rsidR="009C4239">
        <w:t xml:space="preserve"> to</w:t>
      </w:r>
      <w:r w:rsidRPr="002D3263" w:rsidR="00896F36">
        <w:t xml:space="preserve"> </w:t>
      </w:r>
      <w:r w:rsidRPr="002D3263" w:rsidR="009C4239">
        <w:t xml:space="preserve">purchase a replacement dwelling </w:t>
      </w:r>
      <w:r w:rsidRPr="002D3263" w:rsidR="00896F36">
        <w:t>is $22,500</w:t>
      </w:r>
      <w:r w:rsidRPr="002D3263" w:rsidR="009C4239">
        <w:t>,</w:t>
      </w:r>
      <w:r w:rsidRPr="002D3263" w:rsidR="00896F36">
        <w:t xml:space="preserve"> and the </w:t>
      </w:r>
      <w:r w:rsidRPr="002D3263" w:rsidR="00376001">
        <w:t xml:space="preserve">final </w:t>
      </w:r>
      <w:r w:rsidRPr="002D3263" w:rsidR="00896F36">
        <w:t xml:space="preserve">rule </w:t>
      </w:r>
      <w:r w:rsidRPr="002D3263" w:rsidR="00510AD1">
        <w:t>revises</w:t>
      </w:r>
      <w:r w:rsidRPr="002D3263">
        <w:t xml:space="preserve"> </w:t>
      </w:r>
      <w:r w:rsidRPr="002D3263" w:rsidR="00896F36">
        <w:t>that amount to $</w:t>
      </w:r>
      <w:r w:rsidR="00D22B86">
        <w:t>41,200</w:t>
      </w:r>
      <w:r w:rsidRPr="002D3263" w:rsidR="00896F36">
        <w:t>.</w:t>
      </w:r>
      <w:r w:rsidR="003121FE">
        <w:t xml:space="preserve"> </w:t>
      </w:r>
      <w:r w:rsidRPr="002D3263" w:rsidR="00896F36">
        <w:t xml:space="preserve"> For </w:t>
      </w:r>
      <w:r w:rsidRPr="002D3263" w:rsidR="00326A86">
        <w:t>90-d</w:t>
      </w:r>
      <w:r w:rsidRPr="002D3263" w:rsidR="009F6B6F">
        <w:t>ay</w:t>
      </w:r>
      <w:r w:rsidRPr="002D3263" w:rsidR="009C4239">
        <w:t xml:space="preserve"> tenant occupants</w:t>
      </w:r>
      <w:r w:rsidRPr="002D3263" w:rsidR="00896F36">
        <w:t xml:space="preserve">, the current maximum </w:t>
      </w:r>
      <w:r w:rsidRPr="002D3263" w:rsidR="00226CDC">
        <w:t>R</w:t>
      </w:r>
      <w:r w:rsidRPr="002D3263" w:rsidR="00E718F7">
        <w:t xml:space="preserve">RHP </w:t>
      </w:r>
      <w:r w:rsidRPr="002D3263" w:rsidR="00896F36">
        <w:t>is $5,250</w:t>
      </w:r>
      <w:r w:rsidRPr="002D3263" w:rsidR="009C4239">
        <w:t>,</w:t>
      </w:r>
      <w:r w:rsidRPr="002D3263" w:rsidR="00896F36">
        <w:t xml:space="preserve"> and the </w:t>
      </w:r>
      <w:r w:rsidRPr="002D3263" w:rsidR="009A2048">
        <w:t>final</w:t>
      </w:r>
      <w:r w:rsidRPr="002D3263" w:rsidR="00896F36">
        <w:t xml:space="preserve"> rule </w:t>
      </w:r>
      <w:r w:rsidRPr="002D3263">
        <w:t xml:space="preserve">revises </w:t>
      </w:r>
      <w:r w:rsidRPr="002D3263" w:rsidR="00896F36">
        <w:t>that amount to $</w:t>
      </w:r>
      <w:r w:rsidR="00D22B86">
        <w:t>9,570</w:t>
      </w:r>
      <w:r w:rsidRPr="002D3263" w:rsidR="00896F36">
        <w:t>.</w:t>
      </w:r>
      <w:r w:rsidR="003121FE">
        <w:t xml:space="preserve"> </w:t>
      </w:r>
      <w:r w:rsidRPr="002D3263" w:rsidR="00D8280E">
        <w:t xml:space="preserve"> Under the current rule, homeowner</w:t>
      </w:r>
      <w:r w:rsidRPr="002D3263" w:rsidR="009C4239">
        <w:t xml:space="preserve"> occupants</w:t>
      </w:r>
      <w:r w:rsidRPr="002D3263" w:rsidR="00D8280E">
        <w:t xml:space="preserve"> who have resided at the location for fewer than 180 </w:t>
      </w:r>
      <w:r w:rsidRPr="002D3263" w:rsidR="00D8280E">
        <w:t>days</w:t>
      </w:r>
      <w:r w:rsidRPr="002D3263" w:rsidR="00D8280E">
        <w:t xml:space="preserve"> but more than 90 days are </w:t>
      </w:r>
      <w:r w:rsidRPr="002D3263" w:rsidR="009C4239">
        <w:t xml:space="preserve">considered as </w:t>
      </w:r>
      <w:r w:rsidRPr="002D3263" w:rsidR="00D8280E">
        <w:t>90-day tenant</w:t>
      </w:r>
      <w:r w:rsidRPr="002D3263" w:rsidR="009C4239">
        <w:t xml:space="preserve"> occupants</w:t>
      </w:r>
      <w:r w:rsidRPr="002D3263" w:rsidR="00D8280E">
        <w:t xml:space="preserve"> and are eligible for the RRHP. </w:t>
      </w:r>
      <w:r w:rsidR="003121FE">
        <w:t xml:space="preserve"> </w:t>
      </w:r>
      <w:r w:rsidRPr="002D3263" w:rsidR="00D8280E">
        <w:t xml:space="preserve">Under the </w:t>
      </w:r>
      <w:r w:rsidRPr="002D3263" w:rsidR="00376001">
        <w:t xml:space="preserve">final </w:t>
      </w:r>
      <w:r w:rsidRPr="002D3263" w:rsidR="00D8280E">
        <w:t xml:space="preserve">rule, such homeowners </w:t>
      </w:r>
      <w:r w:rsidRPr="002D3263" w:rsidR="00C35B58">
        <w:t>would</w:t>
      </w:r>
      <w:r w:rsidRPr="002D3263">
        <w:t xml:space="preserve"> be documented as</w:t>
      </w:r>
      <w:r w:rsidRPr="002D3263" w:rsidR="00D8280E">
        <w:t xml:space="preserve"> eligible for </w:t>
      </w:r>
      <w:r w:rsidRPr="002D3263">
        <w:t>an</w:t>
      </w:r>
      <w:r w:rsidRPr="002D3263" w:rsidR="009C4239">
        <w:t xml:space="preserve"> </w:t>
      </w:r>
      <w:r w:rsidRPr="002D3263" w:rsidR="00D8280E">
        <w:t>RHP instead.</w:t>
      </w:r>
    </w:p>
    <w:p w:rsidR="00E53C7B" w:rsidRPr="002D3263" w:rsidP="00EF4CBB" w14:paraId="68F132A3" w14:textId="77777777">
      <w:pPr>
        <w:widowControl/>
      </w:pPr>
    </w:p>
    <w:p w:rsidR="00896F36" w:rsidRPr="002D3263" w:rsidP="00C53C33" w14:paraId="68100DDA" w14:textId="77777777">
      <w:pPr>
        <w:pStyle w:val="Heading2"/>
      </w:pPr>
      <w:bookmarkStart w:id="30" w:name="_Ref417906337"/>
      <w:bookmarkStart w:id="31" w:name="_Toc127438018"/>
      <w:r w:rsidRPr="002D3263">
        <w:t>Data</w:t>
      </w:r>
      <w:bookmarkEnd w:id="30"/>
      <w:bookmarkEnd w:id="31"/>
    </w:p>
    <w:p w:rsidR="00896F36" w:rsidRPr="002D3263" w:rsidP="00EF4CBB" w14:paraId="4AF0400F" w14:textId="3C6422FA">
      <w:pPr>
        <w:widowControl/>
      </w:pPr>
      <w:r w:rsidRPr="002D3263">
        <w:t>The FHWA</w:t>
      </w:r>
      <w:r w:rsidRPr="002D3263">
        <w:t xml:space="preserve"> is the only </w:t>
      </w:r>
      <w:r w:rsidR="007D41B2">
        <w:t>A</w:t>
      </w:r>
      <w:r w:rsidRPr="002D3263">
        <w:t>gency to provide historical data for Uniform Act activity.</w:t>
      </w:r>
      <w:r w:rsidR="003121FE">
        <w:t xml:space="preserve"> </w:t>
      </w:r>
      <w:r w:rsidRPr="002D3263">
        <w:t xml:space="preserve"> For that reason</w:t>
      </w:r>
      <w:r w:rsidRPr="002D3263" w:rsidR="007A0678">
        <w:t>,</w:t>
      </w:r>
      <w:r w:rsidRPr="002D3263">
        <w:t xml:space="preserve"> this analysis focuses only on FHWA data.</w:t>
      </w:r>
      <w:r w:rsidR="003121FE">
        <w:t xml:space="preserve"> </w:t>
      </w:r>
      <w:r w:rsidRPr="002D3263">
        <w:t xml:space="preserve"> </w:t>
      </w:r>
      <w:r w:rsidRPr="002D3263">
        <w:fldChar w:fldCharType="begin"/>
      </w:r>
      <w:r w:rsidRPr="002D3263">
        <w:instrText xml:space="preserve"> REF _Ref415048218 \h </w:instrText>
      </w:r>
      <w:r w:rsidR="002D3263">
        <w:instrText xml:space="preserve"> \* MERGEFORMAT </w:instrText>
      </w:r>
      <w:r w:rsidRPr="002D3263">
        <w:fldChar w:fldCharType="separate"/>
      </w:r>
      <w:r w:rsidRPr="002D3263" w:rsidR="00E762F5">
        <w:t xml:space="preserve">Figure </w:t>
      </w:r>
      <w:r w:rsidR="00E762F5">
        <w:rPr>
          <w:noProof/>
        </w:rPr>
        <w:t>1</w:t>
      </w:r>
      <w:r w:rsidRPr="002D3263">
        <w:fldChar w:fldCharType="end"/>
      </w:r>
      <w:r w:rsidRPr="002D3263">
        <w:t xml:space="preserve"> shows h</w:t>
      </w:r>
      <w:r w:rsidRPr="002D3263" w:rsidR="007A0678">
        <w:t>istoric</w:t>
      </w:r>
      <w:r w:rsidRPr="002D3263" w:rsidR="00014047">
        <w:t>al</w:t>
      </w:r>
      <w:r w:rsidRPr="002D3263" w:rsidR="007A0678">
        <w:t xml:space="preserve"> FHWA data on </w:t>
      </w:r>
      <w:r w:rsidRPr="002D3263" w:rsidR="002429E9">
        <w:t xml:space="preserve">the </w:t>
      </w:r>
      <w:r w:rsidRPr="002D3263" w:rsidR="007A0678">
        <w:t xml:space="preserve">number of </w:t>
      </w:r>
      <w:r w:rsidRPr="002D3263">
        <w:t>residential d</w:t>
      </w:r>
      <w:r w:rsidRPr="002D3263" w:rsidR="006707E5">
        <w:t xml:space="preserve">isplacements for the </w:t>
      </w:r>
      <w:r w:rsidRPr="002D3263" w:rsidR="005371E1">
        <w:t xml:space="preserve">previous </w:t>
      </w:r>
      <w:r w:rsidRPr="002D3263" w:rsidR="00C9337E">
        <w:t>9</w:t>
      </w:r>
      <w:r w:rsidRPr="002D3263" w:rsidR="005371E1">
        <w:t xml:space="preserve"> years (</w:t>
      </w:r>
      <w:r w:rsidRPr="002D3263" w:rsidR="006707E5">
        <w:t>2013</w:t>
      </w:r>
      <w:r w:rsidRPr="002D3263">
        <w:t xml:space="preserve"> to </w:t>
      </w:r>
      <w:r w:rsidRPr="002D3263" w:rsidR="00AC740D">
        <w:t>2021</w:t>
      </w:r>
      <w:r w:rsidRPr="002D3263" w:rsidR="009601EF">
        <w:t>)</w:t>
      </w:r>
      <w:r w:rsidRPr="002D3263">
        <w:t>.</w:t>
      </w:r>
      <w:r>
        <w:rPr>
          <w:rStyle w:val="FootnoteReference"/>
        </w:rPr>
        <w:footnoteReference w:id="12"/>
      </w:r>
      <w:r w:rsidRPr="002D3263" w:rsidR="00707B5A">
        <w:t xml:space="preserve"> </w:t>
      </w:r>
      <w:r w:rsidR="003121FE">
        <w:t xml:space="preserve"> </w:t>
      </w:r>
      <w:r w:rsidRPr="002D3263">
        <w:t xml:space="preserve">During that time FHWA </w:t>
      </w:r>
      <w:r w:rsidRPr="002D3263" w:rsidR="00326A86">
        <w:t xml:space="preserve">provided </w:t>
      </w:r>
      <w:r w:rsidRPr="002D3263" w:rsidR="00111308">
        <w:t>Federal</w:t>
      </w:r>
      <w:r w:rsidRPr="002D3263" w:rsidR="00326A86">
        <w:t xml:space="preserve">-aid funding to </w:t>
      </w:r>
      <w:r w:rsidRPr="002D3263" w:rsidR="001B3424">
        <w:t>S</w:t>
      </w:r>
      <w:r w:rsidRPr="002D3263" w:rsidR="007C2E13">
        <w:t>tate</w:t>
      </w:r>
      <w:r w:rsidRPr="002D3263" w:rsidR="0044068D">
        <w:t xml:space="preserve"> </w:t>
      </w:r>
      <w:r w:rsidRPr="002D3263" w:rsidR="00326A86">
        <w:t xml:space="preserve">DOTs </w:t>
      </w:r>
      <w:r w:rsidRPr="002D3263" w:rsidR="0044068D">
        <w:t>that</w:t>
      </w:r>
      <w:r w:rsidRPr="002D3263" w:rsidR="00326A86">
        <w:t xml:space="preserve"> carried out </w:t>
      </w:r>
      <w:r w:rsidRPr="002D3263">
        <w:t xml:space="preserve">an </w:t>
      </w:r>
      <w:r w:rsidRPr="002D3263" w:rsidR="00C6027A">
        <w:t xml:space="preserve">overall cumulative </w:t>
      </w:r>
      <w:r w:rsidRPr="002D3263">
        <w:t xml:space="preserve">average of </w:t>
      </w:r>
      <w:r w:rsidRPr="002D3263" w:rsidR="00AC740D">
        <w:t>1,488</w:t>
      </w:r>
      <w:r w:rsidRPr="002D3263">
        <w:t xml:space="preserve"> residential relocations per year.</w:t>
      </w:r>
      <w:r w:rsidRPr="002D3263" w:rsidR="004410C8">
        <w:t xml:space="preserve"> </w:t>
      </w:r>
      <w:r w:rsidR="003121FE">
        <w:t xml:space="preserve"> </w:t>
      </w:r>
      <w:r w:rsidRPr="002D3263" w:rsidR="005371E1">
        <w:t>Thus, this analysis</w:t>
      </w:r>
      <w:r w:rsidRPr="002D3263" w:rsidR="002429E9">
        <w:t xml:space="preserve"> </w:t>
      </w:r>
      <w:r w:rsidRPr="002D3263" w:rsidR="00305D57">
        <w:t>assume</w:t>
      </w:r>
      <w:r w:rsidRPr="002D3263" w:rsidR="005371E1">
        <w:t xml:space="preserve">s </w:t>
      </w:r>
      <w:r w:rsidRPr="002D3263">
        <w:t>that</w:t>
      </w:r>
      <w:r w:rsidRPr="002D3263" w:rsidR="005371E1">
        <w:t xml:space="preserve"> </w:t>
      </w:r>
      <w:r w:rsidRPr="002D3263">
        <w:t xml:space="preserve">on average </w:t>
      </w:r>
      <w:r w:rsidRPr="002D3263" w:rsidR="00AC740D">
        <w:t xml:space="preserve">1,488 </w:t>
      </w:r>
      <w:r w:rsidRPr="002D3263">
        <w:t>residential relocations will occur each year of the analysis period.</w:t>
      </w:r>
    </w:p>
    <w:p w:rsidR="00896F36" w:rsidRPr="002D3263" w:rsidP="00EF4CBB" w14:paraId="7DD64D72" w14:textId="77777777">
      <w:pPr>
        <w:widowControl/>
      </w:pPr>
    </w:p>
    <w:p w:rsidR="00896F36" w:rsidRPr="002D3263" w:rsidP="00EF4CBB" w14:paraId="216611FE" w14:textId="23110E39">
      <w:pPr>
        <w:keepNext/>
        <w:widowControl/>
        <w:jc w:val="center"/>
      </w:pPr>
      <w:r w:rsidRPr="002D3263">
        <w:rPr>
          <w:noProof/>
        </w:rPr>
        <w:t xml:space="preserve"> </w:t>
      </w:r>
      <w:r w:rsidRPr="002D3263" w:rsidR="00C9337E">
        <w:rPr>
          <w:noProof/>
        </w:rPr>
        <w:drawing>
          <wp:inline distT="0" distB="0" distL="0" distR="0">
            <wp:extent cx="5585460" cy="3970496"/>
            <wp:effectExtent l="0" t="0" r="15240" b="11430"/>
            <wp:docPr id="4" name="Chart 4">
              <a:extLst xmlns:a="http://schemas.openxmlformats.org/drawingml/2006/main">
                <a:ext xmlns:a="http://schemas.openxmlformats.org/drawingml/2006/main"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96F36" w:rsidRPr="002D3263" w:rsidP="00D6005F" w14:paraId="63CCEF40" w14:textId="70997275">
      <w:pPr>
        <w:pStyle w:val="Caption"/>
      </w:pPr>
      <w:bookmarkStart w:id="32" w:name="_Ref415048218"/>
      <w:bookmarkStart w:id="33" w:name="_Ref67907390"/>
      <w:bookmarkStart w:id="34" w:name="_Toc127438083"/>
      <w:r w:rsidRPr="002D3263">
        <w:t xml:space="preserve">Figure </w:t>
      </w:r>
      <w:r w:rsidRPr="002D3263" w:rsidR="00D661D5">
        <w:rPr>
          <w:noProof/>
        </w:rPr>
        <w:fldChar w:fldCharType="begin"/>
      </w:r>
      <w:r w:rsidRPr="002D3263" w:rsidR="00D661D5">
        <w:rPr>
          <w:noProof/>
        </w:rPr>
        <w:instrText xml:space="preserve"> SEQ Figure \* ARABIC </w:instrText>
      </w:r>
      <w:r w:rsidRPr="002D3263" w:rsidR="00D661D5">
        <w:rPr>
          <w:noProof/>
        </w:rPr>
        <w:fldChar w:fldCharType="separate"/>
      </w:r>
      <w:r w:rsidR="00E762F5">
        <w:rPr>
          <w:noProof/>
        </w:rPr>
        <w:t>1</w:t>
      </w:r>
      <w:r w:rsidRPr="002D3263" w:rsidR="00D661D5">
        <w:rPr>
          <w:noProof/>
        </w:rPr>
        <w:fldChar w:fldCharType="end"/>
      </w:r>
      <w:bookmarkEnd w:id="32"/>
      <w:r w:rsidRPr="002D3263">
        <w:t>. Residential Relocations (FHWA)</w:t>
      </w:r>
      <w:bookmarkEnd w:id="33"/>
      <w:bookmarkEnd w:id="34"/>
    </w:p>
    <w:p w:rsidR="00C763D9" w:rsidRPr="002D3263" w:rsidP="00C53C33" w14:paraId="48034A02" w14:textId="2E49FCFD">
      <w:pPr>
        <w:pStyle w:val="Heading2"/>
      </w:pPr>
      <w:bookmarkStart w:id="35" w:name="_Ref415481349"/>
      <w:bookmarkStart w:id="36" w:name="_Toc127438019"/>
      <w:r w:rsidRPr="002D3263">
        <w:t xml:space="preserve">Revising Maximum </w:t>
      </w:r>
      <w:r w:rsidRPr="002D3263">
        <w:t>Replacement Housing Payment</w:t>
      </w:r>
      <w:bookmarkEnd w:id="35"/>
      <w:r w:rsidRPr="002D3263">
        <w:t xml:space="preserve"> </w:t>
      </w:r>
      <w:r w:rsidRPr="002D3263">
        <w:t xml:space="preserve">(RHP) </w:t>
      </w:r>
      <w:r w:rsidRPr="002D3263" w:rsidR="00B1225F">
        <w:t>and Rental</w:t>
      </w:r>
      <w:r w:rsidRPr="002D3263" w:rsidR="00195CA8">
        <w:t xml:space="preserve"> Replacement Housing</w:t>
      </w:r>
      <w:r w:rsidRPr="002D3263" w:rsidR="00B1225F">
        <w:t xml:space="preserve"> Payment</w:t>
      </w:r>
      <w:r w:rsidRPr="002D3263">
        <w:t xml:space="preserve"> (</w:t>
      </w:r>
      <w:r w:rsidRPr="002D3263" w:rsidR="00195CA8">
        <w:t>RRHP</w:t>
      </w:r>
      <w:r w:rsidRPr="002D3263" w:rsidR="00A42F6D">
        <w:t>)</w:t>
      </w:r>
      <w:bookmarkEnd w:id="36"/>
    </w:p>
    <w:p w:rsidR="00BB49F8" w:rsidRPr="002D3263" w:rsidP="00EF4CBB" w14:paraId="118DAB4C" w14:textId="11FBA9B1">
      <w:pPr>
        <w:widowControl/>
      </w:pPr>
      <w:r w:rsidRPr="002D3263">
        <w:t xml:space="preserve">As required by MAP-21, </w:t>
      </w:r>
      <w:r w:rsidRPr="002D3263" w:rsidR="00C35B58">
        <w:t>Section</w:t>
      </w:r>
      <w:r w:rsidRPr="002D3263" w:rsidR="001B3424">
        <w:t xml:space="preserve"> </w:t>
      </w:r>
      <w:r w:rsidRPr="002D3263">
        <w:t xml:space="preserve">24.401 and </w:t>
      </w:r>
      <w:r w:rsidRPr="002D3263" w:rsidR="00C35B58">
        <w:t xml:space="preserve">Section </w:t>
      </w:r>
      <w:r w:rsidRPr="002D3263">
        <w:t xml:space="preserve">24.502 of the </w:t>
      </w:r>
      <w:r w:rsidRPr="002D3263" w:rsidR="00D72013">
        <w:t>final</w:t>
      </w:r>
      <w:r w:rsidRPr="002D3263">
        <w:t xml:space="preserve"> rule raise</w:t>
      </w:r>
      <w:r w:rsidRPr="002D3263" w:rsidR="00083490">
        <w:t>s</w:t>
      </w:r>
      <w:r w:rsidRPr="002D3263">
        <w:t xml:space="preserve"> the maximum amount for the </w:t>
      </w:r>
      <w:r w:rsidRPr="002D3263" w:rsidR="00014047">
        <w:t>RHP</w:t>
      </w:r>
      <w:r w:rsidRPr="002D3263" w:rsidR="00F56358">
        <w:t xml:space="preserve"> for homeowners</w:t>
      </w:r>
      <w:r w:rsidRPr="002D3263">
        <w:t xml:space="preserve"> (including mobile </w:t>
      </w:r>
      <w:r w:rsidRPr="002D3263">
        <w:t>home owners</w:t>
      </w:r>
      <w:r w:rsidRPr="002D3263">
        <w:t>) from $22,500 to $31,000</w:t>
      </w:r>
      <w:r w:rsidR="00A71421">
        <w:t>,</w:t>
      </w:r>
      <w:r w:rsidRPr="002D3263">
        <w:t xml:space="preserve"> while </w:t>
      </w:r>
      <w:r w:rsidRPr="002D3263" w:rsidR="00C35B58">
        <w:t>Section</w:t>
      </w:r>
      <w:r w:rsidRPr="002D3263" w:rsidR="001B3424">
        <w:t xml:space="preserve"> </w:t>
      </w:r>
      <w:r w:rsidRPr="002D3263">
        <w:t xml:space="preserve">24.402 and </w:t>
      </w:r>
      <w:r w:rsidRPr="002D3263" w:rsidR="00C35B58">
        <w:t>Section</w:t>
      </w:r>
      <w:r w:rsidRPr="002D3263" w:rsidR="001B3424">
        <w:t xml:space="preserve"> </w:t>
      </w:r>
      <w:r w:rsidRPr="002D3263">
        <w:t>24.50</w:t>
      </w:r>
      <w:r w:rsidRPr="002D3263" w:rsidR="00495BA0">
        <w:t>3</w:t>
      </w:r>
      <w:r w:rsidRPr="002D3263">
        <w:t xml:space="preserve"> of the </w:t>
      </w:r>
      <w:r w:rsidRPr="002D3263" w:rsidR="00D72013">
        <w:t xml:space="preserve">final </w:t>
      </w:r>
      <w:r w:rsidRPr="002D3263">
        <w:t>rule raise</w:t>
      </w:r>
      <w:r w:rsidRPr="002D3263" w:rsidR="00083490">
        <w:t>s</w:t>
      </w:r>
      <w:r w:rsidRPr="002D3263">
        <w:t xml:space="preserve"> the amount of rental assistance payment or down payment assistance for tenant</w:t>
      </w:r>
      <w:r w:rsidRPr="002D3263" w:rsidR="00F56358">
        <w:t xml:space="preserve">s </w:t>
      </w:r>
      <w:r w:rsidRPr="002D3263">
        <w:t>(including renters of mobile home</w:t>
      </w:r>
      <w:r w:rsidRPr="002D3263" w:rsidR="00014047">
        <w:t>s) from $5,250 to $7,200</w:t>
      </w:r>
      <w:r w:rsidRPr="002D3263" w:rsidR="009B0BEE">
        <w:t xml:space="preserve">. </w:t>
      </w:r>
      <w:r w:rsidR="006047BA">
        <w:t xml:space="preserve"> </w:t>
      </w:r>
      <w:r w:rsidR="000D67A7">
        <w:t xml:space="preserve">The FHWA further adjusted the maximum amount by </w:t>
      </w:r>
      <w:r w:rsidR="00D22B86">
        <w:t>roughly 33</w:t>
      </w:r>
      <w:r w:rsidR="000D67A7">
        <w:t xml:space="preserve"> percent to account for inflation</w:t>
      </w:r>
      <w:r w:rsidR="00A71421">
        <w:t xml:space="preserve"> </w:t>
      </w:r>
      <w:r w:rsidR="000D67A7">
        <w:t xml:space="preserve"> </w:t>
      </w:r>
      <w:r w:rsidR="000D67A7">
        <w:t>since 2012. This final rule raises the maximum amount for the RHP for homeowners to $</w:t>
      </w:r>
      <w:r w:rsidR="00D22B86">
        <w:t>41,200</w:t>
      </w:r>
      <w:r w:rsidR="000D67A7">
        <w:t xml:space="preserve"> and the rental assistance payment or down payment assistance for tenants to $</w:t>
      </w:r>
      <w:r w:rsidR="00D22B86">
        <w:t>9,570</w:t>
      </w:r>
      <w:r w:rsidR="000D67A7">
        <w:t xml:space="preserve">. </w:t>
      </w:r>
      <w:r w:rsidR="006047BA">
        <w:t xml:space="preserve"> </w:t>
      </w:r>
      <w:r w:rsidRPr="002D3263" w:rsidR="00195CA8">
        <w:t xml:space="preserve">Both payment amounts are increased by roughly </w:t>
      </w:r>
      <w:r w:rsidR="00D22B86">
        <w:t>83</w:t>
      </w:r>
      <w:r w:rsidRPr="002D3263" w:rsidR="00195CA8">
        <w:t xml:space="preserve"> percent. </w:t>
      </w:r>
      <w:r w:rsidR="006047BA">
        <w:t xml:space="preserve"> </w:t>
      </w:r>
      <w:r w:rsidRPr="002D3263" w:rsidR="009B0BEE">
        <w:t xml:space="preserve">The </w:t>
      </w:r>
      <w:r w:rsidRPr="002D3263" w:rsidR="0056632F">
        <w:t xml:space="preserve">final </w:t>
      </w:r>
      <w:r w:rsidRPr="002D3263" w:rsidR="009B0BEE">
        <w:t xml:space="preserve">rule allows for the maximum amount to be adjusted to account for </w:t>
      </w:r>
      <w:r w:rsidRPr="002D3263" w:rsidR="002B7BA2">
        <w:t>cost of living, inflation, or other factors</w:t>
      </w:r>
      <w:r w:rsidR="00A71421">
        <w:t>,</w:t>
      </w:r>
      <w:r w:rsidRPr="002D3263" w:rsidR="002B7BA2">
        <w:t xml:space="preserve"> which include unusual or historic escalation in property values, rental costs, or costs for other services necessary to relocate.</w:t>
      </w:r>
      <w:r w:rsidRPr="002D3263" w:rsidR="004410C8">
        <w:t xml:space="preserve"> </w:t>
      </w:r>
      <w:r w:rsidR="006047BA">
        <w:t xml:space="preserve"> </w:t>
      </w:r>
      <w:r w:rsidRPr="002D3263" w:rsidR="002B7BA2">
        <w:t xml:space="preserve">These indicators and others will be considered in determining </w:t>
      </w:r>
      <w:r w:rsidRPr="002D3263" w:rsidR="00107DB6">
        <w:t xml:space="preserve">whether </w:t>
      </w:r>
      <w:r w:rsidRPr="002D3263" w:rsidR="002B7BA2">
        <w:t>relocation assistance benefits should be adjusted to meet the policy objectives of the Uniform Act.</w:t>
      </w:r>
    </w:p>
    <w:p w:rsidR="00A268E9" w:rsidRPr="002D3263" w:rsidP="006D5D1A" w14:paraId="4D360740" w14:textId="77777777">
      <w:pPr>
        <w:pStyle w:val="Heading3"/>
        <w:keepNext/>
        <w:widowControl/>
      </w:pPr>
      <w:bookmarkStart w:id="37" w:name="_Toc127438020"/>
      <w:r w:rsidRPr="002D3263">
        <w:t>Administrative Cost Savings</w:t>
      </w:r>
      <w:bookmarkEnd w:id="37"/>
      <w:r w:rsidRPr="002D3263">
        <w:t xml:space="preserve"> </w:t>
      </w:r>
    </w:p>
    <w:p w:rsidR="00A268E9" w:rsidRPr="002D3263" w:rsidP="00EF4CBB" w14:paraId="02EFCBE5" w14:textId="689EAA95">
      <w:pPr>
        <w:pStyle w:val="Body"/>
        <w:widowControl/>
      </w:pPr>
      <w:r w:rsidRPr="002D3263">
        <w:t xml:space="preserve">As will be discussed more fully below, the increases in RHP and RRHP are not expected to change program expenditures but instead will reduce certain recipient and Federal </w:t>
      </w:r>
      <w:r w:rsidR="007D41B2">
        <w:t>A</w:t>
      </w:r>
      <w:r w:rsidRPr="002D3263">
        <w:t xml:space="preserve">gency administrative burdens. </w:t>
      </w:r>
      <w:r w:rsidR="006047BA">
        <w:t xml:space="preserve"> </w:t>
      </w:r>
      <w:r w:rsidRPr="002D3263">
        <w:t>The reduced administrative burden is one benefit of the rule change.</w:t>
      </w:r>
    </w:p>
    <w:p w:rsidR="00A268E9" w:rsidRPr="002D3263" w:rsidP="00EF4CBB" w14:paraId="3F63268A" w14:textId="5137E6AD">
      <w:pPr>
        <w:pStyle w:val="Body"/>
        <w:widowControl/>
      </w:pPr>
      <w:r w:rsidRPr="002D3263">
        <w:t xml:space="preserve">To explain why this change is not expected to increase program expenditures, consider the fact that a federally funded public project cannot proceed until a person displaced from his/her dwelling has been provided relocation assistance, which ensures that a comparable dwelling is available. </w:t>
      </w:r>
      <w:r w:rsidR="00B210CA">
        <w:t xml:space="preserve"> </w:t>
      </w:r>
      <w:r w:rsidRPr="002D3263">
        <w:t xml:space="preserve">Housing replacement by a Federal </w:t>
      </w:r>
      <w:r w:rsidR="007D41B2">
        <w:t>A</w:t>
      </w:r>
      <w:r w:rsidRPr="002D3263">
        <w:t>gency as a “Last Resort” (last resort housing provisions) in 42 U.S.C. 4626(b) provides that “No person shall be required to move from his or her dwelling on account of any program or project… unless</w:t>
      </w:r>
      <w:r w:rsidRPr="002D3263">
        <w:t>…..</w:t>
      </w:r>
      <w:r w:rsidRPr="002D3263">
        <w:t xml:space="preserve">comparable replacement housing is available….” </w:t>
      </w:r>
      <w:r w:rsidR="00B210CA">
        <w:t xml:space="preserve"> </w:t>
      </w:r>
      <w:r w:rsidRPr="002D3263">
        <w:t xml:space="preserve">Should comparable housing not be available within the statutory limits allowed for a tenant or homeowner, the last resort housing provisions of 42 U.S.C. 4626(a) require </w:t>
      </w:r>
      <w:r w:rsidR="0059129A">
        <w:t>Agencies</w:t>
      </w:r>
      <w:r w:rsidRPr="002D3263">
        <w:t xml:space="preserve">, on a case-by-case basis, to provide eligibilities and payments that exceed the statutory maximums to ensure that comparable replacement housing is available to displaced homeowner and tenant occupants. </w:t>
      </w:r>
    </w:p>
    <w:p w:rsidR="00A268E9" w:rsidRPr="002D3263" w:rsidP="00EF4CBB" w14:paraId="59CA6149" w14:textId="689948B2">
      <w:pPr>
        <w:pStyle w:val="Body"/>
        <w:widowControl/>
      </w:pPr>
      <w:r w:rsidRPr="002D3263">
        <w:t xml:space="preserve">The MAP-21 increase in statutory limits will reduce the incidence of having to utilize the last resort housing provisions of 42 U.S.C. 4626 and reduce the recipient and Federal </w:t>
      </w:r>
      <w:r w:rsidR="007D41B2">
        <w:t>A</w:t>
      </w:r>
      <w:r w:rsidRPr="002D3263">
        <w:t xml:space="preserve">gency administrative burdens and costs that are associated with these payments. </w:t>
      </w:r>
      <w:r w:rsidR="00B210CA">
        <w:t xml:space="preserve"> </w:t>
      </w:r>
      <w:r w:rsidRPr="002D3263">
        <w:t>However, the total program expenditures will not change, since the current rule already requires that sufficient payment is provided to obtain replacement housing.</w:t>
      </w:r>
    </w:p>
    <w:p w:rsidR="00A268E9" w:rsidRPr="002D3263" w:rsidP="00EF4CBB" w14:paraId="44030F9A" w14:textId="000EA75A">
      <w:pPr>
        <w:pStyle w:val="Body"/>
        <w:widowControl/>
      </w:pPr>
      <w:r w:rsidRPr="002D3263">
        <w:t xml:space="preserve">The last resort housing provisions were intended to ensure that </w:t>
      </w:r>
      <w:r w:rsidR="0059129A">
        <w:t>Agencies</w:t>
      </w:r>
      <w:r w:rsidRPr="002D3263">
        <w:t xml:space="preserve"> have a mechanism for dealing with unique circumstances or extraordinary needs of displaced homeowner and tenant occupants.</w:t>
      </w:r>
      <w:r w:rsidR="00B210CA">
        <w:t xml:space="preserve"> </w:t>
      </w:r>
      <w:r w:rsidRPr="002D3263">
        <w:t xml:space="preserve"> However, the nearly 20-year-old existing statutory limits result in the last resort housing provisions of 42 U.S.C. 4626 being frequently utilized. </w:t>
      </w:r>
      <w:r w:rsidR="00B210CA">
        <w:t xml:space="preserve"> </w:t>
      </w:r>
      <w:r w:rsidRPr="002D3263">
        <w:t xml:space="preserve">Thus, the effect of increasing the statutory limits will be to reduce the frequency and necessity of utilizing the last resort housing provisions. </w:t>
      </w:r>
      <w:r w:rsidR="00B210CA">
        <w:t xml:space="preserve"> </w:t>
      </w:r>
      <w:r w:rsidRPr="002D3263">
        <w:t xml:space="preserve">The use of last resort housing provisions creates additional administrative burdens for a displacing </w:t>
      </w:r>
      <w:r w:rsidR="007D41B2">
        <w:t>A</w:t>
      </w:r>
      <w:r w:rsidRPr="002D3263">
        <w:t xml:space="preserve">gency, including the need for case-by-case documentation and justification by the </w:t>
      </w:r>
      <w:r w:rsidR="007D41B2">
        <w:t>A</w:t>
      </w:r>
      <w:r w:rsidRPr="002D3263">
        <w:t>gency.</w:t>
      </w:r>
      <w:r w:rsidR="00B210CA">
        <w:t xml:space="preserve"> </w:t>
      </w:r>
      <w:r w:rsidRPr="002D3263">
        <w:t xml:space="preserve"> Reduction in use of the last resort provisions and the administrative burdens associated with them will ensure that displacing </w:t>
      </w:r>
      <w:r w:rsidR="0059129A">
        <w:t>Agencies</w:t>
      </w:r>
      <w:r w:rsidRPr="002D3263">
        <w:t xml:space="preserve"> provide needed benefits and assistance to displaced homeowner and tenant occupants in as timely a manner as possible. </w:t>
      </w:r>
    </w:p>
    <w:p w:rsidR="00A268E9" w:rsidRPr="002D3263" w:rsidP="00EF4CBB" w14:paraId="447A57DE" w14:textId="658DAED2">
      <w:pPr>
        <w:pStyle w:val="Body"/>
        <w:widowControl/>
      </w:pPr>
      <w:r w:rsidRPr="002D3263">
        <w:t xml:space="preserve">The FHWA data </w:t>
      </w:r>
      <w:r w:rsidRPr="002D3263">
        <w:t xml:space="preserve">shows that over the period 1991 to 2013 the percent of last resort housing residential relocations </w:t>
      </w:r>
      <w:r w:rsidR="00D858D4">
        <w:t>ha</w:t>
      </w:r>
      <w:r w:rsidRPr="002D3263">
        <w:t>s been increasing at a rate of 0.8 percentage points per year</w:t>
      </w:r>
      <w:r w:rsidR="00A4358F">
        <w:t xml:space="preserve"> </w:t>
      </w:r>
      <w:r w:rsidRPr="002D3263" w:rsidR="00A4358F">
        <w:t xml:space="preserve">(see </w:t>
      </w:r>
      <w:r w:rsidRPr="002D3263" w:rsidR="00A4358F">
        <w:fldChar w:fldCharType="begin"/>
      </w:r>
      <w:r w:rsidRPr="002D3263" w:rsidR="00A4358F">
        <w:instrText xml:space="preserve"> REF _Ref67991402 \h </w:instrText>
      </w:r>
      <w:r w:rsidR="00A4358F">
        <w:instrText xml:space="preserve"> \* MERGEFORMAT </w:instrText>
      </w:r>
      <w:r w:rsidRPr="002D3263" w:rsidR="00A4358F">
        <w:fldChar w:fldCharType="separate"/>
      </w:r>
      <w:r w:rsidRPr="002D3263" w:rsidR="00A4358F">
        <w:t xml:space="preserve">Figure </w:t>
      </w:r>
      <w:r w:rsidR="00A4358F">
        <w:rPr>
          <w:noProof/>
        </w:rPr>
        <w:t>2</w:t>
      </w:r>
      <w:r w:rsidRPr="002D3263" w:rsidR="00A4358F">
        <w:fldChar w:fldCharType="end"/>
      </w:r>
      <w:r w:rsidRPr="002D3263" w:rsidR="00A4358F">
        <w:t>)</w:t>
      </w:r>
      <w:r w:rsidRPr="002D3263">
        <w:t>.</w:t>
      </w:r>
      <w:r>
        <w:rPr>
          <w:rStyle w:val="FootnoteReference"/>
        </w:rPr>
        <w:footnoteReference w:id="13"/>
      </w:r>
      <w:r w:rsidRPr="002D3263">
        <w:t xml:space="preserve"> </w:t>
      </w:r>
      <w:r w:rsidR="00D858D4">
        <w:t xml:space="preserve"> </w:t>
      </w:r>
      <w:r w:rsidR="004732B6">
        <w:t>The FHWA</w:t>
      </w:r>
      <w:r w:rsidR="00006076">
        <w:t xml:space="preserve"> use</w:t>
      </w:r>
      <w:r w:rsidR="004732B6">
        <w:t>d</w:t>
      </w:r>
      <w:r w:rsidR="00006076">
        <w:t xml:space="preserve"> this time period to understand </w:t>
      </w:r>
      <w:r w:rsidR="00A4358F">
        <w:t xml:space="preserve">baseline </w:t>
      </w:r>
      <w:r w:rsidR="00006076">
        <w:t>t</w:t>
      </w:r>
      <w:r w:rsidR="00A4358F">
        <w:t xml:space="preserve">rends before the MAP-21 changes in maximum payment levels </w:t>
      </w:r>
      <w:r w:rsidR="00A4358F">
        <w:t>were adopted in practice.</w:t>
      </w:r>
      <w:r w:rsidR="00A4358F">
        <w:t xml:space="preserve"> </w:t>
      </w:r>
      <w:r w:rsidR="00D858D4">
        <w:t xml:space="preserve"> </w:t>
      </w:r>
      <w:r w:rsidR="00A4358F">
        <w:t>OMB Circular A-4 recommends agencies use a pre-statutory baseline for regulatory analysis.</w:t>
      </w:r>
    </w:p>
    <w:p w:rsidR="00A268E9" w:rsidRPr="002D3263" w:rsidP="00634AAC" w14:paraId="2489C015" w14:textId="77777777">
      <w:pPr>
        <w:keepNext/>
        <w:widowControl/>
        <w:tabs>
          <w:tab w:val="left" w:pos="0"/>
        </w:tabs>
        <w:spacing w:after="200"/>
        <w:jc w:val="center"/>
      </w:pPr>
    </w:p>
    <w:p w:rsidR="00A268E9" w:rsidRPr="002D3263" w:rsidP="0002327A" w14:paraId="539AB6B3" w14:textId="77777777">
      <w:pPr>
        <w:keepNext/>
        <w:widowControl/>
        <w:tabs>
          <w:tab w:val="left" w:pos="0"/>
        </w:tabs>
        <w:spacing w:after="200"/>
        <w:jc w:val="center"/>
      </w:pPr>
      <w:r w:rsidRPr="002D3263">
        <w:rPr>
          <w:noProof/>
        </w:rPr>
        <w:drawing>
          <wp:inline distT="0" distB="0" distL="0" distR="0">
            <wp:extent cx="5677786" cy="2796363"/>
            <wp:effectExtent l="0" t="0" r="18415" b="444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268E9" w:rsidRPr="002D3263" w:rsidP="00D6005F" w14:paraId="715FDF65" w14:textId="35894F39">
      <w:pPr>
        <w:pStyle w:val="Caption"/>
      </w:pPr>
      <w:bookmarkStart w:id="38" w:name="_Ref67991402"/>
      <w:bookmarkStart w:id="39" w:name="_Toc127438084"/>
      <w:r w:rsidRPr="002D3263">
        <w:t xml:space="preserve">Figure </w:t>
      </w:r>
      <w:r w:rsidRPr="002D3263">
        <w:rPr>
          <w:noProof/>
        </w:rPr>
        <w:fldChar w:fldCharType="begin"/>
      </w:r>
      <w:r w:rsidRPr="002D3263">
        <w:rPr>
          <w:noProof/>
        </w:rPr>
        <w:instrText xml:space="preserve"> SEQ Figure \* ARABIC </w:instrText>
      </w:r>
      <w:r w:rsidRPr="002D3263">
        <w:rPr>
          <w:noProof/>
        </w:rPr>
        <w:fldChar w:fldCharType="separate"/>
      </w:r>
      <w:r w:rsidR="00E762F5">
        <w:rPr>
          <w:noProof/>
        </w:rPr>
        <w:t>2</w:t>
      </w:r>
      <w:r w:rsidRPr="002D3263">
        <w:rPr>
          <w:noProof/>
        </w:rPr>
        <w:fldChar w:fldCharType="end"/>
      </w:r>
      <w:bookmarkEnd w:id="38"/>
      <w:r w:rsidRPr="002D3263">
        <w:t>. Last Resort Housing as a Percent of All Residential Displacements (FHWA)</w:t>
      </w:r>
      <w:bookmarkEnd w:id="39"/>
    </w:p>
    <w:p w:rsidR="00A268E9" w:rsidRPr="002D3263" w:rsidP="00EF4CBB" w14:paraId="4BD01138" w14:textId="4A1334B9">
      <w:pPr>
        <w:pStyle w:val="Body"/>
        <w:widowControl/>
      </w:pPr>
      <w:r w:rsidRPr="002D3263">
        <w:t xml:space="preserve">In 2009, FHWA contacted </w:t>
      </w:r>
      <w:r w:rsidRPr="002D3263">
        <w:t>a number of</w:t>
      </w:r>
      <w:r w:rsidRPr="002D3263">
        <w:t xml:space="preserve"> entities to determine what displacing </w:t>
      </w:r>
      <w:r w:rsidR="007D41B2">
        <w:t>A</w:t>
      </w:r>
      <w:r w:rsidRPr="002D3263">
        <w:t xml:space="preserve">gency administrative effort and costs are specifically associated with last resort claims. </w:t>
      </w:r>
      <w:r w:rsidR="00B210CA">
        <w:t xml:space="preserve"> </w:t>
      </w:r>
      <w:r w:rsidRPr="002D3263">
        <w:t xml:space="preserve">The majority of those contacted were able to provide an estimate of the amount of administrative time typically spent on developing both a written justification for use of last resort housing payments and the administrative effort expended to review and approve the payment claim. </w:t>
      </w:r>
      <w:r w:rsidR="00B210CA">
        <w:t xml:space="preserve"> </w:t>
      </w:r>
      <w:r w:rsidRPr="002D3263">
        <w:t xml:space="preserve">Analysis of the information provided indicates that on average a last resort housing claim requires approximately an additional 1.5 hours of displacing </w:t>
      </w:r>
      <w:r w:rsidR="007D41B2">
        <w:t>A</w:t>
      </w:r>
      <w:r w:rsidRPr="002D3263">
        <w:t>gency administrative time for review and approval.</w:t>
      </w:r>
    </w:p>
    <w:p w:rsidR="00A268E9" w:rsidRPr="002D3263" w:rsidP="00EF4CBB" w14:paraId="0831797F" w14:textId="7E6C8C5B">
      <w:pPr>
        <w:pStyle w:val="Body"/>
        <w:widowControl/>
      </w:pPr>
      <w:r w:rsidRPr="002D3263">
        <w:t xml:space="preserve">The average hourly wage for managers in State government for </w:t>
      </w:r>
      <w:r w:rsidRPr="002D3263" w:rsidR="00D35F7D">
        <w:t>2021</w:t>
      </w:r>
      <w:r w:rsidRPr="002D3263">
        <w:t xml:space="preserve"> is $</w:t>
      </w:r>
      <w:r w:rsidRPr="002D3263" w:rsidR="00D35F7D">
        <w:t>47.69</w:t>
      </w:r>
      <w:r w:rsidRPr="002D3263">
        <w:t>.</w:t>
      </w:r>
      <w:r>
        <w:rPr>
          <w:rStyle w:val="FootnoteReference"/>
        </w:rPr>
        <w:footnoteReference w:id="14"/>
      </w:r>
      <w:r w:rsidRPr="002D3263">
        <w:t xml:space="preserve"> To account for the cost of employer provided benefits, we multiply the wage rate by a factor of 1.56 to arrive at $</w:t>
      </w:r>
      <w:r w:rsidRPr="002D3263" w:rsidR="00D35F7D">
        <w:t>74</w:t>
      </w:r>
      <w:r w:rsidRPr="002D3263">
        <w:t xml:space="preserve"> savings for each hour administrative time saved due to the final rule.</w:t>
      </w:r>
      <w:r>
        <w:rPr>
          <w:rStyle w:val="FootnoteReference"/>
        </w:rPr>
        <w:footnoteReference w:id="15"/>
      </w:r>
    </w:p>
    <w:p w:rsidR="00A268E9" w:rsidRPr="002D3263" w:rsidP="00EF4CBB" w14:paraId="6D0EC30B" w14:textId="5DDA69C8">
      <w:pPr>
        <w:pStyle w:val="Body"/>
        <w:widowControl/>
      </w:pPr>
      <w:r w:rsidRPr="002D3263">
        <w:t xml:space="preserve">To estimate the cost savings related to reduced displacing </w:t>
      </w:r>
      <w:r w:rsidR="007D41B2">
        <w:t>A</w:t>
      </w:r>
      <w:r w:rsidRPr="002D3263">
        <w:t>gency administrative time needed for use of last resort housing payments due to the final rule, we estimated the change in the number of residential relocations using last resort housing payments due to the final rule each year during the analysis period.</w:t>
      </w:r>
      <w:r w:rsidR="00B210CA">
        <w:t xml:space="preserve"> </w:t>
      </w:r>
      <w:r w:rsidRPr="002D3263">
        <w:t xml:space="preserve"> We then multiplied that number by 1.5 hours of administrative time reduction, and then multiply by $</w:t>
      </w:r>
      <w:r w:rsidRPr="002D3263" w:rsidR="00D35F7D">
        <w:t>74</w:t>
      </w:r>
      <w:r w:rsidRPr="002D3263">
        <w:t xml:space="preserve"> per hour (the cost savings related to one hour in administrative work.) </w:t>
      </w:r>
    </w:p>
    <w:p w:rsidR="00F24BE0" w:rsidRPr="00BC5A99" w:rsidP="00EF4CBB" w14:paraId="70097EAA" w14:textId="79C93DEC">
      <w:pPr>
        <w:pStyle w:val="Body"/>
        <w:widowControl/>
      </w:pPr>
      <w:r w:rsidRPr="00BC5A99">
        <w:t xml:space="preserve">Table A7 of Appendix A of this report shows the calculations related to this estimation process. </w:t>
      </w:r>
      <w:r w:rsidR="00B210CA">
        <w:t xml:space="preserve"> </w:t>
      </w:r>
      <w:r w:rsidRPr="00BC5A99">
        <w:t xml:space="preserve">It is assumed that on average </w:t>
      </w:r>
      <w:r w:rsidRPr="00BC5A99" w:rsidR="00D35F7D">
        <w:t>1,488</w:t>
      </w:r>
      <w:r w:rsidRPr="00BC5A99">
        <w:t xml:space="preserve"> residential relocations will occur each year of the analysis period. </w:t>
      </w:r>
      <w:r w:rsidR="00B210CA">
        <w:t xml:space="preserve"> </w:t>
      </w:r>
      <w:r w:rsidRPr="00BC5A99">
        <w:t>Under the current rule, we expect that the percent of residential relocations using last resort housing payments will continue to grow at 0.8 percentage points per year as shown in</w:t>
      </w:r>
      <w:r w:rsidRPr="00BC5A99" w:rsidR="00514AB7">
        <w:t xml:space="preserve"> </w:t>
      </w:r>
      <w:r w:rsidRPr="00BC5A99" w:rsidR="00514AB7">
        <w:fldChar w:fldCharType="begin"/>
      </w:r>
      <w:r w:rsidRPr="00BC5A99" w:rsidR="00514AB7">
        <w:instrText xml:space="preserve"> REF _Ref67991402 \h </w:instrText>
      </w:r>
      <w:r w:rsidRPr="00BC5A99" w:rsidR="00F62B83">
        <w:instrText xml:space="preserve"> \* MERGEFORMAT </w:instrText>
      </w:r>
      <w:r w:rsidRPr="00BC5A99" w:rsidR="00514AB7">
        <w:fldChar w:fldCharType="separate"/>
      </w:r>
      <w:r w:rsidRPr="002D3263" w:rsidR="00E762F5">
        <w:t xml:space="preserve">Figure </w:t>
      </w:r>
      <w:r w:rsidR="00E762F5">
        <w:rPr>
          <w:noProof/>
        </w:rPr>
        <w:t>2</w:t>
      </w:r>
      <w:r w:rsidRPr="00BC5A99" w:rsidR="00514AB7">
        <w:fldChar w:fldCharType="end"/>
      </w:r>
      <w:r w:rsidRPr="00BC5A99">
        <w:t xml:space="preserve">. </w:t>
      </w:r>
      <w:r w:rsidR="00B210CA">
        <w:t xml:space="preserve"> </w:t>
      </w:r>
      <w:r w:rsidRPr="00BC5A99" w:rsidR="003D2EB1">
        <w:t>Following that trend, the percent using last resort</w:t>
      </w:r>
      <w:r w:rsidRPr="00BC5A99" w:rsidR="003874D4">
        <w:t xml:space="preserve"> would reach about 51 percent by 2023. </w:t>
      </w:r>
      <w:r w:rsidR="00B210CA">
        <w:t xml:space="preserve"> </w:t>
      </w:r>
      <w:r w:rsidRPr="00BC5A99" w:rsidR="003874D4">
        <w:t xml:space="preserve">However, </w:t>
      </w:r>
      <w:r w:rsidRPr="00BC5A99" w:rsidR="003874D4">
        <w:t>a</w:t>
      </w:r>
      <w:r w:rsidRPr="00BC5A99">
        <w:t>s a result of</w:t>
      </w:r>
      <w:r w:rsidRPr="00BC5A99">
        <w:t xml:space="preserve"> the higher statutory limits in the final rule, we expect that the percent of relocations </w:t>
      </w:r>
      <w:r w:rsidRPr="00BC5A99">
        <w:rPr>
          <w:color w:val="000000" w:themeColor="text1"/>
        </w:rPr>
        <w:t xml:space="preserve">using the last resort housing payment would decrease. </w:t>
      </w:r>
      <w:r w:rsidR="00B210CA">
        <w:rPr>
          <w:color w:val="000000" w:themeColor="text1"/>
        </w:rPr>
        <w:t xml:space="preserve"> </w:t>
      </w:r>
      <w:r w:rsidRPr="00BC5A99">
        <w:rPr>
          <w:color w:val="000000" w:themeColor="text1"/>
        </w:rPr>
        <w:t xml:space="preserve">While there is uncertainty regarding the magnitude of the expected drop, an estimate can be made by comparing </w:t>
      </w:r>
      <w:r w:rsidRPr="00BC5A99" w:rsidR="001D1E5D">
        <w:rPr>
          <w:color w:val="000000" w:themeColor="text1"/>
        </w:rPr>
        <w:t xml:space="preserve">the real value of the RHP maximum (in constant 2021 dollars) </w:t>
      </w:r>
      <w:r w:rsidRPr="00BC5A99">
        <w:rPr>
          <w:color w:val="000000" w:themeColor="text1"/>
        </w:rPr>
        <w:t>to the percentage of last resort payments</w:t>
      </w:r>
      <w:r w:rsidRPr="00BC5A99" w:rsidR="001D1E5D">
        <w:rPr>
          <w:color w:val="000000" w:themeColor="text1"/>
        </w:rPr>
        <w:t xml:space="preserve"> that would </w:t>
      </w:r>
      <w:r w:rsidRPr="00BC5A99" w:rsidR="00195CA8">
        <w:rPr>
          <w:color w:val="000000" w:themeColor="text1"/>
        </w:rPr>
        <w:t xml:space="preserve">be </w:t>
      </w:r>
      <w:r w:rsidRPr="00BC5A99" w:rsidR="001D1E5D">
        <w:rPr>
          <w:color w:val="000000" w:themeColor="text1"/>
        </w:rPr>
        <w:t>predicted for that level of the RHP maximum</w:t>
      </w:r>
      <w:r w:rsidRPr="00BC5A99">
        <w:rPr>
          <w:color w:val="000000" w:themeColor="text1"/>
        </w:rPr>
        <w:t>.</w:t>
      </w:r>
      <w:r>
        <w:rPr>
          <w:rStyle w:val="FootnoteReference"/>
          <w:color w:val="000000" w:themeColor="text1"/>
        </w:rPr>
        <w:footnoteReference w:id="16"/>
      </w:r>
      <w:r w:rsidRPr="00BC5A99">
        <w:rPr>
          <w:color w:val="000000" w:themeColor="text1"/>
        </w:rPr>
        <w:t xml:space="preserve"> </w:t>
      </w:r>
      <w:r w:rsidR="00B210CA">
        <w:rPr>
          <w:color w:val="000000" w:themeColor="text1"/>
        </w:rPr>
        <w:t xml:space="preserve"> </w:t>
      </w:r>
      <w:r w:rsidRPr="00BC5A99" w:rsidR="00561F6F">
        <w:t xml:space="preserve">The </w:t>
      </w:r>
      <w:r w:rsidRPr="00BC5A99" w:rsidR="001D1E5D">
        <w:t>final rule’s RHP maximum of $</w:t>
      </w:r>
      <w:r w:rsidR="003976D0">
        <w:t>41,200</w:t>
      </w:r>
      <w:r w:rsidRPr="00BC5A99" w:rsidR="001D1E5D">
        <w:t xml:space="preserve"> is roughly </w:t>
      </w:r>
      <w:r w:rsidRPr="00BC5A99" w:rsidR="007378B1">
        <w:t>$</w:t>
      </w:r>
      <w:r w:rsidR="00144675">
        <w:t>3</w:t>
      </w:r>
      <w:r w:rsidR="003976D0">
        <w:t>6,174</w:t>
      </w:r>
      <w:r w:rsidRPr="00BC5A99" w:rsidR="001D1E5D">
        <w:t xml:space="preserve"> in 2021 dollars</w:t>
      </w:r>
      <w:r w:rsidRPr="00BC5A99" w:rsidR="00195CA8">
        <w:t xml:space="preserve"> ($</w:t>
      </w:r>
      <w:r w:rsidR="003976D0">
        <w:t>41,200</w:t>
      </w:r>
      <w:r w:rsidRPr="00BC5A99" w:rsidR="00195CA8">
        <w:t xml:space="preserve"> * 0.</w:t>
      </w:r>
      <w:r w:rsidR="003976D0">
        <w:t>878</w:t>
      </w:r>
      <w:r w:rsidRPr="00BC5A99" w:rsidR="00195CA8">
        <w:t>)</w:t>
      </w:r>
      <w:r w:rsidRPr="00BC5A99" w:rsidR="00561F6F">
        <w:t xml:space="preserve"> (see column [d] of Table A15 in Appendix)</w:t>
      </w:r>
      <w:r w:rsidRPr="00BC5A99" w:rsidR="001D1E5D">
        <w:t xml:space="preserve">. </w:t>
      </w:r>
      <w:r w:rsidR="00B210CA">
        <w:t xml:space="preserve"> </w:t>
      </w:r>
      <w:r w:rsidRPr="00BC5A99" w:rsidR="001D1E5D">
        <w:t xml:space="preserve">In </w:t>
      </w:r>
      <w:r w:rsidR="001C392D">
        <w:t>1999</w:t>
      </w:r>
      <w:r w:rsidRPr="00BC5A99" w:rsidR="001D1E5D">
        <w:t>, the RHP maximum</w:t>
      </w:r>
      <w:r w:rsidRPr="00BC5A99">
        <w:t xml:space="preserve"> of $22,500 in nominal dollars</w:t>
      </w:r>
      <w:r w:rsidRPr="00BC5A99" w:rsidR="001D1E5D">
        <w:t xml:space="preserve"> </w:t>
      </w:r>
      <w:r w:rsidRPr="00BC5A99" w:rsidR="003874D4">
        <w:t xml:space="preserve">reaches a similar amount </w:t>
      </w:r>
      <w:r w:rsidRPr="00BC5A99" w:rsidR="001D1E5D">
        <w:t>in 2021 dollars ($</w:t>
      </w:r>
      <w:r w:rsidR="00144675">
        <w:t>3</w:t>
      </w:r>
      <w:r w:rsidR="001C392D">
        <w:t>6,608</w:t>
      </w:r>
      <w:r w:rsidRPr="00BC5A99" w:rsidR="001D1E5D">
        <w:t>)</w:t>
      </w:r>
      <w:r w:rsidRPr="00BC5A99">
        <w:t xml:space="preserve"> </w:t>
      </w:r>
      <w:r w:rsidRPr="00BC5A99" w:rsidR="001D1E5D">
        <w:t>and the regression model suggests that roughly 3</w:t>
      </w:r>
      <w:r w:rsidR="001C392D">
        <w:t>2</w:t>
      </w:r>
      <w:r w:rsidRPr="00BC5A99" w:rsidR="001D1E5D">
        <w:t xml:space="preserve"> percent of residential relocations used last resort during that year</w:t>
      </w:r>
      <w:r w:rsidRPr="00BC5A99" w:rsidR="007378B1">
        <w:t xml:space="preserve"> (</w:t>
      </w:r>
      <w:r w:rsidRPr="00BC5A99" w:rsidR="00D028F2">
        <w:t xml:space="preserve">see column [d] and [e] of </w:t>
      </w:r>
      <w:r w:rsidRPr="00BC5A99" w:rsidR="007378B1">
        <w:t>Table A7)</w:t>
      </w:r>
      <w:r w:rsidRPr="00BC5A99" w:rsidR="001D1E5D">
        <w:t>.</w:t>
      </w:r>
      <w:r w:rsidR="00B210CA">
        <w:t xml:space="preserve"> </w:t>
      </w:r>
      <w:r w:rsidRPr="00BC5A99" w:rsidR="001D1E5D">
        <w:t xml:space="preserve"> Therefore, we estimate that the percent using last resort housing payment </w:t>
      </w:r>
      <w:r w:rsidRPr="00BC5A99" w:rsidR="007378B1">
        <w:t xml:space="preserve">in </w:t>
      </w:r>
      <w:r w:rsidRPr="001C392D" w:rsidR="007378B1">
        <w:t>2023</w:t>
      </w:r>
      <w:r w:rsidRPr="00BC5A99" w:rsidR="007378B1">
        <w:t xml:space="preserve"> </w:t>
      </w:r>
      <w:r w:rsidRPr="00BC5A99" w:rsidR="001D1E5D">
        <w:t>would drop from 51 percent in the baseline to 3</w:t>
      </w:r>
      <w:r w:rsidR="001C392D">
        <w:t>2</w:t>
      </w:r>
      <w:r w:rsidRPr="00BC5A99" w:rsidR="001D1E5D">
        <w:t xml:space="preserve"> percent under the final rule</w:t>
      </w:r>
      <w:r w:rsidRPr="00BC5A99" w:rsidR="00BC6FFD">
        <w:t xml:space="preserve">. </w:t>
      </w:r>
      <w:r w:rsidR="00B210CA">
        <w:t xml:space="preserve"> </w:t>
      </w:r>
      <w:r w:rsidRPr="00BC5A99">
        <w:t xml:space="preserve">We assume that the percent of households receiving a last resort housing payment would then continue to grow at 0.8 percentage points per year until </w:t>
      </w:r>
      <w:r w:rsidRPr="001C392D" w:rsidR="00BE0300">
        <w:t xml:space="preserve">the </w:t>
      </w:r>
      <w:r w:rsidRPr="001C392D">
        <w:t xml:space="preserve">amounts </w:t>
      </w:r>
      <w:r w:rsidRPr="001C392D" w:rsidR="00BE0300">
        <w:t>are</w:t>
      </w:r>
      <w:r w:rsidRPr="001C392D">
        <w:t xml:space="preserve"> adjusted for inflation</w:t>
      </w:r>
      <w:r w:rsidRPr="001C392D" w:rsidR="001A41CE">
        <w:t xml:space="preserve"> or other factors.</w:t>
      </w:r>
      <w:r w:rsidRPr="00BC5A99" w:rsidR="001A41CE">
        <w:t xml:space="preserve"> </w:t>
      </w:r>
    </w:p>
    <w:p w:rsidR="003519DB" w:rsidRPr="00BC5A99" w:rsidP="00EF4CBB" w14:paraId="7BDEBFE4" w14:textId="177CB8AD">
      <w:pPr>
        <w:pStyle w:val="Body"/>
        <w:widowControl/>
      </w:pPr>
      <w:r w:rsidRPr="00BC5A99">
        <w:t>The final rule is flexible, allow</w:t>
      </w:r>
      <w:r w:rsidRPr="00BC5A99" w:rsidR="00F62B83">
        <w:t>ing</w:t>
      </w:r>
      <w:r w:rsidRPr="00BC5A99">
        <w:t xml:space="preserve"> such adjustments to </w:t>
      </w:r>
      <w:r w:rsidRPr="00BC5A99">
        <w:t>occur</w:t>
      </w:r>
      <w:r w:rsidRPr="00BC5A99">
        <w:t xml:space="preserve"> when necessary, but this analysis explores a scenario with adjustment</w:t>
      </w:r>
      <w:r w:rsidRPr="00BC5A99" w:rsidR="002A5A80">
        <w:t>s</w:t>
      </w:r>
      <w:r w:rsidRPr="00BC5A99" w:rsidR="000C22CD">
        <w:t xml:space="preserve"> </w:t>
      </w:r>
      <w:r w:rsidR="001C392D">
        <w:t xml:space="preserve">roughly every </w:t>
      </w:r>
      <w:r w:rsidR="00335593">
        <w:t>2-3</w:t>
      </w:r>
      <w:r w:rsidR="001C392D">
        <w:t xml:space="preserve"> years in the</w:t>
      </w:r>
      <w:r w:rsidRPr="00BC5A99" w:rsidR="000C22CD">
        <w:t xml:space="preserve"> analysis period</w:t>
      </w:r>
      <w:r w:rsidRPr="00BC5A99" w:rsidR="00B76F04">
        <w:t xml:space="preserve"> (</w:t>
      </w:r>
      <w:r w:rsidRPr="001C392D" w:rsidR="001D1E5D">
        <w:t>2025, 2028 and 2031</w:t>
      </w:r>
      <w:r w:rsidRPr="00BC5A99" w:rsidR="001D1E5D">
        <w:t>)</w:t>
      </w:r>
      <w:r w:rsidRPr="00BC5A99" w:rsidR="000C22CD">
        <w:t>.</w:t>
      </w:r>
      <w:r w:rsidRPr="00BC5A99" w:rsidR="00D028F2">
        <w:t xml:space="preserve"> </w:t>
      </w:r>
      <w:r w:rsidR="00B210CA">
        <w:t xml:space="preserve"> </w:t>
      </w:r>
      <w:r w:rsidRPr="00BC5A99" w:rsidR="00D028F2">
        <w:t xml:space="preserve">As shown in Table A15, </w:t>
      </w:r>
      <w:r w:rsidR="00A83C13">
        <w:t>a</w:t>
      </w:r>
      <w:r w:rsidRPr="00BC5A99" w:rsidR="008C5371">
        <w:t xml:space="preserve">n analyst seeking to update the amounts in </w:t>
      </w:r>
      <w:r w:rsidRPr="001C392D" w:rsidR="008C5371">
        <w:t>2025</w:t>
      </w:r>
      <w:r w:rsidRPr="00BC5A99" w:rsidR="008C5371">
        <w:t xml:space="preserve"> would calculate the factor by dividing the most recent CPI (</w:t>
      </w:r>
      <w:r w:rsidR="009237FC">
        <w:t xml:space="preserve">for an adjustment </w:t>
      </w:r>
      <w:r w:rsidRPr="00BC5A99" w:rsidR="008C5371">
        <w:t xml:space="preserve">in 2025, </w:t>
      </w:r>
      <w:r w:rsidR="009237FC">
        <w:t xml:space="preserve">this analysis approximates using the </w:t>
      </w:r>
      <w:r w:rsidRPr="00BC5A99" w:rsidR="008C5371">
        <w:t xml:space="preserve">CPI from 2024) by the CPI from </w:t>
      </w:r>
      <w:r w:rsidR="001C392D">
        <w:t>June 2023</w:t>
      </w:r>
      <w:r w:rsidRPr="00BC5A99" w:rsidR="008C5371">
        <w:t xml:space="preserve">. </w:t>
      </w:r>
      <w:r w:rsidR="00B210CA">
        <w:t xml:space="preserve"> </w:t>
      </w:r>
      <w:r w:rsidRPr="00BC5A99" w:rsidR="008C5371">
        <w:t xml:space="preserve">To estimate what the CPI would be in 2024, we use the most recent CPI available to us which is </w:t>
      </w:r>
      <w:r w:rsidR="001C392D">
        <w:t>305.1 for June 2023</w:t>
      </w:r>
      <w:r w:rsidRPr="00BC5A99" w:rsidR="008C5371">
        <w:t xml:space="preserve"> and adjust for </w:t>
      </w:r>
      <w:r w:rsidR="009237FC">
        <w:t xml:space="preserve">one and a half </w:t>
      </w:r>
      <w:r w:rsidRPr="00BC5A99" w:rsidR="008C5371">
        <w:t xml:space="preserve">more </w:t>
      </w:r>
      <w:r w:rsidRPr="00BC5A99" w:rsidR="008C5371">
        <w:t>years</w:t>
      </w:r>
      <w:r w:rsidRPr="00BC5A99" w:rsidR="008C5371">
        <w:t xml:space="preserve"> of expected inflation, </w:t>
      </w:r>
      <w:r w:rsidRPr="00BC5A99" w:rsidR="008C5371">
        <w:t>whi</w:t>
      </w:r>
      <w:r w:rsidR="007D41B2">
        <w:t>I</w:t>
      </w:r>
      <w:r w:rsidRPr="00BC5A99" w:rsidR="00294452">
        <w:t>e</w:t>
      </w:r>
      <w:r w:rsidRPr="00BC5A99" w:rsidR="00294452">
        <w:t xml:space="preserve"> </w:t>
      </w:r>
      <w:r w:rsidR="00C774F2">
        <w:t xml:space="preserve">the </w:t>
      </w:r>
      <w:r w:rsidRPr="00BC5A99" w:rsidR="00294452">
        <w:t>Presidents FY</w:t>
      </w:r>
      <w:r w:rsidR="004003F7">
        <w:t xml:space="preserve"> </w:t>
      </w:r>
      <w:r w:rsidRPr="00BC5A99" w:rsidR="00294452">
        <w:t xml:space="preserve">23 </w:t>
      </w:r>
      <w:r w:rsidRPr="00BC5A99" w:rsidR="008C5371">
        <w:t xml:space="preserve">Budget puts at </w:t>
      </w:r>
      <w:r w:rsidRPr="00BC5A99" w:rsidR="00294452">
        <w:t>2.3 percent per year.</w:t>
      </w:r>
      <w:r>
        <w:rPr>
          <w:rStyle w:val="FootnoteReference"/>
        </w:rPr>
        <w:footnoteReference w:id="17"/>
      </w:r>
      <w:r w:rsidRPr="00BC5A99" w:rsidR="00294452">
        <w:t xml:space="preserve"> </w:t>
      </w:r>
      <w:r w:rsidR="00B210CA">
        <w:t xml:space="preserve"> </w:t>
      </w:r>
      <w:r w:rsidRPr="00BC5A99" w:rsidR="008C5371">
        <w:t>As shown in Table A15, the resulting factor is 1.</w:t>
      </w:r>
      <w:r w:rsidR="00A83C13">
        <w:t>0</w:t>
      </w:r>
      <w:r w:rsidR="009237FC">
        <w:t>3</w:t>
      </w:r>
      <w:r w:rsidRPr="00BC5A99" w:rsidR="008C5371">
        <w:t xml:space="preserve"> (30</w:t>
      </w:r>
      <w:r w:rsidR="009237FC">
        <w:t>5.1</w:t>
      </w:r>
      <w:r w:rsidRPr="00BC5A99" w:rsidR="008C5371">
        <w:t xml:space="preserve">/ </w:t>
      </w:r>
      <w:r w:rsidR="009237FC">
        <w:t>315.7</w:t>
      </w:r>
      <w:r w:rsidRPr="00BC5A99" w:rsidR="008C5371">
        <w:t xml:space="preserve">). </w:t>
      </w:r>
      <w:r w:rsidRPr="00BC5A99" w:rsidR="00B76F04">
        <w:t>Therefore</w:t>
      </w:r>
      <w:r w:rsidRPr="00BC5A99" w:rsidR="005832BE">
        <w:t>,</w:t>
      </w:r>
      <w:r w:rsidRPr="00BC5A99" w:rsidR="00B76F04">
        <w:t xml:space="preserve"> we assume that an adjustment made in 2025 would result an adjustment of </w:t>
      </w:r>
      <w:r w:rsidR="009237FC">
        <w:t>3</w:t>
      </w:r>
      <w:r w:rsidRPr="00BC5A99" w:rsidR="00B76F04">
        <w:t xml:space="preserve"> percent</w:t>
      </w:r>
      <w:r w:rsidRPr="00BC5A99" w:rsidR="0044416A">
        <w:t xml:space="preserve"> such</w:t>
      </w:r>
      <w:r w:rsidRPr="00BC5A99" w:rsidR="008C5371">
        <w:t xml:space="preserve"> </w:t>
      </w:r>
      <w:r w:rsidRPr="00BC5A99" w:rsidR="00BC6FFD">
        <w:t xml:space="preserve">that the RHP for homeowners would rise to </w:t>
      </w:r>
      <w:r w:rsidRPr="00BC5A99" w:rsidR="008C5371">
        <w:t>$</w:t>
      </w:r>
      <w:r w:rsidR="009237FC">
        <w:t>42,436</w:t>
      </w:r>
      <w:r w:rsidRPr="00BC5A99" w:rsidR="008C5371">
        <w:t xml:space="preserve"> and the RRHP would rise to $9,</w:t>
      </w:r>
      <w:r w:rsidR="009237FC">
        <w:t>857</w:t>
      </w:r>
      <w:r w:rsidRPr="00BC5A99" w:rsidR="00D028F2">
        <w:t>.</w:t>
      </w:r>
      <w:r w:rsidR="00B210CA">
        <w:t xml:space="preserve"> </w:t>
      </w:r>
      <w:r w:rsidRPr="00BC5A99" w:rsidR="00D028F2">
        <w:t xml:space="preserve"> </w:t>
      </w:r>
      <w:r w:rsidRPr="00BC5A99" w:rsidR="005832BE">
        <w:t>Expressed in 2021 dollars, those amounts are $</w:t>
      </w:r>
      <w:r w:rsidR="009237FC">
        <w:t>36,410</w:t>
      </w:r>
      <w:r w:rsidRPr="00BC5A99" w:rsidR="005832BE">
        <w:t xml:space="preserve"> and $8,</w:t>
      </w:r>
      <w:r w:rsidR="009237FC">
        <w:t>457</w:t>
      </w:r>
      <w:r w:rsidRPr="00BC5A99" w:rsidR="005832BE">
        <w:t xml:space="preserve"> respectively. </w:t>
      </w:r>
      <w:r w:rsidR="00B210CA">
        <w:t xml:space="preserve"> </w:t>
      </w:r>
      <w:r w:rsidRPr="00BC5A99" w:rsidR="00A268E9">
        <w:t xml:space="preserve">At that time, we expect that the percent of households receiving last resort housing payments </w:t>
      </w:r>
      <w:r w:rsidRPr="00BC5A99" w:rsidR="00BC6FFD">
        <w:t xml:space="preserve">drop to </w:t>
      </w:r>
      <w:r w:rsidRPr="00BC5A99" w:rsidR="00A268E9">
        <w:t xml:space="preserve">the predicted level </w:t>
      </w:r>
      <w:r w:rsidR="00170A8F">
        <w:t>1999</w:t>
      </w:r>
      <w:r w:rsidRPr="00BC5A99" w:rsidR="005832BE">
        <w:t xml:space="preserve"> levels</w:t>
      </w:r>
      <w:r w:rsidRPr="00BC5A99" w:rsidR="00BC6FFD">
        <w:t xml:space="preserve"> when a similar level of payment (in real terms) was in place</w:t>
      </w:r>
      <w:r w:rsidRPr="00BC5A99" w:rsidR="00D028F2">
        <w:t xml:space="preserve"> (see Table A7)</w:t>
      </w:r>
      <w:r w:rsidRPr="00BC5A99" w:rsidR="00BC6FFD">
        <w:t xml:space="preserve">. </w:t>
      </w:r>
      <w:r w:rsidR="00B210CA">
        <w:t xml:space="preserve"> </w:t>
      </w:r>
      <w:r w:rsidRPr="00BC5A99" w:rsidR="00BC6FFD">
        <w:t xml:space="preserve">That percentage is roughly </w:t>
      </w:r>
      <w:r w:rsidR="00170A8F">
        <w:t>32</w:t>
      </w:r>
      <w:r w:rsidRPr="00BC5A99" w:rsidR="00BC6FFD">
        <w:t xml:space="preserve"> percent</w:t>
      </w:r>
      <w:r w:rsidRPr="00BC5A99" w:rsidR="00A268E9">
        <w:t>.</w:t>
      </w:r>
      <w:r w:rsidRPr="00BC5A99">
        <w:t xml:space="preserve"> </w:t>
      </w:r>
      <w:r w:rsidR="00B210CA">
        <w:t xml:space="preserve"> </w:t>
      </w:r>
      <w:r w:rsidRPr="00BC5A99">
        <w:t>The subsequent inflation adjustments</w:t>
      </w:r>
      <w:r w:rsidRPr="00BC5A99" w:rsidR="005832BE">
        <w:t xml:space="preserve"> will </w:t>
      </w:r>
      <w:r w:rsidR="00207BB5">
        <w:t>remain</w:t>
      </w:r>
      <w:r w:rsidRPr="00BC5A99">
        <w:t xml:space="preserve"> minor</w:t>
      </w:r>
      <w:r w:rsidRPr="00BC5A99" w:rsidR="005832BE">
        <w:t xml:space="preserve"> if they are done </w:t>
      </w:r>
      <w:r w:rsidRPr="00BC5A99" w:rsidR="005832BE">
        <w:t>fairly regularly</w:t>
      </w:r>
      <w:r w:rsidRPr="00BC5A99" w:rsidR="005832BE">
        <w:t xml:space="preserve"> to keep up with inflation and each subsequent inflation adjustment will move the percent of households receiving last resort payments back to its </w:t>
      </w:r>
      <w:r w:rsidR="00170A8F">
        <w:t>1999</w:t>
      </w:r>
      <w:r w:rsidRPr="00BC5A99" w:rsidR="005832BE">
        <w:t xml:space="preserve"> level. </w:t>
      </w:r>
    </w:p>
    <w:p w:rsidR="00A268E9" w:rsidRPr="002D3263" w:rsidP="00EF4CBB" w14:paraId="1C8DE240" w14:textId="4CC927B2">
      <w:pPr>
        <w:pStyle w:val="Body"/>
        <w:widowControl/>
      </w:pPr>
      <w:r w:rsidRPr="00BC5A99">
        <w:t xml:space="preserve">These calculations suggest that </w:t>
      </w:r>
      <w:r w:rsidRPr="00BC5A99" w:rsidR="003519DB">
        <w:t xml:space="preserve">between </w:t>
      </w:r>
      <w:r w:rsidR="00170A8F">
        <w:t>286</w:t>
      </w:r>
      <w:r w:rsidRPr="00BC5A99" w:rsidR="003519DB">
        <w:t xml:space="preserve"> and </w:t>
      </w:r>
      <w:r w:rsidR="00170A8F">
        <w:t>381</w:t>
      </w:r>
      <w:r w:rsidRPr="00BC5A99" w:rsidR="003519DB">
        <w:t xml:space="preserve"> </w:t>
      </w:r>
      <w:r w:rsidRPr="00BC5A99">
        <w:t xml:space="preserve">fewer households would receive last resort housing payments </w:t>
      </w:r>
      <w:r w:rsidRPr="00BC5A99" w:rsidR="003519DB">
        <w:t xml:space="preserve">per year </w:t>
      </w:r>
      <w:r w:rsidRPr="00BC5A99">
        <w:t xml:space="preserve">resulting in </w:t>
      </w:r>
      <w:r w:rsidRPr="00BC5A99" w:rsidR="003519DB">
        <w:t xml:space="preserve">between </w:t>
      </w:r>
      <w:r w:rsidR="00170A8F">
        <w:t>429</w:t>
      </w:r>
      <w:r w:rsidRPr="00BC5A99" w:rsidR="003519DB">
        <w:t xml:space="preserve"> and </w:t>
      </w:r>
      <w:r w:rsidR="00170A8F">
        <w:t>571</w:t>
      </w:r>
      <w:r w:rsidRPr="00BC5A99" w:rsidR="003519DB">
        <w:t xml:space="preserve"> fewer</w:t>
      </w:r>
      <w:r w:rsidRPr="00BC5A99">
        <w:t xml:space="preserve"> hours spent in administering the program.</w:t>
      </w:r>
      <w:r w:rsidR="00B210CA">
        <w:t xml:space="preserve"> </w:t>
      </w:r>
      <w:r w:rsidRPr="00BC5A99">
        <w:t xml:space="preserve"> When valued at $</w:t>
      </w:r>
      <w:r w:rsidRPr="00BC5A99" w:rsidR="007152AE">
        <w:t>74</w:t>
      </w:r>
      <w:r w:rsidRPr="00BC5A99">
        <w:t xml:space="preserve"> per hour,</w:t>
      </w:r>
      <w:r w:rsidRPr="00BC5A99" w:rsidR="00274923">
        <w:t xml:space="preserve"> </w:t>
      </w:r>
      <w:r w:rsidRPr="00BC5A99" w:rsidR="003519DB">
        <w:t xml:space="preserve">summed over the </w:t>
      </w:r>
      <w:r w:rsidRPr="00BC5A99" w:rsidR="003519DB">
        <w:t>10 year</w:t>
      </w:r>
      <w:r w:rsidRPr="00BC5A99" w:rsidR="003519DB">
        <w:t xml:space="preserve"> analysis period and discounted at 7 </w:t>
      </w:r>
      <w:r w:rsidRPr="00BC5A99" w:rsidR="003519DB">
        <w:t>percent, this provision of the final rule provides roughly $2</w:t>
      </w:r>
      <w:r w:rsidR="00170A8F">
        <w:t>36</w:t>
      </w:r>
      <w:r w:rsidRPr="00BC5A99" w:rsidR="003519DB">
        <w:t xml:space="preserve">,000 of administrative cost savings. </w:t>
      </w:r>
      <w:r w:rsidR="00B210CA">
        <w:t xml:space="preserve"> </w:t>
      </w:r>
      <w:r w:rsidRPr="00BC5A99">
        <w:t xml:space="preserve">The estimated cost savings of raising the </w:t>
      </w:r>
      <w:r w:rsidRPr="00BC5A99" w:rsidR="00EE62E4">
        <w:t xml:space="preserve">RHP </w:t>
      </w:r>
      <w:r w:rsidRPr="00BC5A99">
        <w:t>in the fin</w:t>
      </w:r>
      <w:r w:rsidRPr="00BC5A99" w:rsidR="003B6288">
        <w:t xml:space="preserve">al </w:t>
      </w:r>
      <w:r w:rsidRPr="00BC5A99">
        <w:t xml:space="preserve">rule are shown in </w:t>
      </w:r>
      <w:r w:rsidRPr="00BC5A99" w:rsidR="006433B4">
        <w:fldChar w:fldCharType="begin"/>
      </w:r>
      <w:r w:rsidRPr="00BC5A99" w:rsidR="006433B4">
        <w:instrText xml:space="preserve"> REF _Ref67991979 \h  \* MERGEFORMAT </w:instrText>
      </w:r>
      <w:r w:rsidRPr="00BC5A99" w:rsidR="006433B4">
        <w:fldChar w:fldCharType="separate"/>
      </w:r>
      <w:r w:rsidRPr="002D3263" w:rsidR="00E762F5">
        <w:t xml:space="preserve">Table </w:t>
      </w:r>
      <w:r w:rsidR="00E762F5">
        <w:rPr>
          <w:noProof/>
        </w:rPr>
        <w:t>2</w:t>
      </w:r>
      <w:r w:rsidRPr="00BC5A99" w:rsidR="006433B4">
        <w:fldChar w:fldCharType="end"/>
      </w:r>
      <w:r w:rsidRPr="00BC5A99">
        <w:fldChar w:fldCharType="begin"/>
      </w:r>
      <w:r w:rsidRPr="00BC5A99">
        <w:instrText xml:space="preserve"> REF _Ref67905978 \h </w:instrText>
      </w:r>
      <w:r w:rsidRPr="00BC5A99" w:rsidR="006433B4">
        <w:instrText xml:space="preserve"> \* MERGEFORMAT </w:instrText>
      </w:r>
      <w:r w:rsidR="00F903AF">
        <w:fldChar w:fldCharType="separate"/>
      </w:r>
      <w:r w:rsidRPr="00BC5A99">
        <w:fldChar w:fldCharType="end"/>
      </w:r>
      <w:r w:rsidRPr="00BC5A99">
        <w:t>.</w:t>
      </w:r>
    </w:p>
    <w:p w:rsidR="00A268E9" w:rsidRPr="002D3263" w:rsidP="00D6005F" w14:paraId="0A2D688D" w14:textId="273C5204">
      <w:pPr>
        <w:pStyle w:val="Caption"/>
      </w:pPr>
      <w:bookmarkStart w:id="40" w:name="_Ref67991979"/>
      <w:bookmarkStart w:id="41" w:name="_Toc127438088"/>
      <w:r w:rsidRPr="002D3263">
        <w:t xml:space="preserve">Table </w:t>
      </w:r>
      <w:r w:rsidRPr="002D3263">
        <w:rPr>
          <w:noProof/>
        </w:rPr>
        <w:fldChar w:fldCharType="begin"/>
      </w:r>
      <w:r w:rsidRPr="002D3263">
        <w:rPr>
          <w:noProof/>
        </w:rPr>
        <w:instrText xml:space="preserve"> SEQ Table \* ARABIC </w:instrText>
      </w:r>
      <w:r w:rsidRPr="002D3263">
        <w:rPr>
          <w:noProof/>
        </w:rPr>
        <w:fldChar w:fldCharType="separate"/>
      </w:r>
      <w:r w:rsidR="00E762F5">
        <w:rPr>
          <w:noProof/>
        </w:rPr>
        <w:t>2</w:t>
      </w:r>
      <w:r w:rsidRPr="002D3263">
        <w:rPr>
          <w:noProof/>
        </w:rPr>
        <w:fldChar w:fldCharType="end"/>
      </w:r>
      <w:bookmarkEnd w:id="40"/>
      <w:r w:rsidRPr="002D3263">
        <w:t>. Benefits from Increasing Maximum Amounts for Replacement Housing Assistance (FHWA)</w:t>
      </w:r>
      <w:bookmarkEnd w:id="41"/>
    </w:p>
    <w:tbl>
      <w:tblPr>
        <w:tblW w:w="5154" w:type="dxa"/>
        <w:jc w:val="center"/>
        <w:tblBorders>
          <w:insideH w:val="single" w:sz="4" w:space="0" w:color="auto"/>
          <w:insideV w:val="single" w:sz="4" w:space="0" w:color="auto"/>
        </w:tblBorders>
        <w:tblLayout w:type="fixed"/>
        <w:tblLook w:val="04A0"/>
      </w:tblPr>
      <w:tblGrid>
        <w:gridCol w:w="810"/>
        <w:gridCol w:w="1620"/>
        <w:gridCol w:w="1356"/>
        <w:gridCol w:w="1368"/>
      </w:tblGrid>
      <w:tr w14:paraId="3C26216E" w14:textId="77777777" w:rsidTr="004E296B">
        <w:tblPrEx>
          <w:tblW w:w="5154" w:type="dxa"/>
          <w:jc w:val="center"/>
          <w:tblBorders>
            <w:insideH w:val="single" w:sz="4" w:space="0" w:color="auto"/>
            <w:insideV w:val="single" w:sz="4" w:space="0" w:color="auto"/>
          </w:tblBorders>
          <w:tblLayout w:type="fixed"/>
          <w:tblLook w:val="04A0"/>
        </w:tblPrEx>
        <w:trPr>
          <w:trHeight w:val="342"/>
          <w:jc w:val="center"/>
        </w:trPr>
        <w:tc>
          <w:tcPr>
            <w:tcW w:w="810" w:type="dxa"/>
            <w:tcBorders>
              <w:top w:val="nil"/>
              <w:bottom w:val="single" w:sz="12" w:space="0" w:color="auto"/>
              <w:right w:val="nil"/>
            </w:tcBorders>
            <w:shd w:val="clear" w:color="auto" w:fill="auto"/>
            <w:vAlign w:val="center"/>
            <w:hideMark/>
          </w:tcPr>
          <w:p w:rsidR="00A268E9" w:rsidRPr="002D3263" w:rsidP="00EF4CBB" w14:paraId="0B109EA6" w14:textId="77777777">
            <w:pPr>
              <w:keepNext/>
              <w:widowControl/>
              <w:jc w:val="center"/>
              <w:rPr>
                <w:rFonts w:ascii="Calibri" w:hAnsi="Calibri"/>
                <w:b/>
              </w:rPr>
            </w:pPr>
            <w:r w:rsidRPr="002D3263">
              <w:rPr>
                <w:rFonts w:ascii="Calibri" w:hAnsi="Calibri" w:cs="Calibri"/>
                <w:b/>
                <w:bCs/>
                <w:color w:val="000000"/>
              </w:rPr>
              <w:t>Year</w:t>
            </w:r>
          </w:p>
        </w:tc>
        <w:tc>
          <w:tcPr>
            <w:tcW w:w="1620" w:type="dxa"/>
            <w:tcBorders>
              <w:top w:val="nil"/>
              <w:left w:val="nil"/>
              <w:bottom w:val="single" w:sz="12" w:space="0" w:color="auto"/>
              <w:right w:val="nil"/>
            </w:tcBorders>
            <w:vAlign w:val="center"/>
          </w:tcPr>
          <w:p w:rsidR="00A268E9" w:rsidRPr="002D3263" w:rsidP="00EF4CBB" w14:paraId="17A30D57" w14:textId="50C8946D">
            <w:pPr>
              <w:keepNext/>
              <w:widowControl/>
              <w:jc w:val="center"/>
              <w:rPr>
                <w:rFonts w:ascii="Calibri" w:hAnsi="Calibri"/>
                <w:b/>
              </w:rPr>
            </w:pPr>
            <w:r w:rsidRPr="002D3263">
              <w:rPr>
                <w:rFonts w:ascii="Calibri" w:hAnsi="Calibri" w:cs="Calibri"/>
                <w:b/>
                <w:bCs/>
                <w:color w:val="000000"/>
              </w:rPr>
              <w:t>Administrative Cost Savings (20</w:t>
            </w:r>
            <w:r w:rsidRPr="002D3263" w:rsidR="00634AAC">
              <w:rPr>
                <w:rFonts w:ascii="Calibri" w:hAnsi="Calibri" w:cs="Calibri"/>
                <w:b/>
                <w:bCs/>
                <w:color w:val="000000"/>
              </w:rPr>
              <w:t>21</w:t>
            </w:r>
            <w:r w:rsidRPr="002D3263">
              <w:rPr>
                <w:rFonts w:ascii="Calibri" w:hAnsi="Calibri" w:cs="Calibri"/>
                <w:b/>
                <w:bCs/>
                <w:color w:val="000000"/>
              </w:rPr>
              <w:t xml:space="preserve"> $)</w:t>
            </w:r>
          </w:p>
        </w:tc>
        <w:tc>
          <w:tcPr>
            <w:tcW w:w="1356" w:type="dxa"/>
            <w:tcBorders>
              <w:top w:val="nil"/>
              <w:left w:val="nil"/>
              <w:bottom w:val="single" w:sz="12" w:space="0" w:color="auto"/>
              <w:right w:val="nil"/>
            </w:tcBorders>
            <w:vAlign w:val="center"/>
          </w:tcPr>
          <w:p w:rsidR="00A268E9" w:rsidRPr="002D3263" w:rsidP="00EF4CBB" w14:paraId="65437D92" w14:textId="77777777">
            <w:pPr>
              <w:keepNext/>
              <w:widowControl/>
              <w:jc w:val="center"/>
              <w:rPr>
                <w:rFonts w:ascii="Calibri" w:hAnsi="Calibri"/>
                <w:b/>
              </w:rPr>
            </w:pPr>
            <w:r w:rsidRPr="002D3263">
              <w:rPr>
                <w:rFonts w:ascii="Calibri" w:hAnsi="Calibri" w:cs="Calibri"/>
                <w:b/>
                <w:bCs/>
                <w:color w:val="000000"/>
              </w:rPr>
              <w:t>Discounted 7%</w:t>
            </w:r>
          </w:p>
        </w:tc>
        <w:tc>
          <w:tcPr>
            <w:tcW w:w="1368" w:type="dxa"/>
            <w:tcBorders>
              <w:top w:val="nil"/>
              <w:left w:val="nil"/>
              <w:bottom w:val="single" w:sz="12" w:space="0" w:color="auto"/>
            </w:tcBorders>
            <w:vAlign w:val="center"/>
          </w:tcPr>
          <w:p w:rsidR="00A268E9" w:rsidRPr="002D3263" w:rsidP="00EF4CBB" w14:paraId="6935485E" w14:textId="77777777">
            <w:pPr>
              <w:keepNext/>
              <w:widowControl/>
              <w:jc w:val="center"/>
              <w:rPr>
                <w:rFonts w:ascii="Calibri" w:hAnsi="Calibri"/>
                <w:b/>
              </w:rPr>
            </w:pPr>
            <w:r w:rsidRPr="002D3263">
              <w:rPr>
                <w:rFonts w:ascii="Calibri" w:hAnsi="Calibri" w:cs="Calibri"/>
                <w:b/>
                <w:bCs/>
                <w:color w:val="000000"/>
              </w:rPr>
              <w:t>Discounted 3%</w:t>
            </w:r>
          </w:p>
        </w:tc>
      </w:tr>
      <w:tr w14:paraId="3388E471" w14:textId="77777777" w:rsidTr="004E296B">
        <w:tblPrEx>
          <w:tblW w:w="5154" w:type="dxa"/>
          <w:jc w:val="center"/>
          <w:tblLayout w:type="fixed"/>
          <w:tblLook w:val="04A0"/>
        </w:tblPrEx>
        <w:trPr>
          <w:trHeight w:val="300"/>
          <w:jc w:val="center"/>
        </w:trPr>
        <w:tc>
          <w:tcPr>
            <w:tcW w:w="810" w:type="dxa"/>
            <w:tcBorders>
              <w:top w:val="single" w:sz="12" w:space="0" w:color="auto"/>
              <w:left w:val="nil"/>
              <w:bottom w:val="nil"/>
              <w:right w:val="nil"/>
            </w:tcBorders>
            <w:shd w:val="clear" w:color="auto" w:fill="auto"/>
            <w:vAlign w:val="center"/>
            <w:hideMark/>
          </w:tcPr>
          <w:p w:rsidR="00170A8F" w:rsidRPr="002D3263" w:rsidP="00170A8F" w14:paraId="1DDD464A" w14:textId="39F2FF80">
            <w:pPr>
              <w:widowControl/>
              <w:jc w:val="center"/>
              <w:rPr>
                <w:rFonts w:ascii="Calibri" w:hAnsi="Calibri"/>
                <w:color w:val="000000"/>
              </w:rPr>
            </w:pPr>
            <w:r w:rsidRPr="002D3263">
              <w:rPr>
                <w:rFonts w:ascii="Calibri" w:hAnsi="Calibri" w:cs="Calibri"/>
                <w:color w:val="000000"/>
              </w:rPr>
              <w:t>2023</w:t>
            </w:r>
          </w:p>
        </w:tc>
        <w:tc>
          <w:tcPr>
            <w:tcW w:w="1620" w:type="dxa"/>
            <w:tcBorders>
              <w:top w:val="single" w:sz="12" w:space="0" w:color="auto"/>
              <w:left w:val="nil"/>
              <w:bottom w:val="nil"/>
              <w:right w:val="nil"/>
            </w:tcBorders>
            <w:vAlign w:val="center"/>
          </w:tcPr>
          <w:p w:rsidR="00170A8F" w:rsidRPr="002D3263" w:rsidP="00170A8F" w14:paraId="4CDE49BE" w14:textId="2F99AD09">
            <w:pPr>
              <w:widowControl/>
              <w:jc w:val="center"/>
              <w:rPr>
                <w:rFonts w:ascii="Calibri" w:hAnsi="Calibri"/>
                <w:color w:val="000000"/>
              </w:rPr>
            </w:pPr>
            <w:r>
              <w:rPr>
                <w:rFonts w:ascii="Calibri" w:hAnsi="Calibri" w:cs="Calibri"/>
                <w:color w:val="000000"/>
              </w:rPr>
              <w:t xml:space="preserve">$31,712 </w:t>
            </w:r>
          </w:p>
        </w:tc>
        <w:tc>
          <w:tcPr>
            <w:tcW w:w="1356" w:type="dxa"/>
            <w:tcBorders>
              <w:top w:val="single" w:sz="12" w:space="0" w:color="auto"/>
              <w:left w:val="nil"/>
              <w:bottom w:val="nil"/>
              <w:right w:val="nil"/>
            </w:tcBorders>
            <w:vAlign w:val="center"/>
          </w:tcPr>
          <w:p w:rsidR="00170A8F" w:rsidRPr="002D3263" w:rsidP="00170A8F" w14:paraId="06BFD518" w14:textId="35900E22">
            <w:pPr>
              <w:widowControl/>
              <w:jc w:val="center"/>
              <w:rPr>
                <w:rFonts w:ascii="Calibri" w:hAnsi="Calibri"/>
                <w:color w:val="000000"/>
              </w:rPr>
            </w:pPr>
            <w:r>
              <w:rPr>
                <w:rFonts w:ascii="Calibri" w:hAnsi="Calibri" w:cs="Calibri"/>
                <w:color w:val="000000"/>
              </w:rPr>
              <w:t xml:space="preserve">$27,699 </w:t>
            </w:r>
          </w:p>
        </w:tc>
        <w:tc>
          <w:tcPr>
            <w:tcW w:w="1368" w:type="dxa"/>
            <w:tcBorders>
              <w:top w:val="single" w:sz="12" w:space="0" w:color="auto"/>
              <w:left w:val="nil"/>
              <w:bottom w:val="nil"/>
              <w:right w:val="nil"/>
            </w:tcBorders>
            <w:vAlign w:val="center"/>
          </w:tcPr>
          <w:p w:rsidR="00170A8F" w:rsidRPr="002D3263" w:rsidP="00170A8F" w14:paraId="085EAFBF" w14:textId="727AFC59">
            <w:pPr>
              <w:widowControl/>
              <w:jc w:val="center"/>
              <w:rPr>
                <w:rFonts w:ascii="Calibri" w:hAnsi="Calibri"/>
                <w:color w:val="000000"/>
              </w:rPr>
            </w:pPr>
            <w:r>
              <w:rPr>
                <w:rFonts w:ascii="Calibri" w:hAnsi="Calibri" w:cs="Calibri"/>
                <w:color w:val="000000"/>
              </w:rPr>
              <w:t xml:space="preserve">$29,892 </w:t>
            </w:r>
          </w:p>
        </w:tc>
      </w:tr>
      <w:tr w14:paraId="1588F741" w14:textId="77777777" w:rsidTr="004E296B">
        <w:tblPrEx>
          <w:tblW w:w="5154" w:type="dxa"/>
          <w:jc w:val="center"/>
          <w:tblLayout w:type="fixed"/>
          <w:tblLook w:val="04A0"/>
        </w:tblPrEx>
        <w:trPr>
          <w:trHeight w:val="300"/>
          <w:jc w:val="center"/>
        </w:trPr>
        <w:tc>
          <w:tcPr>
            <w:tcW w:w="810" w:type="dxa"/>
            <w:tcBorders>
              <w:top w:val="nil"/>
              <w:left w:val="nil"/>
              <w:bottom w:val="nil"/>
              <w:right w:val="nil"/>
            </w:tcBorders>
            <w:shd w:val="clear" w:color="auto" w:fill="auto"/>
            <w:noWrap/>
            <w:vAlign w:val="center"/>
            <w:hideMark/>
          </w:tcPr>
          <w:p w:rsidR="00170A8F" w:rsidRPr="002D3263" w:rsidP="00170A8F" w14:paraId="25B0836B" w14:textId="00C68F8C">
            <w:pPr>
              <w:widowControl/>
              <w:jc w:val="center"/>
              <w:rPr>
                <w:rFonts w:ascii="Calibri" w:hAnsi="Calibri"/>
                <w:color w:val="000000"/>
              </w:rPr>
            </w:pPr>
            <w:r w:rsidRPr="002D3263">
              <w:rPr>
                <w:rFonts w:ascii="Calibri" w:hAnsi="Calibri" w:cs="Calibri"/>
                <w:color w:val="000000"/>
              </w:rPr>
              <w:t>2024</w:t>
            </w:r>
          </w:p>
        </w:tc>
        <w:tc>
          <w:tcPr>
            <w:tcW w:w="1620" w:type="dxa"/>
            <w:tcBorders>
              <w:top w:val="nil"/>
              <w:left w:val="nil"/>
              <w:bottom w:val="nil"/>
              <w:right w:val="nil"/>
            </w:tcBorders>
            <w:vAlign w:val="center"/>
          </w:tcPr>
          <w:p w:rsidR="00170A8F" w:rsidRPr="002D3263" w:rsidP="00170A8F" w14:paraId="7FAE5478" w14:textId="732FE5E7">
            <w:pPr>
              <w:widowControl/>
              <w:jc w:val="center"/>
              <w:rPr>
                <w:rFonts w:ascii="Calibri" w:hAnsi="Calibri"/>
                <w:color w:val="000000"/>
              </w:rPr>
            </w:pPr>
            <w:r>
              <w:rPr>
                <w:rFonts w:ascii="Calibri" w:hAnsi="Calibri" w:cs="Calibri"/>
                <w:color w:val="000000"/>
              </w:rPr>
              <w:t xml:space="preserve">$31,712 </w:t>
            </w:r>
          </w:p>
        </w:tc>
        <w:tc>
          <w:tcPr>
            <w:tcW w:w="1356" w:type="dxa"/>
            <w:tcBorders>
              <w:top w:val="nil"/>
              <w:left w:val="nil"/>
              <w:bottom w:val="nil"/>
              <w:right w:val="nil"/>
            </w:tcBorders>
            <w:vAlign w:val="center"/>
          </w:tcPr>
          <w:p w:rsidR="00170A8F" w:rsidRPr="002D3263" w:rsidP="00170A8F" w14:paraId="5DEB6D10" w14:textId="0F93CDA0">
            <w:pPr>
              <w:widowControl/>
              <w:jc w:val="center"/>
              <w:rPr>
                <w:rFonts w:ascii="Calibri" w:hAnsi="Calibri"/>
                <w:color w:val="000000"/>
              </w:rPr>
            </w:pPr>
            <w:r>
              <w:rPr>
                <w:rFonts w:ascii="Calibri" w:hAnsi="Calibri" w:cs="Calibri"/>
                <w:color w:val="000000"/>
              </w:rPr>
              <w:t xml:space="preserve">$25,887 </w:t>
            </w:r>
          </w:p>
        </w:tc>
        <w:tc>
          <w:tcPr>
            <w:tcW w:w="1368" w:type="dxa"/>
            <w:tcBorders>
              <w:top w:val="nil"/>
              <w:left w:val="nil"/>
              <w:bottom w:val="nil"/>
              <w:right w:val="nil"/>
            </w:tcBorders>
            <w:vAlign w:val="center"/>
          </w:tcPr>
          <w:p w:rsidR="00170A8F" w:rsidRPr="002D3263" w:rsidP="00170A8F" w14:paraId="2BC3E730" w14:textId="34442C99">
            <w:pPr>
              <w:widowControl/>
              <w:jc w:val="center"/>
              <w:rPr>
                <w:rFonts w:ascii="Calibri" w:hAnsi="Calibri"/>
                <w:color w:val="000000"/>
              </w:rPr>
            </w:pPr>
            <w:r>
              <w:rPr>
                <w:rFonts w:ascii="Calibri" w:hAnsi="Calibri" w:cs="Calibri"/>
                <w:color w:val="000000"/>
              </w:rPr>
              <w:t xml:space="preserve">$29,021 </w:t>
            </w:r>
          </w:p>
        </w:tc>
      </w:tr>
      <w:tr w14:paraId="7A777E84" w14:textId="77777777" w:rsidTr="004E296B">
        <w:tblPrEx>
          <w:tblW w:w="5154" w:type="dxa"/>
          <w:jc w:val="center"/>
          <w:tblLayout w:type="fixed"/>
          <w:tblLook w:val="04A0"/>
        </w:tblPrEx>
        <w:trPr>
          <w:trHeight w:val="70"/>
          <w:jc w:val="center"/>
        </w:trPr>
        <w:tc>
          <w:tcPr>
            <w:tcW w:w="810" w:type="dxa"/>
            <w:tcBorders>
              <w:top w:val="nil"/>
              <w:left w:val="nil"/>
              <w:bottom w:val="nil"/>
              <w:right w:val="nil"/>
            </w:tcBorders>
            <w:shd w:val="clear" w:color="auto" w:fill="auto"/>
            <w:noWrap/>
            <w:vAlign w:val="center"/>
            <w:hideMark/>
          </w:tcPr>
          <w:p w:rsidR="00170A8F" w:rsidRPr="002D3263" w:rsidP="00170A8F" w14:paraId="428231C9" w14:textId="6350AF86">
            <w:pPr>
              <w:widowControl/>
              <w:jc w:val="center"/>
              <w:rPr>
                <w:rFonts w:ascii="Calibri" w:hAnsi="Calibri"/>
                <w:color w:val="000000"/>
              </w:rPr>
            </w:pPr>
            <w:r w:rsidRPr="002D3263">
              <w:rPr>
                <w:rFonts w:ascii="Calibri" w:hAnsi="Calibri" w:cs="Calibri"/>
                <w:color w:val="000000"/>
              </w:rPr>
              <w:t>2025</w:t>
            </w:r>
          </w:p>
        </w:tc>
        <w:tc>
          <w:tcPr>
            <w:tcW w:w="1620" w:type="dxa"/>
            <w:tcBorders>
              <w:top w:val="nil"/>
              <w:left w:val="nil"/>
              <w:bottom w:val="nil"/>
              <w:right w:val="nil"/>
            </w:tcBorders>
            <w:vAlign w:val="center"/>
          </w:tcPr>
          <w:p w:rsidR="00170A8F" w:rsidRPr="002D3263" w:rsidP="00170A8F" w14:paraId="17BCB634" w14:textId="366FA946">
            <w:pPr>
              <w:widowControl/>
              <w:jc w:val="center"/>
              <w:rPr>
                <w:rFonts w:ascii="Calibri" w:hAnsi="Calibri"/>
                <w:color w:val="000000"/>
              </w:rPr>
            </w:pPr>
            <w:r>
              <w:rPr>
                <w:rFonts w:ascii="Calibri" w:hAnsi="Calibri" w:cs="Calibri"/>
                <w:color w:val="000000"/>
              </w:rPr>
              <w:t xml:space="preserve">$34,355 </w:t>
            </w:r>
          </w:p>
        </w:tc>
        <w:tc>
          <w:tcPr>
            <w:tcW w:w="1356" w:type="dxa"/>
            <w:tcBorders>
              <w:top w:val="nil"/>
              <w:left w:val="nil"/>
              <w:bottom w:val="nil"/>
              <w:right w:val="nil"/>
            </w:tcBorders>
            <w:vAlign w:val="center"/>
          </w:tcPr>
          <w:p w:rsidR="00170A8F" w:rsidRPr="002D3263" w:rsidP="00170A8F" w14:paraId="3DA695A0" w14:textId="74BDA50A">
            <w:pPr>
              <w:widowControl/>
              <w:jc w:val="center"/>
              <w:rPr>
                <w:rFonts w:ascii="Calibri" w:hAnsi="Calibri"/>
                <w:color w:val="000000"/>
              </w:rPr>
            </w:pPr>
            <w:r>
              <w:rPr>
                <w:rFonts w:ascii="Calibri" w:hAnsi="Calibri" w:cs="Calibri"/>
                <w:color w:val="000000"/>
              </w:rPr>
              <w:t xml:space="preserve">$26,209 </w:t>
            </w:r>
          </w:p>
        </w:tc>
        <w:tc>
          <w:tcPr>
            <w:tcW w:w="1368" w:type="dxa"/>
            <w:tcBorders>
              <w:top w:val="nil"/>
              <w:left w:val="nil"/>
              <w:bottom w:val="nil"/>
              <w:right w:val="nil"/>
            </w:tcBorders>
            <w:vAlign w:val="center"/>
          </w:tcPr>
          <w:p w:rsidR="00170A8F" w:rsidRPr="002D3263" w:rsidP="00170A8F" w14:paraId="3AC6DF76" w14:textId="2A715CD5">
            <w:pPr>
              <w:widowControl/>
              <w:jc w:val="center"/>
              <w:rPr>
                <w:rFonts w:ascii="Calibri" w:hAnsi="Calibri"/>
                <w:color w:val="000000"/>
              </w:rPr>
            </w:pPr>
            <w:r>
              <w:rPr>
                <w:rFonts w:ascii="Calibri" w:hAnsi="Calibri" w:cs="Calibri"/>
                <w:color w:val="000000"/>
              </w:rPr>
              <w:t xml:space="preserve">$30,524 </w:t>
            </w:r>
          </w:p>
        </w:tc>
      </w:tr>
      <w:tr w14:paraId="32F1D885" w14:textId="77777777" w:rsidTr="004E296B">
        <w:tblPrEx>
          <w:tblW w:w="5154" w:type="dxa"/>
          <w:jc w:val="center"/>
          <w:tblLayout w:type="fixed"/>
          <w:tblLook w:val="04A0"/>
        </w:tblPrEx>
        <w:trPr>
          <w:trHeight w:val="300"/>
          <w:jc w:val="center"/>
        </w:trPr>
        <w:tc>
          <w:tcPr>
            <w:tcW w:w="810" w:type="dxa"/>
            <w:tcBorders>
              <w:top w:val="nil"/>
              <w:left w:val="nil"/>
              <w:bottom w:val="nil"/>
              <w:right w:val="nil"/>
            </w:tcBorders>
            <w:shd w:val="clear" w:color="auto" w:fill="auto"/>
            <w:noWrap/>
            <w:vAlign w:val="center"/>
            <w:hideMark/>
          </w:tcPr>
          <w:p w:rsidR="00170A8F" w:rsidRPr="002D3263" w:rsidP="00170A8F" w14:paraId="553D8730" w14:textId="0F96FDF8">
            <w:pPr>
              <w:widowControl/>
              <w:jc w:val="center"/>
              <w:rPr>
                <w:rFonts w:ascii="Calibri" w:hAnsi="Calibri"/>
                <w:color w:val="000000"/>
              </w:rPr>
            </w:pPr>
            <w:r w:rsidRPr="002D3263">
              <w:rPr>
                <w:rFonts w:ascii="Calibri" w:hAnsi="Calibri" w:cs="Calibri"/>
                <w:color w:val="000000"/>
              </w:rPr>
              <w:t>2026</w:t>
            </w:r>
          </w:p>
        </w:tc>
        <w:tc>
          <w:tcPr>
            <w:tcW w:w="1620" w:type="dxa"/>
            <w:tcBorders>
              <w:top w:val="nil"/>
              <w:left w:val="nil"/>
              <w:bottom w:val="nil"/>
              <w:right w:val="nil"/>
            </w:tcBorders>
            <w:vAlign w:val="center"/>
          </w:tcPr>
          <w:p w:rsidR="00170A8F" w:rsidRPr="002D3263" w:rsidP="00170A8F" w14:paraId="34781262" w14:textId="5A0315F1">
            <w:pPr>
              <w:widowControl/>
              <w:jc w:val="center"/>
              <w:rPr>
                <w:rFonts w:ascii="Calibri" w:hAnsi="Calibri"/>
                <w:color w:val="000000"/>
              </w:rPr>
            </w:pPr>
            <w:r>
              <w:rPr>
                <w:rFonts w:ascii="Calibri" w:hAnsi="Calibri" w:cs="Calibri"/>
                <w:color w:val="000000"/>
              </w:rPr>
              <w:t xml:space="preserve">$34,355 </w:t>
            </w:r>
          </w:p>
        </w:tc>
        <w:tc>
          <w:tcPr>
            <w:tcW w:w="1356" w:type="dxa"/>
            <w:tcBorders>
              <w:top w:val="nil"/>
              <w:left w:val="nil"/>
              <w:bottom w:val="nil"/>
              <w:right w:val="nil"/>
            </w:tcBorders>
            <w:vAlign w:val="center"/>
          </w:tcPr>
          <w:p w:rsidR="00170A8F" w:rsidRPr="002D3263" w:rsidP="00170A8F" w14:paraId="7D65FA30" w14:textId="436DB217">
            <w:pPr>
              <w:widowControl/>
              <w:jc w:val="center"/>
              <w:rPr>
                <w:rFonts w:ascii="Calibri" w:hAnsi="Calibri"/>
                <w:color w:val="000000"/>
              </w:rPr>
            </w:pPr>
            <w:r>
              <w:rPr>
                <w:rFonts w:ascii="Calibri" w:hAnsi="Calibri" w:cs="Calibri"/>
                <w:color w:val="000000"/>
              </w:rPr>
              <w:t xml:space="preserve">$24,495 </w:t>
            </w:r>
          </w:p>
        </w:tc>
        <w:tc>
          <w:tcPr>
            <w:tcW w:w="1368" w:type="dxa"/>
            <w:tcBorders>
              <w:top w:val="nil"/>
              <w:left w:val="nil"/>
              <w:bottom w:val="nil"/>
              <w:right w:val="nil"/>
            </w:tcBorders>
            <w:vAlign w:val="center"/>
          </w:tcPr>
          <w:p w:rsidR="00170A8F" w:rsidRPr="002D3263" w:rsidP="00170A8F" w14:paraId="4C3BF34E" w14:textId="6255F9A4">
            <w:pPr>
              <w:widowControl/>
              <w:jc w:val="center"/>
              <w:rPr>
                <w:rFonts w:ascii="Calibri" w:hAnsi="Calibri"/>
                <w:color w:val="000000"/>
              </w:rPr>
            </w:pPr>
            <w:r>
              <w:rPr>
                <w:rFonts w:ascii="Calibri" w:hAnsi="Calibri" w:cs="Calibri"/>
                <w:color w:val="000000"/>
              </w:rPr>
              <w:t xml:space="preserve">$29,635 </w:t>
            </w:r>
          </w:p>
        </w:tc>
      </w:tr>
      <w:tr w14:paraId="710560CE" w14:textId="77777777" w:rsidTr="004E296B">
        <w:tblPrEx>
          <w:tblW w:w="5154" w:type="dxa"/>
          <w:jc w:val="center"/>
          <w:tblLayout w:type="fixed"/>
          <w:tblLook w:val="04A0"/>
        </w:tblPrEx>
        <w:trPr>
          <w:trHeight w:val="300"/>
          <w:jc w:val="center"/>
        </w:trPr>
        <w:tc>
          <w:tcPr>
            <w:tcW w:w="810" w:type="dxa"/>
            <w:tcBorders>
              <w:top w:val="nil"/>
              <w:left w:val="nil"/>
              <w:bottom w:val="nil"/>
              <w:right w:val="nil"/>
            </w:tcBorders>
            <w:shd w:val="clear" w:color="auto" w:fill="auto"/>
            <w:noWrap/>
            <w:vAlign w:val="center"/>
            <w:hideMark/>
          </w:tcPr>
          <w:p w:rsidR="00170A8F" w:rsidRPr="002D3263" w:rsidP="00170A8F" w14:paraId="030C3059" w14:textId="01148E77">
            <w:pPr>
              <w:widowControl/>
              <w:jc w:val="center"/>
              <w:rPr>
                <w:rFonts w:ascii="Calibri" w:hAnsi="Calibri"/>
                <w:color w:val="000000"/>
              </w:rPr>
            </w:pPr>
            <w:r w:rsidRPr="002D3263">
              <w:rPr>
                <w:rFonts w:ascii="Calibri" w:hAnsi="Calibri" w:cs="Calibri"/>
                <w:color w:val="000000"/>
              </w:rPr>
              <w:t>2027</w:t>
            </w:r>
          </w:p>
        </w:tc>
        <w:tc>
          <w:tcPr>
            <w:tcW w:w="1620" w:type="dxa"/>
            <w:tcBorders>
              <w:top w:val="nil"/>
              <w:left w:val="nil"/>
              <w:bottom w:val="nil"/>
              <w:right w:val="nil"/>
            </w:tcBorders>
            <w:vAlign w:val="center"/>
          </w:tcPr>
          <w:p w:rsidR="00170A8F" w:rsidRPr="002D3263" w:rsidP="00170A8F" w14:paraId="05A78B7F" w14:textId="1756E7E4">
            <w:pPr>
              <w:widowControl/>
              <w:jc w:val="center"/>
              <w:rPr>
                <w:rFonts w:ascii="Calibri" w:hAnsi="Calibri"/>
                <w:color w:val="000000"/>
              </w:rPr>
            </w:pPr>
            <w:r>
              <w:rPr>
                <w:rFonts w:ascii="Calibri" w:hAnsi="Calibri" w:cs="Calibri"/>
                <w:color w:val="000000"/>
              </w:rPr>
              <w:t xml:space="preserve">$34,355 </w:t>
            </w:r>
          </w:p>
        </w:tc>
        <w:tc>
          <w:tcPr>
            <w:tcW w:w="1356" w:type="dxa"/>
            <w:tcBorders>
              <w:top w:val="nil"/>
              <w:left w:val="nil"/>
              <w:bottom w:val="nil"/>
              <w:right w:val="nil"/>
            </w:tcBorders>
            <w:vAlign w:val="center"/>
          </w:tcPr>
          <w:p w:rsidR="00170A8F" w:rsidRPr="002D3263" w:rsidP="00170A8F" w14:paraId="079F2D5B" w14:textId="7C0ACB19">
            <w:pPr>
              <w:widowControl/>
              <w:jc w:val="center"/>
              <w:rPr>
                <w:rFonts w:ascii="Calibri" w:hAnsi="Calibri"/>
                <w:color w:val="000000"/>
              </w:rPr>
            </w:pPr>
            <w:r>
              <w:rPr>
                <w:rFonts w:ascii="Calibri" w:hAnsi="Calibri" w:cs="Calibri"/>
                <w:color w:val="000000"/>
              </w:rPr>
              <w:t xml:space="preserve">$22,892 </w:t>
            </w:r>
          </w:p>
        </w:tc>
        <w:tc>
          <w:tcPr>
            <w:tcW w:w="1368" w:type="dxa"/>
            <w:tcBorders>
              <w:top w:val="nil"/>
              <w:left w:val="nil"/>
              <w:bottom w:val="nil"/>
              <w:right w:val="nil"/>
            </w:tcBorders>
            <w:vAlign w:val="center"/>
          </w:tcPr>
          <w:p w:rsidR="00170A8F" w:rsidRPr="002D3263" w:rsidP="00170A8F" w14:paraId="009BB898" w14:textId="451E83E7">
            <w:pPr>
              <w:widowControl/>
              <w:jc w:val="center"/>
              <w:rPr>
                <w:rFonts w:ascii="Calibri" w:hAnsi="Calibri"/>
                <w:color w:val="000000"/>
              </w:rPr>
            </w:pPr>
            <w:r>
              <w:rPr>
                <w:rFonts w:ascii="Calibri" w:hAnsi="Calibri" w:cs="Calibri"/>
                <w:color w:val="000000"/>
              </w:rPr>
              <w:t xml:space="preserve">$28,772 </w:t>
            </w:r>
          </w:p>
        </w:tc>
      </w:tr>
      <w:tr w14:paraId="717E1289" w14:textId="77777777" w:rsidTr="004E296B">
        <w:tblPrEx>
          <w:tblW w:w="5154" w:type="dxa"/>
          <w:jc w:val="center"/>
          <w:tblLayout w:type="fixed"/>
          <w:tblLook w:val="04A0"/>
        </w:tblPrEx>
        <w:trPr>
          <w:trHeight w:val="300"/>
          <w:jc w:val="center"/>
        </w:trPr>
        <w:tc>
          <w:tcPr>
            <w:tcW w:w="810" w:type="dxa"/>
            <w:tcBorders>
              <w:top w:val="nil"/>
              <w:left w:val="nil"/>
              <w:bottom w:val="nil"/>
              <w:right w:val="nil"/>
            </w:tcBorders>
            <w:shd w:val="clear" w:color="auto" w:fill="auto"/>
            <w:noWrap/>
            <w:vAlign w:val="center"/>
            <w:hideMark/>
          </w:tcPr>
          <w:p w:rsidR="00170A8F" w:rsidRPr="002D3263" w:rsidP="00170A8F" w14:paraId="765FC3F9" w14:textId="125425E1">
            <w:pPr>
              <w:widowControl/>
              <w:jc w:val="center"/>
              <w:rPr>
                <w:rFonts w:ascii="Calibri" w:hAnsi="Calibri"/>
                <w:color w:val="000000"/>
              </w:rPr>
            </w:pPr>
            <w:r w:rsidRPr="002D3263">
              <w:rPr>
                <w:rFonts w:ascii="Calibri" w:hAnsi="Calibri" w:cs="Calibri"/>
                <w:color w:val="000000"/>
              </w:rPr>
              <w:t>2028</w:t>
            </w:r>
          </w:p>
        </w:tc>
        <w:tc>
          <w:tcPr>
            <w:tcW w:w="1620" w:type="dxa"/>
            <w:tcBorders>
              <w:top w:val="nil"/>
              <w:left w:val="nil"/>
              <w:bottom w:val="nil"/>
              <w:right w:val="nil"/>
            </w:tcBorders>
            <w:vAlign w:val="center"/>
          </w:tcPr>
          <w:p w:rsidR="00170A8F" w:rsidRPr="002D3263" w:rsidP="00170A8F" w14:paraId="52EE1B5F" w14:textId="3EB71EA4">
            <w:pPr>
              <w:widowControl/>
              <w:jc w:val="center"/>
              <w:rPr>
                <w:rFonts w:ascii="Calibri" w:hAnsi="Calibri"/>
                <w:color w:val="000000"/>
              </w:rPr>
            </w:pPr>
            <w:r>
              <w:rPr>
                <w:rFonts w:ascii="Calibri" w:hAnsi="Calibri" w:cs="Calibri"/>
                <w:color w:val="000000"/>
              </w:rPr>
              <w:t xml:space="preserve">$38,319 </w:t>
            </w:r>
          </w:p>
        </w:tc>
        <w:tc>
          <w:tcPr>
            <w:tcW w:w="1356" w:type="dxa"/>
            <w:tcBorders>
              <w:top w:val="nil"/>
              <w:left w:val="nil"/>
              <w:bottom w:val="nil"/>
              <w:right w:val="nil"/>
            </w:tcBorders>
            <w:vAlign w:val="center"/>
          </w:tcPr>
          <w:p w:rsidR="00170A8F" w:rsidRPr="002D3263" w:rsidP="00170A8F" w14:paraId="139CE55B" w14:textId="121F5EBC">
            <w:pPr>
              <w:widowControl/>
              <w:jc w:val="center"/>
              <w:rPr>
                <w:rFonts w:ascii="Calibri" w:hAnsi="Calibri"/>
                <w:color w:val="000000"/>
              </w:rPr>
            </w:pPr>
            <w:r>
              <w:rPr>
                <w:rFonts w:ascii="Calibri" w:hAnsi="Calibri" w:cs="Calibri"/>
                <w:color w:val="000000"/>
              </w:rPr>
              <w:t xml:space="preserve">$23,863 </w:t>
            </w:r>
          </w:p>
        </w:tc>
        <w:tc>
          <w:tcPr>
            <w:tcW w:w="1368" w:type="dxa"/>
            <w:tcBorders>
              <w:top w:val="nil"/>
              <w:left w:val="nil"/>
              <w:bottom w:val="nil"/>
              <w:right w:val="nil"/>
            </w:tcBorders>
            <w:vAlign w:val="center"/>
          </w:tcPr>
          <w:p w:rsidR="00170A8F" w:rsidRPr="002D3263" w:rsidP="00170A8F" w14:paraId="05177F5F" w14:textId="58820E03">
            <w:pPr>
              <w:widowControl/>
              <w:jc w:val="center"/>
              <w:rPr>
                <w:rFonts w:ascii="Calibri" w:hAnsi="Calibri"/>
                <w:color w:val="000000"/>
              </w:rPr>
            </w:pPr>
            <w:r>
              <w:rPr>
                <w:rFonts w:ascii="Calibri" w:hAnsi="Calibri" w:cs="Calibri"/>
                <w:color w:val="000000"/>
              </w:rPr>
              <w:t xml:space="preserve">$31,157 </w:t>
            </w:r>
          </w:p>
        </w:tc>
      </w:tr>
      <w:tr w14:paraId="7795C3DC" w14:textId="77777777" w:rsidTr="004E296B">
        <w:tblPrEx>
          <w:tblW w:w="5154" w:type="dxa"/>
          <w:jc w:val="center"/>
          <w:tblLayout w:type="fixed"/>
          <w:tblLook w:val="04A0"/>
        </w:tblPrEx>
        <w:trPr>
          <w:trHeight w:val="300"/>
          <w:jc w:val="center"/>
        </w:trPr>
        <w:tc>
          <w:tcPr>
            <w:tcW w:w="810" w:type="dxa"/>
            <w:tcBorders>
              <w:top w:val="nil"/>
              <w:left w:val="nil"/>
              <w:bottom w:val="nil"/>
              <w:right w:val="nil"/>
            </w:tcBorders>
            <w:shd w:val="clear" w:color="auto" w:fill="auto"/>
            <w:noWrap/>
            <w:vAlign w:val="center"/>
            <w:hideMark/>
          </w:tcPr>
          <w:p w:rsidR="00170A8F" w:rsidRPr="002D3263" w:rsidP="00170A8F" w14:paraId="0C9A065D" w14:textId="2EC1EBAA">
            <w:pPr>
              <w:widowControl/>
              <w:jc w:val="center"/>
              <w:rPr>
                <w:rFonts w:ascii="Calibri" w:hAnsi="Calibri"/>
                <w:color w:val="000000"/>
              </w:rPr>
            </w:pPr>
            <w:r w:rsidRPr="002D3263">
              <w:rPr>
                <w:rFonts w:ascii="Calibri" w:hAnsi="Calibri" w:cs="Calibri"/>
                <w:color w:val="000000"/>
              </w:rPr>
              <w:t>2029</w:t>
            </w:r>
          </w:p>
        </w:tc>
        <w:tc>
          <w:tcPr>
            <w:tcW w:w="1620" w:type="dxa"/>
            <w:tcBorders>
              <w:top w:val="nil"/>
              <w:left w:val="nil"/>
              <w:bottom w:val="nil"/>
              <w:right w:val="nil"/>
            </w:tcBorders>
            <w:vAlign w:val="center"/>
          </w:tcPr>
          <w:p w:rsidR="00170A8F" w:rsidRPr="002D3263" w:rsidP="00170A8F" w14:paraId="0BF2C32E" w14:textId="10608061">
            <w:pPr>
              <w:widowControl/>
              <w:jc w:val="center"/>
              <w:rPr>
                <w:rFonts w:ascii="Calibri" w:hAnsi="Calibri"/>
                <w:color w:val="000000"/>
              </w:rPr>
            </w:pPr>
            <w:r>
              <w:rPr>
                <w:rFonts w:ascii="Calibri" w:hAnsi="Calibri" w:cs="Calibri"/>
                <w:color w:val="000000"/>
              </w:rPr>
              <w:t xml:space="preserve">$38,319 </w:t>
            </w:r>
          </w:p>
        </w:tc>
        <w:tc>
          <w:tcPr>
            <w:tcW w:w="1356" w:type="dxa"/>
            <w:tcBorders>
              <w:top w:val="nil"/>
              <w:left w:val="nil"/>
              <w:bottom w:val="nil"/>
              <w:right w:val="nil"/>
            </w:tcBorders>
            <w:vAlign w:val="center"/>
          </w:tcPr>
          <w:p w:rsidR="00170A8F" w:rsidRPr="002D3263" w:rsidP="00170A8F" w14:paraId="7B366152" w14:textId="6129C34E">
            <w:pPr>
              <w:widowControl/>
              <w:jc w:val="center"/>
              <w:rPr>
                <w:rFonts w:ascii="Calibri" w:hAnsi="Calibri"/>
                <w:color w:val="000000"/>
              </w:rPr>
            </w:pPr>
            <w:r>
              <w:rPr>
                <w:rFonts w:ascii="Calibri" w:hAnsi="Calibri" w:cs="Calibri"/>
                <w:color w:val="000000"/>
              </w:rPr>
              <w:t xml:space="preserve">$22,302 </w:t>
            </w:r>
          </w:p>
        </w:tc>
        <w:tc>
          <w:tcPr>
            <w:tcW w:w="1368" w:type="dxa"/>
            <w:tcBorders>
              <w:top w:val="nil"/>
              <w:left w:val="nil"/>
              <w:bottom w:val="nil"/>
              <w:right w:val="nil"/>
            </w:tcBorders>
            <w:vAlign w:val="center"/>
          </w:tcPr>
          <w:p w:rsidR="00170A8F" w:rsidRPr="002D3263" w:rsidP="00170A8F" w14:paraId="70408E08" w14:textId="1A367EC6">
            <w:pPr>
              <w:widowControl/>
              <w:jc w:val="center"/>
              <w:rPr>
                <w:rFonts w:ascii="Calibri" w:hAnsi="Calibri"/>
                <w:color w:val="000000"/>
              </w:rPr>
            </w:pPr>
            <w:r>
              <w:rPr>
                <w:rFonts w:ascii="Calibri" w:hAnsi="Calibri" w:cs="Calibri"/>
                <w:color w:val="000000"/>
              </w:rPr>
              <w:t xml:space="preserve">$30,249 </w:t>
            </w:r>
          </w:p>
        </w:tc>
      </w:tr>
      <w:tr w14:paraId="1DB6900D" w14:textId="77777777" w:rsidTr="004E296B">
        <w:tblPrEx>
          <w:tblW w:w="5154" w:type="dxa"/>
          <w:jc w:val="center"/>
          <w:tblLayout w:type="fixed"/>
          <w:tblLook w:val="04A0"/>
        </w:tblPrEx>
        <w:trPr>
          <w:trHeight w:val="300"/>
          <w:jc w:val="center"/>
        </w:trPr>
        <w:tc>
          <w:tcPr>
            <w:tcW w:w="810" w:type="dxa"/>
            <w:tcBorders>
              <w:top w:val="nil"/>
              <w:left w:val="nil"/>
              <w:bottom w:val="nil"/>
              <w:right w:val="nil"/>
            </w:tcBorders>
            <w:shd w:val="clear" w:color="auto" w:fill="auto"/>
            <w:noWrap/>
            <w:vAlign w:val="center"/>
            <w:hideMark/>
          </w:tcPr>
          <w:p w:rsidR="00170A8F" w:rsidRPr="002D3263" w:rsidP="00170A8F" w14:paraId="4787D1F9" w14:textId="3DBACE49">
            <w:pPr>
              <w:widowControl/>
              <w:jc w:val="center"/>
              <w:rPr>
                <w:rFonts w:ascii="Calibri" w:hAnsi="Calibri"/>
                <w:color w:val="000000"/>
              </w:rPr>
            </w:pPr>
            <w:r w:rsidRPr="002D3263">
              <w:rPr>
                <w:rFonts w:ascii="Calibri" w:hAnsi="Calibri" w:cs="Calibri"/>
                <w:color w:val="000000"/>
              </w:rPr>
              <w:t>2030</w:t>
            </w:r>
          </w:p>
        </w:tc>
        <w:tc>
          <w:tcPr>
            <w:tcW w:w="1620" w:type="dxa"/>
            <w:tcBorders>
              <w:top w:val="nil"/>
              <w:left w:val="nil"/>
              <w:bottom w:val="nil"/>
              <w:right w:val="nil"/>
            </w:tcBorders>
            <w:vAlign w:val="center"/>
          </w:tcPr>
          <w:p w:rsidR="00170A8F" w:rsidRPr="002D3263" w:rsidP="00170A8F" w14:paraId="408F0B75" w14:textId="37AA39F0">
            <w:pPr>
              <w:widowControl/>
              <w:jc w:val="center"/>
              <w:rPr>
                <w:rFonts w:ascii="Calibri" w:hAnsi="Calibri"/>
                <w:color w:val="000000"/>
              </w:rPr>
            </w:pPr>
            <w:r>
              <w:rPr>
                <w:rFonts w:ascii="Calibri" w:hAnsi="Calibri" w:cs="Calibri"/>
                <w:color w:val="000000"/>
              </w:rPr>
              <w:t xml:space="preserve">$38,319 </w:t>
            </w:r>
          </w:p>
        </w:tc>
        <w:tc>
          <w:tcPr>
            <w:tcW w:w="1356" w:type="dxa"/>
            <w:tcBorders>
              <w:top w:val="nil"/>
              <w:left w:val="nil"/>
              <w:bottom w:val="nil"/>
              <w:right w:val="nil"/>
            </w:tcBorders>
            <w:vAlign w:val="center"/>
          </w:tcPr>
          <w:p w:rsidR="00170A8F" w:rsidRPr="002D3263" w:rsidP="00170A8F" w14:paraId="4AB764B7" w14:textId="187D7505">
            <w:pPr>
              <w:widowControl/>
              <w:jc w:val="center"/>
              <w:rPr>
                <w:rFonts w:ascii="Calibri" w:hAnsi="Calibri"/>
                <w:color w:val="000000"/>
              </w:rPr>
            </w:pPr>
            <w:r>
              <w:rPr>
                <w:rFonts w:ascii="Calibri" w:hAnsi="Calibri" w:cs="Calibri"/>
                <w:color w:val="000000"/>
              </w:rPr>
              <w:t xml:space="preserve">$20,843 </w:t>
            </w:r>
          </w:p>
        </w:tc>
        <w:tc>
          <w:tcPr>
            <w:tcW w:w="1368" w:type="dxa"/>
            <w:tcBorders>
              <w:top w:val="nil"/>
              <w:left w:val="nil"/>
              <w:bottom w:val="nil"/>
              <w:right w:val="nil"/>
            </w:tcBorders>
            <w:vAlign w:val="center"/>
          </w:tcPr>
          <w:p w:rsidR="00170A8F" w:rsidRPr="002D3263" w:rsidP="00170A8F" w14:paraId="789F98D1" w14:textId="1FFF0993">
            <w:pPr>
              <w:widowControl/>
              <w:jc w:val="center"/>
              <w:rPr>
                <w:rFonts w:ascii="Calibri" w:hAnsi="Calibri"/>
                <w:color w:val="000000"/>
              </w:rPr>
            </w:pPr>
            <w:r>
              <w:rPr>
                <w:rFonts w:ascii="Calibri" w:hAnsi="Calibri" w:cs="Calibri"/>
                <w:color w:val="000000"/>
              </w:rPr>
              <w:t xml:space="preserve">$29,368 </w:t>
            </w:r>
          </w:p>
        </w:tc>
      </w:tr>
      <w:tr w14:paraId="719539AE" w14:textId="77777777" w:rsidTr="004E296B">
        <w:tblPrEx>
          <w:tblW w:w="5154" w:type="dxa"/>
          <w:jc w:val="center"/>
          <w:tblLayout w:type="fixed"/>
          <w:tblLook w:val="04A0"/>
        </w:tblPrEx>
        <w:trPr>
          <w:trHeight w:val="300"/>
          <w:jc w:val="center"/>
        </w:trPr>
        <w:tc>
          <w:tcPr>
            <w:tcW w:w="810" w:type="dxa"/>
            <w:tcBorders>
              <w:top w:val="nil"/>
              <w:left w:val="nil"/>
              <w:bottom w:val="nil"/>
              <w:right w:val="nil"/>
            </w:tcBorders>
            <w:shd w:val="clear" w:color="auto" w:fill="auto"/>
            <w:noWrap/>
            <w:vAlign w:val="center"/>
            <w:hideMark/>
          </w:tcPr>
          <w:p w:rsidR="00170A8F" w:rsidRPr="002D3263" w:rsidP="00170A8F" w14:paraId="7FC0FB97" w14:textId="0D98291B">
            <w:pPr>
              <w:widowControl/>
              <w:jc w:val="center"/>
              <w:rPr>
                <w:rFonts w:ascii="Calibri" w:hAnsi="Calibri"/>
                <w:color w:val="000000"/>
              </w:rPr>
            </w:pPr>
            <w:r w:rsidRPr="002D3263">
              <w:rPr>
                <w:rFonts w:ascii="Calibri" w:hAnsi="Calibri" w:cs="Calibri"/>
                <w:color w:val="000000"/>
              </w:rPr>
              <w:t>2031</w:t>
            </w:r>
          </w:p>
        </w:tc>
        <w:tc>
          <w:tcPr>
            <w:tcW w:w="1620" w:type="dxa"/>
            <w:tcBorders>
              <w:top w:val="nil"/>
              <w:left w:val="nil"/>
              <w:bottom w:val="nil"/>
              <w:right w:val="nil"/>
            </w:tcBorders>
            <w:vAlign w:val="center"/>
          </w:tcPr>
          <w:p w:rsidR="00170A8F" w:rsidRPr="002D3263" w:rsidP="00170A8F" w14:paraId="2980CAE4" w14:textId="161F0E31">
            <w:pPr>
              <w:widowControl/>
              <w:jc w:val="center"/>
              <w:rPr>
                <w:rFonts w:ascii="Calibri" w:hAnsi="Calibri"/>
                <w:color w:val="000000"/>
              </w:rPr>
            </w:pPr>
            <w:r>
              <w:rPr>
                <w:rFonts w:ascii="Calibri" w:hAnsi="Calibri" w:cs="Calibri"/>
                <w:color w:val="000000"/>
              </w:rPr>
              <w:t xml:space="preserve">$42,283 </w:t>
            </w:r>
          </w:p>
        </w:tc>
        <w:tc>
          <w:tcPr>
            <w:tcW w:w="1356" w:type="dxa"/>
            <w:tcBorders>
              <w:top w:val="nil"/>
              <w:left w:val="nil"/>
              <w:bottom w:val="nil"/>
              <w:right w:val="nil"/>
            </w:tcBorders>
            <w:vAlign w:val="center"/>
          </w:tcPr>
          <w:p w:rsidR="00170A8F" w:rsidRPr="002D3263" w:rsidP="00170A8F" w14:paraId="4CF44A32" w14:textId="407033B6">
            <w:pPr>
              <w:widowControl/>
              <w:jc w:val="center"/>
              <w:rPr>
                <w:rFonts w:ascii="Calibri" w:hAnsi="Calibri"/>
                <w:color w:val="000000"/>
              </w:rPr>
            </w:pPr>
            <w:r>
              <w:rPr>
                <w:rFonts w:ascii="Calibri" w:hAnsi="Calibri" w:cs="Calibri"/>
                <w:color w:val="000000"/>
              </w:rPr>
              <w:t xml:space="preserve">$21,495 </w:t>
            </w:r>
          </w:p>
        </w:tc>
        <w:tc>
          <w:tcPr>
            <w:tcW w:w="1368" w:type="dxa"/>
            <w:tcBorders>
              <w:top w:val="nil"/>
              <w:left w:val="nil"/>
              <w:bottom w:val="nil"/>
              <w:right w:val="nil"/>
            </w:tcBorders>
            <w:vAlign w:val="center"/>
          </w:tcPr>
          <w:p w:rsidR="00170A8F" w:rsidRPr="002D3263" w:rsidP="00170A8F" w14:paraId="52CF30F0" w14:textId="2B7C92A7">
            <w:pPr>
              <w:widowControl/>
              <w:jc w:val="center"/>
              <w:rPr>
                <w:rFonts w:ascii="Calibri" w:hAnsi="Calibri"/>
                <w:color w:val="000000"/>
              </w:rPr>
            </w:pPr>
            <w:r>
              <w:rPr>
                <w:rFonts w:ascii="Calibri" w:hAnsi="Calibri" w:cs="Calibri"/>
                <w:color w:val="000000"/>
              </w:rPr>
              <w:t xml:space="preserve">$31,463 </w:t>
            </w:r>
          </w:p>
        </w:tc>
      </w:tr>
      <w:tr w14:paraId="62E6AFA7" w14:textId="77777777" w:rsidTr="004E296B">
        <w:tblPrEx>
          <w:tblW w:w="5154" w:type="dxa"/>
          <w:jc w:val="center"/>
          <w:tblLayout w:type="fixed"/>
          <w:tblLook w:val="04A0"/>
        </w:tblPrEx>
        <w:trPr>
          <w:trHeight w:val="300"/>
          <w:jc w:val="center"/>
        </w:trPr>
        <w:tc>
          <w:tcPr>
            <w:tcW w:w="810" w:type="dxa"/>
            <w:tcBorders>
              <w:top w:val="nil"/>
              <w:left w:val="nil"/>
              <w:bottom w:val="nil"/>
              <w:right w:val="nil"/>
            </w:tcBorders>
            <w:shd w:val="clear" w:color="auto" w:fill="auto"/>
            <w:noWrap/>
            <w:vAlign w:val="center"/>
            <w:hideMark/>
          </w:tcPr>
          <w:p w:rsidR="00170A8F" w:rsidRPr="002D3263" w:rsidP="00170A8F" w14:paraId="04D2C7E5" w14:textId="66ABCFB7">
            <w:pPr>
              <w:widowControl/>
              <w:jc w:val="center"/>
              <w:rPr>
                <w:rFonts w:ascii="Calibri" w:hAnsi="Calibri"/>
                <w:color w:val="000000"/>
              </w:rPr>
            </w:pPr>
            <w:r w:rsidRPr="002D3263">
              <w:rPr>
                <w:rFonts w:ascii="Calibri" w:hAnsi="Calibri" w:cs="Calibri"/>
                <w:color w:val="000000"/>
              </w:rPr>
              <w:t>2032</w:t>
            </w:r>
          </w:p>
        </w:tc>
        <w:tc>
          <w:tcPr>
            <w:tcW w:w="1620" w:type="dxa"/>
            <w:tcBorders>
              <w:top w:val="nil"/>
              <w:left w:val="nil"/>
              <w:bottom w:val="nil"/>
              <w:right w:val="nil"/>
            </w:tcBorders>
            <w:vAlign w:val="center"/>
          </w:tcPr>
          <w:p w:rsidR="00170A8F" w:rsidRPr="002D3263" w:rsidP="00170A8F" w14:paraId="254B3D16" w14:textId="6512D9B9">
            <w:pPr>
              <w:widowControl/>
              <w:jc w:val="center"/>
              <w:rPr>
                <w:rFonts w:ascii="Calibri" w:hAnsi="Calibri"/>
                <w:color w:val="000000"/>
              </w:rPr>
            </w:pPr>
            <w:r>
              <w:rPr>
                <w:rFonts w:ascii="Calibri" w:hAnsi="Calibri" w:cs="Calibri"/>
                <w:color w:val="000000"/>
              </w:rPr>
              <w:t xml:space="preserve">$42,283 </w:t>
            </w:r>
          </w:p>
        </w:tc>
        <w:tc>
          <w:tcPr>
            <w:tcW w:w="1356" w:type="dxa"/>
            <w:tcBorders>
              <w:top w:val="nil"/>
              <w:left w:val="nil"/>
              <w:bottom w:val="nil"/>
              <w:right w:val="nil"/>
            </w:tcBorders>
            <w:vAlign w:val="center"/>
          </w:tcPr>
          <w:p w:rsidR="00170A8F" w:rsidRPr="002D3263" w:rsidP="00170A8F" w14:paraId="527344DD" w14:textId="1F376BDF">
            <w:pPr>
              <w:widowControl/>
              <w:jc w:val="center"/>
              <w:rPr>
                <w:rFonts w:ascii="Calibri" w:hAnsi="Calibri"/>
                <w:color w:val="000000"/>
              </w:rPr>
            </w:pPr>
            <w:r>
              <w:rPr>
                <w:rFonts w:ascii="Calibri" w:hAnsi="Calibri" w:cs="Calibri"/>
                <w:color w:val="000000"/>
              </w:rPr>
              <w:t xml:space="preserve">$20,088 </w:t>
            </w:r>
          </w:p>
        </w:tc>
        <w:tc>
          <w:tcPr>
            <w:tcW w:w="1368" w:type="dxa"/>
            <w:tcBorders>
              <w:top w:val="nil"/>
              <w:left w:val="nil"/>
              <w:bottom w:val="nil"/>
              <w:right w:val="nil"/>
            </w:tcBorders>
            <w:vAlign w:val="center"/>
          </w:tcPr>
          <w:p w:rsidR="00170A8F" w:rsidRPr="002D3263" w:rsidP="00170A8F" w14:paraId="2B25C441" w14:textId="2C31FF70">
            <w:pPr>
              <w:widowControl/>
              <w:jc w:val="center"/>
              <w:rPr>
                <w:rFonts w:ascii="Calibri" w:hAnsi="Calibri"/>
                <w:color w:val="000000"/>
              </w:rPr>
            </w:pPr>
            <w:r>
              <w:rPr>
                <w:rFonts w:ascii="Calibri" w:hAnsi="Calibri" w:cs="Calibri"/>
                <w:color w:val="000000"/>
              </w:rPr>
              <w:t xml:space="preserve">$30,546 </w:t>
            </w:r>
          </w:p>
        </w:tc>
      </w:tr>
      <w:tr w14:paraId="3B14891B" w14:textId="77777777" w:rsidTr="004E296B">
        <w:tblPrEx>
          <w:tblW w:w="5154" w:type="dxa"/>
          <w:jc w:val="center"/>
          <w:tblLayout w:type="fixed"/>
          <w:tblLook w:val="04A0"/>
        </w:tblPrEx>
        <w:trPr>
          <w:trHeight w:val="300"/>
          <w:jc w:val="center"/>
        </w:trPr>
        <w:tc>
          <w:tcPr>
            <w:tcW w:w="810" w:type="dxa"/>
            <w:tcBorders>
              <w:top w:val="nil"/>
              <w:left w:val="nil"/>
              <w:bottom w:val="single" w:sz="12" w:space="0" w:color="auto"/>
              <w:right w:val="nil"/>
            </w:tcBorders>
            <w:shd w:val="clear" w:color="auto" w:fill="auto"/>
            <w:noWrap/>
            <w:vAlign w:val="center"/>
          </w:tcPr>
          <w:p w:rsidR="00170A8F" w:rsidRPr="002D3263" w:rsidP="00170A8F" w14:paraId="46ED82CB" w14:textId="77777777">
            <w:pPr>
              <w:widowControl/>
              <w:jc w:val="center"/>
              <w:rPr>
                <w:rFonts w:ascii="Calibri" w:hAnsi="Calibri"/>
                <w:b/>
              </w:rPr>
            </w:pPr>
            <w:r w:rsidRPr="002D3263">
              <w:rPr>
                <w:rFonts w:ascii="Calibri" w:hAnsi="Calibri" w:cs="Calibri"/>
                <w:b/>
                <w:bCs/>
                <w:color w:val="000000"/>
              </w:rPr>
              <w:t>Total*</w:t>
            </w:r>
          </w:p>
        </w:tc>
        <w:tc>
          <w:tcPr>
            <w:tcW w:w="1620" w:type="dxa"/>
            <w:tcBorders>
              <w:top w:val="nil"/>
              <w:left w:val="nil"/>
              <w:bottom w:val="single" w:sz="12" w:space="0" w:color="auto"/>
              <w:right w:val="nil"/>
            </w:tcBorders>
            <w:vAlign w:val="center"/>
          </w:tcPr>
          <w:p w:rsidR="00170A8F" w:rsidRPr="002D3263" w:rsidP="00170A8F" w14:paraId="20BF7985" w14:textId="152132B9">
            <w:pPr>
              <w:widowControl/>
              <w:jc w:val="center"/>
              <w:rPr>
                <w:rFonts w:ascii="Calibri" w:hAnsi="Calibri"/>
                <w:b/>
                <w:color w:val="000000"/>
              </w:rPr>
            </w:pPr>
            <w:r>
              <w:rPr>
                <w:rFonts w:ascii="Calibri" w:hAnsi="Calibri" w:cs="Calibri"/>
                <w:b/>
                <w:bCs/>
                <w:color w:val="000000"/>
              </w:rPr>
              <w:t xml:space="preserve">$366,012 </w:t>
            </w:r>
          </w:p>
        </w:tc>
        <w:tc>
          <w:tcPr>
            <w:tcW w:w="1356" w:type="dxa"/>
            <w:tcBorders>
              <w:top w:val="nil"/>
              <w:left w:val="nil"/>
              <w:bottom w:val="single" w:sz="12" w:space="0" w:color="auto"/>
              <w:right w:val="nil"/>
            </w:tcBorders>
            <w:vAlign w:val="center"/>
          </w:tcPr>
          <w:p w:rsidR="00170A8F" w:rsidRPr="002D3263" w:rsidP="00170A8F" w14:paraId="6CA599A3" w14:textId="35A39E2D">
            <w:pPr>
              <w:widowControl/>
              <w:jc w:val="center"/>
              <w:rPr>
                <w:rFonts w:ascii="Calibri" w:hAnsi="Calibri"/>
                <w:b/>
                <w:color w:val="000000"/>
              </w:rPr>
            </w:pPr>
            <w:r>
              <w:rPr>
                <w:rFonts w:ascii="Calibri" w:hAnsi="Calibri" w:cs="Calibri"/>
                <w:b/>
                <w:bCs/>
                <w:color w:val="000000"/>
              </w:rPr>
              <w:t xml:space="preserve">$235,772 </w:t>
            </w:r>
          </w:p>
        </w:tc>
        <w:tc>
          <w:tcPr>
            <w:tcW w:w="1368" w:type="dxa"/>
            <w:tcBorders>
              <w:top w:val="nil"/>
              <w:left w:val="nil"/>
              <w:bottom w:val="single" w:sz="12" w:space="0" w:color="auto"/>
              <w:right w:val="nil"/>
            </w:tcBorders>
            <w:vAlign w:val="center"/>
          </w:tcPr>
          <w:p w:rsidR="00170A8F" w:rsidRPr="002D3263" w:rsidP="00170A8F" w14:paraId="2803F681" w14:textId="60F7FC50">
            <w:pPr>
              <w:widowControl/>
              <w:jc w:val="center"/>
              <w:rPr>
                <w:rFonts w:ascii="Calibri" w:hAnsi="Calibri"/>
                <w:b/>
                <w:color w:val="000000"/>
              </w:rPr>
            </w:pPr>
            <w:r>
              <w:rPr>
                <w:rFonts w:ascii="Calibri" w:hAnsi="Calibri" w:cs="Calibri"/>
                <w:b/>
                <w:bCs/>
                <w:color w:val="000000"/>
              </w:rPr>
              <w:t xml:space="preserve">$300,627 </w:t>
            </w:r>
          </w:p>
        </w:tc>
      </w:tr>
      <w:tr w14:paraId="35F00F73" w14:textId="77777777" w:rsidTr="004E296B">
        <w:tblPrEx>
          <w:tblW w:w="5154" w:type="dxa"/>
          <w:jc w:val="center"/>
          <w:tblLayout w:type="fixed"/>
          <w:tblLook w:val="04A0"/>
        </w:tblPrEx>
        <w:trPr>
          <w:trHeight w:val="300"/>
          <w:jc w:val="center"/>
        </w:trPr>
        <w:tc>
          <w:tcPr>
            <w:tcW w:w="5154" w:type="dxa"/>
            <w:gridSpan w:val="4"/>
            <w:tcBorders>
              <w:top w:val="single" w:sz="12" w:space="0" w:color="auto"/>
              <w:left w:val="nil"/>
              <w:bottom w:val="nil"/>
              <w:right w:val="nil"/>
            </w:tcBorders>
            <w:shd w:val="clear" w:color="auto" w:fill="auto"/>
            <w:noWrap/>
            <w:vAlign w:val="bottom"/>
          </w:tcPr>
          <w:p w:rsidR="00A268E9" w:rsidRPr="002D3263" w:rsidP="00EF4CBB" w14:paraId="1DDCAD46" w14:textId="77777777">
            <w:pPr>
              <w:widowControl/>
              <w:rPr>
                <w:rFonts w:ascii="Calibri" w:hAnsi="Calibri"/>
                <w:b/>
                <w:color w:val="000000"/>
              </w:rPr>
            </w:pPr>
            <w:r w:rsidRPr="002D3263">
              <w:rPr>
                <w:rFonts w:ascii="Calibri" w:hAnsi="Calibri"/>
                <w:color w:val="000000"/>
              </w:rPr>
              <w:t>*Totals may not match sums due to rounding</w:t>
            </w:r>
          </w:p>
        </w:tc>
      </w:tr>
    </w:tbl>
    <w:p w:rsidR="00C763D9" w:rsidRPr="002D3263" w:rsidP="00EF4CBB" w14:paraId="02257F5D" w14:textId="77777777">
      <w:pPr>
        <w:pStyle w:val="Heading3"/>
        <w:keepNext/>
        <w:widowControl/>
      </w:pPr>
      <w:bookmarkStart w:id="42" w:name="_Toc68008763"/>
      <w:bookmarkStart w:id="43" w:name="_Toc68008929"/>
      <w:bookmarkStart w:id="44" w:name="_Toc127438021"/>
      <w:bookmarkEnd w:id="42"/>
      <w:bookmarkEnd w:id="43"/>
      <w:r w:rsidRPr="002D3263">
        <w:t>Transfers (</w:t>
      </w:r>
      <w:r w:rsidRPr="002D3263" w:rsidR="007B2745">
        <w:t>Increased Program Expenditures)</w:t>
      </w:r>
      <w:bookmarkEnd w:id="44"/>
    </w:p>
    <w:p w:rsidR="00C763D9" w:rsidRPr="002D3263" w:rsidP="00EF4CBB" w14:paraId="7393CB34" w14:textId="1D5D6811">
      <w:pPr>
        <w:widowControl/>
      </w:pPr>
      <w:r w:rsidRPr="002D3263">
        <w:t xml:space="preserve">The use of the </w:t>
      </w:r>
      <w:r w:rsidRPr="002D3263" w:rsidR="007828E4">
        <w:t>last resort housing</w:t>
      </w:r>
      <w:r w:rsidRPr="002D3263">
        <w:t xml:space="preserve"> provision has resulted in displaced homeowners and tenants receiving </w:t>
      </w:r>
      <w:r w:rsidRPr="002D3263" w:rsidR="009A60AE">
        <w:t>RHPs</w:t>
      </w:r>
      <w:r w:rsidRPr="002D3263">
        <w:t xml:space="preserve"> at amounts comparable to or exceeding the amounts </w:t>
      </w:r>
      <w:r w:rsidRPr="002D3263" w:rsidR="00D72013">
        <w:t xml:space="preserve">in the final rule. </w:t>
      </w:r>
      <w:r w:rsidR="00B210CA">
        <w:t xml:space="preserve"> </w:t>
      </w:r>
      <w:r w:rsidRPr="002D3263">
        <w:t xml:space="preserve">Therefore, the statutory increases will not result in an increase of </w:t>
      </w:r>
      <w:r w:rsidRPr="002D3263" w:rsidR="009A60AE">
        <w:t>RHP</w:t>
      </w:r>
      <w:r w:rsidRPr="002D3263">
        <w:t xml:space="preserve"> eligibilities, </w:t>
      </w:r>
      <w:r w:rsidRPr="002D3263" w:rsidR="00EC4209">
        <w:t>payments</w:t>
      </w:r>
      <w:r w:rsidRPr="002D3263" w:rsidR="009A60AE">
        <w:t>,</w:t>
      </w:r>
      <w:r w:rsidRPr="002D3263">
        <w:t xml:space="preserve"> or reimbursements to displaced homeowners or tenants.</w:t>
      </w:r>
      <w:r w:rsidRPr="002D3263" w:rsidR="00AC30F3">
        <w:t xml:space="preserve"> </w:t>
      </w:r>
    </w:p>
    <w:p w:rsidR="00896F36" w:rsidRPr="002D3263" w:rsidP="00C53C33" w14:paraId="07E7817B" w14:textId="77777777">
      <w:pPr>
        <w:pStyle w:val="Heading2"/>
      </w:pPr>
      <w:bookmarkStart w:id="45" w:name="_Toc127438022"/>
      <w:r w:rsidRPr="002D3263">
        <w:t xml:space="preserve">Homeowner 90 Day </w:t>
      </w:r>
      <w:r w:rsidRPr="002D3263">
        <w:t>Eligibility</w:t>
      </w:r>
      <w:bookmarkEnd w:id="45"/>
    </w:p>
    <w:p w:rsidR="00896F36" w:rsidRPr="002D3263" w:rsidP="00634AAC" w14:paraId="575F1257" w14:textId="4AD7F06B">
      <w:pPr>
        <w:widowControl/>
        <w:spacing w:after="200"/>
      </w:pPr>
      <w:r w:rsidRPr="002D3263">
        <w:t>T</w:t>
      </w:r>
      <w:r w:rsidRPr="002D3263" w:rsidR="00A72927">
        <w:t xml:space="preserve">he </w:t>
      </w:r>
      <w:r w:rsidRPr="002D3263" w:rsidR="00D72013">
        <w:t>final</w:t>
      </w:r>
      <w:r w:rsidRPr="002D3263" w:rsidR="00A72927">
        <w:t xml:space="preserve"> rule </w:t>
      </w:r>
      <w:r w:rsidRPr="002D3263" w:rsidR="00BF2373">
        <w:t>(</w:t>
      </w:r>
      <w:r w:rsidRPr="002D3263" w:rsidR="007D0AED">
        <w:t xml:space="preserve">Section </w:t>
      </w:r>
      <w:r w:rsidRPr="002D3263" w:rsidR="00A72927">
        <w:t xml:space="preserve">24.2(a)) widens the pool </w:t>
      </w:r>
      <w:r w:rsidRPr="002D3263" w:rsidR="009A60AE">
        <w:t xml:space="preserve">of homeowners eligible for an RHP </w:t>
      </w:r>
      <w:r w:rsidRPr="002D3263" w:rsidR="00A72927">
        <w:t xml:space="preserve">by reducing </w:t>
      </w:r>
      <w:r w:rsidRPr="002D3263" w:rsidR="009A60AE">
        <w:t xml:space="preserve">the amount of time that a person </w:t>
      </w:r>
      <w:r w:rsidRPr="002D3263">
        <w:t xml:space="preserve">must have owned and occupied the dwelling </w:t>
      </w:r>
      <w:r w:rsidRPr="002D3263" w:rsidR="007173B1">
        <w:t xml:space="preserve">from 180 days to 90 days </w:t>
      </w:r>
      <w:r w:rsidRPr="002D3263">
        <w:t>in order to</w:t>
      </w:r>
      <w:r w:rsidRPr="002D3263">
        <w:t xml:space="preserve"> be eligible.</w:t>
      </w:r>
      <w:r w:rsidRPr="002D3263" w:rsidR="00C763D9">
        <w:t xml:space="preserve"> </w:t>
      </w:r>
      <w:r w:rsidR="00B210CA">
        <w:t xml:space="preserve"> </w:t>
      </w:r>
      <w:r w:rsidRPr="002D3263" w:rsidR="00C763D9">
        <w:t>T</w:t>
      </w:r>
      <w:r w:rsidRPr="002D3263" w:rsidR="00A72927">
        <w:t xml:space="preserve">he </w:t>
      </w:r>
      <w:r w:rsidRPr="002D3263" w:rsidR="00D72013">
        <w:t>final</w:t>
      </w:r>
      <w:r w:rsidRPr="002D3263" w:rsidR="00A72927">
        <w:t xml:space="preserve"> rule does not change the eligibility requirement for tenants</w:t>
      </w:r>
      <w:r w:rsidRPr="002D3263" w:rsidR="00B1225F">
        <w:t xml:space="preserve">; </w:t>
      </w:r>
      <w:r w:rsidRPr="002D3263" w:rsidR="00C763D9">
        <w:t>tenants who have resided at the location for 90 days or more are already eligible for a rental assistance payment under the current rule.</w:t>
      </w:r>
      <w:r w:rsidRPr="002D3263" w:rsidR="00AC30F3">
        <w:t xml:space="preserve"> </w:t>
      </w:r>
      <w:r w:rsidR="00B210CA">
        <w:t xml:space="preserve"> </w:t>
      </w:r>
      <w:r w:rsidRPr="002D3263" w:rsidR="00C763D9">
        <w:t xml:space="preserve">Under the current rule, homeowners who have resided at the location for </w:t>
      </w:r>
      <w:r w:rsidRPr="002D3263" w:rsidR="009A60AE">
        <w:t>fewer</w:t>
      </w:r>
      <w:r w:rsidRPr="002D3263" w:rsidR="00C763D9">
        <w:t xml:space="preserve"> than 180 </w:t>
      </w:r>
      <w:r w:rsidRPr="002D3263" w:rsidR="00C763D9">
        <w:t>days</w:t>
      </w:r>
      <w:r w:rsidRPr="002D3263" w:rsidR="00C763D9">
        <w:t xml:space="preserve"> but more t</w:t>
      </w:r>
      <w:r w:rsidRPr="002D3263" w:rsidR="009A60AE">
        <w:t xml:space="preserve">han 90 days are </w:t>
      </w:r>
      <w:r w:rsidRPr="002D3263" w:rsidR="007173B1">
        <w:t xml:space="preserve">considered as </w:t>
      </w:r>
      <w:r w:rsidRPr="002D3263" w:rsidR="009A60AE">
        <w:t>90-</w:t>
      </w:r>
      <w:r w:rsidRPr="002D3263" w:rsidR="00C763D9">
        <w:t xml:space="preserve">day tenants </w:t>
      </w:r>
      <w:r w:rsidRPr="002D3263" w:rsidR="002D185C">
        <w:t>and are eligible for a</w:t>
      </w:r>
      <w:r w:rsidRPr="002D3263" w:rsidR="00C763D9">
        <w:t xml:space="preserve"> </w:t>
      </w:r>
      <w:r w:rsidRPr="002D3263" w:rsidR="00F06D68">
        <w:t>replacement</w:t>
      </w:r>
      <w:r w:rsidRPr="002D3263" w:rsidR="009A60AE">
        <w:t xml:space="preserve"> assistance payment</w:t>
      </w:r>
      <w:r w:rsidRPr="002D3263" w:rsidR="00B1225F">
        <w:t xml:space="preserve">. </w:t>
      </w:r>
    </w:p>
    <w:p w:rsidR="00D661D5" w:rsidRPr="002D3263" w:rsidP="00EF4CBB" w14:paraId="754F7875" w14:textId="77777777">
      <w:pPr>
        <w:pStyle w:val="Heading3"/>
        <w:widowControl/>
      </w:pPr>
      <w:bookmarkStart w:id="46" w:name="_Toc2095012"/>
      <w:bookmarkStart w:id="47" w:name="_Toc127438023"/>
      <w:r w:rsidRPr="002D3263">
        <w:t>Administrative Cost Savings</w:t>
      </w:r>
      <w:bookmarkEnd w:id="46"/>
      <w:bookmarkEnd w:id="47"/>
    </w:p>
    <w:p w:rsidR="00D661D5" w:rsidRPr="002D3263" w:rsidP="00EF4CBB" w14:paraId="04CD0D14" w14:textId="26C58D15">
      <w:pPr>
        <w:pStyle w:val="Body"/>
        <w:widowControl/>
      </w:pPr>
      <w:r w:rsidRPr="002D3263">
        <w:t>Reduced</w:t>
      </w:r>
      <w:r w:rsidRPr="002D3263" w:rsidR="009B560F">
        <w:t xml:space="preserve"> displacing </w:t>
      </w:r>
      <w:r w:rsidR="0059129A">
        <w:t>Agencies</w:t>
      </w:r>
      <w:r w:rsidRPr="002D3263" w:rsidR="00075F59">
        <w:t xml:space="preserve"> </w:t>
      </w:r>
      <w:r w:rsidRPr="002D3263">
        <w:t xml:space="preserve">administrative burden is a positive impact of this rule change. </w:t>
      </w:r>
      <w:r w:rsidR="00B210CA">
        <w:t xml:space="preserve"> </w:t>
      </w:r>
      <w:r w:rsidRPr="002D3263">
        <w:t xml:space="preserve">Under the </w:t>
      </w:r>
      <w:r w:rsidRPr="002D3263" w:rsidR="00D72013">
        <w:t>final</w:t>
      </w:r>
      <w:r w:rsidRPr="002D3263">
        <w:t xml:space="preserve"> rule, the group of homeowners who have resided at the displacement location for between 90 and 179 days </w:t>
      </w:r>
      <w:r w:rsidRPr="002D3263" w:rsidR="00570C60">
        <w:t>would</w:t>
      </w:r>
      <w:r w:rsidRPr="002D3263">
        <w:t xml:space="preserve"> be eligible for replacement assistance payment up to a maximum amount of $</w:t>
      </w:r>
      <w:r w:rsidR="00572A82">
        <w:t>41,200</w:t>
      </w:r>
      <w:r w:rsidRPr="002D3263">
        <w:t xml:space="preserve">. </w:t>
      </w:r>
      <w:r w:rsidR="00B210CA">
        <w:t xml:space="preserve"> </w:t>
      </w:r>
      <w:r w:rsidRPr="002D3263">
        <w:t xml:space="preserve">Previously this group was eligible for a rental assistance payment of up to $5,250. By reducing the length of occupancy requirements for this subset of homeowners, an entire section of regulatory requirements focused on this specific calculation has been eliminated. </w:t>
      </w:r>
      <w:r w:rsidR="00B210CA">
        <w:t xml:space="preserve"> </w:t>
      </w:r>
      <w:r w:rsidRPr="002D3263">
        <w:t xml:space="preserve">The total program expenditures for RHPs for these homeowners is consequently expected to increase, but the </w:t>
      </w:r>
      <w:r w:rsidRPr="002D3263" w:rsidR="00D72013">
        <w:t>final</w:t>
      </w:r>
      <w:r w:rsidRPr="002D3263">
        <w:t xml:space="preserve"> rule </w:t>
      </w:r>
      <w:r w:rsidRPr="002D3263" w:rsidR="00634AAC">
        <w:t xml:space="preserve">will </w:t>
      </w:r>
      <w:r w:rsidRPr="002D3263">
        <w:t>reduce the administrative burden involved in determining payment amounts for this subset of homeowners.</w:t>
      </w:r>
    </w:p>
    <w:p w:rsidR="00A01318" w:rsidRPr="002D3263" w:rsidP="00EF4CBB" w14:paraId="2F179BE7" w14:textId="03C21601">
      <w:pPr>
        <w:pStyle w:val="Body"/>
        <w:widowControl/>
      </w:pPr>
      <w:r w:rsidRPr="002D3263">
        <w:t xml:space="preserve">It is assumed that on average </w:t>
      </w:r>
      <w:r w:rsidRPr="002D3263" w:rsidR="009601EF">
        <w:t>1,</w:t>
      </w:r>
      <w:r w:rsidRPr="002D3263" w:rsidR="00634AAC">
        <w:t>488</w:t>
      </w:r>
      <w:r w:rsidRPr="002D3263">
        <w:t xml:space="preserve"> residential relocations will occur each year of the analysis period. </w:t>
      </w:r>
      <w:r w:rsidR="00B210CA">
        <w:t xml:space="preserve"> </w:t>
      </w:r>
      <w:r w:rsidRPr="002D3263" w:rsidR="008516C9">
        <w:t>The FHWA</w:t>
      </w:r>
      <w:r w:rsidRPr="002D3263" w:rsidR="00A76902">
        <w:t xml:space="preserve"> data</w:t>
      </w:r>
      <w:r w:rsidRPr="002D3263">
        <w:t xml:space="preserve"> </w:t>
      </w:r>
      <w:r w:rsidRPr="002D3263" w:rsidR="009A60AE">
        <w:t>indicate</w:t>
      </w:r>
      <w:r w:rsidRPr="002D3263" w:rsidR="00EF6D47">
        <w:t>s</w:t>
      </w:r>
      <w:r w:rsidRPr="002D3263">
        <w:t xml:space="preserve"> that over the period</w:t>
      </w:r>
      <w:r w:rsidRPr="002D3263" w:rsidR="00101977">
        <w:t xml:space="preserve"> 1991 to 2003</w:t>
      </w:r>
      <w:r w:rsidRPr="002D3263" w:rsidR="004410C8">
        <w:t xml:space="preserve"> </w:t>
      </w:r>
      <w:r w:rsidRPr="002D3263" w:rsidR="009A60AE">
        <w:t>on</w:t>
      </w:r>
      <w:r w:rsidRPr="002D3263">
        <w:t xml:space="preserve"> average 54 percent of residential relocations involve homeowners (rather than tenants). </w:t>
      </w:r>
      <w:r w:rsidR="00B210CA">
        <w:t xml:space="preserve"> </w:t>
      </w:r>
      <w:r w:rsidRPr="002D3263">
        <w:t>Therefore</w:t>
      </w:r>
      <w:r w:rsidRPr="002D3263" w:rsidR="00847428">
        <w:t>,</w:t>
      </w:r>
      <w:r w:rsidRPr="002D3263">
        <w:t xml:space="preserve"> we assume that there are </w:t>
      </w:r>
      <w:r w:rsidRPr="002D3263" w:rsidR="00462A46">
        <w:t>804</w:t>
      </w:r>
      <w:r w:rsidRPr="002D3263">
        <w:t xml:space="preserve"> residential relocations of homeowners each year of the analysis period. </w:t>
      </w:r>
      <w:r w:rsidR="00B210CA">
        <w:t xml:space="preserve"> </w:t>
      </w:r>
      <w:r w:rsidRPr="002D3263">
        <w:t>Data from the 201</w:t>
      </w:r>
      <w:r w:rsidRPr="002D3263" w:rsidR="007D0AED">
        <w:t>3</w:t>
      </w:r>
      <w:r w:rsidRPr="002D3263">
        <w:t xml:space="preserve"> American Housing Survey</w:t>
      </w:r>
      <w:r w:rsidRPr="002D3263" w:rsidR="006A55F1">
        <w:t xml:space="preserve"> (most recent year for which data is available)</w:t>
      </w:r>
      <w:r w:rsidRPr="002D3263">
        <w:t xml:space="preserve"> shows that</w:t>
      </w:r>
      <w:r w:rsidRPr="002D3263" w:rsidR="00F1179F">
        <w:t xml:space="preserve"> </w:t>
      </w:r>
      <w:r w:rsidRPr="002D3263" w:rsidR="006A55F1">
        <w:t>5.28 percent of homeowners (this does not include tenants) had lived at their residence for less than 1 year</w:t>
      </w:r>
      <w:r w:rsidR="00ED1530">
        <w:t xml:space="preserve">. </w:t>
      </w:r>
      <w:r w:rsidR="00B210CA">
        <w:t xml:space="preserve"> </w:t>
      </w:r>
      <w:r w:rsidR="00ED1530">
        <w:t>Assuming a uniform distribution of when homeowners moved into their residence (</w:t>
      </w:r>
      <w:r w:rsidR="008455B7">
        <w:t>90</w:t>
      </w:r>
      <w:r w:rsidR="00ED1530">
        <w:t xml:space="preserve"> days / </w:t>
      </w:r>
      <w:r w:rsidR="008455B7">
        <w:t>365</w:t>
      </w:r>
      <w:r w:rsidR="00ED1530">
        <w:t xml:space="preserve"> days = </w:t>
      </w:r>
      <w:r w:rsidR="008455B7">
        <w:t xml:space="preserve">¼ </w:t>
      </w:r>
      <w:r w:rsidR="00ED1530">
        <w:t xml:space="preserve">or one quarter of the year), </w:t>
      </w:r>
      <w:r w:rsidRPr="002D3263" w:rsidR="006A55F1">
        <w:t>approximately 1.3 percent (5.28/4) had lived at their residence between 90 and 179 days.</w:t>
      </w:r>
      <w:r>
        <w:rPr>
          <w:rStyle w:val="FootnoteReference"/>
        </w:rPr>
        <w:footnoteReference w:id="18"/>
      </w:r>
      <w:r w:rsidRPr="002D3263" w:rsidR="006A55F1">
        <w:t xml:space="preserve"> </w:t>
      </w:r>
      <w:r w:rsidR="00B210CA">
        <w:t xml:space="preserve"> </w:t>
      </w:r>
      <w:r w:rsidRPr="002D3263" w:rsidR="009A60AE">
        <w:t>Given this, we</w:t>
      </w:r>
      <w:r w:rsidRPr="002D3263">
        <w:t xml:space="preserve"> assume that approximately </w:t>
      </w:r>
      <w:r w:rsidRPr="002D3263" w:rsidR="00462A46">
        <w:t>10</w:t>
      </w:r>
      <w:r w:rsidRPr="002D3263">
        <w:t xml:space="preserve"> homeowner relocations will be impacted by the change in eligibility from 180 days to 90 days. </w:t>
      </w:r>
      <w:r w:rsidR="00B210CA">
        <w:t xml:space="preserve"> </w:t>
      </w:r>
      <w:r w:rsidRPr="002D3263" w:rsidR="001E7E8C">
        <w:t>W</w:t>
      </w:r>
      <w:r w:rsidRPr="002D3263">
        <w:t xml:space="preserve">e </w:t>
      </w:r>
      <w:r w:rsidRPr="002D3263" w:rsidR="00221250">
        <w:t>expect that by simplifying the calculations that pertain to this group there will be an administrative cost savings of 1.5 hours per instance</w:t>
      </w:r>
      <w:r w:rsidRPr="002D3263" w:rsidR="009B560F">
        <w:t xml:space="preserve"> for displacing </w:t>
      </w:r>
      <w:r w:rsidR="0059129A">
        <w:t>Agencies</w:t>
      </w:r>
      <w:r w:rsidRPr="002D3263" w:rsidR="00221250">
        <w:t xml:space="preserve">. </w:t>
      </w:r>
      <w:r w:rsidR="00B210CA">
        <w:t xml:space="preserve"> </w:t>
      </w:r>
      <w:r w:rsidRPr="002D3263" w:rsidR="00847428">
        <w:t>Thus,</w:t>
      </w:r>
      <w:r w:rsidRPr="002D3263" w:rsidR="00221250">
        <w:t xml:space="preserve"> we estimate </w:t>
      </w:r>
      <w:r w:rsidRPr="002D3263" w:rsidR="001E7E8C">
        <w:t>the total cost savings</w:t>
      </w:r>
      <w:r w:rsidRPr="002D3263" w:rsidR="00437CDC">
        <w:t>, valued at $</w:t>
      </w:r>
      <w:r w:rsidRPr="002D3263" w:rsidR="00462A46">
        <w:t>74</w:t>
      </w:r>
      <w:r w:rsidRPr="002D3263" w:rsidR="00437CDC">
        <w:t xml:space="preserve"> per hour,</w:t>
      </w:r>
      <w:r w:rsidRPr="002D3263" w:rsidR="001E7E8C">
        <w:t xml:space="preserve"> would be approximately $</w:t>
      </w:r>
      <w:r w:rsidRPr="002D3263" w:rsidR="00462A46">
        <w:t>11,100</w:t>
      </w:r>
      <w:r w:rsidRPr="002D3263" w:rsidR="001E7E8C">
        <w:t xml:space="preserve"> over the analysis period</w:t>
      </w:r>
      <w:r w:rsidRPr="002D3263" w:rsidR="007E32A4">
        <w:t xml:space="preserve"> (see</w:t>
      </w:r>
      <w:r w:rsidRPr="002D3263">
        <w:t xml:space="preserve"> </w:t>
      </w:r>
      <w:r w:rsidRPr="002D3263">
        <w:fldChar w:fldCharType="begin"/>
      </w:r>
      <w:r w:rsidRPr="002D3263">
        <w:instrText xml:space="preserve"> REF _Ref15221725 \h  \* MERGEFORMAT </w:instrText>
      </w:r>
      <w:r w:rsidRPr="002D3263">
        <w:fldChar w:fldCharType="separate"/>
      </w:r>
      <w:r w:rsidRPr="002D3263" w:rsidR="00E762F5">
        <w:t xml:space="preserve">Table </w:t>
      </w:r>
      <w:r w:rsidR="00E762F5">
        <w:rPr>
          <w:noProof/>
        </w:rPr>
        <w:t>3</w:t>
      </w:r>
      <w:r w:rsidRPr="002D3263">
        <w:fldChar w:fldCharType="end"/>
      </w:r>
      <w:r w:rsidRPr="002D3263">
        <w:t>).</w:t>
      </w:r>
    </w:p>
    <w:p w:rsidR="00412F96" w:rsidRPr="002D3263" w:rsidP="00634AAC" w14:paraId="37C4BAFE" w14:textId="77777777">
      <w:pPr>
        <w:widowControl/>
        <w:spacing w:after="200"/>
      </w:pPr>
      <w:r w:rsidRPr="002D3263">
        <w:t xml:space="preserve">Table </w:t>
      </w:r>
      <w:r w:rsidRPr="002D3263" w:rsidR="00963C07">
        <w:t>A8</w:t>
      </w:r>
      <w:r w:rsidRPr="002D3263">
        <w:t xml:space="preserve"> in Appendix A</w:t>
      </w:r>
      <w:r w:rsidRPr="002D3263" w:rsidR="00000363">
        <w:t xml:space="preserve"> of this report</w:t>
      </w:r>
      <w:r w:rsidRPr="002D3263">
        <w:t xml:space="preserve"> provides the details of this </w:t>
      </w:r>
      <w:r w:rsidRPr="002D3263" w:rsidR="007E32A4">
        <w:t>calculation.</w:t>
      </w:r>
    </w:p>
    <w:p w:rsidR="00D661D5" w:rsidRPr="002D3263" w:rsidP="00D6005F" w14:paraId="11468675" w14:textId="65226065">
      <w:pPr>
        <w:pStyle w:val="Caption"/>
      </w:pPr>
      <w:bookmarkStart w:id="48" w:name="_Ref15221725"/>
      <w:bookmarkStart w:id="49" w:name="_Toc2095063"/>
      <w:bookmarkStart w:id="50" w:name="_Toc127438089"/>
      <w:bookmarkStart w:id="51" w:name="_Ref415487425"/>
      <w:r w:rsidRPr="002D3263">
        <w:t xml:space="preserve">Table </w:t>
      </w:r>
      <w:r w:rsidRPr="002D3263">
        <w:rPr>
          <w:noProof/>
        </w:rPr>
        <w:fldChar w:fldCharType="begin"/>
      </w:r>
      <w:r w:rsidRPr="002D3263">
        <w:rPr>
          <w:noProof/>
        </w:rPr>
        <w:instrText xml:space="preserve"> SEQ Table \* ARABIC </w:instrText>
      </w:r>
      <w:r w:rsidRPr="002D3263">
        <w:rPr>
          <w:noProof/>
        </w:rPr>
        <w:fldChar w:fldCharType="separate"/>
      </w:r>
      <w:r w:rsidR="00E762F5">
        <w:rPr>
          <w:noProof/>
        </w:rPr>
        <w:t>3</w:t>
      </w:r>
      <w:r w:rsidRPr="002D3263">
        <w:rPr>
          <w:noProof/>
        </w:rPr>
        <w:fldChar w:fldCharType="end"/>
      </w:r>
      <w:bookmarkEnd w:id="48"/>
      <w:r w:rsidRPr="002D3263">
        <w:t>. Administrative Cost Savings from Changing Homeowner Eligibility from 180 days to 90 days (FHWA)</w:t>
      </w:r>
      <w:bookmarkEnd w:id="49"/>
      <w:bookmarkEnd w:id="50"/>
    </w:p>
    <w:tbl>
      <w:tblPr>
        <w:tblW w:w="5130" w:type="dxa"/>
        <w:jc w:val="center"/>
        <w:tblLayout w:type="fixed"/>
        <w:tblLook w:val="04A0"/>
      </w:tblPr>
      <w:tblGrid>
        <w:gridCol w:w="810"/>
        <w:gridCol w:w="1620"/>
        <w:gridCol w:w="1440"/>
        <w:gridCol w:w="1260"/>
      </w:tblGrid>
      <w:tr w14:paraId="2EF8862D" w14:textId="77777777" w:rsidTr="00BA004C">
        <w:tblPrEx>
          <w:tblW w:w="5130" w:type="dxa"/>
          <w:jc w:val="center"/>
          <w:tblLayout w:type="fixed"/>
          <w:tblLook w:val="04A0"/>
        </w:tblPrEx>
        <w:trPr>
          <w:trHeight w:val="412"/>
          <w:jc w:val="center"/>
        </w:trPr>
        <w:tc>
          <w:tcPr>
            <w:tcW w:w="810" w:type="dxa"/>
            <w:tcBorders>
              <w:bottom w:val="single" w:sz="12" w:space="0" w:color="auto"/>
            </w:tcBorders>
            <w:shd w:val="clear" w:color="auto" w:fill="auto"/>
            <w:vAlign w:val="center"/>
            <w:hideMark/>
          </w:tcPr>
          <w:p w:rsidR="00D661D5" w:rsidRPr="002D3263" w:rsidP="00634AAC" w14:paraId="0C657D8F" w14:textId="77777777">
            <w:pPr>
              <w:keepNext/>
              <w:widowControl/>
              <w:spacing w:line="240" w:lineRule="auto"/>
              <w:jc w:val="center"/>
              <w:rPr>
                <w:rFonts w:ascii="Calibri" w:eastAsia="Times New Roman" w:hAnsi="Calibri" w:cs="Times New Roman"/>
                <w:b/>
                <w:bCs/>
                <w:color w:val="000000"/>
              </w:rPr>
            </w:pPr>
            <w:r w:rsidRPr="002D3263">
              <w:rPr>
                <w:rFonts w:ascii="Calibri" w:eastAsia="Times New Roman" w:hAnsi="Calibri" w:cs="Times New Roman"/>
                <w:b/>
                <w:bCs/>
                <w:color w:val="000000"/>
              </w:rPr>
              <w:t>Year</w:t>
            </w:r>
          </w:p>
        </w:tc>
        <w:tc>
          <w:tcPr>
            <w:tcW w:w="1620" w:type="dxa"/>
            <w:tcBorders>
              <w:bottom w:val="single" w:sz="12" w:space="0" w:color="auto"/>
            </w:tcBorders>
            <w:shd w:val="clear" w:color="auto" w:fill="auto"/>
            <w:vAlign w:val="center"/>
            <w:hideMark/>
          </w:tcPr>
          <w:p w:rsidR="00D661D5" w:rsidRPr="002D3263" w:rsidP="00D2312D" w14:paraId="2C8E8C26" w14:textId="77777777">
            <w:pPr>
              <w:keepNext/>
              <w:widowControl/>
              <w:spacing w:line="240" w:lineRule="auto"/>
              <w:jc w:val="center"/>
              <w:rPr>
                <w:rFonts w:ascii="Calibri" w:eastAsia="Times New Roman" w:hAnsi="Calibri" w:cs="Times New Roman"/>
                <w:b/>
                <w:bCs/>
                <w:color w:val="000000"/>
              </w:rPr>
            </w:pPr>
            <w:r w:rsidRPr="002D3263">
              <w:rPr>
                <w:rFonts w:ascii="Calibri" w:eastAsia="Times New Roman" w:hAnsi="Calibri" w:cs="Times New Roman"/>
                <w:b/>
                <w:bCs/>
                <w:color w:val="000000"/>
              </w:rPr>
              <w:t>Administrative Cost Savings</w:t>
            </w:r>
          </w:p>
          <w:p w:rsidR="00D661D5" w:rsidRPr="002D3263" w:rsidP="00EF4CBB" w14:paraId="73A3664B" w14:textId="192723AC">
            <w:pPr>
              <w:keepNext/>
              <w:widowControl/>
              <w:spacing w:line="240" w:lineRule="auto"/>
              <w:jc w:val="center"/>
              <w:rPr>
                <w:rFonts w:ascii="Calibri" w:eastAsia="Times New Roman" w:hAnsi="Calibri" w:cs="Times New Roman"/>
                <w:b/>
                <w:bCs/>
                <w:color w:val="000000"/>
              </w:rPr>
            </w:pPr>
            <w:r w:rsidRPr="002D3263">
              <w:rPr>
                <w:rFonts w:ascii="Calibri" w:eastAsia="Times New Roman" w:hAnsi="Calibri" w:cs="Times New Roman"/>
                <w:b/>
                <w:bCs/>
                <w:color w:val="000000"/>
              </w:rPr>
              <w:t>(20</w:t>
            </w:r>
            <w:r w:rsidRPr="002D3263" w:rsidR="00634AAC">
              <w:rPr>
                <w:rFonts w:ascii="Calibri" w:eastAsia="Times New Roman" w:hAnsi="Calibri" w:cs="Times New Roman"/>
                <w:b/>
                <w:bCs/>
                <w:color w:val="000000"/>
              </w:rPr>
              <w:t>21</w:t>
            </w:r>
            <w:r w:rsidRPr="002D3263">
              <w:rPr>
                <w:rFonts w:ascii="Calibri" w:eastAsia="Times New Roman" w:hAnsi="Calibri" w:cs="Times New Roman"/>
                <w:b/>
                <w:bCs/>
                <w:color w:val="000000"/>
              </w:rPr>
              <w:t xml:space="preserve"> $)</w:t>
            </w:r>
          </w:p>
        </w:tc>
        <w:tc>
          <w:tcPr>
            <w:tcW w:w="1440" w:type="dxa"/>
            <w:tcBorders>
              <w:bottom w:val="single" w:sz="12" w:space="0" w:color="auto"/>
            </w:tcBorders>
            <w:shd w:val="clear" w:color="auto" w:fill="auto"/>
            <w:vAlign w:val="center"/>
            <w:hideMark/>
          </w:tcPr>
          <w:p w:rsidR="00D661D5" w:rsidRPr="002D3263" w:rsidP="00EF4CBB" w14:paraId="5E9838F1" w14:textId="77777777">
            <w:pPr>
              <w:keepNext/>
              <w:widowControl/>
              <w:spacing w:line="240" w:lineRule="auto"/>
              <w:jc w:val="center"/>
              <w:rPr>
                <w:rFonts w:ascii="Calibri" w:eastAsia="Times New Roman" w:hAnsi="Calibri" w:cs="Times New Roman"/>
                <w:b/>
                <w:bCs/>
                <w:color w:val="000000"/>
              </w:rPr>
            </w:pPr>
            <w:r w:rsidRPr="002D3263">
              <w:rPr>
                <w:rFonts w:ascii="Calibri" w:eastAsia="Times New Roman" w:hAnsi="Calibri" w:cs="Times New Roman"/>
                <w:b/>
                <w:bCs/>
                <w:color w:val="000000"/>
              </w:rPr>
              <w:t>Discounted 7%</w:t>
            </w:r>
          </w:p>
        </w:tc>
        <w:tc>
          <w:tcPr>
            <w:tcW w:w="1260" w:type="dxa"/>
            <w:tcBorders>
              <w:bottom w:val="single" w:sz="12" w:space="0" w:color="auto"/>
            </w:tcBorders>
            <w:shd w:val="clear" w:color="auto" w:fill="auto"/>
            <w:vAlign w:val="center"/>
            <w:hideMark/>
          </w:tcPr>
          <w:p w:rsidR="00D661D5" w:rsidRPr="002D3263" w:rsidP="00EF4CBB" w14:paraId="10CD4C65" w14:textId="77777777">
            <w:pPr>
              <w:keepNext/>
              <w:widowControl/>
              <w:spacing w:line="240" w:lineRule="auto"/>
              <w:jc w:val="center"/>
              <w:rPr>
                <w:rFonts w:ascii="Calibri" w:eastAsia="Times New Roman" w:hAnsi="Calibri" w:cs="Times New Roman"/>
                <w:b/>
                <w:bCs/>
                <w:color w:val="000000"/>
              </w:rPr>
            </w:pPr>
            <w:r w:rsidRPr="002D3263">
              <w:rPr>
                <w:rFonts w:ascii="Calibri" w:eastAsia="Times New Roman" w:hAnsi="Calibri" w:cs="Times New Roman"/>
                <w:b/>
                <w:bCs/>
                <w:color w:val="000000"/>
              </w:rPr>
              <w:t>Discounted 3%</w:t>
            </w:r>
          </w:p>
        </w:tc>
      </w:tr>
      <w:tr w14:paraId="541702D5" w14:textId="77777777" w:rsidTr="008A4DC9">
        <w:tblPrEx>
          <w:tblW w:w="5130" w:type="dxa"/>
          <w:jc w:val="center"/>
          <w:tblLayout w:type="fixed"/>
          <w:tblLook w:val="04A0"/>
        </w:tblPrEx>
        <w:trPr>
          <w:trHeight w:val="50"/>
          <w:jc w:val="center"/>
        </w:trPr>
        <w:tc>
          <w:tcPr>
            <w:tcW w:w="810" w:type="dxa"/>
            <w:tcBorders>
              <w:top w:val="single" w:sz="12" w:space="0" w:color="auto"/>
            </w:tcBorders>
            <w:shd w:val="clear" w:color="auto" w:fill="auto"/>
            <w:vAlign w:val="center"/>
          </w:tcPr>
          <w:p w:rsidR="00634AAC" w:rsidRPr="002D3263" w:rsidP="00634AAC" w14:paraId="0F402AC4" w14:textId="703D18D4">
            <w:pPr>
              <w:keepNext/>
              <w:widowControl/>
              <w:jc w:val="center"/>
              <w:rPr>
                <w:rFonts w:ascii="Calibri" w:hAnsi="Calibri"/>
                <w:color w:val="000000"/>
              </w:rPr>
            </w:pPr>
            <w:r w:rsidRPr="002D3263">
              <w:rPr>
                <w:rFonts w:ascii="Calibri" w:hAnsi="Calibri" w:cs="Calibri"/>
                <w:color w:val="000000"/>
              </w:rPr>
              <w:t>2023</w:t>
            </w:r>
          </w:p>
        </w:tc>
        <w:tc>
          <w:tcPr>
            <w:tcW w:w="1620" w:type="dxa"/>
            <w:tcBorders>
              <w:top w:val="single" w:sz="12" w:space="0" w:color="auto"/>
            </w:tcBorders>
            <w:shd w:val="clear" w:color="auto" w:fill="auto"/>
            <w:vAlign w:val="center"/>
          </w:tcPr>
          <w:p w:rsidR="00634AAC" w:rsidRPr="002D3263" w:rsidP="0002327A" w14:paraId="2BB56072" w14:textId="72EE76C5">
            <w:pPr>
              <w:keepNext/>
              <w:widowControl/>
              <w:jc w:val="center"/>
              <w:rPr>
                <w:rFonts w:ascii="Calibri" w:hAnsi="Calibri"/>
                <w:color w:val="000000"/>
              </w:rPr>
            </w:pPr>
            <w:r w:rsidRPr="002D3263">
              <w:rPr>
                <w:rFonts w:ascii="Calibri" w:hAnsi="Calibri" w:cs="Calibri"/>
                <w:color w:val="000000"/>
              </w:rPr>
              <w:t xml:space="preserve">$1,110 </w:t>
            </w:r>
          </w:p>
        </w:tc>
        <w:tc>
          <w:tcPr>
            <w:tcW w:w="1440" w:type="dxa"/>
            <w:tcBorders>
              <w:top w:val="single" w:sz="12" w:space="0" w:color="auto"/>
            </w:tcBorders>
            <w:shd w:val="clear" w:color="auto" w:fill="auto"/>
            <w:vAlign w:val="center"/>
          </w:tcPr>
          <w:p w:rsidR="00634AAC" w:rsidRPr="002D3263" w:rsidP="00EF4CBB" w14:paraId="6841B494" w14:textId="414F6A36">
            <w:pPr>
              <w:keepNext/>
              <w:widowControl/>
              <w:jc w:val="center"/>
              <w:rPr>
                <w:rFonts w:ascii="Calibri" w:hAnsi="Calibri"/>
                <w:color w:val="000000"/>
              </w:rPr>
            </w:pPr>
            <w:r w:rsidRPr="002D3263">
              <w:rPr>
                <w:rFonts w:ascii="Calibri" w:hAnsi="Calibri" w:cs="Calibri"/>
                <w:color w:val="000000"/>
              </w:rPr>
              <w:t xml:space="preserve">$970 </w:t>
            </w:r>
          </w:p>
        </w:tc>
        <w:tc>
          <w:tcPr>
            <w:tcW w:w="1260" w:type="dxa"/>
            <w:tcBorders>
              <w:top w:val="single" w:sz="12" w:space="0" w:color="auto"/>
            </w:tcBorders>
            <w:shd w:val="clear" w:color="auto" w:fill="auto"/>
            <w:vAlign w:val="center"/>
          </w:tcPr>
          <w:p w:rsidR="00634AAC" w:rsidRPr="002D3263" w:rsidP="00EF4CBB" w14:paraId="3BB97053" w14:textId="1EAA8332">
            <w:pPr>
              <w:keepNext/>
              <w:widowControl/>
              <w:jc w:val="center"/>
              <w:rPr>
                <w:rFonts w:ascii="Calibri" w:hAnsi="Calibri"/>
                <w:color w:val="000000"/>
              </w:rPr>
            </w:pPr>
            <w:r w:rsidRPr="002D3263">
              <w:rPr>
                <w:rFonts w:ascii="Calibri" w:hAnsi="Calibri" w:cs="Calibri"/>
                <w:color w:val="000000"/>
              </w:rPr>
              <w:t xml:space="preserve">$1,046 </w:t>
            </w:r>
          </w:p>
        </w:tc>
      </w:tr>
      <w:tr w14:paraId="5DFEC41D" w14:textId="77777777" w:rsidTr="008A4DC9">
        <w:tblPrEx>
          <w:tblW w:w="5130" w:type="dxa"/>
          <w:jc w:val="center"/>
          <w:tblLayout w:type="fixed"/>
          <w:tblLook w:val="04A0"/>
        </w:tblPrEx>
        <w:trPr>
          <w:trHeight w:val="80"/>
          <w:jc w:val="center"/>
        </w:trPr>
        <w:tc>
          <w:tcPr>
            <w:tcW w:w="810" w:type="dxa"/>
            <w:shd w:val="clear" w:color="auto" w:fill="auto"/>
            <w:noWrap/>
            <w:vAlign w:val="center"/>
          </w:tcPr>
          <w:p w:rsidR="00634AAC" w:rsidRPr="002D3263" w:rsidP="00EF4CBB" w14:paraId="11D487B0" w14:textId="0E77C605">
            <w:pPr>
              <w:keepNext/>
              <w:widowControl/>
              <w:jc w:val="center"/>
              <w:rPr>
                <w:rFonts w:ascii="Calibri" w:hAnsi="Calibri"/>
                <w:color w:val="000000"/>
              </w:rPr>
            </w:pPr>
            <w:r w:rsidRPr="002D3263">
              <w:rPr>
                <w:rFonts w:ascii="Calibri" w:hAnsi="Calibri" w:cs="Calibri"/>
                <w:color w:val="000000"/>
              </w:rPr>
              <w:t>2024</w:t>
            </w:r>
          </w:p>
        </w:tc>
        <w:tc>
          <w:tcPr>
            <w:tcW w:w="1620" w:type="dxa"/>
            <w:shd w:val="clear" w:color="auto" w:fill="auto"/>
            <w:vAlign w:val="center"/>
          </w:tcPr>
          <w:p w:rsidR="00634AAC" w:rsidRPr="002D3263" w:rsidP="00EF4CBB" w14:paraId="21662A67" w14:textId="23F471C7">
            <w:pPr>
              <w:keepNext/>
              <w:widowControl/>
              <w:jc w:val="center"/>
              <w:rPr>
                <w:rFonts w:ascii="Calibri" w:hAnsi="Calibri"/>
                <w:color w:val="000000"/>
              </w:rPr>
            </w:pPr>
            <w:r w:rsidRPr="002D3263">
              <w:rPr>
                <w:rFonts w:ascii="Calibri" w:hAnsi="Calibri" w:cs="Calibri"/>
                <w:color w:val="000000"/>
              </w:rPr>
              <w:t xml:space="preserve">$1,110 </w:t>
            </w:r>
          </w:p>
        </w:tc>
        <w:tc>
          <w:tcPr>
            <w:tcW w:w="1440" w:type="dxa"/>
            <w:shd w:val="clear" w:color="auto" w:fill="auto"/>
            <w:vAlign w:val="center"/>
          </w:tcPr>
          <w:p w:rsidR="00634AAC" w:rsidRPr="002D3263" w:rsidP="00EF4CBB" w14:paraId="6775857C" w14:textId="73BDAF77">
            <w:pPr>
              <w:keepNext/>
              <w:widowControl/>
              <w:jc w:val="center"/>
              <w:rPr>
                <w:rFonts w:ascii="Calibri" w:hAnsi="Calibri"/>
                <w:color w:val="000000"/>
              </w:rPr>
            </w:pPr>
            <w:r w:rsidRPr="002D3263">
              <w:rPr>
                <w:rFonts w:ascii="Calibri" w:hAnsi="Calibri" w:cs="Calibri"/>
                <w:color w:val="000000"/>
              </w:rPr>
              <w:t xml:space="preserve">$906 </w:t>
            </w:r>
          </w:p>
        </w:tc>
        <w:tc>
          <w:tcPr>
            <w:tcW w:w="1260" w:type="dxa"/>
            <w:shd w:val="clear" w:color="auto" w:fill="auto"/>
            <w:vAlign w:val="center"/>
          </w:tcPr>
          <w:p w:rsidR="00634AAC" w:rsidRPr="002D3263" w:rsidP="00EF4CBB" w14:paraId="228EDE9C" w14:textId="4F014FB5">
            <w:pPr>
              <w:keepNext/>
              <w:widowControl/>
              <w:jc w:val="center"/>
              <w:rPr>
                <w:rFonts w:ascii="Calibri" w:hAnsi="Calibri"/>
                <w:color w:val="000000"/>
              </w:rPr>
            </w:pPr>
            <w:r w:rsidRPr="002D3263">
              <w:rPr>
                <w:rFonts w:ascii="Calibri" w:hAnsi="Calibri" w:cs="Calibri"/>
                <w:color w:val="000000"/>
              </w:rPr>
              <w:t xml:space="preserve">$1,016 </w:t>
            </w:r>
          </w:p>
        </w:tc>
      </w:tr>
      <w:tr w14:paraId="3BD6F4BE" w14:textId="77777777" w:rsidTr="008A4DC9">
        <w:tblPrEx>
          <w:tblW w:w="5130" w:type="dxa"/>
          <w:jc w:val="center"/>
          <w:tblLayout w:type="fixed"/>
          <w:tblLook w:val="04A0"/>
        </w:tblPrEx>
        <w:trPr>
          <w:trHeight w:val="80"/>
          <w:jc w:val="center"/>
        </w:trPr>
        <w:tc>
          <w:tcPr>
            <w:tcW w:w="810" w:type="dxa"/>
            <w:shd w:val="clear" w:color="auto" w:fill="auto"/>
            <w:noWrap/>
            <w:vAlign w:val="center"/>
          </w:tcPr>
          <w:p w:rsidR="00634AAC" w:rsidRPr="002D3263" w:rsidP="00EF4CBB" w14:paraId="11B66448" w14:textId="005BA6C1">
            <w:pPr>
              <w:keepNext/>
              <w:widowControl/>
              <w:jc w:val="center"/>
              <w:rPr>
                <w:rFonts w:ascii="Calibri" w:hAnsi="Calibri"/>
                <w:color w:val="000000"/>
              </w:rPr>
            </w:pPr>
            <w:r w:rsidRPr="002D3263">
              <w:rPr>
                <w:rFonts w:ascii="Calibri" w:hAnsi="Calibri" w:cs="Calibri"/>
                <w:color w:val="000000"/>
              </w:rPr>
              <w:t>2025</w:t>
            </w:r>
          </w:p>
        </w:tc>
        <w:tc>
          <w:tcPr>
            <w:tcW w:w="1620" w:type="dxa"/>
            <w:shd w:val="clear" w:color="auto" w:fill="auto"/>
            <w:vAlign w:val="center"/>
          </w:tcPr>
          <w:p w:rsidR="00634AAC" w:rsidRPr="002D3263" w:rsidP="00EF4CBB" w14:paraId="1D31C62C" w14:textId="5718DEFA">
            <w:pPr>
              <w:keepNext/>
              <w:widowControl/>
              <w:jc w:val="center"/>
              <w:rPr>
                <w:rFonts w:ascii="Calibri" w:hAnsi="Calibri"/>
                <w:color w:val="000000"/>
              </w:rPr>
            </w:pPr>
            <w:r w:rsidRPr="002D3263">
              <w:rPr>
                <w:rFonts w:ascii="Calibri" w:hAnsi="Calibri" w:cs="Calibri"/>
                <w:color w:val="000000"/>
              </w:rPr>
              <w:t xml:space="preserve">$1,110 </w:t>
            </w:r>
          </w:p>
        </w:tc>
        <w:tc>
          <w:tcPr>
            <w:tcW w:w="1440" w:type="dxa"/>
            <w:shd w:val="clear" w:color="auto" w:fill="auto"/>
            <w:vAlign w:val="center"/>
          </w:tcPr>
          <w:p w:rsidR="00634AAC" w:rsidRPr="002D3263" w:rsidP="00EF4CBB" w14:paraId="198C3950" w14:textId="702F04BF">
            <w:pPr>
              <w:keepNext/>
              <w:widowControl/>
              <w:jc w:val="center"/>
              <w:rPr>
                <w:rFonts w:ascii="Calibri" w:hAnsi="Calibri"/>
                <w:color w:val="000000"/>
              </w:rPr>
            </w:pPr>
            <w:r w:rsidRPr="002D3263">
              <w:rPr>
                <w:rFonts w:ascii="Calibri" w:hAnsi="Calibri" w:cs="Calibri"/>
                <w:color w:val="000000"/>
              </w:rPr>
              <w:t xml:space="preserve">$847 </w:t>
            </w:r>
          </w:p>
        </w:tc>
        <w:tc>
          <w:tcPr>
            <w:tcW w:w="1260" w:type="dxa"/>
            <w:shd w:val="clear" w:color="auto" w:fill="auto"/>
            <w:vAlign w:val="center"/>
          </w:tcPr>
          <w:p w:rsidR="00634AAC" w:rsidRPr="002D3263" w:rsidP="00EF4CBB" w14:paraId="337F75CC" w14:textId="56D5F923">
            <w:pPr>
              <w:keepNext/>
              <w:widowControl/>
              <w:jc w:val="center"/>
              <w:rPr>
                <w:rFonts w:ascii="Calibri" w:hAnsi="Calibri"/>
                <w:color w:val="000000"/>
              </w:rPr>
            </w:pPr>
            <w:r w:rsidRPr="002D3263">
              <w:rPr>
                <w:rFonts w:ascii="Calibri" w:hAnsi="Calibri" w:cs="Calibri"/>
                <w:color w:val="000000"/>
              </w:rPr>
              <w:t xml:space="preserve">$986 </w:t>
            </w:r>
          </w:p>
        </w:tc>
      </w:tr>
      <w:tr w14:paraId="430CF450" w14:textId="77777777" w:rsidTr="008A4DC9">
        <w:tblPrEx>
          <w:tblW w:w="5130" w:type="dxa"/>
          <w:jc w:val="center"/>
          <w:tblLayout w:type="fixed"/>
          <w:tblLook w:val="04A0"/>
        </w:tblPrEx>
        <w:trPr>
          <w:trHeight w:val="80"/>
          <w:jc w:val="center"/>
        </w:trPr>
        <w:tc>
          <w:tcPr>
            <w:tcW w:w="810" w:type="dxa"/>
            <w:shd w:val="clear" w:color="auto" w:fill="auto"/>
            <w:noWrap/>
            <w:vAlign w:val="center"/>
          </w:tcPr>
          <w:p w:rsidR="00634AAC" w:rsidRPr="002D3263" w:rsidP="00EF4CBB" w14:paraId="4077EA80" w14:textId="69C3A754">
            <w:pPr>
              <w:keepNext/>
              <w:widowControl/>
              <w:jc w:val="center"/>
              <w:rPr>
                <w:rFonts w:ascii="Calibri" w:hAnsi="Calibri"/>
                <w:color w:val="000000"/>
              </w:rPr>
            </w:pPr>
            <w:r w:rsidRPr="002D3263">
              <w:rPr>
                <w:rFonts w:ascii="Calibri" w:hAnsi="Calibri" w:cs="Calibri"/>
                <w:color w:val="000000"/>
              </w:rPr>
              <w:t>2026</w:t>
            </w:r>
          </w:p>
        </w:tc>
        <w:tc>
          <w:tcPr>
            <w:tcW w:w="1620" w:type="dxa"/>
            <w:shd w:val="clear" w:color="auto" w:fill="auto"/>
            <w:vAlign w:val="center"/>
          </w:tcPr>
          <w:p w:rsidR="00634AAC" w:rsidRPr="002D3263" w:rsidP="00EF4CBB" w14:paraId="536C034B" w14:textId="11F725C6">
            <w:pPr>
              <w:keepNext/>
              <w:widowControl/>
              <w:jc w:val="center"/>
              <w:rPr>
                <w:rFonts w:ascii="Calibri" w:hAnsi="Calibri"/>
                <w:color w:val="000000"/>
              </w:rPr>
            </w:pPr>
            <w:r w:rsidRPr="002D3263">
              <w:rPr>
                <w:rFonts w:ascii="Calibri" w:hAnsi="Calibri" w:cs="Calibri"/>
                <w:color w:val="000000"/>
              </w:rPr>
              <w:t xml:space="preserve">$1,110 </w:t>
            </w:r>
          </w:p>
        </w:tc>
        <w:tc>
          <w:tcPr>
            <w:tcW w:w="1440" w:type="dxa"/>
            <w:shd w:val="clear" w:color="auto" w:fill="auto"/>
            <w:vAlign w:val="center"/>
          </w:tcPr>
          <w:p w:rsidR="00634AAC" w:rsidRPr="002D3263" w:rsidP="00EF4CBB" w14:paraId="71C7496E" w14:textId="5170D1C1">
            <w:pPr>
              <w:keepNext/>
              <w:widowControl/>
              <w:jc w:val="center"/>
              <w:rPr>
                <w:rFonts w:ascii="Calibri" w:hAnsi="Calibri"/>
                <w:color w:val="000000"/>
              </w:rPr>
            </w:pPr>
            <w:r w:rsidRPr="002D3263">
              <w:rPr>
                <w:rFonts w:ascii="Calibri" w:hAnsi="Calibri" w:cs="Calibri"/>
                <w:color w:val="000000"/>
              </w:rPr>
              <w:t xml:space="preserve">$791 </w:t>
            </w:r>
          </w:p>
        </w:tc>
        <w:tc>
          <w:tcPr>
            <w:tcW w:w="1260" w:type="dxa"/>
            <w:shd w:val="clear" w:color="auto" w:fill="auto"/>
            <w:vAlign w:val="center"/>
          </w:tcPr>
          <w:p w:rsidR="00634AAC" w:rsidRPr="002D3263" w:rsidP="00EF4CBB" w14:paraId="05590477" w14:textId="702BB51F">
            <w:pPr>
              <w:keepNext/>
              <w:widowControl/>
              <w:jc w:val="center"/>
              <w:rPr>
                <w:rFonts w:ascii="Calibri" w:hAnsi="Calibri"/>
                <w:color w:val="000000"/>
              </w:rPr>
            </w:pPr>
            <w:r w:rsidRPr="002D3263">
              <w:rPr>
                <w:rFonts w:ascii="Calibri" w:hAnsi="Calibri" w:cs="Calibri"/>
                <w:color w:val="000000"/>
              </w:rPr>
              <w:t xml:space="preserve">$957 </w:t>
            </w:r>
          </w:p>
        </w:tc>
      </w:tr>
      <w:tr w14:paraId="053F8F0E" w14:textId="77777777" w:rsidTr="008A4DC9">
        <w:tblPrEx>
          <w:tblW w:w="5130" w:type="dxa"/>
          <w:jc w:val="center"/>
          <w:tblLayout w:type="fixed"/>
          <w:tblLook w:val="04A0"/>
        </w:tblPrEx>
        <w:trPr>
          <w:trHeight w:val="80"/>
          <w:jc w:val="center"/>
        </w:trPr>
        <w:tc>
          <w:tcPr>
            <w:tcW w:w="810" w:type="dxa"/>
            <w:shd w:val="clear" w:color="auto" w:fill="auto"/>
            <w:noWrap/>
            <w:vAlign w:val="center"/>
          </w:tcPr>
          <w:p w:rsidR="00634AAC" w:rsidRPr="002D3263" w:rsidP="00EF4CBB" w14:paraId="63058BE9" w14:textId="57D06890">
            <w:pPr>
              <w:keepNext/>
              <w:widowControl/>
              <w:jc w:val="center"/>
              <w:rPr>
                <w:rFonts w:ascii="Calibri" w:hAnsi="Calibri"/>
                <w:color w:val="000000"/>
              </w:rPr>
            </w:pPr>
            <w:r w:rsidRPr="002D3263">
              <w:rPr>
                <w:rFonts w:ascii="Calibri" w:hAnsi="Calibri" w:cs="Calibri"/>
                <w:color w:val="000000"/>
              </w:rPr>
              <w:t>2027</w:t>
            </w:r>
          </w:p>
        </w:tc>
        <w:tc>
          <w:tcPr>
            <w:tcW w:w="1620" w:type="dxa"/>
            <w:shd w:val="clear" w:color="auto" w:fill="auto"/>
            <w:vAlign w:val="center"/>
          </w:tcPr>
          <w:p w:rsidR="00634AAC" w:rsidRPr="002D3263" w:rsidP="00EF4CBB" w14:paraId="66D5443B" w14:textId="7148315A">
            <w:pPr>
              <w:keepNext/>
              <w:widowControl/>
              <w:jc w:val="center"/>
              <w:rPr>
                <w:rFonts w:ascii="Calibri" w:hAnsi="Calibri"/>
                <w:color w:val="000000"/>
              </w:rPr>
            </w:pPr>
            <w:r w:rsidRPr="002D3263">
              <w:rPr>
                <w:rFonts w:ascii="Calibri" w:hAnsi="Calibri" w:cs="Calibri"/>
                <w:color w:val="000000"/>
              </w:rPr>
              <w:t xml:space="preserve">$1,110 </w:t>
            </w:r>
          </w:p>
        </w:tc>
        <w:tc>
          <w:tcPr>
            <w:tcW w:w="1440" w:type="dxa"/>
            <w:shd w:val="clear" w:color="auto" w:fill="auto"/>
            <w:vAlign w:val="center"/>
          </w:tcPr>
          <w:p w:rsidR="00634AAC" w:rsidRPr="002D3263" w:rsidP="00EF4CBB" w14:paraId="1EA77C6E" w14:textId="799A501D">
            <w:pPr>
              <w:keepNext/>
              <w:widowControl/>
              <w:jc w:val="center"/>
              <w:rPr>
                <w:rFonts w:ascii="Calibri" w:hAnsi="Calibri"/>
                <w:color w:val="000000"/>
              </w:rPr>
            </w:pPr>
            <w:r w:rsidRPr="002D3263">
              <w:rPr>
                <w:rFonts w:ascii="Calibri" w:hAnsi="Calibri" w:cs="Calibri"/>
                <w:color w:val="000000"/>
              </w:rPr>
              <w:t xml:space="preserve">$740 </w:t>
            </w:r>
          </w:p>
        </w:tc>
        <w:tc>
          <w:tcPr>
            <w:tcW w:w="1260" w:type="dxa"/>
            <w:shd w:val="clear" w:color="auto" w:fill="auto"/>
            <w:vAlign w:val="center"/>
          </w:tcPr>
          <w:p w:rsidR="00634AAC" w:rsidRPr="002D3263" w:rsidP="00EF4CBB" w14:paraId="1A5D3824" w14:textId="300063A5">
            <w:pPr>
              <w:keepNext/>
              <w:widowControl/>
              <w:jc w:val="center"/>
              <w:rPr>
                <w:rFonts w:ascii="Calibri" w:hAnsi="Calibri"/>
                <w:color w:val="000000"/>
              </w:rPr>
            </w:pPr>
            <w:r w:rsidRPr="002D3263">
              <w:rPr>
                <w:rFonts w:ascii="Calibri" w:hAnsi="Calibri" w:cs="Calibri"/>
                <w:color w:val="000000"/>
              </w:rPr>
              <w:t xml:space="preserve">$930 </w:t>
            </w:r>
          </w:p>
        </w:tc>
      </w:tr>
      <w:tr w14:paraId="78D7CF62" w14:textId="77777777" w:rsidTr="008A4DC9">
        <w:tblPrEx>
          <w:tblW w:w="5130" w:type="dxa"/>
          <w:jc w:val="center"/>
          <w:tblLayout w:type="fixed"/>
          <w:tblLook w:val="04A0"/>
        </w:tblPrEx>
        <w:trPr>
          <w:trHeight w:val="80"/>
          <w:jc w:val="center"/>
        </w:trPr>
        <w:tc>
          <w:tcPr>
            <w:tcW w:w="810" w:type="dxa"/>
            <w:shd w:val="clear" w:color="auto" w:fill="auto"/>
            <w:noWrap/>
            <w:vAlign w:val="center"/>
          </w:tcPr>
          <w:p w:rsidR="00634AAC" w:rsidRPr="002D3263" w:rsidP="00EF4CBB" w14:paraId="725FB49F" w14:textId="19FB7534">
            <w:pPr>
              <w:keepNext/>
              <w:widowControl/>
              <w:jc w:val="center"/>
              <w:rPr>
                <w:rFonts w:ascii="Calibri" w:hAnsi="Calibri"/>
                <w:color w:val="000000"/>
              </w:rPr>
            </w:pPr>
            <w:r w:rsidRPr="002D3263">
              <w:rPr>
                <w:rFonts w:ascii="Calibri" w:hAnsi="Calibri" w:cs="Calibri"/>
                <w:color w:val="000000"/>
              </w:rPr>
              <w:t>2028</w:t>
            </w:r>
          </w:p>
        </w:tc>
        <w:tc>
          <w:tcPr>
            <w:tcW w:w="1620" w:type="dxa"/>
            <w:shd w:val="clear" w:color="auto" w:fill="auto"/>
            <w:vAlign w:val="center"/>
          </w:tcPr>
          <w:p w:rsidR="00634AAC" w:rsidRPr="002D3263" w:rsidP="00EF4CBB" w14:paraId="5CA11BDD" w14:textId="5ECC1193">
            <w:pPr>
              <w:keepNext/>
              <w:widowControl/>
              <w:jc w:val="center"/>
              <w:rPr>
                <w:rFonts w:ascii="Calibri" w:hAnsi="Calibri"/>
                <w:color w:val="000000"/>
              </w:rPr>
            </w:pPr>
            <w:r w:rsidRPr="002D3263">
              <w:rPr>
                <w:rFonts w:ascii="Calibri" w:hAnsi="Calibri" w:cs="Calibri"/>
                <w:color w:val="000000"/>
              </w:rPr>
              <w:t xml:space="preserve">$1,110 </w:t>
            </w:r>
          </w:p>
        </w:tc>
        <w:tc>
          <w:tcPr>
            <w:tcW w:w="1440" w:type="dxa"/>
            <w:shd w:val="clear" w:color="auto" w:fill="auto"/>
            <w:vAlign w:val="center"/>
          </w:tcPr>
          <w:p w:rsidR="00634AAC" w:rsidRPr="002D3263" w:rsidP="00EF4CBB" w14:paraId="2BB6E0E7" w14:textId="55CB0B65">
            <w:pPr>
              <w:keepNext/>
              <w:widowControl/>
              <w:jc w:val="center"/>
              <w:rPr>
                <w:rFonts w:ascii="Calibri" w:hAnsi="Calibri"/>
                <w:color w:val="000000"/>
              </w:rPr>
            </w:pPr>
            <w:r w:rsidRPr="002D3263">
              <w:rPr>
                <w:rFonts w:ascii="Calibri" w:hAnsi="Calibri" w:cs="Calibri"/>
                <w:color w:val="000000"/>
              </w:rPr>
              <w:t xml:space="preserve">$691 </w:t>
            </w:r>
          </w:p>
        </w:tc>
        <w:tc>
          <w:tcPr>
            <w:tcW w:w="1260" w:type="dxa"/>
            <w:shd w:val="clear" w:color="auto" w:fill="auto"/>
            <w:vAlign w:val="center"/>
          </w:tcPr>
          <w:p w:rsidR="00634AAC" w:rsidRPr="002D3263" w:rsidP="00EF4CBB" w14:paraId="21DEBBD0" w14:textId="6980F71C">
            <w:pPr>
              <w:keepNext/>
              <w:widowControl/>
              <w:jc w:val="center"/>
              <w:rPr>
                <w:rFonts w:ascii="Calibri" w:hAnsi="Calibri"/>
                <w:color w:val="000000"/>
              </w:rPr>
            </w:pPr>
            <w:r w:rsidRPr="002D3263">
              <w:rPr>
                <w:rFonts w:ascii="Calibri" w:hAnsi="Calibri" w:cs="Calibri"/>
                <w:color w:val="000000"/>
              </w:rPr>
              <w:t xml:space="preserve">$903 </w:t>
            </w:r>
          </w:p>
        </w:tc>
      </w:tr>
      <w:tr w14:paraId="6471C094" w14:textId="77777777" w:rsidTr="008A4DC9">
        <w:tblPrEx>
          <w:tblW w:w="5130" w:type="dxa"/>
          <w:jc w:val="center"/>
          <w:tblLayout w:type="fixed"/>
          <w:tblLook w:val="04A0"/>
        </w:tblPrEx>
        <w:trPr>
          <w:trHeight w:val="80"/>
          <w:jc w:val="center"/>
        </w:trPr>
        <w:tc>
          <w:tcPr>
            <w:tcW w:w="810" w:type="dxa"/>
            <w:shd w:val="clear" w:color="auto" w:fill="auto"/>
            <w:noWrap/>
            <w:vAlign w:val="center"/>
          </w:tcPr>
          <w:p w:rsidR="00634AAC" w:rsidRPr="002D3263" w:rsidP="00EF4CBB" w14:paraId="0A3BE4FB" w14:textId="1394C9B6">
            <w:pPr>
              <w:keepNext/>
              <w:widowControl/>
              <w:jc w:val="center"/>
              <w:rPr>
                <w:rFonts w:ascii="Calibri" w:hAnsi="Calibri"/>
                <w:color w:val="000000"/>
              </w:rPr>
            </w:pPr>
            <w:r w:rsidRPr="002D3263">
              <w:rPr>
                <w:rFonts w:ascii="Calibri" w:hAnsi="Calibri" w:cs="Calibri"/>
                <w:color w:val="000000"/>
              </w:rPr>
              <w:t>2029</w:t>
            </w:r>
          </w:p>
        </w:tc>
        <w:tc>
          <w:tcPr>
            <w:tcW w:w="1620" w:type="dxa"/>
            <w:shd w:val="clear" w:color="auto" w:fill="auto"/>
            <w:vAlign w:val="center"/>
          </w:tcPr>
          <w:p w:rsidR="00634AAC" w:rsidRPr="002D3263" w:rsidP="00EF4CBB" w14:paraId="36CC26C2" w14:textId="4E0B0B1B">
            <w:pPr>
              <w:keepNext/>
              <w:widowControl/>
              <w:jc w:val="center"/>
              <w:rPr>
                <w:rFonts w:ascii="Calibri" w:hAnsi="Calibri"/>
                <w:color w:val="000000"/>
              </w:rPr>
            </w:pPr>
            <w:r w:rsidRPr="002D3263">
              <w:rPr>
                <w:rFonts w:ascii="Calibri" w:hAnsi="Calibri" w:cs="Calibri"/>
                <w:color w:val="000000"/>
              </w:rPr>
              <w:t xml:space="preserve">$1,110 </w:t>
            </w:r>
          </w:p>
        </w:tc>
        <w:tc>
          <w:tcPr>
            <w:tcW w:w="1440" w:type="dxa"/>
            <w:shd w:val="clear" w:color="auto" w:fill="auto"/>
            <w:vAlign w:val="center"/>
          </w:tcPr>
          <w:p w:rsidR="00634AAC" w:rsidRPr="002D3263" w:rsidP="00EF4CBB" w14:paraId="50F7B572" w14:textId="18B5E94C">
            <w:pPr>
              <w:keepNext/>
              <w:widowControl/>
              <w:jc w:val="center"/>
              <w:rPr>
                <w:rFonts w:ascii="Calibri" w:hAnsi="Calibri"/>
                <w:color w:val="000000"/>
              </w:rPr>
            </w:pPr>
            <w:r w:rsidRPr="002D3263">
              <w:rPr>
                <w:rFonts w:ascii="Calibri" w:hAnsi="Calibri" w:cs="Calibri"/>
                <w:color w:val="000000"/>
              </w:rPr>
              <w:t xml:space="preserve">$646 </w:t>
            </w:r>
          </w:p>
        </w:tc>
        <w:tc>
          <w:tcPr>
            <w:tcW w:w="1260" w:type="dxa"/>
            <w:shd w:val="clear" w:color="auto" w:fill="auto"/>
            <w:vAlign w:val="center"/>
          </w:tcPr>
          <w:p w:rsidR="00634AAC" w:rsidRPr="002D3263" w:rsidP="00EF4CBB" w14:paraId="49F8AF81" w14:textId="15C3BDF6">
            <w:pPr>
              <w:keepNext/>
              <w:widowControl/>
              <w:jc w:val="center"/>
              <w:rPr>
                <w:rFonts w:ascii="Calibri" w:hAnsi="Calibri"/>
                <w:color w:val="000000"/>
              </w:rPr>
            </w:pPr>
            <w:r w:rsidRPr="002D3263">
              <w:rPr>
                <w:rFonts w:ascii="Calibri" w:hAnsi="Calibri" w:cs="Calibri"/>
                <w:color w:val="000000"/>
              </w:rPr>
              <w:t xml:space="preserve">$876 </w:t>
            </w:r>
          </w:p>
        </w:tc>
      </w:tr>
      <w:tr w14:paraId="5FD360D4" w14:textId="77777777" w:rsidTr="008A4DC9">
        <w:tblPrEx>
          <w:tblW w:w="5130" w:type="dxa"/>
          <w:jc w:val="center"/>
          <w:tblLayout w:type="fixed"/>
          <w:tblLook w:val="04A0"/>
        </w:tblPrEx>
        <w:trPr>
          <w:trHeight w:val="80"/>
          <w:jc w:val="center"/>
        </w:trPr>
        <w:tc>
          <w:tcPr>
            <w:tcW w:w="810" w:type="dxa"/>
            <w:shd w:val="clear" w:color="auto" w:fill="auto"/>
            <w:noWrap/>
            <w:vAlign w:val="center"/>
          </w:tcPr>
          <w:p w:rsidR="00634AAC" w:rsidRPr="002D3263" w:rsidP="00EF4CBB" w14:paraId="7AF5CA00" w14:textId="115B466F">
            <w:pPr>
              <w:keepNext/>
              <w:widowControl/>
              <w:jc w:val="center"/>
              <w:rPr>
                <w:rFonts w:ascii="Calibri" w:hAnsi="Calibri"/>
                <w:color w:val="000000"/>
              </w:rPr>
            </w:pPr>
            <w:r w:rsidRPr="002D3263">
              <w:rPr>
                <w:rFonts w:ascii="Calibri" w:hAnsi="Calibri" w:cs="Calibri"/>
                <w:color w:val="000000"/>
              </w:rPr>
              <w:t>2030</w:t>
            </w:r>
          </w:p>
        </w:tc>
        <w:tc>
          <w:tcPr>
            <w:tcW w:w="1620" w:type="dxa"/>
            <w:shd w:val="clear" w:color="auto" w:fill="auto"/>
            <w:vAlign w:val="center"/>
          </w:tcPr>
          <w:p w:rsidR="00634AAC" w:rsidRPr="002D3263" w:rsidP="00EF4CBB" w14:paraId="425352D8" w14:textId="75A9CF69">
            <w:pPr>
              <w:keepNext/>
              <w:widowControl/>
              <w:jc w:val="center"/>
              <w:rPr>
                <w:rFonts w:ascii="Calibri" w:hAnsi="Calibri"/>
                <w:color w:val="000000"/>
              </w:rPr>
            </w:pPr>
            <w:r w:rsidRPr="002D3263">
              <w:rPr>
                <w:rFonts w:ascii="Calibri" w:hAnsi="Calibri" w:cs="Calibri"/>
                <w:color w:val="000000"/>
              </w:rPr>
              <w:t xml:space="preserve">$1,110 </w:t>
            </w:r>
          </w:p>
        </w:tc>
        <w:tc>
          <w:tcPr>
            <w:tcW w:w="1440" w:type="dxa"/>
            <w:shd w:val="clear" w:color="auto" w:fill="auto"/>
            <w:vAlign w:val="center"/>
          </w:tcPr>
          <w:p w:rsidR="00634AAC" w:rsidRPr="002D3263" w:rsidP="00EF4CBB" w14:paraId="119DF13A" w14:textId="0E86ED1A">
            <w:pPr>
              <w:keepNext/>
              <w:widowControl/>
              <w:jc w:val="center"/>
              <w:rPr>
                <w:rFonts w:ascii="Calibri" w:hAnsi="Calibri"/>
                <w:color w:val="000000"/>
              </w:rPr>
            </w:pPr>
            <w:r w:rsidRPr="002D3263">
              <w:rPr>
                <w:rFonts w:ascii="Calibri" w:hAnsi="Calibri" w:cs="Calibri"/>
                <w:color w:val="000000"/>
              </w:rPr>
              <w:t xml:space="preserve">$604 </w:t>
            </w:r>
          </w:p>
        </w:tc>
        <w:tc>
          <w:tcPr>
            <w:tcW w:w="1260" w:type="dxa"/>
            <w:shd w:val="clear" w:color="auto" w:fill="auto"/>
            <w:vAlign w:val="center"/>
          </w:tcPr>
          <w:p w:rsidR="00634AAC" w:rsidRPr="002D3263" w:rsidP="00EF4CBB" w14:paraId="733BFFDB" w14:textId="6942BEF5">
            <w:pPr>
              <w:keepNext/>
              <w:widowControl/>
              <w:jc w:val="center"/>
              <w:rPr>
                <w:rFonts w:ascii="Calibri" w:hAnsi="Calibri"/>
                <w:color w:val="000000"/>
              </w:rPr>
            </w:pPr>
            <w:r w:rsidRPr="002D3263">
              <w:rPr>
                <w:rFonts w:ascii="Calibri" w:hAnsi="Calibri" w:cs="Calibri"/>
                <w:color w:val="000000"/>
              </w:rPr>
              <w:t xml:space="preserve">$851 </w:t>
            </w:r>
          </w:p>
        </w:tc>
      </w:tr>
      <w:tr w14:paraId="09C793CB" w14:textId="77777777" w:rsidTr="008A4DC9">
        <w:tblPrEx>
          <w:tblW w:w="5130" w:type="dxa"/>
          <w:jc w:val="center"/>
          <w:tblLayout w:type="fixed"/>
          <w:tblLook w:val="04A0"/>
        </w:tblPrEx>
        <w:trPr>
          <w:trHeight w:val="80"/>
          <w:jc w:val="center"/>
        </w:trPr>
        <w:tc>
          <w:tcPr>
            <w:tcW w:w="810" w:type="dxa"/>
            <w:shd w:val="clear" w:color="auto" w:fill="auto"/>
            <w:noWrap/>
            <w:vAlign w:val="center"/>
          </w:tcPr>
          <w:p w:rsidR="00634AAC" w:rsidRPr="002D3263" w:rsidP="00EF4CBB" w14:paraId="4B3690FD" w14:textId="40A4A5E7">
            <w:pPr>
              <w:keepNext/>
              <w:widowControl/>
              <w:jc w:val="center"/>
              <w:rPr>
                <w:rFonts w:ascii="Calibri" w:hAnsi="Calibri"/>
                <w:color w:val="000000"/>
              </w:rPr>
            </w:pPr>
            <w:r w:rsidRPr="002D3263">
              <w:rPr>
                <w:rFonts w:ascii="Calibri" w:hAnsi="Calibri" w:cs="Calibri"/>
                <w:color w:val="000000"/>
              </w:rPr>
              <w:t>2031</w:t>
            </w:r>
          </w:p>
        </w:tc>
        <w:tc>
          <w:tcPr>
            <w:tcW w:w="1620" w:type="dxa"/>
            <w:shd w:val="clear" w:color="auto" w:fill="auto"/>
            <w:vAlign w:val="center"/>
          </w:tcPr>
          <w:p w:rsidR="00634AAC" w:rsidRPr="002D3263" w:rsidP="00EF4CBB" w14:paraId="076509F0" w14:textId="077D7426">
            <w:pPr>
              <w:keepNext/>
              <w:widowControl/>
              <w:jc w:val="center"/>
              <w:rPr>
                <w:rFonts w:ascii="Calibri" w:hAnsi="Calibri"/>
                <w:color w:val="000000"/>
              </w:rPr>
            </w:pPr>
            <w:r w:rsidRPr="002D3263">
              <w:rPr>
                <w:rFonts w:ascii="Calibri" w:hAnsi="Calibri" w:cs="Calibri"/>
                <w:color w:val="000000"/>
              </w:rPr>
              <w:t xml:space="preserve">$1,110 </w:t>
            </w:r>
          </w:p>
        </w:tc>
        <w:tc>
          <w:tcPr>
            <w:tcW w:w="1440" w:type="dxa"/>
            <w:shd w:val="clear" w:color="auto" w:fill="auto"/>
            <w:vAlign w:val="center"/>
          </w:tcPr>
          <w:p w:rsidR="00634AAC" w:rsidRPr="002D3263" w:rsidP="00EF4CBB" w14:paraId="4A3AEF5D" w14:textId="72DD987D">
            <w:pPr>
              <w:keepNext/>
              <w:widowControl/>
              <w:jc w:val="center"/>
              <w:rPr>
                <w:rFonts w:ascii="Calibri" w:hAnsi="Calibri"/>
                <w:color w:val="000000"/>
              </w:rPr>
            </w:pPr>
            <w:r w:rsidRPr="002D3263">
              <w:rPr>
                <w:rFonts w:ascii="Calibri" w:hAnsi="Calibri" w:cs="Calibri"/>
                <w:color w:val="000000"/>
              </w:rPr>
              <w:t xml:space="preserve">$564 </w:t>
            </w:r>
          </w:p>
        </w:tc>
        <w:tc>
          <w:tcPr>
            <w:tcW w:w="1260" w:type="dxa"/>
            <w:shd w:val="clear" w:color="auto" w:fill="auto"/>
            <w:vAlign w:val="center"/>
          </w:tcPr>
          <w:p w:rsidR="00634AAC" w:rsidRPr="002D3263" w:rsidP="00EF4CBB" w14:paraId="51FD9EF2" w14:textId="3A2FE693">
            <w:pPr>
              <w:keepNext/>
              <w:widowControl/>
              <w:jc w:val="center"/>
              <w:rPr>
                <w:rFonts w:ascii="Calibri" w:hAnsi="Calibri"/>
                <w:color w:val="000000"/>
              </w:rPr>
            </w:pPr>
            <w:r w:rsidRPr="002D3263">
              <w:rPr>
                <w:rFonts w:ascii="Calibri" w:hAnsi="Calibri" w:cs="Calibri"/>
                <w:color w:val="000000"/>
              </w:rPr>
              <w:t xml:space="preserve">$826 </w:t>
            </w:r>
          </w:p>
        </w:tc>
      </w:tr>
      <w:tr w14:paraId="037C98AA" w14:textId="77777777" w:rsidTr="008A4DC9">
        <w:tblPrEx>
          <w:tblW w:w="5130" w:type="dxa"/>
          <w:jc w:val="center"/>
          <w:tblLayout w:type="fixed"/>
          <w:tblLook w:val="04A0"/>
        </w:tblPrEx>
        <w:trPr>
          <w:trHeight w:val="80"/>
          <w:jc w:val="center"/>
        </w:trPr>
        <w:tc>
          <w:tcPr>
            <w:tcW w:w="810" w:type="dxa"/>
            <w:shd w:val="clear" w:color="auto" w:fill="auto"/>
            <w:noWrap/>
            <w:vAlign w:val="center"/>
          </w:tcPr>
          <w:p w:rsidR="00634AAC" w:rsidRPr="002D3263" w:rsidP="00EF4CBB" w14:paraId="487D791C" w14:textId="5AAD7649">
            <w:pPr>
              <w:keepNext/>
              <w:widowControl/>
              <w:jc w:val="center"/>
              <w:rPr>
                <w:rFonts w:ascii="Calibri" w:hAnsi="Calibri"/>
                <w:color w:val="000000"/>
              </w:rPr>
            </w:pPr>
            <w:r w:rsidRPr="002D3263">
              <w:rPr>
                <w:rFonts w:ascii="Calibri" w:hAnsi="Calibri" w:cs="Calibri"/>
                <w:color w:val="000000"/>
              </w:rPr>
              <w:t>2032</w:t>
            </w:r>
          </w:p>
        </w:tc>
        <w:tc>
          <w:tcPr>
            <w:tcW w:w="1620" w:type="dxa"/>
            <w:shd w:val="clear" w:color="auto" w:fill="auto"/>
            <w:vAlign w:val="center"/>
          </w:tcPr>
          <w:p w:rsidR="00634AAC" w:rsidRPr="002D3263" w:rsidP="00EF4CBB" w14:paraId="109C0104" w14:textId="4B9FA30A">
            <w:pPr>
              <w:keepNext/>
              <w:widowControl/>
              <w:jc w:val="center"/>
              <w:rPr>
                <w:rFonts w:ascii="Calibri" w:hAnsi="Calibri"/>
                <w:color w:val="000000"/>
              </w:rPr>
            </w:pPr>
            <w:r w:rsidRPr="002D3263">
              <w:rPr>
                <w:rFonts w:ascii="Calibri" w:hAnsi="Calibri" w:cs="Calibri"/>
                <w:color w:val="000000"/>
              </w:rPr>
              <w:t xml:space="preserve">$1,110 </w:t>
            </w:r>
          </w:p>
        </w:tc>
        <w:tc>
          <w:tcPr>
            <w:tcW w:w="1440" w:type="dxa"/>
            <w:shd w:val="clear" w:color="auto" w:fill="auto"/>
            <w:vAlign w:val="center"/>
          </w:tcPr>
          <w:p w:rsidR="00634AAC" w:rsidRPr="002D3263" w:rsidP="00EF4CBB" w14:paraId="4BDFA1C3" w14:textId="463E8C47">
            <w:pPr>
              <w:keepNext/>
              <w:widowControl/>
              <w:jc w:val="center"/>
              <w:rPr>
                <w:rFonts w:ascii="Calibri" w:hAnsi="Calibri"/>
                <w:color w:val="000000"/>
              </w:rPr>
            </w:pPr>
            <w:r w:rsidRPr="002D3263">
              <w:rPr>
                <w:rFonts w:ascii="Calibri" w:hAnsi="Calibri" w:cs="Calibri"/>
                <w:color w:val="000000"/>
              </w:rPr>
              <w:t xml:space="preserve">$527 </w:t>
            </w:r>
          </w:p>
        </w:tc>
        <w:tc>
          <w:tcPr>
            <w:tcW w:w="1260" w:type="dxa"/>
            <w:shd w:val="clear" w:color="auto" w:fill="auto"/>
            <w:vAlign w:val="center"/>
          </w:tcPr>
          <w:p w:rsidR="00634AAC" w:rsidRPr="002D3263" w:rsidP="00EF4CBB" w14:paraId="5D4D8F3A" w14:textId="68984ADE">
            <w:pPr>
              <w:keepNext/>
              <w:widowControl/>
              <w:jc w:val="center"/>
              <w:rPr>
                <w:rFonts w:ascii="Calibri" w:hAnsi="Calibri"/>
                <w:color w:val="000000"/>
              </w:rPr>
            </w:pPr>
            <w:r w:rsidRPr="002D3263">
              <w:rPr>
                <w:rFonts w:ascii="Calibri" w:hAnsi="Calibri" w:cs="Calibri"/>
                <w:color w:val="000000"/>
              </w:rPr>
              <w:t xml:space="preserve">$802 </w:t>
            </w:r>
          </w:p>
        </w:tc>
      </w:tr>
      <w:tr w14:paraId="380CEF50" w14:textId="77777777" w:rsidTr="008A4DC9">
        <w:tblPrEx>
          <w:tblW w:w="5130" w:type="dxa"/>
          <w:jc w:val="center"/>
          <w:tblLayout w:type="fixed"/>
          <w:tblLook w:val="04A0"/>
        </w:tblPrEx>
        <w:trPr>
          <w:trHeight w:val="315"/>
          <w:jc w:val="center"/>
        </w:trPr>
        <w:tc>
          <w:tcPr>
            <w:tcW w:w="810" w:type="dxa"/>
            <w:tcBorders>
              <w:bottom w:val="single" w:sz="12" w:space="0" w:color="auto"/>
            </w:tcBorders>
            <w:shd w:val="clear" w:color="auto" w:fill="auto"/>
            <w:noWrap/>
            <w:vAlign w:val="center"/>
          </w:tcPr>
          <w:p w:rsidR="00634AAC" w:rsidRPr="002D3263" w:rsidP="00634AAC" w14:paraId="5DF95725" w14:textId="4F776849">
            <w:pPr>
              <w:widowControl/>
              <w:spacing w:line="240" w:lineRule="auto"/>
              <w:jc w:val="center"/>
              <w:rPr>
                <w:rFonts w:ascii="Calibri" w:eastAsia="Times New Roman" w:hAnsi="Calibri" w:cs="Times New Roman"/>
                <w:b/>
                <w:color w:val="000000"/>
              </w:rPr>
            </w:pPr>
            <w:r w:rsidRPr="002D3263">
              <w:rPr>
                <w:rFonts w:ascii="Calibri" w:hAnsi="Calibri" w:cs="Calibri"/>
                <w:b/>
                <w:bCs/>
                <w:color w:val="000000"/>
              </w:rPr>
              <w:t>Total*</w:t>
            </w:r>
          </w:p>
        </w:tc>
        <w:tc>
          <w:tcPr>
            <w:tcW w:w="1620" w:type="dxa"/>
            <w:tcBorders>
              <w:bottom w:val="single" w:sz="12" w:space="0" w:color="auto"/>
            </w:tcBorders>
            <w:shd w:val="clear" w:color="auto" w:fill="auto"/>
            <w:vAlign w:val="center"/>
          </w:tcPr>
          <w:p w:rsidR="00634AAC" w:rsidRPr="002D3263" w:rsidP="00EF4CBB" w14:paraId="419118C8" w14:textId="357D2700">
            <w:pPr>
              <w:widowControl/>
              <w:jc w:val="center"/>
              <w:rPr>
                <w:rFonts w:ascii="Calibri" w:hAnsi="Calibri"/>
                <w:b/>
                <w:color w:val="000000"/>
              </w:rPr>
            </w:pPr>
            <w:r w:rsidRPr="002D3263">
              <w:rPr>
                <w:rFonts w:ascii="Calibri" w:hAnsi="Calibri" w:cs="Calibri"/>
                <w:b/>
                <w:bCs/>
                <w:color w:val="000000"/>
              </w:rPr>
              <w:t xml:space="preserve">$11,100 </w:t>
            </w:r>
          </w:p>
        </w:tc>
        <w:tc>
          <w:tcPr>
            <w:tcW w:w="1440" w:type="dxa"/>
            <w:tcBorders>
              <w:bottom w:val="single" w:sz="12" w:space="0" w:color="auto"/>
            </w:tcBorders>
            <w:shd w:val="clear" w:color="auto" w:fill="auto"/>
            <w:vAlign w:val="center"/>
          </w:tcPr>
          <w:p w:rsidR="00634AAC" w:rsidRPr="002D3263" w:rsidP="00EF4CBB" w14:paraId="76709189" w14:textId="1D4E0A9C">
            <w:pPr>
              <w:widowControl/>
              <w:jc w:val="center"/>
              <w:rPr>
                <w:rFonts w:ascii="Calibri" w:hAnsi="Calibri"/>
                <w:b/>
                <w:color w:val="000000"/>
              </w:rPr>
            </w:pPr>
            <w:r w:rsidRPr="002D3263">
              <w:rPr>
                <w:rFonts w:ascii="Calibri" w:hAnsi="Calibri" w:cs="Calibri"/>
                <w:b/>
                <w:bCs/>
                <w:color w:val="000000"/>
              </w:rPr>
              <w:t xml:space="preserve">$7,286 </w:t>
            </w:r>
          </w:p>
        </w:tc>
        <w:tc>
          <w:tcPr>
            <w:tcW w:w="1260" w:type="dxa"/>
            <w:tcBorders>
              <w:bottom w:val="single" w:sz="12" w:space="0" w:color="auto"/>
            </w:tcBorders>
            <w:shd w:val="clear" w:color="auto" w:fill="auto"/>
            <w:vAlign w:val="center"/>
          </w:tcPr>
          <w:p w:rsidR="00634AAC" w:rsidRPr="002D3263" w:rsidP="00EF4CBB" w14:paraId="578C2FA7" w14:textId="55F9D3D1">
            <w:pPr>
              <w:widowControl/>
              <w:jc w:val="center"/>
              <w:rPr>
                <w:rFonts w:ascii="Calibri" w:hAnsi="Calibri"/>
                <w:b/>
                <w:color w:val="000000"/>
              </w:rPr>
            </w:pPr>
            <w:r w:rsidRPr="002D3263">
              <w:rPr>
                <w:rFonts w:ascii="Calibri" w:hAnsi="Calibri" w:cs="Calibri"/>
                <w:b/>
                <w:bCs/>
                <w:color w:val="000000"/>
              </w:rPr>
              <w:t xml:space="preserve">$9,193 </w:t>
            </w:r>
          </w:p>
        </w:tc>
      </w:tr>
      <w:tr w14:paraId="005D8E12" w14:textId="77777777" w:rsidTr="00BA004C">
        <w:tblPrEx>
          <w:tblW w:w="5130" w:type="dxa"/>
          <w:jc w:val="center"/>
          <w:tblLayout w:type="fixed"/>
          <w:tblLook w:val="04A0"/>
        </w:tblPrEx>
        <w:trPr>
          <w:trHeight w:val="315"/>
          <w:jc w:val="center"/>
        </w:trPr>
        <w:tc>
          <w:tcPr>
            <w:tcW w:w="5130" w:type="dxa"/>
            <w:gridSpan w:val="4"/>
            <w:tcBorders>
              <w:top w:val="single" w:sz="12" w:space="0" w:color="auto"/>
            </w:tcBorders>
            <w:shd w:val="clear" w:color="auto" w:fill="auto"/>
            <w:noWrap/>
            <w:vAlign w:val="center"/>
          </w:tcPr>
          <w:p w:rsidR="00D661D5" w:rsidRPr="002D3263" w:rsidP="00EF4CBB" w14:paraId="63459B24" w14:textId="77777777">
            <w:pPr>
              <w:widowControl/>
              <w:rPr>
                <w:rFonts w:ascii="Calibri" w:hAnsi="Calibri"/>
                <w:b/>
                <w:color w:val="000000"/>
              </w:rPr>
            </w:pPr>
            <w:r w:rsidRPr="002D3263">
              <w:rPr>
                <w:rFonts w:ascii="Calibri" w:hAnsi="Calibri"/>
                <w:color w:val="000000"/>
              </w:rPr>
              <w:t>*Totals may not match sums due to rounding</w:t>
            </w:r>
          </w:p>
        </w:tc>
      </w:tr>
    </w:tbl>
    <w:p w:rsidR="00896F36" w:rsidRPr="002D3263" w:rsidP="006D5D1A" w14:paraId="202001C9" w14:textId="11A92DAE">
      <w:pPr>
        <w:pStyle w:val="Heading3"/>
        <w:keepNext/>
        <w:widowControl/>
      </w:pPr>
      <w:bookmarkStart w:id="52" w:name="_Toc2168788"/>
      <w:bookmarkStart w:id="53" w:name="_Toc2169042"/>
      <w:bookmarkStart w:id="54" w:name="_Toc2177345"/>
      <w:bookmarkStart w:id="55" w:name="_Toc127438024"/>
      <w:bookmarkEnd w:id="51"/>
      <w:bookmarkEnd w:id="52"/>
      <w:bookmarkEnd w:id="53"/>
      <w:bookmarkEnd w:id="54"/>
      <w:r w:rsidRPr="002D3263">
        <w:t>Transfers (</w:t>
      </w:r>
      <w:r w:rsidRPr="002D3263">
        <w:t>Increase</w:t>
      </w:r>
      <w:r w:rsidRPr="002D3263">
        <w:t>d</w:t>
      </w:r>
      <w:r w:rsidRPr="002D3263">
        <w:t xml:space="preserve"> Program Expenditures</w:t>
      </w:r>
      <w:r w:rsidRPr="002D3263">
        <w:t>)</w:t>
      </w:r>
      <w:bookmarkEnd w:id="55"/>
      <w:r w:rsidR="0069231D">
        <w:t xml:space="preserve">     </w:t>
      </w:r>
    </w:p>
    <w:p w:rsidR="00D3633F" w:rsidRPr="002D3263" w:rsidP="00EF4CBB" w14:paraId="06F14D2C" w14:textId="6EFAC06D">
      <w:pPr>
        <w:pStyle w:val="Body"/>
        <w:widowControl/>
      </w:pPr>
      <w:r w:rsidRPr="002D3263">
        <w:t>T</w:t>
      </w:r>
      <w:r w:rsidRPr="002D3263" w:rsidR="006A4CE9">
        <w:t xml:space="preserve">his subset of displaced homeowners </w:t>
      </w:r>
      <w:r w:rsidRPr="002D3263">
        <w:t>may</w:t>
      </w:r>
      <w:r w:rsidRPr="002D3263" w:rsidR="006A4CE9">
        <w:t xml:space="preserve"> receive </w:t>
      </w:r>
      <w:r w:rsidRPr="002D3263">
        <w:t xml:space="preserve">some </w:t>
      </w:r>
      <w:r w:rsidRPr="002D3263" w:rsidR="006A4CE9">
        <w:t xml:space="preserve">additional </w:t>
      </w:r>
      <w:r w:rsidRPr="002D3263" w:rsidR="00104D19">
        <w:t>RHP</w:t>
      </w:r>
      <w:r w:rsidRPr="002D3263" w:rsidR="006A4CE9">
        <w:t xml:space="preserve"> </w:t>
      </w:r>
      <w:r w:rsidRPr="002D3263" w:rsidR="006A4CE9">
        <w:t>as a result of</w:t>
      </w:r>
      <w:r w:rsidRPr="002D3263" w:rsidR="006A4CE9">
        <w:t xml:space="preserve"> this change.</w:t>
      </w:r>
      <w:r w:rsidRPr="002D3263">
        <w:t xml:space="preserve"> </w:t>
      </w:r>
      <w:r w:rsidR="00B210CA">
        <w:t xml:space="preserve"> </w:t>
      </w:r>
      <w:r w:rsidRPr="002D3263" w:rsidR="00C03D85">
        <w:t>At most, program expenditures might increase by $</w:t>
      </w:r>
      <w:r w:rsidR="00C77A14">
        <w:t>31,630</w:t>
      </w:r>
      <w:r w:rsidRPr="002D3263">
        <w:t xml:space="preserve"> per instance</w:t>
      </w:r>
      <w:r w:rsidRPr="002D3263" w:rsidR="00F06D68">
        <w:t xml:space="preserve"> (the new maximum of $</w:t>
      </w:r>
      <w:r w:rsidR="00572A82">
        <w:t>41,200</w:t>
      </w:r>
      <w:r w:rsidRPr="002D3263" w:rsidR="00F06D68">
        <w:t xml:space="preserve"> minus the old maximum of $</w:t>
      </w:r>
      <w:r w:rsidR="00572A82">
        <w:t xml:space="preserve">9,570, if they were to remain </w:t>
      </w:r>
      <w:r w:rsidR="00C77A14">
        <w:t>only eligible for a rental assistance payment</w:t>
      </w:r>
      <w:r w:rsidRPr="002D3263" w:rsidR="00F06D68">
        <w:t>)</w:t>
      </w:r>
      <w:r w:rsidRPr="002D3263" w:rsidR="00C03D85">
        <w:t xml:space="preserve">. </w:t>
      </w:r>
      <w:r w:rsidR="00B210CA">
        <w:t xml:space="preserve"> </w:t>
      </w:r>
      <w:r w:rsidRPr="002D3263" w:rsidR="00C03D85">
        <w:t xml:space="preserve">However, </w:t>
      </w:r>
      <w:r w:rsidRPr="002D3263">
        <w:t xml:space="preserve">we note that since they bought their home within </w:t>
      </w:r>
      <w:r w:rsidRPr="002D3263" w:rsidR="004E2112">
        <w:t>6</w:t>
      </w:r>
      <w:r w:rsidRPr="002D3263">
        <w:t xml:space="preserve"> months of the displacement, the housing market in their area is likely not significantly different from the time they bought their home and the payment received for their property is likely to be sufficient to obtain comparable replacement housing with little additional </w:t>
      </w:r>
      <w:r w:rsidRPr="002D3263">
        <w:t xml:space="preserve">program expenditure </w:t>
      </w:r>
      <w:r w:rsidRPr="002D3263">
        <w:t>required.</w:t>
      </w:r>
      <w:r w:rsidRPr="002D3263" w:rsidR="004410C8">
        <w:t xml:space="preserve"> </w:t>
      </w:r>
    </w:p>
    <w:p w:rsidR="00143CD3" w:rsidRPr="002D3263" w:rsidP="00EF4CBB" w14:paraId="075CB6E7" w14:textId="6B7D9BF5">
      <w:pPr>
        <w:pStyle w:val="Body"/>
        <w:widowControl/>
      </w:pPr>
      <w:r w:rsidRPr="002D3263">
        <w:t>In 2013</w:t>
      </w:r>
      <w:r w:rsidRPr="002D3263" w:rsidR="00437CDC">
        <w:t xml:space="preserve">, 1.3 percent of homeowners </w:t>
      </w:r>
      <w:r w:rsidRPr="002D3263">
        <w:t xml:space="preserve">had lived at their residence between 90 and 179 days. </w:t>
      </w:r>
      <w:r w:rsidR="00B210CA">
        <w:t xml:space="preserve"> </w:t>
      </w:r>
      <w:r w:rsidRPr="002D3263">
        <w:t xml:space="preserve">Applying this </w:t>
      </w:r>
      <w:r w:rsidRPr="002D3263" w:rsidR="006A55F1">
        <w:t>1.3</w:t>
      </w:r>
      <w:r w:rsidRPr="002D3263" w:rsidR="0002327A">
        <w:t xml:space="preserve"> percent</w:t>
      </w:r>
      <w:r w:rsidRPr="002D3263">
        <w:t xml:space="preserve"> to the annual estimate of </w:t>
      </w:r>
      <w:r w:rsidRPr="002D3263" w:rsidR="00462A46">
        <w:t>804</w:t>
      </w:r>
      <w:r w:rsidRPr="002D3263">
        <w:t xml:space="preserve"> residential relocations of homeowners each year suggests that </w:t>
      </w:r>
      <w:r w:rsidRPr="002D3263" w:rsidR="00462A46">
        <w:t>10</w:t>
      </w:r>
      <w:r w:rsidRPr="002D3263">
        <w:t xml:space="preserve"> relocations per year may now be subject to the higher maximum payments and result in additional program expenditures of up to $</w:t>
      </w:r>
      <w:r w:rsidR="00C77A14">
        <w:t>31,630</w:t>
      </w:r>
      <w:r w:rsidRPr="002D3263">
        <w:t xml:space="preserve"> per instance</w:t>
      </w:r>
      <w:r w:rsidRPr="002D3263" w:rsidR="006E7A7C">
        <w:t xml:space="preserve"> (in nominal dollars) or $</w:t>
      </w:r>
      <w:r w:rsidR="00C77A14">
        <w:t>27,771</w:t>
      </w:r>
      <w:r w:rsidRPr="002D3263">
        <w:t xml:space="preserve"> (in 2021 dollars) in the first year of the analysis period</w:t>
      </w:r>
      <w:r w:rsidRPr="002D3263">
        <w:t>.</w:t>
      </w:r>
    </w:p>
    <w:p w:rsidR="00143CD3" w:rsidRPr="002D3263" w:rsidP="00EF4CBB" w14:paraId="2B01CAEE" w14:textId="7899B2ED">
      <w:pPr>
        <w:pStyle w:val="Body"/>
        <w:widowControl/>
      </w:pPr>
      <w:r w:rsidRPr="00BC5A99">
        <w:t>In order to</w:t>
      </w:r>
      <w:r w:rsidRPr="00BC5A99">
        <w:t xml:space="preserve"> bring those estimates forward through the analysis, we must account for the fact that prices are changing over that period due to inflation. </w:t>
      </w:r>
      <w:r w:rsidR="00B210CA">
        <w:t xml:space="preserve"> </w:t>
      </w:r>
      <w:r w:rsidRPr="00BC5A99">
        <w:t xml:space="preserve">The final rule is flexible, allowing such adjustments to </w:t>
      </w:r>
      <w:r w:rsidRPr="00BC5A99">
        <w:t>occur</w:t>
      </w:r>
      <w:r w:rsidRPr="00BC5A99">
        <w:t xml:space="preserve"> when necessary, but this analysis explores a scenario with adjustments </w:t>
      </w:r>
      <w:r w:rsidR="00C77A14">
        <w:t xml:space="preserve">roughly every </w:t>
      </w:r>
      <w:r w:rsidR="00A601D9">
        <w:t>2-3</w:t>
      </w:r>
      <w:r w:rsidR="00C77A14">
        <w:t xml:space="preserve"> years in </w:t>
      </w:r>
      <w:r w:rsidRPr="00BC5A99">
        <w:t>the analysis period (</w:t>
      </w:r>
      <w:r w:rsidRPr="00C77A14">
        <w:t>2025, 2028 and 2031</w:t>
      </w:r>
      <w:r w:rsidRPr="00BC5A99">
        <w:t xml:space="preserve">). </w:t>
      </w:r>
      <w:r w:rsidR="00B210CA">
        <w:t xml:space="preserve"> </w:t>
      </w:r>
      <w:r w:rsidRPr="00BC5A99">
        <w:t xml:space="preserve">As shown in Table A15, </w:t>
      </w:r>
      <w:r w:rsidR="00017F03">
        <w:t xml:space="preserve">an </w:t>
      </w:r>
      <w:r w:rsidRPr="00BC5A99">
        <w:t xml:space="preserve">analyst seeking to update the amounts in 2025 would calculate the factor by dividing the most recent CPI (in 2025, the most recent CPI would be </w:t>
      </w:r>
      <w:r w:rsidR="00FA2677">
        <w:t xml:space="preserve">approximated </w:t>
      </w:r>
      <w:r w:rsidRPr="00BC5A99">
        <w:t xml:space="preserve">from 2024) by the CPI from </w:t>
      </w:r>
      <w:r w:rsidR="00C77A14">
        <w:t>June 2023</w:t>
      </w:r>
      <w:r w:rsidRPr="00BC5A99">
        <w:t xml:space="preserve">. </w:t>
      </w:r>
      <w:r w:rsidR="00B210CA">
        <w:t xml:space="preserve"> </w:t>
      </w:r>
      <w:r w:rsidRPr="00BC5A99">
        <w:t xml:space="preserve">To estimate what the CPI would be in 2024, we use the most recent CPI available to us which is </w:t>
      </w:r>
      <w:r w:rsidR="00C77A14">
        <w:t>305.1</w:t>
      </w:r>
      <w:r w:rsidRPr="00BC5A99">
        <w:t xml:space="preserve"> for </w:t>
      </w:r>
      <w:r w:rsidR="00C77A14">
        <w:t>June 2023</w:t>
      </w:r>
      <w:r w:rsidRPr="00BC5A99">
        <w:t xml:space="preserve"> and adjust for </w:t>
      </w:r>
      <w:r w:rsidR="00C77A14">
        <w:t xml:space="preserve">one and a half </w:t>
      </w:r>
      <w:r w:rsidRPr="00BC5A99">
        <w:t xml:space="preserve">more </w:t>
      </w:r>
      <w:r w:rsidRPr="00BC5A99">
        <w:t>years</w:t>
      </w:r>
      <w:r w:rsidRPr="00BC5A99">
        <w:t xml:space="preserve"> of expected inflation,</w:t>
      </w:r>
      <w:r w:rsidR="00732A88">
        <w:t xml:space="preserve"> while</w:t>
      </w:r>
      <w:r w:rsidRPr="00BC5A99">
        <w:t xml:space="preserve"> </w:t>
      </w:r>
      <w:r w:rsidR="004003F7">
        <w:t>t</w:t>
      </w:r>
      <w:r w:rsidRPr="00BC5A99">
        <w:t>he Presidents FY</w:t>
      </w:r>
      <w:r w:rsidR="00880D12">
        <w:t xml:space="preserve"> </w:t>
      </w:r>
      <w:r w:rsidRPr="00BC5A99">
        <w:t>23 Budget puts at 2.3 percent per year.</w:t>
      </w:r>
      <w:r>
        <w:rPr>
          <w:rStyle w:val="FootnoteReference"/>
        </w:rPr>
        <w:footnoteReference w:id="19"/>
      </w:r>
      <w:r w:rsidRPr="00BC5A99">
        <w:t xml:space="preserve"> </w:t>
      </w:r>
      <w:r w:rsidR="00B210CA">
        <w:t xml:space="preserve"> </w:t>
      </w:r>
      <w:r w:rsidRPr="00BC5A99">
        <w:t>As shown in Table A15, the resulting factor is 1.</w:t>
      </w:r>
      <w:r w:rsidR="00017F03">
        <w:t>0</w:t>
      </w:r>
      <w:r w:rsidR="00C77A14">
        <w:t>3</w:t>
      </w:r>
      <w:r w:rsidRPr="00BC5A99">
        <w:t xml:space="preserve"> (</w:t>
      </w:r>
      <w:r w:rsidR="00C77A14">
        <w:t>315.7</w:t>
      </w:r>
      <w:r w:rsidRPr="00BC5A99">
        <w:t xml:space="preserve">/ </w:t>
      </w:r>
      <w:r w:rsidR="00C77A14">
        <w:t>305.1</w:t>
      </w:r>
      <w:r w:rsidRPr="00BC5A99">
        <w:t xml:space="preserve">). </w:t>
      </w:r>
      <w:r w:rsidR="00B210CA">
        <w:t xml:space="preserve"> </w:t>
      </w:r>
      <w:r w:rsidRPr="00BC5A99">
        <w:t xml:space="preserve">Therefore, we assume that an adjustment made in 2025 would result an adjustment of </w:t>
      </w:r>
      <w:r w:rsidR="00C77A14">
        <w:t>3</w:t>
      </w:r>
      <w:r w:rsidRPr="00BC5A99">
        <w:t xml:space="preserve"> percent such that the RHP for homeowners would rise to $</w:t>
      </w:r>
      <w:r w:rsidR="00C77A14">
        <w:t>42,436</w:t>
      </w:r>
      <w:r w:rsidRPr="00BC5A99">
        <w:t xml:space="preserve"> and the RRHP would rise to $</w:t>
      </w:r>
      <w:r w:rsidR="00017F03">
        <w:t>9,</w:t>
      </w:r>
      <w:r w:rsidR="00C77A14">
        <w:t>857</w:t>
      </w:r>
      <w:r w:rsidRPr="00BC5A99">
        <w:t xml:space="preserve">. </w:t>
      </w:r>
      <w:r w:rsidR="00B210CA">
        <w:t xml:space="preserve"> </w:t>
      </w:r>
      <w:r w:rsidRPr="00BC5A99">
        <w:t>Expressed in 2021 dollars, those amounts are $</w:t>
      </w:r>
      <w:r w:rsidR="00C77A14">
        <w:t>36,410</w:t>
      </w:r>
      <w:r w:rsidRPr="00BC5A99">
        <w:t xml:space="preserve"> and $</w:t>
      </w:r>
      <w:r w:rsidR="00C77A14">
        <w:t>8,457</w:t>
      </w:r>
      <w:r w:rsidRPr="00BC5A99">
        <w:t xml:space="preserve"> respectively.</w:t>
      </w:r>
    </w:p>
    <w:p w:rsidR="006E7A7C" w:rsidRPr="002D3263" w:rsidP="006E7A7C" w14:paraId="19FE3EBC" w14:textId="6F5FD4D7">
      <w:pPr>
        <w:pStyle w:val="Body"/>
        <w:widowControl/>
      </w:pPr>
      <w:r w:rsidRPr="002D3263">
        <w:t xml:space="preserve">Based on these calculations the difference in </w:t>
      </w:r>
      <w:r w:rsidRPr="002D3263" w:rsidR="00143CD3">
        <w:t xml:space="preserve">additional program expenditures </w:t>
      </w:r>
      <w:r w:rsidRPr="002D3263">
        <w:t>(in 2021 dollars), between the current rule and the final rule would range between $</w:t>
      </w:r>
      <w:r w:rsidRPr="002D3263" w:rsidR="00143CD3">
        <w:t>2</w:t>
      </w:r>
      <w:r w:rsidR="00C77A14">
        <w:t>6</w:t>
      </w:r>
      <w:r w:rsidR="00952FB9">
        <w:t>,</w:t>
      </w:r>
      <w:r w:rsidR="00017F03">
        <w:t>0</w:t>
      </w:r>
      <w:r w:rsidR="00A35D2A">
        <w:t>00</w:t>
      </w:r>
      <w:r w:rsidRPr="002D3263">
        <w:t xml:space="preserve"> and $</w:t>
      </w:r>
      <w:r w:rsidR="00017F03">
        <w:t>2</w:t>
      </w:r>
      <w:r w:rsidR="00C77A14">
        <w:t>7</w:t>
      </w:r>
      <w:r w:rsidR="00952FB9">
        <w:t>,</w:t>
      </w:r>
      <w:r w:rsidR="00C77A14">
        <w:t>8</w:t>
      </w:r>
      <w:r w:rsidR="00A35D2A">
        <w:t>00</w:t>
      </w:r>
      <w:r w:rsidRPr="002D3263">
        <w:t xml:space="preserve"> in each year of the analysis period. </w:t>
      </w:r>
      <w:r w:rsidR="00B210CA">
        <w:t xml:space="preserve"> </w:t>
      </w:r>
      <w:r w:rsidRPr="002D3263">
        <w:t>These calculations are shown in Table A</w:t>
      </w:r>
      <w:r w:rsidRPr="002D3263" w:rsidR="00143CD3">
        <w:t>9</w:t>
      </w:r>
      <w:r w:rsidRPr="002D3263">
        <w:t xml:space="preserve"> of Appendix A of this report.</w:t>
      </w:r>
    </w:p>
    <w:p w:rsidR="00C122CB" w:rsidRPr="002D3263" w:rsidP="00634AAC" w14:paraId="5B184E76" w14:textId="2A948F2E">
      <w:pPr>
        <w:widowControl/>
        <w:spacing w:after="200"/>
      </w:pPr>
    </w:p>
    <w:p w:rsidR="00C122CB" w:rsidRPr="002D3263" w:rsidP="00D6005F" w14:paraId="4E86DC75" w14:textId="36972D41">
      <w:pPr>
        <w:pStyle w:val="Caption"/>
      </w:pPr>
      <w:bookmarkStart w:id="56" w:name="_Toc127438090"/>
      <w:r w:rsidRPr="002D3263">
        <w:t xml:space="preserve">Table </w:t>
      </w:r>
      <w:r w:rsidR="00F903AF">
        <w:fldChar w:fldCharType="begin"/>
      </w:r>
      <w:r w:rsidR="00F903AF">
        <w:instrText xml:space="preserve"> SEQ Table \* ARABIC </w:instrText>
      </w:r>
      <w:r w:rsidR="00F903AF">
        <w:fldChar w:fldCharType="separate"/>
      </w:r>
      <w:r w:rsidR="00E762F5">
        <w:rPr>
          <w:noProof/>
        </w:rPr>
        <w:t>4</w:t>
      </w:r>
      <w:r w:rsidR="00F903AF">
        <w:rPr>
          <w:noProof/>
        </w:rPr>
        <w:fldChar w:fldCharType="end"/>
      </w:r>
      <w:r w:rsidRPr="002D3263">
        <w:t>.</w:t>
      </w:r>
      <w:r w:rsidRPr="002D3263">
        <w:t xml:space="preserve"> Transfers (Increased Program Expenditure) from Changing Homeowner Eligibility from 180 days to 90 days (FHWA)</w:t>
      </w:r>
      <w:bookmarkEnd w:id="56"/>
    </w:p>
    <w:tbl>
      <w:tblPr>
        <w:tblW w:w="5850" w:type="dxa"/>
        <w:jc w:val="center"/>
        <w:tblLayout w:type="fixed"/>
        <w:tblLook w:val="04A0"/>
      </w:tblPr>
      <w:tblGrid>
        <w:gridCol w:w="810"/>
        <w:gridCol w:w="2340"/>
        <w:gridCol w:w="1440"/>
        <w:gridCol w:w="1260"/>
      </w:tblGrid>
      <w:tr w14:paraId="6F8C5349" w14:textId="77777777" w:rsidTr="008A4DC9">
        <w:tblPrEx>
          <w:tblW w:w="5850" w:type="dxa"/>
          <w:jc w:val="center"/>
          <w:tblLayout w:type="fixed"/>
          <w:tblLook w:val="04A0"/>
        </w:tblPrEx>
        <w:trPr>
          <w:trHeight w:val="342"/>
          <w:jc w:val="center"/>
        </w:trPr>
        <w:tc>
          <w:tcPr>
            <w:tcW w:w="810" w:type="dxa"/>
            <w:tcBorders>
              <w:bottom w:val="single" w:sz="12" w:space="0" w:color="auto"/>
            </w:tcBorders>
            <w:shd w:val="clear" w:color="auto" w:fill="auto"/>
            <w:vAlign w:val="center"/>
            <w:hideMark/>
          </w:tcPr>
          <w:p w:rsidR="00C122CB" w:rsidRPr="002D3263" w:rsidP="00EF4CBB" w14:paraId="26C45B4F" w14:textId="77777777">
            <w:pPr>
              <w:keepNext/>
              <w:keepLines/>
              <w:widowControl/>
              <w:spacing w:line="240" w:lineRule="auto"/>
              <w:jc w:val="center"/>
              <w:rPr>
                <w:rFonts w:ascii="Calibri" w:eastAsia="Times New Roman" w:hAnsi="Calibri" w:cs="Times New Roman"/>
                <w:b/>
                <w:bCs/>
                <w:color w:val="000000"/>
              </w:rPr>
            </w:pPr>
            <w:r w:rsidRPr="002D3263">
              <w:rPr>
                <w:rFonts w:ascii="Calibri" w:eastAsia="Times New Roman" w:hAnsi="Calibri" w:cs="Times New Roman"/>
                <w:b/>
                <w:bCs/>
                <w:color w:val="000000"/>
              </w:rPr>
              <w:t>Year</w:t>
            </w:r>
          </w:p>
        </w:tc>
        <w:tc>
          <w:tcPr>
            <w:tcW w:w="2340" w:type="dxa"/>
            <w:tcBorders>
              <w:bottom w:val="single" w:sz="12" w:space="0" w:color="auto"/>
            </w:tcBorders>
            <w:shd w:val="clear" w:color="auto" w:fill="auto"/>
            <w:vAlign w:val="center"/>
            <w:hideMark/>
          </w:tcPr>
          <w:p w:rsidR="00C122CB" w:rsidRPr="002D3263" w:rsidP="00EF4CBB" w14:paraId="55EFA144" w14:textId="08688800">
            <w:pPr>
              <w:keepNext/>
              <w:keepLines/>
              <w:widowControl/>
              <w:spacing w:line="240" w:lineRule="auto"/>
              <w:jc w:val="center"/>
              <w:rPr>
                <w:rFonts w:ascii="Calibri" w:eastAsia="Times New Roman" w:hAnsi="Calibri" w:cs="Times New Roman"/>
                <w:b/>
                <w:bCs/>
                <w:color w:val="000000"/>
              </w:rPr>
            </w:pPr>
            <w:r w:rsidRPr="002D3263">
              <w:rPr>
                <w:rFonts w:ascii="Calibri" w:eastAsia="Times New Roman" w:hAnsi="Calibri" w:cs="Times New Roman"/>
                <w:b/>
                <w:bCs/>
                <w:color w:val="000000"/>
              </w:rPr>
              <w:t>Total Difference in Program Expenditures</w:t>
            </w:r>
          </w:p>
          <w:p w:rsidR="00C122CB" w:rsidRPr="002D3263" w:rsidP="00EF4CBB" w14:paraId="650A970D" w14:textId="5793B7DB">
            <w:pPr>
              <w:keepNext/>
              <w:keepLines/>
              <w:widowControl/>
              <w:spacing w:line="240" w:lineRule="auto"/>
              <w:jc w:val="center"/>
              <w:rPr>
                <w:rFonts w:ascii="Calibri" w:eastAsia="Times New Roman" w:hAnsi="Calibri" w:cs="Times New Roman"/>
                <w:b/>
                <w:bCs/>
                <w:color w:val="000000"/>
              </w:rPr>
            </w:pPr>
            <w:r w:rsidRPr="002D3263">
              <w:rPr>
                <w:rFonts w:ascii="Calibri" w:eastAsia="Times New Roman" w:hAnsi="Calibri" w:cs="Times New Roman"/>
                <w:b/>
                <w:bCs/>
                <w:color w:val="000000"/>
              </w:rPr>
              <w:t>(20</w:t>
            </w:r>
            <w:r w:rsidRPr="002D3263" w:rsidR="0002327A">
              <w:rPr>
                <w:rFonts w:ascii="Calibri" w:eastAsia="Times New Roman" w:hAnsi="Calibri" w:cs="Times New Roman"/>
                <w:b/>
                <w:bCs/>
                <w:color w:val="000000"/>
              </w:rPr>
              <w:t>21</w:t>
            </w:r>
            <w:r w:rsidRPr="002D3263">
              <w:rPr>
                <w:rFonts w:ascii="Calibri" w:eastAsia="Times New Roman" w:hAnsi="Calibri" w:cs="Times New Roman"/>
                <w:b/>
                <w:bCs/>
                <w:color w:val="000000"/>
              </w:rPr>
              <w:t xml:space="preserve"> $)</w:t>
            </w:r>
          </w:p>
        </w:tc>
        <w:tc>
          <w:tcPr>
            <w:tcW w:w="1440" w:type="dxa"/>
            <w:tcBorders>
              <w:bottom w:val="single" w:sz="12" w:space="0" w:color="auto"/>
            </w:tcBorders>
            <w:shd w:val="clear" w:color="auto" w:fill="auto"/>
            <w:vAlign w:val="center"/>
            <w:hideMark/>
          </w:tcPr>
          <w:p w:rsidR="00C122CB" w:rsidRPr="002D3263" w:rsidP="00EF4CBB" w14:paraId="6251B665" w14:textId="77777777">
            <w:pPr>
              <w:keepNext/>
              <w:keepLines/>
              <w:widowControl/>
              <w:spacing w:line="240" w:lineRule="auto"/>
              <w:jc w:val="center"/>
              <w:rPr>
                <w:rFonts w:ascii="Calibri" w:eastAsia="Times New Roman" w:hAnsi="Calibri" w:cs="Times New Roman"/>
                <w:b/>
                <w:bCs/>
                <w:color w:val="000000"/>
              </w:rPr>
            </w:pPr>
            <w:r w:rsidRPr="002D3263">
              <w:rPr>
                <w:rFonts w:ascii="Calibri" w:eastAsia="Times New Roman" w:hAnsi="Calibri" w:cs="Times New Roman"/>
                <w:b/>
                <w:bCs/>
                <w:color w:val="000000"/>
              </w:rPr>
              <w:t>Discounted 7%</w:t>
            </w:r>
          </w:p>
        </w:tc>
        <w:tc>
          <w:tcPr>
            <w:tcW w:w="1260" w:type="dxa"/>
            <w:tcBorders>
              <w:bottom w:val="single" w:sz="12" w:space="0" w:color="auto"/>
            </w:tcBorders>
            <w:shd w:val="clear" w:color="auto" w:fill="auto"/>
            <w:vAlign w:val="center"/>
            <w:hideMark/>
          </w:tcPr>
          <w:p w:rsidR="00C122CB" w:rsidRPr="002D3263" w:rsidP="00EF4CBB" w14:paraId="73CF3760" w14:textId="77777777">
            <w:pPr>
              <w:keepNext/>
              <w:keepLines/>
              <w:widowControl/>
              <w:spacing w:line="240" w:lineRule="auto"/>
              <w:jc w:val="center"/>
              <w:rPr>
                <w:rFonts w:ascii="Calibri" w:eastAsia="Times New Roman" w:hAnsi="Calibri" w:cs="Times New Roman"/>
                <w:b/>
                <w:bCs/>
                <w:color w:val="000000"/>
              </w:rPr>
            </w:pPr>
            <w:r w:rsidRPr="002D3263">
              <w:rPr>
                <w:rFonts w:ascii="Calibri" w:eastAsia="Times New Roman" w:hAnsi="Calibri" w:cs="Times New Roman"/>
                <w:b/>
                <w:bCs/>
                <w:color w:val="000000"/>
              </w:rPr>
              <w:t>Discounted 3%</w:t>
            </w:r>
          </w:p>
        </w:tc>
      </w:tr>
      <w:tr w14:paraId="7BABAC74" w14:textId="77777777" w:rsidTr="008A4DC9">
        <w:tblPrEx>
          <w:tblW w:w="5850" w:type="dxa"/>
          <w:jc w:val="center"/>
          <w:tblLayout w:type="fixed"/>
          <w:tblLook w:val="04A0"/>
        </w:tblPrEx>
        <w:trPr>
          <w:trHeight w:val="50"/>
          <w:jc w:val="center"/>
        </w:trPr>
        <w:tc>
          <w:tcPr>
            <w:tcW w:w="810" w:type="dxa"/>
            <w:tcBorders>
              <w:top w:val="single" w:sz="12" w:space="0" w:color="auto"/>
            </w:tcBorders>
            <w:shd w:val="clear" w:color="auto" w:fill="auto"/>
            <w:vAlign w:val="center"/>
          </w:tcPr>
          <w:p w:rsidR="00C77A14" w:rsidRPr="002D3263" w:rsidP="00C77A14" w14:paraId="756409A2" w14:textId="1D2D9D17">
            <w:pPr>
              <w:keepNext/>
              <w:keepLines/>
              <w:widowControl/>
              <w:jc w:val="center"/>
              <w:rPr>
                <w:rFonts w:ascii="Calibri" w:hAnsi="Calibri"/>
                <w:color w:val="000000"/>
              </w:rPr>
            </w:pPr>
            <w:r w:rsidRPr="002D3263">
              <w:rPr>
                <w:rFonts w:ascii="Calibri" w:hAnsi="Calibri" w:cs="Calibri"/>
                <w:color w:val="000000"/>
              </w:rPr>
              <w:t>2023</w:t>
            </w:r>
          </w:p>
        </w:tc>
        <w:tc>
          <w:tcPr>
            <w:tcW w:w="2340" w:type="dxa"/>
            <w:tcBorders>
              <w:top w:val="single" w:sz="12" w:space="0" w:color="auto"/>
            </w:tcBorders>
            <w:shd w:val="clear" w:color="auto" w:fill="auto"/>
            <w:vAlign w:val="center"/>
          </w:tcPr>
          <w:p w:rsidR="00C77A14" w:rsidRPr="002D3263" w:rsidP="00C77A14" w14:paraId="19D27E45" w14:textId="0BE4C229">
            <w:pPr>
              <w:keepNext/>
              <w:keepLines/>
              <w:widowControl/>
              <w:jc w:val="center"/>
              <w:rPr>
                <w:rFonts w:ascii="Calibri" w:hAnsi="Calibri"/>
                <w:color w:val="000000"/>
              </w:rPr>
            </w:pPr>
            <w:r>
              <w:rPr>
                <w:rFonts w:ascii="Calibri" w:hAnsi="Calibri" w:cs="Calibri"/>
                <w:color w:val="000000"/>
              </w:rPr>
              <w:t xml:space="preserve">$277,711 </w:t>
            </w:r>
          </w:p>
        </w:tc>
        <w:tc>
          <w:tcPr>
            <w:tcW w:w="1440" w:type="dxa"/>
            <w:tcBorders>
              <w:top w:val="single" w:sz="12" w:space="0" w:color="auto"/>
            </w:tcBorders>
            <w:shd w:val="clear" w:color="auto" w:fill="auto"/>
            <w:vAlign w:val="center"/>
          </w:tcPr>
          <w:p w:rsidR="00C77A14" w:rsidRPr="002D3263" w:rsidP="00C77A14" w14:paraId="3B42DEA1" w14:textId="61F95331">
            <w:pPr>
              <w:keepNext/>
              <w:keepLines/>
              <w:widowControl/>
              <w:jc w:val="center"/>
              <w:rPr>
                <w:rFonts w:ascii="Calibri" w:hAnsi="Calibri"/>
                <w:color w:val="000000"/>
              </w:rPr>
            </w:pPr>
            <w:r>
              <w:rPr>
                <w:rFonts w:ascii="Calibri" w:hAnsi="Calibri" w:cs="Calibri"/>
                <w:color w:val="000000"/>
              </w:rPr>
              <w:t xml:space="preserve">$242,564 </w:t>
            </w:r>
          </w:p>
        </w:tc>
        <w:tc>
          <w:tcPr>
            <w:tcW w:w="1260" w:type="dxa"/>
            <w:tcBorders>
              <w:top w:val="single" w:sz="12" w:space="0" w:color="auto"/>
            </w:tcBorders>
            <w:shd w:val="clear" w:color="auto" w:fill="auto"/>
            <w:vAlign w:val="center"/>
          </w:tcPr>
          <w:p w:rsidR="00C77A14" w:rsidRPr="002D3263" w:rsidP="00C77A14" w14:paraId="0F639DDC" w14:textId="34F976C3">
            <w:pPr>
              <w:keepNext/>
              <w:keepLines/>
              <w:widowControl/>
              <w:jc w:val="center"/>
              <w:rPr>
                <w:rFonts w:ascii="Calibri" w:hAnsi="Calibri"/>
                <w:color w:val="000000"/>
              </w:rPr>
            </w:pPr>
            <w:r>
              <w:rPr>
                <w:rFonts w:ascii="Calibri" w:hAnsi="Calibri" w:cs="Calibri"/>
                <w:color w:val="000000"/>
              </w:rPr>
              <w:t xml:space="preserve">$261,770 </w:t>
            </w:r>
          </w:p>
        </w:tc>
      </w:tr>
      <w:tr w14:paraId="7CC92B6C" w14:textId="77777777" w:rsidTr="008A4DC9">
        <w:tblPrEx>
          <w:tblW w:w="5850" w:type="dxa"/>
          <w:jc w:val="center"/>
          <w:tblLayout w:type="fixed"/>
          <w:tblLook w:val="04A0"/>
        </w:tblPrEx>
        <w:trPr>
          <w:trHeight w:val="80"/>
          <w:jc w:val="center"/>
        </w:trPr>
        <w:tc>
          <w:tcPr>
            <w:tcW w:w="810" w:type="dxa"/>
            <w:shd w:val="clear" w:color="auto" w:fill="auto"/>
            <w:noWrap/>
            <w:vAlign w:val="center"/>
          </w:tcPr>
          <w:p w:rsidR="00C77A14" w:rsidRPr="002D3263" w:rsidP="00C77A14" w14:paraId="0403CC70" w14:textId="0EECAEC2">
            <w:pPr>
              <w:keepNext/>
              <w:keepLines/>
              <w:widowControl/>
              <w:jc w:val="center"/>
              <w:rPr>
                <w:rFonts w:ascii="Calibri" w:hAnsi="Calibri"/>
                <w:color w:val="000000"/>
              </w:rPr>
            </w:pPr>
            <w:r w:rsidRPr="002D3263">
              <w:rPr>
                <w:rFonts w:ascii="Calibri" w:hAnsi="Calibri" w:cs="Calibri"/>
                <w:color w:val="000000"/>
              </w:rPr>
              <w:t>2024</w:t>
            </w:r>
          </w:p>
        </w:tc>
        <w:tc>
          <w:tcPr>
            <w:tcW w:w="2340" w:type="dxa"/>
            <w:shd w:val="clear" w:color="auto" w:fill="auto"/>
            <w:vAlign w:val="center"/>
          </w:tcPr>
          <w:p w:rsidR="00C77A14" w:rsidRPr="002D3263" w:rsidP="00C77A14" w14:paraId="20C6A68D" w14:textId="614DE942">
            <w:pPr>
              <w:keepNext/>
              <w:keepLines/>
              <w:widowControl/>
              <w:jc w:val="center"/>
              <w:rPr>
                <w:rFonts w:ascii="Calibri" w:hAnsi="Calibri"/>
                <w:color w:val="000000"/>
              </w:rPr>
            </w:pPr>
            <w:r>
              <w:rPr>
                <w:rFonts w:ascii="Calibri" w:hAnsi="Calibri" w:cs="Calibri"/>
                <w:color w:val="000000"/>
              </w:rPr>
              <w:t xml:space="preserve">$271,385 </w:t>
            </w:r>
          </w:p>
        </w:tc>
        <w:tc>
          <w:tcPr>
            <w:tcW w:w="1440" w:type="dxa"/>
            <w:shd w:val="clear" w:color="auto" w:fill="auto"/>
            <w:vAlign w:val="center"/>
          </w:tcPr>
          <w:p w:rsidR="00C77A14" w:rsidRPr="002D3263" w:rsidP="00C77A14" w14:paraId="7FF03C18" w14:textId="04FA81B1">
            <w:pPr>
              <w:keepNext/>
              <w:keepLines/>
              <w:widowControl/>
              <w:jc w:val="center"/>
              <w:rPr>
                <w:rFonts w:ascii="Calibri" w:hAnsi="Calibri"/>
                <w:color w:val="000000"/>
              </w:rPr>
            </w:pPr>
            <w:r>
              <w:rPr>
                <w:rFonts w:ascii="Calibri" w:hAnsi="Calibri" w:cs="Calibri"/>
                <w:color w:val="000000"/>
              </w:rPr>
              <w:t xml:space="preserve">$221,531 </w:t>
            </w:r>
          </w:p>
        </w:tc>
        <w:tc>
          <w:tcPr>
            <w:tcW w:w="1260" w:type="dxa"/>
            <w:shd w:val="clear" w:color="auto" w:fill="auto"/>
            <w:vAlign w:val="center"/>
          </w:tcPr>
          <w:p w:rsidR="00C77A14" w:rsidRPr="002D3263" w:rsidP="00C77A14" w14:paraId="3E3E72DC" w14:textId="194E0851">
            <w:pPr>
              <w:keepNext/>
              <w:keepLines/>
              <w:widowControl/>
              <w:jc w:val="center"/>
              <w:rPr>
                <w:rFonts w:ascii="Calibri" w:hAnsi="Calibri"/>
                <w:color w:val="000000"/>
              </w:rPr>
            </w:pPr>
            <w:r>
              <w:rPr>
                <w:rFonts w:ascii="Calibri" w:hAnsi="Calibri" w:cs="Calibri"/>
                <w:color w:val="000000"/>
              </w:rPr>
              <w:t xml:space="preserve">$248,356 </w:t>
            </w:r>
          </w:p>
        </w:tc>
      </w:tr>
      <w:tr w14:paraId="260082EE" w14:textId="77777777" w:rsidTr="008A4DC9">
        <w:tblPrEx>
          <w:tblW w:w="5850" w:type="dxa"/>
          <w:jc w:val="center"/>
          <w:tblLayout w:type="fixed"/>
          <w:tblLook w:val="04A0"/>
        </w:tblPrEx>
        <w:trPr>
          <w:trHeight w:val="80"/>
          <w:jc w:val="center"/>
        </w:trPr>
        <w:tc>
          <w:tcPr>
            <w:tcW w:w="810" w:type="dxa"/>
            <w:shd w:val="clear" w:color="auto" w:fill="auto"/>
            <w:noWrap/>
            <w:vAlign w:val="center"/>
          </w:tcPr>
          <w:p w:rsidR="00C77A14" w:rsidRPr="002D3263" w:rsidP="00C77A14" w14:paraId="4C93D5B4" w14:textId="276F0D28">
            <w:pPr>
              <w:keepNext/>
              <w:keepLines/>
              <w:widowControl/>
              <w:jc w:val="center"/>
              <w:rPr>
                <w:rFonts w:ascii="Calibri" w:hAnsi="Calibri"/>
                <w:color w:val="000000"/>
              </w:rPr>
            </w:pPr>
            <w:r w:rsidRPr="002D3263">
              <w:rPr>
                <w:rFonts w:ascii="Calibri" w:hAnsi="Calibri" w:cs="Calibri"/>
                <w:color w:val="000000"/>
              </w:rPr>
              <w:t>2025</w:t>
            </w:r>
          </w:p>
        </w:tc>
        <w:tc>
          <w:tcPr>
            <w:tcW w:w="2340" w:type="dxa"/>
            <w:shd w:val="clear" w:color="auto" w:fill="auto"/>
            <w:vAlign w:val="center"/>
          </w:tcPr>
          <w:p w:rsidR="00C77A14" w:rsidRPr="002D3263" w:rsidP="00C77A14" w14:paraId="5E7A43D0" w14:textId="61A1DAEC">
            <w:pPr>
              <w:keepNext/>
              <w:keepLines/>
              <w:widowControl/>
              <w:jc w:val="center"/>
              <w:rPr>
                <w:rFonts w:ascii="Calibri" w:hAnsi="Calibri"/>
                <w:color w:val="000000"/>
              </w:rPr>
            </w:pPr>
            <w:r>
              <w:rPr>
                <w:rFonts w:ascii="Calibri" w:hAnsi="Calibri" w:cs="Calibri"/>
                <w:color w:val="000000"/>
              </w:rPr>
              <w:t xml:space="preserve">$273,338 </w:t>
            </w:r>
          </w:p>
        </w:tc>
        <w:tc>
          <w:tcPr>
            <w:tcW w:w="1440" w:type="dxa"/>
            <w:shd w:val="clear" w:color="auto" w:fill="auto"/>
            <w:vAlign w:val="center"/>
          </w:tcPr>
          <w:p w:rsidR="00C77A14" w:rsidRPr="002D3263" w:rsidP="00C77A14" w14:paraId="13887235" w14:textId="1958853A">
            <w:pPr>
              <w:keepNext/>
              <w:keepLines/>
              <w:widowControl/>
              <w:jc w:val="center"/>
              <w:rPr>
                <w:rFonts w:ascii="Calibri" w:hAnsi="Calibri"/>
                <w:color w:val="000000"/>
              </w:rPr>
            </w:pPr>
            <w:r>
              <w:rPr>
                <w:rFonts w:ascii="Calibri" w:hAnsi="Calibri" w:cs="Calibri"/>
                <w:color w:val="000000"/>
              </w:rPr>
              <w:t xml:space="preserve">$208,528 </w:t>
            </w:r>
          </w:p>
        </w:tc>
        <w:tc>
          <w:tcPr>
            <w:tcW w:w="1260" w:type="dxa"/>
            <w:shd w:val="clear" w:color="auto" w:fill="auto"/>
            <w:vAlign w:val="center"/>
          </w:tcPr>
          <w:p w:rsidR="00C77A14" w:rsidRPr="002D3263" w:rsidP="00C77A14" w14:paraId="74922774" w14:textId="73FBAE5A">
            <w:pPr>
              <w:keepNext/>
              <w:keepLines/>
              <w:widowControl/>
              <w:jc w:val="center"/>
              <w:rPr>
                <w:rFonts w:ascii="Calibri" w:hAnsi="Calibri"/>
                <w:color w:val="000000"/>
              </w:rPr>
            </w:pPr>
            <w:r>
              <w:rPr>
                <w:rFonts w:ascii="Calibri" w:hAnsi="Calibri" w:cs="Calibri"/>
                <w:color w:val="000000"/>
              </w:rPr>
              <w:t xml:space="preserve">$242,857 </w:t>
            </w:r>
          </w:p>
        </w:tc>
      </w:tr>
      <w:tr w14:paraId="6A81EF42" w14:textId="77777777" w:rsidTr="008A4DC9">
        <w:tblPrEx>
          <w:tblW w:w="5850" w:type="dxa"/>
          <w:jc w:val="center"/>
          <w:tblLayout w:type="fixed"/>
          <w:tblLook w:val="04A0"/>
        </w:tblPrEx>
        <w:trPr>
          <w:trHeight w:val="80"/>
          <w:jc w:val="center"/>
        </w:trPr>
        <w:tc>
          <w:tcPr>
            <w:tcW w:w="810" w:type="dxa"/>
            <w:shd w:val="clear" w:color="auto" w:fill="auto"/>
            <w:noWrap/>
            <w:vAlign w:val="center"/>
          </w:tcPr>
          <w:p w:rsidR="00C77A14" w:rsidRPr="002D3263" w:rsidP="00C77A14" w14:paraId="7CABAC9D" w14:textId="2A219F7D">
            <w:pPr>
              <w:keepNext/>
              <w:keepLines/>
              <w:widowControl/>
              <w:jc w:val="center"/>
              <w:rPr>
                <w:rFonts w:ascii="Calibri" w:hAnsi="Calibri"/>
                <w:color w:val="000000"/>
              </w:rPr>
            </w:pPr>
            <w:r w:rsidRPr="002D3263">
              <w:rPr>
                <w:rFonts w:ascii="Calibri" w:hAnsi="Calibri" w:cs="Calibri"/>
                <w:color w:val="000000"/>
              </w:rPr>
              <w:t>2026</w:t>
            </w:r>
          </w:p>
        </w:tc>
        <w:tc>
          <w:tcPr>
            <w:tcW w:w="2340" w:type="dxa"/>
            <w:shd w:val="clear" w:color="auto" w:fill="auto"/>
            <w:vAlign w:val="center"/>
          </w:tcPr>
          <w:p w:rsidR="00C77A14" w:rsidRPr="002D3263" w:rsidP="00C77A14" w14:paraId="610A002A" w14:textId="195C99F3">
            <w:pPr>
              <w:keepNext/>
              <w:keepLines/>
              <w:widowControl/>
              <w:jc w:val="center"/>
              <w:rPr>
                <w:rFonts w:ascii="Calibri" w:hAnsi="Calibri"/>
                <w:color w:val="000000"/>
              </w:rPr>
            </w:pPr>
            <w:r>
              <w:rPr>
                <w:rFonts w:ascii="Calibri" w:hAnsi="Calibri" w:cs="Calibri"/>
                <w:color w:val="000000"/>
              </w:rPr>
              <w:t xml:space="preserve">$267,148 </w:t>
            </w:r>
          </w:p>
        </w:tc>
        <w:tc>
          <w:tcPr>
            <w:tcW w:w="1440" w:type="dxa"/>
            <w:shd w:val="clear" w:color="auto" w:fill="auto"/>
            <w:vAlign w:val="center"/>
          </w:tcPr>
          <w:p w:rsidR="00C77A14" w:rsidRPr="002D3263" w:rsidP="00C77A14" w14:paraId="57B53248" w14:textId="108ABE72">
            <w:pPr>
              <w:keepNext/>
              <w:keepLines/>
              <w:widowControl/>
              <w:jc w:val="center"/>
              <w:rPr>
                <w:rFonts w:ascii="Calibri" w:hAnsi="Calibri"/>
                <w:color w:val="000000"/>
              </w:rPr>
            </w:pPr>
            <w:r>
              <w:rPr>
                <w:rFonts w:ascii="Calibri" w:hAnsi="Calibri" w:cs="Calibri"/>
                <w:color w:val="000000"/>
              </w:rPr>
              <w:t xml:space="preserve">$190,473 </w:t>
            </w:r>
          </w:p>
        </w:tc>
        <w:tc>
          <w:tcPr>
            <w:tcW w:w="1260" w:type="dxa"/>
            <w:shd w:val="clear" w:color="auto" w:fill="auto"/>
            <w:vAlign w:val="center"/>
          </w:tcPr>
          <w:p w:rsidR="00C77A14" w:rsidRPr="002D3263" w:rsidP="00C77A14" w14:paraId="5D56EAFE" w14:textId="35B8D39C">
            <w:pPr>
              <w:keepNext/>
              <w:keepLines/>
              <w:widowControl/>
              <w:jc w:val="center"/>
              <w:rPr>
                <w:rFonts w:ascii="Calibri" w:hAnsi="Calibri"/>
                <w:color w:val="000000"/>
              </w:rPr>
            </w:pPr>
            <w:r>
              <w:rPr>
                <w:rFonts w:ascii="Calibri" w:hAnsi="Calibri" w:cs="Calibri"/>
                <w:color w:val="000000"/>
              </w:rPr>
              <w:t xml:space="preserve">$230,444 </w:t>
            </w:r>
          </w:p>
        </w:tc>
      </w:tr>
      <w:tr w14:paraId="1A85D200" w14:textId="77777777" w:rsidTr="008A4DC9">
        <w:tblPrEx>
          <w:tblW w:w="5850" w:type="dxa"/>
          <w:jc w:val="center"/>
          <w:tblLayout w:type="fixed"/>
          <w:tblLook w:val="04A0"/>
        </w:tblPrEx>
        <w:trPr>
          <w:trHeight w:val="80"/>
          <w:jc w:val="center"/>
        </w:trPr>
        <w:tc>
          <w:tcPr>
            <w:tcW w:w="810" w:type="dxa"/>
            <w:shd w:val="clear" w:color="auto" w:fill="auto"/>
            <w:noWrap/>
            <w:vAlign w:val="center"/>
          </w:tcPr>
          <w:p w:rsidR="00C77A14" w:rsidRPr="002D3263" w:rsidP="00C77A14" w14:paraId="15C4A0C7" w14:textId="4F6B946D">
            <w:pPr>
              <w:keepNext/>
              <w:keepLines/>
              <w:widowControl/>
              <w:jc w:val="center"/>
              <w:rPr>
                <w:rFonts w:ascii="Calibri" w:hAnsi="Calibri"/>
                <w:color w:val="000000"/>
              </w:rPr>
            </w:pPr>
            <w:r w:rsidRPr="002D3263">
              <w:rPr>
                <w:rFonts w:ascii="Calibri" w:hAnsi="Calibri" w:cs="Calibri"/>
                <w:color w:val="000000"/>
              </w:rPr>
              <w:t>2027</w:t>
            </w:r>
          </w:p>
        </w:tc>
        <w:tc>
          <w:tcPr>
            <w:tcW w:w="2340" w:type="dxa"/>
            <w:shd w:val="clear" w:color="auto" w:fill="auto"/>
            <w:vAlign w:val="center"/>
          </w:tcPr>
          <w:p w:rsidR="00C77A14" w:rsidRPr="002D3263" w:rsidP="00C77A14" w14:paraId="3358B80D" w14:textId="0E9AEA5B">
            <w:pPr>
              <w:keepNext/>
              <w:keepLines/>
              <w:widowControl/>
              <w:jc w:val="center"/>
              <w:rPr>
                <w:rFonts w:ascii="Calibri" w:hAnsi="Calibri"/>
                <w:color w:val="000000"/>
              </w:rPr>
            </w:pPr>
            <w:r>
              <w:rPr>
                <w:rFonts w:ascii="Calibri" w:hAnsi="Calibri" w:cs="Calibri"/>
                <w:color w:val="000000"/>
              </w:rPr>
              <w:t xml:space="preserve">$261,284 </w:t>
            </w:r>
          </w:p>
        </w:tc>
        <w:tc>
          <w:tcPr>
            <w:tcW w:w="1440" w:type="dxa"/>
            <w:shd w:val="clear" w:color="auto" w:fill="auto"/>
            <w:vAlign w:val="center"/>
          </w:tcPr>
          <w:p w:rsidR="00C77A14" w:rsidRPr="002D3263" w:rsidP="00C77A14" w14:paraId="6D99A8AE" w14:textId="681D6100">
            <w:pPr>
              <w:keepNext/>
              <w:keepLines/>
              <w:widowControl/>
              <w:jc w:val="center"/>
              <w:rPr>
                <w:rFonts w:ascii="Calibri" w:hAnsi="Calibri"/>
                <w:color w:val="000000"/>
              </w:rPr>
            </w:pPr>
            <w:r>
              <w:rPr>
                <w:rFonts w:ascii="Calibri" w:hAnsi="Calibri" w:cs="Calibri"/>
                <w:color w:val="000000"/>
              </w:rPr>
              <w:t xml:space="preserve">$174,104 </w:t>
            </w:r>
          </w:p>
        </w:tc>
        <w:tc>
          <w:tcPr>
            <w:tcW w:w="1260" w:type="dxa"/>
            <w:shd w:val="clear" w:color="auto" w:fill="auto"/>
            <w:vAlign w:val="center"/>
          </w:tcPr>
          <w:p w:rsidR="00C77A14" w:rsidRPr="002D3263" w:rsidP="00C77A14" w14:paraId="3AE912DF" w14:textId="4A1F22D4">
            <w:pPr>
              <w:keepNext/>
              <w:keepLines/>
              <w:widowControl/>
              <w:jc w:val="center"/>
              <w:rPr>
                <w:rFonts w:ascii="Calibri" w:hAnsi="Calibri"/>
                <w:color w:val="000000"/>
              </w:rPr>
            </w:pPr>
            <w:r>
              <w:rPr>
                <w:rFonts w:ascii="Calibri" w:hAnsi="Calibri" w:cs="Calibri"/>
                <w:color w:val="000000"/>
              </w:rPr>
              <w:t xml:space="preserve">$218,821 </w:t>
            </w:r>
          </w:p>
        </w:tc>
      </w:tr>
      <w:tr w14:paraId="021786E6" w14:textId="77777777" w:rsidTr="008A4DC9">
        <w:tblPrEx>
          <w:tblW w:w="5850" w:type="dxa"/>
          <w:jc w:val="center"/>
          <w:tblLayout w:type="fixed"/>
          <w:tblLook w:val="04A0"/>
        </w:tblPrEx>
        <w:trPr>
          <w:trHeight w:val="80"/>
          <w:jc w:val="center"/>
        </w:trPr>
        <w:tc>
          <w:tcPr>
            <w:tcW w:w="810" w:type="dxa"/>
            <w:shd w:val="clear" w:color="auto" w:fill="auto"/>
            <w:noWrap/>
            <w:vAlign w:val="center"/>
          </w:tcPr>
          <w:p w:rsidR="00C77A14" w:rsidRPr="002D3263" w:rsidP="00C77A14" w14:paraId="1AD60D70" w14:textId="16F053D5">
            <w:pPr>
              <w:keepNext/>
              <w:keepLines/>
              <w:widowControl/>
              <w:jc w:val="center"/>
              <w:rPr>
                <w:rFonts w:ascii="Calibri" w:hAnsi="Calibri"/>
                <w:color w:val="000000"/>
              </w:rPr>
            </w:pPr>
            <w:r w:rsidRPr="002D3263">
              <w:rPr>
                <w:rFonts w:ascii="Calibri" w:hAnsi="Calibri" w:cs="Calibri"/>
                <w:color w:val="000000"/>
              </w:rPr>
              <w:t>2028</w:t>
            </w:r>
          </w:p>
        </w:tc>
        <w:tc>
          <w:tcPr>
            <w:tcW w:w="2340" w:type="dxa"/>
            <w:shd w:val="clear" w:color="auto" w:fill="auto"/>
            <w:vAlign w:val="center"/>
          </w:tcPr>
          <w:p w:rsidR="00C77A14" w:rsidRPr="002D3263" w:rsidP="00C77A14" w14:paraId="20CE4773" w14:textId="2787F316">
            <w:pPr>
              <w:keepNext/>
              <w:keepLines/>
              <w:widowControl/>
              <w:jc w:val="center"/>
              <w:rPr>
                <w:rFonts w:ascii="Calibri" w:hAnsi="Calibri"/>
                <w:color w:val="000000"/>
              </w:rPr>
            </w:pPr>
            <w:r>
              <w:rPr>
                <w:rFonts w:ascii="Calibri" w:hAnsi="Calibri" w:cs="Calibri"/>
                <w:color w:val="000000"/>
              </w:rPr>
              <w:t xml:space="preserve">$273,302 </w:t>
            </w:r>
          </w:p>
        </w:tc>
        <w:tc>
          <w:tcPr>
            <w:tcW w:w="1440" w:type="dxa"/>
            <w:shd w:val="clear" w:color="auto" w:fill="auto"/>
            <w:vAlign w:val="center"/>
          </w:tcPr>
          <w:p w:rsidR="00C77A14" w:rsidRPr="002D3263" w:rsidP="00C77A14" w14:paraId="2497BE60" w14:textId="25856531">
            <w:pPr>
              <w:keepNext/>
              <w:keepLines/>
              <w:widowControl/>
              <w:jc w:val="center"/>
              <w:rPr>
                <w:rFonts w:ascii="Calibri" w:hAnsi="Calibri"/>
                <w:color w:val="000000"/>
              </w:rPr>
            </w:pPr>
            <w:r>
              <w:rPr>
                <w:rFonts w:ascii="Calibri" w:hAnsi="Calibri" w:cs="Calibri"/>
                <w:color w:val="000000"/>
              </w:rPr>
              <w:t xml:space="preserve">$170,199 </w:t>
            </w:r>
          </w:p>
        </w:tc>
        <w:tc>
          <w:tcPr>
            <w:tcW w:w="1260" w:type="dxa"/>
            <w:shd w:val="clear" w:color="auto" w:fill="auto"/>
            <w:vAlign w:val="center"/>
          </w:tcPr>
          <w:p w:rsidR="00C77A14" w:rsidRPr="002D3263" w:rsidP="00C77A14" w14:paraId="6C6F3A2B" w14:textId="0987C63F">
            <w:pPr>
              <w:keepNext/>
              <w:keepLines/>
              <w:widowControl/>
              <w:jc w:val="center"/>
              <w:rPr>
                <w:rFonts w:ascii="Calibri" w:hAnsi="Calibri"/>
                <w:color w:val="000000"/>
              </w:rPr>
            </w:pPr>
            <w:r>
              <w:rPr>
                <w:rFonts w:ascii="Calibri" w:hAnsi="Calibri" w:cs="Calibri"/>
                <w:color w:val="000000"/>
              </w:rPr>
              <w:t xml:space="preserve">$222,220 </w:t>
            </w:r>
          </w:p>
        </w:tc>
      </w:tr>
      <w:tr w14:paraId="152BA6F2" w14:textId="77777777" w:rsidTr="008A4DC9">
        <w:tblPrEx>
          <w:tblW w:w="5850" w:type="dxa"/>
          <w:jc w:val="center"/>
          <w:tblLayout w:type="fixed"/>
          <w:tblLook w:val="04A0"/>
        </w:tblPrEx>
        <w:trPr>
          <w:trHeight w:val="80"/>
          <w:jc w:val="center"/>
        </w:trPr>
        <w:tc>
          <w:tcPr>
            <w:tcW w:w="810" w:type="dxa"/>
            <w:shd w:val="clear" w:color="auto" w:fill="auto"/>
            <w:noWrap/>
            <w:vAlign w:val="center"/>
          </w:tcPr>
          <w:p w:rsidR="00C77A14" w:rsidRPr="002D3263" w:rsidP="00C77A14" w14:paraId="5B9EE205" w14:textId="7AAC7453">
            <w:pPr>
              <w:keepNext/>
              <w:keepLines/>
              <w:widowControl/>
              <w:jc w:val="center"/>
              <w:rPr>
                <w:rFonts w:ascii="Calibri" w:hAnsi="Calibri"/>
                <w:color w:val="000000"/>
              </w:rPr>
            </w:pPr>
            <w:r w:rsidRPr="002D3263">
              <w:rPr>
                <w:rFonts w:ascii="Calibri" w:hAnsi="Calibri" w:cs="Calibri"/>
                <w:color w:val="000000"/>
              </w:rPr>
              <w:t>2029</w:t>
            </w:r>
          </w:p>
        </w:tc>
        <w:tc>
          <w:tcPr>
            <w:tcW w:w="2340" w:type="dxa"/>
            <w:shd w:val="clear" w:color="auto" w:fill="auto"/>
            <w:vAlign w:val="center"/>
          </w:tcPr>
          <w:p w:rsidR="00C77A14" w:rsidRPr="002D3263" w:rsidP="00C77A14" w14:paraId="7951CA0F" w14:textId="38CD1044">
            <w:pPr>
              <w:keepNext/>
              <w:keepLines/>
              <w:widowControl/>
              <w:jc w:val="center"/>
              <w:rPr>
                <w:rFonts w:ascii="Calibri" w:hAnsi="Calibri"/>
                <w:color w:val="000000"/>
              </w:rPr>
            </w:pPr>
            <w:r>
              <w:rPr>
                <w:rFonts w:ascii="Calibri" w:hAnsi="Calibri" w:cs="Calibri"/>
                <w:color w:val="000000"/>
              </w:rPr>
              <w:t xml:space="preserve">$267,028 </w:t>
            </w:r>
          </w:p>
        </w:tc>
        <w:tc>
          <w:tcPr>
            <w:tcW w:w="1440" w:type="dxa"/>
            <w:shd w:val="clear" w:color="auto" w:fill="auto"/>
            <w:vAlign w:val="center"/>
          </w:tcPr>
          <w:p w:rsidR="00C77A14" w:rsidRPr="002D3263" w:rsidP="00C77A14" w14:paraId="51C19609" w14:textId="2DF5CF14">
            <w:pPr>
              <w:keepNext/>
              <w:keepLines/>
              <w:widowControl/>
              <w:jc w:val="center"/>
              <w:rPr>
                <w:rFonts w:ascii="Calibri" w:hAnsi="Calibri"/>
                <w:color w:val="000000"/>
              </w:rPr>
            </w:pPr>
            <w:r>
              <w:rPr>
                <w:rFonts w:ascii="Calibri" w:hAnsi="Calibri" w:cs="Calibri"/>
                <w:color w:val="000000"/>
              </w:rPr>
              <w:t xml:space="preserve">$155,412 </w:t>
            </w:r>
          </w:p>
        </w:tc>
        <w:tc>
          <w:tcPr>
            <w:tcW w:w="1260" w:type="dxa"/>
            <w:shd w:val="clear" w:color="auto" w:fill="auto"/>
            <w:vAlign w:val="center"/>
          </w:tcPr>
          <w:p w:rsidR="00C77A14" w:rsidRPr="002D3263" w:rsidP="00C77A14" w14:paraId="0AA5C964" w14:textId="4A160BF4">
            <w:pPr>
              <w:keepNext/>
              <w:keepLines/>
              <w:widowControl/>
              <w:jc w:val="center"/>
              <w:rPr>
                <w:rFonts w:ascii="Calibri" w:hAnsi="Calibri"/>
                <w:color w:val="000000"/>
              </w:rPr>
            </w:pPr>
            <w:r>
              <w:rPr>
                <w:rFonts w:ascii="Calibri" w:hAnsi="Calibri" w:cs="Calibri"/>
                <w:color w:val="000000"/>
              </w:rPr>
              <w:t xml:space="preserve">$210,794 </w:t>
            </w:r>
          </w:p>
        </w:tc>
      </w:tr>
      <w:tr w14:paraId="6FBA25E4" w14:textId="77777777" w:rsidTr="008A4DC9">
        <w:tblPrEx>
          <w:tblW w:w="5850" w:type="dxa"/>
          <w:jc w:val="center"/>
          <w:tblLayout w:type="fixed"/>
          <w:tblLook w:val="04A0"/>
        </w:tblPrEx>
        <w:trPr>
          <w:trHeight w:val="80"/>
          <w:jc w:val="center"/>
        </w:trPr>
        <w:tc>
          <w:tcPr>
            <w:tcW w:w="810" w:type="dxa"/>
            <w:shd w:val="clear" w:color="auto" w:fill="auto"/>
            <w:noWrap/>
            <w:vAlign w:val="center"/>
          </w:tcPr>
          <w:p w:rsidR="00C77A14" w:rsidRPr="002D3263" w:rsidP="00C77A14" w14:paraId="46B04C6F" w14:textId="7A6644D0">
            <w:pPr>
              <w:keepNext/>
              <w:keepLines/>
              <w:widowControl/>
              <w:jc w:val="center"/>
              <w:rPr>
                <w:rFonts w:ascii="Calibri" w:hAnsi="Calibri"/>
                <w:color w:val="000000"/>
              </w:rPr>
            </w:pPr>
            <w:r w:rsidRPr="002D3263">
              <w:rPr>
                <w:rFonts w:ascii="Calibri" w:hAnsi="Calibri" w:cs="Calibri"/>
                <w:color w:val="000000"/>
              </w:rPr>
              <w:t>2030</w:t>
            </w:r>
          </w:p>
        </w:tc>
        <w:tc>
          <w:tcPr>
            <w:tcW w:w="2340" w:type="dxa"/>
            <w:shd w:val="clear" w:color="auto" w:fill="auto"/>
            <w:vAlign w:val="center"/>
          </w:tcPr>
          <w:p w:rsidR="00C77A14" w:rsidRPr="002D3263" w:rsidP="00C77A14" w14:paraId="747112D7" w14:textId="4AD579BD">
            <w:pPr>
              <w:keepNext/>
              <w:keepLines/>
              <w:widowControl/>
              <w:jc w:val="center"/>
              <w:rPr>
                <w:rFonts w:ascii="Calibri" w:hAnsi="Calibri"/>
                <w:color w:val="000000"/>
              </w:rPr>
            </w:pPr>
            <w:r>
              <w:rPr>
                <w:rFonts w:ascii="Calibri" w:hAnsi="Calibri" w:cs="Calibri"/>
                <w:color w:val="000000"/>
              </w:rPr>
              <w:t xml:space="preserve">$261,101 </w:t>
            </w:r>
          </w:p>
        </w:tc>
        <w:tc>
          <w:tcPr>
            <w:tcW w:w="1440" w:type="dxa"/>
            <w:shd w:val="clear" w:color="auto" w:fill="auto"/>
            <w:vAlign w:val="center"/>
          </w:tcPr>
          <w:p w:rsidR="00C77A14" w:rsidRPr="002D3263" w:rsidP="00C77A14" w14:paraId="30ECBE1D" w14:textId="7AAC294A">
            <w:pPr>
              <w:keepNext/>
              <w:keepLines/>
              <w:widowControl/>
              <w:jc w:val="center"/>
              <w:rPr>
                <w:rFonts w:ascii="Calibri" w:hAnsi="Calibri"/>
                <w:color w:val="000000"/>
              </w:rPr>
            </w:pPr>
            <w:r>
              <w:rPr>
                <w:rFonts w:ascii="Calibri" w:hAnsi="Calibri" w:cs="Calibri"/>
                <w:color w:val="000000"/>
              </w:rPr>
              <w:t xml:space="preserve">$142,022 </w:t>
            </w:r>
          </w:p>
        </w:tc>
        <w:tc>
          <w:tcPr>
            <w:tcW w:w="1260" w:type="dxa"/>
            <w:shd w:val="clear" w:color="auto" w:fill="auto"/>
            <w:vAlign w:val="center"/>
          </w:tcPr>
          <w:p w:rsidR="00C77A14" w:rsidRPr="002D3263" w:rsidP="00C77A14" w14:paraId="054629B1" w14:textId="39B8EFB9">
            <w:pPr>
              <w:keepNext/>
              <w:keepLines/>
              <w:widowControl/>
              <w:jc w:val="center"/>
              <w:rPr>
                <w:rFonts w:ascii="Calibri" w:hAnsi="Calibri"/>
                <w:color w:val="000000"/>
              </w:rPr>
            </w:pPr>
            <w:r>
              <w:rPr>
                <w:rFonts w:ascii="Calibri" w:hAnsi="Calibri" w:cs="Calibri"/>
                <w:color w:val="000000"/>
              </w:rPr>
              <w:t xml:space="preserve">$200,112 </w:t>
            </w:r>
          </w:p>
        </w:tc>
      </w:tr>
      <w:tr w14:paraId="4EC5BB8D" w14:textId="77777777" w:rsidTr="008A4DC9">
        <w:tblPrEx>
          <w:tblW w:w="5850" w:type="dxa"/>
          <w:jc w:val="center"/>
          <w:tblLayout w:type="fixed"/>
          <w:tblLook w:val="04A0"/>
        </w:tblPrEx>
        <w:trPr>
          <w:trHeight w:val="80"/>
          <w:jc w:val="center"/>
        </w:trPr>
        <w:tc>
          <w:tcPr>
            <w:tcW w:w="810" w:type="dxa"/>
            <w:shd w:val="clear" w:color="auto" w:fill="auto"/>
            <w:noWrap/>
            <w:vAlign w:val="center"/>
          </w:tcPr>
          <w:p w:rsidR="00C77A14" w:rsidRPr="002D3263" w:rsidP="00C77A14" w14:paraId="534C9DAE" w14:textId="65D8FDA7">
            <w:pPr>
              <w:keepNext/>
              <w:keepLines/>
              <w:widowControl/>
              <w:jc w:val="center"/>
              <w:rPr>
                <w:rFonts w:ascii="Calibri" w:hAnsi="Calibri"/>
                <w:color w:val="000000"/>
              </w:rPr>
            </w:pPr>
            <w:r w:rsidRPr="002D3263">
              <w:rPr>
                <w:rFonts w:ascii="Calibri" w:hAnsi="Calibri" w:cs="Calibri"/>
                <w:color w:val="000000"/>
              </w:rPr>
              <w:t>2031</w:t>
            </w:r>
          </w:p>
        </w:tc>
        <w:tc>
          <w:tcPr>
            <w:tcW w:w="2340" w:type="dxa"/>
            <w:shd w:val="clear" w:color="auto" w:fill="auto"/>
            <w:vAlign w:val="center"/>
          </w:tcPr>
          <w:p w:rsidR="00C77A14" w:rsidRPr="002D3263" w:rsidP="00C77A14" w14:paraId="3D49EDCF" w14:textId="06D15F28">
            <w:pPr>
              <w:keepNext/>
              <w:keepLines/>
              <w:widowControl/>
              <w:jc w:val="center"/>
              <w:rPr>
                <w:rFonts w:ascii="Calibri" w:hAnsi="Calibri"/>
                <w:color w:val="000000"/>
              </w:rPr>
            </w:pPr>
            <w:r>
              <w:rPr>
                <w:rFonts w:ascii="Calibri" w:hAnsi="Calibri" w:cs="Calibri"/>
                <w:color w:val="000000"/>
              </w:rPr>
              <w:t xml:space="preserve">$273,036 </w:t>
            </w:r>
          </w:p>
        </w:tc>
        <w:tc>
          <w:tcPr>
            <w:tcW w:w="1440" w:type="dxa"/>
            <w:shd w:val="clear" w:color="auto" w:fill="auto"/>
            <w:vAlign w:val="center"/>
          </w:tcPr>
          <w:p w:rsidR="00C77A14" w:rsidRPr="002D3263" w:rsidP="00C77A14" w14:paraId="5834F09F" w14:textId="293C37EE">
            <w:pPr>
              <w:keepNext/>
              <w:keepLines/>
              <w:widowControl/>
              <w:jc w:val="center"/>
              <w:rPr>
                <w:rFonts w:ascii="Calibri" w:hAnsi="Calibri"/>
                <w:color w:val="000000"/>
              </w:rPr>
            </w:pPr>
            <w:r>
              <w:rPr>
                <w:rFonts w:ascii="Calibri" w:hAnsi="Calibri" w:cs="Calibri"/>
                <w:color w:val="000000"/>
              </w:rPr>
              <w:t xml:space="preserve">$138,798 </w:t>
            </w:r>
          </w:p>
        </w:tc>
        <w:tc>
          <w:tcPr>
            <w:tcW w:w="1260" w:type="dxa"/>
            <w:shd w:val="clear" w:color="auto" w:fill="auto"/>
            <w:vAlign w:val="center"/>
          </w:tcPr>
          <w:p w:rsidR="00C77A14" w:rsidRPr="002D3263" w:rsidP="00C77A14" w14:paraId="01FFD61D" w14:textId="063A7A5C">
            <w:pPr>
              <w:keepNext/>
              <w:keepLines/>
              <w:widowControl/>
              <w:jc w:val="center"/>
              <w:rPr>
                <w:rFonts w:ascii="Calibri" w:hAnsi="Calibri"/>
                <w:color w:val="000000"/>
              </w:rPr>
            </w:pPr>
            <w:r>
              <w:rPr>
                <w:rFonts w:ascii="Calibri" w:hAnsi="Calibri" w:cs="Calibri"/>
                <w:color w:val="000000"/>
              </w:rPr>
              <w:t xml:space="preserve">$203,164 </w:t>
            </w:r>
          </w:p>
        </w:tc>
      </w:tr>
      <w:tr w14:paraId="7B47EB16" w14:textId="77777777" w:rsidTr="008A4DC9">
        <w:tblPrEx>
          <w:tblW w:w="5850" w:type="dxa"/>
          <w:jc w:val="center"/>
          <w:tblLayout w:type="fixed"/>
          <w:tblLook w:val="04A0"/>
        </w:tblPrEx>
        <w:trPr>
          <w:trHeight w:val="80"/>
          <w:jc w:val="center"/>
        </w:trPr>
        <w:tc>
          <w:tcPr>
            <w:tcW w:w="810" w:type="dxa"/>
            <w:shd w:val="clear" w:color="auto" w:fill="auto"/>
            <w:noWrap/>
            <w:vAlign w:val="center"/>
          </w:tcPr>
          <w:p w:rsidR="00C77A14" w:rsidRPr="002D3263" w:rsidP="00C77A14" w14:paraId="12B8DFBA" w14:textId="6E32C687">
            <w:pPr>
              <w:keepNext/>
              <w:keepLines/>
              <w:widowControl/>
              <w:jc w:val="center"/>
              <w:rPr>
                <w:rFonts w:ascii="Calibri" w:hAnsi="Calibri"/>
                <w:color w:val="000000"/>
              </w:rPr>
            </w:pPr>
            <w:r w:rsidRPr="002D3263">
              <w:rPr>
                <w:rFonts w:ascii="Calibri" w:hAnsi="Calibri" w:cs="Calibri"/>
                <w:color w:val="000000"/>
              </w:rPr>
              <w:t>2032</w:t>
            </w:r>
          </w:p>
        </w:tc>
        <w:tc>
          <w:tcPr>
            <w:tcW w:w="2340" w:type="dxa"/>
            <w:shd w:val="clear" w:color="auto" w:fill="auto"/>
            <w:vAlign w:val="center"/>
          </w:tcPr>
          <w:p w:rsidR="00C77A14" w:rsidRPr="002D3263" w:rsidP="00C77A14" w14:paraId="596BA255" w14:textId="0C74C72F">
            <w:pPr>
              <w:keepNext/>
              <w:keepLines/>
              <w:widowControl/>
              <w:jc w:val="center"/>
              <w:rPr>
                <w:rFonts w:ascii="Calibri" w:hAnsi="Calibri"/>
                <w:color w:val="000000"/>
              </w:rPr>
            </w:pPr>
            <w:r>
              <w:rPr>
                <w:rFonts w:ascii="Calibri" w:hAnsi="Calibri" w:cs="Calibri"/>
                <w:color w:val="000000"/>
              </w:rPr>
              <w:t xml:space="preserve">$267,068 </w:t>
            </w:r>
          </w:p>
        </w:tc>
        <w:tc>
          <w:tcPr>
            <w:tcW w:w="1440" w:type="dxa"/>
            <w:shd w:val="clear" w:color="auto" w:fill="auto"/>
            <w:vAlign w:val="center"/>
          </w:tcPr>
          <w:p w:rsidR="00C77A14" w:rsidRPr="002D3263" w:rsidP="00C77A14" w14:paraId="113F86D3" w14:textId="770A0C8B">
            <w:pPr>
              <w:keepNext/>
              <w:keepLines/>
              <w:widowControl/>
              <w:jc w:val="center"/>
              <w:rPr>
                <w:rFonts w:ascii="Calibri" w:hAnsi="Calibri"/>
                <w:color w:val="000000"/>
              </w:rPr>
            </w:pPr>
            <w:r>
              <w:rPr>
                <w:rFonts w:ascii="Calibri" w:hAnsi="Calibri" w:cs="Calibri"/>
                <w:color w:val="000000"/>
              </w:rPr>
              <w:t xml:space="preserve">$126,882 </w:t>
            </w:r>
          </w:p>
        </w:tc>
        <w:tc>
          <w:tcPr>
            <w:tcW w:w="1260" w:type="dxa"/>
            <w:shd w:val="clear" w:color="auto" w:fill="auto"/>
            <w:vAlign w:val="center"/>
          </w:tcPr>
          <w:p w:rsidR="00C77A14" w:rsidRPr="002D3263" w:rsidP="00C77A14" w14:paraId="4D240E5D" w14:textId="579032B8">
            <w:pPr>
              <w:keepNext/>
              <w:keepLines/>
              <w:widowControl/>
              <w:jc w:val="center"/>
              <w:rPr>
                <w:rFonts w:ascii="Calibri" w:hAnsi="Calibri"/>
                <w:color w:val="000000"/>
              </w:rPr>
            </w:pPr>
            <w:r>
              <w:rPr>
                <w:rFonts w:ascii="Calibri" w:hAnsi="Calibri" w:cs="Calibri"/>
                <w:color w:val="000000"/>
              </w:rPr>
              <w:t xml:space="preserve">$192,936 </w:t>
            </w:r>
          </w:p>
        </w:tc>
      </w:tr>
      <w:tr w14:paraId="2E49C905" w14:textId="77777777" w:rsidTr="008A4DC9">
        <w:tblPrEx>
          <w:tblW w:w="5850" w:type="dxa"/>
          <w:jc w:val="center"/>
          <w:tblLayout w:type="fixed"/>
          <w:tblLook w:val="04A0"/>
        </w:tblPrEx>
        <w:trPr>
          <w:trHeight w:val="315"/>
          <w:jc w:val="center"/>
        </w:trPr>
        <w:tc>
          <w:tcPr>
            <w:tcW w:w="810" w:type="dxa"/>
            <w:tcBorders>
              <w:bottom w:val="single" w:sz="12" w:space="0" w:color="auto"/>
            </w:tcBorders>
            <w:shd w:val="clear" w:color="auto" w:fill="auto"/>
            <w:noWrap/>
            <w:vAlign w:val="center"/>
            <w:hideMark/>
          </w:tcPr>
          <w:p w:rsidR="00C77A14" w:rsidRPr="002D3263" w:rsidP="00C77A14" w14:paraId="11129B03" w14:textId="77777777">
            <w:pPr>
              <w:keepNext/>
              <w:keepLines/>
              <w:widowControl/>
              <w:spacing w:line="240" w:lineRule="auto"/>
              <w:jc w:val="center"/>
              <w:rPr>
                <w:rFonts w:ascii="Calibri" w:eastAsia="Times New Roman" w:hAnsi="Calibri" w:cs="Times New Roman"/>
                <w:b/>
                <w:color w:val="000000"/>
              </w:rPr>
            </w:pPr>
            <w:r w:rsidRPr="002D3263">
              <w:rPr>
                <w:rFonts w:ascii="Calibri" w:eastAsia="Times New Roman" w:hAnsi="Calibri" w:cs="Times New Roman"/>
                <w:b/>
                <w:color w:val="000000"/>
              </w:rPr>
              <w:t>Total*</w:t>
            </w:r>
          </w:p>
        </w:tc>
        <w:tc>
          <w:tcPr>
            <w:tcW w:w="2340" w:type="dxa"/>
            <w:tcBorders>
              <w:bottom w:val="single" w:sz="12" w:space="0" w:color="auto"/>
            </w:tcBorders>
            <w:shd w:val="clear" w:color="auto" w:fill="auto"/>
            <w:vAlign w:val="center"/>
          </w:tcPr>
          <w:p w:rsidR="00C77A14" w:rsidRPr="002D3263" w:rsidP="00C77A14" w14:paraId="11D18AD9" w14:textId="51F6B15B">
            <w:pPr>
              <w:keepNext/>
              <w:keepLines/>
              <w:widowControl/>
              <w:jc w:val="center"/>
              <w:rPr>
                <w:rFonts w:ascii="Calibri" w:hAnsi="Calibri"/>
                <w:b/>
                <w:color w:val="000000"/>
              </w:rPr>
            </w:pPr>
            <w:r>
              <w:rPr>
                <w:rFonts w:ascii="Calibri" w:hAnsi="Calibri" w:cs="Calibri"/>
                <w:b/>
                <w:bCs/>
                <w:color w:val="000000"/>
              </w:rPr>
              <w:t xml:space="preserve">$2,692,401 </w:t>
            </w:r>
          </w:p>
        </w:tc>
        <w:tc>
          <w:tcPr>
            <w:tcW w:w="1440" w:type="dxa"/>
            <w:tcBorders>
              <w:bottom w:val="single" w:sz="12" w:space="0" w:color="auto"/>
            </w:tcBorders>
            <w:shd w:val="clear" w:color="auto" w:fill="auto"/>
            <w:vAlign w:val="center"/>
          </w:tcPr>
          <w:p w:rsidR="00C77A14" w:rsidRPr="002D3263" w:rsidP="00C77A14" w14:paraId="2EC8689F" w14:textId="7FFEDB34">
            <w:pPr>
              <w:keepNext/>
              <w:keepLines/>
              <w:widowControl/>
              <w:jc w:val="center"/>
              <w:rPr>
                <w:rFonts w:ascii="Calibri" w:hAnsi="Calibri"/>
                <w:b/>
                <w:color w:val="000000"/>
              </w:rPr>
            </w:pPr>
            <w:r>
              <w:rPr>
                <w:rFonts w:ascii="Calibri" w:hAnsi="Calibri" w:cs="Calibri"/>
                <w:b/>
                <w:bCs/>
                <w:color w:val="000000"/>
              </w:rPr>
              <w:t xml:space="preserve">$1,770,513 </w:t>
            </w:r>
          </w:p>
        </w:tc>
        <w:tc>
          <w:tcPr>
            <w:tcW w:w="1260" w:type="dxa"/>
            <w:tcBorders>
              <w:bottom w:val="single" w:sz="12" w:space="0" w:color="auto"/>
            </w:tcBorders>
            <w:shd w:val="clear" w:color="auto" w:fill="auto"/>
            <w:vAlign w:val="center"/>
          </w:tcPr>
          <w:p w:rsidR="00C77A14" w:rsidRPr="002D3263" w:rsidP="00C77A14" w14:paraId="596261AB" w14:textId="6F2C505A">
            <w:pPr>
              <w:keepNext/>
              <w:keepLines/>
              <w:widowControl/>
              <w:jc w:val="center"/>
              <w:rPr>
                <w:rFonts w:ascii="Calibri" w:hAnsi="Calibri"/>
                <w:b/>
                <w:color w:val="000000"/>
              </w:rPr>
            </w:pPr>
            <w:r>
              <w:rPr>
                <w:rFonts w:ascii="Calibri" w:hAnsi="Calibri" w:cs="Calibri"/>
                <w:b/>
                <w:bCs/>
                <w:color w:val="000000"/>
              </w:rPr>
              <w:t xml:space="preserve">$2,231,474 </w:t>
            </w:r>
          </w:p>
        </w:tc>
      </w:tr>
      <w:tr w14:paraId="399C81AC" w14:textId="77777777" w:rsidTr="008A4DC9">
        <w:tblPrEx>
          <w:tblW w:w="5850" w:type="dxa"/>
          <w:jc w:val="center"/>
          <w:tblLayout w:type="fixed"/>
          <w:tblLook w:val="04A0"/>
        </w:tblPrEx>
        <w:trPr>
          <w:trHeight w:val="315"/>
          <w:jc w:val="center"/>
        </w:trPr>
        <w:tc>
          <w:tcPr>
            <w:tcW w:w="5850" w:type="dxa"/>
            <w:gridSpan w:val="4"/>
            <w:tcBorders>
              <w:top w:val="single" w:sz="12" w:space="0" w:color="auto"/>
            </w:tcBorders>
            <w:shd w:val="clear" w:color="auto" w:fill="auto"/>
            <w:noWrap/>
            <w:vAlign w:val="center"/>
          </w:tcPr>
          <w:p w:rsidR="00C122CB" w:rsidP="00EF4CBB" w14:paraId="2CB9A378" w14:textId="77777777">
            <w:pPr>
              <w:widowControl/>
              <w:rPr>
                <w:rFonts w:ascii="Calibri" w:hAnsi="Calibri"/>
                <w:color w:val="000000"/>
              </w:rPr>
            </w:pPr>
            <w:r w:rsidRPr="002D3263">
              <w:rPr>
                <w:rFonts w:ascii="Calibri" w:hAnsi="Calibri"/>
                <w:color w:val="000000"/>
              </w:rPr>
              <w:t>*Totals may not match sums due to rounding</w:t>
            </w:r>
          </w:p>
          <w:p w:rsidR="00A601D9" w:rsidRPr="002D3263" w:rsidP="00EF4CBB" w14:paraId="5FB18DDF" w14:textId="4852D4C7">
            <w:pPr>
              <w:widowControl/>
              <w:rPr>
                <w:rFonts w:ascii="Calibri" w:hAnsi="Calibri"/>
                <w:b/>
                <w:color w:val="000000"/>
              </w:rPr>
            </w:pPr>
          </w:p>
        </w:tc>
      </w:tr>
    </w:tbl>
    <w:p w:rsidR="0066657D" w:rsidRPr="002D3263" w:rsidP="00C53C33" w14:paraId="3A4A6776" w14:textId="1135F892">
      <w:pPr>
        <w:pStyle w:val="Heading2"/>
      </w:pPr>
      <w:bookmarkStart w:id="57" w:name="_Toc68008768"/>
      <w:bookmarkStart w:id="58" w:name="_Toc68008934"/>
      <w:bookmarkStart w:id="59" w:name="_Toc127438025"/>
      <w:bookmarkEnd w:id="57"/>
      <w:bookmarkEnd w:id="58"/>
      <w:r w:rsidRPr="002D3263">
        <w:t>Reverse</w:t>
      </w:r>
      <w:r w:rsidRPr="002D3263">
        <w:t xml:space="preserve"> Mortgages</w:t>
      </w:r>
      <w:bookmarkEnd w:id="59"/>
      <w:r w:rsidRPr="002D3263">
        <w:t xml:space="preserve"> </w:t>
      </w:r>
    </w:p>
    <w:p w:rsidR="0066657D" w:rsidRPr="002D3263" w:rsidP="00E85518" w14:paraId="536FFB33" w14:textId="4BD5983C">
      <w:pPr>
        <w:widowControl/>
        <w:spacing w:after="240"/>
      </w:pPr>
      <w:r w:rsidRPr="002D3263">
        <w:t>A reverse mortgage, also known as a</w:t>
      </w:r>
      <w:r w:rsidRPr="002D3263">
        <w:t xml:space="preserve"> HECM is the </w:t>
      </w:r>
      <w:r w:rsidRPr="002D3263" w:rsidR="00111308">
        <w:t>Federal</w:t>
      </w:r>
      <w:r w:rsidRPr="002D3263">
        <w:t xml:space="preserve"> Housing Adm</w:t>
      </w:r>
      <w:r w:rsidR="00732A88">
        <w:t>i</w:t>
      </w:r>
      <w:r w:rsidRPr="002D3263">
        <w:t xml:space="preserve">nistration's </w:t>
      </w:r>
      <w:r w:rsidR="00A601D9">
        <w:t>M</w:t>
      </w:r>
      <w:r w:rsidRPr="002D3263">
        <w:t xml:space="preserve">ortgage </w:t>
      </w:r>
      <w:r w:rsidR="00A601D9">
        <w:t>P</w:t>
      </w:r>
      <w:r w:rsidRPr="002D3263">
        <w:t xml:space="preserve">rogram that </w:t>
      </w:r>
      <w:bookmarkStart w:id="60" w:name="_Hlk1546456"/>
      <w:r w:rsidRPr="002D3263">
        <w:t>enables seniors to withdraw some of the equity in their homes</w:t>
      </w:r>
      <w:r w:rsidRPr="002D3263" w:rsidR="00F71887">
        <w:t xml:space="preserve"> while still residing in them</w:t>
      </w:r>
      <w:bookmarkEnd w:id="60"/>
      <w:r w:rsidRPr="002D3263">
        <w:t xml:space="preserve">. </w:t>
      </w:r>
      <w:r w:rsidRPr="002D3263" w:rsidR="00A5562F">
        <w:t xml:space="preserve">Currently, the regulations do not address </w:t>
      </w:r>
      <w:r w:rsidRPr="002D3263">
        <w:t xml:space="preserve">reverse mortgages </w:t>
      </w:r>
      <w:r w:rsidRPr="002D3263" w:rsidR="00A5562F">
        <w:t>and each instance is handled on a case</w:t>
      </w:r>
      <w:r w:rsidRPr="002D3263" w:rsidR="00C331B9">
        <w:t>-</w:t>
      </w:r>
      <w:r w:rsidRPr="002D3263" w:rsidR="00A5562F">
        <w:t xml:space="preserve">specific basis. </w:t>
      </w:r>
      <w:r w:rsidR="00B210CA">
        <w:t xml:space="preserve"> </w:t>
      </w:r>
      <w:r w:rsidRPr="002D3263">
        <w:t xml:space="preserve">The </w:t>
      </w:r>
      <w:r w:rsidRPr="002D3263" w:rsidR="00D72013">
        <w:t>final</w:t>
      </w:r>
      <w:r w:rsidRPr="002D3263">
        <w:t xml:space="preserve"> rule adds a definition of </w:t>
      </w:r>
      <w:r w:rsidRPr="002D3263">
        <w:t>reverse mortgage</w:t>
      </w:r>
      <w:r w:rsidRPr="002D3263">
        <w:t xml:space="preserve">, identifying a </w:t>
      </w:r>
      <w:r w:rsidRPr="002D3263">
        <w:t xml:space="preserve">reverse mortgage </w:t>
      </w:r>
      <w:r w:rsidRPr="002D3263">
        <w:t xml:space="preserve">as a valid lien and describing common terms and conditions of the </w:t>
      </w:r>
      <w:r w:rsidRPr="002D3263" w:rsidR="00B25DF1">
        <w:t>reverse mortgage</w:t>
      </w:r>
      <w:r w:rsidRPr="002D3263">
        <w:t>.</w:t>
      </w:r>
      <w:r w:rsidRPr="002D3263" w:rsidR="00AC30F3">
        <w:t xml:space="preserve"> </w:t>
      </w:r>
      <w:r w:rsidR="00B210CA">
        <w:t xml:space="preserve"> </w:t>
      </w:r>
      <w:r w:rsidRPr="002D3263">
        <w:t xml:space="preserve">To supplement the definition, the </w:t>
      </w:r>
      <w:r w:rsidRPr="002D3263" w:rsidR="0035027D">
        <w:t>final</w:t>
      </w:r>
      <w:r w:rsidRPr="002D3263">
        <w:t xml:space="preserve"> rule at </w:t>
      </w:r>
      <w:r w:rsidRPr="002D3263" w:rsidR="00FD2978">
        <w:t>Sec</w:t>
      </w:r>
      <w:r w:rsidR="00732A88">
        <w:t>tio</w:t>
      </w:r>
      <w:r w:rsidRPr="002D3263" w:rsidR="00FD2978">
        <w:t>n</w:t>
      </w:r>
      <w:r w:rsidRPr="002D3263" w:rsidR="004E2112">
        <w:t xml:space="preserve"> </w:t>
      </w:r>
      <w:r w:rsidRPr="002D3263">
        <w:t xml:space="preserve">24.401(e) allows </w:t>
      </w:r>
      <w:r w:rsidRPr="002D3263" w:rsidR="003608E7">
        <w:t xml:space="preserve">certain </w:t>
      </w:r>
      <w:r w:rsidRPr="002D3263" w:rsidR="00B25DF1">
        <w:t>reverse mortgage</w:t>
      </w:r>
      <w:r w:rsidRPr="002D3263">
        <w:t xml:space="preserve"> expenses to be an eligible</w:t>
      </w:r>
      <w:r w:rsidRPr="002D3263" w:rsidR="00104D19">
        <w:t xml:space="preserve"> for reimbursement as a</w:t>
      </w:r>
      <w:r w:rsidRPr="002D3263" w:rsidR="00F925ED">
        <w:t xml:space="preserve"> Mortgage Inter</w:t>
      </w:r>
      <w:r w:rsidRPr="002D3263" w:rsidR="002A616F">
        <w:t xml:space="preserve">est Differential </w:t>
      </w:r>
      <w:r w:rsidRPr="002D3263" w:rsidR="002A616F">
        <w:t>Payment</w:t>
      </w:r>
      <w:r w:rsidRPr="002D3263" w:rsidR="00000363">
        <w:t xml:space="preserve">, </w:t>
      </w:r>
      <w:r w:rsidRPr="002D3263">
        <w:t>and</w:t>
      </w:r>
      <w:r w:rsidRPr="002D3263">
        <w:t xml:space="preserve"> offers a new section to </w:t>
      </w:r>
      <w:r w:rsidRPr="002D3263" w:rsidR="00000363">
        <w:t xml:space="preserve">49 CFR </w:t>
      </w:r>
      <w:r w:rsidRPr="002D3263">
        <w:t xml:space="preserve">Appendix A at </w:t>
      </w:r>
      <w:r w:rsidR="00732A88">
        <w:t>Sect</w:t>
      </w:r>
      <w:r w:rsidRPr="002D3263" w:rsidR="00FD2978">
        <w:t>ion</w:t>
      </w:r>
      <w:r w:rsidRPr="002D3263" w:rsidR="004E2112">
        <w:t xml:space="preserve"> </w:t>
      </w:r>
      <w:r w:rsidRPr="002D3263">
        <w:t xml:space="preserve">24.401(e) with examples of types of </w:t>
      </w:r>
      <w:r w:rsidRPr="002D3263" w:rsidR="00B25DF1">
        <w:t>reverse mortgages</w:t>
      </w:r>
      <w:r w:rsidRPr="002D3263">
        <w:t xml:space="preserve"> and benefit</w:t>
      </w:r>
      <w:r w:rsidRPr="002D3263" w:rsidR="009B0BEE">
        <w:t xml:space="preserve"> options</w:t>
      </w:r>
      <w:r w:rsidRPr="002D3263">
        <w:t xml:space="preserve">. </w:t>
      </w:r>
      <w:r w:rsidR="00B210CA">
        <w:t xml:space="preserve"> </w:t>
      </w:r>
      <w:r w:rsidRPr="002D3263">
        <w:t xml:space="preserve">The goal of the </w:t>
      </w:r>
      <w:r w:rsidRPr="002D3263" w:rsidR="003608E7">
        <w:t xml:space="preserve">change </w:t>
      </w:r>
      <w:r w:rsidRPr="002D3263">
        <w:t>is to enable those homeowner</w:t>
      </w:r>
      <w:r w:rsidRPr="002D3263" w:rsidR="00AF7ADC">
        <w:t xml:space="preserve"> occupants</w:t>
      </w:r>
      <w:r w:rsidRPr="002D3263">
        <w:t xml:space="preserve"> who have </w:t>
      </w:r>
      <w:r w:rsidRPr="002D3263" w:rsidR="00B25DF1">
        <w:t>reverse mortgages</w:t>
      </w:r>
      <w:r w:rsidRPr="002D3263">
        <w:t xml:space="preserve"> </w:t>
      </w:r>
      <w:r w:rsidRPr="002D3263" w:rsidR="00AF7ADC">
        <w:t xml:space="preserve">180-days </w:t>
      </w:r>
      <w:r w:rsidRPr="002D3263">
        <w:t xml:space="preserve">prior to </w:t>
      </w:r>
      <w:r w:rsidRPr="002D3263" w:rsidR="00AF7ADC">
        <w:t xml:space="preserve">the initiation of negotiations </w:t>
      </w:r>
      <w:r w:rsidRPr="002D3263">
        <w:t xml:space="preserve">to be made whole by providing them with reimbursement </w:t>
      </w:r>
      <w:r w:rsidRPr="002D3263" w:rsidR="009B0BEE">
        <w:t xml:space="preserve">to </w:t>
      </w:r>
      <w:r w:rsidRPr="002D3263">
        <w:t xml:space="preserve">purchase </w:t>
      </w:r>
      <w:r w:rsidRPr="002D3263" w:rsidR="009B0BEE">
        <w:t>a</w:t>
      </w:r>
      <w:r w:rsidRPr="002D3263">
        <w:t xml:space="preserve"> </w:t>
      </w:r>
      <w:r w:rsidRPr="002D3263" w:rsidR="00031C56">
        <w:t xml:space="preserve">replacement </w:t>
      </w:r>
      <w:r w:rsidRPr="002D3263" w:rsidR="00B25DF1">
        <w:t>reverse mortgage</w:t>
      </w:r>
      <w:r w:rsidRPr="002D3263" w:rsidR="00980CA3">
        <w:t xml:space="preserve"> </w:t>
      </w:r>
      <w:r w:rsidRPr="002D3263" w:rsidR="00031C56">
        <w:t xml:space="preserve">when </w:t>
      </w:r>
      <w:r w:rsidRPr="002D3263" w:rsidR="002F1F8B">
        <w:t>purchasing</w:t>
      </w:r>
      <w:r w:rsidRPr="002D3263" w:rsidR="00D1728A">
        <w:t xml:space="preserve"> replacement housing</w:t>
      </w:r>
      <w:r w:rsidRPr="002D3263">
        <w:t>.</w:t>
      </w:r>
    </w:p>
    <w:p w:rsidR="0066657D" w:rsidRPr="002D3263" w:rsidP="00EF4CBB" w14:paraId="0A04AB7F" w14:textId="67CC91DB">
      <w:pPr>
        <w:pStyle w:val="Heading3"/>
        <w:widowControl/>
      </w:pPr>
      <w:bookmarkStart w:id="61" w:name="_Toc127438026"/>
      <w:r w:rsidRPr="002D3263">
        <w:t>Benefits</w:t>
      </w:r>
      <w:bookmarkEnd w:id="61"/>
    </w:p>
    <w:p w:rsidR="0066657D" w:rsidRPr="002D3263" w:rsidP="00E85518" w14:paraId="7033E40D" w14:textId="6A13C9C1">
      <w:pPr>
        <w:widowControl/>
        <w:spacing w:after="240"/>
      </w:pPr>
      <w:r w:rsidRPr="002D3263">
        <w:t>R</w:t>
      </w:r>
      <w:r w:rsidRPr="002D3263" w:rsidR="00B25DF1">
        <w:t>everse mortgages</w:t>
      </w:r>
      <w:r w:rsidRPr="002D3263">
        <w:t xml:space="preserve"> allow older homeowners to draw down the equity of their home to provide income for daily living expenses</w:t>
      </w:r>
      <w:r w:rsidRPr="002D3263" w:rsidR="00AF7ADC">
        <w:t>,</w:t>
      </w:r>
      <w:r w:rsidRPr="002D3263">
        <w:t xml:space="preserve"> while at the same time remaining in their home. </w:t>
      </w:r>
      <w:r w:rsidR="00B210CA">
        <w:t xml:space="preserve"> </w:t>
      </w:r>
      <w:r w:rsidRPr="002D3263">
        <w:t xml:space="preserve">The </w:t>
      </w:r>
      <w:r w:rsidRPr="002D3263" w:rsidR="0035027D">
        <w:t>final</w:t>
      </w:r>
      <w:r w:rsidRPr="002D3263">
        <w:t xml:space="preserve"> rule specifies that </w:t>
      </w:r>
      <w:r w:rsidRPr="002D3263" w:rsidR="00AF7ADC">
        <w:t xml:space="preserve">displaced </w:t>
      </w:r>
      <w:r w:rsidRPr="002D3263">
        <w:t xml:space="preserve">homeowners who currently have the financial benefits and security of </w:t>
      </w:r>
      <w:r w:rsidRPr="002D3263" w:rsidR="00B25DF1">
        <w:t>reverse mortgages</w:t>
      </w:r>
      <w:r w:rsidRPr="002D3263" w:rsidR="00AF7ADC">
        <w:t>,</w:t>
      </w:r>
      <w:r w:rsidRPr="002D3263">
        <w:t xml:space="preserve"> should be provided with a similar </w:t>
      </w:r>
      <w:r w:rsidRPr="002D3263" w:rsidR="00B25DF1">
        <w:t xml:space="preserve">reverse mortgage </w:t>
      </w:r>
      <w:r w:rsidRPr="002D3263">
        <w:t xml:space="preserve">after the relocation. </w:t>
      </w:r>
      <w:r w:rsidR="00B210CA">
        <w:t xml:space="preserve"> </w:t>
      </w:r>
      <w:r w:rsidRPr="002D3263" w:rsidR="00AF7ADC">
        <w:t>Therefore,</w:t>
      </w:r>
      <w:r w:rsidRPr="002D3263">
        <w:t xml:space="preserve"> the benefit of the </w:t>
      </w:r>
      <w:r w:rsidRPr="002D3263" w:rsidR="0035027D">
        <w:t>final</w:t>
      </w:r>
      <w:r w:rsidRPr="002D3263">
        <w:t xml:space="preserve"> rule is that the group of displaced homeowners who have a </w:t>
      </w:r>
      <w:r w:rsidRPr="002D3263" w:rsidR="00B25DF1">
        <w:t>reverse mortgage</w:t>
      </w:r>
      <w:r w:rsidRPr="002D3263">
        <w:t xml:space="preserve"> retain the benefits of that </w:t>
      </w:r>
      <w:r w:rsidRPr="002D3263" w:rsidR="00B25DF1">
        <w:t>reverse mortgage</w:t>
      </w:r>
      <w:r w:rsidRPr="002D3263">
        <w:t xml:space="preserve"> after the relocation. </w:t>
      </w:r>
      <w:r w:rsidR="00B210CA">
        <w:t xml:space="preserve"> </w:t>
      </w:r>
      <w:r w:rsidRPr="002D3263">
        <w:t xml:space="preserve">Currently, displacements on properties with </w:t>
      </w:r>
      <w:r w:rsidRPr="002D3263" w:rsidR="00B25DF1">
        <w:t>reverse mortgages</w:t>
      </w:r>
      <w:r w:rsidRPr="002D3263">
        <w:t xml:space="preserve"> are relatively rare occurrences, but </w:t>
      </w:r>
      <w:r w:rsidRPr="002D3263" w:rsidR="0036667D">
        <w:t>they may</w:t>
      </w:r>
      <w:r w:rsidRPr="002D3263">
        <w:t xml:space="preserve"> become more common in the future.</w:t>
      </w:r>
    </w:p>
    <w:p w:rsidR="00DD5A7C" w:rsidRPr="002D3263" w:rsidP="00EF4CBB" w14:paraId="11C0BA6A" w14:textId="77777777">
      <w:pPr>
        <w:pStyle w:val="Heading3"/>
        <w:widowControl/>
      </w:pPr>
      <w:bookmarkStart w:id="62" w:name="_Toc127438027"/>
      <w:r w:rsidRPr="002D3263">
        <w:t>Transfers (</w:t>
      </w:r>
      <w:r w:rsidRPr="002D3263">
        <w:t>Increased Program Expenditures</w:t>
      </w:r>
      <w:r w:rsidRPr="002D3263">
        <w:t>)</w:t>
      </w:r>
      <w:bookmarkEnd w:id="62"/>
    </w:p>
    <w:p w:rsidR="00DD5A7C" w:rsidRPr="002D3263" w:rsidP="00E85518" w14:paraId="29BC395E" w14:textId="190FF045">
      <w:pPr>
        <w:widowControl/>
        <w:spacing w:after="240"/>
      </w:pPr>
      <w:r w:rsidRPr="002D3263">
        <w:t xml:space="preserve">Obtaining new replacement </w:t>
      </w:r>
      <w:r w:rsidRPr="002D3263" w:rsidR="00B25DF1">
        <w:t>reverse mortgages</w:t>
      </w:r>
      <w:r w:rsidRPr="002D3263">
        <w:t xml:space="preserve"> will likely require additional program expenditures but the magnitude of the increased program expenditures is unknown. </w:t>
      </w:r>
      <w:r w:rsidR="00B210CA">
        <w:t xml:space="preserve"> </w:t>
      </w:r>
      <w:r w:rsidRPr="002D3263" w:rsidR="00F71887">
        <w:t>At this time</w:t>
      </w:r>
      <w:r w:rsidRPr="002D3263" w:rsidR="00F71887">
        <w:t xml:space="preserve"> FHWA has only anecdotal experience with pricing replacement </w:t>
      </w:r>
      <w:r w:rsidRPr="002D3263" w:rsidR="00B25DF1">
        <w:t>reverse mortgages</w:t>
      </w:r>
      <w:r w:rsidRPr="002D3263" w:rsidR="00F71887">
        <w:t xml:space="preserve">. </w:t>
      </w:r>
      <w:r w:rsidR="00B210CA">
        <w:t xml:space="preserve"> </w:t>
      </w:r>
      <w:r w:rsidRPr="002D3263" w:rsidR="00B25DF1">
        <w:t>Reverse mortgages</w:t>
      </w:r>
      <w:r w:rsidRPr="002D3263">
        <w:t xml:space="preserve"> are complicated financial instruments and the calculations involved in pricing </w:t>
      </w:r>
      <w:r w:rsidRPr="002D3263" w:rsidR="00B25DF1">
        <w:t>reverse mortgages</w:t>
      </w:r>
      <w:r w:rsidRPr="002D3263">
        <w:t xml:space="preserve"> are unique to each individual case and involve the age of the homeowner, the amount of remaining equity in the home, etc.</w:t>
      </w:r>
      <w:r w:rsidRPr="002D3263" w:rsidR="00F71887">
        <w:t xml:space="preserve"> </w:t>
      </w:r>
      <w:r w:rsidR="00B210CA">
        <w:t xml:space="preserve"> </w:t>
      </w:r>
      <w:r w:rsidRPr="002D3263" w:rsidR="00AF7ADC">
        <w:t>Therefore,</w:t>
      </w:r>
      <w:r w:rsidRPr="002D3263" w:rsidR="00F71887">
        <w:t xml:space="preserve"> it is difficult to estimate the additional costs of obtaining replacement </w:t>
      </w:r>
      <w:r w:rsidRPr="002D3263" w:rsidR="00B25DF1">
        <w:t>reverse mortgages</w:t>
      </w:r>
      <w:r w:rsidRPr="002D3263" w:rsidR="00F71887">
        <w:t>.</w:t>
      </w:r>
    </w:p>
    <w:p w:rsidR="0066657D" w:rsidRPr="002D3263" w:rsidP="00EF4CBB" w14:paraId="34F1A237" w14:textId="77777777">
      <w:pPr>
        <w:pStyle w:val="Heading3"/>
        <w:widowControl/>
      </w:pPr>
      <w:bookmarkStart w:id="63" w:name="_Toc127438028"/>
      <w:r w:rsidRPr="002D3263">
        <w:t>Costs</w:t>
      </w:r>
      <w:bookmarkEnd w:id="63"/>
    </w:p>
    <w:p w:rsidR="007273DD" w:rsidRPr="002D3263" w:rsidP="00E85518" w14:paraId="34E8F45E" w14:textId="04A43FA4">
      <w:pPr>
        <w:widowControl/>
        <w:spacing w:after="240"/>
      </w:pPr>
      <w:r w:rsidRPr="002D3263">
        <w:t xml:space="preserve">Due to their complexity, </w:t>
      </w:r>
      <w:r w:rsidRPr="002D3263" w:rsidR="00DD5A7C">
        <w:t xml:space="preserve">there is expected to be an increase in </w:t>
      </w:r>
      <w:r w:rsidRPr="002D3263" w:rsidR="001E44DA">
        <w:t>recipient and Federal Agency</w:t>
      </w:r>
      <w:r w:rsidRPr="002D3263" w:rsidR="00075F59">
        <w:t xml:space="preserve"> </w:t>
      </w:r>
      <w:r w:rsidRPr="002D3263" w:rsidR="00DD5A7C">
        <w:t xml:space="preserve">administrative time required to facilitate </w:t>
      </w:r>
      <w:r w:rsidRPr="002D3263" w:rsidR="00980CA3">
        <w:t xml:space="preserve">reverse mortgages </w:t>
      </w:r>
      <w:r w:rsidRPr="002D3263" w:rsidR="00DD5A7C">
        <w:t>for displaced homeowners.</w:t>
      </w:r>
      <w:r w:rsidRPr="002D3263" w:rsidR="00AC30F3">
        <w:t xml:space="preserve"> </w:t>
      </w:r>
    </w:p>
    <w:p w:rsidR="005F0864" w:rsidRPr="002D3263" w:rsidP="00EF4CBB" w14:paraId="67F39290" w14:textId="5534BECF">
      <w:pPr>
        <w:pStyle w:val="Body"/>
        <w:widowControl/>
      </w:pPr>
      <w:r w:rsidRPr="002D3263">
        <w:t>Based on FHWA 2013-</w:t>
      </w:r>
      <w:r w:rsidRPr="002D3263" w:rsidR="005A34C7">
        <w:t>2021</w:t>
      </w:r>
      <w:r w:rsidRPr="002D3263">
        <w:t xml:space="preserve"> statistical data shown in </w:t>
      </w:r>
      <w:r w:rsidRPr="002D3263" w:rsidR="00980CA3">
        <w:rPr>
          <w:i/>
        </w:rPr>
        <w:fldChar w:fldCharType="begin"/>
      </w:r>
      <w:r w:rsidRPr="002D3263" w:rsidR="00980CA3">
        <w:rPr>
          <w:i/>
        </w:rPr>
        <w:instrText xml:space="preserve"> REF _Ref67907390 \h  \* MERGEFORMAT </w:instrText>
      </w:r>
      <w:r w:rsidRPr="002D3263" w:rsidR="00980CA3">
        <w:rPr>
          <w:i/>
        </w:rPr>
        <w:fldChar w:fldCharType="separate"/>
      </w:r>
      <w:r w:rsidRPr="002D3263" w:rsidR="00E762F5">
        <w:t xml:space="preserve">Figure </w:t>
      </w:r>
      <w:r w:rsidR="00E762F5">
        <w:rPr>
          <w:noProof/>
        </w:rPr>
        <w:t>1</w:t>
      </w:r>
      <w:r w:rsidRPr="002D3263" w:rsidR="00E762F5">
        <w:rPr>
          <w:noProof/>
        </w:rPr>
        <w:t>.</w:t>
      </w:r>
      <w:r w:rsidRPr="006D5D1A" w:rsidR="00E762F5">
        <w:rPr>
          <w:i/>
        </w:rPr>
        <w:t xml:space="preserve"> Residential Relocations (FHWA)</w:t>
      </w:r>
      <w:r w:rsidRPr="002D3263" w:rsidR="00980CA3">
        <w:rPr>
          <w:i/>
        </w:rPr>
        <w:fldChar w:fldCharType="end"/>
      </w:r>
      <w:r w:rsidRPr="002D3263">
        <w:t>, i</w:t>
      </w:r>
      <w:r w:rsidRPr="002D3263">
        <w:t xml:space="preserve">t is assumed that </w:t>
      </w:r>
      <w:r w:rsidRPr="002D3263" w:rsidR="006671FF">
        <w:t xml:space="preserve">for FHWA, </w:t>
      </w:r>
      <w:r w:rsidRPr="002D3263">
        <w:t>on average</w:t>
      </w:r>
      <w:r w:rsidRPr="002D3263" w:rsidR="006671FF">
        <w:t>,</w:t>
      </w:r>
      <w:r w:rsidRPr="002D3263" w:rsidR="00DD40A2">
        <w:t xml:space="preserve"> </w:t>
      </w:r>
      <w:r w:rsidRPr="002D3263" w:rsidR="005A34C7">
        <w:t>1,488</w:t>
      </w:r>
      <w:r w:rsidRPr="002D3263">
        <w:t xml:space="preserve"> residential relocations will occur each year of the analysis period. </w:t>
      </w:r>
      <w:r w:rsidR="00B210CA">
        <w:t xml:space="preserve"> </w:t>
      </w:r>
      <w:r w:rsidRPr="002D3263" w:rsidR="008516C9">
        <w:t>The FHWA</w:t>
      </w:r>
      <w:r w:rsidRPr="002D3263">
        <w:t xml:space="preserve"> data indicates that over the period 1991 to 2003</w:t>
      </w:r>
      <w:r w:rsidRPr="002D3263" w:rsidR="00940637">
        <w:t>,</w:t>
      </w:r>
      <w:r w:rsidRPr="002D3263">
        <w:t xml:space="preserve"> on average</w:t>
      </w:r>
      <w:r w:rsidRPr="002D3263" w:rsidR="00940637">
        <w:t>,</w:t>
      </w:r>
      <w:r w:rsidRPr="002D3263">
        <w:t xml:space="preserve"> 54 percent of residential relocations involve homeowner</w:t>
      </w:r>
      <w:r w:rsidRPr="002D3263" w:rsidR="00AF7ADC">
        <w:t xml:space="preserve"> occupants</w:t>
      </w:r>
      <w:r w:rsidRPr="002D3263">
        <w:t xml:space="preserve"> (rather than tenant</w:t>
      </w:r>
      <w:r w:rsidRPr="002D3263" w:rsidR="00AF7ADC">
        <w:t xml:space="preserve"> occupants</w:t>
      </w:r>
      <w:r w:rsidRPr="002D3263">
        <w:t xml:space="preserve">). </w:t>
      </w:r>
      <w:r w:rsidR="00B210CA">
        <w:t xml:space="preserve"> </w:t>
      </w:r>
      <w:r w:rsidRPr="002D3263" w:rsidR="007828E4">
        <w:t>Therefore,</w:t>
      </w:r>
      <w:r w:rsidRPr="002D3263">
        <w:t xml:space="preserve"> we </w:t>
      </w:r>
      <w:r w:rsidRPr="002D3263" w:rsidR="00305D57">
        <w:t>assume</w:t>
      </w:r>
      <w:r w:rsidRPr="002D3263">
        <w:t xml:space="preserve"> there are </w:t>
      </w:r>
      <w:r w:rsidRPr="002D3263" w:rsidR="005A34C7">
        <w:t>804</w:t>
      </w:r>
      <w:r w:rsidRPr="002D3263">
        <w:t xml:space="preserve"> residential relocations of homeowners each year of the analysis period. </w:t>
      </w:r>
    </w:p>
    <w:p w:rsidR="00DD4F27" w:rsidRPr="002D3263" w:rsidP="00EF4CBB" w14:paraId="73DEAB98" w14:textId="5C3E231E">
      <w:pPr>
        <w:pStyle w:val="Body"/>
        <w:widowControl/>
      </w:pPr>
      <w:r w:rsidRPr="002D3263">
        <w:t xml:space="preserve">According to data from the </w:t>
      </w:r>
      <w:r w:rsidRPr="002D3263" w:rsidR="005A34C7">
        <w:t>2021</w:t>
      </w:r>
      <w:r w:rsidRPr="002D3263">
        <w:t xml:space="preserve"> American Housing Survey, approximately </w:t>
      </w:r>
      <w:r w:rsidRPr="002D3263" w:rsidR="005A34C7">
        <w:t>1.8</w:t>
      </w:r>
      <w:r w:rsidRPr="002D3263" w:rsidR="00116F5E">
        <w:t xml:space="preserve"> percent of homeowners h</w:t>
      </w:r>
      <w:r w:rsidRPr="002D3263" w:rsidR="0036667D">
        <w:t>e</w:t>
      </w:r>
      <w:r w:rsidRPr="002D3263" w:rsidR="00116F5E">
        <w:t>ld a</w:t>
      </w:r>
      <w:r w:rsidRPr="002D3263">
        <w:t xml:space="preserve"> reverse mortgage in </w:t>
      </w:r>
      <w:r w:rsidRPr="002D3263" w:rsidR="005A34C7">
        <w:t>2021</w:t>
      </w:r>
      <w:r w:rsidRPr="002D3263" w:rsidR="00116F5E">
        <w:t>.</w:t>
      </w:r>
      <w:r>
        <w:rPr>
          <w:rStyle w:val="FootnoteReference"/>
        </w:rPr>
        <w:footnoteReference w:id="20"/>
      </w:r>
      <w:r w:rsidRPr="002D3263" w:rsidR="00A84E25">
        <w:t xml:space="preserve"> </w:t>
      </w:r>
      <w:r w:rsidR="00B210CA">
        <w:t xml:space="preserve"> </w:t>
      </w:r>
      <w:r w:rsidRPr="002D3263" w:rsidR="00371DD6">
        <w:t xml:space="preserve">In the absence of information on expectations of future growth and/or contraction of the </w:t>
      </w:r>
      <w:r w:rsidRPr="002D3263">
        <w:t>reverse mortgage</w:t>
      </w:r>
      <w:r w:rsidRPr="002D3263" w:rsidR="006F206A">
        <w:t xml:space="preserve"> </w:t>
      </w:r>
      <w:r w:rsidRPr="002D3263" w:rsidR="00371DD6">
        <w:t xml:space="preserve">market, </w:t>
      </w:r>
      <w:r w:rsidRPr="002D3263" w:rsidR="00DD40A2">
        <w:t>we assume that the percent of homeowners hol</w:t>
      </w:r>
      <w:r w:rsidRPr="002D3263" w:rsidR="00E9476E">
        <w:t xml:space="preserve">ding </w:t>
      </w:r>
      <w:r w:rsidRPr="002D3263">
        <w:t xml:space="preserve">reverse mortgages </w:t>
      </w:r>
      <w:r w:rsidRPr="002D3263" w:rsidR="00E9476E">
        <w:t xml:space="preserve">stays constant at </w:t>
      </w:r>
      <w:r w:rsidRPr="002D3263" w:rsidR="005A34C7">
        <w:t>1.8</w:t>
      </w:r>
      <w:r w:rsidRPr="002D3263">
        <w:t xml:space="preserve"> </w:t>
      </w:r>
      <w:r w:rsidRPr="002D3263" w:rsidR="00DD40A2">
        <w:t>percent.</w:t>
      </w:r>
      <w:r w:rsidRPr="002D3263" w:rsidR="004410C8">
        <w:t xml:space="preserve"> </w:t>
      </w:r>
      <w:r w:rsidR="00B210CA">
        <w:t xml:space="preserve"> </w:t>
      </w:r>
      <w:r w:rsidRPr="002D3263" w:rsidR="00D661D5">
        <w:t xml:space="preserve">We therefore assume that </w:t>
      </w:r>
      <w:r w:rsidRPr="002D3263" w:rsidR="005A34C7">
        <w:t>14.5</w:t>
      </w:r>
      <w:r w:rsidRPr="002D3263">
        <w:t xml:space="preserve"> </w:t>
      </w:r>
      <w:r w:rsidRPr="002D3263" w:rsidR="00D661D5">
        <w:t>(</w:t>
      </w:r>
      <w:r w:rsidRPr="002D3263" w:rsidR="005A34C7">
        <w:t>0.018</w:t>
      </w:r>
      <w:r w:rsidRPr="002D3263" w:rsidR="00D661D5">
        <w:t>*</w:t>
      </w:r>
      <w:r w:rsidRPr="002D3263" w:rsidR="005A34C7">
        <w:t>804</w:t>
      </w:r>
      <w:r w:rsidRPr="002D3263" w:rsidR="00B339A6">
        <w:t>)</w:t>
      </w:r>
      <w:r w:rsidRPr="002D3263" w:rsidR="00D661D5">
        <w:t xml:space="preserve"> FHWA residential displacements </w:t>
      </w:r>
      <w:r w:rsidRPr="002D3263" w:rsidR="005C3A34">
        <w:t>would</w:t>
      </w:r>
      <w:r w:rsidRPr="002D3263" w:rsidR="00D661D5">
        <w:t xml:space="preserve"> be encumbered by </w:t>
      </w:r>
      <w:r w:rsidRPr="002D3263" w:rsidR="00980CA3">
        <w:t>reverse mortgages</w:t>
      </w:r>
      <w:r w:rsidRPr="002D3263" w:rsidR="00D661D5">
        <w:t xml:space="preserve"> each year of the analysis period. </w:t>
      </w:r>
      <w:r w:rsidR="00B210CA">
        <w:t xml:space="preserve"> </w:t>
      </w:r>
      <w:r w:rsidRPr="002D3263" w:rsidR="001B288F">
        <w:t>We use</w:t>
      </w:r>
      <w:r w:rsidRPr="002D3263" w:rsidR="00D661D5">
        <w:t xml:space="preserve"> current</w:t>
      </w:r>
      <w:r w:rsidRPr="002D3263" w:rsidR="007504A2">
        <w:t xml:space="preserve"> </w:t>
      </w:r>
      <w:r w:rsidRPr="002D3263" w:rsidR="00D661D5">
        <w:t xml:space="preserve">information on the size of FHWA’s program relative to all Federal activity, </w:t>
      </w:r>
      <w:r w:rsidRPr="002D3263" w:rsidR="00C45ED0">
        <w:t xml:space="preserve">as shown </w:t>
      </w:r>
      <w:r w:rsidRPr="002D3263" w:rsidR="00D661D5">
        <w:t>in Table A1</w:t>
      </w:r>
      <w:r w:rsidRPr="002D3263" w:rsidR="007404C8">
        <w:t>3</w:t>
      </w:r>
      <w:r w:rsidRPr="002D3263" w:rsidR="002F3729">
        <w:t>.</w:t>
      </w:r>
      <w:r w:rsidRPr="002D3263" w:rsidR="007504A2">
        <w:t>c</w:t>
      </w:r>
      <w:r w:rsidRPr="002D3263" w:rsidR="00D661D5">
        <w:t xml:space="preserve"> of Appendix A</w:t>
      </w:r>
      <w:r w:rsidRPr="002D3263" w:rsidR="00C45ED0">
        <w:t xml:space="preserve"> and find </w:t>
      </w:r>
      <w:r w:rsidRPr="002D3263" w:rsidR="00D661D5">
        <w:t xml:space="preserve">that roughly </w:t>
      </w:r>
      <w:r w:rsidRPr="002D3263" w:rsidR="00610BC4">
        <w:t>9</w:t>
      </w:r>
      <w:r w:rsidRPr="002D3263" w:rsidR="007504A2">
        <w:t>9</w:t>
      </w:r>
      <w:r w:rsidRPr="002D3263" w:rsidR="00C45ED0">
        <w:t xml:space="preserve"> percent</w:t>
      </w:r>
      <w:r w:rsidRPr="002D3263" w:rsidR="00D661D5">
        <w:t xml:space="preserve"> of all the known Uniform Act </w:t>
      </w:r>
      <w:r w:rsidRPr="002D3263" w:rsidR="00610BC4">
        <w:t>residential</w:t>
      </w:r>
      <w:r w:rsidRPr="002D3263" w:rsidR="00C30A79">
        <w:t xml:space="preserve"> displacements </w:t>
      </w:r>
      <w:r w:rsidRPr="002D3263" w:rsidR="00C45ED0">
        <w:t xml:space="preserve">in </w:t>
      </w:r>
      <w:r w:rsidRPr="002D3263" w:rsidR="005A34C7">
        <w:t>2020</w:t>
      </w:r>
      <w:r w:rsidRPr="002D3263" w:rsidR="00980CA3">
        <w:t xml:space="preserve"> </w:t>
      </w:r>
      <w:r w:rsidRPr="002D3263" w:rsidR="00D661D5">
        <w:t>are attributed to FHWA</w:t>
      </w:r>
      <w:r w:rsidRPr="002D3263" w:rsidR="00C45ED0">
        <w:t xml:space="preserve"> (</w:t>
      </w:r>
      <w:r w:rsidRPr="002D3263" w:rsidR="005A34C7">
        <w:t>806</w:t>
      </w:r>
      <w:r w:rsidRPr="002D3263" w:rsidR="00C45ED0">
        <w:t xml:space="preserve"> out of </w:t>
      </w:r>
      <w:r w:rsidRPr="002D3263" w:rsidR="005A34C7">
        <w:t>815</w:t>
      </w:r>
      <w:r w:rsidRPr="002D3263" w:rsidR="00C45ED0">
        <w:t xml:space="preserve">). </w:t>
      </w:r>
      <w:r w:rsidR="00B210CA">
        <w:t xml:space="preserve"> </w:t>
      </w:r>
      <w:r w:rsidRPr="002D3263" w:rsidR="00C45ED0">
        <w:t xml:space="preserve">Thus, </w:t>
      </w:r>
      <w:r w:rsidRPr="002D3263" w:rsidR="00D661D5">
        <w:t>we</w:t>
      </w:r>
      <w:r w:rsidRPr="002D3263" w:rsidR="00610BC4">
        <w:t xml:space="preserve"> </w:t>
      </w:r>
      <w:r w:rsidRPr="002D3263" w:rsidR="00C45ED0">
        <w:t>factor the FHWA estimate by 1.0</w:t>
      </w:r>
      <w:r w:rsidRPr="002D3263" w:rsidR="007504A2">
        <w:t>1</w:t>
      </w:r>
      <w:r w:rsidRPr="002D3263" w:rsidR="00C45ED0">
        <w:t xml:space="preserve"> </w:t>
      </w:r>
      <w:r w:rsidRPr="002D3263" w:rsidR="000E7902">
        <w:t xml:space="preserve">resulting in </w:t>
      </w:r>
      <w:r w:rsidRPr="002D3263" w:rsidR="00DB2A37">
        <w:t>a government</w:t>
      </w:r>
      <w:r w:rsidRPr="002D3263" w:rsidR="00610BC4">
        <w:t xml:space="preserve">wide </w:t>
      </w:r>
      <w:r w:rsidRPr="002D3263" w:rsidR="000E7902">
        <w:t xml:space="preserve">estimated </w:t>
      </w:r>
      <w:r w:rsidRPr="002D3263" w:rsidR="00610BC4">
        <w:t>total</w:t>
      </w:r>
      <w:r w:rsidRPr="002D3263" w:rsidR="000E7902">
        <w:t xml:space="preserve"> of </w:t>
      </w:r>
      <w:r w:rsidRPr="002D3263" w:rsidR="003E596F">
        <w:t>15</w:t>
      </w:r>
      <w:r w:rsidRPr="002D3263" w:rsidR="00610BC4">
        <w:t xml:space="preserve"> </w:t>
      </w:r>
      <w:r w:rsidRPr="002D3263" w:rsidR="006F206A">
        <w:t>reverse mortgage</w:t>
      </w:r>
      <w:r w:rsidRPr="002D3263" w:rsidR="00D95B77">
        <w:t>s.</w:t>
      </w:r>
    </w:p>
    <w:p w:rsidR="0066657D" w:rsidRPr="002D3263" w:rsidP="00EF4CBB" w14:paraId="36EAEF50" w14:textId="679531BD">
      <w:pPr>
        <w:pStyle w:val="Body"/>
        <w:widowControl/>
      </w:pPr>
      <w:r w:rsidRPr="002D3263">
        <w:t xml:space="preserve">We estimate that program </w:t>
      </w:r>
      <w:r w:rsidRPr="002D3263" w:rsidR="0025500F">
        <w:t xml:space="preserve">specialists </w:t>
      </w:r>
      <w:r w:rsidRPr="002D3263" w:rsidR="005C3A34">
        <w:t>would</w:t>
      </w:r>
      <w:r w:rsidRPr="002D3263">
        <w:t xml:space="preserve"> spend </w:t>
      </w:r>
      <w:r w:rsidRPr="002D3263" w:rsidR="0026387C">
        <w:t>5</w:t>
      </w:r>
      <w:r w:rsidRPr="002D3263">
        <w:t xml:space="preserve"> hours per parcel facilitating a replacement </w:t>
      </w:r>
      <w:r w:rsidRPr="002D3263" w:rsidR="006F206A">
        <w:t>reverse mortgage</w:t>
      </w:r>
      <w:r w:rsidRPr="002D3263">
        <w:t xml:space="preserve">. </w:t>
      </w:r>
      <w:r w:rsidR="00B210CA">
        <w:t xml:space="preserve"> </w:t>
      </w:r>
      <w:r w:rsidRPr="002D3263">
        <w:t xml:space="preserve">The average </w:t>
      </w:r>
      <w:r w:rsidRPr="002D3263" w:rsidR="005871DF">
        <w:t>hourly salary for th</w:t>
      </w:r>
      <w:r w:rsidRPr="002D3263" w:rsidR="003A1A6F">
        <w:t>is</w:t>
      </w:r>
      <w:r w:rsidRPr="002D3263" w:rsidR="005871DF">
        <w:t xml:space="preserve"> type of </w:t>
      </w:r>
      <w:r w:rsidRPr="002D3263" w:rsidR="00CB72F4">
        <w:t xml:space="preserve">State </w:t>
      </w:r>
      <w:r w:rsidRPr="002D3263" w:rsidR="005871DF">
        <w:t xml:space="preserve">government worker is </w:t>
      </w:r>
      <w:r w:rsidRPr="002D3263" w:rsidR="00150372">
        <w:t>$</w:t>
      </w:r>
      <w:r w:rsidRPr="002D3263" w:rsidR="003E596F">
        <w:t>3</w:t>
      </w:r>
      <w:r w:rsidRPr="002D3263" w:rsidR="00093828">
        <w:t>7</w:t>
      </w:r>
      <w:r w:rsidRPr="002D3263" w:rsidR="003E596F">
        <w:t>.94</w:t>
      </w:r>
      <w:r w:rsidRPr="002D3263">
        <w:t>.</w:t>
      </w:r>
      <w:r>
        <w:rPr>
          <w:rStyle w:val="FootnoteReference"/>
        </w:rPr>
        <w:footnoteReference w:id="21"/>
      </w:r>
      <w:r w:rsidRPr="002D3263">
        <w:t xml:space="preserve"> By</w:t>
      </w:r>
      <w:r w:rsidRPr="002D3263" w:rsidR="007504A2">
        <w:t xml:space="preserve"> </w:t>
      </w:r>
      <w:r w:rsidRPr="002D3263">
        <w:t xml:space="preserve">multiplying the hourly wage by </w:t>
      </w:r>
      <w:r w:rsidRPr="002D3263" w:rsidR="006F206A">
        <w:t>1.56</w:t>
      </w:r>
      <w:r w:rsidRPr="002D3263">
        <w:t xml:space="preserve"> to account for the cost of employer-provided benefits, hourly costs become $</w:t>
      </w:r>
      <w:r w:rsidRPr="002D3263" w:rsidR="005A34C7">
        <w:t>59</w:t>
      </w:r>
      <w:r w:rsidRPr="002D3263">
        <w:t xml:space="preserve">. These calculations are shown in Table </w:t>
      </w:r>
      <w:r w:rsidRPr="002D3263" w:rsidR="00963C07">
        <w:t>A1</w:t>
      </w:r>
      <w:r w:rsidRPr="002D3263" w:rsidR="007404C8">
        <w:t>2</w:t>
      </w:r>
      <w:r w:rsidRPr="002D3263">
        <w:t xml:space="preserve"> of Appendix A</w:t>
      </w:r>
      <w:r w:rsidRPr="002D3263" w:rsidR="00940637">
        <w:t xml:space="preserve"> of this report</w:t>
      </w:r>
      <w:r w:rsidRPr="002D3263">
        <w:t xml:space="preserve"> and are </w:t>
      </w:r>
      <w:r w:rsidRPr="002D3263" w:rsidR="005F0864">
        <w:t>summarized</w:t>
      </w:r>
      <w:r w:rsidRPr="002D3263" w:rsidR="00DD40A2">
        <w:t xml:space="preserve"> in</w:t>
      </w:r>
      <w:r w:rsidRPr="002D3263" w:rsidR="00E05A37">
        <w:t xml:space="preserve"> </w:t>
      </w:r>
      <w:r w:rsidRPr="002D3263" w:rsidR="007504A2">
        <w:fldChar w:fldCharType="begin"/>
      </w:r>
      <w:r w:rsidRPr="002D3263" w:rsidR="007504A2">
        <w:instrText xml:space="preserve"> REF _Ref67907800 \h </w:instrText>
      </w:r>
      <w:r w:rsidR="002D3263">
        <w:instrText xml:space="preserve"> \* MERGEFORMAT </w:instrText>
      </w:r>
      <w:r w:rsidRPr="002D3263" w:rsidR="007504A2">
        <w:fldChar w:fldCharType="separate"/>
      </w:r>
      <w:r w:rsidRPr="002D3263" w:rsidR="00E762F5">
        <w:t xml:space="preserve">Table </w:t>
      </w:r>
      <w:r w:rsidR="00E762F5">
        <w:rPr>
          <w:noProof/>
        </w:rPr>
        <w:t>5</w:t>
      </w:r>
      <w:r w:rsidRPr="002D3263" w:rsidR="007504A2">
        <w:fldChar w:fldCharType="end"/>
      </w:r>
      <w:r w:rsidRPr="002D3263" w:rsidR="007504A2">
        <w:t xml:space="preserve"> </w:t>
      </w:r>
      <w:r w:rsidRPr="002D3263" w:rsidR="00E05A37">
        <w:t>below.</w:t>
      </w:r>
    </w:p>
    <w:p w:rsidR="00D661D5" w:rsidRPr="002D3263" w:rsidP="00D6005F" w14:paraId="6DEBAAE0" w14:textId="573112BF">
      <w:pPr>
        <w:pStyle w:val="Caption"/>
      </w:pPr>
      <w:bookmarkStart w:id="64" w:name="_Ref67907800"/>
      <w:bookmarkStart w:id="65" w:name="_Ref15222690"/>
      <w:bookmarkStart w:id="66" w:name="_Toc2095064"/>
      <w:bookmarkStart w:id="67" w:name="_Toc127438091"/>
      <w:bookmarkStart w:id="68" w:name="_Ref417641283"/>
      <w:bookmarkStart w:id="69" w:name="_Ref417641277"/>
      <w:r w:rsidRPr="002D3263">
        <w:t xml:space="preserve">Table </w:t>
      </w:r>
      <w:r w:rsidR="00F903AF">
        <w:fldChar w:fldCharType="begin"/>
      </w:r>
      <w:r w:rsidR="00F903AF">
        <w:instrText xml:space="preserve"> SEQ Table \* ARABIC </w:instrText>
      </w:r>
      <w:r w:rsidR="00F903AF">
        <w:fldChar w:fldCharType="separate"/>
      </w:r>
      <w:r w:rsidR="00E762F5">
        <w:rPr>
          <w:noProof/>
        </w:rPr>
        <w:t>5</w:t>
      </w:r>
      <w:r w:rsidR="00F903AF">
        <w:rPr>
          <w:noProof/>
        </w:rPr>
        <w:fldChar w:fldCharType="end"/>
      </w:r>
      <w:bookmarkEnd w:id="64"/>
      <w:r w:rsidRPr="002D3263">
        <w:t>.</w:t>
      </w:r>
      <w:bookmarkEnd w:id="65"/>
      <w:r w:rsidRPr="002D3263">
        <w:t xml:space="preserve"> Administrative Costs of </w:t>
      </w:r>
      <w:r w:rsidRPr="002D3263">
        <w:t>Reverse Mortgages</w:t>
      </w:r>
      <w:r w:rsidRPr="002D3263">
        <w:t xml:space="preserve"> (All Agencies)</w:t>
      </w:r>
      <w:bookmarkEnd w:id="66"/>
      <w:bookmarkEnd w:id="67"/>
    </w:p>
    <w:tbl>
      <w:tblPr>
        <w:tblW w:w="5940" w:type="dxa"/>
        <w:jc w:val="center"/>
        <w:tblLayout w:type="fixed"/>
        <w:tblLook w:val="04A0"/>
      </w:tblPr>
      <w:tblGrid>
        <w:gridCol w:w="1080"/>
        <w:gridCol w:w="1987"/>
        <w:gridCol w:w="1433"/>
        <w:gridCol w:w="1440"/>
      </w:tblGrid>
      <w:tr w14:paraId="03CDA83D" w14:textId="77777777" w:rsidTr="008A4DC9">
        <w:tblPrEx>
          <w:tblW w:w="5940" w:type="dxa"/>
          <w:jc w:val="center"/>
          <w:tblLayout w:type="fixed"/>
          <w:tblLook w:val="04A0"/>
        </w:tblPrEx>
        <w:trPr>
          <w:trHeight w:val="702"/>
          <w:jc w:val="center"/>
        </w:trPr>
        <w:tc>
          <w:tcPr>
            <w:tcW w:w="1080" w:type="dxa"/>
            <w:tcBorders>
              <w:bottom w:val="single" w:sz="12" w:space="0" w:color="auto"/>
            </w:tcBorders>
            <w:shd w:val="clear" w:color="auto" w:fill="auto"/>
            <w:vAlign w:val="center"/>
            <w:hideMark/>
          </w:tcPr>
          <w:p w:rsidR="00D661D5" w:rsidRPr="002D3263" w:rsidP="0002327A" w14:paraId="050732EA" w14:textId="77777777">
            <w:pPr>
              <w:keepNext/>
              <w:widowControl/>
              <w:spacing w:line="240" w:lineRule="auto"/>
              <w:jc w:val="center"/>
              <w:rPr>
                <w:rFonts w:ascii="Calibri" w:eastAsia="Times New Roman" w:hAnsi="Calibri" w:cs="Times New Roman"/>
                <w:b/>
                <w:color w:val="000000"/>
              </w:rPr>
            </w:pPr>
            <w:r w:rsidRPr="002D3263">
              <w:rPr>
                <w:rFonts w:ascii="Calibri" w:eastAsia="Times New Roman" w:hAnsi="Calibri" w:cs="Times New Roman"/>
                <w:b/>
                <w:color w:val="000000"/>
              </w:rPr>
              <w:t>Year</w:t>
            </w:r>
          </w:p>
        </w:tc>
        <w:tc>
          <w:tcPr>
            <w:tcW w:w="1987" w:type="dxa"/>
            <w:tcBorders>
              <w:bottom w:val="single" w:sz="12" w:space="0" w:color="auto"/>
            </w:tcBorders>
            <w:shd w:val="clear" w:color="auto" w:fill="auto"/>
            <w:vAlign w:val="center"/>
            <w:hideMark/>
          </w:tcPr>
          <w:p w:rsidR="00D661D5" w:rsidRPr="002D3263" w:rsidP="0002327A" w14:paraId="0038DEE7" w14:textId="2BFD1E7E">
            <w:pPr>
              <w:widowControl/>
              <w:jc w:val="center"/>
              <w:rPr>
                <w:rFonts w:ascii="Calibri" w:hAnsi="Calibri" w:cs="Calibri"/>
                <w:b/>
                <w:bCs/>
                <w:color w:val="000000"/>
              </w:rPr>
            </w:pPr>
            <w:r w:rsidRPr="002D3263">
              <w:rPr>
                <w:rFonts w:ascii="Calibri" w:hAnsi="Calibri" w:cs="Calibri"/>
                <w:b/>
                <w:bCs/>
                <w:color w:val="000000"/>
              </w:rPr>
              <w:t>Reverse Mortgag</w:t>
            </w:r>
            <w:r w:rsidRPr="002D3263" w:rsidR="007504A2">
              <w:rPr>
                <w:rFonts w:ascii="Calibri" w:hAnsi="Calibri" w:cs="Calibri"/>
                <w:b/>
                <w:bCs/>
                <w:color w:val="000000"/>
              </w:rPr>
              <w:t>e Administrative Costs (20</w:t>
            </w:r>
            <w:r w:rsidRPr="002D3263" w:rsidR="00093828">
              <w:rPr>
                <w:rFonts w:ascii="Calibri" w:hAnsi="Calibri" w:cs="Calibri"/>
                <w:b/>
                <w:bCs/>
                <w:color w:val="000000"/>
              </w:rPr>
              <w:t>21</w:t>
            </w:r>
            <w:r w:rsidRPr="002D3263" w:rsidR="007504A2">
              <w:rPr>
                <w:rFonts w:ascii="Calibri" w:hAnsi="Calibri" w:cs="Calibri"/>
                <w:b/>
                <w:bCs/>
                <w:color w:val="000000"/>
              </w:rPr>
              <w:t>$)</w:t>
            </w:r>
          </w:p>
        </w:tc>
        <w:tc>
          <w:tcPr>
            <w:tcW w:w="1433" w:type="dxa"/>
            <w:tcBorders>
              <w:bottom w:val="single" w:sz="12" w:space="0" w:color="auto"/>
            </w:tcBorders>
            <w:shd w:val="clear" w:color="auto" w:fill="auto"/>
            <w:vAlign w:val="center"/>
            <w:hideMark/>
          </w:tcPr>
          <w:p w:rsidR="00D661D5" w:rsidRPr="002D3263" w:rsidP="00093828" w14:paraId="20CBF79F" w14:textId="77777777">
            <w:pPr>
              <w:keepNext/>
              <w:widowControl/>
              <w:spacing w:line="240" w:lineRule="auto"/>
              <w:jc w:val="center"/>
              <w:rPr>
                <w:rFonts w:ascii="Calibri" w:eastAsia="Times New Roman" w:hAnsi="Calibri" w:cs="Times New Roman"/>
                <w:b/>
                <w:color w:val="000000"/>
              </w:rPr>
            </w:pPr>
            <w:r w:rsidRPr="002D3263">
              <w:rPr>
                <w:rFonts w:ascii="Calibri" w:eastAsia="Times New Roman" w:hAnsi="Calibri" w:cs="Times New Roman"/>
                <w:b/>
                <w:color w:val="000000"/>
              </w:rPr>
              <w:t>Discounted 7%</w:t>
            </w:r>
          </w:p>
        </w:tc>
        <w:tc>
          <w:tcPr>
            <w:tcW w:w="1440" w:type="dxa"/>
            <w:tcBorders>
              <w:bottom w:val="single" w:sz="12" w:space="0" w:color="auto"/>
            </w:tcBorders>
            <w:shd w:val="clear" w:color="auto" w:fill="auto"/>
            <w:vAlign w:val="center"/>
            <w:hideMark/>
          </w:tcPr>
          <w:p w:rsidR="00D661D5" w:rsidRPr="002D3263" w:rsidP="00D2312D" w14:paraId="4BE74EFA" w14:textId="77777777">
            <w:pPr>
              <w:keepNext/>
              <w:widowControl/>
              <w:spacing w:line="240" w:lineRule="auto"/>
              <w:jc w:val="center"/>
              <w:rPr>
                <w:rFonts w:ascii="Calibri" w:eastAsia="Times New Roman" w:hAnsi="Calibri" w:cs="Times New Roman"/>
                <w:b/>
                <w:color w:val="000000"/>
              </w:rPr>
            </w:pPr>
            <w:r w:rsidRPr="002D3263">
              <w:rPr>
                <w:rFonts w:ascii="Calibri" w:eastAsia="Times New Roman" w:hAnsi="Calibri" w:cs="Times New Roman"/>
                <w:b/>
                <w:color w:val="000000"/>
              </w:rPr>
              <w:t>Discounted 3%</w:t>
            </w:r>
          </w:p>
        </w:tc>
      </w:tr>
      <w:tr w14:paraId="0964D880" w14:textId="77777777" w:rsidTr="00EF4CBB">
        <w:tblPrEx>
          <w:tblW w:w="5940" w:type="dxa"/>
          <w:jc w:val="center"/>
          <w:tblLayout w:type="fixed"/>
          <w:tblLook w:val="04A0"/>
        </w:tblPrEx>
        <w:trPr>
          <w:trHeight w:val="132"/>
          <w:jc w:val="center"/>
        </w:trPr>
        <w:tc>
          <w:tcPr>
            <w:tcW w:w="1080" w:type="dxa"/>
            <w:tcBorders>
              <w:top w:val="single" w:sz="12" w:space="0" w:color="auto"/>
            </w:tcBorders>
            <w:shd w:val="clear" w:color="auto" w:fill="auto"/>
            <w:noWrap/>
            <w:vAlign w:val="bottom"/>
          </w:tcPr>
          <w:p w:rsidR="00093828" w:rsidRPr="002D3263" w:rsidP="00093828" w14:paraId="03BBD05B" w14:textId="2887A00A">
            <w:pPr>
              <w:keepNext/>
              <w:widowControl/>
              <w:jc w:val="center"/>
              <w:rPr>
                <w:rFonts w:ascii="Calibri" w:hAnsi="Calibri"/>
                <w:color w:val="000000"/>
              </w:rPr>
            </w:pPr>
            <w:r w:rsidRPr="002D3263">
              <w:rPr>
                <w:rFonts w:ascii="Calibri" w:hAnsi="Calibri" w:cs="Calibri"/>
                <w:color w:val="000000"/>
              </w:rPr>
              <w:t>2023</w:t>
            </w:r>
          </w:p>
        </w:tc>
        <w:tc>
          <w:tcPr>
            <w:tcW w:w="1987" w:type="dxa"/>
            <w:tcBorders>
              <w:top w:val="single" w:sz="12" w:space="0" w:color="auto"/>
            </w:tcBorders>
            <w:shd w:val="clear" w:color="auto" w:fill="auto"/>
            <w:noWrap/>
            <w:vAlign w:val="bottom"/>
          </w:tcPr>
          <w:p w:rsidR="00093828" w:rsidRPr="002D3263" w:rsidP="00093828" w14:paraId="5734DC45" w14:textId="7613786B">
            <w:pPr>
              <w:keepNext/>
              <w:widowControl/>
              <w:jc w:val="center"/>
              <w:rPr>
                <w:rFonts w:ascii="Calibri" w:hAnsi="Calibri"/>
                <w:color w:val="000000"/>
              </w:rPr>
            </w:pPr>
            <w:r w:rsidRPr="002D3263">
              <w:rPr>
                <w:rFonts w:ascii="Calibri" w:hAnsi="Calibri" w:cs="Calibri"/>
                <w:color w:val="000000"/>
              </w:rPr>
              <w:t>$4,425</w:t>
            </w:r>
          </w:p>
        </w:tc>
        <w:tc>
          <w:tcPr>
            <w:tcW w:w="1433" w:type="dxa"/>
            <w:tcBorders>
              <w:top w:val="single" w:sz="12" w:space="0" w:color="auto"/>
            </w:tcBorders>
            <w:shd w:val="clear" w:color="auto" w:fill="auto"/>
            <w:noWrap/>
            <w:vAlign w:val="bottom"/>
          </w:tcPr>
          <w:p w:rsidR="00093828" w:rsidRPr="002D3263" w:rsidP="00EF4CBB" w14:paraId="21F31929" w14:textId="63FFAA70">
            <w:pPr>
              <w:keepNext/>
              <w:widowControl/>
              <w:jc w:val="center"/>
              <w:rPr>
                <w:rFonts w:ascii="Calibri" w:hAnsi="Calibri"/>
                <w:color w:val="000000"/>
              </w:rPr>
            </w:pPr>
            <w:r w:rsidRPr="002D3263">
              <w:rPr>
                <w:rFonts w:ascii="Calibri" w:hAnsi="Calibri" w:cs="Calibri"/>
                <w:color w:val="000000"/>
              </w:rPr>
              <w:t>$3,865</w:t>
            </w:r>
          </w:p>
        </w:tc>
        <w:tc>
          <w:tcPr>
            <w:tcW w:w="1440" w:type="dxa"/>
            <w:tcBorders>
              <w:top w:val="single" w:sz="12" w:space="0" w:color="auto"/>
            </w:tcBorders>
            <w:shd w:val="clear" w:color="auto" w:fill="auto"/>
            <w:noWrap/>
            <w:vAlign w:val="bottom"/>
          </w:tcPr>
          <w:p w:rsidR="00093828" w:rsidRPr="002D3263" w:rsidP="00EF4CBB" w14:paraId="0619086C" w14:textId="623A7768">
            <w:pPr>
              <w:keepNext/>
              <w:widowControl/>
              <w:jc w:val="center"/>
              <w:rPr>
                <w:rFonts w:ascii="Calibri" w:hAnsi="Calibri"/>
                <w:color w:val="000000"/>
              </w:rPr>
            </w:pPr>
            <w:r w:rsidRPr="002D3263">
              <w:rPr>
                <w:rFonts w:ascii="Calibri" w:hAnsi="Calibri" w:cs="Calibri"/>
                <w:color w:val="000000"/>
              </w:rPr>
              <w:t>$4,171</w:t>
            </w:r>
          </w:p>
        </w:tc>
      </w:tr>
      <w:tr w14:paraId="0A03C82D" w14:textId="77777777" w:rsidTr="00EF4CBB">
        <w:tblPrEx>
          <w:tblW w:w="5940" w:type="dxa"/>
          <w:jc w:val="center"/>
          <w:tblLayout w:type="fixed"/>
          <w:tblLook w:val="04A0"/>
        </w:tblPrEx>
        <w:trPr>
          <w:trHeight w:val="80"/>
          <w:jc w:val="center"/>
        </w:trPr>
        <w:tc>
          <w:tcPr>
            <w:tcW w:w="1080" w:type="dxa"/>
            <w:shd w:val="clear" w:color="auto" w:fill="auto"/>
            <w:noWrap/>
            <w:vAlign w:val="bottom"/>
          </w:tcPr>
          <w:p w:rsidR="00093828" w:rsidRPr="002D3263" w:rsidP="00EF4CBB" w14:paraId="7CD261FD" w14:textId="7803C01F">
            <w:pPr>
              <w:keepNext/>
              <w:widowControl/>
              <w:jc w:val="center"/>
              <w:rPr>
                <w:rFonts w:ascii="Calibri" w:hAnsi="Calibri"/>
                <w:color w:val="000000"/>
              </w:rPr>
            </w:pPr>
            <w:r w:rsidRPr="002D3263">
              <w:rPr>
                <w:rFonts w:ascii="Calibri" w:hAnsi="Calibri" w:cs="Calibri"/>
                <w:color w:val="000000"/>
              </w:rPr>
              <w:t>2024</w:t>
            </w:r>
          </w:p>
        </w:tc>
        <w:tc>
          <w:tcPr>
            <w:tcW w:w="1987" w:type="dxa"/>
            <w:shd w:val="clear" w:color="auto" w:fill="auto"/>
            <w:noWrap/>
            <w:vAlign w:val="bottom"/>
          </w:tcPr>
          <w:p w:rsidR="00093828" w:rsidRPr="002D3263" w:rsidP="00EF4CBB" w14:paraId="2E062FA8" w14:textId="42EE6251">
            <w:pPr>
              <w:keepNext/>
              <w:widowControl/>
              <w:jc w:val="center"/>
              <w:rPr>
                <w:rFonts w:ascii="Calibri" w:hAnsi="Calibri"/>
                <w:color w:val="000000"/>
              </w:rPr>
            </w:pPr>
            <w:r w:rsidRPr="002D3263">
              <w:rPr>
                <w:rFonts w:ascii="Calibri" w:hAnsi="Calibri" w:cs="Calibri"/>
                <w:color w:val="000000"/>
              </w:rPr>
              <w:t>$4,425</w:t>
            </w:r>
          </w:p>
        </w:tc>
        <w:tc>
          <w:tcPr>
            <w:tcW w:w="1433" w:type="dxa"/>
            <w:shd w:val="clear" w:color="auto" w:fill="auto"/>
            <w:noWrap/>
            <w:vAlign w:val="bottom"/>
          </w:tcPr>
          <w:p w:rsidR="00093828" w:rsidRPr="002D3263" w:rsidP="00EF4CBB" w14:paraId="3E5F068A" w14:textId="4E3E9D69">
            <w:pPr>
              <w:keepNext/>
              <w:widowControl/>
              <w:jc w:val="center"/>
              <w:rPr>
                <w:rFonts w:ascii="Calibri" w:hAnsi="Calibri"/>
                <w:color w:val="000000"/>
              </w:rPr>
            </w:pPr>
            <w:r w:rsidRPr="002D3263">
              <w:rPr>
                <w:rFonts w:ascii="Calibri" w:hAnsi="Calibri" w:cs="Calibri"/>
                <w:color w:val="000000"/>
              </w:rPr>
              <w:t>$3,612</w:t>
            </w:r>
          </w:p>
        </w:tc>
        <w:tc>
          <w:tcPr>
            <w:tcW w:w="1440" w:type="dxa"/>
            <w:shd w:val="clear" w:color="auto" w:fill="auto"/>
            <w:noWrap/>
            <w:vAlign w:val="bottom"/>
          </w:tcPr>
          <w:p w:rsidR="00093828" w:rsidRPr="002D3263" w:rsidP="00EF4CBB" w14:paraId="5E8AB30C" w14:textId="532992C5">
            <w:pPr>
              <w:keepNext/>
              <w:widowControl/>
              <w:jc w:val="center"/>
              <w:rPr>
                <w:rFonts w:ascii="Calibri" w:hAnsi="Calibri"/>
                <w:color w:val="000000"/>
              </w:rPr>
            </w:pPr>
            <w:r w:rsidRPr="002D3263">
              <w:rPr>
                <w:rFonts w:ascii="Calibri" w:hAnsi="Calibri" w:cs="Calibri"/>
                <w:color w:val="000000"/>
              </w:rPr>
              <w:t>$4,050</w:t>
            </w:r>
          </w:p>
        </w:tc>
      </w:tr>
      <w:tr w14:paraId="516CD78A" w14:textId="77777777" w:rsidTr="00EF4CBB">
        <w:tblPrEx>
          <w:tblW w:w="5940" w:type="dxa"/>
          <w:jc w:val="center"/>
          <w:tblLayout w:type="fixed"/>
          <w:tblLook w:val="04A0"/>
        </w:tblPrEx>
        <w:trPr>
          <w:trHeight w:val="80"/>
          <w:jc w:val="center"/>
        </w:trPr>
        <w:tc>
          <w:tcPr>
            <w:tcW w:w="1080" w:type="dxa"/>
            <w:shd w:val="clear" w:color="auto" w:fill="auto"/>
            <w:noWrap/>
            <w:vAlign w:val="bottom"/>
          </w:tcPr>
          <w:p w:rsidR="00093828" w:rsidRPr="002D3263" w:rsidP="00EF4CBB" w14:paraId="4E2320A4" w14:textId="7CF0704C">
            <w:pPr>
              <w:keepNext/>
              <w:widowControl/>
              <w:jc w:val="center"/>
              <w:rPr>
                <w:rFonts w:ascii="Calibri" w:hAnsi="Calibri"/>
                <w:color w:val="000000"/>
              </w:rPr>
            </w:pPr>
            <w:r w:rsidRPr="002D3263">
              <w:rPr>
                <w:rFonts w:ascii="Calibri" w:hAnsi="Calibri" w:cs="Calibri"/>
                <w:color w:val="000000"/>
              </w:rPr>
              <w:t>2025</w:t>
            </w:r>
          </w:p>
        </w:tc>
        <w:tc>
          <w:tcPr>
            <w:tcW w:w="1987" w:type="dxa"/>
            <w:shd w:val="clear" w:color="auto" w:fill="auto"/>
            <w:noWrap/>
            <w:vAlign w:val="bottom"/>
          </w:tcPr>
          <w:p w:rsidR="00093828" w:rsidRPr="002D3263" w:rsidP="00EF4CBB" w14:paraId="34A8198E" w14:textId="2F11008E">
            <w:pPr>
              <w:keepNext/>
              <w:widowControl/>
              <w:jc w:val="center"/>
              <w:rPr>
                <w:rFonts w:ascii="Calibri" w:hAnsi="Calibri"/>
                <w:color w:val="000000"/>
              </w:rPr>
            </w:pPr>
            <w:r w:rsidRPr="002D3263">
              <w:rPr>
                <w:rFonts w:ascii="Calibri" w:hAnsi="Calibri" w:cs="Calibri"/>
                <w:color w:val="000000"/>
              </w:rPr>
              <w:t>$4,425</w:t>
            </w:r>
          </w:p>
        </w:tc>
        <w:tc>
          <w:tcPr>
            <w:tcW w:w="1433" w:type="dxa"/>
            <w:shd w:val="clear" w:color="auto" w:fill="auto"/>
            <w:noWrap/>
            <w:vAlign w:val="bottom"/>
          </w:tcPr>
          <w:p w:rsidR="00093828" w:rsidRPr="002D3263" w:rsidP="00EF4CBB" w14:paraId="2FE93E98" w14:textId="3A4F259F">
            <w:pPr>
              <w:keepNext/>
              <w:widowControl/>
              <w:jc w:val="center"/>
              <w:rPr>
                <w:rFonts w:ascii="Calibri" w:hAnsi="Calibri"/>
                <w:color w:val="000000"/>
              </w:rPr>
            </w:pPr>
            <w:r w:rsidRPr="002D3263">
              <w:rPr>
                <w:rFonts w:ascii="Calibri" w:hAnsi="Calibri" w:cs="Calibri"/>
                <w:color w:val="000000"/>
              </w:rPr>
              <w:t>$3,376</w:t>
            </w:r>
          </w:p>
        </w:tc>
        <w:tc>
          <w:tcPr>
            <w:tcW w:w="1440" w:type="dxa"/>
            <w:shd w:val="clear" w:color="auto" w:fill="auto"/>
            <w:noWrap/>
            <w:vAlign w:val="bottom"/>
          </w:tcPr>
          <w:p w:rsidR="00093828" w:rsidRPr="002D3263" w:rsidP="00EF4CBB" w14:paraId="2213172D" w14:textId="09631D08">
            <w:pPr>
              <w:keepNext/>
              <w:widowControl/>
              <w:jc w:val="center"/>
              <w:rPr>
                <w:rFonts w:ascii="Calibri" w:hAnsi="Calibri"/>
                <w:color w:val="000000"/>
              </w:rPr>
            </w:pPr>
            <w:r w:rsidRPr="002D3263">
              <w:rPr>
                <w:rFonts w:ascii="Calibri" w:hAnsi="Calibri" w:cs="Calibri"/>
                <w:color w:val="000000"/>
              </w:rPr>
              <w:t>$3,932</w:t>
            </w:r>
          </w:p>
        </w:tc>
      </w:tr>
      <w:tr w14:paraId="6109E81D" w14:textId="77777777" w:rsidTr="00EF4CBB">
        <w:tblPrEx>
          <w:tblW w:w="5940" w:type="dxa"/>
          <w:jc w:val="center"/>
          <w:tblLayout w:type="fixed"/>
          <w:tblLook w:val="04A0"/>
        </w:tblPrEx>
        <w:trPr>
          <w:trHeight w:val="80"/>
          <w:jc w:val="center"/>
        </w:trPr>
        <w:tc>
          <w:tcPr>
            <w:tcW w:w="1080" w:type="dxa"/>
            <w:shd w:val="clear" w:color="auto" w:fill="auto"/>
            <w:noWrap/>
            <w:vAlign w:val="bottom"/>
          </w:tcPr>
          <w:p w:rsidR="00093828" w:rsidRPr="002D3263" w:rsidP="00EF4CBB" w14:paraId="579599D4" w14:textId="3A5D6E55">
            <w:pPr>
              <w:keepNext/>
              <w:widowControl/>
              <w:jc w:val="center"/>
              <w:rPr>
                <w:rFonts w:ascii="Calibri" w:hAnsi="Calibri"/>
                <w:color w:val="000000"/>
              </w:rPr>
            </w:pPr>
            <w:r w:rsidRPr="002D3263">
              <w:rPr>
                <w:rFonts w:ascii="Calibri" w:hAnsi="Calibri" w:cs="Calibri"/>
                <w:color w:val="000000"/>
              </w:rPr>
              <w:t>2026</w:t>
            </w:r>
          </w:p>
        </w:tc>
        <w:tc>
          <w:tcPr>
            <w:tcW w:w="1987" w:type="dxa"/>
            <w:shd w:val="clear" w:color="auto" w:fill="auto"/>
            <w:noWrap/>
            <w:vAlign w:val="bottom"/>
          </w:tcPr>
          <w:p w:rsidR="00093828" w:rsidRPr="002D3263" w:rsidP="00EF4CBB" w14:paraId="213B4BE9" w14:textId="2D5E9616">
            <w:pPr>
              <w:keepNext/>
              <w:widowControl/>
              <w:jc w:val="center"/>
              <w:rPr>
                <w:rFonts w:ascii="Calibri" w:hAnsi="Calibri"/>
                <w:color w:val="000000"/>
              </w:rPr>
            </w:pPr>
            <w:r w:rsidRPr="002D3263">
              <w:rPr>
                <w:rFonts w:ascii="Calibri" w:hAnsi="Calibri" w:cs="Calibri"/>
                <w:color w:val="000000"/>
              </w:rPr>
              <w:t>$4,425</w:t>
            </w:r>
          </w:p>
        </w:tc>
        <w:tc>
          <w:tcPr>
            <w:tcW w:w="1433" w:type="dxa"/>
            <w:shd w:val="clear" w:color="auto" w:fill="auto"/>
            <w:noWrap/>
            <w:vAlign w:val="bottom"/>
          </w:tcPr>
          <w:p w:rsidR="00093828" w:rsidRPr="002D3263" w:rsidP="00EF4CBB" w14:paraId="7ADBE0B7" w14:textId="20B0905A">
            <w:pPr>
              <w:keepNext/>
              <w:widowControl/>
              <w:jc w:val="center"/>
              <w:rPr>
                <w:rFonts w:ascii="Calibri" w:hAnsi="Calibri"/>
                <w:color w:val="000000"/>
              </w:rPr>
            </w:pPr>
            <w:r w:rsidRPr="002D3263">
              <w:rPr>
                <w:rFonts w:ascii="Calibri" w:hAnsi="Calibri" w:cs="Calibri"/>
                <w:color w:val="000000"/>
              </w:rPr>
              <w:t>$3,155</w:t>
            </w:r>
          </w:p>
        </w:tc>
        <w:tc>
          <w:tcPr>
            <w:tcW w:w="1440" w:type="dxa"/>
            <w:shd w:val="clear" w:color="auto" w:fill="auto"/>
            <w:noWrap/>
            <w:vAlign w:val="bottom"/>
          </w:tcPr>
          <w:p w:rsidR="00093828" w:rsidRPr="002D3263" w:rsidP="00EF4CBB" w14:paraId="6048B9B9" w14:textId="309E95AD">
            <w:pPr>
              <w:keepNext/>
              <w:widowControl/>
              <w:jc w:val="center"/>
              <w:rPr>
                <w:rFonts w:ascii="Calibri" w:hAnsi="Calibri"/>
                <w:color w:val="000000"/>
              </w:rPr>
            </w:pPr>
            <w:r w:rsidRPr="002D3263">
              <w:rPr>
                <w:rFonts w:ascii="Calibri" w:hAnsi="Calibri" w:cs="Calibri"/>
                <w:color w:val="000000"/>
              </w:rPr>
              <w:t>$3,817</w:t>
            </w:r>
          </w:p>
        </w:tc>
      </w:tr>
      <w:tr w14:paraId="7172D411" w14:textId="77777777" w:rsidTr="00EF4CBB">
        <w:tblPrEx>
          <w:tblW w:w="5940" w:type="dxa"/>
          <w:jc w:val="center"/>
          <w:tblLayout w:type="fixed"/>
          <w:tblLook w:val="04A0"/>
        </w:tblPrEx>
        <w:trPr>
          <w:trHeight w:val="80"/>
          <w:jc w:val="center"/>
        </w:trPr>
        <w:tc>
          <w:tcPr>
            <w:tcW w:w="1080" w:type="dxa"/>
            <w:shd w:val="clear" w:color="auto" w:fill="auto"/>
            <w:noWrap/>
            <w:vAlign w:val="bottom"/>
          </w:tcPr>
          <w:p w:rsidR="00093828" w:rsidRPr="002D3263" w:rsidP="00EF4CBB" w14:paraId="541A8EAE" w14:textId="4EE0E48A">
            <w:pPr>
              <w:keepNext/>
              <w:widowControl/>
              <w:jc w:val="center"/>
              <w:rPr>
                <w:rFonts w:ascii="Calibri" w:hAnsi="Calibri"/>
                <w:color w:val="000000"/>
              </w:rPr>
            </w:pPr>
            <w:r w:rsidRPr="002D3263">
              <w:rPr>
                <w:rFonts w:ascii="Calibri" w:hAnsi="Calibri" w:cs="Calibri"/>
                <w:color w:val="000000"/>
              </w:rPr>
              <w:t>2027</w:t>
            </w:r>
          </w:p>
        </w:tc>
        <w:tc>
          <w:tcPr>
            <w:tcW w:w="1987" w:type="dxa"/>
            <w:shd w:val="clear" w:color="auto" w:fill="auto"/>
            <w:noWrap/>
            <w:vAlign w:val="bottom"/>
          </w:tcPr>
          <w:p w:rsidR="00093828" w:rsidRPr="002D3263" w:rsidP="00EF4CBB" w14:paraId="19E08381" w14:textId="24AC620B">
            <w:pPr>
              <w:keepNext/>
              <w:widowControl/>
              <w:jc w:val="center"/>
              <w:rPr>
                <w:rFonts w:ascii="Calibri" w:hAnsi="Calibri"/>
                <w:color w:val="000000"/>
              </w:rPr>
            </w:pPr>
            <w:r w:rsidRPr="002D3263">
              <w:rPr>
                <w:rFonts w:ascii="Calibri" w:hAnsi="Calibri" w:cs="Calibri"/>
                <w:color w:val="000000"/>
              </w:rPr>
              <w:t>$4,425</w:t>
            </w:r>
          </w:p>
        </w:tc>
        <w:tc>
          <w:tcPr>
            <w:tcW w:w="1433" w:type="dxa"/>
            <w:shd w:val="clear" w:color="auto" w:fill="auto"/>
            <w:noWrap/>
            <w:vAlign w:val="bottom"/>
          </w:tcPr>
          <w:p w:rsidR="00093828" w:rsidRPr="002D3263" w:rsidP="00EF4CBB" w14:paraId="55219A9E" w14:textId="043A06A8">
            <w:pPr>
              <w:keepNext/>
              <w:widowControl/>
              <w:jc w:val="center"/>
              <w:rPr>
                <w:rFonts w:ascii="Calibri" w:hAnsi="Calibri"/>
                <w:color w:val="000000"/>
              </w:rPr>
            </w:pPr>
            <w:r w:rsidRPr="002D3263">
              <w:rPr>
                <w:rFonts w:ascii="Calibri" w:hAnsi="Calibri" w:cs="Calibri"/>
                <w:color w:val="000000"/>
              </w:rPr>
              <w:t>$2,949</w:t>
            </w:r>
          </w:p>
        </w:tc>
        <w:tc>
          <w:tcPr>
            <w:tcW w:w="1440" w:type="dxa"/>
            <w:shd w:val="clear" w:color="auto" w:fill="auto"/>
            <w:noWrap/>
            <w:vAlign w:val="bottom"/>
          </w:tcPr>
          <w:p w:rsidR="00093828" w:rsidRPr="002D3263" w:rsidP="00EF4CBB" w14:paraId="0535866E" w14:textId="411E1986">
            <w:pPr>
              <w:keepNext/>
              <w:widowControl/>
              <w:jc w:val="center"/>
              <w:rPr>
                <w:rFonts w:ascii="Calibri" w:hAnsi="Calibri"/>
                <w:color w:val="000000"/>
              </w:rPr>
            </w:pPr>
            <w:r w:rsidRPr="002D3263">
              <w:rPr>
                <w:rFonts w:ascii="Calibri" w:hAnsi="Calibri" w:cs="Calibri"/>
                <w:color w:val="000000"/>
              </w:rPr>
              <w:t>$3,706</w:t>
            </w:r>
          </w:p>
        </w:tc>
      </w:tr>
      <w:tr w14:paraId="5ACEDAAA" w14:textId="77777777" w:rsidTr="00EF4CBB">
        <w:tblPrEx>
          <w:tblW w:w="5940" w:type="dxa"/>
          <w:jc w:val="center"/>
          <w:tblLayout w:type="fixed"/>
          <w:tblLook w:val="04A0"/>
        </w:tblPrEx>
        <w:trPr>
          <w:trHeight w:val="80"/>
          <w:jc w:val="center"/>
        </w:trPr>
        <w:tc>
          <w:tcPr>
            <w:tcW w:w="1080" w:type="dxa"/>
            <w:shd w:val="clear" w:color="auto" w:fill="auto"/>
            <w:noWrap/>
            <w:vAlign w:val="bottom"/>
          </w:tcPr>
          <w:p w:rsidR="00093828" w:rsidRPr="002D3263" w:rsidP="00EF4CBB" w14:paraId="5D3E9386" w14:textId="3AC5EFE3">
            <w:pPr>
              <w:keepNext/>
              <w:widowControl/>
              <w:jc w:val="center"/>
              <w:rPr>
                <w:rFonts w:ascii="Calibri" w:hAnsi="Calibri"/>
                <w:color w:val="000000"/>
              </w:rPr>
            </w:pPr>
            <w:r w:rsidRPr="002D3263">
              <w:rPr>
                <w:rFonts w:ascii="Calibri" w:hAnsi="Calibri" w:cs="Calibri"/>
                <w:color w:val="000000"/>
              </w:rPr>
              <w:t>2028</w:t>
            </w:r>
          </w:p>
        </w:tc>
        <w:tc>
          <w:tcPr>
            <w:tcW w:w="1987" w:type="dxa"/>
            <w:shd w:val="clear" w:color="auto" w:fill="auto"/>
            <w:noWrap/>
            <w:vAlign w:val="bottom"/>
          </w:tcPr>
          <w:p w:rsidR="00093828" w:rsidRPr="002D3263" w:rsidP="00EF4CBB" w14:paraId="44AE658E" w14:textId="5690B8DF">
            <w:pPr>
              <w:keepNext/>
              <w:widowControl/>
              <w:jc w:val="center"/>
              <w:rPr>
                <w:rFonts w:ascii="Calibri" w:hAnsi="Calibri"/>
                <w:color w:val="000000"/>
              </w:rPr>
            </w:pPr>
            <w:r w:rsidRPr="002D3263">
              <w:rPr>
                <w:rFonts w:ascii="Calibri" w:hAnsi="Calibri" w:cs="Calibri"/>
                <w:color w:val="000000"/>
              </w:rPr>
              <w:t>$4,425</w:t>
            </w:r>
          </w:p>
        </w:tc>
        <w:tc>
          <w:tcPr>
            <w:tcW w:w="1433" w:type="dxa"/>
            <w:shd w:val="clear" w:color="auto" w:fill="auto"/>
            <w:noWrap/>
            <w:vAlign w:val="bottom"/>
          </w:tcPr>
          <w:p w:rsidR="00093828" w:rsidRPr="002D3263" w:rsidP="00EF4CBB" w14:paraId="717AC54F" w14:textId="091121F3">
            <w:pPr>
              <w:keepNext/>
              <w:widowControl/>
              <w:jc w:val="center"/>
              <w:rPr>
                <w:rFonts w:ascii="Calibri" w:hAnsi="Calibri"/>
                <w:color w:val="000000"/>
              </w:rPr>
            </w:pPr>
            <w:r w:rsidRPr="002D3263">
              <w:rPr>
                <w:rFonts w:ascii="Calibri" w:hAnsi="Calibri" w:cs="Calibri"/>
                <w:color w:val="000000"/>
              </w:rPr>
              <w:t>$2,756</w:t>
            </w:r>
          </w:p>
        </w:tc>
        <w:tc>
          <w:tcPr>
            <w:tcW w:w="1440" w:type="dxa"/>
            <w:shd w:val="clear" w:color="auto" w:fill="auto"/>
            <w:noWrap/>
            <w:vAlign w:val="bottom"/>
          </w:tcPr>
          <w:p w:rsidR="00093828" w:rsidRPr="002D3263" w:rsidP="00EF4CBB" w14:paraId="0DF067E8" w14:textId="71502012">
            <w:pPr>
              <w:keepNext/>
              <w:widowControl/>
              <w:jc w:val="center"/>
              <w:rPr>
                <w:rFonts w:ascii="Calibri" w:hAnsi="Calibri"/>
                <w:color w:val="000000"/>
              </w:rPr>
            </w:pPr>
            <w:r w:rsidRPr="002D3263">
              <w:rPr>
                <w:rFonts w:ascii="Calibri" w:hAnsi="Calibri" w:cs="Calibri"/>
                <w:color w:val="000000"/>
              </w:rPr>
              <w:t>$3,598</w:t>
            </w:r>
          </w:p>
        </w:tc>
      </w:tr>
      <w:tr w14:paraId="342220B6" w14:textId="77777777" w:rsidTr="00EF4CBB">
        <w:tblPrEx>
          <w:tblW w:w="5940" w:type="dxa"/>
          <w:jc w:val="center"/>
          <w:tblLayout w:type="fixed"/>
          <w:tblLook w:val="04A0"/>
        </w:tblPrEx>
        <w:trPr>
          <w:trHeight w:val="80"/>
          <w:jc w:val="center"/>
        </w:trPr>
        <w:tc>
          <w:tcPr>
            <w:tcW w:w="1080" w:type="dxa"/>
            <w:shd w:val="clear" w:color="auto" w:fill="auto"/>
            <w:noWrap/>
            <w:vAlign w:val="bottom"/>
          </w:tcPr>
          <w:p w:rsidR="00093828" w:rsidRPr="002D3263" w:rsidP="00EF4CBB" w14:paraId="4CA78C1D" w14:textId="29EB469B">
            <w:pPr>
              <w:keepNext/>
              <w:widowControl/>
              <w:jc w:val="center"/>
              <w:rPr>
                <w:rFonts w:ascii="Calibri" w:hAnsi="Calibri"/>
                <w:color w:val="000000"/>
              </w:rPr>
            </w:pPr>
            <w:r w:rsidRPr="002D3263">
              <w:rPr>
                <w:rFonts w:ascii="Calibri" w:hAnsi="Calibri" w:cs="Calibri"/>
                <w:color w:val="000000"/>
              </w:rPr>
              <w:t>2029</w:t>
            </w:r>
          </w:p>
        </w:tc>
        <w:tc>
          <w:tcPr>
            <w:tcW w:w="1987" w:type="dxa"/>
            <w:shd w:val="clear" w:color="auto" w:fill="auto"/>
            <w:noWrap/>
            <w:vAlign w:val="bottom"/>
          </w:tcPr>
          <w:p w:rsidR="00093828" w:rsidRPr="002D3263" w:rsidP="00EF4CBB" w14:paraId="52B72500" w14:textId="420069B9">
            <w:pPr>
              <w:keepNext/>
              <w:widowControl/>
              <w:jc w:val="center"/>
              <w:rPr>
                <w:rFonts w:ascii="Calibri" w:hAnsi="Calibri"/>
                <w:color w:val="000000"/>
              </w:rPr>
            </w:pPr>
            <w:r w:rsidRPr="002D3263">
              <w:rPr>
                <w:rFonts w:ascii="Calibri" w:hAnsi="Calibri" w:cs="Calibri"/>
                <w:color w:val="000000"/>
              </w:rPr>
              <w:t>$4,425</w:t>
            </w:r>
          </w:p>
        </w:tc>
        <w:tc>
          <w:tcPr>
            <w:tcW w:w="1433" w:type="dxa"/>
            <w:shd w:val="clear" w:color="auto" w:fill="auto"/>
            <w:noWrap/>
            <w:vAlign w:val="bottom"/>
          </w:tcPr>
          <w:p w:rsidR="00093828" w:rsidRPr="002D3263" w:rsidP="00EF4CBB" w14:paraId="5713637D" w14:textId="24E4A7A4">
            <w:pPr>
              <w:keepNext/>
              <w:widowControl/>
              <w:jc w:val="center"/>
              <w:rPr>
                <w:rFonts w:ascii="Calibri" w:hAnsi="Calibri"/>
                <w:color w:val="000000"/>
              </w:rPr>
            </w:pPr>
            <w:r w:rsidRPr="002D3263">
              <w:rPr>
                <w:rFonts w:ascii="Calibri" w:hAnsi="Calibri" w:cs="Calibri"/>
                <w:color w:val="000000"/>
              </w:rPr>
              <w:t>$2,575</w:t>
            </w:r>
          </w:p>
        </w:tc>
        <w:tc>
          <w:tcPr>
            <w:tcW w:w="1440" w:type="dxa"/>
            <w:shd w:val="clear" w:color="auto" w:fill="auto"/>
            <w:noWrap/>
            <w:vAlign w:val="bottom"/>
          </w:tcPr>
          <w:p w:rsidR="00093828" w:rsidRPr="002D3263" w:rsidP="00EF4CBB" w14:paraId="1DDCA13B" w14:textId="72FFF25A">
            <w:pPr>
              <w:keepNext/>
              <w:widowControl/>
              <w:jc w:val="center"/>
              <w:rPr>
                <w:rFonts w:ascii="Calibri" w:hAnsi="Calibri"/>
                <w:color w:val="000000"/>
              </w:rPr>
            </w:pPr>
            <w:r w:rsidRPr="002D3263">
              <w:rPr>
                <w:rFonts w:ascii="Calibri" w:hAnsi="Calibri" w:cs="Calibri"/>
                <w:color w:val="000000"/>
              </w:rPr>
              <w:t>$3,493</w:t>
            </w:r>
          </w:p>
        </w:tc>
      </w:tr>
      <w:tr w14:paraId="4445C59D" w14:textId="77777777" w:rsidTr="00EF4CBB">
        <w:tblPrEx>
          <w:tblW w:w="5940" w:type="dxa"/>
          <w:jc w:val="center"/>
          <w:tblLayout w:type="fixed"/>
          <w:tblLook w:val="04A0"/>
        </w:tblPrEx>
        <w:trPr>
          <w:trHeight w:val="80"/>
          <w:jc w:val="center"/>
        </w:trPr>
        <w:tc>
          <w:tcPr>
            <w:tcW w:w="1080" w:type="dxa"/>
            <w:shd w:val="clear" w:color="auto" w:fill="auto"/>
            <w:noWrap/>
            <w:vAlign w:val="bottom"/>
          </w:tcPr>
          <w:p w:rsidR="00093828" w:rsidRPr="002D3263" w:rsidP="00EF4CBB" w14:paraId="1C4DBC83" w14:textId="6001543D">
            <w:pPr>
              <w:keepNext/>
              <w:widowControl/>
              <w:jc w:val="center"/>
              <w:rPr>
                <w:rFonts w:ascii="Calibri" w:hAnsi="Calibri"/>
                <w:color w:val="000000"/>
              </w:rPr>
            </w:pPr>
            <w:r w:rsidRPr="002D3263">
              <w:rPr>
                <w:rFonts w:ascii="Calibri" w:hAnsi="Calibri" w:cs="Calibri"/>
                <w:color w:val="000000"/>
              </w:rPr>
              <w:t>2030</w:t>
            </w:r>
          </w:p>
        </w:tc>
        <w:tc>
          <w:tcPr>
            <w:tcW w:w="1987" w:type="dxa"/>
            <w:shd w:val="clear" w:color="auto" w:fill="auto"/>
            <w:noWrap/>
            <w:vAlign w:val="bottom"/>
          </w:tcPr>
          <w:p w:rsidR="00093828" w:rsidRPr="002D3263" w:rsidP="00EF4CBB" w14:paraId="6D45B19F" w14:textId="2E099794">
            <w:pPr>
              <w:keepNext/>
              <w:widowControl/>
              <w:jc w:val="center"/>
              <w:rPr>
                <w:rFonts w:ascii="Calibri" w:hAnsi="Calibri"/>
                <w:color w:val="000000"/>
              </w:rPr>
            </w:pPr>
            <w:r w:rsidRPr="002D3263">
              <w:rPr>
                <w:rFonts w:ascii="Calibri" w:hAnsi="Calibri" w:cs="Calibri"/>
                <w:color w:val="000000"/>
              </w:rPr>
              <w:t>$4,425</w:t>
            </w:r>
          </w:p>
        </w:tc>
        <w:tc>
          <w:tcPr>
            <w:tcW w:w="1433" w:type="dxa"/>
            <w:shd w:val="clear" w:color="auto" w:fill="auto"/>
            <w:noWrap/>
            <w:vAlign w:val="bottom"/>
          </w:tcPr>
          <w:p w:rsidR="00093828" w:rsidRPr="002D3263" w:rsidP="00EF4CBB" w14:paraId="25BC1E45" w14:textId="4108E66D">
            <w:pPr>
              <w:keepNext/>
              <w:widowControl/>
              <w:jc w:val="center"/>
              <w:rPr>
                <w:rFonts w:ascii="Calibri" w:hAnsi="Calibri"/>
                <w:color w:val="000000"/>
              </w:rPr>
            </w:pPr>
            <w:r w:rsidRPr="002D3263">
              <w:rPr>
                <w:rFonts w:ascii="Calibri" w:hAnsi="Calibri" w:cs="Calibri"/>
                <w:color w:val="000000"/>
              </w:rPr>
              <w:t>$2,407</w:t>
            </w:r>
          </w:p>
        </w:tc>
        <w:tc>
          <w:tcPr>
            <w:tcW w:w="1440" w:type="dxa"/>
            <w:shd w:val="clear" w:color="auto" w:fill="auto"/>
            <w:noWrap/>
            <w:vAlign w:val="bottom"/>
          </w:tcPr>
          <w:p w:rsidR="00093828" w:rsidRPr="002D3263" w:rsidP="00EF4CBB" w14:paraId="3CE1FA22" w14:textId="0D7CBF63">
            <w:pPr>
              <w:keepNext/>
              <w:widowControl/>
              <w:jc w:val="center"/>
              <w:rPr>
                <w:rFonts w:ascii="Calibri" w:hAnsi="Calibri"/>
                <w:color w:val="000000"/>
              </w:rPr>
            </w:pPr>
            <w:r w:rsidRPr="002D3263">
              <w:rPr>
                <w:rFonts w:ascii="Calibri" w:hAnsi="Calibri" w:cs="Calibri"/>
                <w:color w:val="000000"/>
              </w:rPr>
              <w:t>$3,391</w:t>
            </w:r>
          </w:p>
        </w:tc>
      </w:tr>
      <w:tr w14:paraId="77EE6988" w14:textId="77777777" w:rsidTr="00EF4CBB">
        <w:tblPrEx>
          <w:tblW w:w="5940" w:type="dxa"/>
          <w:jc w:val="center"/>
          <w:tblLayout w:type="fixed"/>
          <w:tblLook w:val="04A0"/>
        </w:tblPrEx>
        <w:trPr>
          <w:trHeight w:val="117"/>
          <w:jc w:val="center"/>
        </w:trPr>
        <w:tc>
          <w:tcPr>
            <w:tcW w:w="1080" w:type="dxa"/>
            <w:shd w:val="clear" w:color="auto" w:fill="auto"/>
            <w:noWrap/>
            <w:vAlign w:val="bottom"/>
          </w:tcPr>
          <w:p w:rsidR="00093828" w:rsidRPr="002D3263" w:rsidP="00EF4CBB" w14:paraId="43BAFB04" w14:textId="05C70000">
            <w:pPr>
              <w:keepNext/>
              <w:widowControl/>
              <w:jc w:val="center"/>
              <w:rPr>
                <w:rFonts w:ascii="Calibri" w:hAnsi="Calibri"/>
                <w:color w:val="000000"/>
              </w:rPr>
            </w:pPr>
            <w:r w:rsidRPr="002D3263">
              <w:rPr>
                <w:rFonts w:ascii="Calibri" w:hAnsi="Calibri" w:cs="Calibri"/>
                <w:color w:val="000000"/>
              </w:rPr>
              <w:t>2031</w:t>
            </w:r>
          </w:p>
        </w:tc>
        <w:tc>
          <w:tcPr>
            <w:tcW w:w="1987" w:type="dxa"/>
            <w:shd w:val="clear" w:color="auto" w:fill="auto"/>
            <w:noWrap/>
            <w:vAlign w:val="bottom"/>
          </w:tcPr>
          <w:p w:rsidR="00093828" w:rsidRPr="002D3263" w:rsidP="00EF4CBB" w14:paraId="773CA044" w14:textId="3E57BAF8">
            <w:pPr>
              <w:keepNext/>
              <w:widowControl/>
              <w:jc w:val="center"/>
              <w:rPr>
                <w:rFonts w:ascii="Calibri" w:hAnsi="Calibri"/>
                <w:color w:val="000000"/>
              </w:rPr>
            </w:pPr>
            <w:r w:rsidRPr="002D3263">
              <w:rPr>
                <w:rFonts w:ascii="Calibri" w:hAnsi="Calibri" w:cs="Calibri"/>
                <w:color w:val="000000"/>
              </w:rPr>
              <w:t>$4,425</w:t>
            </w:r>
          </w:p>
        </w:tc>
        <w:tc>
          <w:tcPr>
            <w:tcW w:w="1433" w:type="dxa"/>
            <w:shd w:val="clear" w:color="auto" w:fill="auto"/>
            <w:noWrap/>
            <w:vAlign w:val="bottom"/>
          </w:tcPr>
          <w:p w:rsidR="00093828" w:rsidRPr="002D3263" w:rsidP="00EF4CBB" w14:paraId="6BDD4C68" w14:textId="46AC940F">
            <w:pPr>
              <w:keepNext/>
              <w:widowControl/>
              <w:jc w:val="center"/>
              <w:rPr>
                <w:rFonts w:ascii="Calibri" w:hAnsi="Calibri"/>
                <w:color w:val="000000"/>
              </w:rPr>
            </w:pPr>
            <w:r w:rsidRPr="002D3263">
              <w:rPr>
                <w:rFonts w:ascii="Calibri" w:hAnsi="Calibri" w:cs="Calibri"/>
                <w:color w:val="000000"/>
              </w:rPr>
              <w:t>$2,249</w:t>
            </w:r>
          </w:p>
        </w:tc>
        <w:tc>
          <w:tcPr>
            <w:tcW w:w="1440" w:type="dxa"/>
            <w:shd w:val="clear" w:color="auto" w:fill="auto"/>
            <w:noWrap/>
            <w:vAlign w:val="bottom"/>
          </w:tcPr>
          <w:p w:rsidR="00093828" w:rsidRPr="002D3263" w:rsidP="00EF4CBB" w14:paraId="23C92DCA" w14:textId="65B8E6BA">
            <w:pPr>
              <w:keepNext/>
              <w:widowControl/>
              <w:jc w:val="center"/>
              <w:rPr>
                <w:rFonts w:ascii="Calibri" w:hAnsi="Calibri"/>
                <w:color w:val="000000"/>
              </w:rPr>
            </w:pPr>
            <w:r w:rsidRPr="002D3263">
              <w:rPr>
                <w:rFonts w:ascii="Calibri" w:hAnsi="Calibri" w:cs="Calibri"/>
                <w:color w:val="000000"/>
              </w:rPr>
              <w:t>$3,293</w:t>
            </w:r>
          </w:p>
        </w:tc>
      </w:tr>
      <w:tr w14:paraId="4D7C4442" w14:textId="77777777" w:rsidTr="00EF4CBB">
        <w:tblPrEx>
          <w:tblW w:w="5940" w:type="dxa"/>
          <w:jc w:val="center"/>
          <w:tblLayout w:type="fixed"/>
          <w:tblLook w:val="04A0"/>
        </w:tblPrEx>
        <w:trPr>
          <w:trHeight w:val="80"/>
          <w:jc w:val="center"/>
        </w:trPr>
        <w:tc>
          <w:tcPr>
            <w:tcW w:w="1080" w:type="dxa"/>
            <w:shd w:val="clear" w:color="auto" w:fill="auto"/>
            <w:noWrap/>
            <w:vAlign w:val="bottom"/>
          </w:tcPr>
          <w:p w:rsidR="00093828" w:rsidRPr="002D3263" w:rsidP="00EF4CBB" w14:paraId="10538DBB" w14:textId="01786144">
            <w:pPr>
              <w:keepNext/>
              <w:widowControl/>
              <w:jc w:val="center"/>
              <w:rPr>
                <w:rFonts w:ascii="Calibri" w:hAnsi="Calibri"/>
                <w:color w:val="000000"/>
              </w:rPr>
            </w:pPr>
            <w:r w:rsidRPr="002D3263">
              <w:rPr>
                <w:rFonts w:ascii="Calibri" w:hAnsi="Calibri" w:cs="Calibri"/>
                <w:color w:val="000000"/>
              </w:rPr>
              <w:t>2032</w:t>
            </w:r>
          </w:p>
        </w:tc>
        <w:tc>
          <w:tcPr>
            <w:tcW w:w="1987" w:type="dxa"/>
            <w:shd w:val="clear" w:color="auto" w:fill="auto"/>
            <w:noWrap/>
            <w:vAlign w:val="bottom"/>
          </w:tcPr>
          <w:p w:rsidR="00093828" w:rsidRPr="002D3263" w:rsidP="00EF4CBB" w14:paraId="7070F434" w14:textId="02380C34">
            <w:pPr>
              <w:keepNext/>
              <w:widowControl/>
              <w:jc w:val="center"/>
              <w:rPr>
                <w:rFonts w:ascii="Calibri" w:hAnsi="Calibri"/>
                <w:color w:val="000000"/>
              </w:rPr>
            </w:pPr>
            <w:r w:rsidRPr="002D3263">
              <w:rPr>
                <w:rFonts w:ascii="Calibri" w:hAnsi="Calibri" w:cs="Calibri"/>
                <w:color w:val="000000"/>
              </w:rPr>
              <w:t>$4,425</w:t>
            </w:r>
          </w:p>
        </w:tc>
        <w:tc>
          <w:tcPr>
            <w:tcW w:w="1433" w:type="dxa"/>
            <w:shd w:val="clear" w:color="auto" w:fill="auto"/>
            <w:noWrap/>
            <w:vAlign w:val="bottom"/>
          </w:tcPr>
          <w:p w:rsidR="00093828" w:rsidRPr="002D3263" w:rsidP="00EF4CBB" w14:paraId="385574B7" w14:textId="3B38D799">
            <w:pPr>
              <w:keepNext/>
              <w:widowControl/>
              <w:jc w:val="center"/>
              <w:rPr>
                <w:rFonts w:ascii="Calibri" w:hAnsi="Calibri"/>
                <w:color w:val="000000"/>
              </w:rPr>
            </w:pPr>
            <w:r w:rsidRPr="002D3263">
              <w:rPr>
                <w:rFonts w:ascii="Calibri" w:hAnsi="Calibri" w:cs="Calibri"/>
                <w:color w:val="000000"/>
              </w:rPr>
              <w:t>$2,102</w:t>
            </w:r>
          </w:p>
        </w:tc>
        <w:tc>
          <w:tcPr>
            <w:tcW w:w="1440" w:type="dxa"/>
            <w:shd w:val="clear" w:color="auto" w:fill="auto"/>
            <w:noWrap/>
            <w:vAlign w:val="bottom"/>
          </w:tcPr>
          <w:p w:rsidR="00093828" w:rsidRPr="002D3263" w:rsidP="00EF4CBB" w14:paraId="416B53D7" w14:textId="0EB3CA1C">
            <w:pPr>
              <w:keepNext/>
              <w:widowControl/>
              <w:jc w:val="center"/>
              <w:rPr>
                <w:rFonts w:ascii="Calibri" w:hAnsi="Calibri"/>
                <w:color w:val="000000"/>
              </w:rPr>
            </w:pPr>
            <w:r w:rsidRPr="002D3263">
              <w:rPr>
                <w:rFonts w:ascii="Calibri" w:hAnsi="Calibri" w:cs="Calibri"/>
                <w:color w:val="000000"/>
              </w:rPr>
              <w:t>$3,197</w:t>
            </w:r>
          </w:p>
        </w:tc>
      </w:tr>
      <w:tr w14:paraId="2DFBDBEB" w14:textId="77777777" w:rsidTr="008A4DC9">
        <w:tblPrEx>
          <w:tblW w:w="5940" w:type="dxa"/>
          <w:jc w:val="center"/>
          <w:tblLayout w:type="fixed"/>
          <w:tblLook w:val="04A0"/>
        </w:tblPrEx>
        <w:trPr>
          <w:trHeight w:val="80"/>
          <w:jc w:val="center"/>
        </w:trPr>
        <w:tc>
          <w:tcPr>
            <w:tcW w:w="1080" w:type="dxa"/>
            <w:tcBorders>
              <w:bottom w:val="single" w:sz="12" w:space="0" w:color="auto"/>
            </w:tcBorders>
            <w:shd w:val="clear" w:color="auto" w:fill="auto"/>
            <w:noWrap/>
            <w:vAlign w:val="center"/>
          </w:tcPr>
          <w:p w:rsidR="00093828" w:rsidRPr="002D3263" w:rsidP="00093828" w14:paraId="33537A0F" w14:textId="314567AC">
            <w:pPr>
              <w:widowControl/>
              <w:spacing w:line="240" w:lineRule="auto"/>
              <w:jc w:val="center"/>
              <w:rPr>
                <w:rFonts w:ascii="Calibri" w:eastAsia="Times New Roman" w:hAnsi="Calibri" w:cs="Times New Roman"/>
                <w:b/>
                <w:color w:val="000000"/>
              </w:rPr>
            </w:pPr>
            <w:r w:rsidRPr="002D3263">
              <w:rPr>
                <w:rFonts w:ascii="Calibri" w:hAnsi="Calibri" w:cs="Calibri"/>
                <w:b/>
                <w:bCs/>
                <w:color w:val="000000"/>
              </w:rPr>
              <w:t>Total*</w:t>
            </w:r>
          </w:p>
        </w:tc>
        <w:tc>
          <w:tcPr>
            <w:tcW w:w="1987" w:type="dxa"/>
            <w:tcBorders>
              <w:bottom w:val="single" w:sz="12" w:space="0" w:color="auto"/>
            </w:tcBorders>
            <w:shd w:val="clear" w:color="auto" w:fill="auto"/>
            <w:noWrap/>
            <w:vAlign w:val="bottom"/>
          </w:tcPr>
          <w:p w:rsidR="00093828" w:rsidRPr="002D3263" w:rsidP="00EF4CBB" w14:paraId="247E6260" w14:textId="225D3DE9">
            <w:pPr>
              <w:widowControl/>
              <w:jc w:val="center"/>
              <w:rPr>
                <w:rFonts w:ascii="Calibri" w:hAnsi="Calibri"/>
                <w:b/>
                <w:color w:val="000000"/>
              </w:rPr>
            </w:pPr>
            <w:r w:rsidRPr="002D3263">
              <w:rPr>
                <w:rFonts w:ascii="Calibri" w:hAnsi="Calibri" w:cs="Calibri"/>
                <w:b/>
                <w:bCs/>
                <w:color w:val="000000"/>
              </w:rPr>
              <w:t>$44,250</w:t>
            </w:r>
          </w:p>
        </w:tc>
        <w:tc>
          <w:tcPr>
            <w:tcW w:w="1433" w:type="dxa"/>
            <w:tcBorders>
              <w:bottom w:val="single" w:sz="12" w:space="0" w:color="auto"/>
            </w:tcBorders>
            <w:shd w:val="clear" w:color="auto" w:fill="auto"/>
            <w:noWrap/>
            <w:vAlign w:val="bottom"/>
          </w:tcPr>
          <w:p w:rsidR="00093828" w:rsidRPr="002D3263" w:rsidP="00EF4CBB" w14:paraId="1F90B6F2" w14:textId="6E1CCDC9">
            <w:pPr>
              <w:widowControl/>
              <w:jc w:val="center"/>
              <w:rPr>
                <w:rFonts w:ascii="Calibri" w:hAnsi="Calibri"/>
                <w:b/>
                <w:color w:val="000000"/>
              </w:rPr>
            </w:pPr>
            <w:r w:rsidRPr="002D3263">
              <w:rPr>
                <w:rFonts w:ascii="Calibri" w:hAnsi="Calibri" w:cs="Calibri"/>
                <w:b/>
                <w:bCs/>
                <w:color w:val="000000"/>
              </w:rPr>
              <w:t>$29,046</w:t>
            </w:r>
          </w:p>
        </w:tc>
        <w:tc>
          <w:tcPr>
            <w:tcW w:w="1440" w:type="dxa"/>
            <w:tcBorders>
              <w:bottom w:val="single" w:sz="12" w:space="0" w:color="auto"/>
            </w:tcBorders>
            <w:shd w:val="clear" w:color="auto" w:fill="auto"/>
            <w:noWrap/>
            <w:vAlign w:val="bottom"/>
          </w:tcPr>
          <w:p w:rsidR="00093828" w:rsidRPr="002D3263" w:rsidP="00EF4CBB" w14:paraId="0DC732FD" w14:textId="620F966C">
            <w:pPr>
              <w:widowControl/>
              <w:jc w:val="center"/>
              <w:rPr>
                <w:rFonts w:ascii="Calibri" w:hAnsi="Calibri"/>
                <w:b/>
                <w:color w:val="000000"/>
              </w:rPr>
            </w:pPr>
            <w:r w:rsidRPr="002D3263">
              <w:rPr>
                <w:rFonts w:ascii="Calibri" w:hAnsi="Calibri" w:cs="Calibri"/>
                <w:b/>
                <w:bCs/>
                <w:color w:val="000000"/>
              </w:rPr>
              <w:t>$36,647</w:t>
            </w:r>
          </w:p>
        </w:tc>
      </w:tr>
      <w:tr w14:paraId="0BF286A6" w14:textId="77777777" w:rsidTr="008A4DC9">
        <w:tblPrEx>
          <w:tblW w:w="5940" w:type="dxa"/>
          <w:jc w:val="center"/>
          <w:tblLayout w:type="fixed"/>
          <w:tblLook w:val="04A0"/>
        </w:tblPrEx>
        <w:trPr>
          <w:trHeight w:val="80"/>
          <w:jc w:val="center"/>
        </w:trPr>
        <w:tc>
          <w:tcPr>
            <w:tcW w:w="5940" w:type="dxa"/>
            <w:gridSpan w:val="4"/>
            <w:tcBorders>
              <w:top w:val="single" w:sz="12" w:space="0" w:color="auto"/>
            </w:tcBorders>
            <w:shd w:val="clear" w:color="auto" w:fill="auto"/>
            <w:noWrap/>
            <w:vAlign w:val="bottom"/>
          </w:tcPr>
          <w:p w:rsidR="00D661D5" w:rsidP="00EF4CBB" w14:paraId="739F6B93" w14:textId="77777777">
            <w:pPr>
              <w:widowControl/>
              <w:rPr>
                <w:rFonts w:ascii="Calibri" w:hAnsi="Calibri"/>
                <w:color w:val="000000"/>
              </w:rPr>
            </w:pPr>
            <w:r w:rsidRPr="002D3263">
              <w:rPr>
                <w:rFonts w:ascii="Calibri" w:hAnsi="Calibri"/>
                <w:color w:val="000000"/>
              </w:rPr>
              <w:t>*Totals may not match sums due to rounding</w:t>
            </w:r>
          </w:p>
          <w:p w:rsidR="00814923" w:rsidRPr="002D3263" w:rsidP="00EF4CBB" w14:paraId="32308F34" w14:textId="7EA0A323">
            <w:pPr>
              <w:widowControl/>
              <w:rPr>
                <w:rFonts w:ascii="Calibri" w:hAnsi="Calibri"/>
                <w:color w:val="000000"/>
              </w:rPr>
            </w:pPr>
          </w:p>
        </w:tc>
      </w:tr>
    </w:tbl>
    <w:p w:rsidR="001B40A0" w:rsidRPr="002D3263" w:rsidP="00C53C33" w14:paraId="1D6E1B47" w14:textId="419840CA">
      <w:pPr>
        <w:pStyle w:val="Heading2"/>
      </w:pPr>
      <w:bookmarkStart w:id="70" w:name="_Toc68008773"/>
      <w:bookmarkStart w:id="71" w:name="_Toc68008939"/>
      <w:bookmarkStart w:id="72" w:name="_Toc127438029"/>
      <w:bookmarkEnd w:id="68"/>
      <w:bookmarkEnd w:id="69"/>
      <w:bookmarkEnd w:id="70"/>
      <w:bookmarkEnd w:id="71"/>
      <w:r w:rsidRPr="002D3263">
        <w:t>Rental Application</w:t>
      </w:r>
      <w:r w:rsidRPr="002D3263">
        <w:t xml:space="preserve"> and Credit Check</w:t>
      </w:r>
      <w:r w:rsidRPr="002D3263">
        <w:t xml:space="preserve"> Fees</w:t>
      </w:r>
      <w:bookmarkEnd w:id="72"/>
    </w:p>
    <w:p w:rsidR="00684BFB" w:rsidRPr="002D3263" w:rsidP="00E85518" w14:paraId="4FDEEF70" w14:textId="14030A1C">
      <w:pPr>
        <w:widowControl/>
        <w:spacing w:after="240"/>
        <w:rPr>
          <w:rFonts w:cstheme="minorHAnsi"/>
          <w:szCs w:val="24"/>
        </w:rPr>
      </w:pPr>
      <w:r w:rsidRPr="002D3263">
        <w:t>In</w:t>
      </w:r>
      <w:r w:rsidRPr="002D3263" w:rsidR="00714DD7">
        <w:t xml:space="preserve"> </w:t>
      </w:r>
      <w:r w:rsidRPr="002D3263">
        <w:t>S</w:t>
      </w:r>
      <w:r w:rsidRPr="002D3263" w:rsidR="00714DD7">
        <w:t>ection 24.301(g)(7), t</w:t>
      </w:r>
      <w:r w:rsidRPr="002D3263" w:rsidR="00D02D54">
        <w:t xml:space="preserve">he final rule will add a </w:t>
      </w:r>
      <w:r w:rsidRPr="002D3263" w:rsidR="00D02D54">
        <w:rPr>
          <w:rFonts w:eastAsia="Courier New"/>
          <w:szCs w:val="20"/>
        </w:rPr>
        <w:t xml:space="preserve">new provision for reimbursement of </w:t>
      </w:r>
      <w:r w:rsidRPr="002D3263" w:rsidR="00D02D54">
        <w:t>costs for rental replacement dwelling application fees and credit reports</w:t>
      </w:r>
      <w:r w:rsidRPr="002D3263" w:rsidR="00714DD7">
        <w:t xml:space="preserve"> for both residential and non-residential relocations.</w:t>
      </w:r>
      <w:r>
        <w:rPr>
          <w:rStyle w:val="FootnoteReference"/>
          <w:rFonts w:cstheme="minorHAnsi"/>
          <w:szCs w:val="24"/>
        </w:rPr>
        <w:footnoteReference w:id="22"/>
      </w:r>
      <w:r w:rsidRPr="002D3263" w:rsidR="00714DD7">
        <w:t xml:space="preserve"> </w:t>
      </w:r>
      <w:r w:rsidR="00B210CA">
        <w:t xml:space="preserve"> </w:t>
      </w:r>
      <w:r w:rsidRPr="002D3263" w:rsidR="00D02D54">
        <w:t xml:space="preserve">The additional benefit payment was proposed via a comment to the December 2019 publication of the NPRM for 49 CFR part 24 in the Federal Register. </w:t>
      </w:r>
      <w:r w:rsidR="00B210CA">
        <w:t xml:space="preserve"> </w:t>
      </w:r>
      <w:r w:rsidRPr="002D3263" w:rsidR="00D02D54">
        <w:t>The comment brought to FHWA’s attention that residential tenant occupants may not be afforded reimbursement for rental application fees and costs for required inquiries into a displaced tenant’s application and credit history for the purpose of renting a replacement dwelling allowable under</w:t>
      </w:r>
      <w:r w:rsidRPr="002D3263" w:rsidR="006F206A">
        <w:t xml:space="preserve"> Section </w:t>
      </w:r>
      <w:r w:rsidRPr="002D3263" w:rsidR="00D02D54">
        <w:t xml:space="preserve">4.301(g)(7). </w:t>
      </w:r>
      <w:r w:rsidR="00B210CA">
        <w:t xml:space="preserve"> </w:t>
      </w:r>
      <w:r w:rsidRPr="002D3263" w:rsidR="003B6288">
        <w:t xml:space="preserve">The </w:t>
      </w:r>
      <w:r w:rsidRPr="002D3263" w:rsidR="00D02D54">
        <w:t xml:space="preserve">FHWA determined that providing the eligibility as a moving related expense will provide displaced tenant occupants assurance of receiving reimbursement for this incidental </w:t>
      </w:r>
      <w:r w:rsidRPr="002D3263" w:rsidR="00D02D54">
        <w:t>expense, and</w:t>
      </w:r>
      <w:r w:rsidRPr="002D3263" w:rsidR="00D02D54">
        <w:t xml:space="preserve"> </w:t>
      </w:r>
      <w:r w:rsidRPr="002D3263" w:rsidR="00330EC1">
        <w:t xml:space="preserve">will </w:t>
      </w:r>
      <w:r w:rsidRPr="002D3263" w:rsidR="00D02D54">
        <w:t xml:space="preserve">clarify the </w:t>
      </w:r>
      <w:r w:rsidRPr="002D3263" w:rsidR="00330EC1">
        <w:t>requirements</w:t>
      </w:r>
      <w:r w:rsidRPr="002D3263" w:rsidR="00D02D54">
        <w:t xml:space="preserve"> for Agency implementation and utilization. </w:t>
      </w:r>
      <w:r w:rsidR="00B210CA">
        <w:t xml:space="preserve"> </w:t>
      </w:r>
      <w:r w:rsidR="000564A9">
        <w:t xml:space="preserve">The </w:t>
      </w:r>
      <w:r w:rsidRPr="002D3263" w:rsidR="00D02D54">
        <w:t xml:space="preserve">FHWA </w:t>
      </w:r>
      <w:r w:rsidRPr="002D3263" w:rsidR="003E596F">
        <w:t>has included</w:t>
      </w:r>
      <w:r w:rsidRPr="002D3263" w:rsidR="00D02D54">
        <w:t xml:space="preserve"> this expense with a capped amount </w:t>
      </w:r>
      <w:r w:rsidRPr="002D3263" w:rsidR="001E7841">
        <w:t>of $</w:t>
      </w:r>
      <w:r w:rsidRPr="002D3263" w:rsidR="00714DD7">
        <w:t>1,000</w:t>
      </w:r>
      <w:r w:rsidRPr="002D3263" w:rsidR="001E7841">
        <w:t xml:space="preserve"> (although in individual circumstances the cap can be raised by applying for a waiver for reasonable and necessary costs). </w:t>
      </w:r>
      <w:r w:rsidR="00B210CA">
        <w:t xml:space="preserve"> </w:t>
      </w:r>
      <w:r w:rsidRPr="002D3263" w:rsidR="006F206A">
        <w:t>Revisions in Section 24.11 will allow t</w:t>
      </w:r>
      <w:r w:rsidRPr="002D3263" w:rsidR="009F06AF">
        <w:t xml:space="preserve">his cost cap </w:t>
      </w:r>
      <w:r w:rsidRPr="002D3263" w:rsidR="006F206A">
        <w:t>to</w:t>
      </w:r>
      <w:r w:rsidRPr="002D3263" w:rsidR="009F06AF">
        <w:t xml:space="preserve"> be increased in the future for inflation</w:t>
      </w:r>
      <w:r w:rsidR="000564A9">
        <w:t xml:space="preserve"> or other factors</w:t>
      </w:r>
      <w:r w:rsidRPr="002D3263" w:rsidR="009F06AF">
        <w:t xml:space="preserve">. </w:t>
      </w:r>
    </w:p>
    <w:p w:rsidR="00684BFB" w:rsidRPr="002D3263" w:rsidP="00EF4CBB" w14:paraId="60F8E527" w14:textId="127E65E4">
      <w:pPr>
        <w:pStyle w:val="Heading3"/>
        <w:widowControl/>
      </w:pPr>
      <w:bookmarkStart w:id="73" w:name="_Toc127438030"/>
      <w:r w:rsidRPr="002D3263">
        <w:t>Benefits</w:t>
      </w:r>
      <w:bookmarkEnd w:id="73"/>
    </w:p>
    <w:p w:rsidR="004410C8" w:rsidRPr="002D3263" w:rsidP="00E85518" w14:paraId="41B90DC2" w14:textId="56D61043">
      <w:pPr>
        <w:widowControl/>
        <w:spacing w:after="240"/>
        <w:rPr>
          <w:color w:val="000000"/>
          <w:shd w:val="clear" w:color="auto" w:fill="FFFFFF"/>
        </w:rPr>
      </w:pPr>
      <w:r w:rsidRPr="002D3263">
        <w:t>The benefits of this rule change relate to increased</w:t>
      </w:r>
      <w:r w:rsidRPr="002D3263" w:rsidR="00A85683">
        <w:t xml:space="preserve"> equity and</w:t>
      </w:r>
      <w:r w:rsidRPr="002D3263">
        <w:t xml:space="preserve"> fairness. </w:t>
      </w:r>
      <w:r w:rsidR="00B210CA">
        <w:t xml:space="preserve"> </w:t>
      </w:r>
      <w:r w:rsidRPr="002D3263">
        <w:t xml:space="preserve">The rule change will help to ensure that </w:t>
      </w:r>
      <w:r w:rsidRPr="002D3263">
        <w:rPr>
          <w:color w:val="000000"/>
          <w:shd w:val="clear" w:color="auto" w:fill="FFFFFF"/>
        </w:rPr>
        <w:t xml:space="preserve">displaced persons shall not suffer disproportionate injuries </w:t>
      </w:r>
      <w:r w:rsidRPr="002D3263">
        <w:rPr>
          <w:color w:val="000000"/>
          <w:shd w:val="clear" w:color="auto" w:fill="FFFFFF"/>
        </w:rPr>
        <w:t>as a result of</w:t>
      </w:r>
      <w:r w:rsidRPr="002D3263">
        <w:rPr>
          <w:color w:val="000000"/>
          <w:shd w:val="clear" w:color="auto" w:fill="FFFFFF"/>
        </w:rPr>
        <w:t xml:space="preserve"> programs and projects designed for the benefit of the public as a whole, and to minimize the hardship of displacement </w:t>
      </w:r>
      <w:r w:rsidRPr="002D3263">
        <w:rPr>
          <w:color w:val="000000"/>
          <w:shd w:val="clear" w:color="auto" w:fill="FFFFFF"/>
        </w:rPr>
        <w:t xml:space="preserve">on such persons for programs or projects undertaken by a Federal </w:t>
      </w:r>
      <w:r w:rsidR="007D41B2">
        <w:rPr>
          <w:color w:val="000000"/>
          <w:shd w:val="clear" w:color="auto" w:fill="FFFFFF"/>
        </w:rPr>
        <w:t>A</w:t>
      </w:r>
      <w:r w:rsidRPr="002D3263">
        <w:rPr>
          <w:color w:val="000000"/>
          <w:shd w:val="clear" w:color="auto" w:fill="FFFFFF"/>
        </w:rPr>
        <w:t>gency or with Federal financial assistance.</w:t>
      </w:r>
    </w:p>
    <w:p w:rsidR="00714DD7" w:rsidRPr="002D3263" w:rsidP="00EF4CBB" w14:paraId="38BC1ECA" w14:textId="20FE5733">
      <w:pPr>
        <w:pStyle w:val="Heading3"/>
        <w:widowControl/>
      </w:pPr>
      <w:bookmarkStart w:id="74" w:name="_Toc127438031"/>
      <w:r w:rsidRPr="002D3263">
        <w:t>Transfers (Increased Program Expenditures)</w:t>
      </w:r>
      <w:bookmarkEnd w:id="74"/>
    </w:p>
    <w:p w:rsidR="00131687" w:rsidRPr="002D3263" w:rsidP="00E85518" w14:paraId="2027610F" w14:textId="2C37DBAC">
      <w:pPr>
        <w:widowControl/>
        <w:spacing w:after="240"/>
      </w:pPr>
      <w:r w:rsidRPr="002D3263">
        <w:t xml:space="preserve">The </w:t>
      </w:r>
      <w:r w:rsidRPr="002D3263" w:rsidR="00714DD7">
        <w:t xml:space="preserve">FHWA anticipates that this rule change will result in increased program expenditures. </w:t>
      </w:r>
      <w:r w:rsidR="00B210CA">
        <w:t xml:space="preserve"> </w:t>
      </w:r>
      <w:r w:rsidRPr="002D3263">
        <w:t xml:space="preserve">The </w:t>
      </w:r>
      <w:r w:rsidRPr="002D3263" w:rsidR="00714DD7">
        <w:t>FHWA data indicates that the largest annual total of non</w:t>
      </w:r>
      <w:r w:rsidRPr="002D3263" w:rsidR="00E16D76">
        <w:t>-</w:t>
      </w:r>
      <w:r w:rsidRPr="002D3263" w:rsidR="00714DD7">
        <w:t>residential re</w:t>
      </w:r>
      <w:r w:rsidR="00732A88">
        <w:t>-</w:t>
      </w:r>
      <w:r w:rsidRPr="002D3263" w:rsidR="00714DD7">
        <w:t xml:space="preserve">establishment claims processed between 1991 and 2003 </w:t>
      </w:r>
      <w:r w:rsidRPr="002D3263" w:rsidR="009F06AF">
        <w:t xml:space="preserve">was 750. </w:t>
      </w:r>
      <w:r w:rsidR="00B210CA">
        <w:t xml:space="preserve"> </w:t>
      </w:r>
      <w:r w:rsidRPr="002D3263" w:rsidR="009F06AF">
        <w:t xml:space="preserve">For that same period, the largest total for residential tenants was 1,146, </w:t>
      </w:r>
      <w:r w:rsidRPr="002D3263" w:rsidR="00714DD7">
        <w:t>i</w:t>
      </w:r>
      <w:r w:rsidRPr="002D3263" w:rsidR="009F06AF">
        <w:t>ncluding</w:t>
      </w:r>
      <w:r w:rsidRPr="002D3263" w:rsidR="00714DD7">
        <w:t xml:space="preserve"> last resort rental assistance payments and exclud</w:t>
      </w:r>
      <w:r w:rsidRPr="002D3263" w:rsidR="009F06AF">
        <w:t xml:space="preserve">ing </w:t>
      </w:r>
      <w:r w:rsidRPr="002D3263" w:rsidR="00714DD7">
        <w:t>357 rental assistance payments used as down payments on the purchase of a replacement dwelling</w:t>
      </w:r>
      <w:r w:rsidRPr="002D3263" w:rsidR="009F06AF">
        <w:t xml:space="preserve"> (the latter group, since they </w:t>
      </w:r>
      <w:r w:rsidRPr="002D3263" w:rsidR="000F4F29">
        <w:t xml:space="preserve">are </w:t>
      </w:r>
      <w:r w:rsidRPr="002D3263" w:rsidR="009F06AF">
        <w:t>purchasing a home, would not experience costs related to rental applications or credit checks)</w:t>
      </w:r>
      <w:r w:rsidRPr="002D3263" w:rsidR="00714DD7">
        <w:t>.</w:t>
      </w:r>
      <w:r>
        <w:rPr>
          <w:rStyle w:val="FootnoteReference"/>
        </w:rPr>
        <w:footnoteReference w:id="23"/>
      </w:r>
      <w:r w:rsidRPr="002D3263" w:rsidR="00714DD7">
        <w:t xml:space="preserve"> </w:t>
      </w:r>
      <w:r w:rsidR="00B210CA">
        <w:t xml:space="preserve"> </w:t>
      </w:r>
      <w:r w:rsidRPr="002D3263" w:rsidR="009F06AF">
        <w:t>Since 10 percent of States prohibit fees being charged by landlords for rental applications and credit history, this estimate of increased program expenditures assumes that 90 percent of the r</w:t>
      </w:r>
      <w:r w:rsidRPr="002D3263" w:rsidR="00580446">
        <w:t>ental replacement housing</w:t>
      </w:r>
      <w:r w:rsidRPr="002D3263" w:rsidR="009F06AF">
        <w:t xml:space="preserve"> claims would incur this category of costs.</w:t>
      </w:r>
      <w:r w:rsidRPr="002D3263" w:rsidR="00A07F11">
        <w:t xml:space="preserve"> </w:t>
      </w:r>
      <w:r w:rsidR="00B210CA">
        <w:t xml:space="preserve"> </w:t>
      </w:r>
      <w:r w:rsidRPr="002D3263" w:rsidR="00A07F11">
        <w:t xml:space="preserve">The total number of expected displacements that may incur program costs associated with </w:t>
      </w:r>
      <w:r w:rsidRPr="002D3263">
        <w:t>rental applications and credit checks is then 1,706.</w:t>
      </w:r>
    </w:p>
    <w:p w:rsidR="00714DD7" w:rsidRPr="002D3263" w:rsidP="00E85518" w14:paraId="6D4E2C78" w14:textId="3786BD61">
      <w:pPr>
        <w:widowControl/>
        <w:spacing w:after="240"/>
      </w:pPr>
      <w:r w:rsidRPr="002D3263">
        <w:t>While the maximum amount allowed for this category of reimbursement is $1,000, the actual average cost incurred is likely to be lower.</w:t>
      </w:r>
      <w:r w:rsidR="00B210CA">
        <w:t xml:space="preserve"> </w:t>
      </w:r>
      <w:r w:rsidRPr="002D3263">
        <w:t xml:space="preserve"> </w:t>
      </w:r>
      <w:r w:rsidRPr="002D3263" w:rsidR="00A4050C">
        <w:t>The typical fee is roughly $50.</w:t>
      </w:r>
      <w:r>
        <w:rPr>
          <w:rStyle w:val="FootnoteReference"/>
        </w:rPr>
        <w:footnoteReference w:id="24"/>
      </w:r>
      <w:r w:rsidRPr="002D3263">
        <w:t xml:space="preserve"> </w:t>
      </w:r>
      <w:r w:rsidR="00B210CA">
        <w:t xml:space="preserve"> </w:t>
      </w:r>
      <w:r w:rsidRPr="002D3263" w:rsidR="00A85683">
        <w:t>P</w:t>
      </w:r>
      <w:r w:rsidRPr="002D3263">
        <w:t xml:space="preserve">rospective tenants may </w:t>
      </w:r>
      <w:r w:rsidRPr="002D3263" w:rsidR="00DB208D">
        <w:t xml:space="preserve">need </w:t>
      </w:r>
      <w:r w:rsidRPr="002D3263">
        <w:t xml:space="preserve">to apply to multiple </w:t>
      </w:r>
      <w:r w:rsidRPr="002D3263">
        <w:t>properties</w:t>
      </w:r>
      <w:r w:rsidRPr="002D3263" w:rsidR="00A85683">
        <w:t>,</w:t>
      </w:r>
      <w:r w:rsidRPr="002D3263" w:rsidR="00A85683">
        <w:t xml:space="preserve"> therefore</w:t>
      </w:r>
      <w:r w:rsidRPr="002D3263">
        <w:t xml:space="preserve"> this analysis assumes </w:t>
      </w:r>
      <w:r w:rsidRPr="002D3263" w:rsidR="00A85683">
        <w:t>each displacement would involve four applications for a reimbursement of the $</w:t>
      </w:r>
      <w:r w:rsidRPr="002D3263" w:rsidR="00A4050C">
        <w:t>200</w:t>
      </w:r>
      <w:r w:rsidRPr="002D3263" w:rsidR="00A85683">
        <w:t xml:space="preserve"> </w:t>
      </w:r>
      <w:r w:rsidRPr="002D3263" w:rsidR="003B00FD">
        <w:t>(</w:t>
      </w:r>
      <w:r w:rsidRPr="002D3263" w:rsidR="00A4050C">
        <w:t>$50</w:t>
      </w:r>
      <w:r w:rsidRPr="002D3263" w:rsidR="003B00FD">
        <w:t xml:space="preserve"> * 4) </w:t>
      </w:r>
      <w:r w:rsidRPr="002D3263" w:rsidR="00A85683">
        <w:t>per displacement and a total across all displacements of $</w:t>
      </w:r>
      <w:r w:rsidRPr="002D3263" w:rsidR="00A4050C">
        <w:t>341,200</w:t>
      </w:r>
      <w:r w:rsidRPr="002D3263" w:rsidR="00A85683">
        <w:t xml:space="preserve"> per year.</w:t>
      </w:r>
      <w:r w:rsidRPr="002D3263">
        <w:t xml:space="preserve"> </w:t>
      </w:r>
      <w:r w:rsidR="00B210CA">
        <w:t xml:space="preserve"> </w:t>
      </w:r>
      <w:r w:rsidRPr="002D3263" w:rsidR="00E24BBA">
        <w:t xml:space="preserve">These calculations are presented in Table A14 in Appendix A of this report and summarized in </w:t>
      </w:r>
      <w:r w:rsidRPr="002D3263" w:rsidR="00E24BBA">
        <w:fldChar w:fldCharType="begin"/>
      </w:r>
      <w:r w:rsidRPr="002D3263" w:rsidR="00E24BBA">
        <w:instrText xml:space="preserve"> REF _Ref67815180 \h </w:instrText>
      </w:r>
      <w:r w:rsidR="002D3263">
        <w:instrText xml:space="preserve"> \* MERGEFORMAT </w:instrText>
      </w:r>
      <w:r w:rsidRPr="002D3263" w:rsidR="00E24BBA">
        <w:fldChar w:fldCharType="separate"/>
      </w:r>
      <w:r w:rsidRPr="002D3263" w:rsidR="00E762F5">
        <w:t xml:space="preserve">Table </w:t>
      </w:r>
      <w:r w:rsidR="00E762F5">
        <w:rPr>
          <w:noProof/>
        </w:rPr>
        <w:t>6</w:t>
      </w:r>
      <w:r w:rsidRPr="002D3263" w:rsidR="00E24BBA">
        <w:fldChar w:fldCharType="end"/>
      </w:r>
      <w:r w:rsidRPr="002D3263" w:rsidR="00E24BBA">
        <w:t>, below.</w:t>
      </w:r>
    </w:p>
    <w:p w:rsidR="00A85683" w:rsidRPr="002D3263" w:rsidP="00EF4CBB" w14:paraId="4A01B345" w14:textId="40A97FF6">
      <w:pPr>
        <w:widowControl/>
      </w:pPr>
    </w:p>
    <w:p w:rsidR="00A85683" w:rsidRPr="002D3263" w:rsidP="00D6005F" w14:paraId="3F5FD43E" w14:textId="41EE94B3">
      <w:pPr>
        <w:pStyle w:val="Caption"/>
      </w:pPr>
      <w:bookmarkStart w:id="75" w:name="_Ref67815180"/>
      <w:bookmarkStart w:id="76" w:name="_Toc127438092"/>
      <w:r w:rsidRPr="002D3263">
        <w:t xml:space="preserve">Table </w:t>
      </w:r>
      <w:r w:rsidR="00F903AF">
        <w:fldChar w:fldCharType="begin"/>
      </w:r>
      <w:r w:rsidR="00F903AF">
        <w:instrText xml:space="preserve"> SEQ Table \* ARABIC </w:instrText>
      </w:r>
      <w:r w:rsidR="00F903AF">
        <w:fldChar w:fldCharType="separate"/>
      </w:r>
      <w:r w:rsidR="00E762F5">
        <w:rPr>
          <w:noProof/>
        </w:rPr>
        <w:t>6</w:t>
      </w:r>
      <w:r w:rsidR="00F903AF">
        <w:rPr>
          <w:noProof/>
        </w:rPr>
        <w:fldChar w:fldCharType="end"/>
      </w:r>
      <w:bookmarkEnd w:id="75"/>
      <w:r w:rsidRPr="002D3263">
        <w:t>. Transfers (Increased Program Expenditures) from Reimbursing Rental Application and Credit Check Fees</w:t>
      </w:r>
      <w:bookmarkEnd w:id="76"/>
    </w:p>
    <w:tbl>
      <w:tblPr>
        <w:tblW w:w="5850" w:type="dxa"/>
        <w:jc w:val="center"/>
        <w:tblLayout w:type="fixed"/>
        <w:tblLook w:val="04A0"/>
      </w:tblPr>
      <w:tblGrid>
        <w:gridCol w:w="900"/>
        <w:gridCol w:w="2250"/>
        <w:gridCol w:w="1440"/>
        <w:gridCol w:w="1260"/>
      </w:tblGrid>
      <w:tr w14:paraId="089D7B2D" w14:textId="77777777" w:rsidTr="008A4DC9">
        <w:tblPrEx>
          <w:tblW w:w="5850" w:type="dxa"/>
          <w:jc w:val="center"/>
          <w:tblLayout w:type="fixed"/>
          <w:tblLook w:val="04A0"/>
        </w:tblPrEx>
        <w:trPr>
          <w:trHeight w:val="792"/>
          <w:jc w:val="center"/>
        </w:trPr>
        <w:tc>
          <w:tcPr>
            <w:tcW w:w="900" w:type="dxa"/>
            <w:tcBorders>
              <w:bottom w:val="single" w:sz="12" w:space="0" w:color="auto"/>
            </w:tcBorders>
            <w:shd w:val="clear" w:color="auto" w:fill="auto"/>
            <w:vAlign w:val="center"/>
            <w:hideMark/>
          </w:tcPr>
          <w:p w:rsidR="00A85683" w:rsidRPr="002D3263" w:rsidP="00634AAC" w14:paraId="70D7ECB3" w14:textId="77777777">
            <w:pPr>
              <w:keepNext/>
              <w:keepLines/>
              <w:widowControl/>
              <w:spacing w:line="240" w:lineRule="auto"/>
              <w:jc w:val="center"/>
              <w:rPr>
                <w:rFonts w:ascii="Calibri" w:eastAsia="Times New Roman" w:hAnsi="Calibri" w:cs="Times New Roman"/>
                <w:b/>
                <w:bCs/>
                <w:color w:val="000000"/>
              </w:rPr>
            </w:pPr>
            <w:r w:rsidRPr="002D3263">
              <w:rPr>
                <w:rFonts w:ascii="Calibri" w:eastAsia="Times New Roman" w:hAnsi="Calibri" w:cs="Times New Roman"/>
                <w:b/>
                <w:bCs/>
                <w:color w:val="000000"/>
              </w:rPr>
              <w:t>Year</w:t>
            </w:r>
          </w:p>
        </w:tc>
        <w:tc>
          <w:tcPr>
            <w:tcW w:w="2250" w:type="dxa"/>
            <w:tcBorders>
              <w:bottom w:val="single" w:sz="12" w:space="0" w:color="auto"/>
            </w:tcBorders>
            <w:shd w:val="clear" w:color="auto" w:fill="auto"/>
            <w:vAlign w:val="center"/>
            <w:hideMark/>
          </w:tcPr>
          <w:p w:rsidR="00A85683" w:rsidRPr="002D3263" w:rsidP="0002327A" w14:paraId="77A3C7C3" w14:textId="75470EB3">
            <w:pPr>
              <w:keepNext/>
              <w:keepLines/>
              <w:widowControl/>
              <w:spacing w:line="240" w:lineRule="auto"/>
              <w:jc w:val="center"/>
              <w:rPr>
                <w:rFonts w:ascii="Calibri" w:eastAsia="Times New Roman" w:hAnsi="Calibri" w:cs="Times New Roman"/>
                <w:b/>
                <w:bCs/>
                <w:color w:val="000000"/>
              </w:rPr>
            </w:pPr>
            <w:r w:rsidRPr="002D3263">
              <w:rPr>
                <w:rFonts w:ascii="Calibri" w:hAnsi="Calibri" w:cs="Calibri"/>
                <w:b/>
                <w:bCs/>
                <w:color w:val="000000"/>
              </w:rPr>
              <w:t xml:space="preserve">Total Difference in Program Expenditures </w:t>
            </w:r>
            <w:r w:rsidRPr="002D3263">
              <w:rPr>
                <w:rFonts w:ascii="Calibri" w:hAnsi="Calibri" w:cs="Calibri"/>
                <w:b/>
                <w:bCs/>
                <w:color w:val="000000"/>
              </w:rPr>
              <w:br/>
              <w:t>(20</w:t>
            </w:r>
            <w:r w:rsidRPr="002D3263" w:rsidR="00093828">
              <w:rPr>
                <w:rFonts w:ascii="Calibri" w:hAnsi="Calibri" w:cs="Calibri"/>
                <w:b/>
                <w:bCs/>
                <w:color w:val="000000"/>
              </w:rPr>
              <w:t>21</w:t>
            </w:r>
            <w:r w:rsidRPr="002D3263">
              <w:rPr>
                <w:rFonts w:ascii="Calibri" w:hAnsi="Calibri" w:cs="Calibri"/>
                <w:b/>
                <w:bCs/>
                <w:color w:val="000000"/>
              </w:rPr>
              <w:t xml:space="preserve"> $)</w:t>
            </w:r>
          </w:p>
        </w:tc>
        <w:tc>
          <w:tcPr>
            <w:tcW w:w="1440" w:type="dxa"/>
            <w:tcBorders>
              <w:bottom w:val="single" w:sz="12" w:space="0" w:color="auto"/>
            </w:tcBorders>
            <w:shd w:val="clear" w:color="auto" w:fill="auto"/>
            <w:vAlign w:val="center"/>
            <w:hideMark/>
          </w:tcPr>
          <w:p w:rsidR="00A85683" w:rsidRPr="002D3263" w:rsidP="0002327A" w14:paraId="613380AB" w14:textId="77777777">
            <w:pPr>
              <w:keepNext/>
              <w:keepLines/>
              <w:widowControl/>
              <w:spacing w:line="240" w:lineRule="auto"/>
              <w:jc w:val="center"/>
              <w:rPr>
                <w:rFonts w:ascii="Calibri" w:eastAsia="Times New Roman" w:hAnsi="Calibri" w:cs="Times New Roman"/>
                <w:b/>
                <w:bCs/>
                <w:color w:val="000000"/>
              </w:rPr>
            </w:pPr>
            <w:r w:rsidRPr="002D3263">
              <w:rPr>
                <w:rFonts w:ascii="Calibri" w:eastAsia="Times New Roman" w:hAnsi="Calibri" w:cs="Times New Roman"/>
                <w:b/>
                <w:bCs/>
                <w:color w:val="000000"/>
              </w:rPr>
              <w:t>Discounted 7%</w:t>
            </w:r>
          </w:p>
        </w:tc>
        <w:tc>
          <w:tcPr>
            <w:tcW w:w="1260" w:type="dxa"/>
            <w:tcBorders>
              <w:bottom w:val="single" w:sz="12" w:space="0" w:color="auto"/>
            </w:tcBorders>
            <w:shd w:val="clear" w:color="auto" w:fill="auto"/>
            <w:vAlign w:val="center"/>
            <w:hideMark/>
          </w:tcPr>
          <w:p w:rsidR="00A85683" w:rsidRPr="002D3263" w:rsidP="00093828" w14:paraId="0FDC11A4" w14:textId="77777777">
            <w:pPr>
              <w:keepNext/>
              <w:keepLines/>
              <w:widowControl/>
              <w:spacing w:line="240" w:lineRule="auto"/>
              <w:jc w:val="center"/>
              <w:rPr>
                <w:rFonts w:ascii="Calibri" w:eastAsia="Times New Roman" w:hAnsi="Calibri" w:cs="Times New Roman"/>
                <w:b/>
                <w:bCs/>
                <w:color w:val="000000"/>
              </w:rPr>
            </w:pPr>
            <w:r w:rsidRPr="002D3263">
              <w:rPr>
                <w:rFonts w:ascii="Calibri" w:eastAsia="Times New Roman" w:hAnsi="Calibri" w:cs="Times New Roman"/>
                <w:b/>
                <w:bCs/>
                <w:color w:val="000000"/>
              </w:rPr>
              <w:t>Discounted 3%</w:t>
            </w:r>
          </w:p>
        </w:tc>
      </w:tr>
      <w:tr w14:paraId="45D18214" w14:textId="77777777" w:rsidTr="008A4DC9">
        <w:tblPrEx>
          <w:tblW w:w="5850" w:type="dxa"/>
          <w:jc w:val="center"/>
          <w:tblLayout w:type="fixed"/>
          <w:tblLook w:val="04A0"/>
        </w:tblPrEx>
        <w:trPr>
          <w:trHeight w:val="50"/>
          <w:jc w:val="center"/>
        </w:trPr>
        <w:tc>
          <w:tcPr>
            <w:tcW w:w="900" w:type="dxa"/>
            <w:tcBorders>
              <w:top w:val="single" w:sz="12" w:space="0" w:color="auto"/>
            </w:tcBorders>
            <w:shd w:val="clear" w:color="auto" w:fill="auto"/>
            <w:vAlign w:val="center"/>
            <w:hideMark/>
          </w:tcPr>
          <w:p w:rsidR="00093828" w:rsidRPr="002D3263" w:rsidP="00093828" w14:paraId="1C8B2279" w14:textId="420BCF9B">
            <w:pPr>
              <w:keepNext/>
              <w:keepLines/>
              <w:widowControl/>
              <w:jc w:val="center"/>
              <w:rPr>
                <w:rFonts w:ascii="Calibri" w:hAnsi="Calibri"/>
                <w:color w:val="000000"/>
              </w:rPr>
            </w:pPr>
            <w:r w:rsidRPr="002D3263">
              <w:rPr>
                <w:rFonts w:ascii="Calibri" w:hAnsi="Calibri" w:cs="Calibri"/>
                <w:color w:val="000000"/>
              </w:rPr>
              <w:t>2023</w:t>
            </w:r>
          </w:p>
        </w:tc>
        <w:tc>
          <w:tcPr>
            <w:tcW w:w="2250" w:type="dxa"/>
            <w:tcBorders>
              <w:top w:val="single" w:sz="12" w:space="0" w:color="auto"/>
            </w:tcBorders>
            <w:shd w:val="clear" w:color="auto" w:fill="auto"/>
            <w:vAlign w:val="center"/>
          </w:tcPr>
          <w:p w:rsidR="00093828" w:rsidRPr="002D3263" w:rsidP="00093828" w14:paraId="20B64D7B" w14:textId="5A283A69">
            <w:pPr>
              <w:keepNext/>
              <w:keepLines/>
              <w:widowControl/>
              <w:jc w:val="center"/>
              <w:rPr>
                <w:rFonts w:ascii="Calibri" w:hAnsi="Calibri"/>
                <w:color w:val="000000"/>
              </w:rPr>
            </w:pPr>
            <w:r w:rsidRPr="002D3263">
              <w:rPr>
                <w:rFonts w:ascii="Calibri" w:hAnsi="Calibri" w:cs="Calibri"/>
                <w:color w:val="000000"/>
              </w:rPr>
              <w:t xml:space="preserve">$341,200 </w:t>
            </w:r>
          </w:p>
        </w:tc>
        <w:tc>
          <w:tcPr>
            <w:tcW w:w="1440" w:type="dxa"/>
            <w:tcBorders>
              <w:top w:val="single" w:sz="12" w:space="0" w:color="auto"/>
            </w:tcBorders>
            <w:shd w:val="clear" w:color="auto" w:fill="auto"/>
            <w:vAlign w:val="center"/>
          </w:tcPr>
          <w:p w:rsidR="00093828" w:rsidRPr="002D3263" w:rsidP="00EF4CBB" w14:paraId="0CC73324" w14:textId="5455A476">
            <w:pPr>
              <w:keepNext/>
              <w:keepLines/>
              <w:widowControl/>
              <w:jc w:val="center"/>
              <w:rPr>
                <w:rFonts w:ascii="Calibri" w:hAnsi="Calibri"/>
                <w:color w:val="000000"/>
              </w:rPr>
            </w:pPr>
            <w:r w:rsidRPr="002D3263">
              <w:rPr>
                <w:rFonts w:ascii="Calibri" w:hAnsi="Calibri" w:cs="Calibri"/>
                <w:color w:val="000000"/>
              </w:rPr>
              <w:t xml:space="preserve">$298,017 </w:t>
            </w:r>
          </w:p>
        </w:tc>
        <w:tc>
          <w:tcPr>
            <w:tcW w:w="1260" w:type="dxa"/>
            <w:tcBorders>
              <w:top w:val="single" w:sz="12" w:space="0" w:color="auto"/>
            </w:tcBorders>
            <w:shd w:val="clear" w:color="auto" w:fill="auto"/>
            <w:vAlign w:val="center"/>
          </w:tcPr>
          <w:p w:rsidR="00093828" w:rsidRPr="002D3263" w:rsidP="00EF4CBB" w14:paraId="51019C2E" w14:textId="7493264B">
            <w:pPr>
              <w:keepNext/>
              <w:keepLines/>
              <w:widowControl/>
              <w:jc w:val="center"/>
              <w:rPr>
                <w:rFonts w:ascii="Calibri" w:hAnsi="Calibri"/>
                <w:color w:val="000000"/>
              </w:rPr>
            </w:pPr>
            <w:r w:rsidRPr="002D3263">
              <w:rPr>
                <w:rFonts w:ascii="Calibri" w:hAnsi="Calibri" w:cs="Calibri"/>
                <w:color w:val="000000"/>
              </w:rPr>
              <w:t xml:space="preserve">$321,614 </w:t>
            </w:r>
          </w:p>
        </w:tc>
      </w:tr>
      <w:tr w14:paraId="50BF3629" w14:textId="77777777" w:rsidTr="008A4DC9">
        <w:tblPrEx>
          <w:tblW w:w="5850" w:type="dxa"/>
          <w:jc w:val="center"/>
          <w:tblLayout w:type="fixed"/>
          <w:tblLook w:val="04A0"/>
        </w:tblPrEx>
        <w:trPr>
          <w:trHeight w:val="80"/>
          <w:jc w:val="center"/>
        </w:trPr>
        <w:tc>
          <w:tcPr>
            <w:tcW w:w="900" w:type="dxa"/>
            <w:shd w:val="clear" w:color="auto" w:fill="auto"/>
            <w:noWrap/>
            <w:vAlign w:val="center"/>
            <w:hideMark/>
          </w:tcPr>
          <w:p w:rsidR="00093828" w:rsidRPr="002D3263" w:rsidP="00EF4CBB" w14:paraId="11780C4A" w14:textId="4C310CDF">
            <w:pPr>
              <w:keepNext/>
              <w:keepLines/>
              <w:widowControl/>
              <w:jc w:val="center"/>
              <w:rPr>
                <w:rFonts w:ascii="Calibri" w:hAnsi="Calibri"/>
                <w:color w:val="000000"/>
              </w:rPr>
            </w:pPr>
            <w:r w:rsidRPr="002D3263">
              <w:rPr>
                <w:rFonts w:ascii="Calibri" w:hAnsi="Calibri" w:cs="Calibri"/>
                <w:color w:val="000000"/>
              </w:rPr>
              <w:t>2024</w:t>
            </w:r>
          </w:p>
        </w:tc>
        <w:tc>
          <w:tcPr>
            <w:tcW w:w="2250" w:type="dxa"/>
            <w:shd w:val="clear" w:color="auto" w:fill="auto"/>
            <w:vAlign w:val="center"/>
          </w:tcPr>
          <w:p w:rsidR="00093828" w:rsidRPr="002D3263" w:rsidP="00EF4CBB" w14:paraId="457C3040" w14:textId="10C7AA25">
            <w:pPr>
              <w:keepNext/>
              <w:keepLines/>
              <w:widowControl/>
              <w:jc w:val="center"/>
              <w:rPr>
                <w:rFonts w:ascii="Calibri" w:hAnsi="Calibri"/>
                <w:color w:val="000000"/>
              </w:rPr>
            </w:pPr>
            <w:r w:rsidRPr="002D3263">
              <w:rPr>
                <w:rFonts w:ascii="Calibri" w:hAnsi="Calibri" w:cs="Calibri"/>
                <w:color w:val="000000"/>
              </w:rPr>
              <w:t xml:space="preserve">$341,200 </w:t>
            </w:r>
          </w:p>
        </w:tc>
        <w:tc>
          <w:tcPr>
            <w:tcW w:w="1440" w:type="dxa"/>
            <w:shd w:val="clear" w:color="auto" w:fill="auto"/>
            <w:vAlign w:val="center"/>
          </w:tcPr>
          <w:p w:rsidR="00093828" w:rsidRPr="002D3263" w:rsidP="00EF4CBB" w14:paraId="4853D806" w14:textId="56D70CD4">
            <w:pPr>
              <w:keepNext/>
              <w:keepLines/>
              <w:widowControl/>
              <w:jc w:val="center"/>
              <w:rPr>
                <w:rFonts w:ascii="Calibri" w:hAnsi="Calibri"/>
                <w:color w:val="000000"/>
              </w:rPr>
            </w:pPr>
            <w:r w:rsidRPr="002D3263">
              <w:rPr>
                <w:rFonts w:ascii="Calibri" w:hAnsi="Calibri" w:cs="Calibri"/>
                <w:color w:val="000000"/>
              </w:rPr>
              <w:t xml:space="preserve">$278,521 </w:t>
            </w:r>
          </w:p>
        </w:tc>
        <w:tc>
          <w:tcPr>
            <w:tcW w:w="1260" w:type="dxa"/>
            <w:shd w:val="clear" w:color="auto" w:fill="auto"/>
            <w:vAlign w:val="center"/>
          </w:tcPr>
          <w:p w:rsidR="00093828" w:rsidRPr="002D3263" w:rsidP="00EF4CBB" w14:paraId="539330AD" w14:textId="1314147C">
            <w:pPr>
              <w:keepNext/>
              <w:keepLines/>
              <w:widowControl/>
              <w:jc w:val="center"/>
              <w:rPr>
                <w:rFonts w:ascii="Calibri" w:hAnsi="Calibri"/>
                <w:color w:val="000000"/>
              </w:rPr>
            </w:pPr>
            <w:r w:rsidRPr="002D3263">
              <w:rPr>
                <w:rFonts w:ascii="Calibri" w:hAnsi="Calibri" w:cs="Calibri"/>
                <w:color w:val="000000"/>
              </w:rPr>
              <w:t xml:space="preserve">$312,246 </w:t>
            </w:r>
          </w:p>
        </w:tc>
      </w:tr>
      <w:tr w14:paraId="6B5F0198" w14:textId="77777777" w:rsidTr="008A4DC9">
        <w:tblPrEx>
          <w:tblW w:w="5850" w:type="dxa"/>
          <w:jc w:val="center"/>
          <w:tblLayout w:type="fixed"/>
          <w:tblLook w:val="04A0"/>
        </w:tblPrEx>
        <w:trPr>
          <w:trHeight w:val="80"/>
          <w:jc w:val="center"/>
        </w:trPr>
        <w:tc>
          <w:tcPr>
            <w:tcW w:w="900" w:type="dxa"/>
            <w:shd w:val="clear" w:color="auto" w:fill="auto"/>
            <w:noWrap/>
            <w:vAlign w:val="center"/>
            <w:hideMark/>
          </w:tcPr>
          <w:p w:rsidR="00093828" w:rsidRPr="002D3263" w:rsidP="00EF4CBB" w14:paraId="528DB084" w14:textId="04628901">
            <w:pPr>
              <w:keepNext/>
              <w:keepLines/>
              <w:widowControl/>
              <w:jc w:val="center"/>
              <w:rPr>
                <w:rFonts w:ascii="Calibri" w:hAnsi="Calibri"/>
                <w:color w:val="000000"/>
              </w:rPr>
            </w:pPr>
            <w:r w:rsidRPr="002D3263">
              <w:rPr>
                <w:rFonts w:ascii="Calibri" w:hAnsi="Calibri" w:cs="Calibri"/>
                <w:color w:val="000000"/>
              </w:rPr>
              <w:t>2025</w:t>
            </w:r>
          </w:p>
        </w:tc>
        <w:tc>
          <w:tcPr>
            <w:tcW w:w="2250" w:type="dxa"/>
            <w:shd w:val="clear" w:color="auto" w:fill="auto"/>
            <w:vAlign w:val="center"/>
          </w:tcPr>
          <w:p w:rsidR="00093828" w:rsidRPr="002D3263" w:rsidP="00EF4CBB" w14:paraId="20B987D4" w14:textId="532EA86E">
            <w:pPr>
              <w:keepNext/>
              <w:keepLines/>
              <w:widowControl/>
              <w:jc w:val="center"/>
              <w:rPr>
                <w:rFonts w:ascii="Calibri" w:hAnsi="Calibri"/>
                <w:color w:val="000000"/>
              </w:rPr>
            </w:pPr>
            <w:r w:rsidRPr="002D3263">
              <w:rPr>
                <w:rFonts w:ascii="Calibri" w:hAnsi="Calibri" w:cs="Calibri"/>
                <w:color w:val="000000"/>
              </w:rPr>
              <w:t xml:space="preserve">$341,200 </w:t>
            </w:r>
          </w:p>
        </w:tc>
        <w:tc>
          <w:tcPr>
            <w:tcW w:w="1440" w:type="dxa"/>
            <w:shd w:val="clear" w:color="auto" w:fill="auto"/>
            <w:vAlign w:val="center"/>
          </w:tcPr>
          <w:p w:rsidR="00093828" w:rsidRPr="002D3263" w:rsidP="00EF4CBB" w14:paraId="089C9B9F" w14:textId="40005F39">
            <w:pPr>
              <w:keepNext/>
              <w:keepLines/>
              <w:widowControl/>
              <w:jc w:val="center"/>
              <w:rPr>
                <w:rFonts w:ascii="Calibri" w:hAnsi="Calibri"/>
                <w:color w:val="000000"/>
              </w:rPr>
            </w:pPr>
            <w:r w:rsidRPr="002D3263">
              <w:rPr>
                <w:rFonts w:ascii="Calibri" w:hAnsi="Calibri" w:cs="Calibri"/>
                <w:color w:val="000000"/>
              </w:rPr>
              <w:t xml:space="preserve">$260,300 </w:t>
            </w:r>
          </w:p>
        </w:tc>
        <w:tc>
          <w:tcPr>
            <w:tcW w:w="1260" w:type="dxa"/>
            <w:shd w:val="clear" w:color="auto" w:fill="auto"/>
            <w:vAlign w:val="center"/>
          </w:tcPr>
          <w:p w:rsidR="00093828" w:rsidRPr="002D3263" w:rsidP="00EF4CBB" w14:paraId="7B0AE0CD" w14:textId="6951F0AF">
            <w:pPr>
              <w:keepNext/>
              <w:keepLines/>
              <w:widowControl/>
              <w:jc w:val="center"/>
              <w:rPr>
                <w:rFonts w:ascii="Calibri" w:hAnsi="Calibri"/>
                <w:color w:val="000000"/>
              </w:rPr>
            </w:pPr>
            <w:r w:rsidRPr="002D3263">
              <w:rPr>
                <w:rFonts w:ascii="Calibri" w:hAnsi="Calibri" w:cs="Calibri"/>
                <w:color w:val="000000"/>
              </w:rPr>
              <w:t xml:space="preserve">$303,152 </w:t>
            </w:r>
          </w:p>
        </w:tc>
      </w:tr>
      <w:tr w14:paraId="3C05414B" w14:textId="77777777" w:rsidTr="008A4DC9">
        <w:tblPrEx>
          <w:tblW w:w="5850" w:type="dxa"/>
          <w:jc w:val="center"/>
          <w:tblLayout w:type="fixed"/>
          <w:tblLook w:val="04A0"/>
        </w:tblPrEx>
        <w:trPr>
          <w:trHeight w:val="80"/>
          <w:jc w:val="center"/>
        </w:trPr>
        <w:tc>
          <w:tcPr>
            <w:tcW w:w="900" w:type="dxa"/>
            <w:shd w:val="clear" w:color="auto" w:fill="auto"/>
            <w:noWrap/>
            <w:vAlign w:val="center"/>
            <w:hideMark/>
          </w:tcPr>
          <w:p w:rsidR="00093828" w:rsidRPr="002D3263" w:rsidP="00EF4CBB" w14:paraId="36CD1E6D" w14:textId="078B67C2">
            <w:pPr>
              <w:keepNext/>
              <w:keepLines/>
              <w:widowControl/>
              <w:jc w:val="center"/>
              <w:rPr>
                <w:rFonts w:ascii="Calibri" w:hAnsi="Calibri"/>
                <w:color w:val="000000"/>
              </w:rPr>
            </w:pPr>
            <w:r w:rsidRPr="002D3263">
              <w:rPr>
                <w:rFonts w:ascii="Calibri" w:hAnsi="Calibri" w:cs="Calibri"/>
                <w:color w:val="000000"/>
              </w:rPr>
              <w:t>2026</w:t>
            </w:r>
          </w:p>
        </w:tc>
        <w:tc>
          <w:tcPr>
            <w:tcW w:w="2250" w:type="dxa"/>
            <w:shd w:val="clear" w:color="auto" w:fill="auto"/>
            <w:vAlign w:val="center"/>
          </w:tcPr>
          <w:p w:rsidR="00093828" w:rsidRPr="002D3263" w:rsidP="00EF4CBB" w14:paraId="76151F53" w14:textId="0A182C76">
            <w:pPr>
              <w:keepNext/>
              <w:keepLines/>
              <w:widowControl/>
              <w:jc w:val="center"/>
              <w:rPr>
                <w:rFonts w:ascii="Calibri" w:hAnsi="Calibri"/>
                <w:color w:val="000000"/>
              </w:rPr>
            </w:pPr>
            <w:r w:rsidRPr="002D3263">
              <w:rPr>
                <w:rFonts w:ascii="Calibri" w:hAnsi="Calibri" w:cs="Calibri"/>
                <w:color w:val="000000"/>
              </w:rPr>
              <w:t xml:space="preserve">$341,200 </w:t>
            </w:r>
          </w:p>
        </w:tc>
        <w:tc>
          <w:tcPr>
            <w:tcW w:w="1440" w:type="dxa"/>
            <w:shd w:val="clear" w:color="auto" w:fill="auto"/>
            <w:vAlign w:val="center"/>
          </w:tcPr>
          <w:p w:rsidR="00093828" w:rsidRPr="002D3263" w:rsidP="00EF4CBB" w14:paraId="235FAA4A" w14:textId="5C6E5A12">
            <w:pPr>
              <w:keepNext/>
              <w:keepLines/>
              <w:widowControl/>
              <w:jc w:val="center"/>
              <w:rPr>
                <w:rFonts w:ascii="Calibri" w:hAnsi="Calibri"/>
                <w:color w:val="000000"/>
              </w:rPr>
            </w:pPr>
            <w:r w:rsidRPr="002D3263">
              <w:rPr>
                <w:rFonts w:ascii="Calibri" w:hAnsi="Calibri" w:cs="Calibri"/>
                <w:color w:val="000000"/>
              </w:rPr>
              <w:t xml:space="preserve">$243,271 </w:t>
            </w:r>
          </w:p>
        </w:tc>
        <w:tc>
          <w:tcPr>
            <w:tcW w:w="1260" w:type="dxa"/>
            <w:shd w:val="clear" w:color="auto" w:fill="auto"/>
            <w:vAlign w:val="center"/>
          </w:tcPr>
          <w:p w:rsidR="00093828" w:rsidRPr="002D3263" w:rsidP="00EF4CBB" w14:paraId="2814AB88" w14:textId="10824F04">
            <w:pPr>
              <w:keepNext/>
              <w:keepLines/>
              <w:widowControl/>
              <w:jc w:val="center"/>
              <w:rPr>
                <w:rFonts w:ascii="Calibri" w:hAnsi="Calibri"/>
                <w:color w:val="000000"/>
              </w:rPr>
            </w:pPr>
            <w:r w:rsidRPr="002D3263">
              <w:rPr>
                <w:rFonts w:ascii="Calibri" w:hAnsi="Calibri" w:cs="Calibri"/>
                <w:color w:val="000000"/>
              </w:rPr>
              <w:t xml:space="preserve">$294,322 </w:t>
            </w:r>
          </w:p>
        </w:tc>
      </w:tr>
      <w:tr w14:paraId="0563BD7D" w14:textId="77777777" w:rsidTr="008A4DC9">
        <w:tblPrEx>
          <w:tblW w:w="5850" w:type="dxa"/>
          <w:jc w:val="center"/>
          <w:tblLayout w:type="fixed"/>
          <w:tblLook w:val="04A0"/>
        </w:tblPrEx>
        <w:trPr>
          <w:trHeight w:val="80"/>
          <w:jc w:val="center"/>
        </w:trPr>
        <w:tc>
          <w:tcPr>
            <w:tcW w:w="900" w:type="dxa"/>
            <w:shd w:val="clear" w:color="auto" w:fill="auto"/>
            <w:noWrap/>
            <w:vAlign w:val="center"/>
            <w:hideMark/>
          </w:tcPr>
          <w:p w:rsidR="00093828" w:rsidRPr="002D3263" w:rsidP="00EF4CBB" w14:paraId="30A6BFA0" w14:textId="721E0432">
            <w:pPr>
              <w:keepNext/>
              <w:keepLines/>
              <w:widowControl/>
              <w:jc w:val="center"/>
              <w:rPr>
                <w:rFonts w:ascii="Calibri" w:hAnsi="Calibri"/>
                <w:color w:val="000000"/>
              </w:rPr>
            </w:pPr>
            <w:r w:rsidRPr="002D3263">
              <w:rPr>
                <w:rFonts w:ascii="Calibri" w:hAnsi="Calibri" w:cs="Calibri"/>
                <w:color w:val="000000"/>
              </w:rPr>
              <w:t>2027</w:t>
            </w:r>
          </w:p>
        </w:tc>
        <w:tc>
          <w:tcPr>
            <w:tcW w:w="2250" w:type="dxa"/>
            <w:shd w:val="clear" w:color="auto" w:fill="auto"/>
            <w:vAlign w:val="center"/>
          </w:tcPr>
          <w:p w:rsidR="00093828" w:rsidRPr="002D3263" w:rsidP="00EF4CBB" w14:paraId="08122DC0" w14:textId="0493F7C4">
            <w:pPr>
              <w:keepNext/>
              <w:keepLines/>
              <w:widowControl/>
              <w:jc w:val="center"/>
              <w:rPr>
                <w:rFonts w:ascii="Calibri" w:hAnsi="Calibri"/>
                <w:color w:val="000000"/>
              </w:rPr>
            </w:pPr>
            <w:r w:rsidRPr="002D3263">
              <w:rPr>
                <w:rFonts w:ascii="Calibri" w:hAnsi="Calibri" w:cs="Calibri"/>
                <w:color w:val="000000"/>
              </w:rPr>
              <w:t xml:space="preserve">$341,200 </w:t>
            </w:r>
          </w:p>
        </w:tc>
        <w:tc>
          <w:tcPr>
            <w:tcW w:w="1440" w:type="dxa"/>
            <w:shd w:val="clear" w:color="auto" w:fill="auto"/>
            <w:vAlign w:val="center"/>
          </w:tcPr>
          <w:p w:rsidR="00093828" w:rsidRPr="002D3263" w:rsidP="00EF4CBB" w14:paraId="3C71E34F" w14:textId="3B94C896">
            <w:pPr>
              <w:keepNext/>
              <w:keepLines/>
              <w:widowControl/>
              <w:jc w:val="center"/>
              <w:rPr>
                <w:rFonts w:ascii="Calibri" w:hAnsi="Calibri"/>
                <w:color w:val="000000"/>
              </w:rPr>
            </w:pPr>
            <w:r w:rsidRPr="002D3263">
              <w:rPr>
                <w:rFonts w:ascii="Calibri" w:hAnsi="Calibri" w:cs="Calibri"/>
                <w:color w:val="000000"/>
              </w:rPr>
              <w:t xml:space="preserve">$227,356 </w:t>
            </w:r>
          </w:p>
        </w:tc>
        <w:tc>
          <w:tcPr>
            <w:tcW w:w="1260" w:type="dxa"/>
            <w:shd w:val="clear" w:color="auto" w:fill="auto"/>
            <w:vAlign w:val="center"/>
          </w:tcPr>
          <w:p w:rsidR="00093828" w:rsidRPr="002D3263" w:rsidP="00EF4CBB" w14:paraId="782A2F41" w14:textId="55DFE6AD">
            <w:pPr>
              <w:keepNext/>
              <w:keepLines/>
              <w:widowControl/>
              <w:jc w:val="center"/>
              <w:rPr>
                <w:rFonts w:ascii="Calibri" w:hAnsi="Calibri"/>
                <w:color w:val="000000"/>
              </w:rPr>
            </w:pPr>
            <w:r w:rsidRPr="002D3263">
              <w:rPr>
                <w:rFonts w:ascii="Calibri" w:hAnsi="Calibri" w:cs="Calibri"/>
                <w:color w:val="000000"/>
              </w:rPr>
              <w:t xml:space="preserve">$285,750 </w:t>
            </w:r>
          </w:p>
        </w:tc>
      </w:tr>
      <w:tr w14:paraId="36BD3A63" w14:textId="77777777" w:rsidTr="008A4DC9">
        <w:tblPrEx>
          <w:tblW w:w="5850" w:type="dxa"/>
          <w:jc w:val="center"/>
          <w:tblLayout w:type="fixed"/>
          <w:tblLook w:val="04A0"/>
        </w:tblPrEx>
        <w:trPr>
          <w:trHeight w:val="80"/>
          <w:jc w:val="center"/>
        </w:trPr>
        <w:tc>
          <w:tcPr>
            <w:tcW w:w="900" w:type="dxa"/>
            <w:shd w:val="clear" w:color="auto" w:fill="auto"/>
            <w:noWrap/>
            <w:vAlign w:val="center"/>
            <w:hideMark/>
          </w:tcPr>
          <w:p w:rsidR="00093828" w:rsidRPr="002D3263" w:rsidP="00EF4CBB" w14:paraId="5E691509" w14:textId="09A15FEE">
            <w:pPr>
              <w:keepNext/>
              <w:keepLines/>
              <w:widowControl/>
              <w:jc w:val="center"/>
              <w:rPr>
                <w:rFonts w:ascii="Calibri" w:hAnsi="Calibri"/>
                <w:color w:val="000000"/>
              </w:rPr>
            </w:pPr>
            <w:r w:rsidRPr="002D3263">
              <w:rPr>
                <w:rFonts w:ascii="Calibri" w:hAnsi="Calibri" w:cs="Calibri"/>
                <w:color w:val="000000"/>
              </w:rPr>
              <w:t>2028</w:t>
            </w:r>
          </w:p>
        </w:tc>
        <w:tc>
          <w:tcPr>
            <w:tcW w:w="2250" w:type="dxa"/>
            <w:shd w:val="clear" w:color="auto" w:fill="auto"/>
            <w:vAlign w:val="center"/>
          </w:tcPr>
          <w:p w:rsidR="00093828" w:rsidRPr="002D3263" w:rsidP="00EF4CBB" w14:paraId="0058F60E" w14:textId="0EE9E237">
            <w:pPr>
              <w:keepNext/>
              <w:keepLines/>
              <w:widowControl/>
              <w:jc w:val="center"/>
              <w:rPr>
                <w:rFonts w:ascii="Calibri" w:hAnsi="Calibri"/>
                <w:color w:val="000000"/>
              </w:rPr>
            </w:pPr>
            <w:r w:rsidRPr="002D3263">
              <w:rPr>
                <w:rFonts w:ascii="Calibri" w:hAnsi="Calibri" w:cs="Calibri"/>
                <w:color w:val="000000"/>
              </w:rPr>
              <w:t xml:space="preserve">$341,200 </w:t>
            </w:r>
          </w:p>
        </w:tc>
        <w:tc>
          <w:tcPr>
            <w:tcW w:w="1440" w:type="dxa"/>
            <w:shd w:val="clear" w:color="auto" w:fill="auto"/>
            <w:vAlign w:val="center"/>
          </w:tcPr>
          <w:p w:rsidR="00093828" w:rsidRPr="002D3263" w:rsidP="00EF4CBB" w14:paraId="6FE42D42" w14:textId="3D9806A9">
            <w:pPr>
              <w:keepNext/>
              <w:keepLines/>
              <w:widowControl/>
              <w:jc w:val="center"/>
              <w:rPr>
                <w:rFonts w:ascii="Calibri" w:hAnsi="Calibri"/>
                <w:color w:val="000000"/>
              </w:rPr>
            </w:pPr>
            <w:r w:rsidRPr="002D3263">
              <w:rPr>
                <w:rFonts w:ascii="Calibri" w:hAnsi="Calibri" w:cs="Calibri"/>
                <w:color w:val="000000"/>
              </w:rPr>
              <w:t xml:space="preserve">$212,482 </w:t>
            </w:r>
          </w:p>
        </w:tc>
        <w:tc>
          <w:tcPr>
            <w:tcW w:w="1260" w:type="dxa"/>
            <w:shd w:val="clear" w:color="auto" w:fill="auto"/>
            <w:vAlign w:val="center"/>
          </w:tcPr>
          <w:p w:rsidR="00093828" w:rsidRPr="002D3263" w:rsidP="00EF4CBB" w14:paraId="1FA92355" w14:textId="0C446175">
            <w:pPr>
              <w:keepNext/>
              <w:keepLines/>
              <w:widowControl/>
              <w:jc w:val="center"/>
              <w:rPr>
                <w:rFonts w:ascii="Calibri" w:hAnsi="Calibri"/>
                <w:color w:val="000000"/>
              </w:rPr>
            </w:pPr>
            <w:r w:rsidRPr="002D3263">
              <w:rPr>
                <w:rFonts w:ascii="Calibri" w:hAnsi="Calibri" w:cs="Calibri"/>
                <w:color w:val="000000"/>
              </w:rPr>
              <w:t xml:space="preserve">$277,427 </w:t>
            </w:r>
          </w:p>
        </w:tc>
      </w:tr>
      <w:tr w14:paraId="23B09A7D" w14:textId="77777777" w:rsidTr="008A4DC9">
        <w:tblPrEx>
          <w:tblW w:w="5850" w:type="dxa"/>
          <w:jc w:val="center"/>
          <w:tblLayout w:type="fixed"/>
          <w:tblLook w:val="04A0"/>
        </w:tblPrEx>
        <w:trPr>
          <w:trHeight w:val="80"/>
          <w:jc w:val="center"/>
        </w:trPr>
        <w:tc>
          <w:tcPr>
            <w:tcW w:w="900" w:type="dxa"/>
            <w:shd w:val="clear" w:color="auto" w:fill="auto"/>
            <w:noWrap/>
            <w:vAlign w:val="center"/>
            <w:hideMark/>
          </w:tcPr>
          <w:p w:rsidR="00093828" w:rsidRPr="002D3263" w:rsidP="00EF4CBB" w14:paraId="1475BEE2" w14:textId="365B73BC">
            <w:pPr>
              <w:keepNext/>
              <w:keepLines/>
              <w:widowControl/>
              <w:jc w:val="center"/>
              <w:rPr>
                <w:rFonts w:ascii="Calibri" w:hAnsi="Calibri"/>
                <w:color w:val="000000"/>
              </w:rPr>
            </w:pPr>
            <w:r w:rsidRPr="002D3263">
              <w:rPr>
                <w:rFonts w:ascii="Calibri" w:hAnsi="Calibri" w:cs="Calibri"/>
                <w:color w:val="000000"/>
              </w:rPr>
              <w:t>2029</w:t>
            </w:r>
          </w:p>
        </w:tc>
        <w:tc>
          <w:tcPr>
            <w:tcW w:w="2250" w:type="dxa"/>
            <w:shd w:val="clear" w:color="auto" w:fill="auto"/>
            <w:vAlign w:val="center"/>
          </w:tcPr>
          <w:p w:rsidR="00093828" w:rsidRPr="002D3263" w:rsidP="00EF4CBB" w14:paraId="0428B28E" w14:textId="6D73CFE8">
            <w:pPr>
              <w:keepNext/>
              <w:keepLines/>
              <w:widowControl/>
              <w:jc w:val="center"/>
              <w:rPr>
                <w:rFonts w:ascii="Calibri" w:hAnsi="Calibri"/>
                <w:color w:val="000000"/>
              </w:rPr>
            </w:pPr>
            <w:r w:rsidRPr="002D3263">
              <w:rPr>
                <w:rFonts w:ascii="Calibri" w:hAnsi="Calibri" w:cs="Calibri"/>
                <w:color w:val="000000"/>
              </w:rPr>
              <w:t xml:space="preserve">$341,200 </w:t>
            </w:r>
          </w:p>
        </w:tc>
        <w:tc>
          <w:tcPr>
            <w:tcW w:w="1440" w:type="dxa"/>
            <w:shd w:val="clear" w:color="auto" w:fill="auto"/>
            <w:vAlign w:val="center"/>
          </w:tcPr>
          <w:p w:rsidR="00093828" w:rsidRPr="002D3263" w:rsidP="00EF4CBB" w14:paraId="2856ABE2" w14:textId="0EFBE49B">
            <w:pPr>
              <w:keepNext/>
              <w:keepLines/>
              <w:widowControl/>
              <w:jc w:val="center"/>
              <w:rPr>
                <w:rFonts w:ascii="Calibri" w:hAnsi="Calibri"/>
                <w:color w:val="000000"/>
              </w:rPr>
            </w:pPr>
            <w:r w:rsidRPr="002D3263">
              <w:rPr>
                <w:rFonts w:ascii="Calibri" w:hAnsi="Calibri" w:cs="Calibri"/>
                <w:color w:val="000000"/>
              </w:rPr>
              <w:t xml:space="preserve">$198,582 </w:t>
            </w:r>
          </w:p>
        </w:tc>
        <w:tc>
          <w:tcPr>
            <w:tcW w:w="1260" w:type="dxa"/>
            <w:shd w:val="clear" w:color="auto" w:fill="auto"/>
            <w:vAlign w:val="center"/>
          </w:tcPr>
          <w:p w:rsidR="00093828" w:rsidRPr="002D3263" w:rsidP="00EF4CBB" w14:paraId="200CBCB8" w14:textId="707DC262">
            <w:pPr>
              <w:keepNext/>
              <w:keepLines/>
              <w:widowControl/>
              <w:jc w:val="center"/>
              <w:rPr>
                <w:rFonts w:ascii="Calibri" w:hAnsi="Calibri"/>
                <w:color w:val="000000"/>
              </w:rPr>
            </w:pPr>
            <w:r w:rsidRPr="002D3263">
              <w:rPr>
                <w:rFonts w:ascii="Calibri" w:hAnsi="Calibri" w:cs="Calibri"/>
                <w:color w:val="000000"/>
              </w:rPr>
              <w:t xml:space="preserve">$269,346 </w:t>
            </w:r>
          </w:p>
        </w:tc>
      </w:tr>
      <w:tr w14:paraId="2C90FF98" w14:textId="77777777" w:rsidTr="008A4DC9">
        <w:tblPrEx>
          <w:tblW w:w="5850" w:type="dxa"/>
          <w:jc w:val="center"/>
          <w:tblLayout w:type="fixed"/>
          <w:tblLook w:val="04A0"/>
        </w:tblPrEx>
        <w:trPr>
          <w:trHeight w:val="80"/>
          <w:jc w:val="center"/>
        </w:trPr>
        <w:tc>
          <w:tcPr>
            <w:tcW w:w="900" w:type="dxa"/>
            <w:shd w:val="clear" w:color="auto" w:fill="auto"/>
            <w:noWrap/>
            <w:vAlign w:val="center"/>
            <w:hideMark/>
          </w:tcPr>
          <w:p w:rsidR="00093828" w:rsidRPr="002D3263" w:rsidP="00EF4CBB" w14:paraId="4923775D" w14:textId="23970CA9">
            <w:pPr>
              <w:keepNext/>
              <w:keepLines/>
              <w:widowControl/>
              <w:jc w:val="center"/>
              <w:rPr>
                <w:rFonts w:ascii="Calibri" w:hAnsi="Calibri"/>
                <w:color w:val="000000"/>
              </w:rPr>
            </w:pPr>
            <w:r w:rsidRPr="002D3263">
              <w:rPr>
                <w:rFonts w:ascii="Calibri" w:hAnsi="Calibri" w:cs="Calibri"/>
                <w:color w:val="000000"/>
              </w:rPr>
              <w:t>2030</w:t>
            </w:r>
          </w:p>
        </w:tc>
        <w:tc>
          <w:tcPr>
            <w:tcW w:w="2250" w:type="dxa"/>
            <w:shd w:val="clear" w:color="auto" w:fill="auto"/>
            <w:vAlign w:val="center"/>
          </w:tcPr>
          <w:p w:rsidR="00093828" w:rsidRPr="002D3263" w:rsidP="00EF4CBB" w14:paraId="70A70F56" w14:textId="74CD67F6">
            <w:pPr>
              <w:keepNext/>
              <w:keepLines/>
              <w:widowControl/>
              <w:jc w:val="center"/>
              <w:rPr>
                <w:rFonts w:ascii="Calibri" w:hAnsi="Calibri"/>
                <w:color w:val="000000"/>
              </w:rPr>
            </w:pPr>
            <w:r w:rsidRPr="002D3263">
              <w:rPr>
                <w:rFonts w:ascii="Calibri" w:hAnsi="Calibri" w:cs="Calibri"/>
                <w:color w:val="000000"/>
              </w:rPr>
              <w:t xml:space="preserve">$341,200 </w:t>
            </w:r>
          </w:p>
        </w:tc>
        <w:tc>
          <w:tcPr>
            <w:tcW w:w="1440" w:type="dxa"/>
            <w:shd w:val="clear" w:color="auto" w:fill="auto"/>
            <w:vAlign w:val="center"/>
          </w:tcPr>
          <w:p w:rsidR="00093828" w:rsidRPr="002D3263" w:rsidP="00EF4CBB" w14:paraId="54044D4D" w14:textId="071A4DE5">
            <w:pPr>
              <w:keepNext/>
              <w:keepLines/>
              <w:widowControl/>
              <w:jc w:val="center"/>
              <w:rPr>
                <w:rFonts w:ascii="Calibri" w:hAnsi="Calibri"/>
                <w:color w:val="000000"/>
              </w:rPr>
            </w:pPr>
            <w:r w:rsidRPr="002D3263">
              <w:rPr>
                <w:rFonts w:ascii="Calibri" w:hAnsi="Calibri" w:cs="Calibri"/>
                <w:color w:val="000000"/>
              </w:rPr>
              <w:t xml:space="preserve">$185,590 </w:t>
            </w:r>
          </w:p>
        </w:tc>
        <w:tc>
          <w:tcPr>
            <w:tcW w:w="1260" w:type="dxa"/>
            <w:shd w:val="clear" w:color="auto" w:fill="auto"/>
            <w:vAlign w:val="center"/>
          </w:tcPr>
          <w:p w:rsidR="00093828" w:rsidRPr="002D3263" w:rsidP="00EF4CBB" w14:paraId="441674F0" w14:textId="172AF1AE">
            <w:pPr>
              <w:keepNext/>
              <w:keepLines/>
              <w:widowControl/>
              <w:jc w:val="center"/>
              <w:rPr>
                <w:rFonts w:ascii="Calibri" w:hAnsi="Calibri"/>
                <w:color w:val="000000"/>
              </w:rPr>
            </w:pPr>
            <w:r w:rsidRPr="002D3263">
              <w:rPr>
                <w:rFonts w:ascii="Calibri" w:hAnsi="Calibri" w:cs="Calibri"/>
                <w:color w:val="000000"/>
              </w:rPr>
              <w:t xml:space="preserve">$261,501 </w:t>
            </w:r>
          </w:p>
        </w:tc>
      </w:tr>
      <w:tr w14:paraId="4594CA4B" w14:textId="77777777" w:rsidTr="008A4DC9">
        <w:tblPrEx>
          <w:tblW w:w="5850" w:type="dxa"/>
          <w:jc w:val="center"/>
          <w:tblLayout w:type="fixed"/>
          <w:tblLook w:val="04A0"/>
        </w:tblPrEx>
        <w:trPr>
          <w:trHeight w:val="80"/>
          <w:jc w:val="center"/>
        </w:trPr>
        <w:tc>
          <w:tcPr>
            <w:tcW w:w="900" w:type="dxa"/>
            <w:shd w:val="clear" w:color="auto" w:fill="auto"/>
            <w:noWrap/>
            <w:vAlign w:val="center"/>
            <w:hideMark/>
          </w:tcPr>
          <w:p w:rsidR="00093828" w:rsidRPr="002D3263" w:rsidP="00EF4CBB" w14:paraId="51AA2CFB" w14:textId="65866F7C">
            <w:pPr>
              <w:keepNext/>
              <w:keepLines/>
              <w:widowControl/>
              <w:jc w:val="center"/>
              <w:rPr>
                <w:rFonts w:ascii="Calibri" w:hAnsi="Calibri"/>
                <w:color w:val="000000"/>
              </w:rPr>
            </w:pPr>
            <w:r w:rsidRPr="002D3263">
              <w:rPr>
                <w:rFonts w:ascii="Calibri" w:hAnsi="Calibri" w:cs="Calibri"/>
                <w:color w:val="000000"/>
              </w:rPr>
              <w:t>2031</w:t>
            </w:r>
          </w:p>
        </w:tc>
        <w:tc>
          <w:tcPr>
            <w:tcW w:w="2250" w:type="dxa"/>
            <w:shd w:val="clear" w:color="auto" w:fill="auto"/>
            <w:vAlign w:val="center"/>
          </w:tcPr>
          <w:p w:rsidR="00093828" w:rsidRPr="002D3263" w:rsidP="00EF4CBB" w14:paraId="088C6CF5" w14:textId="716FC8A0">
            <w:pPr>
              <w:keepNext/>
              <w:keepLines/>
              <w:widowControl/>
              <w:jc w:val="center"/>
              <w:rPr>
                <w:rFonts w:ascii="Calibri" w:hAnsi="Calibri"/>
                <w:color w:val="000000"/>
              </w:rPr>
            </w:pPr>
            <w:r w:rsidRPr="002D3263">
              <w:rPr>
                <w:rFonts w:ascii="Calibri" w:hAnsi="Calibri" w:cs="Calibri"/>
                <w:color w:val="000000"/>
              </w:rPr>
              <w:t xml:space="preserve">$341,200 </w:t>
            </w:r>
          </w:p>
        </w:tc>
        <w:tc>
          <w:tcPr>
            <w:tcW w:w="1440" w:type="dxa"/>
            <w:shd w:val="clear" w:color="auto" w:fill="auto"/>
            <w:vAlign w:val="center"/>
          </w:tcPr>
          <w:p w:rsidR="00093828" w:rsidRPr="002D3263" w:rsidP="00EF4CBB" w14:paraId="0E3CA955" w14:textId="6870A77F">
            <w:pPr>
              <w:keepNext/>
              <w:keepLines/>
              <w:widowControl/>
              <w:jc w:val="center"/>
              <w:rPr>
                <w:rFonts w:ascii="Calibri" w:hAnsi="Calibri"/>
                <w:color w:val="000000"/>
              </w:rPr>
            </w:pPr>
            <w:r w:rsidRPr="002D3263">
              <w:rPr>
                <w:rFonts w:ascii="Calibri" w:hAnsi="Calibri" w:cs="Calibri"/>
                <w:color w:val="000000"/>
              </w:rPr>
              <w:t xml:space="preserve">$173,449 </w:t>
            </w:r>
          </w:p>
        </w:tc>
        <w:tc>
          <w:tcPr>
            <w:tcW w:w="1260" w:type="dxa"/>
            <w:shd w:val="clear" w:color="auto" w:fill="auto"/>
            <w:vAlign w:val="center"/>
          </w:tcPr>
          <w:p w:rsidR="00093828" w:rsidRPr="002D3263" w:rsidP="00EF4CBB" w14:paraId="4838C971" w14:textId="44D69944">
            <w:pPr>
              <w:keepNext/>
              <w:keepLines/>
              <w:widowControl/>
              <w:jc w:val="center"/>
              <w:rPr>
                <w:rFonts w:ascii="Calibri" w:hAnsi="Calibri"/>
                <w:color w:val="000000"/>
              </w:rPr>
            </w:pPr>
            <w:r w:rsidRPr="002D3263">
              <w:rPr>
                <w:rFonts w:ascii="Calibri" w:hAnsi="Calibri" w:cs="Calibri"/>
                <w:color w:val="000000"/>
              </w:rPr>
              <w:t xml:space="preserve">$253,885 </w:t>
            </w:r>
          </w:p>
        </w:tc>
      </w:tr>
      <w:tr w14:paraId="3F63DF77" w14:textId="77777777" w:rsidTr="008A4DC9">
        <w:tblPrEx>
          <w:tblW w:w="5850" w:type="dxa"/>
          <w:jc w:val="center"/>
          <w:tblLayout w:type="fixed"/>
          <w:tblLook w:val="04A0"/>
        </w:tblPrEx>
        <w:trPr>
          <w:trHeight w:val="80"/>
          <w:jc w:val="center"/>
        </w:trPr>
        <w:tc>
          <w:tcPr>
            <w:tcW w:w="900" w:type="dxa"/>
            <w:shd w:val="clear" w:color="auto" w:fill="auto"/>
            <w:noWrap/>
            <w:vAlign w:val="center"/>
            <w:hideMark/>
          </w:tcPr>
          <w:p w:rsidR="00093828" w:rsidRPr="002D3263" w:rsidP="00EF4CBB" w14:paraId="78217BB4" w14:textId="77C28F48">
            <w:pPr>
              <w:keepNext/>
              <w:keepLines/>
              <w:widowControl/>
              <w:jc w:val="center"/>
              <w:rPr>
                <w:rFonts w:ascii="Calibri" w:hAnsi="Calibri"/>
                <w:color w:val="000000"/>
              </w:rPr>
            </w:pPr>
            <w:r w:rsidRPr="002D3263">
              <w:rPr>
                <w:rFonts w:ascii="Calibri" w:hAnsi="Calibri" w:cs="Calibri"/>
                <w:color w:val="000000"/>
              </w:rPr>
              <w:t>2032</w:t>
            </w:r>
          </w:p>
        </w:tc>
        <w:tc>
          <w:tcPr>
            <w:tcW w:w="2250" w:type="dxa"/>
            <w:shd w:val="clear" w:color="auto" w:fill="auto"/>
            <w:vAlign w:val="center"/>
          </w:tcPr>
          <w:p w:rsidR="00093828" w:rsidRPr="002D3263" w:rsidP="00EF4CBB" w14:paraId="3793AE23" w14:textId="7DFFA53A">
            <w:pPr>
              <w:keepNext/>
              <w:keepLines/>
              <w:widowControl/>
              <w:jc w:val="center"/>
              <w:rPr>
                <w:rFonts w:ascii="Calibri" w:hAnsi="Calibri"/>
                <w:color w:val="000000"/>
              </w:rPr>
            </w:pPr>
            <w:r w:rsidRPr="002D3263">
              <w:rPr>
                <w:rFonts w:ascii="Calibri" w:hAnsi="Calibri" w:cs="Calibri"/>
                <w:color w:val="000000"/>
              </w:rPr>
              <w:t xml:space="preserve">$341,200 </w:t>
            </w:r>
          </w:p>
        </w:tc>
        <w:tc>
          <w:tcPr>
            <w:tcW w:w="1440" w:type="dxa"/>
            <w:shd w:val="clear" w:color="auto" w:fill="auto"/>
            <w:vAlign w:val="center"/>
          </w:tcPr>
          <w:p w:rsidR="00093828" w:rsidRPr="002D3263" w:rsidP="00EF4CBB" w14:paraId="378C5765" w14:textId="5372ADD0">
            <w:pPr>
              <w:keepNext/>
              <w:keepLines/>
              <w:widowControl/>
              <w:jc w:val="center"/>
              <w:rPr>
                <w:rFonts w:ascii="Calibri" w:hAnsi="Calibri"/>
                <w:color w:val="000000"/>
              </w:rPr>
            </w:pPr>
            <w:r w:rsidRPr="002D3263">
              <w:rPr>
                <w:rFonts w:ascii="Calibri" w:hAnsi="Calibri" w:cs="Calibri"/>
                <w:color w:val="000000"/>
              </w:rPr>
              <w:t xml:space="preserve">$162,102 </w:t>
            </w:r>
          </w:p>
        </w:tc>
        <w:tc>
          <w:tcPr>
            <w:tcW w:w="1260" w:type="dxa"/>
            <w:shd w:val="clear" w:color="auto" w:fill="auto"/>
            <w:vAlign w:val="center"/>
          </w:tcPr>
          <w:p w:rsidR="00093828" w:rsidRPr="002D3263" w:rsidP="00EF4CBB" w14:paraId="1E01A000" w14:textId="7182D542">
            <w:pPr>
              <w:keepNext/>
              <w:keepLines/>
              <w:widowControl/>
              <w:jc w:val="center"/>
              <w:rPr>
                <w:rFonts w:ascii="Calibri" w:hAnsi="Calibri"/>
                <w:color w:val="000000"/>
              </w:rPr>
            </w:pPr>
            <w:r w:rsidRPr="002D3263">
              <w:rPr>
                <w:rFonts w:ascii="Calibri" w:hAnsi="Calibri" w:cs="Calibri"/>
                <w:color w:val="000000"/>
              </w:rPr>
              <w:t xml:space="preserve">$246,490 </w:t>
            </w:r>
          </w:p>
        </w:tc>
      </w:tr>
      <w:tr w14:paraId="41308FDF" w14:textId="77777777" w:rsidTr="008A4DC9">
        <w:tblPrEx>
          <w:tblW w:w="5850" w:type="dxa"/>
          <w:jc w:val="center"/>
          <w:tblLayout w:type="fixed"/>
          <w:tblLook w:val="04A0"/>
        </w:tblPrEx>
        <w:trPr>
          <w:trHeight w:val="315"/>
          <w:jc w:val="center"/>
        </w:trPr>
        <w:tc>
          <w:tcPr>
            <w:tcW w:w="900" w:type="dxa"/>
            <w:tcBorders>
              <w:bottom w:val="single" w:sz="12" w:space="0" w:color="auto"/>
            </w:tcBorders>
            <w:shd w:val="clear" w:color="auto" w:fill="auto"/>
            <w:noWrap/>
            <w:vAlign w:val="center"/>
            <w:hideMark/>
          </w:tcPr>
          <w:p w:rsidR="00093828" w:rsidRPr="002D3263" w:rsidP="00093828" w14:paraId="7580AC4C" w14:textId="6A787AF8">
            <w:pPr>
              <w:keepNext/>
              <w:keepLines/>
              <w:widowControl/>
              <w:spacing w:line="240" w:lineRule="auto"/>
              <w:jc w:val="center"/>
              <w:rPr>
                <w:rFonts w:ascii="Calibri" w:eastAsia="Times New Roman" w:hAnsi="Calibri" w:cs="Times New Roman"/>
                <w:b/>
                <w:color w:val="000000"/>
              </w:rPr>
            </w:pPr>
            <w:r w:rsidRPr="002D3263">
              <w:rPr>
                <w:rFonts w:ascii="Calibri" w:hAnsi="Calibri" w:cs="Calibri"/>
                <w:b/>
                <w:bCs/>
                <w:color w:val="000000"/>
              </w:rPr>
              <w:t>Total*</w:t>
            </w:r>
          </w:p>
        </w:tc>
        <w:tc>
          <w:tcPr>
            <w:tcW w:w="2250" w:type="dxa"/>
            <w:tcBorders>
              <w:bottom w:val="single" w:sz="12" w:space="0" w:color="auto"/>
            </w:tcBorders>
            <w:shd w:val="clear" w:color="auto" w:fill="auto"/>
            <w:vAlign w:val="center"/>
          </w:tcPr>
          <w:p w:rsidR="00093828" w:rsidRPr="002D3263" w:rsidP="00EF4CBB" w14:paraId="645ED82B" w14:textId="433C36DE">
            <w:pPr>
              <w:keepNext/>
              <w:keepLines/>
              <w:widowControl/>
              <w:jc w:val="center"/>
              <w:rPr>
                <w:rFonts w:ascii="Calibri" w:hAnsi="Calibri"/>
                <w:b/>
                <w:color w:val="000000"/>
              </w:rPr>
            </w:pPr>
            <w:r w:rsidRPr="002D3263">
              <w:rPr>
                <w:rFonts w:ascii="Calibri" w:hAnsi="Calibri" w:cs="Calibri"/>
                <w:b/>
                <w:bCs/>
                <w:color w:val="000000"/>
              </w:rPr>
              <w:t xml:space="preserve">$3,412,000 </w:t>
            </w:r>
          </w:p>
        </w:tc>
        <w:tc>
          <w:tcPr>
            <w:tcW w:w="1440" w:type="dxa"/>
            <w:tcBorders>
              <w:bottom w:val="single" w:sz="12" w:space="0" w:color="auto"/>
            </w:tcBorders>
            <w:shd w:val="clear" w:color="auto" w:fill="auto"/>
            <w:vAlign w:val="center"/>
          </w:tcPr>
          <w:p w:rsidR="00093828" w:rsidRPr="002D3263" w:rsidP="00EF4CBB" w14:paraId="2597CD81" w14:textId="7811C015">
            <w:pPr>
              <w:keepNext/>
              <w:keepLines/>
              <w:widowControl/>
              <w:jc w:val="center"/>
              <w:rPr>
                <w:rFonts w:ascii="Calibri" w:hAnsi="Calibri"/>
                <w:b/>
                <w:color w:val="000000"/>
              </w:rPr>
            </w:pPr>
            <w:r w:rsidRPr="002D3263">
              <w:rPr>
                <w:rFonts w:ascii="Calibri" w:hAnsi="Calibri" w:cs="Calibri"/>
                <w:b/>
                <w:bCs/>
                <w:color w:val="000000"/>
              </w:rPr>
              <w:t xml:space="preserve">$2,239,669 </w:t>
            </w:r>
          </w:p>
        </w:tc>
        <w:tc>
          <w:tcPr>
            <w:tcW w:w="1260" w:type="dxa"/>
            <w:tcBorders>
              <w:bottom w:val="single" w:sz="12" w:space="0" w:color="auto"/>
            </w:tcBorders>
            <w:shd w:val="clear" w:color="auto" w:fill="auto"/>
            <w:vAlign w:val="center"/>
          </w:tcPr>
          <w:p w:rsidR="00093828" w:rsidRPr="002D3263" w:rsidP="00EF4CBB" w14:paraId="4BB38635" w14:textId="5C02D2DF">
            <w:pPr>
              <w:keepNext/>
              <w:keepLines/>
              <w:widowControl/>
              <w:jc w:val="center"/>
              <w:rPr>
                <w:rFonts w:ascii="Calibri" w:hAnsi="Calibri"/>
                <w:b/>
                <w:color w:val="000000"/>
              </w:rPr>
            </w:pPr>
            <w:r w:rsidRPr="002D3263">
              <w:rPr>
                <w:rFonts w:ascii="Calibri" w:hAnsi="Calibri" w:cs="Calibri"/>
                <w:b/>
                <w:bCs/>
                <w:color w:val="000000"/>
              </w:rPr>
              <w:t xml:space="preserve">$2,825,733 </w:t>
            </w:r>
          </w:p>
        </w:tc>
      </w:tr>
      <w:tr w14:paraId="12D0177B" w14:textId="77777777" w:rsidTr="008A4DC9">
        <w:tblPrEx>
          <w:tblW w:w="5850" w:type="dxa"/>
          <w:jc w:val="center"/>
          <w:tblLayout w:type="fixed"/>
          <w:tblLook w:val="04A0"/>
        </w:tblPrEx>
        <w:trPr>
          <w:trHeight w:val="315"/>
          <w:jc w:val="center"/>
        </w:trPr>
        <w:tc>
          <w:tcPr>
            <w:tcW w:w="5850" w:type="dxa"/>
            <w:gridSpan w:val="4"/>
            <w:tcBorders>
              <w:top w:val="single" w:sz="12" w:space="0" w:color="auto"/>
            </w:tcBorders>
            <w:shd w:val="clear" w:color="auto" w:fill="auto"/>
            <w:noWrap/>
            <w:vAlign w:val="center"/>
          </w:tcPr>
          <w:p w:rsidR="00A85683" w:rsidP="00EF4CBB" w14:paraId="2E9ECE66" w14:textId="77777777">
            <w:pPr>
              <w:keepNext/>
              <w:widowControl/>
              <w:rPr>
                <w:rFonts w:ascii="Calibri" w:hAnsi="Calibri"/>
                <w:color w:val="000000"/>
              </w:rPr>
            </w:pPr>
            <w:r w:rsidRPr="002D3263">
              <w:rPr>
                <w:rFonts w:ascii="Calibri" w:hAnsi="Calibri"/>
                <w:color w:val="000000"/>
              </w:rPr>
              <w:t>*Totals may not match sums due to rounding</w:t>
            </w:r>
          </w:p>
          <w:p w:rsidR="00653D61" w:rsidRPr="002D3263" w:rsidP="00EF4CBB" w14:paraId="7F0C3812" w14:textId="7B92178F">
            <w:pPr>
              <w:keepNext/>
              <w:widowControl/>
              <w:rPr>
                <w:rFonts w:ascii="Calibri" w:hAnsi="Calibri"/>
                <w:b/>
                <w:color w:val="000000"/>
              </w:rPr>
            </w:pPr>
          </w:p>
        </w:tc>
      </w:tr>
    </w:tbl>
    <w:p w:rsidR="0033675D" w:rsidRPr="002D3263" w:rsidP="00C53C33" w14:paraId="018CC515" w14:textId="1456BC6B">
      <w:pPr>
        <w:pStyle w:val="Heading2"/>
      </w:pPr>
      <w:bookmarkStart w:id="77" w:name="_Toc68008777"/>
      <w:bookmarkStart w:id="78" w:name="_Toc68008943"/>
      <w:bookmarkStart w:id="79" w:name="_Toc68008778"/>
      <w:bookmarkStart w:id="80" w:name="_Toc68008944"/>
      <w:bookmarkStart w:id="81" w:name="_Toc127438032"/>
      <w:bookmarkEnd w:id="77"/>
      <w:bookmarkEnd w:id="78"/>
      <w:bookmarkEnd w:id="79"/>
      <w:bookmarkEnd w:id="80"/>
      <w:r w:rsidRPr="002D3263">
        <w:t>Residential Self-Moves</w:t>
      </w:r>
      <w:bookmarkEnd w:id="81"/>
    </w:p>
    <w:p w:rsidR="0033675D" w:rsidRPr="002D3263" w:rsidP="00E85518" w14:paraId="4C558ED1" w14:textId="2D033F15">
      <w:pPr>
        <w:widowControl/>
        <w:spacing w:after="240"/>
      </w:pPr>
      <w:r w:rsidRPr="002D3263">
        <w:t xml:space="preserve">In response to comments to the NPRM, FHWA revised the final rule related to payment for self-moves. </w:t>
      </w:r>
      <w:r w:rsidR="00B210CA">
        <w:t xml:space="preserve"> </w:t>
      </w:r>
      <w:r w:rsidRPr="002D3263">
        <w:t xml:space="preserve">The changes are found at </w:t>
      </w:r>
      <w:r w:rsidRPr="002D3263" w:rsidR="00EF7FA5">
        <w:t>S</w:t>
      </w:r>
      <w:r w:rsidRPr="002D3263">
        <w:t>ection 24.301(b)(</w:t>
      </w:r>
      <w:r w:rsidRPr="002D3263">
        <w:t>2)(</w:t>
      </w:r>
      <w:r w:rsidRPr="002D3263">
        <w:t xml:space="preserve">ii-iv) and </w:t>
      </w:r>
      <w:r w:rsidRPr="002D3263" w:rsidR="00EF7FA5">
        <w:t xml:space="preserve">Section </w:t>
      </w:r>
      <w:r w:rsidRPr="002D3263">
        <w:t xml:space="preserve">24.301(c)(2)(ii-iv). </w:t>
      </w:r>
      <w:r w:rsidR="00B210CA">
        <w:t xml:space="preserve"> </w:t>
      </w:r>
      <w:r w:rsidRPr="002D3263">
        <w:t xml:space="preserve">Subparagraph (ii) adds criteria needed to determine and document self-move reimbursement eligibility. </w:t>
      </w:r>
      <w:r w:rsidR="00B210CA">
        <w:t xml:space="preserve"> </w:t>
      </w:r>
      <w:r w:rsidRPr="002D3263">
        <w:t xml:space="preserve">Subparagraph (iii) adds new flexibility to allow use of a move cost estimate prepared by qualified Agency staff and subparagraph (iv) adds new flexibility to base residential self-move cost reimbursement eligibility on the lower of two commercial moving cost bids. </w:t>
      </w:r>
      <w:r w:rsidR="00B210CA">
        <w:t xml:space="preserve"> </w:t>
      </w:r>
      <w:r w:rsidRPr="002D3263">
        <w:t xml:space="preserve">Previously the self-move cost reimbursement was made based on a fixed schedule periodically published by FHWA or by documenting actual receipted expenses related to the self-move such as equipment rental and </w:t>
      </w:r>
      <w:r w:rsidRPr="002D3263" w:rsidR="00927FF1">
        <w:t>labor</w:t>
      </w:r>
      <w:r w:rsidRPr="002D3263">
        <w:t>.</w:t>
      </w:r>
    </w:p>
    <w:p w:rsidR="00927FF1" w:rsidRPr="002D3263" w:rsidP="00EF4CBB" w14:paraId="12230D62" w14:textId="2871CE70">
      <w:pPr>
        <w:pStyle w:val="Heading3"/>
        <w:widowControl/>
      </w:pPr>
      <w:bookmarkStart w:id="82" w:name="_Toc127438033"/>
      <w:r w:rsidRPr="002D3263">
        <w:t>Administrative Cost Savings</w:t>
      </w:r>
      <w:bookmarkEnd w:id="82"/>
    </w:p>
    <w:p w:rsidR="0033675D" w:rsidRPr="002D3263" w:rsidP="00EF4CBB" w14:paraId="150D1D32" w14:textId="00755682">
      <w:pPr>
        <w:pStyle w:val="Body"/>
        <w:widowControl/>
      </w:pPr>
      <w:r w:rsidRPr="002D3263">
        <w:t xml:space="preserve">The flexibility to use a cost estimate prepared by qualified </w:t>
      </w:r>
      <w:r w:rsidR="007D41B2">
        <w:t>A</w:t>
      </w:r>
      <w:r w:rsidRPr="002D3263">
        <w:t xml:space="preserve">gency staff </w:t>
      </w:r>
      <w:r w:rsidRPr="002D3263">
        <w:t xml:space="preserve">is a benefit because its use will </w:t>
      </w:r>
      <w:r w:rsidRPr="002D3263">
        <w:t>result</w:t>
      </w:r>
      <w:r w:rsidRPr="002D3263">
        <w:t xml:space="preserve"> in cost savings through reduced administrative burdens and paperwork for Agencies subject to the Uniform Act for low cost, uncomplicated personal property only moves as opposed to obtaining a commercial bid. </w:t>
      </w:r>
      <w:r w:rsidR="00B210CA">
        <w:t xml:space="preserve"> </w:t>
      </w:r>
      <w:r w:rsidRPr="002D3263">
        <w:t>These cost savings are not quantifiable as their use will be voluntary on the part of the Agencies, and a method for tracking the actual instances where this moving cost payment method will be used has not been established.</w:t>
      </w:r>
    </w:p>
    <w:p w:rsidR="0033675D" w:rsidRPr="002D3263" w:rsidP="00EF4CBB" w14:paraId="3325BFA9" w14:textId="308463B6">
      <w:pPr>
        <w:pStyle w:val="Body"/>
        <w:widowControl/>
      </w:pPr>
      <w:r w:rsidRPr="002D3263">
        <w:t xml:space="preserve">The flexibility to use </w:t>
      </w:r>
      <w:r w:rsidR="00732A88">
        <w:t>the lo</w:t>
      </w:r>
      <w:r w:rsidRPr="002D3263">
        <w:t>wer of two commercial bids is</w:t>
      </w:r>
      <w:r w:rsidRPr="002D3263">
        <w:t xml:space="preserve"> a benefit to Agencies subject to the Uniform Act and to the displaced person because it will provide a streamlining of the claim process for a self-move, since receipts will not be required as in the case of an actual cost self-move, resulting in reduced </w:t>
      </w:r>
      <w:r w:rsidRPr="002D3263">
        <w:t xml:space="preserve">administrative burdens and paperwork. </w:t>
      </w:r>
      <w:r w:rsidR="00B210CA">
        <w:t xml:space="preserve"> </w:t>
      </w:r>
      <w:r w:rsidRPr="002D3263">
        <w:t>These cost savings are not quantifiable as their use will be voluntary on the part of the Agencies and displaced persons, and a method for tracking their actual use has not been established.</w:t>
      </w:r>
    </w:p>
    <w:p w:rsidR="005F5C35" w:rsidRPr="002D3263" w:rsidP="00EF4CBB" w14:paraId="45157548" w14:textId="77777777">
      <w:pPr>
        <w:pStyle w:val="Heading3"/>
        <w:widowControl/>
      </w:pPr>
      <w:bookmarkStart w:id="83" w:name="_Toc127438034"/>
      <w:r w:rsidRPr="002D3263">
        <w:t>Transfer (Increased Program Expenditures)</w:t>
      </w:r>
      <w:bookmarkEnd w:id="83"/>
    </w:p>
    <w:p w:rsidR="006311AC" w:rsidRPr="002D3263" w:rsidP="00E85518" w14:paraId="700F2DF3" w14:textId="6CD1392D">
      <w:pPr>
        <w:widowControl/>
        <w:spacing w:after="240"/>
      </w:pPr>
      <w:r w:rsidRPr="002D3263">
        <w:t>This change is not expected to change the amount of program expenditures to displaced persons.</w:t>
      </w:r>
    </w:p>
    <w:p w:rsidR="006311AC" w:rsidRPr="002D3263" w:rsidP="00EF4CBB" w14:paraId="23F0A0A6" w14:textId="5900794B">
      <w:pPr>
        <w:widowControl/>
        <w:spacing w:after="200"/>
      </w:pPr>
      <w:r w:rsidRPr="002D3263">
        <w:br w:type="page"/>
      </w:r>
    </w:p>
    <w:p w:rsidR="004F3B9A" w:rsidRPr="002D3263" w:rsidP="00BD26C9" w14:paraId="7B9DDC18" w14:textId="0B9E4487">
      <w:pPr>
        <w:pStyle w:val="Heading1"/>
      </w:pPr>
      <w:r w:rsidRPr="002D3263">
        <w:t xml:space="preserve"> </w:t>
      </w:r>
      <w:bookmarkStart w:id="84" w:name="_Toc68008782"/>
      <w:bookmarkStart w:id="85" w:name="_Toc68008948"/>
      <w:bookmarkStart w:id="86" w:name="_Toc68008783"/>
      <w:bookmarkStart w:id="87" w:name="_Toc68008949"/>
      <w:bookmarkStart w:id="88" w:name="_Toc68008784"/>
      <w:bookmarkStart w:id="89" w:name="_Toc68008950"/>
      <w:bookmarkStart w:id="90" w:name="_Toc127438035"/>
      <w:bookmarkEnd w:id="84"/>
      <w:bookmarkEnd w:id="85"/>
      <w:bookmarkEnd w:id="86"/>
      <w:bookmarkEnd w:id="87"/>
      <w:bookmarkEnd w:id="88"/>
      <w:bookmarkEnd w:id="89"/>
      <w:r w:rsidRPr="002D3263" w:rsidR="00495BA0">
        <w:t xml:space="preserve">Non-residential </w:t>
      </w:r>
      <w:r w:rsidRPr="002D3263">
        <w:t>Displacements</w:t>
      </w:r>
      <w:bookmarkEnd w:id="90"/>
    </w:p>
    <w:p w:rsidR="00BA5147" w:rsidRPr="002D3263" w:rsidP="00C53C33" w14:paraId="72117B2D" w14:textId="77777777">
      <w:pPr>
        <w:pStyle w:val="Heading2"/>
      </w:pPr>
      <w:bookmarkStart w:id="91" w:name="_Toc127438036"/>
      <w:r w:rsidRPr="002D3263">
        <w:t>Background</w:t>
      </w:r>
      <w:bookmarkEnd w:id="91"/>
    </w:p>
    <w:p w:rsidR="00061EB1" w:rsidRPr="002D3263" w:rsidP="00EF4CBB" w14:paraId="23AF744C" w14:textId="7EE254D8">
      <w:pPr>
        <w:pStyle w:val="Body"/>
        <w:widowControl/>
      </w:pPr>
      <w:r w:rsidRPr="002D3263">
        <w:t xml:space="preserve">The Uniform Act allows for two </w:t>
      </w:r>
      <w:r w:rsidRPr="002D3263" w:rsidR="00E6750A">
        <w:t>options for</w:t>
      </w:r>
      <w:r w:rsidRPr="002D3263">
        <w:t xml:space="preserve"> relocation assistance </w:t>
      </w:r>
      <w:r w:rsidRPr="002D3263" w:rsidR="009A60AE">
        <w:t>benefits</w:t>
      </w:r>
      <w:r w:rsidRPr="002D3263">
        <w:t xml:space="preserve"> </w:t>
      </w:r>
      <w:r w:rsidRPr="002D3263" w:rsidR="00E6750A">
        <w:t>to</w:t>
      </w:r>
      <w:r w:rsidRPr="002D3263">
        <w:t xml:space="preserve"> non-residential displacements.</w:t>
      </w:r>
      <w:r>
        <w:rPr>
          <w:rStyle w:val="FootnoteReference"/>
        </w:rPr>
        <w:footnoteReference w:id="25"/>
      </w:r>
      <w:r w:rsidRPr="002D3263">
        <w:t xml:space="preserve"> </w:t>
      </w:r>
      <w:r w:rsidR="00B210CA">
        <w:t xml:space="preserve"> </w:t>
      </w:r>
      <w:r w:rsidRPr="002D3263">
        <w:t>The first option allows for reimbursement of actual approved expenses related to search, re</w:t>
      </w:r>
      <w:r w:rsidR="00732A88">
        <w:t>-</w:t>
      </w:r>
      <w:r w:rsidRPr="002D3263">
        <w:t xml:space="preserve">establishment, and moving expenses. </w:t>
      </w:r>
      <w:r w:rsidR="00B210CA">
        <w:t xml:space="preserve"> </w:t>
      </w:r>
      <w:r w:rsidRPr="002D3263" w:rsidR="00E260E3">
        <w:t xml:space="preserve">Under the current rule, the maximum reimbursable amount of search related expenses is $2,500. </w:t>
      </w:r>
      <w:r w:rsidR="00B210CA">
        <w:t xml:space="preserve"> </w:t>
      </w:r>
      <w:r w:rsidRPr="002D3263" w:rsidR="00E260E3">
        <w:t xml:space="preserve">The </w:t>
      </w:r>
      <w:r w:rsidRPr="002D3263" w:rsidR="0035027D">
        <w:t xml:space="preserve">final </w:t>
      </w:r>
      <w:r w:rsidRPr="002D3263" w:rsidR="00E260E3">
        <w:t>rule change</w:t>
      </w:r>
      <w:r w:rsidRPr="002D3263" w:rsidR="0035027D">
        <w:t>s</w:t>
      </w:r>
      <w:r w:rsidRPr="002D3263" w:rsidR="00E260E3">
        <w:t xml:space="preserve"> the maximum amount to $5,000</w:t>
      </w:r>
      <w:r w:rsidRPr="002D3263" w:rsidR="00276E2A">
        <w:t xml:space="preserve">. </w:t>
      </w:r>
      <w:r w:rsidRPr="002D3263" w:rsidR="00684E14">
        <w:t>Non-residential displaced persons</w:t>
      </w:r>
      <w:r w:rsidRPr="002D3263" w:rsidR="00E6750A">
        <w:t xml:space="preserve"> need to </w:t>
      </w:r>
      <w:r w:rsidRPr="002D3263" w:rsidR="00635E7B">
        <w:t xml:space="preserve">provide </w:t>
      </w:r>
      <w:r w:rsidRPr="002D3263" w:rsidR="00E6750A">
        <w:t>documentation</w:t>
      </w:r>
      <w:r w:rsidRPr="002D3263" w:rsidR="00635E7B">
        <w:t xml:space="preserve"> related to those expenses </w:t>
      </w:r>
      <w:r w:rsidRPr="002D3263" w:rsidR="00635E7B">
        <w:t>in order to</w:t>
      </w:r>
      <w:r w:rsidRPr="002D3263" w:rsidR="00635E7B">
        <w:t xml:space="preserve"> receive the reimbursement payment</w:t>
      </w:r>
      <w:r w:rsidRPr="002D3263">
        <w:t xml:space="preserve">. </w:t>
      </w:r>
      <w:r w:rsidR="00B210CA">
        <w:t xml:space="preserve"> </w:t>
      </w:r>
      <w:r w:rsidRPr="002D3263" w:rsidR="00276E2A">
        <w:t>However</w:t>
      </w:r>
      <w:r w:rsidRPr="002D3263" w:rsidR="009A60AE">
        <w:t>,</w:t>
      </w:r>
      <w:r w:rsidRPr="002D3263" w:rsidR="00276E2A">
        <w:t xml:space="preserve"> the </w:t>
      </w:r>
      <w:r w:rsidRPr="002D3263" w:rsidR="00684BFB">
        <w:t xml:space="preserve">final </w:t>
      </w:r>
      <w:r w:rsidRPr="002D3263" w:rsidR="00276E2A">
        <w:t>rule also allows for a single payment of $1,000</w:t>
      </w:r>
      <w:r w:rsidRPr="002D3263" w:rsidR="009A60AE">
        <w:t xml:space="preserve"> with</w:t>
      </w:r>
      <w:r w:rsidRPr="002D3263" w:rsidR="00DB208D">
        <w:t xml:space="preserve"> minimal</w:t>
      </w:r>
      <w:r w:rsidRPr="002D3263" w:rsidR="009A60AE">
        <w:t xml:space="preserve"> or no d</w:t>
      </w:r>
      <w:r w:rsidRPr="002D3263" w:rsidR="00276E2A">
        <w:t>ocumentation</w:t>
      </w:r>
      <w:r w:rsidRPr="002D3263" w:rsidR="009A60AE">
        <w:t>,</w:t>
      </w:r>
      <w:r w:rsidRPr="002D3263" w:rsidR="00276E2A">
        <w:t xml:space="preserve"> </w:t>
      </w:r>
      <w:r w:rsidRPr="002D3263" w:rsidR="00DB208D">
        <w:t xml:space="preserve">as </w:t>
      </w:r>
      <w:r w:rsidRPr="002D3263" w:rsidR="00905F98">
        <w:t xml:space="preserve">the </w:t>
      </w:r>
      <w:r w:rsidRPr="002D3263" w:rsidR="00DB208D">
        <w:t xml:space="preserve">total </w:t>
      </w:r>
      <w:r w:rsidRPr="002D3263" w:rsidR="00276E2A">
        <w:t>reimbursement payment for search</w:t>
      </w:r>
      <w:r w:rsidRPr="002D3263" w:rsidR="009A60AE">
        <w:t>ing</w:t>
      </w:r>
      <w:r w:rsidRPr="002D3263" w:rsidR="00276E2A">
        <w:t xml:space="preserve"> expenses</w:t>
      </w:r>
      <w:r w:rsidRPr="002D3263" w:rsidR="00DB208D">
        <w:t xml:space="preserve"> should the displaced person select this option</w:t>
      </w:r>
      <w:r w:rsidRPr="002D3263" w:rsidR="00276E2A">
        <w:t xml:space="preserve">. </w:t>
      </w:r>
    </w:p>
    <w:p w:rsidR="003910F6" w:rsidRPr="002D3263" w:rsidP="00EF4CBB" w14:paraId="1D0D4055" w14:textId="2FE8B705">
      <w:pPr>
        <w:pStyle w:val="Body"/>
        <w:widowControl/>
      </w:pPr>
      <w:r w:rsidRPr="002D3263">
        <w:t>M</w:t>
      </w:r>
      <w:r w:rsidRPr="002D3263" w:rsidR="00BA5147">
        <w:t xml:space="preserve">oving </w:t>
      </w:r>
      <w:r w:rsidRPr="002D3263" w:rsidR="009B0BEE">
        <w:t>expense payments</w:t>
      </w:r>
      <w:r w:rsidRPr="002D3263" w:rsidR="00BA5147">
        <w:t xml:space="preserve"> are </w:t>
      </w:r>
      <w:r w:rsidRPr="002D3263" w:rsidR="00276E2A">
        <w:t>generally</w:t>
      </w:r>
      <w:r w:rsidRPr="002D3263" w:rsidR="00BA5147">
        <w:t xml:space="preserve"> based on the lowe</w:t>
      </w:r>
      <w:r w:rsidRPr="002D3263" w:rsidR="009A60AE">
        <w:t xml:space="preserve">r of </w:t>
      </w:r>
      <w:r w:rsidRPr="002D3263" w:rsidR="00BA5147">
        <w:t>two estimates from a commercial moving service</w:t>
      </w:r>
      <w:r w:rsidRPr="002D3263" w:rsidR="009D0406">
        <w:t xml:space="preserve"> or a </w:t>
      </w:r>
      <w:r w:rsidRPr="002D3263" w:rsidR="0009411F">
        <w:t>self-move</w:t>
      </w:r>
      <w:r w:rsidRPr="002D3263" w:rsidR="009D0406">
        <w:t xml:space="preserve"> based on actual receipts and an hourly pay rate</w:t>
      </w:r>
      <w:r w:rsidRPr="002D3263" w:rsidR="00BA5147">
        <w:t>.</w:t>
      </w:r>
      <w:r w:rsidRPr="002D3263" w:rsidR="00AC30F3">
        <w:t xml:space="preserve"> </w:t>
      </w:r>
      <w:r w:rsidR="00B210CA">
        <w:t xml:space="preserve"> </w:t>
      </w:r>
      <w:r w:rsidRPr="002D3263" w:rsidR="00DF6335">
        <w:t>Documentation and v</w:t>
      </w:r>
      <w:r w:rsidRPr="002D3263">
        <w:t>erification of the move is required to receive this payment.</w:t>
      </w:r>
    </w:p>
    <w:p w:rsidR="00276E2A" w:rsidRPr="002D3263" w:rsidP="00EF4CBB" w14:paraId="2069C39D" w14:textId="61F21695">
      <w:pPr>
        <w:pStyle w:val="Body"/>
        <w:widowControl/>
      </w:pPr>
      <w:r w:rsidRPr="002D3263">
        <w:t xml:space="preserve">In addition to Agency approved moving costs, </w:t>
      </w:r>
      <w:r w:rsidRPr="002D3263" w:rsidR="009B457F">
        <w:t>r</w:t>
      </w:r>
      <w:r w:rsidRPr="002D3263" w:rsidR="00A2485D">
        <w:t xml:space="preserve">elocation assistance for non-residential displacements also </w:t>
      </w:r>
      <w:r w:rsidRPr="002D3263" w:rsidR="003910F6">
        <w:t>allows for reimbursement of re</w:t>
      </w:r>
      <w:r w:rsidR="00732A88">
        <w:t>-</w:t>
      </w:r>
      <w:r w:rsidRPr="002D3263" w:rsidR="003910F6">
        <w:t>establishment</w:t>
      </w:r>
      <w:r w:rsidRPr="002D3263" w:rsidR="009D0406">
        <w:t xml:space="preserve"> expenses</w:t>
      </w:r>
      <w:r w:rsidRPr="002D3263" w:rsidR="003910F6">
        <w:t xml:space="preserve"> up to a maximum of $10,000</w:t>
      </w:r>
      <w:r w:rsidRPr="002D3263" w:rsidR="009B457F">
        <w:t xml:space="preserve">; </w:t>
      </w:r>
      <w:r w:rsidR="00EB690F">
        <w:t>MAP-21 required an</w:t>
      </w:r>
      <w:r w:rsidRPr="002D3263" w:rsidR="003910F6">
        <w:t xml:space="preserve"> increase</w:t>
      </w:r>
      <w:r w:rsidR="00EB690F">
        <w:t xml:space="preserve"> in</w:t>
      </w:r>
      <w:r w:rsidRPr="002D3263" w:rsidR="003910F6">
        <w:t xml:space="preserve"> th</w:t>
      </w:r>
      <w:r w:rsidRPr="002D3263" w:rsidR="009D0406">
        <w:t>e</w:t>
      </w:r>
      <w:r w:rsidRPr="002D3263" w:rsidR="003910F6">
        <w:t xml:space="preserve"> maximum amount to $25,000</w:t>
      </w:r>
      <w:r w:rsidR="00EB690F">
        <w:t xml:space="preserve">. </w:t>
      </w:r>
      <w:r w:rsidR="00B210CA">
        <w:t xml:space="preserve"> </w:t>
      </w:r>
      <w:r w:rsidR="00EB690F">
        <w:t xml:space="preserve">The final rule increases the maximum amount to $33,200 to account for </w:t>
      </w:r>
      <w:r w:rsidR="00A35D2A">
        <w:t>recent inflation</w:t>
      </w:r>
      <w:r w:rsidRPr="002D3263" w:rsidR="003910F6">
        <w:t>.</w:t>
      </w:r>
      <w:r w:rsidRPr="002D3263" w:rsidR="00061EB1">
        <w:t xml:space="preserve"> </w:t>
      </w:r>
      <w:r w:rsidR="00B210CA">
        <w:t xml:space="preserve"> </w:t>
      </w:r>
      <w:r w:rsidRPr="002D3263" w:rsidR="009D0406">
        <w:t xml:space="preserve">Eligible </w:t>
      </w:r>
      <w:r w:rsidRPr="002D3263" w:rsidR="00905F98">
        <w:t>r</w:t>
      </w:r>
      <w:r w:rsidRPr="002D3263" w:rsidR="00061EB1">
        <w:t>e</w:t>
      </w:r>
      <w:r w:rsidR="00732A88">
        <w:t>-</w:t>
      </w:r>
      <w:r w:rsidRPr="002D3263" w:rsidR="00061EB1">
        <w:t>establishment</w:t>
      </w:r>
      <w:r w:rsidRPr="002D3263" w:rsidR="009D0406">
        <w:t xml:space="preserve"> expenses</w:t>
      </w:r>
      <w:r w:rsidRPr="002D3263" w:rsidR="00061EB1">
        <w:t xml:space="preserve"> include such things as modification to the replacement property to accommodate the business operation and advertisement of the replacement location.</w:t>
      </w:r>
    </w:p>
    <w:p w:rsidR="008B0C89" w:rsidRPr="002D3263" w:rsidP="00EF4CBB" w14:paraId="1482237F" w14:textId="5C445AF4">
      <w:pPr>
        <w:pStyle w:val="Body"/>
        <w:widowControl/>
      </w:pPr>
      <w:r w:rsidRPr="002D3263">
        <w:t xml:space="preserve">An alternative </w:t>
      </w:r>
      <w:r w:rsidRPr="002D3263" w:rsidR="007E5420">
        <w:t xml:space="preserve">for </w:t>
      </w:r>
      <w:r w:rsidRPr="002D3263" w:rsidR="00305D57">
        <w:t>non-residential</w:t>
      </w:r>
      <w:r w:rsidRPr="002D3263" w:rsidR="007E5420">
        <w:t xml:space="preserve"> displacements</w:t>
      </w:r>
      <w:r w:rsidRPr="002D3263" w:rsidR="00E6750A">
        <w:t xml:space="preserve"> involves a</w:t>
      </w:r>
      <w:r w:rsidRPr="002D3263" w:rsidR="009A60AE">
        <w:t xml:space="preserve"> fixed “</w:t>
      </w:r>
      <w:r w:rsidRPr="002D3263" w:rsidR="00E6750A">
        <w:t>in-lieu-of</w:t>
      </w:r>
      <w:r w:rsidRPr="002D3263" w:rsidR="009A60AE">
        <w:t>,”</w:t>
      </w:r>
      <w:r w:rsidRPr="002D3263" w:rsidR="00912C7F">
        <w:t xml:space="preserve"> moving cost</w:t>
      </w:r>
      <w:r w:rsidRPr="002D3263" w:rsidR="009D0406">
        <w:t>s</w:t>
      </w:r>
      <w:r w:rsidRPr="002D3263" w:rsidR="009A60AE">
        <w:t xml:space="preserve"> </w:t>
      </w:r>
      <w:r w:rsidRPr="002D3263" w:rsidR="00E6750A">
        <w:t>payment. Instead of submitting documentation related to relocation</w:t>
      </w:r>
      <w:r w:rsidRPr="002D3263" w:rsidR="007E5420">
        <w:t xml:space="preserve"> expenses</w:t>
      </w:r>
      <w:r w:rsidRPr="002D3263" w:rsidR="00635E7B">
        <w:t xml:space="preserve"> (search, re</w:t>
      </w:r>
      <w:r w:rsidR="00732A88">
        <w:t>-</w:t>
      </w:r>
      <w:r w:rsidRPr="002D3263" w:rsidR="00635E7B">
        <w:t>establishment, and moving)</w:t>
      </w:r>
      <w:r w:rsidRPr="002D3263" w:rsidR="009A60AE">
        <w:t>,</w:t>
      </w:r>
      <w:r w:rsidRPr="002D3263" w:rsidR="00E6750A">
        <w:t xml:space="preserve"> a</w:t>
      </w:r>
      <w:r w:rsidRPr="002D3263" w:rsidR="00912C7F">
        <w:t xml:space="preserve"> </w:t>
      </w:r>
      <w:r w:rsidRPr="002D3263" w:rsidR="00305D57">
        <w:t>non-residential</w:t>
      </w:r>
      <w:r w:rsidRPr="002D3263" w:rsidR="00912C7F">
        <w:t xml:space="preserve"> displaced person</w:t>
      </w:r>
      <w:r w:rsidRPr="002D3263" w:rsidR="00E6750A">
        <w:t xml:space="preserve"> can opt to receive a payment equal to </w:t>
      </w:r>
      <w:r w:rsidRPr="002D3263" w:rsidR="009A60AE">
        <w:t xml:space="preserve">its </w:t>
      </w:r>
      <w:r w:rsidRPr="002D3263" w:rsidR="00E6750A">
        <w:t xml:space="preserve">average annual </w:t>
      </w:r>
      <w:r w:rsidRPr="002D3263" w:rsidR="006E22DD">
        <w:t xml:space="preserve">net </w:t>
      </w:r>
      <w:r w:rsidRPr="002D3263" w:rsidR="00955766">
        <w:t>earnings</w:t>
      </w:r>
      <w:r w:rsidRPr="002D3263" w:rsidR="00E6750A">
        <w:t xml:space="preserve"> over the last </w:t>
      </w:r>
      <w:r w:rsidRPr="002D3263" w:rsidR="004E2112">
        <w:t>2</w:t>
      </w:r>
      <w:r w:rsidRPr="002D3263" w:rsidR="00350C9D">
        <w:t xml:space="preserve"> years. </w:t>
      </w:r>
      <w:r w:rsidR="00B210CA">
        <w:t xml:space="preserve"> </w:t>
      </w:r>
      <w:r w:rsidRPr="002D3263" w:rsidR="00350C9D">
        <w:t>The maximum amount for</w:t>
      </w:r>
      <w:r w:rsidRPr="002D3263" w:rsidR="00E6750A">
        <w:t xml:space="preserve"> the in-lieu-of payment is $20,000 </w:t>
      </w:r>
      <w:r w:rsidRPr="002D3263" w:rsidR="00E260E3">
        <w:t>under the current rule</w:t>
      </w:r>
      <w:r w:rsidRPr="002D3263" w:rsidR="009D0406">
        <w:t xml:space="preserve">. </w:t>
      </w:r>
      <w:r w:rsidR="00B210CA">
        <w:t xml:space="preserve"> </w:t>
      </w:r>
      <w:r w:rsidRPr="002D3263" w:rsidR="009D0406">
        <w:t>T</w:t>
      </w:r>
      <w:r w:rsidRPr="002D3263" w:rsidR="00E6750A">
        <w:t>h</w:t>
      </w:r>
      <w:r w:rsidRPr="002D3263" w:rsidR="009A60AE">
        <w:t>e</w:t>
      </w:r>
      <w:r w:rsidRPr="002D3263" w:rsidR="00E6750A">
        <w:t xml:space="preserve"> </w:t>
      </w:r>
      <w:r w:rsidRPr="002D3263" w:rsidR="0035027D">
        <w:t xml:space="preserve">final </w:t>
      </w:r>
      <w:r w:rsidRPr="002D3263" w:rsidR="00E260E3">
        <w:t>rule raise</w:t>
      </w:r>
      <w:r w:rsidRPr="002D3263" w:rsidR="0035027D">
        <w:t>s</w:t>
      </w:r>
      <w:r w:rsidRPr="002D3263" w:rsidR="00E6750A">
        <w:t xml:space="preserve"> th</w:t>
      </w:r>
      <w:r w:rsidRPr="002D3263" w:rsidR="00E260E3">
        <w:t>e maximum</w:t>
      </w:r>
      <w:r w:rsidRPr="002D3263" w:rsidR="00E6750A">
        <w:t xml:space="preserve"> amount to $</w:t>
      </w:r>
      <w:r w:rsidR="00EB690F">
        <w:t>53,200 to account for recent inflation</w:t>
      </w:r>
      <w:r w:rsidRPr="002D3263" w:rsidR="00E6750A">
        <w:t>.</w:t>
      </w:r>
      <w:r w:rsidRPr="002D3263" w:rsidR="00635E7B">
        <w:t xml:space="preserve"> </w:t>
      </w:r>
      <w:r w:rsidR="00B210CA">
        <w:t xml:space="preserve"> </w:t>
      </w:r>
      <w:r w:rsidRPr="002D3263" w:rsidR="00635E7B">
        <w:t xml:space="preserve">The </w:t>
      </w:r>
      <w:r w:rsidRPr="002D3263" w:rsidR="00B02C1E">
        <w:t>non-residential</w:t>
      </w:r>
      <w:r w:rsidRPr="002D3263" w:rsidR="00684E14">
        <w:t xml:space="preserve"> displaced person</w:t>
      </w:r>
      <w:r w:rsidRPr="002D3263" w:rsidR="00635E7B">
        <w:t xml:space="preserve"> may choose only one option, either the reimbursement</w:t>
      </w:r>
      <w:r w:rsidRPr="002D3263" w:rsidR="009D0406">
        <w:t xml:space="preserve"> of moving costs</w:t>
      </w:r>
      <w:r w:rsidRPr="002D3263">
        <w:t>, search expenses</w:t>
      </w:r>
      <w:r w:rsidRPr="002D3263" w:rsidR="00905F98">
        <w:t>,</w:t>
      </w:r>
      <w:r w:rsidRPr="002D3263">
        <w:t xml:space="preserve"> and re</w:t>
      </w:r>
      <w:r w:rsidR="00732A88">
        <w:t>-</w:t>
      </w:r>
      <w:r w:rsidRPr="002D3263">
        <w:t xml:space="preserve">establishment expense </w:t>
      </w:r>
      <w:r w:rsidRPr="002D3263" w:rsidR="00635E7B">
        <w:t xml:space="preserve">payments or the in-lieu-of </w:t>
      </w:r>
      <w:r w:rsidRPr="002D3263" w:rsidR="009D0406">
        <w:t xml:space="preserve">moving costs </w:t>
      </w:r>
      <w:r w:rsidRPr="002D3263" w:rsidR="00635E7B">
        <w:t xml:space="preserve">payment. </w:t>
      </w:r>
    </w:p>
    <w:p w:rsidR="00384C4B" w:rsidRPr="002D3263" w:rsidP="00EF4CBB" w14:paraId="2EFE9ED3" w14:textId="19DF8650">
      <w:pPr>
        <w:pStyle w:val="Body"/>
        <w:widowControl/>
      </w:pPr>
      <w:r w:rsidRPr="002D3263">
        <w:t xml:space="preserve">The </w:t>
      </w:r>
      <w:r w:rsidRPr="002D3263" w:rsidR="0035027D">
        <w:t>final</w:t>
      </w:r>
      <w:r w:rsidRPr="002D3263">
        <w:t xml:space="preserve"> rule </w:t>
      </w:r>
      <w:r w:rsidRPr="002D3263" w:rsidR="008B0C89">
        <w:t xml:space="preserve">at </w:t>
      </w:r>
      <w:r w:rsidRPr="002D3263" w:rsidR="009A7C76">
        <w:t>Section</w:t>
      </w:r>
      <w:r w:rsidRPr="002D3263" w:rsidR="00684E14">
        <w:t xml:space="preserve"> </w:t>
      </w:r>
      <w:r w:rsidRPr="002D3263" w:rsidR="008B0C89">
        <w:t xml:space="preserve">24.11 </w:t>
      </w:r>
      <w:r w:rsidRPr="002D3263">
        <w:t xml:space="preserve">allows for the maximum amounts related to reimbursement for </w:t>
      </w:r>
      <w:r w:rsidRPr="002D3263" w:rsidR="00AB4B42">
        <w:t>r</w:t>
      </w:r>
      <w:r w:rsidRPr="002D3263">
        <w:t>e</w:t>
      </w:r>
      <w:r w:rsidR="00732A88">
        <w:t>-</w:t>
      </w:r>
      <w:r w:rsidRPr="002D3263">
        <w:t>establishment</w:t>
      </w:r>
      <w:r w:rsidRPr="002D3263" w:rsidR="009D0406">
        <w:t xml:space="preserve"> </w:t>
      </w:r>
      <w:r w:rsidRPr="002D3263" w:rsidR="00F85A1E">
        <w:t>expenses</w:t>
      </w:r>
      <w:r w:rsidRPr="002D3263">
        <w:t xml:space="preserve"> and the in-lieu-of </w:t>
      </w:r>
      <w:r w:rsidRPr="002D3263" w:rsidR="009D0406">
        <w:t xml:space="preserve">moving costs </w:t>
      </w:r>
      <w:r w:rsidRPr="002D3263">
        <w:t>payment to be adjusted for inflation</w:t>
      </w:r>
      <w:r w:rsidRPr="002D3263" w:rsidR="005132B9">
        <w:t xml:space="preserve"> or other factors</w:t>
      </w:r>
      <w:r w:rsidRPr="002D3263" w:rsidR="009A60AE">
        <w:t xml:space="preserve">. </w:t>
      </w:r>
      <w:r w:rsidR="00B210CA">
        <w:t xml:space="preserve"> </w:t>
      </w:r>
      <w:r w:rsidRPr="002D3263">
        <w:fldChar w:fldCharType="begin"/>
      </w:r>
      <w:r w:rsidRPr="002D3263">
        <w:instrText xml:space="preserve"> REF _Ref67909427 \h  \* MERGEFORMAT </w:instrText>
      </w:r>
      <w:r w:rsidRPr="002D3263">
        <w:fldChar w:fldCharType="separate"/>
      </w:r>
      <w:r w:rsidRPr="002D3263" w:rsidR="00E762F5">
        <w:t xml:space="preserve">Table </w:t>
      </w:r>
      <w:r w:rsidR="00E762F5">
        <w:rPr>
          <w:noProof/>
        </w:rPr>
        <w:t>7</w:t>
      </w:r>
      <w:r w:rsidRPr="002D3263">
        <w:fldChar w:fldCharType="end"/>
      </w:r>
      <w:r w:rsidRPr="002D3263" w:rsidR="00436863">
        <w:t xml:space="preserve"> </w:t>
      </w:r>
      <w:r w:rsidRPr="002D3263" w:rsidR="00635E7B">
        <w:t>provides a summary of these payment amounts.</w:t>
      </w:r>
    </w:p>
    <w:p w:rsidR="00E260E3" w:rsidRPr="002D3263" w:rsidP="00D6005F" w14:paraId="3B44531C" w14:textId="39EBFD20">
      <w:pPr>
        <w:pStyle w:val="Caption"/>
      </w:pPr>
      <w:bookmarkStart w:id="92" w:name="_Ref67909427"/>
      <w:bookmarkStart w:id="93" w:name="_Ref415391062"/>
      <w:bookmarkStart w:id="94" w:name="_Toc127438093"/>
      <w:r w:rsidRPr="002D3263">
        <w:t xml:space="preserve">Table </w:t>
      </w:r>
      <w:r w:rsidR="00F903AF">
        <w:fldChar w:fldCharType="begin"/>
      </w:r>
      <w:r w:rsidR="00F903AF">
        <w:instrText xml:space="preserve"> SEQ Table \* ARABIC </w:instrText>
      </w:r>
      <w:r w:rsidR="00F903AF">
        <w:fldChar w:fldCharType="separate"/>
      </w:r>
      <w:r w:rsidR="00E762F5">
        <w:rPr>
          <w:noProof/>
        </w:rPr>
        <w:t>7</w:t>
      </w:r>
      <w:r w:rsidR="00F903AF">
        <w:rPr>
          <w:noProof/>
        </w:rPr>
        <w:fldChar w:fldCharType="end"/>
      </w:r>
      <w:bookmarkEnd w:id="92"/>
      <w:r w:rsidRPr="002D3263">
        <w:t>.</w:t>
      </w:r>
      <w:bookmarkEnd w:id="93"/>
      <w:r w:rsidRPr="002D3263">
        <w:t xml:space="preserve"> Non-Residential Maximum Payments</w:t>
      </w:r>
      <w:bookmarkEnd w:id="94"/>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90"/>
        <w:gridCol w:w="1980"/>
        <w:gridCol w:w="4680"/>
      </w:tblGrid>
      <w:tr w14:paraId="15CAEBEA" w14:textId="77777777" w:rsidTr="008A4DC9">
        <w:tblPrEx>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2"/>
        </w:trPr>
        <w:tc>
          <w:tcPr>
            <w:tcW w:w="2790" w:type="dxa"/>
            <w:tcBorders>
              <w:bottom w:val="single" w:sz="12" w:space="0" w:color="auto"/>
            </w:tcBorders>
            <w:vAlign w:val="center"/>
          </w:tcPr>
          <w:p w:rsidR="00E260E3" w:rsidRPr="002D3263" w:rsidP="00EF4CBB" w14:paraId="5D40BF4A" w14:textId="22DB8EB9">
            <w:pPr>
              <w:keepNext/>
              <w:widowControl/>
              <w:rPr>
                <w:b/>
              </w:rPr>
            </w:pPr>
            <w:r w:rsidRPr="002D3263">
              <w:rPr>
                <w:b/>
              </w:rPr>
              <w:t>Payment</w:t>
            </w:r>
            <w:r w:rsidRPr="002D3263" w:rsidR="006311AC">
              <w:rPr>
                <w:b/>
              </w:rPr>
              <w:t xml:space="preserve"> </w:t>
            </w:r>
            <w:r w:rsidRPr="002D3263">
              <w:rPr>
                <w:b/>
              </w:rPr>
              <w:t>Type</w:t>
            </w:r>
          </w:p>
        </w:tc>
        <w:tc>
          <w:tcPr>
            <w:tcW w:w="1980" w:type="dxa"/>
            <w:tcBorders>
              <w:bottom w:val="single" w:sz="12" w:space="0" w:color="auto"/>
            </w:tcBorders>
            <w:vAlign w:val="center"/>
          </w:tcPr>
          <w:p w:rsidR="00E260E3" w:rsidRPr="002D3263" w:rsidP="00EF4CBB" w14:paraId="17F75BBE" w14:textId="5BFF151D">
            <w:pPr>
              <w:keepNext/>
              <w:widowControl/>
              <w:rPr>
                <w:b/>
              </w:rPr>
            </w:pPr>
            <w:r w:rsidRPr="002D3263">
              <w:rPr>
                <w:b/>
              </w:rPr>
              <w:t>Current</w:t>
            </w:r>
            <w:r w:rsidRPr="002D3263" w:rsidR="006311AC">
              <w:rPr>
                <w:b/>
              </w:rPr>
              <w:t xml:space="preserve"> </w:t>
            </w:r>
            <w:r w:rsidRPr="002D3263">
              <w:rPr>
                <w:b/>
              </w:rPr>
              <w:t>Maximum</w:t>
            </w:r>
          </w:p>
        </w:tc>
        <w:tc>
          <w:tcPr>
            <w:tcW w:w="4680" w:type="dxa"/>
            <w:tcBorders>
              <w:bottom w:val="single" w:sz="12" w:space="0" w:color="auto"/>
            </w:tcBorders>
            <w:vAlign w:val="center"/>
          </w:tcPr>
          <w:p w:rsidR="00E260E3" w:rsidRPr="002D3263" w:rsidP="00EF4CBB" w14:paraId="6B4A206D" w14:textId="39439C61">
            <w:pPr>
              <w:keepNext/>
              <w:widowControl/>
              <w:rPr>
                <w:b/>
              </w:rPr>
            </w:pPr>
            <w:r w:rsidRPr="002D3263">
              <w:rPr>
                <w:b/>
              </w:rPr>
              <w:t>Maximum Under</w:t>
            </w:r>
            <w:r w:rsidRPr="002D3263" w:rsidR="006311AC">
              <w:rPr>
                <w:b/>
              </w:rPr>
              <w:t xml:space="preserve"> </w:t>
            </w:r>
            <w:r w:rsidRPr="002D3263" w:rsidR="0035027D">
              <w:rPr>
                <w:b/>
              </w:rPr>
              <w:t>Final</w:t>
            </w:r>
            <w:r w:rsidRPr="002D3263">
              <w:rPr>
                <w:b/>
              </w:rPr>
              <w:t xml:space="preserve"> Rule</w:t>
            </w:r>
          </w:p>
        </w:tc>
      </w:tr>
      <w:tr w14:paraId="0469B98F" w14:textId="77777777" w:rsidTr="008A4DC9">
        <w:tblPrEx>
          <w:tblW w:w="9450" w:type="dxa"/>
          <w:tblLook w:val="04A0"/>
        </w:tblPrEx>
        <w:tc>
          <w:tcPr>
            <w:tcW w:w="2790" w:type="dxa"/>
            <w:tcBorders>
              <w:top w:val="single" w:sz="12" w:space="0" w:color="auto"/>
            </w:tcBorders>
          </w:tcPr>
          <w:p w:rsidR="00E260E3" w:rsidRPr="002D3263" w:rsidP="00EF4CBB" w14:paraId="24C91C4B" w14:textId="77777777">
            <w:pPr>
              <w:keepNext/>
              <w:widowControl/>
              <w:rPr>
                <w:b/>
              </w:rPr>
            </w:pPr>
            <w:r w:rsidRPr="002D3263">
              <w:rPr>
                <w:b/>
              </w:rPr>
              <w:t>Reimbursement Option</w:t>
            </w:r>
          </w:p>
        </w:tc>
        <w:tc>
          <w:tcPr>
            <w:tcW w:w="1980" w:type="dxa"/>
            <w:tcBorders>
              <w:top w:val="single" w:sz="12" w:space="0" w:color="auto"/>
            </w:tcBorders>
          </w:tcPr>
          <w:p w:rsidR="00E260E3" w:rsidRPr="002D3263" w:rsidP="00EF4CBB" w14:paraId="524F2A22" w14:textId="77777777">
            <w:pPr>
              <w:keepNext/>
              <w:widowControl/>
            </w:pPr>
          </w:p>
        </w:tc>
        <w:tc>
          <w:tcPr>
            <w:tcW w:w="4680" w:type="dxa"/>
            <w:tcBorders>
              <w:top w:val="single" w:sz="12" w:space="0" w:color="auto"/>
            </w:tcBorders>
          </w:tcPr>
          <w:p w:rsidR="00E260E3" w:rsidRPr="002D3263" w:rsidP="00EF4CBB" w14:paraId="42103FBB" w14:textId="77777777">
            <w:pPr>
              <w:keepNext/>
              <w:widowControl/>
            </w:pPr>
          </w:p>
        </w:tc>
      </w:tr>
      <w:tr w14:paraId="648281F5" w14:textId="77777777" w:rsidTr="00017F03">
        <w:tblPrEx>
          <w:tblW w:w="9450" w:type="dxa"/>
          <w:tblLook w:val="04A0"/>
        </w:tblPrEx>
        <w:tc>
          <w:tcPr>
            <w:tcW w:w="2790" w:type="dxa"/>
          </w:tcPr>
          <w:p w:rsidR="00E260E3" w:rsidRPr="002D3263" w:rsidP="00EF4CBB" w14:paraId="67006782" w14:textId="1F5932D4">
            <w:pPr>
              <w:keepNext/>
              <w:widowControl/>
            </w:pPr>
            <w:r w:rsidRPr="002D3263">
              <w:t xml:space="preserve"> </w:t>
            </w:r>
            <w:r w:rsidRPr="002D3263">
              <w:t>Search Expenses</w:t>
            </w:r>
          </w:p>
        </w:tc>
        <w:tc>
          <w:tcPr>
            <w:tcW w:w="1980" w:type="dxa"/>
          </w:tcPr>
          <w:p w:rsidR="00E260E3" w:rsidRPr="002D3263" w:rsidP="00EF4CBB" w14:paraId="158FC7C9" w14:textId="77777777">
            <w:pPr>
              <w:keepNext/>
              <w:widowControl/>
            </w:pPr>
            <w:r w:rsidRPr="002D3263">
              <w:t>$2,500</w:t>
            </w:r>
          </w:p>
        </w:tc>
        <w:tc>
          <w:tcPr>
            <w:tcW w:w="4680" w:type="dxa"/>
          </w:tcPr>
          <w:p w:rsidR="00E260E3" w:rsidRPr="002D3263" w:rsidP="00EF4CBB" w14:paraId="47F03087" w14:textId="71D312E5">
            <w:pPr>
              <w:keepNext/>
              <w:widowControl/>
            </w:pPr>
            <w:r w:rsidRPr="002D3263">
              <w:t>$5,000</w:t>
            </w:r>
            <w:r w:rsidRPr="002D3263" w:rsidR="00292EC0">
              <w:t>;</w:t>
            </w:r>
            <w:r w:rsidRPr="002D3263" w:rsidR="00276E2A">
              <w:t xml:space="preserve"> or $1,000 with </w:t>
            </w:r>
            <w:r w:rsidRPr="002D3263" w:rsidR="00292EC0">
              <w:t xml:space="preserve">little or </w:t>
            </w:r>
            <w:r w:rsidRPr="002D3263" w:rsidR="005B4E24">
              <w:t>no</w:t>
            </w:r>
            <w:r w:rsidRPr="002D3263" w:rsidR="006311AC">
              <w:t xml:space="preserve"> </w:t>
            </w:r>
            <w:r w:rsidRPr="002D3263" w:rsidR="00276E2A">
              <w:t>documentation</w:t>
            </w:r>
          </w:p>
        </w:tc>
      </w:tr>
      <w:tr w14:paraId="6D1EA98E" w14:textId="77777777" w:rsidTr="00017F03">
        <w:tblPrEx>
          <w:tblW w:w="9450" w:type="dxa"/>
          <w:tblLook w:val="04A0"/>
        </w:tblPrEx>
        <w:tc>
          <w:tcPr>
            <w:tcW w:w="2790" w:type="dxa"/>
          </w:tcPr>
          <w:p w:rsidR="00E260E3" w:rsidRPr="002D3263" w:rsidP="00EF4CBB" w14:paraId="7DC088D0" w14:textId="3BFF9EF8">
            <w:pPr>
              <w:keepNext/>
              <w:widowControl/>
            </w:pPr>
            <w:r w:rsidRPr="002D3263">
              <w:t xml:space="preserve"> </w:t>
            </w:r>
            <w:r w:rsidRPr="002D3263">
              <w:t>Re</w:t>
            </w:r>
            <w:r w:rsidR="00732A88">
              <w:t>-</w:t>
            </w:r>
            <w:r w:rsidRPr="002D3263">
              <w:t>establishment Expenses</w:t>
            </w:r>
          </w:p>
        </w:tc>
        <w:tc>
          <w:tcPr>
            <w:tcW w:w="1980" w:type="dxa"/>
          </w:tcPr>
          <w:p w:rsidR="00E260E3" w:rsidRPr="002D3263" w:rsidP="00EF4CBB" w14:paraId="5E4D9A95" w14:textId="77777777">
            <w:pPr>
              <w:keepNext/>
              <w:widowControl/>
            </w:pPr>
            <w:r w:rsidRPr="002D3263">
              <w:t>$10,000</w:t>
            </w:r>
          </w:p>
        </w:tc>
        <w:tc>
          <w:tcPr>
            <w:tcW w:w="4680" w:type="dxa"/>
          </w:tcPr>
          <w:p w:rsidR="00E260E3" w:rsidRPr="002D3263" w:rsidP="00EF4CBB" w14:paraId="62302C41" w14:textId="7A57BB96">
            <w:pPr>
              <w:keepNext/>
              <w:widowControl/>
            </w:pPr>
            <w:r w:rsidRPr="002D3263">
              <w:t>$</w:t>
            </w:r>
            <w:r w:rsidR="00EB690F">
              <w:t>33,200</w:t>
            </w:r>
            <w:r w:rsidRPr="002D3263" w:rsidR="00276E2A">
              <w:t>*</w:t>
            </w:r>
          </w:p>
        </w:tc>
      </w:tr>
      <w:tr w14:paraId="1DBCF426" w14:textId="77777777" w:rsidTr="00017F03">
        <w:tblPrEx>
          <w:tblW w:w="9450" w:type="dxa"/>
          <w:tblLook w:val="04A0"/>
        </w:tblPrEx>
        <w:tc>
          <w:tcPr>
            <w:tcW w:w="2790" w:type="dxa"/>
            <w:tcBorders>
              <w:bottom w:val="single" w:sz="8" w:space="0" w:color="auto"/>
            </w:tcBorders>
          </w:tcPr>
          <w:p w:rsidR="00E260E3" w:rsidRPr="002D3263" w:rsidP="00EF4CBB" w14:paraId="4C5B94A9" w14:textId="58827386">
            <w:pPr>
              <w:keepNext/>
              <w:widowControl/>
            </w:pPr>
            <w:r w:rsidRPr="002D3263">
              <w:t xml:space="preserve"> </w:t>
            </w:r>
            <w:r w:rsidRPr="002D3263">
              <w:t>Moving Expenses</w:t>
            </w:r>
          </w:p>
        </w:tc>
        <w:tc>
          <w:tcPr>
            <w:tcW w:w="1980" w:type="dxa"/>
            <w:tcBorders>
              <w:bottom w:val="single" w:sz="8" w:space="0" w:color="auto"/>
            </w:tcBorders>
          </w:tcPr>
          <w:p w:rsidR="00E260E3" w:rsidRPr="002D3263" w:rsidP="00EF4CBB" w14:paraId="7062FCC5" w14:textId="77777777">
            <w:pPr>
              <w:keepNext/>
              <w:widowControl/>
            </w:pPr>
            <w:r w:rsidRPr="002D3263">
              <w:t>None</w:t>
            </w:r>
          </w:p>
        </w:tc>
        <w:tc>
          <w:tcPr>
            <w:tcW w:w="4680" w:type="dxa"/>
            <w:tcBorders>
              <w:bottom w:val="single" w:sz="8" w:space="0" w:color="auto"/>
            </w:tcBorders>
          </w:tcPr>
          <w:p w:rsidR="00E260E3" w:rsidRPr="002D3263" w:rsidP="00EF4CBB" w14:paraId="2088088E" w14:textId="77777777">
            <w:pPr>
              <w:keepNext/>
              <w:widowControl/>
            </w:pPr>
            <w:r w:rsidRPr="002D3263">
              <w:t>None</w:t>
            </w:r>
          </w:p>
        </w:tc>
      </w:tr>
      <w:tr w14:paraId="3827CEC3" w14:textId="77777777" w:rsidTr="008A4DC9">
        <w:tblPrEx>
          <w:tblW w:w="9450" w:type="dxa"/>
          <w:tblLook w:val="04A0"/>
        </w:tblPrEx>
        <w:tc>
          <w:tcPr>
            <w:tcW w:w="2790" w:type="dxa"/>
            <w:tcBorders>
              <w:top w:val="single" w:sz="8" w:space="0" w:color="auto"/>
            </w:tcBorders>
          </w:tcPr>
          <w:p w:rsidR="00E260E3" w:rsidRPr="002D3263" w:rsidP="00EF4CBB" w14:paraId="74EF10FF" w14:textId="77777777">
            <w:pPr>
              <w:keepNext/>
              <w:widowControl/>
              <w:rPr>
                <w:b/>
              </w:rPr>
            </w:pPr>
            <w:r w:rsidRPr="002D3263">
              <w:rPr>
                <w:b/>
              </w:rPr>
              <w:t>In-lieu-of Option</w:t>
            </w:r>
          </w:p>
        </w:tc>
        <w:tc>
          <w:tcPr>
            <w:tcW w:w="1980" w:type="dxa"/>
            <w:tcBorders>
              <w:top w:val="single" w:sz="8" w:space="0" w:color="auto"/>
            </w:tcBorders>
          </w:tcPr>
          <w:p w:rsidR="00E260E3" w:rsidRPr="002D3263" w:rsidP="00EF4CBB" w14:paraId="126BF383" w14:textId="77777777">
            <w:pPr>
              <w:keepNext/>
              <w:widowControl/>
            </w:pPr>
          </w:p>
        </w:tc>
        <w:tc>
          <w:tcPr>
            <w:tcW w:w="4680" w:type="dxa"/>
            <w:tcBorders>
              <w:top w:val="single" w:sz="8" w:space="0" w:color="auto"/>
            </w:tcBorders>
          </w:tcPr>
          <w:p w:rsidR="00E260E3" w:rsidRPr="002D3263" w:rsidP="00EF4CBB" w14:paraId="52699938" w14:textId="77777777">
            <w:pPr>
              <w:keepNext/>
              <w:widowControl/>
            </w:pPr>
          </w:p>
        </w:tc>
      </w:tr>
      <w:tr w14:paraId="5D1DFE4C" w14:textId="77777777" w:rsidTr="008A4DC9">
        <w:tblPrEx>
          <w:tblW w:w="9450" w:type="dxa"/>
          <w:tblLook w:val="04A0"/>
        </w:tblPrEx>
        <w:trPr>
          <w:trHeight w:val="80"/>
        </w:trPr>
        <w:tc>
          <w:tcPr>
            <w:tcW w:w="2790" w:type="dxa"/>
            <w:tcBorders>
              <w:bottom w:val="single" w:sz="8" w:space="0" w:color="auto"/>
            </w:tcBorders>
          </w:tcPr>
          <w:p w:rsidR="00E260E3" w:rsidRPr="002D3263" w:rsidP="00EF4CBB" w14:paraId="6A33EB60" w14:textId="1F96B6F2">
            <w:pPr>
              <w:widowControl/>
            </w:pPr>
            <w:r w:rsidRPr="002D3263">
              <w:t xml:space="preserve"> </w:t>
            </w:r>
            <w:r w:rsidRPr="002D3263">
              <w:t>Payment Amount</w:t>
            </w:r>
          </w:p>
        </w:tc>
        <w:tc>
          <w:tcPr>
            <w:tcW w:w="1980" w:type="dxa"/>
            <w:tcBorders>
              <w:bottom w:val="single" w:sz="8" w:space="0" w:color="auto"/>
            </w:tcBorders>
          </w:tcPr>
          <w:p w:rsidR="00E260E3" w:rsidRPr="002D3263" w:rsidP="00EF4CBB" w14:paraId="64D9A83A" w14:textId="77777777">
            <w:pPr>
              <w:widowControl/>
            </w:pPr>
            <w:r w:rsidRPr="002D3263">
              <w:t>$20,000</w:t>
            </w:r>
          </w:p>
        </w:tc>
        <w:tc>
          <w:tcPr>
            <w:tcW w:w="4680" w:type="dxa"/>
            <w:tcBorders>
              <w:bottom w:val="single" w:sz="8" w:space="0" w:color="auto"/>
            </w:tcBorders>
          </w:tcPr>
          <w:p w:rsidR="00E260E3" w:rsidRPr="002D3263" w:rsidP="00EF4CBB" w14:paraId="0D17978F" w14:textId="15ACF11B">
            <w:pPr>
              <w:widowControl/>
            </w:pPr>
            <w:r w:rsidRPr="002D3263">
              <w:t>$</w:t>
            </w:r>
            <w:r w:rsidR="00EB690F">
              <w:t>53,200</w:t>
            </w:r>
            <w:r w:rsidRPr="002D3263" w:rsidR="00276E2A">
              <w:t>*</w:t>
            </w:r>
            <w:r w:rsidRPr="002D3263">
              <w:t xml:space="preserve"> </w:t>
            </w:r>
          </w:p>
        </w:tc>
      </w:tr>
      <w:tr w14:paraId="50EF8EB9" w14:textId="77777777" w:rsidTr="008A4DC9">
        <w:tblPrEx>
          <w:tblW w:w="9450" w:type="dxa"/>
          <w:tblLook w:val="04A0"/>
        </w:tblPrEx>
        <w:tc>
          <w:tcPr>
            <w:tcW w:w="9450" w:type="dxa"/>
            <w:gridSpan w:val="3"/>
            <w:tcBorders>
              <w:top w:val="single" w:sz="8" w:space="0" w:color="auto"/>
            </w:tcBorders>
          </w:tcPr>
          <w:p w:rsidR="00276E2A" w:rsidP="00EF4CBB" w14:paraId="477774C9" w14:textId="77777777">
            <w:pPr>
              <w:widowControl/>
            </w:pPr>
            <w:r w:rsidRPr="002D3263">
              <w:t xml:space="preserve">*Can be adjusted for inflation </w:t>
            </w:r>
            <w:r w:rsidRPr="002D3263" w:rsidR="00E5540D">
              <w:t>or other factors.</w:t>
            </w:r>
          </w:p>
          <w:p w:rsidR="008F3C2C" w:rsidRPr="002D3263" w:rsidP="00EF4CBB" w14:paraId="62B19009" w14:textId="21BC14D2">
            <w:pPr>
              <w:widowControl/>
            </w:pPr>
          </w:p>
        </w:tc>
      </w:tr>
    </w:tbl>
    <w:p w:rsidR="004F3B9A" w:rsidRPr="002D3263" w:rsidP="00C53C33" w14:paraId="114326CD" w14:textId="77777777">
      <w:pPr>
        <w:pStyle w:val="Heading2"/>
      </w:pPr>
      <w:bookmarkStart w:id="95" w:name="_Toc127438037"/>
      <w:r w:rsidRPr="002D3263">
        <w:t>Data</w:t>
      </w:r>
      <w:bookmarkEnd w:id="95"/>
    </w:p>
    <w:p w:rsidR="00CF58F3" w:rsidRPr="002D3263" w:rsidP="00E85518" w14:paraId="4BB68D47" w14:textId="73F51E87">
      <w:pPr>
        <w:widowControl/>
        <w:spacing w:after="240"/>
      </w:pPr>
      <w:r w:rsidRPr="002D3263">
        <w:t>The FHWA</w:t>
      </w:r>
      <w:r w:rsidRPr="002D3263" w:rsidR="009249C9">
        <w:t xml:space="preserve"> is the only </w:t>
      </w:r>
      <w:r w:rsidR="007D41B2">
        <w:t>A</w:t>
      </w:r>
      <w:r w:rsidRPr="002D3263" w:rsidR="009249C9">
        <w:t xml:space="preserve">gency </w:t>
      </w:r>
      <w:r w:rsidRPr="002D3263" w:rsidR="007E5420">
        <w:t>tha</w:t>
      </w:r>
      <w:r w:rsidRPr="002D3263" w:rsidR="0026387C">
        <w:t>t</w:t>
      </w:r>
      <w:r w:rsidRPr="002D3263" w:rsidR="007E5420">
        <w:t xml:space="preserve"> had and could </w:t>
      </w:r>
      <w:r w:rsidRPr="002D3263" w:rsidR="009249C9">
        <w:t>provide</w:t>
      </w:r>
      <w:r w:rsidRPr="002D3263" w:rsidR="007E5420">
        <w:t xml:space="preserve"> a significant amount of</w:t>
      </w:r>
      <w:r w:rsidRPr="002D3263" w:rsidR="009249C9">
        <w:t xml:space="preserve"> historical data for Uniform Act </w:t>
      </w:r>
      <w:r w:rsidRPr="002D3263" w:rsidR="009D0406">
        <w:t xml:space="preserve">relocation </w:t>
      </w:r>
      <w:r w:rsidRPr="002D3263" w:rsidR="009249C9">
        <w:t xml:space="preserve">activity. </w:t>
      </w:r>
      <w:r w:rsidR="00B210CA">
        <w:t xml:space="preserve"> </w:t>
      </w:r>
      <w:r w:rsidRPr="002D3263" w:rsidR="009249C9">
        <w:t xml:space="preserve">For that reason, this analysis focuses only on FHWA data. </w:t>
      </w:r>
      <w:r w:rsidRPr="002D3263" w:rsidR="009249C9">
        <w:rPr>
          <w:i/>
        </w:rPr>
        <w:fldChar w:fldCharType="begin"/>
      </w:r>
      <w:r w:rsidRPr="002D3263" w:rsidR="009249C9">
        <w:rPr>
          <w:i/>
        </w:rPr>
        <w:instrText xml:space="preserve"> REF _Ref507669824 \h </w:instrText>
      </w:r>
      <w:r w:rsidRPr="002D3263">
        <w:rPr>
          <w:i/>
        </w:rPr>
        <w:instrText xml:space="preserve"> \* MERGEFORMAT </w:instrText>
      </w:r>
      <w:r w:rsidRPr="002D3263" w:rsidR="009249C9">
        <w:rPr>
          <w:i/>
        </w:rPr>
        <w:fldChar w:fldCharType="separate"/>
      </w:r>
      <w:r w:rsidRPr="006D5D1A" w:rsidR="00E762F5">
        <w:rPr>
          <w:i/>
        </w:rPr>
        <w:t xml:space="preserve">Figure </w:t>
      </w:r>
      <w:r w:rsidRPr="006D5D1A" w:rsidR="00E762F5">
        <w:rPr>
          <w:i/>
          <w:noProof/>
        </w:rPr>
        <w:t>3.</w:t>
      </w:r>
      <w:r w:rsidRPr="006D5D1A" w:rsidR="00E762F5">
        <w:rPr>
          <w:i/>
        </w:rPr>
        <w:t xml:space="preserve"> Non-Residential Displacements (FHWA)</w:t>
      </w:r>
      <w:r w:rsidRPr="002D3263" w:rsidR="009249C9">
        <w:rPr>
          <w:i/>
        </w:rPr>
        <w:fldChar w:fldCharType="end"/>
      </w:r>
      <w:r w:rsidRPr="002D3263" w:rsidR="009249C9">
        <w:t xml:space="preserve"> shows historical FHWA data on </w:t>
      </w:r>
      <w:r w:rsidRPr="002D3263" w:rsidR="009D0406">
        <w:t xml:space="preserve">a </w:t>
      </w:r>
      <w:r w:rsidRPr="002D3263" w:rsidR="009249C9">
        <w:t>number of</w:t>
      </w:r>
      <w:r w:rsidRPr="002D3263" w:rsidR="009249C9">
        <w:t xml:space="preserve"> </w:t>
      </w:r>
      <w:r w:rsidRPr="002D3263" w:rsidR="00E94136">
        <w:t>non-</w:t>
      </w:r>
      <w:r w:rsidRPr="002D3263" w:rsidR="009249C9">
        <w:t xml:space="preserve">residential displacements for the previous </w:t>
      </w:r>
      <w:r w:rsidRPr="002D3263" w:rsidR="00AB4B42">
        <w:t>9</w:t>
      </w:r>
      <w:r w:rsidRPr="002D3263" w:rsidR="009249C9">
        <w:t xml:space="preserve"> years (2013 to </w:t>
      </w:r>
      <w:r w:rsidRPr="002D3263" w:rsidR="007E561F">
        <w:t>2021</w:t>
      </w:r>
      <w:r w:rsidRPr="002D3263" w:rsidR="009249C9">
        <w:t>).</w:t>
      </w:r>
      <w:r>
        <w:rPr>
          <w:rStyle w:val="FootnoteReference"/>
        </w:rPr>
        <w:footnoteReference w:id="26"/>
      </w:r>
      <w:r w:rsidR="00B210CA">
        <w:t xml:space="preserve"> </w:t>
      </w:r>
      <w:r w:rsidRPr="002D3263" w:rsidR="009249C9">
        <w:t xml:space="preserve"> During that time FHWA provided Federal-aid funding to </w:t>
      </w:r>
      <w:r w:rsidRPr="002D3263" w:rsidR="004E2112">
        <w:t>S</w:t>
      </w:r>
      <w:r w:rsidRPr="002D3263" w:rsidR="009249C9">
        <w:t>tate DOTs th</w:t>
      </w:r>
      <w:r w:rsidRPr="002D3263" w:rsidR="00E94136">
        <w:t xml:space="preserve">at carried out an average of </w:t>
      </w:r>
      <w:r w:rsidRPr="002D3263" w:rsidR="007E561F">
        <w:t>1,388</w:t>
      </w:r>
      <w:r w:rsidRPr="002D3263" w:rsidR="009249C9">
        <w:t xml:space="preserve"> </w:t>
      </w:r>
      <w:r w:rsidRPr="002D3263" w:rsidR="00E94136">
        <w:t>non-</w:t>
      </w:r>
      <w:r w:rsidRPr="002D3263" w:rsidR="009249C9">
        <w:t>residential relocations per year.</w:t>
      </w:r>
      <w:r w:rsidRPr="002D3263" w:rsidR="004410C8">
        <w:t xml:space="preserve"> </w:t>
      </w:r>
      <w:r w:rsidR="00B210CA">
        <w:t xml:space="preserve"> </w:t>
      </w:r>
      <w:r w:rsidRPr="002D3263" w:rsidR="009249C9">
        <w:t>Thus, this analysis</w:t>
      </w:r>
      <w:r w:rsidRPr="002D3263" w:rsidR="00FC2EC1">
        <w:t xml:space="preserve"> assumes </w:t>
      </w:r>
      <w:r w:rsidRPr="002D3263" w:rsidR="009249C9">
        <w:t xml:space="preserve">that on average </w:t>
      </w:r>
      <w:r w:rsidRPr="002D3263" w:rsidR="007E561F">
        <w:t>1,388</w:t>
      </w:r>
      <w:r w:rsidRPr="002D3263" w:rsidR="00E94136">
        <w:t xml:space="preserve"> non-residential</w:t>
      </w:r>
      <w:r w:rsidRPr="002D3263" w:rsidR="009249C9">
        <w:t xml:space="preserve"> relocations will occur each year of the analysis period.</w:t>
      </w:r>
    </w:p>
    <w:p w:rsidR="008561C0" w:rsidRPr="002D3263" w:rsidP="00EF4CBB" w14:paraId="68913A93" w14:textId="7E199EC2">
      <w:pPr>
        <w:widowControl/>
        <w:jc w:val="center"/>
      </w:pPr>
      <w:r w:rsidRPr="002D3263">
        <w:rPr>
          <w:noProof/>
        </w:rPr>
        <w:drawing>
          <wp:inline distT="0" distB="0" distL="0" distR="0">
            <wp:extent cx="5943600" cy="3514725"/>
            <wp:effectExtent l="0" t="0" r="0" b="9525"/>
            <wp:docPr id="1" name="Chart 1">
              <a:extLst xmlns:a="http://schemas.openxmlformats.org/drawingml/2006/main">
                <a:ext xmlns:a="http://schemas.openxmlformats.org/drawingml/2006/main"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B4328" w:rsidRPr="002D3263" w:rsidP="00D6005F" w14:paraId="3E53686D" w14:textId="66F901A4">
      <w:pPr>
        <w:pStyle w:val="Caption"/>
      </w:pPr>
      <w:bookmarkStart w:id="96" w:name="_Ref415044556"/>
      <w:bookmarkStart w:id="97" w:name="_Ref507669824"/>
      <w:bookmarkStart w:id="98" w:name="_Toc127438085"/>
      <w:r w:rsidRPr="002D3263">
        <w:t xml:space="preserve">Figure </w:t>
      </w:r>
      <w:r w:rsidRPr="002D3263" w:rsidR="00D661D5">
        <w:rPr>
          <w:noProof/>
        </w:rPr>
        <w:fldChar w:fldCharType="begin"/>
      </w:r>
      <w:r w:rsidRPr="002D3263" w:rsidR="00D661D5">
        <w:rPr>
          <w:noProof/>
        </w:rPr>
        <w:instrText xml:space="preserve"> SEQ Figure \* ARABIC </w:instrText>
      </w:r>
      <w:r w:rsidRPr="002D3263" w:rsidR="00D661D5">
        <w:rPr>
          <w:noProof/>
        </w:rPr>
        <w:fldChar w:fldCharType="separate"/>
      </w:r>
      <w:r w:rsidR="00E762F5">
        <w:rPr>
          <w:noProof/>
        </w:rPr>
        <w:t>3</w:t>
      </w:r>
      <w:r w:rsidRPr="002D3263" w:rsidR="00D661D5">
        <w:rPr>
          <w:noProof/>
        </w:rPr>
        <w:fldChar w:fldCharType="end"/>
      </w:r>
      <w:bookmarkEnd w:id="96"/>
      <w:r w:rsidRPr="002D3263">
        <w:t>. Non-Residential Displacements (FHWA)</w:t>
      </w:r>
      <w:bookmarkEnd w:id="97"/>
      <w:bookmarkEnd w:id="98"/>
    </w:p>
    <w:p w:rsidR="00214C87" w:rsidRPr="002D3263" w:rsidP="00EF4CBB" w14:paraId="2446FBB3" w14:textId="0002B019">
      <w:pPr>
        <w:pStyle w:val="Body"/>
        <w:widowControl/>
      </w:pPr>
      <w:r w:rsidRPr="002D3263">
        <w:t>The FHWA</w:t>
      </w:r>
      <w:r w:rsidRPr="002D3263" w:rsidR="00CA0DD6">
        <w:t xml:space="preserve"> data from </w:t>
      </w:r>
      <w:r w:rsidRPr="000564A9" w:rsidR="00CA0DD6">
        <w:t>1991 to 2003</w:t>
      </w:r>
      <w:r w:rsidRPr="002D3263" w:rsidR="00CA0DD6">
        <w:t xml:space="preserve"> (see </w:t>
      </w:r>
      <w:r w:rsidRPr="002D3263" w:rsidR="00CA0DD6">
        <w:fldChar w:fldCharType="begin"/>
      </w:r>
      <w:r w:rsidRPr="002D3263" w:rsidR="00CA0DD6">
        <w:instrText xml:space="preserve"> REF _Ref415044836 \h </w:instrText>
      </w:r>
      <w:r w:rsidR="002D3263">
        <w:instrText xml:space="preserve"> \* MERGEFORMAT </w:instrText>
      </w:r>
      <w:r w:rsidRPr="002D3263" w:rsidR="00CA0DD6">
        <w:fldChar w:fldCharType="separate"/>
      </w:r>
      <w:r w:rsidRPr="002D3263" w:rsidR="00E762F5">
        <w:t xml:space="preserve">Figure </w:t>
      </w:r>
      <w:r w:rsidR="00E762F5">
        <w:rPr>
          <w:noProof/>
        </w:rPr>
        <w:t>4</w:t>
      </w:r>
      <w:r w:rsidRPr="002D3263" w:rsidR="00CA0DD6">
        <w:fldChar w:fldCharType="end"/>
      </w:r>
      <w:r w:rsidRPr="002D3263" w:rsidR="00CA0DD6">
        <w:t xml:space="preserve">) shows that </w:t>
      </w:r>
      <w:r w:rsidRPr="002D3263" w:rsidR="009B0BEE">
        <w:t>during</w:t>
      </w:r>
      <w:r w:rsidRPr="002D3263" w:rsidR="00CA0DD6">
        <w:t xml:space="preserve"> that </w:t>
      </w:r>
      <w:r w:rsidRPr="002D3263" w:rsidR="00AE3245">
        <w:t xml:space="preserve">time </w:t>
      </w:r>
      <w:r w:rsidRPr="002D3263" w:rsidR="00CA0DD6">
        <w:t>period</w:t>
      </w:r>
      <w:r w:rsidRPr="002D3263" w:rsidR="00CA0DD6">
        <w:t xml:space="preserve"> approximately 14 percent of non-residential displacements received the in-lieu-of payment rather than the reimbursement payment. </w:t>
      </w:r>
      <w:r w:rsidR="00B210CA">
        <w:t xml:space="preserve"> </w:t>
      </w:r>
      <w:r w:rsidRPr="002D3263" w:rsidR="00CA0DD6">
        <w:t xml:space="preserve">There </w:t>
      </w:r>
      <w:r w:rsidRPr="002D3263" w:rsidR="000F76CC">
        <w:t>is</w:t>
      </w:r>
      <w:r w:rsidRPr="002D3263" w:rsidR="00CA0DD6">
        <w:t xml:space="preserve"> no discernable trend in that percentage </w:t>
      </w:r>
      <w:r w:rsidRPr="002D3263" w:rsidR="009B0BEE">
        <w:t>during</w:t>
      </w:r>
      <w:r w:rsidRPr="002D3263" w:rsidR="00CA0DD6">
        <w:t xml:space="preserve"> that period. It is possible that raising the maximum amount of the in-lieu-of payment will cause more displaced businesses to choose that option. </w:t>
      </w:r>
      <w:r w:rsidR="00B210CA">
        <w:t xml:space="preserve"> </w:t>
      </w:r>
      <w:r w:rsidRPr="002D3263" w:rsidR="00CA0DD6">
        <w:t xml:space="preserve">However, there is insufficient information upon which to make an estimate of that impact. </w:t>
      </w:r>
      <w:r w:rsidR="00B210CA">
        <w:t xml:space="preserve"> </w:t>
      </w:r>
      <w:r w:rsidRPr="002D3263" w:rsidR="00014CCE">
        <w:t>Therefore,</w:t>
      </w:r>
      <w:r w:rsidRPr="002D3263" w:rsidR="00CA0DD6">
        <w:t xml:space="preserve"> we </w:t>
      </w:r>
      <w:r w:rsidRPr="002D3263" w:rsidR="00305D57">
        <w:t>assume</w:t>
      </w:r>
      <w:r w:rsidRPr="002D3263" w:rsidR="00CA0DD6">
        <w:t xml:space="preserve"> that 14 percent of business displacements will </w:t>
      </w:r>
      <w:r w:rsidRPr="002D3263" w:rsidR="00E718F7">
        <w:t>elect to receive</w:t>
      </w:r>
      <w:r w:rsidRPr="002D3263" w:rsidR="00CA0DD6">
        <w:t xml:space="preserve"> the in-lieu-of payment during the analysis period both with and without the </w:t>
      </w:r>
      <w:r w:rsidRPr="002D3263" w:rsidR="0035027D">
        <w:t>final</w:t>
      </w:r>
      <w:r w:rsidRPr="002D3263" w:rsidR="00CA0DD6">
        <w:t xml:space="preserve"> rule.</w:t>
      </w:r>
    </w:p>
    <w:p w:rsidR="00CA0DD6" w:rsidRPr="002D3263" w:rsidP="00EF4CBB" w14:paraId="5232C709" w14:textId="77777777">
      <w:pPr>
        <w:keepNext/>
        <w:widowControl/>
        <w:jc w:val="center"/>
      </w:pPr>
      <w:r w:rsidRPr="002D3263">
        <w:rPr>
          <w:noProof/>
        </w:rPr>
        <w:drawing>
          <wp:inline distT="0" distB="0" distL="0" distR="0">
            <wp:extent cx="5669280" cy="3291840"/>
            <wp:effectExtent l="0" t="0" r="7620" b="3810"/>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14C87" w:rsidRPr="002D3263" w:rsidP="00D6005F" w14:paraId="010A8947" w14:textId="44EE8222">
      <w:pPr>
        <w:pStyle w:val="Caption"/>
      </w:pPr>
      <w:bookmarkStart w:id="99" w:name="_Ref415044836"/>
      <w:bookmarkStart w:id="100" w:name="_Toc127438086"/>
      <w:r w:rsidRPr="002D3263">
        <w:t xml:space="preserve">Figure </w:t>
      </w:r>
      <w:r w:rsidRPr="002D3263" w:rsidR="00D661D5">
        <w:rPr>
          <w:noProof/>
        </w:rPr>
        <w:fldChar w:fldCharType="begin"/>
      </w:r>
      <w:r w:rsidRPr="002D3263" w:rsidR="00D661D5">
        <w:rPr>
          <w:noProof/>
        </w:rPr>
        <w:instrText xml:space="preserve"> SEQ Figure \* ARABIC </w:instrText>
      </w:r>
      <w:r w:rsidRPr="002D3263" w:rsidR="00D661D5">
        <w:rPr>
          <w:noProof/>
        </w:rPr>
        <w:fldChar w:fldCharType="separate"/>
      </w:r>
      <w:r w:rsidR="00E762F5">
        <w:rPr>
          <w:noProof/>
        </w:rPr>
        <w:t>4</w:t>
      </w:r>
      <w:r w:rsidRPr="002D3263" w:rsidR="00D661D5">
        <w:rPr>
          <w:noProof/>
        </w:rPr>
        <w:fldChar w:fldCharType="end"/>
      </w:r>
      <w:bookmarkEnd w:id="99"/>
      <w:r w:rsidRPr="002D3263">
        <w:t>. Non-Residential In-Lieu-Of Payments (FHWA)</w:t>
      </w:r>
      <w:bookmarkEnd w:id="100"/>
    </w:p>
    <w:p w:rsidR="0033418A" w:rsidRPr="002D3263" w:rsidP="00C53C33" w14:paraId="0C411694" w14:textId="74DFA340">
      <w:pPr>
        <w:pStyle w:val="Heading2"/>
      </w:pPr>
      <w:bookmarkStart w:id="101" w:name="_Toc127438038"/>
      <w:r w:rsidRPr="002D3263">
        <w:t>Reimburs</w:t>
      </w:r>
      <w:r w:rsidRPr="002D3263" w:rsidR="007B2745">
        <w:t>ement for Updating Other Media</w:t>
      </w:r>
      <w:bookmarkEnd w:id="101"/>
    </w:p>
    <w:p w:rsidR="0033418A" w:rsidRPr="002D3263" w:rsidP="00E85518" w14:paraId="380BDE92" w14:textId="1DA11F3A">
      <w:pPr>
        <w:widowControl/>
        <w:spacing w:after="240"/>
      </w:pPr>
      <w:r w:rsidRPr="002D3263">
        <w:t xml:space="preserve">Section </w:t>
      </w:r>
      <w:r w:rsidRPr="002D3263" w:rsidR="000A7187">
        <w:t xml:space="preserve">24.301(g) allows </w:t>
      </w:r>
      <w:bookmarkStart w:id="102" w:name="_Hlk508630258"/>
      <w:r w:rsidRPr="002D3263" w:rsidR="00305D57">
        <w:t>non-residential</w:t>
      </w:r>
      <w:r w:rsidRPr="002D3263" w:rsidR="0009411F">
        <w:t xml:space="preserve"> displaced persons</w:t>
      </w:r>
      <w:bookmarkEnd w:id="102"/>
      <w:r w:rsidRPr="002D3263" w:rsidR="000A7187">
        <w:t xml:space="preserve"> to be reimbursed for certain eligible actual moving expenses, including re</w:t>
      </w:r>
      <w:r w:rsidRPr="002D3263" w:rsidR="000F76CC">
        <w:t>-</w:t>
      </w:r>
      <w:r w:rsidRPr="002D3263" w:rsidR="000A7187">
        <w:t xml:space="preserve">lettering of </w:t>
      </w:r>
      <w:r w:rsidRPr="002D3263" w:rsidR="000A7187">
        <w:t>signs</w:t>
      </w:r>
      <w:r w:rsidRPr="002D3263" w:rsidR="000A7187">
        <w:t xml:space="preserve"> and replacing stationary.</w:t>
      </w:r>
      <w:r w:rsidRPr="002D3263" w:rsidR="00AC30F3">
        <w:t xml:space="preserve"> </w:t>
      </w:r>
      <w:r w:rsidR="00B210CA">
        <w:t xml:space="preserve"> </w:t>
      </w:r>
      <w:r w:rsidRPr="002D3263">
        <w:t xml:space="preserve">The </w:t>
      </w:r>
      <w:r w:rsidRPr="002D3263" w:rsidR="0035027D">
        <w:t>final</w:t>
      </w:r>
      <w:r w:rsidRPr="002D3263">
        <w:t xml:space="preserve"> rule adds</w:t>
      </w:r>
      <w:r w:rsidRPr="002D3263" w:rsidR="000F76CC">
        <w:t xml:space="preserve"> </w:t>
      </w:r>
      <w:r w:rsidRPr="002D3263" w:rsidR="000C10EE">
        <w:t xml:space="preserve">making updates to other media that are made obsolete </w:t>
      </w:r>
      <w:r w:rsidRPr="002D3263" w:rsidR="000C10EE">
        <w:t>as a result of</w:t>
      </w:r>
      <w:r w:rsidRPr="002D3263" w:rsidR="000C10EE">
        <w:t xml:space="preserve"> the move </w:t>
      </w:r>
      <w:r w:rsidRPr="002D3263" w:rsidR="000A7187">
        <w:t>to the list of eligible moving expenses</w:t>
      </w:r>
      <w:r w:rsidRPr="002D3263" w:rsidR="00630D9C">
        <w:t>.</w:t>
      </w:r>
      <w:r w:rsidRPr="002D3263" w:rsidR="000A7187">
        <w:t xml:space="preserve"> </w:t>
      </w:r>
      <w:r w:rsidR="00B210CA">
        <w:t xml:space="preserve"> </w:t>
      </w:r>
      <w:r w:rsidRPr="002D3263" w:rsidR="008516C9">
        <w:t>The FHWA</w:t>
      </w:r>
      <w:r w:rsidRPr="002D3263" w:rsidR="000A7187">
        <w:t xml:space="preserve"> intends </w:t>
      </w:r>
      <w:r w:rsidRPr="002D3263" w:rsidR="00630D9C">
        <w:t xml:space="preserve">in part </w:t>
      </w:r>
      <w:r w:rsidRPr="002D3263" w:rsidR="000A7187">
        <w:t xml:space="preserve">for </w:t>
      </w:r>
      <w:r w:rsidRPr="002D3263" w:rsidR="000F76CC">
        <w:t>t</w:t>
      </w:r>
      <w:r w:rsidRPr="002D3263" w:rsidR="000A7187">
        <w:t xml:space="preserve">his change to cover the cost of making changes to </w:t>
      </w:r>
      <w:r w:rsidR="00310158">
        <w:t>W</w:t>
      </w:r>
      <w:r w:rsidRPr="002D3263" w:rsidR="000A7187">
        <w:t>ebsites, DVDs, CDs</w:t>
      </w:r>
      <w:r w:rsidRPr="002D3263" w:rsidR="00A4761B">
        <w:t>,</w:t>
      </w:r>
      <w:r w:rsidRPr="002D3263" w:rsidR="000A7187">
        <w:t xml:space="preserve"> or other types of media that have been introduced since the </w:t>
      </w:r>
      <w:r w:rsidRPr="002D3263" w:rsidR="000F76CC">
        <w:t xml:space="preserve">implementing regulations of the </w:t>
      </w:r>
      <w:r w:rsidRPr="002D3263" w:rsidR="000A7187">
        <w:t>Uniform Act w</w:t>
      </w:r>
      <w:r w:rsidRPr="002D3263" w:rsidR="000F76CC">
        <w:t>ere</w:t>
      </w:r>
      <w:r w:rsidRPr="002D3263" w:rsidR="000A7187">
        <w:t xml:space="preserve"> first written.</w:t>
      </w:r>
    </w:p>
    <w:p w:rsidR="000A7187" w:rsidRPr="002D3263" w:rsidP="00EF4CBB" w14:paraId="3A664BDD" w14:textId="77777777">
      <w:pPr>
        <w:pStyle w:val="Heading3"/>
        <w:widowControl/>
      </w:pPr>
      <w:bookmarkStart w:id="103" w:name="_Toc127438039"/>
      <w:r w:rsidRPr="002D3263">
        <w:t>Benefits</w:t>
      </w:r>
      <w:bookmarkEnd w:id="103"/>
    </w:p>
    <w:p w:rsidR="000A7187" w:rsidRPr="002D3263" w:rsidP="00E85518" w14:paraId="01791DBA" w14:textId="22A217CA">
      <w:pPr>
        <w:widowControl/>
        <w:spacing w:after="240"/>
      </w:pPr>
      <w:r w:rsidRPr="002D3263">
        <w:t xml:space="preserve">The benefits of the </w:t>
      </w:r>
      <w:r w:rsidRPr="002D3263" w:rsidR="0035027D">
        <w:t xml:space="preserve">rule </w:t>
      </w:r>
      <w:r w:rsidRPr="002D3263">
        <w:t>change will be</w:t>
      </w:r>
      <w:r w:rsidRPr="002D3263" w:rsidR="003910F6">
        <w:t xml:space="preserve"> </w:t>
      </w:r>
      <w:r w:rsidRPr="002D3263" w:rsidR="00F13AD0">
        <w:t xml:space="preserve">increased fairness and equity. </w:t>
      </w:r>
      <w:r w:rsidR="00B210CA">
        <w:t xml:space="preserve"> </w:t>
      </w:r>
      <w:r w:rsidRPr="002D3263" w:rsidR="00F13AD0">
        <w:t xml:space="preserve">There may also be </w:t>
      </w:r>
      <w:r w:rsidRPr="002D3263" w:rsidR="003910F6">
        <w:t xml:space="preserve">more </w:t>
      </w:r>
      <w:r w:rsidRPr="002D3263" w:rsidR="00305D57">
        <w:t>non-residential</w:t>
      </w:r>
      <w:r w:rsidRPr="002D3263" w:rsidR="0009411F">
        <w:t xml:space="preserve"> displaced persons</w:t>
      </w:r>
      <w:r w:rsidRPr="002D3263" w:rsidR="003910F6">
        <w:t xml:space="preserve"> </w:t>
      </w:r>
      <w:r w:rsidRPr="002D3263" w:rsidR="00F13AD0">
        <w:t xml:space="preserve">that </w:t>
      </w:r>
      <w:r w:rsidRPr="002D3263" w:rsidR="009A7C76">
        <w:t>would</w:t>
      </w:r>
      <w:r w:rsidRPr="002D3263" w:rsidR="003910F6">
        <w:t xml:space="preserve"> re</w:t>
      </w:r>
      <w:r w:rsidR="00732A88">
        <w:t>-</w:t>
      </w:r>
      <w:r w:rsidRPr="002D3263" w:rsidR="003910F6">
        <w:t xml:space="preserve">establish </w:t>
      </w:r>
      <w:r w:rsidRPr="002D3263" w:rsidR="00CE0154">
        <w:t xml:space="preserve">successfully </w:t>
      </w:r>
      <w:r w:rsidRPr="002D3263" w:rsidR="003910F6">
        <w:t xml:space="preserve">because of the reduced costs </w:t>
      </w:r>
      <w:r w:rsidRPr="002D3263" w:rsidR="000C22A5">
        <w:t xml:space="preserve">of </w:t>
      </w:r>
      <w:r w:rsidRPr="002D3263" w:rsidR="000C22A5">
        <w:t>moving</w:t>
      </w:r>
      <w:r w:rsidRPr="002D3263">
        <w:t>.</w:t>
      </w:r>
      <w:r w:rsidRPr="002D3263" w:rsidR="000F76CC">
        <w:t xml:space="preserve"> </w:t>
      </w:r>
      <w:r w:rsidR="00B210CA">
        <w:t xml:space="preserve"> </w:t>
      </w:r>
      <w:r w:rsidRPr="002D3263" w:rsidR="000F76CC">
        <w:t xml:space="preserve">Under the new rule, </w:t>
      </w:r>
      <w:r w:rsidRPr="002D3263" w:rsidR="00305D57">
        <w:t>non-residential</w:t>
      </w:r>
      <w:r w:rsidRPr="002D3263" w:rsidR="0009411F">
        <w:t xml:space="preserve"> displaced persons</w:t>
      </w:r>
      <w:r w:rsidRPr="002D3263" w:rsidR="000F76CC">
        <w:t xml:space="preserve"> </w:t>
      </w:r>
      <w:r w:rsidRPr="002D3263" w:rsidR="00D5701F">
        <w:t xml:space="preserve">can </w:t>
      </w:r>
      <w:r w:rsidRPr="002D3263" w:rsidR="000F76CC">
        <w:t xml:space="preserve">be reimbursed for expenses that </w:t>
      </w:r>
      <w:r w:rsidRPr="002D3263" w:rsidR="003910F6">
        <w:t xml:space="preserve">they either currently absorb or perhaps choose not to incur. </w:t>
      </w:r>
    </w:p>
    <w:p w:rsidR="000A7187" w:rsidRPr="002D3263" w:rsidP="00EF4CBB" w14:paraId="1E762424" w14:textId="77777777">
      <w:pPr>
        <w:pStyle w:val="Heading3"/>
        <w:widowControl/>
      </w:pPr>
      <w:bookmarkStart w:id="104" w:name="_Toc127438040"/>
      <w:r w:rsidRPr="002D3263">
        <w:t>Transfers (</w:t>
      </w:r>
      <w:r w:rsidRPr="002D3263">
        <w:t>Increase</w:t>
      </w:r>
      <w:r w:rsidRPr="002D3263">
        <w:t>d</w:t>
      </w:r>
      <w:r w:rsidRPr="002D3263">
        <w:t xml:space="preserve"> Program Expenditures</w:t>
      </w:r>
      <w:r w:rsidRPr="002D3263">
        <w:t>)</w:t>
      </w:r>
      <w:bookmarkEnd w:id="104"/>
    </w:p>
    <w:p w:rsidR="000A7187" w:rsidRPr="002D3263" w:rsidP="00E85518" w14:paraId="35553C11" w14:textId="44EE0504">
      <w:pPr>
        <w:widowControl/>
        <w:spacing w:after="240"/>
      </w:pPr>
      <w:r w:rsidRPr="002D3263">
        <w:t xml:space="preserve">The </w:t>
      </w:r>
      <w:r w:rsidRPr="002D3263" w:rsidR="0035027D">
        <w:t xml:space="preserve">new </w:t>
      </w:r>
      <w:r w:rsidRPr="002D3263" w:rsidR="00590F08">
        <w:t xml:space="preserve">payment is a reimbursement, </w:t>
      </w:r>
      <w:r w:rsidRPr="002D3263">
        <w:t xml:space="preserve">and thus </w:t>
      </w:r>
      <w:r w:rsidRPr="002D3263" w:rsidR="00590F08">
        <w:t xml:space="preserve">the resulting increase in payments is not a social cost, but rather a transfer. </w:t>
      </w:r>
      <w:r w:rsidR="00B210CA">
        <w:t xml:space="preserve"> </w:t>
      </w:r>
      <w:r w:rsidRPr="002D3263">
        <w:t>T</w:t>
      </w:r>
      <w:r w:rsidRPr="002D3263" w:rsidR="00590F08">
        <w:t xml:space="preserve">here is not sufficient information upon which to estimate the magnitude of the increase in program expenditures due to the </w:t>
      </w:r>
      <w:r w:rsidRPr="002D3263" w:rsidR="0035027D">
        <w:t xml:space="preserve">final </w:t>
      </w:r>
      <w:r w:rsidRPr="002D3263" w:rsidR="00590F08">
        <w:t>rule.</w:t>
      </w:r>
    </w:p>
    <w:p w:rsidR="009A3971" w:rsidRPr="00A3656C" w:rsidP="00C53C33" w14:paraId="21EE25FE" w14:textId="77777777">
      <w:pPr>
        <w:pStyle w:val="Heading2"/>
      </w:pPr>
      <w:bookmarkStart w:id="105" w:name="_Toc127438041"/>
      <w:r w:rsidRPr="00A3656C">
        <w:t>Search Expenses</w:t>
      </w:r>
      <w:bookmarkEnd w:id="105"/>
    </w:p>
    <w:p w:rsidR="00553D69" w:rsidRPr="002D3263" w:rsidP="00EF4CBB" w14:paraId="169D6291" w14:textId="4ED3E004">
      <w:pPr>
        <w:pStyle w:val="Body"/>
        <w:widowControl/>
      </w:pPr>
      <w:r w:rsidRPr="002D3263">
        <w:t xml:space="preserve">The current rule allows for reimbursement to </w:t>
      </w:r>
      <w:r w:rsidRPr="002D3263" w:rsidR="00305D57">
        <w:t>non-residential</w:t>
      </w:r>
      <w:r w:rsidRPr="002D3263" w:rsidR="0009411F">
        <w:t xml:space="preserve"> displaced persons</w:t>
      </w:r>
      <w:r w:rsidRPr="002D3263" w:rsidR="00176DF5">
        <w:t xml:space="preserve"> </w:t>
      </w:r>
      <w:r w:rsidRPr="002D3263">
        <w:t>for reasonable expenses related to searching for a</w:t>
      </w:r>
      <w:r w:rsidRPr="002D3263" w:rsidR="003D350F">
        <w:t xml:space="preserve"> </w:t>
      </w:r>
      <w:r w:rsidRPr="002D3263">
        <w:t>replacement location</w:t>
      </w:r>
      <w:r w:rsidRPr="002D3263" w:rsidR="006E22DD">
        <w:t>.</w:t>
      </w:r>
      <w:r w:rsidRPr="002D3263" w:rsidR="00AC30F3">
        <w:t xml:space="preserve"> </w:t>
      </w:r>
      <w:r w:rsidR="00B210CA">
        <w:t xml:space="preserve"> </w:t>
      </w:r>
      <w:r w:rsidRPr="002D3263">
        <w:t xml:space="preserve">The </w:t>
      </w:r>
      <w:r w:rsidRPr="002D3263" w:rsidR="0035027D">
        <w:t>final</w:t>
      </w:r>
      <w:r w:rsidRPr="002D3263">
        <w:t xml:space="preserve"> rule </w:t>
      </w:r>
      <w:r w:rsidRPr="002D3263" w:rsidR="00DA20C7">
        <w:t xml:space="preserve">at </w:t>
      </w:r>
      <w:r w:rsidRPr="002D3263" w:rsidR="009A7C76">
        <w:t>Section</w:t>
      </w:r>
      <w:r w:rsidRPr="002D3263" w:rsidR="000C22A5">
        <w:t xml:space="preserve"> </w:t>
      </w:r>
      <w:r w:rsidRPr="002D3263" w:rsidR="00DA20C7">
        <w:t>24.301(g</w:t>
      </w:r>
      <w:r w:rsidRPr="002D3263" w:rsidR="00BE7551">
        <w:t>)(</w:t>
      </w:r>
      <w:r w:rsidRPr="002D3263" w:rsidR="008561C0">
        <w:t>1</w:t>
      </w:r>
      <w:r w:rsidRPr="002D3263" w:rsidR="00824B67">
        <w:t>8</w:t>
      </w:r>
      <w:r w:rsidRPr="002D3263" w:rsidR="00BE7551">
        <w:t>)</w:t>
      </w:r>
      <w:r w:rsidRPr="002D3263" w:rsidR="00DA20C7">
        <w:t xml:space="preserve"> </w:t>
      </w:r>
      <w:r w:rsidRPr="002D3263">
        <w:t>increase</w:t>
      </w:r>
      <w:r w:rsidRPr="002D3263" w:rsidR="007E561F">
        <w:t>s</w:t>
      </w:r>
      <w:r w:rsidRPr="002D3263">
        <w:t xml:space="preserve"> the maximum amount of reimbursement from $2,500 to $5,000, an increase of $2,500. </w:t>
      </w:r>
      <w:r w:rsidR="00B210CA">
        <w:t xml:space="preserve"> </w:t>
      </w:r>
      <w:r w:rsidRPr="002D3263" w:rsidR="00FB2EA9">
        <w:t xml:space="preserve">The </w:t>
      </w:r>
      <w:r w:rsidRPr="002D3263" w:rsidR="00684BFB">
        <w:t xml:space="preserve">final </w:t>
      </w:r>
      <w:r w:rsidRPr="002D3263" w:rsidR="00FB2EA9">
        <w:t xml:space="preserve">rule at </w:t>
      </w:r>
      <w:r w:rsidRPr="002D3263" w:rsidR="009A7C76">
        <w:t>Section</w:t>
      </w:r>
      <w:r w:rsidRPr="002D3263" w:rsidR="000C22A5">
        <w:t xml:space="preserve"> </w:t>
      </w:r>
      <w:r w:rsidRPr="002D3263" w:rsidR="00FB2EA9">
        <w:t>24.301(g</w:t>
      </w:r>
      <w:r w:rsidRPr="002D3263" w:rsidR="00BE7551">
        <w:t>)(</w:t>
      </w:r>
      <w:r w:rsidRPr="002D3263" w:rsidR="008561C0">
        <w:t>1</w:t>
      </w:r>
      <w:r w:rsidRPr="002D3263" w:rsidR="00824B67">
        <w:t>8</w:t>
      </w:r>
      <w:r w:rsidRPr="002D3263" w:rsidR="00BE7551">
        <w:t>)(</w:t>
      </w:r>
      <w:r w:rsidRPr="002D3263" w:rsidR="007D72E4">
        <w:t>i</w:t>
      </w:r>
      <w:r w:rsidRPr="002D3263" w:rsidR="00824B67">
        <w:t>i</w:t>
      </w:r>
      <w:r w:rsidRPr="002D3263" w:rsidR="00FB2EA9">
        <w:t xml:space="preserve">) allows </w:t>
      </w:r>
      <w:r w:rsidRPr="002D3263" w:rsidR="002A616F">
        <w:t>for non</w:t>
      </w:r>
      <w:r w:rsidRPr="002D3263" w:rsidR="00305D57">
        <w:t>-residential</w:t>
      </w:r>
      <w:r w:rsidRPr="002D3263" w:rsidR="0009411F">
        <w:t xml:space="preserve"> displaced persons</w:t>
      </w:r>
      <w:r w:rsidRPr="002D3263" w:rsidR="00FB2EA9">
        <w:t xml:space="preserve"> to be provided a one-time</w:t>
      </w:r>
      <w:r w:rsidRPr="002D3263" w:rsidR="001C4A43">
        <w:t xml:space="preserve"> payment</w:t>
      </w:r>
      <w:r w:rsidRPr="002D3263" w:rsidR="00FB2EA9">
        <w:t xml:space="preserve"> of $1,000 for search expenses as an alternative to the reimbursements provided for in </w:t>
      </w:r>
      <w:r w:rsidRPr="002D3263" w:rsidR="009A7C76">
        <w:t>Section</w:t>
      </w:r>
      <w:r w:rsidRPr="002D3263" w:rsidR="00682BBD">
        <w:t xml:space="preserve"> </w:t>
      </w:r>
      <w:r w:rsidRPr="002D3263" w:rsidR="00FB2EA9">
        <w:t>24.301(g)(1</w:t>
      </w:r>
      <w:r w:rsidRPr="002D3263" w:rsidR="007D72E4">
        <w:t>8</w:t>
      </w:r>
      <w:r w:rsidRPr="002D3263" w:rsidR="00FB2EA9">
        <w:t>)(</w:t>
      </w:r>
      <w:r w:rsidRPr="002D3263" w:rsidR="007D72E4">
        <w:t>i</w:t>
      </w:r>
      <w:r w:rsidRPr="002D3263" w:rsidR="00FB2EA9">
        <w:t>)</w:t>
      </w:r>
      <w:r w:rsidRPr="002D3263" w:rsidR="00E718F7">
        <w:t xml:space="preserve"> with little or no documentation</w:t>
      </w:r>
      <w:r w:rsidRPr="002D3263" w:rsidR="00FB2EA9">
        <w:t>.</w:t>
      </w:r>
      <w:r w:rsidRPr="002D3263" w:rsidR="006C14C3">
        <w:t xml:space="preserve"> </w:t>
      </w:r>
      <w:r w:rsidR="00B210CA">
        <w:t xml:space="preserve"> </w:t>
      </w:r>
      <w:r w:rsidRPr="002D3263" w:rsidR="00E02AFF">
        <w:t xml:space="preserve">The change to </w:t>
      </w:r>
      <w:r w:rsidRPr="002D3263" w:rsidR="009A7C76">
        <w:t>Section</w:t>
      </w:r>
      <w:r w:rsidRPr="002D3263" w:rsidR="00E02AFF">
        <w:t xml:space="preserve"> 24.301(g)(1</w:t>
      </w:r>
      <w:r w:rsidRPr="002D3263" w:rsidR="00824B67">
        <w:t>8</w:t>
      </w:r>
      <w:r w:rsidRPr="002D3263" w:rsidR="00E02AFF">
        <w:t>)(i) will allow these search expenses to include attorney’s fees related to negotiating the purchase of a replacement site.</w:t>
      </w:r>
      <w:r w:rsidRPr="002D3263" w:rsidR="001C1878">
        <w:t xml:space="preserve"> </w:t>
      </w:r>
      <w:r w:rsidR="00B210CA">
        <w:t xml:space="preserve"> </w:t>
      </w:r>
      <w:r w:rsidRPr="002D3263" w:rsidR="001C1878">
        <w:t>In response to comments received to the NPRM, the final rule</w:t>
      </w:r>
      <w:r w:rsidRPr="002D3263" w:rsidR="00D27EA6">
        <w:t xml:space="preserve"> at Section 24.11</w:t>
      </w:r>
      <w:r w:rsidRPr="002D3263" w:rsidR="001C1878">
        <w:t xml:space="preserve"> allows for this amount to be adjusted for inflation </w:t>
      </w:r>
      <w:r w:rsidRPr="002D3263" w:rsidR="007D72E4">
        <w:t xml:space="preserve">or other factors </w:t>
      </w:r>
      <w:r w:rsidRPr="002D3263" w:rsidR="001C1878">
        <w:t xml:space="preserve">in the future. </w:t>
      </w:r>
    </w:p>
    <w:p w:rsidR="008543FE" w:rsidRPr="002D3263" w:rsidP="00EF4CBB" w14:paraId="2EDB0D2C" w14:textId="77777777">
      <w:pPr>
        <w:pStyle w:val="Heading3"/>
        <w:widowControl/>
      </w:pPr>
      <w:bookmarkStart w:id="106" w:name="_Toc127438042"/>
      <w:r w:rsidRPr="002D3263">
        <w:t>Benefits</w:t>
      </w:r>
      <w:bookmarkEnd w:id="106"/>
    </w:p>
    <w:p w:rsidR="00B60E22" w:rsidRPr="002D3263" w:rsidP="00EF4CBB" w14:paraId="2495292D" w14:textId="785ED2ED">
      <w:pPr>
        <w:pStyle w:val="Body"/>
        <w:widowControl/>
      </w:pPr>
      <w:r w:rsidRPr="002D3263">
        <w:t>E</w:t>
      </w:r>
      <w:r w:rsidRPr="002D3263" w:rsidR="00292EC0">
        <w:t xml:space="preserve">xpenses </w:t>
      </w:r>
      <w:r w:rsidRPr="002D3263" w:rsidR="00732DEF">
        <w:t xml:space="preserve">for </w:t>
      </w:r>
      <w:r w:rsidRPr="002D3263">
        <w:t xml:space="preserve">searching for a replacement location </w:t>
      </w:r>
      <w:r w:rsidRPr="002D3263" w:rsidR="00292EC0">
        <w:t xml:space="preserve">may be incurred </w:t>
      </w:r>
      <w:r w:rsidRPr="002D3263" w:rsidR="008561C0">
        <w:t>when</w:t>
      </w:r>
      <w:r w:rsidRPr="002D3263" w:rsidR="00732DEF">
        <w:t xml:space="preserve"> </w:t>
      </w:r>
      <w:r w:rsidRPr="002D3263" w:rsidR="00481411">
        <w:t xml:space="preserve">a </w:t>
      </w:r>
      <w:r w:rsidRPr="002D3263" w:rsidR="00305D57">
        <w:t>non-residential</w:t>
      </w:r>
      <w:r w:rsidRPr="002D3263" w:rsidR="00481411">
        <w:t xml:space="preserve"> displaced person </w:t>
      </w:r>
      <w:r w:rsidRPr="002D3263" w:rsidR="008561C0">
        <w:t>will be</w:t>
      </w:r>
      <w:r w:rsidRPr="002D3263" w:rsidR="00292EC0">
        <w:t xml:space="preserve"> displaced. </w:t>
      </w:r>
      <w:r w:rsidR="00B210CA">
        <w:t xml:space="preserve"> </w:t>
      </w:r>
      <w:r w:rsidRPr="002D3263" w:rsidR="00292EC0">
        <w:t>The purpose of the change to the maximum searching expense reimbursement amount is to more closely align with current searching costs</w:t>
      </w:r>
      <w:r w:rsidRPr="002D3263">
        <w:t xml:space="preserve"> </w:t>
      </w:r>
      <w:r w:rsidRPr="002D3263" w:rsidR="0073726C">
        <w:t>for travel</w:t>
      </w:r>
      <w:r w:rsidRPr="002D3263" w:rsidR="00330EC1">
        <w:t xml:space="preserve"> which may </w:t>
      </w:r>
      <w:r w:rsidRPr="002D3263" w:rsidR="00330EC1">
        <w:t>include:</w:t>
      </w:r>
      <w:r w:rsidRPr="002D3263">
        <w:t xml:space="preserve"> professional fees </w:t>
      </w:r>
      <w:r w:rsidRPr="002D3263" w:rsidR="0073726C">
        <w:t>paid to a real estate agent or broker;</w:t>
      </w:r>
      <w:r w:rsidRPr="002D3263">
        <w:t xml:space="preserve"> time</w:t>
      </w:r>
      <w:r w:rsidRPr="002D3263" w:rsidR="003E5470">
        <w:t xml:space="preserve"> in </w:t>
      </w:r>
      <w:r w:rsidRPr="002D3263" w:rsidR="0073726C">
        <w:t>searching for and locating</w:t>
      </w:r>
      <w:r w:rsidRPr="002D3263" w:rsidR="003E5470">
        <w:t xml:space="preserve"> a suitable replacement location</w:t>
      </w:r>
      <w:r w:rsidRPr="002D3263" w:rsidR="0073726C">
        <w:t>; and time in negotiating a lease or purchase or obtaining necessary permits</w:t>
      </w:r>
      <w:r w:rsidRPr="002D3263" w:rsidR="00292EC0">
        <w:t xml:space="preserve">. </w:t>
      </w:r>
      <w:r w:rsidR="00B210CA">
        <w:t xml:space="preserve"> </w:t>
      </w:r>
      <w:r w:rsidRPr="002D3263" w:rsidR="007B2745">
        <w:t>Typically,</w:t>
      </w:r>
      <w:r w:rsidRPr="002D3263" w:rsidR="00431AC4">
        <w:t xml:space="preserve"> a claim for reimbursement of these expenses is supported by an itemized accounting of dates, </w:t>
      </w:r>
      <w:r w:rsidRPr="002D3263" w:rsidR="00431AC4">
        <w:t>times</w:t>
      </w:r>
      <w:r w:rsidRPr="002D3263" w:rsidR="00431AC4">
        <w:t xml:space="preserve"> and activities as this is a reimbursement of incurred expenses.</w:t>
      </w:r>
      <w:r w:rsidRPr="002D3263" w:rsidR="004410C8">
        <w:t xml:space="preserve"> </w:t>
      </w:r>
      <w:r w:rsidR="00B210CA">
        <w:t xml:space="preserve"> </w:t>
      </w:r>
      <w:r w:rsidRPr="002D3263" w:rsidR="008516C9">
        <w:t>The FHWA</w:t>
      </w:r>
      <w:r w:rsidRPr="002D3263" w:rsidR="00292EC0">
        <w:t xml:space="preserve">’s </w:t>
      </w:r>
      <w:r w:rsidRPr="002D3263" w:rsidR="00292EC0">
        <w:rPr>
          <w:rStyle w:val="Emphasis"/>
        </w:rPr>
        <w:t>201</w:t>
      </w:r>
      <w:r w:rsidRPr="002D3263" w:rsidR="009E7939">
        <w:rPr>
          <w:rStyle w:val="Emphasis"/>
        </w:rPr>
        <w:t>0</w:t>
      </w:r>
      <w:r w:rsidRPr="002D3263" w:rsidR="00292EC0">
        <w:rPr>
          <w:rStyle w:val="Emphasis"/>
        </w:rPr>
        <w:t xml:space="preserve"> Business Relocation Assistance Retrospective Study</w:t>
      </w:r>
      <w:r w:rsidRPr="002D3263" w:rsidR="00292EC0">
        <w:rPr>
          <w:rStyle w:val="Emphasis"/>
          <w:i w:val="0"/>
        </w:rPr>
        <w:t xml:space="preserve"> (</w:t>
      </w:r>
      <w:r w:rsidRPr="002D3263" w:rsidR="00292EC0">
        <w:rPr>
          <w:rStyle w:val="Emphasis"/>
        </w:rPr>
        <w:t>BRARS</w:t>
      </w:r>
      <w:r w:rsidRPr="002D3263" w:rsidR="00292EC0">
        <w:rPr>
          <w:rStyle w:val="Emphasis"/>
          <w:i w:val="0"/>
        </w:rPr>
        <w:t>)</w:t>
      </w:r>
      <w:r>
        <w:rPr>
          <w:rStyle w:val="FootnoteReference"/>
          <w:iCs/>
        </w:rPr>
        <w:footnoteReference w:id="27"/>
      </w:r>
      <w:r w:rsidRPr="002D3263" w:rsidR="00292EC0">
        <w:rPr>
          <w:rStyle w:val="Emphasis"/>
        </w:rPr>
        <w:t xml:space="preserve"> </w:t>
      </w:r>
      <w:r w:rsidRPr="002D3263" w:rsidR="00292EC0">
        <w:t>reported that businesses incur searching expenses that routinely exceed the current regulatory limit of $2,500</w:t>
      </w:r>
      <w:r w:rsidRPr="002D3263" w:rsidR="0047277A">
        <w:t xml:space="preserve">; </w:t>
      </w:r>
      <w:r w:rsidRPr="002D3263" w:rsidR="003E43A7">
        <w:t xml:space="preserve">in </w:t>
      </w:r>
      <w:r w:rsidRPr="002D3263" w:rsidR="00732DEF">
        <w:t xml:space="preserve">the </w:t>
      </w:r>
      <w:r w:rsidRPr="002D3263" w:rsidR="003E43A7">
        <w:t>2006 to 2010 timeframe,</w:t>
      </w:r>
      <w:r w:rsidRPr="002D3263" w:rsidR="00D5701F">
        <w:t xml:space="preserve"> 61 percent of businesses that claim actual expenses (rather than the in-lieu-of payment) claim a search expense and of those,</w:t>
      </w:r>
      <w:r w:rsidRPr="002D3263" w:rsidR="003E43A7">
        <w:t xml:space="preserve"> </w:t>
      </w:r>
      <w:r w:rsidRPr="002D3263" w:rsidR="0047277A">
        <w:t>71 percent claim</w:t>
      </w:r>
      <w:r w:rsidRPr="002D3263" w:rsidR="009B0BEE">
        <w:t>ed</w:t>
      </w:r>
      <w:r w:rsidRPr="002D3263" w:rsidR="0047277A">
        <w:t xml:space="preserve"> the maximum amount</w:t>
      </w:r>
      <w:r w:rsidRPr="002D3263" w:rsidR="003E43A7">
        <w:t xml:space="preserve">. </w:t>
      </w:r>
      <w:r w:rsidR="00B210CA">
        <w:t xml:space="preserve"> </w:t>
      </w:r>
      <w:r w:rsidRPr="002D3263" w:rsidR="003E43A7">
        <w:t>This finding</w:t>
      </w:r>
      <w:r w:rsidRPr="002D3263" w:rsidR="0047277A">
        <w:t xml:space="preserve"> strongly suggests that currently businesses are not being fully compensated for the </w:t>
      </w:r>
      <w:r w:rsidRPr="002D3263" w:rsidR="00732DEF">
        <w:t xml:space="preserve">search </w:t>
      </w:r>
      <w:r w:rsidRPr="002D3263" w:rsidR="0047277A">
        <w:t xml:space="preserve">costs they incur due to the displacement. </w:t>
      </w:r>
      <w:r w:rsidR="00B210CA">
        <w:t xml:space="preserve"> </w:t>
      </w:r>
      <w:r w:rsidRPr="002D3263" w:rsidR="0047277A">
        <w:t xml:space="preserve">The benefit of the </w:t>
      </w:r>
      <w:r w:rsidRPr="002D3263" w:rsidR="0035027D">
        <w:t>final</w:t>
      </w:r>
      <w:r w:rsidRPr="002D3263" w:rsidR="0047277A">
        <w:t xml:space="preserve"> rule is to </w:t>
      </w:r>
      <w:r w:rsidRPr="002D3263" w:rsidR="0047277A">
        <w:t xml:space="preserve">more fairly and equitably compensate displaced </w:t>
      </w:r>
      <w:r w:rsidRPr="002D3263" w:rsidR="00305D57">
        <w:t>non-residential</w:t>
      </w:r>
      <w:r w:rsidRPr="002D3263" w:rsidR="008561C0">
        <w:t xml:space="preserve"> displaced persons</w:t>
      </w:r>
      <w:r w:rsidRPr="002D3263" w:rsidR="0047277A">
        <w:t xml:space="preserve"> for the </w:t>
      </w:r>
      <w:r w:rsidRPr="002D3263" w:rsidR="00732DEF">
        <w:t xml:space="preserve">search </w:t>
      </w:r>
      <w:r w:rsidRPr="002D3263" w:rsidR="009B0BEE">
        <w:t xml:space="preserve">costs </w:t>
      </w:r>
      <w:r w:rsidRPr="002D3263" w:rsidR="003E43A7">
        <w:t xml:space="preserve">they </w:t>
      </w:r>
      <w:r w:rsidRPr="002D3263" w:rsidR="009B0BEE">
        <w:t xml:space="preserve">incur </w:t>
      </w:r>
      <w:r w:rsidRPr="002D3263" w:rsidR="003E43A7">
        <w:t xml:space="preserve">due to </w:t>
      </w:r>
      <w:r w:rsidRPr="002D3263" w:rsidR="00111308">
        <w:t>Federal</w:t>
      </w:r>
      <w:r w:rsidRPr="002D3263" w:rsidR="006158D6">
        <w:t xml:space="preserve"> or </w:t>
      </w:r>
      <w:r w:rsidRPr="002D3263" w:rsidR="002F6403">
        <w:t xml:space="preserve">federally </w:t>
      </w:r>
      <w:r w:rsidRPr="002D3263" w:rsidR="006158D6">
        <w:t>assisted</w:t>
      </w:r>
      <w:r w:rsidRPr="002D3263" w:rsidR="0047277A">
        <w:t xml:space="preserve"> project</w:t>
      </w:r>
      <w:r w:rsidRPr="002D3263" w:rsidR="003E43A7">
        <w:t>s</w:t>
      </w:r>
      <w:r w:rsidRPr="002D3263" w:rsidR="0047277A">
        <w:t>.</w:t>
      </w:r>
      <w:r w:rsidRPr="002D3263" w:rsidR="00301EF7">
        <w:t xml:space="preserve"> </w:t>
      </w:r>
      <w:r w:rsidR="00B210CA">
        <w:t xml:space="preserve"> </w:t>
      </w:r>
      <w:r w:rsidRPr="002D3263" w:rsidR="00301EF7">
        <w:t>Th</w:t>
      </w:r>
      <w:r w:rsidRPr="002D3263" w:rsidR="00734F3E">
        <w:t>is</w:t>
      </w:r>
      <w:r w:rsidRPr="002D3263" w:rsidR="00301EF7">
        <w:t xml:space="preserve"> may also</w:t>
      </w:r>
      <w:r w:rsidRPr="002D3263" w:rsidR="00734F3E">
        <w:t xml:space="preserve"> </w:t>
      </w:r>
      <w:r w:rsidRPr="002D3263" w:rsidR="00732DEF">
        <w:t>allow</w:t>
      </w:r>
      <w:r w:rsidRPr="002D3263" w:rsidR="00301EF7">
        <w:t xml:space="preserve"> more </w:t>
      </w:r>
      <w:bookmarkStart w:id="107" w:name="_Hlk508697905"/>
      <w:r w:rsidRPr="002D3263" w:rsidR="00305D57">
        <w:t>non-residential</w:t>
      </w:r>
      <w:r w:rsidRPr="002D3263" w:rsidR="005C3272">
        <w:t xml:space="preserve"> displaced persons</w:t>
      </w:r>
      <w:bookmarkEnd w:id="107"/>
      <w:r w:rsidRPr="002D3263" w:rsidR="00732DEF">
        <w:t xml:space="preserve"> to </w:t>
      </w:r>
      <w:r w:rsidRPr="002D3263" w:rsidR="00301EF7">
        <w:t>re</w:t>
      </w:r>
      <w:r w:rsidR="00732A88">
        <w:t>-</w:t>
      </w:r>
      <w:r w:rsidRPr="002D3263" w:rsidR="00301EF7">
        <w:t>establish successfully because</w:t>
      </w:r>
      <w:r w:rsidRPr="002D3263" w:rsidR="00732DEF">
        <w:t xml:space="preserve"> it will allow them to utilize their resources for other expenses.</w:t>
      </w:r>
      <w:r w:rsidRPr="002D3263" w:rsidR="004410C8">
        <w:t xml:space="preserve"> </w:t>
      </w:r>
      <w:r w:rsidR="00B210CA">
        <w:t xml:space="preserve"> </w:t>
      </w:r>
      <w:r w:rsidRPr="002D3263" w:rsidR="00301EF7">
        <w:t xml:space="preserve">Under the new rule, </w:t>
      </w:r>
      <w:r w:rsidRPr="002D3263" w:rsidR="00305D57">
        <w:t>non-residential</w:t>
      </w:r>
      <w:r w:rsidRPr="002D3263" w:rsidR="005C3272">
        <w:t xml:space="preserve"> displaced persons</w:t>
      </w:r>
      <w:r w:rsidRPr="002D3263" w:rsidR="00C41749">
        <w:t xml:space="preserve"> </w:t>
      </w:r>
      <w:r w:rsidRPr="002D3263" w:rsidR="00D5701F">
        <w:t xml:space="preserve">can </w:t>
      </w:r>
      <w:r w:rsidRPr="002D3263" w:rsidR="00301EF7">
        <w:t>be reimbursed for</w:t>
      </w:r>
      <w:r w:rsidRPr="002D3263" w:rsidR="00B3694C">
        <w:t xml:space="preserve"> more of the</w:t>
      </w:r>
      <w:r w:rsidRPr="002D3263" w:rsidR="00301EF7">
        <w:t xml:space="preserve"> expenses that they either currently absorb or perhaps choose not to incur.</w:t>
      </w:r>
      <w:r w:rsidRPr="002D3263" w:rsidR="0073726C">
        <w:t xml:space="preserve"> </w:t>
      </w:r>
    </w:p>
    <w:p w:rsidR="00292EC0" w:rsidRPr="002D3263" w:rsidP="00EF4CBB" w14:paraId="0959752C" w14:textId="4E2CA45B">
      <w:pPr>
        <w:pStyle w:val="Body"/>
        <w:widowControl/>
      </w:pPr>
      <w:r>
        <w:t>In addition</w:t>
      </w:r>
      <w:r w:rsidRPr="002D3263" w:rsidR="00267730">
        <w:t>, the</w:t>
      </w:r>
      <w:r w:rsidRPr="002D3263">
        <w:t xml:space="preserve"> new provision at </w:t>
      </w:r>
      <w:r w:rsidRPr="002D3263" w:rsidR="009A7C76">
        <w:t>Section</w:t>
      </w:r>
      <w:r w:rsidRPr="002D3263" w:rsidR="007D6781">
        <w:t xml:space="preserve"> </w:t>
      </w:r>
      <w:r w:rsidRPr="002D3263">
        <w:t>24.301(g</w:t>
      </w:r>
      <w:r w:rsidRPr="002D3263" w:rsidR="00BE7551">
        <w:t>)(</w:t>
      </w:r>
      <w:r w:rsidRPr="002D3263" w:rsidR="008561C0">
        <w:t>1</w:t>
      </w:r>
      <w:r w:rsidRPr="002D3263" w:rsidR="00BB27FD">
        <w:t>8</w:t>
      </w:r>
      <w:r w:rsidRPr="002D3263" w:rsidR="00BE7551">
        <w:t>)(</w:t>
      </w:r>
      <w:r w:rsidRPr="002D3263" w:rsidR="00BB27FD">
        <w:t>ii</w:t>
      </w:r>
      <w:r w:rsidRPr="002D3263">
        <w:t xml:space="preserve">) provides </w:t>
      </w:r>
      <w:r w:rsidRPr="002D3263" w:rsidR="00111308">
        <w:t>Federal</w:t>
      </w:r>
      <w:r w:rsidRPr="002D3263">
        <w:t xml:space="preserve"> </w:t>
      </w:r>
      <w:r w:rsidR="0059129A">
        <w:t>Agencies</w:t>
      </w:r>
      <w:r w:rsidRPr="002D3263">
        <w:t xml:space="preserve"> with the option to make a onetime alternative</w:t>
      </w:r>
      <w:r w:rsidRPr="002D3263" w:rsidR="009B560F">
        <w:t xml:space="preserve"> sear</w:t>
      </w:r>
      <w:r w:rsidRPr="002D3263">
        <w:t xml:space="preserve">ch </w:t>
      </w:r>
      <w:r w:rsidRPr="002D3263" w:rsidR="00A66406">
        <w:t xml:space="preserve">expense </w:t>
      </w:r>
      <w:r w:rsidRPr="002D3263">
        <w:t>payment of up to $1,000 with little or no documentation</w:t>
      </w:r>
      <w:r w:rsidRPr="002D3263" w:rsidR="00C028E6">
        <w:t xml:space="preserve"> for their programs</w:t>
      </w:r>
      <w:r w:rsidRPr="002D3263">
        <w:t xml:space="preserve">. </w:t>
      </w:r>
      <w:r w:rsidR="00B210CA">
        <w:t xml:space="preserve"> </w:t>
      </w:r>
      <w:r w:rsidRPr="002D3263">
        <w:t>This change is expected to result in administrative savings since requiring documentation for all searching expenses can be administratively burdensome to b</w:t>
      </w:r>
      <w:r w:rsidRPr="002D3263" w:rsidR="00436863">
        <w:t xml:space="preserve">oth the </w:t>
      </w:r>
      <w:r>
        <w:t>A</w:t>
      </w:r>
      <w:r w:rsidRPr="002D3263" w:rsidR="00436863">
        <w:t xml:space="preserve">gency and the </w:t>
      </w:r>
      <w:r w:rsidRPr="002D3263" w:rsidR="00305D57">
        <w:t>non-residential</w:t>
      </w:r>
      <w:r w:rsidRPr="002D3263" w:rsidR="005C3272">
        <w:t xml:space="preserve"> displaced persons</w:t>
      </w:r>
      <w:r w:rsidRPr="002D3263">
        <w:t>.</w:t>
      </w:r>
      <w:r w:rsidRPr="002D3263" w:rsidR="002C1892">
        <w:t xml:space="preserve"> </w:t>
      </w:r>
      <w:r w:rsidR="00B210CA">
        <w:t xml:space="preserve"> </w:t>
      </w:r>
      <w:r w:rsidRPr="002D3263" w:rsidR="002C1892">
        <w:t>However</w:t>
      </w:r>
      <w:r w:rsidRPr="002D3263" w:rsidR="007D6781">
        <w:t>,</w:t>
      </w:r>
      <w:r w:rsidRPr="002D3263" w:rsidR="002C1892">
        <w:t xml:space="preserve"> due to lack of information about how many </w:t>
      </w:r>
      <w:r w:rsidRPr="002D3263" w:rsidR="00305D57">
        <w:t>non-residential</w:t>
      </w:r>
      <w:r w:rsidRPr="002D3263" w:rsidR="005C3272">
        <w:t xml:space="preserve"> displaced persons </w:t>
      </w:r>
      <w:r w:rsidRPr="002D3263" w:rsidR="002C1892">
        <w:t>might choose the $1,000 payment, this benefit</w:t>
      </w:r>
      <w:r w:rsidRPr="002D3263" w:rsidR="007D6781">
        <w:t xml:space="preserve"> </w:t>
      </w:r>
      <w:r w:rsidRPr="002D3263" w:rsidR="002710F9">
        <w:t xml:space="preserve">is </w:t>
      </w:r>
      <w:r w:rsidRPr="002D3263" w:rsidR="007D6781">
        <w:t>not</w:t>
      </w:r>
      <w:r w:rsidRPr="002D3263" w:rsidR="002C1892">
        <w:t xml:space="preserve"> quantified.</w:t>
      </w:r>
    </w:p>
    <w:p w:rsidR="008543FE" w:rsidRPr="00A3656C" w:rsidP="00EF4CBB" w14:paraId="7C64A7D7" w14:textId="77777777">
      <w:pPr>
        <w:pStyle w:val="Heading3"/>
        <w:widowControl/>
      </w:pPr>
      <w:bookmarkStart w:id="108" w:name="_Toc68008793"/>
      <w:bookmarkStart w:id="109" w:name="_Toc68008959"/>
      <w:bookmarkStart w:id="110" w:name="_Toc68008794"/>
      <w:bookmarkStart w:id="111" w:name="_Toc68008960"/>
      <w:bookmarkStart w:id="112" w:name="_Toc127438043"/>
      <w:bookmarkEnd w:id="108"/>
      <w:bookmarkEnd w:id="109"/>
      <w:bookmarkEnd w:id="110"/>
      <w:bookmarkEnd w:id="111"/>
      <w:r w:rsidRPr="00A3656C">
        <w:t>Transfers (Increased Program Expenditures)</w:t>
      </w:r>
      <w:bookmarkEnd w:id="112"/>
      <w:r w:rsidRPr="00A3656C">
        <w:t xml:space="preserve"> </w:t>
      </w:r>
    </w:p>
    <w:p w:rsidR="00E02AFF" w:rsidRPr="002D3263" w:rsidP="00EF4CBB" w14:paraId="3C87CE7A" w14:textId="45777F8D">
      <w:pPr>
        <w:pStyle w:val="Body"/>
        <w:widowControl/>
      </w:pPr>
      <w:r w:rsidRPr="002D3263">
        <w:t>Because the payment is a reimbursement, the resulting increase in payments is not a social cost, but rather a transfer.</w:t>
      </w:r>
      <w:r w:rsidRPr="002D3263" w:rsidR="00B71DDF">
        <w:t xml:space="preserve"> </w:t>
      </w:r>
    </w:p>
    <w:p w:rsidR="00292EC0" w:rsidRPr="002D3263" w:rsidP="00EF4CBB" w14:paraId="41090366" w14:textId="19FD95D1">
      <w:pPr>
        <w:pStyle w:val="Body"/>
        <w:widowControl/>
        <w:rPr>
          <w:rStyle w:val="Emphasis"/>
          <w:i w:val="0"/>
        </w:rPr>
      </w:pPr>
      <w:r w:rsidRPr="002D3263">
        <w:t xml:space="preserve">To estimate the magnitude of the transfer to the </w:t>
      </w:r>
      <w:r w:rsidRPr="002D3263" w:rsidR="00305D57">
        <w:t>non-residential</w:t>
      </w:r>
      <w:r w:rsidRPr="002D3263" w:rsidR="00A66406">
        <w:t xml:space="preserve"> displaced </w:t>
      </w:r>
      <w:r w:rsidRPr="002D3263" w:rsidR="008561C0">
        <w:t>persons,</w:t>
      </w:r>
      <w:r w:rsidRPr="002D3263">
        <w:t xml:space="preserve"> </w:t>
      </w:r>
      <w:r w:rsidRPr="002D3263" w:rsidR="003E43A7">
        <w:t>we</w:t>
      </w:r>
      <w:r w:rsidRPr="002D3263">
        <w:t xml:space="preserve"> first estimated the average payment amount under the existing rule and then the average payment amount under the new maximum. </w:t>
      </w:r>
      <w:r w:rsidR="00B210CA">
        <w:t xml:space="preserve"> </w:t>
      </w:r>
      <w:r w:rsidRPr="002D3263">
        <w:t>The difference of those two amounts was calculated</w:t>
      </w:r>
      <w:r w:rsidRPr="002D3263" w:rsidR="007D6781">
        <w:t>,</w:t>
      </w:r>
      <w:r w:rsidRPr="002D3263">
        <w:t xml:space="preserve"> and then multiplied by the estimated total number of </w:t>
      </w:r>
      <w:r w:rsidRPr="002D3263" w:rsidR="00305D57">
        <w:t>non-residential</w:t>
      </w:r>
      <w:r w:rsidRPr="002D3263" w:rsidR="00A66406">
        <w:t xml:space="preserve"> displaced persons </w:t>
      </w:r>
      <w:r w:rsidRPr="002D3263">
        <w:t xml:space="preserve">that are expected to claim the reimbursement. </w:t>
      </w:r>
      <w:r w:rsidR="00B210CA">
        <w:t xml:space="preserve"> </w:t>
      </w:r>
      <w:r w:rsidRPr="002D3263">
        <w:t xml:space="preserve">The information used as the basis of the estimation is from the </w:t>
      </w:r>
      <w:r w:rsidRPr="002D3263">
        <w:rPr>
          <w:rStyle w:val="Emphasis"/>
        </w:rPr>
        <w:t>BRARS</w:t>
      </w:r>
      <w:r w:rsidRPr="002D3263" w:rsidR="000F76CC">
        <w:rPr>
          <w:rStyle w:val="Emphasis"/>
        </w:rPr>
        <w:t>,</w:t>
      </w:r>
      <w:r w:rsidRPr="002D3263">
        <w:rPr>
          <w:rStyle w:val="Emphasis"/>
        </w:rPr>
        <w:t xml:space="preserve"> </w:t>
      </w:r>
      <w:r w:rsidRPr="002D3263">
        <w:t xml:space="preserve">which includes an </w:t>
      </w:r>
      <w:r w:rsidRPr="002D3263">
        <w:rPr>
          <w:rStyle w:val="Emphasis"/>
          <w:i w:val="0"/>
        </w:rPr>
        <w:t>in-depth investigation of 244 business relocations that occurred between 2006 and 2010.</w:t>
      </w:r>
      <w:r w:rsidRPr="002D3263" w:rsidR="00AC30F3">
        <w:rPr>
          <w:rStyle w:val="Emphasis"/>
          <w:i w:val="0"/>
        </w:rPr>
        <w:t xml:space="preserve"> </w:t>
      </w:r>
    </w:p>
    <w:p w:rsidR="00A54D7F" w:rsidRPr="002D3263" w:rsidP="00EF4CBB" w14:paraId="11D43B2C" w14:textId="5BC3A7C8">
      <w:pPr>
        <w:pStyle w:val="Body"/>
        <w:widowControl/>
      </w:pPr>
      <w:r w:rsidRPr="002D3263">
        <w:rPr>
          <w:rStyle w:val="Emphasis"/>
          <w:i w:val="0"/>
        </w:rPr>
        <w:t xml:space="preserve">Table A1 in Appendix A </w:t>
      </w:r>
      <w:r w:rsidRPr="002D3263" w:rsidR="007D6781">
        <w:rPr>
          <w:rStyle w:val="Emphasis"/>
          <w:i w:val="0"/>
        </w:rPr>
        <w:t xml:space="preserve">of this report </w:t>
      </w:r>
      <w:r w:rsidRPr="002D3263">
        <w:rPr>
          <w:rStyle w:val="Emphasis"/>
          <w:i w:val="0"/>
        </w:rPr>
        <w:t xml:space="preserve">presents the calculations used to estimate the </w:t>
      </w:r>
      <w:r w:rsidRPr="002D3263" w:rsidR="007E50D3">
        <w:rPr>
          <w:rStyle w:val="Emphasis"/>
          <w:i w:val="0"/>
        </w:rPr>
        <w:t>representative</w:t>
      </w:r>
      <w:r w:rsidRPr="002D3263">
        <w:rPr>
          <w:rStyle w:val="Emphasis"/>
          <w:i w:val="0"/>
        </w:rPr>
        <w:t xml:space="preserve"> payments for each year of the analysis period under both the current rule and the </w:t>
      </w:r>
      <w:r w:rsidRPr="002D3263" w:rsidR="0035027D">
        <w:rPr>
          <w:rStyle w:val="Emphasis"/>
          <w:i w:val="0"/>
        </w:rPr>
        <w:t>final</w:t>
      </w:r>
      <w:r w:rsidRPr="002D3263">
        <w:rPr>
          <w:rStyle w:val="Emphasis"/>
          <w:i w:val="0"/>
        </w:rPr>
        <w:t xml:space="preserve"> rule. </w:t>
      </w:r>
      <w:r w:rsidR="00B210CA">
        <w:rPr>
          <w:rStyle w:val="Emphasis"/>
          <w:i w:val="0"/>
        </w:rPr>
        <w:t xml:space="preserve"> </w:t>
      </w:r>
      <w:r w:rsidRPr="002D3263" w:rsidR="00B67E02">
        <w:rPr>
          <w:rStyle w:val="Emphasis"/>
          <w:i w:val="0"/>
        </w:rPr>
        <w:t xml:space="preserve">The </w:t>
      </w:r>
      <w:r w:rsidRPr="002D3263" w:rsidR="00B67E02">
        <w:rPr>
          <w:rStyle w:val="Emphasis"/>
        </w:rPr>
        <w:t>BRARS</w:t>
      </w:r>
      <w:r w:rsidRPr="002D3263" w:rsidR="00B67E02">
        <w:rPr>
          <w:rStyle w:val="Emphasis"/>
          <w:i w:val="0"/>
        </w:rPr>
        <w:t xml:space="preserve"> finds that of the businesses that</w:t>
      </w:r>
      <w:r w:rsidRPr="002D3263" w:rsidR="0048102A">
        <w:rPr>
          <w:rStyle w:val="Emphasis"/>
          <w:i w:val="0"/>
        </w:rPr>
        <w:t xml:space="preserve"> claimed </w:t>
      </w:r>
      <w:r w:rsidRPr="002D3263" w:rsidR="00B67E02">
        <w:rPr>
          <w:rStyle w:val="Emphasis"/>
          <w:i w:val="0"/>
        </w:rPr>
        <w:t xml:space="preserve">reimbursement for </w:t>
      </w:r>
      <w:r w:rsidRPr="002D3263" w:rsidR="0048102A">
        <w:rPr>
          <w:rStyle w:val="Emphasis"/>
          <w:i w:val="0"/>
        </w:rPr>
        <w:t>search expenses, 71 percent claimed the maximum amount</w:t>
      </w:r>
      <w:r w:rsidRPr="002D3263">
        <w:rPr>
          <w:rStyle w:val="Emphasis"/>
          <w:i w:val="0"/>
        </w:rPr>
        <w:t xml:space="preserve"> of $2,500</w:t>
      </w:r>
      <w:r w:rsidRPr="002D3263" w:rsidR="000F76CC">
        <w:rPr>
          <w:rStyle w:val="Emphasis"/>
          <w:i w:val="0"/>
        </w:rPr>
        <w:t xml:space="preserve">; </w:t>
      </w:r>
      <w:r w:rsidRPr="002D3263" w:rsidR="00B67E02">
        <w:rPr>
          <w:rStyle w:val="Emphasis"/>
          <w:i w:val="0"/>
        </w:rPr>
        <w:t>t</w:t>
      </w:r>
      <w:r w:rsidRPr="002D3263">
        <w:t>he remain</w:t>
      </w:r>
      <w:r w:rsidRPr="002D3263" w:rsidR="00BA5147">
        <w:t>ing</w:t>
      </w:r>
      <w:r w:rsidRPr="002D3263">
        <w:t xml:space="preserve"> </w:t>
      </w:r>
      <w:r w:rsidRPr="002D3263" w:rsidR="00B67E02">
        <w:t>29</w:t>
      </w:r>
      <w:r w:rsidRPr="002D3263">
        <w:t xml:space="preserve"> percent</w:t>
      </w:r>
      <w:r w:rsidRPr="002D3263" w:rsidR="00BA5147">
        <w:t xml:space="preserve"> </w:t>
      </w:r>
      <w:r w:rsidRPr="002D3263" w:rsidR="00B67E02">
        <w:t xml:space="preserve">claimed </w:t>
      </w:r>
      <w:r w:rsidRPr="002D3263">
        <w:t xml:space="preserve">some amount between $0 and $2,500. </w:t>
      </w:r>
      <w:r w:rsidR="00B210CA">
        <w:t xml:space="preserve"> </w:t>
      </w:r>
      <w:r w:rsidRPr="002D3263" w:rsidR="008E6E2B">
        <w:t xml:space="preserve">Based on the observation that </w:t>
      </w:r>
      <w:r w:rsidRPr="002D3263" w:rsidR="008E6E2B">
        <w:t>the majority of</w:t>
      </w:r>
      <w:r w:rsidRPr="002D3263" w:rsidR="008E6E2B">
        <w:t xml:space="preserve"> </w:t>
      </w:r>
      <w:r w:rsidRPr="002D3263" w:rsidR="004109EA">
        <w:t xml:space="preserve">businesses incur search costs </w:t>
      </w:r>
      <w:r w:rsidRPr="002D3263" w:rsidR="008E6E2B">
        <w:t xml:space="preserve">greater than $2,500 we expect the distribution of payments to be skewed toward the upper end of the range. </w:t>
      </w:r>
      <w:r w:rsidR="00B210CA">
        <w:t xml:space="preserve"> </w:t>
      </w:r>
      <w:r w:rsidRPr="002D3263" w:rsidR="008E6E2B">
        <w:t>W</w:t>
      </w:r>
      <w:r w:rsidRPr="002D3263">
        <w:t>e</w:t>
      </w:r>
      <w:r w:rsidRPr="002D3263" w:rsidR="008E6E2B">
        <w:t xml:space="preserve"> therefore </w:t>
      </w:r>
      <w:r w:rsidRPr="002D3263">
        <w:t>assume th</w:t>
      </w:r>
      <w:r w:rsidRPr="002D3263" w:rsidR="000F76CC">
        <w:t>e latter</w:t>
      </w:r>
      <w:r w:rsidRPr="002D3263">
        <w:t xml:space="preserve"> group receives $2,000 on average. </w:t>
      </w:r>
      <w:r w:rsidR="00B210CA">
        <w:t xml:space="preserve"> </w:t>
      </w:r>
      <w:r w:rsidRPr="002D3263" w:rsidR="005C3272">
        <w:t>Thus,</w:t>
      </w:r>
      <w:r w:rsidRPr="002D3263">
        <w:t xml:space="preserve"> the </w:t>
      </w:r>
      <w:r w:rsidRPr="002D3263" w:rsidR="0015274A">
        <w:t>typical</w:t>
      </w:r>
      <w:r w:rsidRPr="002D3263">
        <w:t xml:space="preserve"> reimbursement is estimated to be $</w:t>
      </w:r>
      <w:r w:rsidRPr="002D3263" w:rsidR="00B67E02">
        <w:t>2,355 (0.71*$</w:t>
      </w:r>
      <w:r w:rsidRPr="002D3263" w:rsidR="004438B1">
        <w:t>2,500</w:t>
      </w:r>
      <w:r w:rsidRPr="002D3263" w:rsidR="00B67E02">
        <w:t xml:space="preserve"> + </w:t>
      </w:r>
      <w:r w:rsidRPr="002D3263" w:rsidR="004438B1">
        <w:t>0.29</w:t>
      </w:r>
      <w:r w:rsidRPr="002D3263" w:rsidR="00B67E02">
        <w:t>* $2,000)</w:t>
      </w:r>
      <w:r w:rsidRPr="002D3263" w:rsidR="00F00FBC">
        <w:t xml:space="preserve"> in </w:t>
      </w:r>
      <w:r w:rsidRPr="002D3263" w:rsidR="00BA25A3">
        <w:t xml:space="preserve">(approximately) </w:t>
      </w:r>
      <w:r w:rsidRPr="002D3263" w:rsidR="00F00FBC">
        <w:t>2008 dollars</w:t>
      </w:r>
      <w:r w:rsidRPr="002D3263" w:rsidR="00BA25A3">
        <w:t>.</w:t>
      </w:r>
    </w:p>
    <w:p w:rsidR="00A54D7F" w:rsidRPr="002D3263" w:rsidP="00EF4CBB" w14:paraId="15EEB5AB" w14:textId="508F6BDA">
      <w:pPr>
        <w:pStyle w:val="Body"/>
        <w:widowControl/>
      </w:pPr>
      <w:r w:rsidRPr="002D3263">
        <w:rPr>
          <w:rStyle w:val="Emphasis"/>
          <w:i w:val="0"/>
        </w:rPr>
        <w:t xml:space="preserve">To estimate the </w:t>
      </w:r>
      <w:r w:rsidRPr="002D3263" w:rsidR="007E50D3">
        <w:rPr>
          <w:rStyle w:val="Emphasis"/>
          <w:i w:val="0"/>
        </w:rPr>
        <w:t>representative</w:t>
      </w:r>
      <w:r w:rsidRPr="002D3263">
        <w:rPr>
          <w:rStyle w:val="Emphasis"/>
          <w:i w:val="0"/>
        </w:rPr>
        <w:t xml:space="preserve"> reimbursement under the </w:t>
      </w:r>
      <w:r w:rsidRPr="002D3263" w:rsidR="0035027D">
        <w:rPr>
          <w:rStyle w:val="Emphasis"/>
          <w:i w:val="0"/>
        </w:rPr>
        <w:t>final</w:t>
      </w:r>
      <w:r w:rsidRPr="002D3263">
        <w:rPr>
          <w:rStyle w:val="Emphasis"/>
          <w:i w:val="0"/>
        </w:rPr>
        <w:t xml:space="preserve"> rule, w</w:t>
      </w:r>
      <w:r w:rsidRPr="002D3263">
        <w:rPr>
          <w:rStyle w:val="Emphasis"/>
          <w:i w:val="0"/>
        </w:rPr>
        <w:t>e assume that the percent</w:t>
      </w:r>
      <w:r w:rsidRPr="002D3263" w:rsidR="00732DEF">
        <w:rPr>
          <w:rStyle w:val="Emphasis"/>
          <w:i w:val="0"/>
        </w:rPr>
        <w:t>age of those</w:t>
      </w:r>
      <w:r w:rsidRPr="002D3263">
        <w:rPr>
          <w:rStyle w:val="Emphasis"/>
          <w:i w:val="0"/>
        </w:rPr>
        <w:t xml:space="preserve"> </w:t>
      </w:r>
      <w:r w:rsidRPr="002D3263" w:rsidR="002A3523">
        <w:rPr>
          <w:rStyle w:val="Emphasis"/>
          <w:i w:val="0"/>
        </w:rPr>
        <w:t>that</w:t>
      </w:r>
      <w:r w:rsidRPr="002D3263">
        <w:rPr>
          <w:rStyle w:val="Emphasis"/>
          <w:i w:val="0"/>
        </w:rPr>
        <w:t xml:space="preserve"> claim some amount less than $2,500 remains the same</w:t>
      </w:r>
      <w:r w:rsidRPr="002D3263" w:rsidR="00436863">
        <w:rPr>
          <w:rStyle w:val="Emphasis"/>
          <w:i w:val="0"/>
        </w:rPr>
        <w:t xml:space="preserve"> as under the current rule</w:t>
      </w:r>
      <w:r w:rsidRPr="002D3263">
        <w:rPr>
          <w:rStyle w:val="Emphasis"/>
          <w:i w:val="0"/>
        </w:rPr>
        <w:t xml:space="preserve">. </w:t>
      </w:r>
      <w:r w:rsidR="00B210CA">
        <w:rPr>
          <w:rStyle w:val="Emphasis"/>
          <w:i w:val="0"/>
        </w:rPr>
        <w:t xml:space="preserve"> </w:t>
      </w:r>
      <w:r w:rsidRPr="002D3263">
        <w:rPr>
          <w:rStyle w:val="Emphasis"/>
          <w:i w:val="0"/>
        </w:rPr>
        <w:t xml:space="preserve">State DOTs stop collecting data related to search expenses once the </w:t>
      </w:r>
      <w:r w:rsidRPr="002D3263" w:rsidR="00305D57">
        <w:t>non-residential</w:t>
      </w:r>
      <w:r w:rsidRPr="002D3263" w:rsidR="005C3272">
        <w:t xml:space="preserve"> displaced person</w:t>
      </w:r>
      <w:r w:rsidRPr="002D3263" w:rsidR="00FD1F1E">
        <w:t xml:space="preserve"> </w:t>
      </w:r>
      <w:r w:rsidRPr="002D3263">
        <w:rPr>
          <w:rStyle w:val="Emphasis"/>
          <w:i w:val="0"/>
        </w:rPr>
        <w:t>reaches the current limit, therefore it is difficult to know the distribution of search expenses</w:t>
      </w:r>
      <w:r w:rsidRPr="002D3263" w:rsidR="00732DEF">
        <w:rPr>
          <w:rStyle w:val="Emphasis"/>
          <w:i w:val="0"/>
        </w:rPr>
        <w:t xml:space="preserve"> incurred</w:t>
      </w:r>
      <w:r w:rsidRPr="002D3263">
        <w:rPr>
          <w:rStyle w:val="Emphasis"/>
          <w:i w:val="0"/>
        </w:rPr>
        <w:t xml:space="preserve"> beyond the current maximum level of reimbursement. </w:t>
      </w:r>
      <w:r w:rsidR="00B210CA">
        <w:rPr>
          <w:rStyle w:val="Emphasis"/>
          <w:i w:val="0"/>
        </w:rPr>
        <w:t xml:space="preserve"> </w:t>
      </w:r>
      <w:r w:rsidRPr="002D3263">
        <w:rPr>
          <w:rStyle w:val="Emphasis"/>
          <w:i w:val="0"/>
        </w:rPr>
        <w:t>However, t</w:t>
      </w:r>
      <w:r w:rsidRPr="002D3263">
        <w:t xml:space="preserve">he business owners interviewed for the </w:t>
      </w:r>
      <w:r w:rsidRPr="002D3263">
        <w:rPr>
          <w:i/>
        </w:rPr>
        <w:t>BRARS</w:t>
      </w:r>
      <w:r w:rsidRPr="002D3263">
        <w:t xml:space="preserve"> did provide the following information: </w:t>
      </w:r>
      <w:r w:rsidR="00FA106F">
        <w:t xml:space="preserve"> </w:t>
      </w:r>
      <w:r w:rsidRPr="002D3263">
        <w:t xml:space="preserve">two (2) business owners stated they spent “more than $2,500”; two </w:t>
      </w:r>
      <w:r w:rsidRPr="002D3263" w:rsidR="000F76CC">
        <w:t xml:space="preserve">(2) </w:t>
      </w:r>
      <w:r w:rsidRPr="002D3263">
        <w:t>said they spent “much more than $2,500”; one (1) owner said he spent $5,000</w:t>
      </w:r>
      <w:r w:rsidRPr="002D3263" w:rsidR="000F76CC">
        <w:t>;</w:t>
      </w:r>
      <w:r w:rsidRPr="002D3263">
        <w:t xml:space="preserve"> two (2) stated they spent $10,000</w:t>
      </w:r>
      <w:r w:rsidRPr="002D3263" w:rsidR="000F76CC">
        <w:t>;</w:t>
      </w:r>
      <w:r w:rsidRPr="002D3263">
        <w:t xml:space="preserve"> and one (1) indicated he spent over $11,000</w:t>
      </w:r>
      <w:r w:rsidRPr="002D3263" w:rsidR="00F72506">
        <w:t xml:space="preserve"> (page 34)</w:t>
      </w:r>
      <w:r w:rsidRPr="002D3263">
        <w:t>.</w:t>
      </w:r>
      <w:r w:rsidRPr="002D3263" w:rsidR="00AC30F3">
        <w:t xml:space="preserve"> </w:t>
      </w:r>
      <w:r w:rsidRPr="002D3263">
        <w:t>Based on this anecdotal information, one might expect t</w:t>
      </w:r>
      <w:r w:rsidRPr="002D3263">
        <w:t>hat</w:t>
      </w:r>
      <w:r w:rsidRPr="002D3263" w:rsidR="00FD1F1E">
        <w:t xml:space="preserve"> </w:t>
      </w:r>
      <w:r w:rsidR="00FA106F">
        <w:t>five</w:t>
      </w:r>
      <w:r w:rsidRPr="002D3263" w:rsidR="00FD1F1E">
        <w:t xml:space="preserve"> </w:t>
      </w:r>
      <w:r w:rsidRPr="002D3263">
        <w:t>out of</w:t>
      </w:r>
      <w:r w:rsidRPr="002D3263" w:rsidR="00FD1F1E">
        <w:t xml:space="preserve"> </w:t>
      </w:r>
      <w:r w:rsidR="00FA106F">
        <w:t>eight</w:t>
      </w:r>
      <w:r w:rsidRPr="002D3263" w:rsidR="002A616F">
        <w:t xml:space="preserve"> non</w:t>
      </w:r>
      <w:r w:rsidRPr="002D3263" w:rsidR="00305D57">
        <w:t>-residential</w:t>
      </w:r>
      <w:r w:rsidRPr="002D3263" w:rsidR="00FD1F1E">
        <w:t xml:space="preserve"> displaced persons </w:t>
      </w:r>
      <w:r w:rsidRPr="002D3263">
        <w:t xml:space="preserve">that exceed the current maximum </w:t>
      </w:r>
      <w:r w:rsidRPr="002D3263">
        <w:t xml:space="preserve">of $2,500 </w:t>
      </w:r>
      <w:r w:rsidRPr="002D3263">
        <w:t>will</w:t>
      </w:r>
      <w:r w:rsidRPr="002D3263">
        <w:t xml:space="preserve"> </w:t>
      </w:r>
      <w:r w:rsidRPr="002D3263">
        <w:t>claim the new maximum amount of $5,000.</w:t>
      </w:r>
      <w:r w:rsidRPr="002D3263">
        <w:t xml:space="preserve"> </w:t>
      </w:r>
      <w:r w:rsidR="00B210CA">
        <w:t xml:space="preserve"> </w:t>
      </w:r>
      <w:r w:rsidRPr="002D3263">
        <w:t>That is, 62.5 percent (</w:t>
      </w:r>
      <w:r w:rsidR="00FA106F">
        <w:t>five</w:t>
      </w:r>
      <w:r w:rsidRPr="002D3263">
        <w:t xml:space="preserve"> out of </w:t>
      </w:r>
      <w:r w:rsidR="00FA106F">
        <w:t>eight</w:t>
      </w:r>
      <w:r w:rsidRPr="002D3263">
        <w:t xml:space="preserve">) of </w:t>
      </w:r>
      <w:r w:rsidRPr="002D3263" w:rsidR="000F76CC">
        <w:t xml:space="preserve">the </w:t>
      </w:r>
      <w:r w:rsidRPr="002D3263">
        <w:t xml:space="preserve">71 percent </w:t>
      </w:r>
      <w:r w:rsidRPr="002D3263" w:rsidR="000F76CC">
        <w:t xml:space="preserve">claiming the maximum benefit, </w:t>
      </w:r>
      <w:r w:rsidRPr="002D3263">
        <w:t>or 44.4 percent</w:t>
      </w:r>
      <w:r w:rsidRPr="002D3263" w:rsidR="000F76CC">
        <w:t xml:space="preserve">, will receive the full </w:t>
      </w:r>
      <w:r w:rsidRPr="002D3263" w:rsidR="000F76CC">
        <w:t xml:space="preserve">$5,000. </w:t>
      </w:r>
      <w:r w:rsidRPr="002D3263">
        <w:t>The remaining 2</w:t>
      </w:r>
      <w:r w:rsidRPr="002D3263">
        <w:t>6.</w:t>
      </w:r>
      <w:r w:rsidRPr="002D3263">
        <w:t>6</w:t>
      </w:r>
      <w:r w:rsidRPr="002D3263">
        <w:t xml:space="preserve"> percent of </w:t>
      </w:r>
      <w:r w:rsidRPr="002D3263" w:rsidR="00305D57">
        <w:t>non-residential</w:t>
      </w:r>
      <w:r w:rsidRPr="002D3263" w:rsidR="00FD1F1E">
        <w:t xml:space="preserve"> displaced persons </w:t>
      </w:r>
      <w:r w:rsidRPr="002D3263">
        <w:t xml:space="preserve">would claim some amount between $2,500 and $5,000. </w:t>
      </w:r>
      <w:r w:rsidR="00B210CA">
        <w:t xml:space="preserve"> </w:t>
      </w:r>
      <w:r w:rsidRPr="002D3263" w:rsidR="008E6E2B">
        <w:t xml:space="preserve">Based on the observation </w:t>
      </w:r>
      <w:r w:rsidRPr="002D3263" w:rsidR="00160081">
        <w:t>that more</w:t>
      </w:r>
      <w:r w:rsidRPr="002D3263" w:rsidR="00D433BF">
        <w:t xml:space="preserve"> business</w:t>
      </w:r>
      <w:r w:rsidRPr="002D3263" w:rsidR="00014CCE">
        <w:t>es</w:t>
      </w:r>
      <w:r w:rsidRPr="002D3263" w:rsidR="00D433BF">
        <w:t xml:space="preserve"> incur costs greater than $5,000 than incur costs less than $2,500 </w:t>
      </w:r>
      <w:r w:rsidRPr="002D3263" w:rsidR="008E6E2B">
        <w:t>we expect the distribution of payments to be skewed toward the upper end of the range</w:t>
      </w:r>
      <w:r w:rsidRPr="002D3263" w:rsidR="00F02084">
        <w:t xml:space="preserve"> and use $4,000 as representative amount for this group.</w:t>
      </w:r>
      <w:r w:rsidRPr="002D3263" w:rsidR="00AC30F3">
        <w:t xml:space="preserve"> </w:t>
      </w:r>
      <w:r w:rsidR="00B210CA">
        <w:t xml:space="preserve"> </w:t>
      </w:r>
      <w:r w:rsidRPr="002D3263" w:rsidR="00014CCE">
        <w:t>Thus,</w:t>
      </w:r>
      <w:r w:rsidRPr="002D3263">
        <w:t xml:space="preserve"> if the </w:t>
      </w:r>
      <w:r w:rsidRPr="002D3263" w:rsidR="0035027D">
        <w:t>final</w:t>
      </w:r>
      <w:r w:rsidRPr="002D3263">
        <w:t xml:space="preserve"> rule were in place during the period 2006 to 2010 when the </w:t>
      </w:r>
      <w:r w:rsidRPr="002D3263">
        <w:rPr>
          <w:i/>
        </w:rPr>
        <w:t>BRARS</w:t>
      </w:r>
      <w:r w:rsidRPr="002D3263">
        <w:t xml:space="preserve"> was conducted,</w:t>
      </w:r>
      <w:r w:rsidRPr="002D3263" w:rsidR="00392843">
        <w:t xml:space="preserve"> the </w:t>
      </w:r>
      <w:r w:rsidRPr="002D3263">
        <w:t xml:space="preserve">estimated </w:t>
      </w:r>
      <w:r w:rsidRPr="002D3263" w:rsidR="0015274A">
        <w:t>typical</w:t>
      </w:r>
      <w:r w:rsidRPr="002D3263" w:rsidR="00392843">
        <w:t xml:space="preserve"> reimbursement </w:t>
      </w:r>
      <w:r w:rsidRPr="002D3263">
        <w:t xml:space="preserve">would have been </w:t>
      </w:r>
      <w:r w:rsidRPr="002D3263" w:rsidR="00392843">
        <w:t>$</w:t>
      </w:r>
      <w:r w:rsidRPr="002D3263">
        <w:t xml:space="preserve">3,864 (0.29*$2,000 + 0.266*$4,000 + 0.444*$5,000) </w:t>
      </w:r>
      <w:r w:rsidRPr="002D3263" w:rsidR="00BA5147">
        <w:t>in 20</w:t>
      </w:r>
      <w:r w:rsidRPr="002D3263" w:rsidR="00BA25A3">
        <w:t>08</w:t>
      </w:r>
      <w:r w:rsidRPr="002D3263" w:rsidR="00BA5147">
        <w:t xml:space="preserve"> dollars</w:t>
      </w:r>
      <w:r w:rsidRPr="002D3263" w:rsidR="00DC1889">
        <w:t>.</w:t>
      </w:r>
    </w:p>
    <w:p w:rsidR="00DC1889" w:rsidRPr="002D3263" w:rsidP="00EF4CBB" w14:paraId="29B102EF" w14:textId="619AF807">
      <w:pPr>
        <w:pStyle w:val="Body"/>
        <w:widowControl/>
      </w:pPr>
      <w:r w:rsidRPr="00BC5A99">
        <w:t>In order to</w:t>
      </w:r>
      <w:r w:rsidRPr="00BC5A99">
        <w:t xml:space="preserve"> bring tho</w:t>
      </w:r>
      <w:r w:rsidRPr="00BC5A99" w:rsidR="00160081">
        <w:t xml:space="preserve">se estimates forward </w:t>
      </w:r>
      <w:r w:rsidRPr="00BC5A99" w:rsidR="002A0E31">
        <w:t>through the analysis</w:t>
      </w:r>
      <w:r w:rsidRPr="00BC5A99" w:rsidR="00C77B1C">
        <w:t xml:space="preserve">, </w:t>
      </w:r>
      <w:r w:rsidRPr="00BC5A99">
        <w:t>we must account for the fact that prices are changing over that period due to inflation</w:t>
      </w:r>
      <w:r w:rsidRPr="00BC5A99" w:rsidR="00D10F4B">
        <w:t>.</w:t>
      </w:r>
    </w:p>
    <w:p w:rsidR="00DC1889" w:rsidRPr="002D3263" w:rsidP="00EF4CBB" w14:paraId="06CA426D" w14:textId="79D5FAD8">
      <w:pPr>
        <w:pStyle w:val="Body"/>
        <w:widowControl/>
      </w:pPr>
      <w:r w:rsidRPr="002D3263">
        <w:t xml:space="preserve">To account for the impact of inflation on the </w:t>
      </w:r>
      <w:r w:rsidRPr="002D3263" w:rsidR="00E718F7">
        <w:t>regulatory</w:t>
      </w:r>
      <w:r w:rsidRPr="002D3263">
        <w:t xml:space="preserve"> maximum </w:t>
      </w:r>
      <w:r w:rsidRPr="002D3263" w:rsidR="00AA61C8">
        <w:t xml:space="preserve">search </w:t>
      </w:r>
      <w:r w:rsidRPr="002D3263" w:rsidR="00FD1F1E">
        <w:t xml:space="preserve">expense </w:t>
      </w:r>
      <w:r w:rsidRPr="002D3263">
        <w:t xml:space="preserve">payments, we assume that </w:t>
      </w:r>
      <w:r w:rsidRPr="002D3263" w:rsidR="00B93E8A">
        <w:t>percentage of</w:t>
      </w:r>
      <w:r w:rsidRPr="002D3263" w:rsidR="008561C0">
        <w:t xml:space="preserve"> </w:t>
      </w:r>
      <w:r w:rsidRPr="002D3263" w:rsidR="00305D57">
        <w:t>non-residential</w:t>
      </w:r>
      <w:r w:rsidRPr="002D3263" w:rsidR="00FD1F1E">
        <w:t xml:space="preserve"> </w:t>
      </w:r>
      <w:r w:rsidRPr="002D3263">
        <w:t xml:space="preserve">displacements </w:t>
      </w:r>
      <w:r w:rsidRPr="002D3263" w:rsidR="00463D1A">
        <w:t xml:space="preserve">that receive the maximum amount increases by </w:t>
      </w:r>
      <w:r w:rsidRPr="002D3263" w:rsidR="00160081">
        <w:t>0.</w:t>
      </w:r>
      <w:r w:rsidRPr="002D3263" w:rsidR="007A32B8">
        <w:t>8</w:t>
      </w:r>
      <w:r w:rsidRPr="002D3263" w:rsidR="00463D1A">
        <w:t xml:space="preserve"> percent</w:t>
      </w:r>
      <w:r w:rsidRPr="002D3263" w:rsidR="00AF54A3">
        <w:t>age</w:t>
      </w:r>
      <w:r w:rsidRPr="002D3263" w:rsidR="00436863">
        <w:t xml:space="preserve"> points</w:t>
      </w:r>
      <w:r w:rsidRPr="002D3263" w:rsidR="00463D1A">
        <w:t xml:space="preserve"> each year.</w:t>
      </w:r>
      <w:r w:rsidRPr="002D3263" w:rsidR="00436863">
        <w:t xml:space="preserve"> </w:t>
      </w:r>
      <w:r w:rsidR="00B210CA">
        <w:t xml:space="preserve"> </w:t>
      </w:r>
      <w:r w:rsidRPr="002D3263" w:rsidR="00436863">
        <w:t>The 0.</w:t>
      </w:r>
      <w:r w:rsidRPr="002D3263" w:rsidR="007A32B8">
        <w:t>8</w:t>
      </w:r>
      <w:r w:rsidRPr="002D3263" w:rsidR="00436863">
        <w:t xml:space="preserve"> percentage point estimate is taken from the analysis of the growth in the percent of household relocations that exceed the maximums for </w:t>
      </w:r>
      <w:r w:rsidRPr="002D3263" w:rsidR="000F76CC">
        <w:t>RHPs</w:t>
      </w:r>
      <w:r w:rsidRPr="002D3263" w:rsidR="00436863">
        <w:t xml:space="preserve"> and thus receive a </w:t>
      </w:r>
      <w:r w:rsidRPr="002D3263" w:rsidR="007828E4">
        <w:t>last resort housing</w:t>
      </w:r>
      <w:r w:rsidRPr="002D3263" w:rsidR="00436863">
        <w:t xml:space="preserve"> payment.</w:t>
      </w:r>
      <w:r w:rsidRPr="002D3263" w:rsidR="00AC30F3">
        <w:t xml:space="preserve"> </w:t>
      </w:r>
      <w:r w:rsidR="00B210CA">
        <w:t xml:space="preserve"> </w:t>
      </w:r>
      <w:r w:rsidRPr="002D3263" w:rsidR="006F5885">
        <w:t xml:space="preserve">To illustrate, </w:t>
      </w:r>
      <w:r w:rsidRPr="002D3263" w:rsidR="00463D1A">
        <w:t xml:space="preserve">we assume that 71 percent of </w:t>
      </w:r>
      <w:r w:rsidRPr="002D3263" w:rsidR="00B02C1E">
        <w:t>non-residential</w:t>
      </w:r>
      <w:r w:rsidRPr="002D3263" w:rsidR="007D6781">
        <w:t xml:space="preserve"> displaced persons</w:t>
      </w:r>
      <w:r w:rsidRPr="002D3263" w:rsidR="00463D1A">
        <w:t xml:space="preserve"> receive the $2,500 maximum under the current rule</w:t>
      </w:r>
      <w:r w:rsidRPr="002D3263" w:rsidR="006F5885">
        <w:t xml:space="preserve"> in 2008</w:t>
      </w:r>
      <w:r w:rsidRPr="002D3263" w:rsidR="00463D1A">
        <w:t>. In 2009, we as</w:t>
      </w:r>
      <w:r w:rsidRPr="002D3263" w:rsidR="00160081">
        <w:t>sume that 71.</w:t>
      </w:r>
      <w:r w:rsidRPr="002D3263" w:rsidR="007A32B8">
        <w:t>8</w:t>
      </w:r>
      <w:r w:rsidRPr="002D3263" w:rsidR="006F5885">
        <w:t xml:space="preserve"> percent do (</w:t>
      </w:r>
      <w:r w:rsidRPr="002D3263" w:rsidR="00463D1A">
        <w:t>0.71</w:t>
      </w:r>
      <w:r w:rsidRPr="002D3263" w:rsidR="006F5885">
        <w:t xml:space="preserve"> +</w:t>
      </w:r>
      <w:r w:rsidRPr="002D3263" w:rsidR="000F76CC">
        <w:t xml:space="preserve"> </w:t>
      </w:r>
      <w:r w:rsidRPr="002D3263" w:rsidR="006F5885">
        <w:t>.00</w:t>
      </w:r>
      <w:r w:rsidRPr="002D3263" w:rsidR="007A32B8">
        <w:t>8</w:t>
      </w:r>
      <w:r w:rsidRPr="002D3263" w:rsidR="00463D1A">
        <w:t>).</w:t>
      </w:r>
      <w:r w:rsidR="00B210CA">
        <w:t xml:space="preserve"> </w:t>
      </w:r>
      <w:r w:rsidRPr="002D3263" w:rsidR="00463D1A">
        <w:t xml:space="preserve"> The remainder would receive an amount less than the $2,500 maximum, which we </w:t>
      </w:r>
      <w:r w:rsidRPr="002D3263" w:rsidR="005668C2">
        <w:t xml:space="preserve">assume will continue to </w:t>
      </w:r>
      <w:r w:rsidRPr="002D3263" w:rsidR="00463D1A">
        <w:t>be $2,000.</w:t>
      </w:r>
      <w:r w:rsidR="00B210CA">
        <w:t xml:space="preserve"> </w:t>
      </w:r>
      <w:r w:rsidRPr="002D3263" w:rsidR="00463D1A">
        <w:t xml:space="preserve"> In estimating the</w:t>
      </w:r>
      <w:r w:rsidRPr="002D3263" w:rsidR="008C3A8D">
        <w:t xml:space="preserve"> </w:t>
      </w:r>
      <w:r w:rsidRPr="002D3263" w:rsidR="00F02084">
        <w:t xml:space="preserve">representative </w:t>
      </w:r>
      <w:r w:rsidRPr="002D3263" w:rsidR="008C3A8D">
        <w:t>payments made under the</w:t>
      </w:r>
      <w:r w:rsidRPr="002D3263" w:rsidR="00463D1A">
        <w:t xml:space="preserve"> current rule, that pattern continues</w:t>
      </w:r>
      <w:r w:rsidRPr="002D3263" w:rsidR="00495123">
        <w:t xml:space="preserve"> throughout the analysis period. </w:t>
      </w:r>
      <w:r w:rsidR="00B210CA">
        <w:t xml:space="preserve"> </w:t>
      </w:r>
      <w:r w:rsidRPr="002D3263" w:rsidR="00495123">
        <w:t>The percent of business</w:t>
      </w:r>
      <w:r w:rsidRPr="002D3263" w:rsidR="00E718F7">
        <w:t>es</w:t>
      </w:r>
      <w:r w:rsidRPr="002D3263" w:rsidR="00495123">
        <w:t xml:space="preserve"> receiving the maxi</w:t>
      </w:r>
      <w:r w:rsidRPr="002D3263" w:rsidR="006F5885">
        <w:t xml:space="preserve">mum payment is expected to </w:t>
      </w:r>
      <w:r w:rsidRPr="00EB690F" w:rsidR="006F5885">
        <w:t xml:space="preserve">be </w:t>
      </w:r>
      <w:r w:rsidRPr="00EB690F" w:rsidR="002A0E31">
        <w:t>83.0</w:t>
      </w:r>
      <w:r w:rsidRPr="00EB690F" w:rsidR="00160081">
        <w:t xml:space="preserve"> percent in </w:t>
      </w:r>
      <w:r w:rsidRPr="00EB690F" w:rsidR="005358C9">
        <w:t>202</w:t>
      </w:r>
      <w:r w:rsidRPr="00EB690F" w:rsidR="006E1C85">
        <w:t>3</w:t>
      </w:r>
      <w:r w:rsidRPr="002D3263" w:rsidR="0099205D">
        <w:t>,</w:t>
      </w:r>
      <w:r w:rsidRPr="002D3263" w:rsidR="00495123">
        <w:t xml:space="preserve"> </w:t>
      </w:r>
      <w:r w:rsidRPr="002D3263" w:rsidR="004649B4">
        <w:t xml:space="preserve">first year of the </w:t>
      </w:r>
      <w:r w:rsidRPr="002D3263" w:rsidR="00495123">
        <w:t>analysis period</w:t>
      </w:r>
      <w:r w:rsidRPr="002D3263" w:rsidR="002A0E31">
        <w:t xml:space="preserve"> and 90.2 percent in the last year of the analysis</w:t>
      </w:r>
      <w:r w:rsidRPr="002D3263" w:rsidR="00F82237">
        <w:t xml:space="preserve">. </w:t>
      </w:r>
    </w:p>
    <w:p w:rsidR="003F1273" w:rsidRPr="002D3263" w:rsidP="00EF4CBB" w14:paraId="1862FA89" w14:textId="328F5938">
      <w:pPr>
        <w:pStyle w:val="Body"/>
        <w:widowControl/>
      </w:pPr>
      <w:r w:rsidRPr="002D3263">
        <w:t xml:space="preserve">The process for estimating the </w:t>
      </w:r>
      <w:r w:rsidRPr="002D3263" w:rsidR="00F02084">
        <w:t xml:space="preserve">representative </w:t>
      </w:r>
      <w:r w:rsidRPr="002D3263" w:rsidR="008A7F08">
        <w:t xml:space="preserve">search </w:t>
      </w:r>
      <w:r w:rsidRPr="002D3263">
        <w:t xml:space="preserve">payment under the </w:t>
      </w:r>
      <w:r w:rsidRPr="002D3263" w:rsidR="0035027D">
        <w:t>final</w:t>
      </w:r>
      <w:r w:rsidRPr="002D3263">
        <w:t xml:space="preserve"> rule i</w:t>
      </w:r>
      <w:r w:rsidRPr="002D3263" w:rsidR="006F5885">
        <w:t>s v</w:t>
      </w:r>
      <w:r w:rsidRPr="002D3263" w:rsidR="00E51B05">
        <w:t>ery similar except that the 0.</w:t>
      </w:r>
      <w:r w:rsidRPr="002D3263" w:rsidR="00C71A07">
        <w:t>8</w:t>
      </w:r>
      <w:r w:rsidRPr="002D3263" w:rsidR="006F5885">
        <w:t xml:space="preserve"> annual</w:t>
      </w:r>
      <w:r w:rsidRPr="002D3263">
        <w:t xml:space="preserve"> percent</w:t>
      </w:r>
      <w:r w:rsidRPr="002D3263" w:rsidR="006F5885">
        <w:t>age point</w:t>
      </w:r>
      <w:r w:rsidRPr="002D3263">
        <w:t xml:space="preserve"> growth in </w:t>
      </w:r>
      <w:r w:rsidRPr="002D3263" w:rsidR="00B02C1E">
        <w:t>non-residential displaced persons</w:t>
      </w:r>
      <w:r w:rsidRPr="002D3263" w:rsidR="00E718F7">
        <w:t xml:space="preserve"> </w:t>
      </w:r>
      <w:r w:rsidRPr="002D3263">
        <w:t xml:space="preserve">receiving the maximum payment applies to the estimate of </w:t>
      </w:r>
      <w:r w:rsidRPr="002D3263" w:rsidR="00B02C1E">
        <w:t>non-residential displaced persons</w:t>
      </w:r>
      <w:r w:rsidRPr="002D3263">
        <w:t xml:space="preserve"> that receive the $5,000 maximum </w:t>
      </w:r>
      <w:r w:rsidRPr="002D3263" w:rsidR="003608AC">
        <w:t xml:space="preserve">for search expenses </w:t>
      </w:r>
      <w:r w:rsidRPr="002D3263">
        <w:t>rather than the $2,500 maximum</w:t>
      </w:r>
      <w:r w:rsidRPr="002D3263">
        <w:t>.</w:t>
      </w:r>
      <w:r w:rsidRPr="002D3263">
        <w:t xml:space="preserve"> </w:t>
      </w:r>
      <w:r w:rsidR="00B210CA">
        <w:t xml:space="preserve"> </w:t>
      </w:r>
      <w:r w:rsidRPr="002D3263" w:rsidR="004649B4">
        <w:t xml:space="preserve">As explained above, </w:t>
      </w:r>
      <w:r w:rsidRPr="002D3263">
        <w:t xml:space="preserve">we estimated that </w:t>
      </w:r>
      <w:r w:rsidRPr="002D3263" w:rsidR="004649B4">
        <w:t>4</w:t>
      </w:r>
      <w:r w:rsidRPr="002D3263">
        <w:t>4.4 percent would receive the $5,000 maximum</w:t>
      </w:r>
      <w:r w:rsidRPr="002D3263" w:rsidR="004649B4">
        <w:t xml:space="preserve"> in 2008</w:t>
      </w:r>
      <w:r w:rsidRPr="002D3263">
        <w:t>.</w:t>
      </w:r>
      <w:r w:rsidR="00B210CA">
        <w:t xml:space="preserve"> </w:t>
      </w:r>
      <w:r w:rsidRPr="002D3263">
        <w:t xml:space="preserve"> Therefore</w:t>
      </w:r>
      <w:r w:rsidRPr="002D3263">
        <w:t>,</w:t>
      </w:r>
      <w:r w:rsidRPr="002D3263">
        <w:t xml:space="preserve"> in 2009 we as</w:t>
      </w:r>
      <w:r w:rsidRPr="002D3263" w:rsidR="00E51B05">
        <w:t>sume that 45.</w:t>
      </w:r>
      <w:r w:rsidRPr="002D3263" w:rsidR="0004161F">
        <w:t>2</w:t>
      </w:r>
      <w:r w:rsidRPr="002D3263">
        <w:t xml:space="preserve"> percent (0.44</w:t>
      </w:r>
      <w:r w:rsidRPr="002D3263" w:rsidR="004649B4">
        <w:t>4</w:t>
      </w:r>
      <w:r w:rsidRPr="002D3263" w:rsidR="006F5885">
        <w:t xml:space="preserve"> +</w:t>
      </w:r>
      <w:r w:rsidRPr="002D3263">
        <w:t xml:space="preserve"> .0</w:t>
      </w:r>
      <w:r w:rsidRPr="002D3263" w:rsidR="00E51B05">
        <w:t>0</w:t>
      </w:r>
      <w:r w:rsidRPr="002D3263" w:rsidR="0004161F">
        <w:t>8</w:t>
      </w:r>
      <w:r w:rsidRPr="002D3263">
        <w:t xml:space="preserve">) would receive the maximum payment. </w:t>
      </w:r>
    </w:p>
    <w:p w:rsidR="00487D06" w:rsidRPr="002D3263" w:rsidP="00EF4CBB" w14:paraId="6D1C4410" w14:textId="09A8BBD0">
      <w:pPr>
        <w:pStyle w:val="Body"/>
        <w:widowControl/>
      </w:pPr>
      <w:r w:rsidRPr="00EB690F">
        <w:t xml:space="preserve">By </w:t>
      </w:r>
      <w:r w:rsidRPr="00EB690F" w:rsidR="006E1C85">
        <w:t>2023</w:t>
      </w:r>
      <w:r w:rsidRPr="00EB690F" w:rsidR="001C4A43">
        <w:t>, the first year of the analy</w:t>
      </w:r>
      <w:r w:rsidRPr="00EB690F" w:rsidR="006F5885">
        <w:t>sis period</w:t>
      </w:r>
      <w:r w:rsidRPr="002D3263" w:rsidR="006F5885">
        <w:t>, we expect that</w:t>
      </w:r>
      <w:r w:rsidRPr="002D3263" w:rsidR="006E1C85">
        <w:t xml:space="preserve"> 56.4</w:t>
      </w:r>
      <w:r w:rsidRPr="002D3263" w:rsidR="001C4A43">
        <w:t xml:space="preserve"> percent of </w:t>
      </w:r>
      <w:r w:rsidRPr="002D3263" w:rsidR="00B02C1E">
        <w:t>non-residential displaced persons</w:t>
      </w:r>
      <w:r w:rsidRPr="002D3263" w:rsidR="001C4A43">
        <w:t xml:space="preserve"> will receive the maximum amount</w:t>
      </w:r>
      <w:r w:rsidRPr="002D3263">
        <w:t xml:space="preserve"> under the final rule compared to </w:t>
      </w:r>
      <w:r w:rsidRPr="002D3263" w:rsidR="00D10F4B">
        <w:t>83.0</w:t>
      </w:r>
      <w:r w:rsidRPr="002D3263">
        <w:t xml:space="preserve"> percent under the current rule</w:t>
      </w:r>
      <w:r w:rsidRPr="002D3263" w:rsidR="00F82237">
        <w:t xml:space="preserve">. </w:t>
      </w:r>
      <w:r w:rsidR="00B210CA">
        <w:t xml:space="preserve"> </w:t>
      </w:r>
      <w:r w:rsidRPr="002D3263" w:rsidR="00440ECD">
        <w:t>The percent receiving some amount less than the current $2,500 follows the same pattern as was estimated for the future under the current rule, and the percent receiving some amount between $2,500 and $5,000 is the remainder (we assume the representative amount this group receives is $4,000).</w:t>
      </w:r>
    </w:p>
    <w:p w:rsidR="00F62B83" w:rsidRPr="00BC5A99" w:rsidP="00F62B83" w14:paraId="68EE4802" w14:textId="35B5AA82">
      <w:pPr>
        <w:pStyle w:val="Body"/>
        <w:widowControl/>
      </w:pPr>
      <w:r w:rsidRPr="002D3263">
        <w:t xml:space="preserve">The final rule allows for that maximum payment amount </w:t>
      </w:r>
      <w:r w:rsidRPr="002D3263">
        <w:t xml:space="preserve">to </w:t>
      </w:r>
      <w:r w:rsidRPr="002D3263">
        <w:t>be changed in the future due to inflation</w:t>
      </w:r>
      <w:r w:rsidRPr="002D3263">
        <w:t xml:space="preserve"> or other factors</w:t>
      </w:r>
      <w:r w:rsidRPr="002D3263">
        <w:t xml:space="preserve">. </w:t>
      </w:r>
      <w:r w:rsidR="00B210CA">
        <w:t xml:space="preserve"> </w:t>
      </w:r>
      <w:r w:rsidRPr="00BC5A99">
        <w:t xml:space="preserve">The final rule is flexible, allowing such adjustments to </w:t>
      </w:r>
      <w:r w:rsidRPr="00BC5A99">
        <w:t>occur</w:t>
      </w:r>
      <w:r w:rsidRPr="00BC5A99">
        <w:t xml:space="preserve"> when necessary, but this analysis explores a scenario with adjustments</w:t>
      </w:r>
      <w:r w:rsidR="00A3656C">
        <w:t xml:space="preserve"> roughly every </w:t>
      </w:r>
      <w:r w:rsidR="00FA106F">
        <w:t>2-3 years</w:t>
      </w:r>
      <w:r w:rsidR="00A3656C">
        <w:t xml:space="preserve"> in</w:t>
      </w:r>
      <w:r w:rsidRPr="00BC5A99">
        <w:t xml:space="preserve"> the analysis period </w:t>
      </w:r>
      <w:r w:rsidRPr="00A3656C">
        <w:t>(2025, 2028 and 2031).</w:t>
      </w:r>
      <w:r w:rsidRPr="00BC5A99">
        <w:t xml:space="preserve"> </w:t>
      </w:r>
      <w:r w:rsidR="00B210CA">
        <w:t xml:space="preserve"> </w:t>
      </w:r>
      <w:r w:rsidRPr="00BC5A99">
        <w:t>An analyst seeking to update the amounts in 2025 would calculate the factor by dividing the most recent CPI (in 2025, the most recent CPI would be</w:t>
      </w:r>
      <w:r w:rsidR="00A3656C">
        <w:t xml:space="preserve"> approximated</w:t>
      </w:r>
      <w:r w:rsidRPr="00BC5A99">
        <w:t xml:space="preserve"> from 2024) by the CPI from </w:t>
      </w:r>
      <w:r w:rsidR="00A3656C">
        <w:t>June 2023</w:t>
      </w:r>
      <w:r w:rsidRPr="00BC5A99">
        <w:t xml:space="preserve">. </w:t>
      </w:r>
      <w:r w:rsidR="00B210CA">
        <w:t xml:space="preserve"> </w:t>
      </w:r>
      <w:r w:rsidRPr="00BC5A99">
        <w:t xml:space="preserve">To estimate the CPI what the CPI would be in 2024, we use the most recent CPI available to us which is </w:t>
      </w:r>
      <w:r w:rsidR="00A3656C">
        <w:t>305.1</w:t>
      </w:r>
      <w:r w:rsidRPr="00BC5A99">
        <w:t xml:space="preserve"> for </w:t>
      </w:r>
      <w:r w:rsidR="00A3656C">
        <w:t>June 2023</w:t>
      </w:r>
      <w:r w:rsidRPr="00BC5A99">
        <w:t xml:space="preserve"> and adjust for </w:t>
      </w:r>
      <w:r w:rsidR="00A3656C">
        <w:t xml:space="preserve">one and a half </w:t>
      </w:r>
      <w:r w:rsidRPr="00BC5A99">
        <w:t xml:space="preserve">more </w:t>
      </w:r>
      <w:r w:rsidRPr="00BC5A99">
        <w:t>years</w:t>
      </w:r>
      <w:r w:rsidRPr="00BC5A99">
        <w:t xml:space="preserve"> of expected inflation, which </w:t>
      </w:r>
      <w:r w:rsidR="00FA106F">
        <w:t>t</w:t>
      </w:r>
      <w:r w:rsidRPr="00BC5A99">
        <w:t xml:space="preserve">he </w:t>
      </w:r>
      <w:r w:rsidRPr="00BC5A99">
        <w:t>Presidents FY</w:t>
      </w:r>
      <w:r w:rsidR="00FA106F">
        <w:t xml:space="preserve"> </w:t>
      </w:r>
      <w:r w:rsidRPr="00BC5A99">
        <w:t>23 Budget puts at 2.3 percent per year.</w:t>
      </w:r>
      <w:r>
        <w:rPr>
          <w:rStyle w:val="FootnoteReference"/>
        </w:rPr>
        <w:footnoteReference w:id="28"/>
      </w:r>
      <w:r w:rsidRPr="00BC5A99">
        <w:t xml:space="preserve"> </w:t>
      </w:r>
      <w:r w:rsidR="00B210CA">
        <w:t xml:space="preserve"> </w:t>
      </w:r>
      <w:r w:rsidRPr="00BC5A99">
        <w:t>As shown in Table A15, the resulting factor is 1.</w:t>
      </w:r>
      <w:r w:rsidR="00017F03">
        <w:t>0</w:t>
      </w:r>
      <w:r w:rsidR="00A3656C">
        <w:t>3</w:t>
      </w:r>
      <w:r w:rsidRPr="00BC5A99">
        <w:t xml:space="preserve"> (</w:t>
      </w:r>
      <w:r w:rsidR="00A3656C">
        <w:t>315.7</w:t>
      </w:r>
      <w:r w:rsidRPr="00BC5A99">
        <w:t xml:space="preserve">/ </w:t>
      </w:r>
      <w:r w:rsidR="00A3656C">
        <w:t>305.1</w:t>
      </w:r>
      <w:r w:rsidRPr="00BC5A99">
        <w:t xml:space="preserve">). </w:t>
      </w:r>
      <w:r w:rsidR="00B210CA">
        <w:t xml:space="preserve"> </w:t>
      </w:r>
      <w:r w:rsidRPr="00BC5A99">
        <w:t xml:space="preserve">Therefore, we assume that an adjustment made in 2025 would result an adjustment of </w:t>
      </w:r>
      <w:r w:rsidR="00A3656C">
        <w:t>3</w:t>
      </w:r>
      <w:r w:rsidRPr="00BC5A99" w:rsidR="00BE4B1A">
        <w:t xml:space="preserve"> </w:t>
      </w:r>
      <w:r w:rsidRPr="00BC5A99">
        <w:t>percent such that the maximum search expense would rise</w:t>
      </w:r>
      <w:r w:rsidRPr="00BC5A99" w:rsidR="00CF1DC1">
        <w:t xml:space="preserve"> from $5,000</w:t>
      </w:r>
      <w:r w:rsidRPr="00BC5A99">
        <w:t xml:space="preserve"> to $</w:t>
      </w:r>
      <w:r w:rsidR="00BE4B1A">
        <w:t>5,</w:t>
      </w:r>
      <w:r w:rsidR="00A3656C">
        <w:t>1</w:t>
      </w:r>
      <w:r w:rsidR="00BE4B1A">
        <w:t>50</w:t>
      </w:r>
      <w:r w:rsidRPr="00BC5A99">
        <w:t xml:space="preserve"> </w:t>
      </w:r>
      <w:r w:rsidRPr="00BC5A99" w:rsidR="00487D06">
        <w:t>in nominal dollars or</w:t>
      </w:r>
      <w:r w:rsidRPr="00BC5A99">
        <w:t xml:space="preserve"> $</w:t>
      </w:r>
      <w:r w:rsidR="00BE4B1A">
        <w:t>4,</w:t>
      </w:r>
      <w:r w:rsidR="00A3656C">
        <w:t>419</w:t>
      </w:r>
      <w:r w:rsidRPr="00BC5A99">
        <w:t xml:space="preserve"> when expressed in 2021 dollars.</w:t>
      </w:r>
      <w:r w:rsidRPr="00BC5A99" w:rsidR="00487D06">
        <w:t xml:space="preserve"> </w:t>
      </w:r>
      <w:r w:rsidR="00B210CA">
        <w:t xml:space="preserve"> </w:t>
      </w:r>
      <w:r w:rsidRPr="00BC5A99">
        <w:t xml:space="preserve">At that time, we expect that the percent of </w:t>
      </w:r>
      <w:r w:rsidRPr="00BC5A99" w:rsidR="00487D06">
        <w:t xml:space="preserve">non-residential displacements </w:t>
      </w:r>
      <w:r w:rsidRPr="00BC5A99">
        <w:t xml:space="preserve">receiving </w:t>
      </w:r>
      <w:r w:rsidRPr="00BC5A99" w:rsidR="00E91924">
        <w:t xml:space="preserve">the </w:t>
      </w:r>
      <w:r w:rsidRPr="00BC5A99" w:rsidR="00487D06">
        <w:t xml:space="preserve">maximum amount would </w:t>
      </w:r>
      <w:r w:rsidRPr="00BC5A99">
        <w:t xml:space="preserve">drop to the predicted level </w:t>
      </w:r>
      <w:r w:rsidRPr="00BC5A99" w:rsidR="00487D06">
        <w:t>for 20</w:t>
      </w:r>
      <w:r w:rsidR="00BE4B1A">
        <w:t>2</w:t>
      </w:r>
      <w:r w:rsidRPr="00BC5A99" w:rsidR="00CF1DC1">
        <w:t>2</w:t>
      </w:r>
      <w:r w:rsidRPr="00BC5A99" w:rsidR="00487D06">
        <w:t xml:space="preserve">, </w:t>
      </w:r>
      <w:r w:rsidRPr="00BC5A99">
        <w:t xml:space="preserve">when a similar level of payment (in real terms) was in place. </w:t>
      </w:r>
      <w:r w:rsidR="00B210CA">
        <w:t xml:space="preserve"> </w:t>
      </w:r>
      <w:r w:rsidRPr="00BC5A99">
        <w:t xml:space="preserve">That percentage is </w:t>
      </w:r>
      <w:r w:rsidR="00BE4B1A">
        <w:t>55</w:t>
      </w:r>
      <w:r w:rsidRPr="00BC5A99" w:rsidR="00CF1DC1">
        <w:t>.6</w:t>
      </w:r>
      <w:r w:rsidRPr="00BC5A99">
        <w:t xml:space="preserve"> percent</w:t>
      </w:r>
      <w:r w:rsidRPr="00BC5A99" w:rsidR="00487D06">
        <w:t>, a drop from the 57.2 percent expected in 2024 before the inflation adjustment</w:t>
      </w:r>
      <w:r w:rsidRPr="00BC5A99">
        <w:t xml:space="preserve">. </w:t>
      </w:r>
      <w:r w:rsidR="00B210CA">
        <w:t xml:space="preserve"> </w:t>
      </w:r>
      <w:r w:rsidRPr="00BC5A99">
        <w:t xml:space="preserve">The subsequent inflation adjustments will </w:t>
      </w:r>
      <w:r w:rsidR="00BE4B1A">
        <w:t>remain</w:t>
      </w:r>
      <w:r w:rsidRPr="00BC5A99">
        <w:t xml:space="preserve"> minor if they are done </w:t>
      </w:r>
      <w:r w:rsidRPr="00BC5A99">
        <w:t>fairly regularly</w:t>
      </w:r>
      <w:r w:rsidRPr="00BC5A99">
        <w:t xml:space="preserve"> to keep up with inflation and each subsequent inflation adjustment will move the percent of households receiving last resort payments back to its </w:t>
      </w:r>
      <w:r w:rsidR="00E07AAD">
        <w:t>20</w:t>
      </w:r>
      <w:r w:rsidR="00A3656C">
        <w:t>2</w:t>
      </w:r>
      <w:r w:rsidR="00E07AAD">
        <w:t>2</w:t>
      </w:r>
      <w:r w:rsidRPr="00BC5A99">
        <w:t xml:space="preserve"> level. </w:t>
      </w:r>
    </w:p>
    <w:p w:rsidR="00495123" w:rsidRPr="002D3263" w:rsidP="00EF4CBB" w14:paraId="28321052" w14:textId="26686301">
      <w:pPr>
        <w:pStyle w:val="Body"/>
        <w:widowControl/>
      </w:pPr>
      <w:r w:rsidRPr="002D3263">
        <w:t xml:space="preserve">The pattern for the percent receiving some amount less than the current $2,500 follows the </w:t>
      </w:r>
      <w:r w:rsidRPr="002D3263">
        <w:t>same pattern as was estimated for the future under the current rule</w:t>
      </w:r>
      <w:r w:rsidRPr="002D3263" w:rsidR="00B02C1E">
        <w:t>,</w:t>
      </w:r>
      <w:r w:rsidRPr="002D3263">
        <w:t xml:space="preserve"> and the percent receiving some amount between $2,500 and $5,000 </w:t>
      </w:r>
      <w:r w:rsidRPr="002D3263" w:rsidR="001C4A43">
        <w:t>is</w:t>
      </w:r>
      <w:r w:rsidRPr="002D3263" w:rsidR="00E718F7">
        <w:t xml:space="preserve"> the</w:t>
      </w:r>
      <w:r w:rsidRPr="002D3263" w:rsidR="001C4A43">
        <w:t xml:space="preserve"> remainder </w:t>
      </w:r>
      <w:r w:rsidRPr="002D3263">
        <w:t>(</w:t>
      </w:r>
      <w:r w:rsidRPr="002D3263" w:rsidR="006E22DD">
        <w:t xml:space="preserve">we assume </w:t>
      </w:r>
      <w:r w:rsidRPr="002D3263" w:rsidR="008C3A8D">
        <w:t xml:space="preserve">the </w:t>
      </w:r>
      <w:r w:rsidRPr="002D3263" w:rsidR="00F02084">
        <w:t xml:space="preserve">representative </w:t>
      </w:r>
      <w:r w:rsidRPr="002D3263" w:rsidR="006E22DD">
        <w:t>amount this group receives is</w:t>
      </w:r>
      <w:r w:rsidRPr="002D3263">
        <w:t xml:space="preserve"> $4,000</w:t>
      </w:r>
      <w:r w:rsidRPr="002D3263" w:rsidR="000230D3">
        <w:t xml:space="preserve"> </w:t>
      </w:r>
      <w:r w:rsidRPr="00A3656C" w:rsidR="000230D3">
        <w:t>in 2023</w:t>
      </w:r>
      <w:r w:rsidRPr="002D3263" w:rsidR="000230D3">
        <w:t xml:space="preserve"> and it is grown using the same inflation rate as is used for the maximum payment amount</w:t>
      </w:r>
      <w:r w:rsidRPr="002D3263">
        <w:t xml:space="preserve">). </w:t>
      </w:r>
    </w:p>
    <w:p w:rsidR="001C4EB4" w:rsidRPr="002D3263" w:rsidP="00EF4CBB" w14:paraId="23A8D642" w14:textId="1D59ADF8">
      <w:pPr>
        <w:pStyle w:val="Body"/>
        <w:widowControl/>
      </w:pPr>
      <w:r w:rsidRPr="002D3263">
        <w:t xml:space="preserve">Based on these calculations the difference in </w:t>
      </w:r>
      <w:r w:rsidRPr="002D3263" w:rsidR="00F02084">
        <w:t>typical</w:t>
      </w:r>
      <w:r w:rsidRPr="002D3263">
        <w:t xml:space="preserve"> search</w:t>
      </w:r>
      <w:r w:rsidRPr="002D3263" w:rsidR="00B93E8A">
        <w:t xml:space="preserve"> cost</w:t>
      </w:r>
      <w:r w:rsidRPr="002D3263" w:rsidR="00E51B05">
        <w:t xml:space="preserve"> reimbursement payments (in </w:t>
      </w:r>
      <w:r w:rsidRPr="002D3263" w:rsidR="006E1C85">
        <w:t>2021</w:t>
      </w:r>
      <w:r w:rsidRPr="002D3263" w:rsidR="00D2312D">
        <w:t xml:space="preserve"> </w:t>
      </w:r>
      <w:r w:rsidRPr="002D3263">
        <w:t>dollars)</w:t>
      </w:r>
      <w:r w:rsidRPr="002D3263" w:rsidR="000F76CC">
        <w:t>,</w:t>
      </w:r>
      <w:r w:rsidRPr="002D3263">
        <w:t xml:space="preserve"> between the current rule and the </w:t>
      </w:r>
      <w:r w:rsidRPr="002D3263" w:rsidR="0035027D">
        <w:t>final</w:t>
      </w:r>
      <w:r w:rsidRPr="002D3263">
        <w:t xml:space="preserve"> rule would </w:t>
      </w:r>
      <w:r w:rsidRPr="002D3263" w:rsidR="006F5885">
        <w:t xml:space="preserve">range between </w:t>
      </w:r>
      <w:r w:rsidRPr="002D3263" w:rsidR="000230D3">
        <w:t>$1,600 and $</w:t>
      </w:r>
      <w:r w:rsidR="00B022E5">
        <w:t>2</w:t>
      </w:r>
      <w:r w:rsidRPr="002D3263" w:rsidR="000230D3">
        <w:t xml:space="preserve">,000 </w:t>
      </w:r>
      <w:r w:rsidRPr="002D3263" w:rsidR="001C4A43">
        <w:t xml:space="preserve">in each year </w:t>
      </w:r>
      <w:r w:rsidRPr="002D3263" w:rsidR="000F76CC">
        <w:t xml:space="preserve">of the analysis period. </w:t>
      </w:r>
      <w:r w:rsidR="00B210CA">
        <w:t xml:space="preserve"> </w:t>
      </w:r>
      <w:r w:rsidRPr="002D3263" w:rsidR="000F76CC">
        <w:t>T</w:t>
      </w:r>
      <w:r w:rsidRPr="002D3263" w:rsidR="001C4A43">
        <w:t>hese calculations are shown in Table A1 of Appendix A</w:t>
      </w:r>
      <w:r w:rsidRPr="002D3263" w:rsidR="00B02C1E">
        <w:t xml:space="preserve"> of this report</w:t>
      </w:r>
      <w:r w:rsidRPr="002D3263" w:rsidR="001C4A43">
        <w:t>.</w:t>
      </w:r>
    </w:p>
    <w:p w:rsidR="00B8491C" w:rsidRPr="002D3263" w:rsidP="00EF4CBB" w14:paraId="4511CD73" w14:textId="66730584">
      <w:pPr>
        <w:pStyle w:val="Body"/>
        <w:widowControl/>
      </w:pPr>
      <w:r w:rsidRPr="002D3263">
        <w:t xml:space="preserve">The calculations used to estimate the total change in program expenses related to search expenses to displaced businesses are shown in Table </w:t>
      </w:r>
      <w:r w:rsidRPr="002D3263" w:rsidR="00963C07">
        <w:t>A2</w:t>
      </w:r>
      <w:r w:rsidRPr="002D3263">
        <w:t xml:space="preserve"> of Appendix A</w:t>
      </w:r>
      <w:r w:rsidRPr="002D3263" w:rsidR="00B02C1E">
        <w:t xml:space="preserve"> of this report</w:t>
      </w:r>
      <w:r w:rsidRPr="002D3263">
        <w:t>.</w:t>
      </w:r>
      <w:r w:rsidR="00B210CA">
        <w:t xml:space="preserve"> </w:t>
      </w:r>
      <w:r w:rsidRPr="002D3263">
        <w:t xml:space="preserve"> </w:t>
      </w:r>
      <w:r w:rsidRPr="002D3263" w:rsidR="001C4EB4">
        <w:t xml:space="preserve">There are expected to be </w:t>
      </w:r>
      <w:r w:rsidRPr="002D3263" w:rsidR="006E1C85">
        <w:t>1,388</w:t>
      </w:r>
      <w:r w:rsidRPr="002D3263" w:rsidR="001C4EB4">
        <w:t xml:space="preserve"> </w:t>
      </w:r>
      <w:r w:rsidRPr="002D3263" w:rsidR="00305D57">
        <w:t>non-residential</w:t>
      </w:r>
      <w:r w:rsidRPr="002D3263" w:rsidR="001A60D8">
        <w:t xml:space="preserve"> </w:t>
      </w:r>
      <w:r w:rsidRPr="002D3263" w:rsidR="001C4EB4">
        <w:t>displacements each year of the analysis period</w:t>
      </w:r>
      <w:r w:rsidRPr="002D3263" w:rsidR="00B02C1E">
        <w:t>,</w:t>
      </w:r>
      <w:r w:rsidRPr="002D3263" w:rsidR="001C4EB4">
        <w:t xml:space="preserve"> and 86 percent of the </w:t>
      </w:r>
      <w:r w:rsidRPr="002D3263" w:rsidR="00305D57">
        <w:t>non-residential</w:t>
      </w:r>
      <w:r w:rsidRPr="002D3263" w:rsidR="003F1273">
        <w:t xml:space="preserve"> displaced persons </w:t>
      </w:r>
      <w:r w:rsidRPr="002D3263" w:rsidR="005358C9">
        <w:t>(</w:t>
      </w:r>
      <w:r w:rsidRPr="002D3263" w:rsidR="006E1C85">
        <w:t>1,194</w:t>
      </w:r>
      <w:r w:rsidRPr="002D3263" w:rsidR="005358C9">
        <w:t>)</w:t>
      </w:r>
      <w:r w:rsidRPr="002D3263">
        <w:t xml:space="preserve"> </w:t>
      </w:r>
      <w:r w:rsidRPr="002D3263" w:rsidR="001C4EB4">
        <w:t>are expected to choose the</w:t>
      </w:r>
      <w:r w:rsidRPr="002D3263" w:rsidR="00B93E8A">
        <w:t xml:space="preserve"> move cost</w:t>
      </w:r>
      <w:r w:rsidRPr="002D3263" w:rsidR="001C4EB4">
        <w:t xml:space="preserve"> reimbursement option</w:t>
      </w:r>
      <w:r w:rsidRPr="002D3263" w:rsidR="00D47FFD">
        <w:t xml:space="preserve"> rather than the in-lieu-of payment.</w:t>
      </w:r>
      <w:r w:rsidRPr="002D3263" w:rsidR="00F16D20">
        <w:t xml:space="preserve"> </w:t>
      </w:r>
      <w:r w:rsidR="00B210CA">
        <w:t xml:space="preserve"> </w:t>
      </w:r>
      <w:r w:rsidRPr="002D3263" w:rsidR="001C4EB4">
        <w:t>Of those</w:t>
      </w:r>
      <w:r w:rsidRPr="002D3263">
        <w:t xml:space="preserve"> </w:t>
      </w:r>
      <w:r w:rsidRPr="002D3263" w:rsidR="00544011">
        <w:t>1,194</w:t>
      </w:r>
      <w:r w:rsidRPr="002D3263" w:rsidR="00E51B05">
        <w:t xml:space="preserve"> </w:t>
      </w:r>
      <w:r w:rsidRPr="002D3263" w:rsidR="00305D57">
        <w:t>non-residential</w:t>
      </w:r>
      <w:r w:rsidRPr="002D3263" w:rsidR="003F1273">
        <w:t xml:space="preserve"> displacements</w:t>
      </w:r>
      <w:r w:rsidRPr="002D3263" w:rsidR="001C4EB4">
        <w:t>,</w:t>
      </w:r>
      <w:r w:rsidRPr="002D3263">
        <w:t xml:space="preserve"> </w:t>
      </w:r>
      <w:r w:rsidRPr="002D3263" w:rsidR="001C4EB4">
        <w:t xml:space="preserve">61 percent are expected to claim </w:t>
      </w:r>
      <w:r w:rsidRPr="002D3263" w:rsidR="00F72506">
        <w:t xml:space="preserve">search </w:t>
      </w:r>
      <w:r w:rsidRPr="002D3263" w:rsidR="001C4EB4">
        <w:t>expenses</w:t>
      </w:r>
      <w:r w:rsidRPr="002D3263" w:rsidR="00E51B05">
        <w:t xml:space="preserve"> (</w:t>
      </w:r>
      <w:r w:rsidRPr="002D3263" w:rsidR="00544011">
        <w:t>728</w:t>
      </w:r>
      <w:r w:rsidRPr="002D3263" w:rsidR="00E51B05">
        <w:t>)</w:t>
      </w:r>
      <w:r w:rsidRPr="002D3263">
        <w:t>.</w:t>
      </w:r>
      <w:r w:rsidR="00B210CA">
        <w:t xml:space="preserve"> </w:t>
      </w:r>
      <w:r w:rsidRPr="002D3263" w:rsidR="00F72506">
        <w:t xml:space="preserve"> The total change in program expenditure</w:t>
      </w:r>
      <w:r w:rsidRPr="002D3263" w:rsidR="00B02C1E">
        <w:t>s</w:t>
      </w:r>
      <w:r w:rsidRPr="002D3263" w:rsidR="00F72506">
        <w:t xml:space="preserve"> related to the </w:t>
      </w:r>
      <w:r w:rsidRPr="002D3263" w:rsidR="0035027D">
        <w:t>final</w:t>
      </w:r>
      <w:r w:rsidRPr="002D3263" w:rsidR="00F72506">
        <w:t xml:space="preserve"> rule is then the number of </w:t>
      </w:r>
      <w:r w:rsidRPr="002D3263" w:rsidR="00305D57">
        <w:t>non-residential</w:t>
      </w:r>
      <w:r w:rsidRPr="002D3263" w:rsidR="003F1273">
        <w:t xml:space="preserve"> displaced persons</w:t>
      </w:r>
      <w:r w:rsidRPr="002D3263" w:rsidR="00F72506">
        <w:t xml:space="preserve"> claiming the search payment</w:t>
      </w:r>
      <w:r w:rsidRPr="002D3263" w:rsidR="001A60D8">
        <w:t xml:space="preserve"> multiplied by</w:t>
      </w:r>
      <w:r w:rsidRPr="002D3263" w:rsidR="00F72506">
        <w:t xml:space="preserve"> the difference in average reimbursements for search expenses due to the </w:t>
      </w:r>
      <w:r w:rsidRPr="002D3263" w:rsidR="0035027D">
        <w:t>final</w:t>
      </w:r>
      <w:r w:rsidRPr="002D3263" w:rsidR="00F72506">
        <w:t xml:space="preserve"> rule. </w:t>
      </w:r>
      <w:r w:rsidR="00B210CA">
        <w:t xml:space="preserve"> </w:t>
      </w:r>
      <w:r w:rsidRPr="002D3263" w:rsidR="00F72506">
        <w:t>T</w:t>
      </w:r>
      <w:r w:rsidRPr="002D3263" w:rsidR="006C27DD">
        <w:t>he total change in payments</w:t>
      </w:r>
      <w:r w:rsidRPr="002D3263" w:rsidR="00F72506">
        <w:t xml:space="preserve"> related to search expenses are</w:t>
      </w:r>
      <w:r w:rsidRPr="002D3263" w:rsidR="006C27DD">
        <w:t xml:space="preserve"> shown in </w:t>
      </w:r>
      <w:r w:rsidRPr="002D3263" w:rsidR="00FD19C0">
        <w:fldChar w:fldCharType="begin"/>
      </w:r>
      <w:r w:rsidRPr="002D3263" w:rsidR="00FD19C0">
        <w:instrText xml:space="preserve"> REF _Ref67910055 \h </w:instrText>
      </w:r>
      <w:r w:rsidRPr="002D3263" w:rsidR="0099205D">
        <w:instrText xml:space="preserve"> \* MERGEFORMAT </w:instrText>
      </w:r>
      <w:r w:rsidRPr="002D3263" w:rsidR="00FD19C0">
        <w:fldChar w:fldCharType="separate"/>
      </w:r>
      <w:r w:rsidRPr="002D3263" w:rsidR="00E762F5">
        <w:t xml:space="preserve">Table </w:t>
      </w:r>
      <w:r w:rsidR="00E762F5">
        <w:rPr>
          <w:noProof/>
        </w:rPr>
        <w:t>8</w:t>
      </w:r>
      <w:r w:rsidRPr="002D3263" w:rsidR="00FD19C0">
        <w:fldChar w:fldCharType="end"/>
      </w:r>
      <w:r w:rsidRPr="002D3263" w:rsidR="006C27DD">
        <w:t xml:space="preserve"> below.</w:t>
      </w:r>
    </w:p>
    <w:p w:rsidR="00B8491C" w:rsidRPr="002D3263" w:rsidP="00EF4CBB" w14:paraId="426D104C" w14:textId="6C7AEF50">
      <w:pPr>
        <w:pStyle w:val="Body"/>
        <w:widowControl/>
      </w:pPr>
      <w:r w:rsidRPr="002D3263">
        <w:t xml:space="preserve">Note that the inclusion of </w:t>
      </w:r>
      <w:r w:rsidRPr="002D3263" w:rsidR="000F6E69">
        <w:t xml:space="preserve">time and fees spent for determining the adequacy of a potential replacement property, or for </w:t>
      </w:r>
      <w:r w:rsidRPr="002D3263">
        <w:t xml:space="preserve">attorney’s fees </w:t>
      </w:r>
      <w:r w:rsidRPr="002D3263" w:rsidR="006F59B9">
        <w:t xml:space="preserve">when negotiating a lease or purchase </w:t>
      </w:r>
      <w:r w:rsidRPr="002D3263" w:rsidR="000F6E69">
        <w:t xml:space="preserve">of a replacement location </w:t>
      </w:r>
      <w:r w:rsidRPr="002D3263">
        <w:t xml:space="preserve">may increase the percent of displaced business that claim the maximum amount or increase the amount that is claimed by displaced businesses who claim less than the maximum amount. </w:t>
      </w:r>
      <w:r w:rsidR="00B210CA">
        <w:t xml:space="preserve"> </w:t>
      </w:r>
      <w:r w:rsidRPr="002D3263">
        <w:t>However, the magnitude of the change in program expenditures related to inclusion of attorney’s fees cannot be estimated with the available information.</w:t>
      </w:r>
      <w:r w:rsidR="00B210CA">
        <w:t xml:space="preserve"> </w:t>
      </w:r>
      <w:r w:rsidRPr="002D3263" w:rsidR="007B2745">
        <w:t xml:space="preserve"> It is likely to be small</w:t>
      </w:r>
      <w:r w:rsidRPr="002D3263" w:rsidR="000F6E69">
        <w:t xml:space="preserve"> in the number of</w:t>
      </w:r>
      <w:r w:rsidRPr="002D3263" w:rsidR="00184090">
        <w:t xml:space="preserve"> </w:t>
      </w:r>
      <w:r w:rsidRPr="002D3263" w:rsidR="000F6E69">
        <w:t>instances</w:t>
      </w:r>
      <w:r w:rsidRPr="002D3263" w:rsidR="007B2745">
        <w:t>, however, as the relocations that are complicated enough to require use of an attorney likely exceed the $2,500 ceiling based on the categories of expenses that are already eligible.</w:t>
      </w:r>
    </w:p>
    <w:p w:rsidR="006C27DD" w:rsidRPr="002D3263" w:rsidP="00D6005F" w14:paraId="6D9F337E" w14:textId="49079CFD">
      <w:pPr>
        <w:pStyle w:val="Caption"/>
      </w:pPr>
      <w:bookmarkStart w:id="113" w:name="_Ref67910055"/>
      <w:bookmarkStart w:id="114" w:name="_Ref414950155"/>
      <w:bookmarkStart w:id="115" w:name="_Toc127438094"/>
      <w:r w:rsidRPr="002D3263">
        <w:t xml:space="preserve">Table </w:t>
      </w:r>
      <w:r w:rsidR="00F903AF">
        <w:fldChar w:fldCharType="begin"/>
      </w:r>
      <w:r w:rsidR="00F903AF">
        <w:instrText xml:space="preserve"> SEQ Table \* ARABIC </w:instrText>
      </w:r>
      <w:r w:rsidR="00F903AF">
        <w:fldChar w:fldCharType="separate"/>
      </w:r>
      <w:r w:rsidR="00E762F5">
        <w:rPr>
          <w:noProof/>
        </w:rPr>
        <w:t>8</w:t>
      </w:r>
      <w:r w:rsidR="00F903AF">
        <w:rPr>
          <w:noProof/>
        </w:rPr>
        <w:fldChar w:fldCharType="end"/>
      </w:r>
      <w:bookmarkEnd w:id="113"/>
      <w:r w:rsidRPr="002D3263">
        <w:t>.</w:t>
      </w:r>
      <w:bookmarkEnd w:id="114"/>
      <w:r w:rsidRPr="002D3263">
        <w:t xml:space="preserve"> Change in Search Expense Reimbursement for </w:t>
      </w:r>
      <w:r w:rsidRPr="002D3263" w:rsidR="00305D57">
        <w:t>Non-residential</w:t>
      </w:r>
      <w:r w:rsidRPr="002D3263">
        <w:t xml:space="preserve"> Relocations</w:t>
      </w:r>
      <w:r w:rsidRPr="002D3263" w:rsidR="006D1EAB">
        <w:t xml:space="preserve"> (FHWA)</w:t>
      </w:r>
      <w:bookmarkEnd w:id="115"/>
    </w:p>
    <w:tbl>
      <w:tblPr>
        <w:tblW w:w="8249" w:type="dxa"/>
        <w:jc w:val="center"/>
        <w:tblLayout w:type="fixed"/>
        <w:tblLook w:val="04A0"/>
      </w:tblPr>
      <w:tblGrid>
        <w:gridCol w:w="990"/>
        <w:gridCol w:w="2250"/>
        <w:gridCol w:w="2250"/>
        <w:gridCol w:w="1350"/>
        <w:gridCol w:w="1409"/>
      </w:tblGrid>
      <w:tr w14:paraId="216A6F34" w14:textId="77777777" w:rsidTr="00B10E0C">
        <w:tblPrEx>
          <w:tblW w:w="8249" w:type="dxa"/>
          <w:jc w:val="center"/>
          <w:tblLayout w:type="fixed"/>
          <w:tblLook w:val="04A0"/>
        </w:tblPrEx>
        <w:trPr>
          <w:trHeight w:val="720"/>
          <w:jc w:val="center"/>
        </w:trPr>
        <w:tc>
          <w:tcPr>
            <w:tcW w:w="990" w:type="dxa"/>
            <w:tcBorders>
              <w:bottom w:val="single" w:sz="12" w:space="0" w:color="auto"/>
            </w:tcBorders>
            <w:shd w:val="clear" w:color="auto" w:fill="auto"/>
            <w:hideMark/>
          </w:tcPr>
          <w:p w:rsidR="00F72506" w:rsidRPr="002D3263" w:rsidP="00EF4CBB" w14:paraId="0F8749BC" w14:textId="77777777">
            <w:pPr>
              <w:keepNext/>
              <w:widowControl/>
              <w:jc w:val="center"/>
              <w:rPr>
                <w:b/>
              </w:rPr>
            </w:pPr>
            <w:r w:rsidRPr="002D3263">
              <w:rPr>
                <w:b/>
              </w:rPr>
              <w:t>Year</w:t>
            </w:r>
          </w:p>
        </w:tc>
        <w:tc>
          <w:tcPr>
            <w:tcW w:w="2250" w:type="dxa"/>
            <w:tcBorders>
              <w:bottom w:val="single" w:sz="12" w:space="0" w:color="auto"/>
            </w:tcBorders>
            <w:shd w:val="clear" w:color="auto" w:fill="auto"/>
            <w:hideMark/>
          </w:tcPr>
          <w:p w:rsidR="00F72506" w:rsidRPr="002D3263" w:rsidP="00EF4CBB" w14:paraId="54246692" w14:textId="77777777">
            <w:pPr>
              <w:keepNext/>
              <w:widowControl/>
              <w:jc w:val="center"/>
              <w:rPr>
                <w:rFonts w:cs="Arial"/>
                <w:b/>
              </w:rPr>
            </w:pPr>
            <w:r w:rsidRPr="002D3263">
              <w:rPr>
                <w:rFonts w:cs="Arial"/>
                <w:b/>
              </w:rPr>
              <w:t>Total Difference in Program Expenditures (nominal)</w:t>
            </w:r>
          </w:p>
        </w:tc>
        <w:tc>
          <w:tcPr>
            <w:tcW w:w="2250" w:type="dxa"/>
            <w:tcBorders>
              <w:bottom w:val="single" w:sz="12" w:space="0" w:color="auto"/>
            </w:tcBorders>
            <w:shd w:val="clear" w:color="auto" w:fill="auto"/>
            <w:hideMark/>
          </w:tcPr>
          <w:p w:rsidR="00F72506" w:rsidRPr="002D3263" w:rsidP="00EF4CBB" w14:paraId="137FCE80" w14:textId="390E7E8B">
            <w:pPr>
              <w:keepNext/>
              <w:widowControl/>
              <w:jc w:val="center"/>
              <w:rPr>
                <w:rFonts w:cs="Arial"/>
                <w:b/>
              </w:rPr>
            </w:pPr>
            <w:r w:rsidRPr="002D3263">
              <w:rPr>
                <w:rFonts w:cs="Arial"/>
                <w:b/>
              </w:rPr>
              <w:t>Total Differen</w:t>
            </w:r>
            <w:r w:rsidRPr="002D3263" w:rsidR="00E51B05">
              <w:rPr>
                <w:rFonts w:cs="Arial"/>
                <w:b/>
              </w:rPr>
              <w:t>ce in Program Expenditures (20</w:t>
            </w:r>
            <w:r w:rsidRPr="002D3263" w:rsidR="00D2312D">
              <w:rPr>
                <w:rFonts w:cs="Arial"/>
                <w:b/>
              </w:rPr>
              <w:t>21</w:t>
            </w:r>
            <w:r w:rsidRPr="002D3263">
              <w:rPr>
                <w:rFonts w:cs="Arial"/>
                <w:b/>
              </w:rPr>
              <w:t xml:space="preserve"> $)</w:t>
            </w:r>
          </w:p>
        </w:tc>
        <w:tc>
          <w:tcPr>
            <w:tcW w:w="1350" w:type="dxa"/>
            <w:tcBorders>
              <w:bottom w:val="single" w:sz="12" w:space="0" w:color="auto"/>
            </w:tcBorders>
            <w:shd w:val="clear" w:color="auto" w:fill="auto"/>
            <w:hideMark/>
          </w:tcPr>
          <w:p w:rsidR="00F72506" w:rsidRPr="002D3263" w:rsidP="00EF4CBB" w14:paraId="2921C7B6" w14:textId="77777777">
            <w:pPr>
              <w:keepNext/>
              <w:widowControl/>
              <w:jc w:val="center"/>
              <w:rPr>
                <w:b/>
              </w:rPr>
            </w:pPr>
            <w:r w:rsidRPr="002D3263">
              <w:rPr>
                <w:b/>
              </w:rPr>
              <w:t>Discounted 7%</w:t>
            </w:r>
          </w:p>
        </w:tc>
        <w:tc>
          <w:tcPr>
            <w:tcW w:w="1409" w:type="dxa"/>
            <w:tcBorders>
              <w:bottom w:val="single" w:sz="12" w:space="0" w:color="auto"/>
            </w:tcBorders>
            <w:shd w:val="clear" w:color="auto" w:fill="auto"/>
            <w:hideMark/>
          </w:tcPr>
          <w:p w:rsidR="00F72506" w:rsidRPr="002D3263" w:rsidP="00EF4CBB" w14:paraId="0FF76856" w14:textId="77777777">
            <w:pPr>
              <w:keepNext/>
              <w:widowControl/>
              <w:jc w:val="center"/>
              <w:rPr>
                <w:b/>
              </w:rPr>
            </w:pPr>
            <w:r w:rsidRPr="002D3263">
              <w:rPr>
                <w:b/>
              </w:rPr>
              <w:t>Discounted 3%</w:t>
            </w:r>
          </w:p>
        </w:tc>
      </w:tr>
      <w:tr w14:paraId="7798EA31" w14:textId="77777777" w:rsidTr="00B10E0C">
        <w:tblPrEx>
          <w:tblW w:w="8249" w:type="dxa"/>
          <w:jc w:val="center"/>
          <w:tblLayout w:type="fixed"/>
          <w:tblLook w:val="04A0"/>
        </w:tblPrEx>
        <w:trPr>
          <w:trHeight w:val="300"/>
          <w:jc w:val="center"/>
        </w:trPr>
        <w:tc>
          <w:tcPr>
            <w:tcW w:w="990" w:type="dxa"/>
            <w:tcBorders>
              <w:top w:val="single" w:sz="12" w:space="0" w:color="auto"/>
            </w:tcBorders>
            <w:shd w:val="clear" w:color="auto" w:fill="auto"/>
            <w:vAlign w:val="center"/>
          </w:tcPr>
          <w:p w:rsidR="00A3656C" w:rsidRPr="006D5D1A" w:rsidP="00A3656C" w14:paraId="0B38EE11" w14:textId="75775118">
            <w:pPr>
              <w:keepNext/>
              <w:widowControl/>
              <w:jc w:val="center"/>
              <w:rPr>
                <w:rFonts w:ascii="Calibri" w:hAnsi="Calibri"/>
                <w:color w:val="000000"/>
                <w:highlight w:val="yellow"/>
              </w:rPr>
            </w:pPr>
            <w:r w:rsidRPr="00A3656C">
              <w:rPr>
                <w:rFonts w:ascii="Calibri" w:hAnsi="Calibri" w:cs="Calibri"/>
                <w:color w:val="000000"/>
              </w:rPr>
              <w:t>2023</w:t>
            </w:r>
          </w:p>
        </w:tc>
        <w:tc>
          <w:tcPr>
            <w:tcW w:w="2250" w:type="dxa"/>
            <w:tcBorders>
              <w:top w:val="single" w:sz="12" w:space="0" w:color="auto"/>
            </w:tcBorders>
            <w:shd w:val="clear" w:color="auto" w:fill="auto"/>
            <w:vAlign w:val="center"/>
          </w:tcPr>
          <w:p w:rsidR="00A3656C" w:rsidRPr="006D5D1A" w:rsidP="00A3656C" w14:paraId="2211C34A" w14:textId="4998A350">
            <w:pPr>
              <w:keepNext/>
              <w:widowControl/>
              <w:jc w:val="center"/>
              <w:rPr>
                <w:rFonts w:ascii="Calibri" w:hAnsi="Calibri"/>
                <w:color w:val="000000"/>
                <w:highlight w:val="yellow"/>
              </w:rPr>
            </w:pPr>
            <w:r>
              <w:rPr>
                <w:rFonts w:ascii="Calibri" w:hAnsi="Calibri" w:cs="Calibri"/>
                <w:color w:val="000000"/>
              </w:rPr>
              <w:t xml:space="preserve">$1,316,770 </w:t>
            </w:r>
          </w:p>
        </w:tc>
        <w:tc>
          <w:tcPr>
            <w:tcW w:w="2250" w:type="dxa"/>
            <w:tcBorders>
              <w:top w:val="single" w:sz="12" w:space="0" w:color="auto"/>
            </w:tcBorders>
            <w:shd w:val="clear" w:color="auto" w:fill="auto"/>
            <w:vAlign w:val="center"/>
          </w:tcPr>
          <w:p w:rsidR="00A3656C" w:rsidRPr="002D3263" w:rsidP="00A3656C" w14:paraId="1E7DC1CE" w14:textId="7FBE12D8">
            <w:pPr>
              <w:keepNext/>
              <w:widowControl/>
              <w:jc w:val="center"/>
              <w:rPr>
                <w:rFonts w:ascii="Calibri" w:hAnsi="Calibri"/>
                <w:color w:val="000000"/>
              </w:rPr>
            </w:pPr>
            <w:r>
              <w:rPr>
                <w:rFonts w:ascii="Calibri" w:hAnsi="Calibri" w:cs="Calibri"/>
                <w:color w:val="000000"/>
              </w:rPr>
              <w:t xml:space="preserve">$1,156,124 </w:t>
            </w:r>
          </w:p>
        </w:tc>
        <w:tc>
          <w:tcPr>
            <w:tcW w:w="1350" w:type="dxa"/>
            <w:tcBorders>
              <w:top w:val="single" w:sz="12" w:space="0" w:color="auto"/>
            </w:tcBorders>
            <w:shd w:val="clear" w:color="auto" w:fill="auto"/>
            <w:vAlign w:val="center"/>
          </w:tcPr>
          <w:p w:rsidR="00A3656C" w:rsidRPr="002D3263" w:rsidP="00A3656C" w14:paraId="5980C018" w14:textId="39E5E00E">
            <w:pPr>
              <w:keepNext/>
              <w:widowControl/>
              <w:jc w:val="center"/>
              <w:rPr>
                <w:rFonts w:ascii="Calibri" w:hAnsi="Calibri"/>
                <w:color w:val="000000"/>
              </w:rPr>
            </w:pPr>
            <w:r>
              <w:rPr>
                <w:rFonts w:ascii="Calibri" w:hAnsi="Calibri" w:cs="Calibri"/>
                <w:color w:val="000000"/>
              </w:rPr>
              <w:t xml:space="preserve">$1,009,804 </w:t>
            </w:r>
          </w:p>
        </w:tc>
        <w:tc>
          <w:tcPr>
            <w:tcW w:w="1409" w:type="dxa"/>
            <w:tcBorders>
              <w:top w:val="single" w:sz="12" w:space="0" w:color="auto"/>
            </w:tcBorders>
            <w:shd w:val="clear" w:color="auto" w:fill="auto"/>
            <w:vAlign w:val="center"/>
          </w:tcPr>
          <w:p w:rsidR="00A3656C" w:rsidRPr="002D3263" w:rsidP="00A3656C" w14:paraId="3B5644C4" w14:textId="42D14F07">
            <w:pPr>
              <w:keepNext/>
              <w:widowControl/>
              <w:jc w:val="center"/>
              <w:rPr>
                <w:rFonts w:ascii="Calibri" w:hAnsi="Calibri"/>
                <w:color w:val="000000"/>
              </w:rPr>
            </w:pPr>
            <w:r>
              <w:rPr>
                <w:rFonts w:ascii="Calibri" w:hAnsi="Calibri" w:cs="Calibri"/>
                <w:color w:val="000000"/>
              </w:rPr>
              <w:t xml:space="preserve">$1,089,758 </w:t>
            </w:r>
          </w:p>
        </w:tc>
      </w:tr>
      <w:tr w14:paraId="3FFD9873" w14:textId="77777777" w:rsidTr="00B10E0C">
        <w:tblPrEx>
          <w:tblW w:w="8249" w:type="dxa"/>
          <w:jc w:val="center"/>
          <w:tblLayout w:type="fixed"/>
          <w:tblLook w:val="04A0"/>
        </w:tblPrEx>
        <w:trPr>
          <w:trHeight w:val="300"/>
          <w:jc w:val="center"/>
        </w:trPr>
        <w:tc>
          <w:tcPr>
            <w:tcW w:w="990" w:type="dxa"/>
            <w:shd w:val="clear" w:color="auto" w:fill="auto"/>
            <w:noWrap/>
            <w:vAlign w:val="center"/>
          </w:tcPr>
          <w:p w:rsidR="00A3656C" w:rsidRPr="002D3263" w:rsidP="00A3656C" w14:paraId="405D5595" w14:textId="018E793A">
            <w:pPr>
              <w:keepNext/>
              <w:widowControl/>
              <w:jc w:val="center"/>
              <w:rPr>
                <w:rFonts w:ascii="Calibri" w:hAnsi="Calibri"/>
                <w:color w:val="000000"/>
              </w:rPr>
            </w:pPr>
            <w:r w:rsidRPr="002D3263">
              <w:rPr>
                <w:rFonts w:ascii="Calibri" w:hAnsi="Calibri" w:cs="Calibri"/>
                <w:color w:val="000000"/>
              </w:rPr>
              <w:t>2024</w:t>
            </w:r>
          </w:p>
        </w:tc>
        <w:tc>
          <w:tcPr>
            <w:tcW w:w="2250" w:type="dxa"/>
            <w:shd w:val="clear" w:color="auto" w:fill="auto"/>
            <w:vAlign w:val="center"/>
          </w:tcPr>
          <w:p w:rsidR="00A3656C" w:rsidRPr="002D3263" w:rsidP="00A3656C" w14:paraId="57A911AA" w14:textId="72D1A67E">
            <w:pPr>
              <w:keepNext/>
              <w:widowControl/>
              <w:jc w:val="center"/>
              <w:rPr>
                <w:rFonts w:ascii="Calibri" w:hAnsi="Calibri"/>
                <w:color w:val="000000"/>
              </w:rPr>
            </w:pPr>
            <w:r>
              <w:rPr>
                <w:rFonts w:ascii="Calibri" w:hAnsi="Calibri" w:cs="Calibri"/>
                <w:color w:val="000000"/>
              </w:rPr>
              <w:t xml:space="preserve">$1,331,330 </w:t>
            </w:r>
          </w:p>
        </w:tc>
        <w:tc>
          <w:tcPr>
            <w:tcW w:w="2250" w:type="dxa"/>
            <w:shd w:val="clear" w:color="auto" w:fill="auto"/>
            <w:vAlign w:val="center"/>
          </w:tcPr>
          <w:p w:rsidR="00A3656C" w:rsidRPr="002D3263" w:rsidP="00A3656C" w14:paraId="0C178D1D" w14:textId="6FED1FA4">
            <w:pPr>
              <w:keepNext/>
              <w:widowControl/>
              <w:jc w:val="center"/>
              <w:rPr>
                <w:rFonts w:ascii="Calibri" w:hAnsi="Calibri"/>
                <w:color w:val="000000"/>
              </w:rPr>
            </w:pPr>
            <w:r>
              <w:rPr>
                <w:rFonts w:ascii="Calibri" w:hAnsi="Calibri" w:cs="Calibri"/>
                <w:color w:val="000000"/>
              </w:rPr>
              <w:t xml:space="preserve">$1,142,281 </w:t>
            </w:r>
          </w:p>
        </w:tc>
        <w:tc>
          <w:tcPr>
            <w:tcW w:w="1350" w:type="dxa"/>
            <w:shd w:val="clear" w:color="auto" w:fill="auto"/>
            <w:vAlign w:val="center"/>
          </w:tcPr>
          <w:p w:rsidR="00A3656C" w:rsidRPr="002D3263" w:rsidP="00A3656C" w14:paraId="7E8D49A7" w14:textId="76E3B7C2">
            <w:pPr>
              <w:keepNext/>
              <w:widowControl/>
              <w:jc w:val="center"/>
              <w:rPr>
                <w:rFonts w:ascii="Calibri" w:hAnsi="Calibri"/>
                <w:color w:val="000000"/>
              </w:rPr>
            </w:pPr>
            <w:r>
              <w:rPr>
                <w:rFonts w:ascii="Calibri" w:hAnsi="Calibri" w:cs="Calibri"/>
                <w:color w:val="000000"/>
              </w:rPr>
              <w:t xml:space="preserve">$932,442 </w:t>
            </w:r>
          </w:p>
        </w:tc>
        <w:tc>
          <w:tcPr>
            <w:tcW w:w="1409" w:type="dxa"/>
            <w:shd w:val="clear" w:color="auto" w:fill="auto"/>
            <w:vAlign w:val="center"/>
          </w:tcPr>
          <w:p w:rsidR="00A3656C" w:rsidRPr="002D3263" w:rsidP="00A3656C" w14:paraId="0D4F8DBF" w14:textId="190D7DF2">
            <w:pPr>
              <w:keepNext/>
              <w:widowControl/>
              <w:jc w:val="center"/>
              <w:rPr>
                <w:rFonts w:ascii="Calibri" w:hAnsi="Calibri"/>
                <w:color w:val="000000"/>
              </w:rPr>
            </w:pPr>
            <w:r>
              <w:rPr>
                <w:rFonts w:ascii="Calibri" w:hAnsi="Calibri" w:cs="Calibri"/>
                <w:color w:val="000000"/>
              </w:rPr>
              <w:t xml:space="preserve">$1,045,349 </w:t>
            </w:r>
          </w:p>
        </w:tc>
      </w:tr>
      <w:tr w14:paraId="7BF4AAFA" w14:textId="77777777" w:rsidTr="00B10E0C">
        <w:tblPrEx>
          <w:tblW w:w="8249" w:type="dxa"/>
          <w:jc w:val="center"/>
          <w:tblLayout w:type="fixed"/>
          <w:tblLook w:val="04A0"/>
        </w:tblPrEx>
        <w:trPr>
          <w:trHeight w:val="300"/>
          <w:jc w:val="center"/>
        </w:trPr>
        <w:tc>
          <w:tcPr>
            <w:tcW w:w="990" w:type="dxa"/>
            <w:shd w:val="clear" w:color="auto" w:fill="auto"/>
            <w:noWrap/>
            <w:vAlign w:val="center"/>
          </w:tcPr>
          <w:p w:rsidR="00A3656C" w:rsidRPr="002D3263" w:rsidP="00A3656C" w14:paraId="7ECE593A" w14:textId="7CD627EA">
            <w:pPr>
              <w:keepNext/>
              <w:widowControl/>
              <w:jc w:val="center"/>
              <w:rPr>
                <w:rFonts w:ascii="Calibri" w:hAnsi="Calibri"/>
                <w:color w:val="000000"/>
              </w:rPr>
            </w:pPr>
            <w:r w:rsidRPr="002D3263">
              <w:rPr>
                <w:rFonts w:ascii="Calibri" w:hAnsi="Calibri" w:cs="Calibri"/>
                <w:color w:val="000000"/>
              </w:rPr>
              <w:t>2025</w:t>
            </w:r>
          </w:p>
        </w:tc>
        <w:tc>
          <w:tcPr>
            <w:tcW w:w="2250" w:type="dxa"/>
            <w:shd w:val="clear" w:color="auto" w:fill="auto"/>
            <w:vAlign w:val="center"/>
          </w:tcPr>
          <w:p w:rsidR="00A3656C" w:rsidRPr="002D3263" w:rsidP="00A3656C" w14:paraId="4D420406" w14:textId="35A5791E">
            <w:pPr>
              <w:keepNext/>
              <w:widowControl/>
              <w:jc w:val="center"/>
              <w:rPr>
                <w:rFonts w:ascii="Calibri" w:hAnsi="Calibri"/>
                <w:color w:val="000000"/>
              </w:rPr>
            </w:pPr>
            <w:r>
              <w:rPr>
                <w:rFonts w:ascii="Calibri" w:hAnsi="Calibri" w:cs="Calibri"/>
                <w:color w:val="000000"/>
              </w:rPr>
              <w:t xml:space="preserve">$1,414,462 </w:t>
            </w:r>
          </w:p>
        </w:tc>
        <w:tc>
          <w:tcPr>
            <w:tcW w:w="2250" w:type="dxa"/>
            <w:shd w:val="clear" w:color="auto" w:fill="auto"/>
            <w:vAlign w:val="center"/>
          </w:tcPr>
          <w:p w:rsidR="00A3656C" w:rsidRPr="002D3263" w:rsidP="00A3656C" w14:paraId="78A1410E" w14:textId="28244353">
            <w:pPr>
              <w:keepNext/>
              <w:widowControl/>
              <w:jc w:val="center"/>
              <w:rPr>
                <w:rFonts w:ascii="Calibri" w:hAnsi="Calibri"/>
                <w:color w:val="000000"/>
              </w:rPr>
            </w:pPr>
            <w:r>
              <w:rPr>
                <w:rFonts w:ascii="Calibri" w:hAnsi="Calibri" w:cs="Calibri"/>
                <w:color w:val="000000"/>
              </w:rPr>
              <w:t xml:space="preserve">$1,186,734 </w:t>
            </w:r>
          </w:p>
        </w:tc>
        <w:tc>
          <w:tcPr>
            <w:tcW w:w="1350" w:type="dxa"/>
            <w:shd w:val="clear" w:color="auto" w:fill="auto"/>
            <w:vAlign w:val="center"/>
          </w:tcPr>
          <w:p w:rsidR="00A3656C" w:rsidRPr="002D3263" w:rsidP="00A3656C" w14:paraId="5D499EFC" w14:textId="12378F50">
            <w:pPr>
              <w:keepNext/>
              <w:widowControl/>
              <w:jc w:val="center"/>
              <w:rPr>
                <w:rFonts w:ascii="Calibri" w:hAnsi="Calibri"/>
                <w:color w:val="000000"/>
              </w:rPr>
            </w:pPr>
            <w:r>
              <w:rPr>
                <w:rFonts w:ascii="Calibri" w:hAnsi="Calibri" w:cs="Calibri"/>
                <w:color w:val="000000"/>
              </w:rPr>
              <w:t xml:space="preserve">$905,353 </w:t>
            </w:r>
          </w:p>
        </w:tc>
        <w:tc>
          <w:tcPr>
            <w:tcW w:w="1409" w:type="dxa"/>
            <w:shd w:val="clear" w:color="auto" w:fill="auto"/>
            <w:vAlign w:val="center"/>
          </w:tcPr>
          <w:p w:rsidR="00A3656C" w:rsidRPr="002D3263" w:rsidP="00A3656C" w14:paraId="6C650EC6" w14:textId="7881A077">
            <w:pPr>
              <w:keepNext/>
              <w:widowControl/>
              <w:jc w:val="center"/>
              <w:rPr>
                <w:rFonts w:ascii="Calibri" w:hAnsi="Calibri"/>
                <w:color w:val="000000"/>
              </w:rPr>
            </w:pPr>
            <w:r>
              <w:rPr>
                <w:rFonts w:ascii="Calibri" w:hAnsi="Calibri" w:cs="Calibri"/>
                <w:color w:val="000000"/>
              </w:rPr>
              <w:t xml:space="preserve">$1,054,398 </w:t>
            </w:r>
          </w:p>
        </w:tc>
      </w:tr>
      <w:tr w14:paraId="22D31AF7" w14:textId="77777777" w:rsidTr="00B10E0C">
        <w:tblPrEx>
          <w:tblW w:w="8249" w:type="dxa"/>
          <w:jc w:val="center"/>
          <w:tblLayout w:type="fixed"/>
          <w:tblLook w:val="04A0"/>
        </w:tblPrEx>
        <w:trPr>
          <w:trHeight w:val="300"/>
          <w:jc w:val="center"/>
        </w:trPr>
        <w:tc>
          <w:tcPr>
            <w:tcW w:w="990" w:type="dxa"/>
            <w:shd w:val="clear" w:color="auto" w:fill="auto"/>
            <w:noWrap/>
            <w:vAlign w:val="center"/>
          </w:tcPr>
          <w:p w:rsidR="00A3656C" w:rsidRPr="002D3263" w:rsidP="00A3656C" w14:paraId="74502C22" w14:textId="45B514DC">
            <w:pPr>
              <w:keepNext/>
              <w:widowControl/>
              <w:jc w:val="center"/>
              <w:rPr>
                <w:rFonts w:ascii="Calibri" w:hAnsi="Calibri"/>
                <w:color w:val="000000"/>
              </w:rPr>
            </w:pPr>
            <w:r w:rsidRPr="002D3263">
              <w:rPr>
                <w:rFonts w:ascii="Calibri" w:hAnsi="Calibri" w:cs="Calibri"/>
                <w:color w:val="000000"/>
              </w:rPr>
              <w:t>2026</w:t>
            </w:r>
          </w:p>
        </w:tc>
        <w:tc>
          <w:tcPr>
            <w:tcW w:w="2250" w:type="dxa"/>
            <w:shd w:val="clear" w:color="auto" w:fill="auto"/>
            <w:vAlign w:val="center"/>
          </w:tcPr>
          <w:p w:rsidR="00A3656C" w:rsidRPr="002D3263" w:rsidP="00A3656C" w14:paraId="42BA032C" w14:textId="1FF5DC1C">
            <w:pPr>
              <w:keepNext/>
              <w:widowControl/>
              <w:jc w:val="center"/>
              <w:rPr>
                <w:rFonts w:ascii="Calibri" w:hAnsi="Calibri"/>
                <w:color w:val="000000"/>
              </w:rPr>
            </w:pPr>
            <w:r>
              <w:rPr>
                <w:rFonts w:ascii="Calibri" w:hAnsi="Calibri" w:cs="Calibri"/>
                <w:color w:val="000000"/>
              </w:rPr>
              <w:t xml:space="preserve">$1,429,896 </w:t>
            </w:r>
          </w:p>
        </w:tc>
        <w:tc>
          <w:tcPr>
            <w:tcW w:w="2250" w:type="dxa"/>
            <w:shd w:val="clear" w:color="auto" w:fill="auto"/>
            <w:vAlign w:val="center"/>
          </w:tcPr>
          <w:p w:rsidR="00A3656C" w:rsidRPr="002D3263" w:rsidP="00A3656C" w14:paraId="75187B55" w14:textId="3609E0C9">
            <w:pPr>
              <w:keepNext/>
              <w:widowControl/>
              <w:jc w:val="center"/>
              <w:rPr>
                <w:rFonts w:ascii="Calibri" w:hAnsi="Calibri"/>
                <w:color w:val="000000"/>
              </w:rPr>
            </w:pPr>
            <w:r>
              <w:rPr>
                <w:rFonts w:ascii="Calibri" w:hAnsi="Calibri" w:cs="Calibri"/>
                <w:color w:val="000000"/>
              </w:rPr>
              <w:t xml:space="preserve">$1,172,515 </w:t>
            </w:r>
          </w:p>
        </w:tc>
        <w:tc>
          <w:tcPr>
            <w:tcW w:w="1350" w:type="dxa"/>
            <w:shd w:val="clear" w:color="auto" w:fill="auto"/>
            <w:vAlign w:val="center"/>
          </w:tcPr>
          <w:p w:rsidR="00A3656C" w:rsidRPr="002D3263" w:rsidP="00A3656C" w14:paraId="47406F9A" w14:textId="340144DB">
            <w:pPr>
              <w:keepNext/>
              <w:widowControl/>
              <w:jc w:val="center"/>
              <w:rPr>
                <w:rFonts w:ascii="Calibri" w:hAnsi="Calibri"/>
                <w:color w:val="000000"/>
              </w:rPr>
            </w:pPr>
            <w:r>
              <w:rPr>
                <w:rFonts w:ascii="Calibri" w:hAnsi="Calibri" w:cs="Calibri"/>
                <w:color w:val="000000"/>
              </w:rPr>
              <w:t xml:space="preserve">$835,987 </w:t>
            </w:r>
          </w:p>
        </w:tc>
        <w:tc>
          <w:tcPr>
            <w:tcW w:w="1409" w:type="dxa"/>
            <w:shd w:val="clear" w:color="auto" w:fill="auto"/>
            <w:vAlign w:val="center"/>
          </w:tcPr>
          <w:p w:rsidR="00A3656C" w:rsidRPr="002D3263" w:rsidP="00A3656C" w14:paraId="0E064D60" w14:textId="2FBB4420">
            <w:pPr>
              <w:keepNext/>
              <w:widowControl/>
              <w:jc w:val="center"/>
              <w:rPr>
                <w:rFonts w:ascii="Calibri" w:hAnsi="Calibri"/>
                <w:color w:val="000000"/>
              </w:rPr>
            </w:pPr>
            <w:r>
              <w:rPr>
                <w:rFonts w:ascii="Calibri" w:hAnsi="Calibri" w:cs="Calibri"/>
                <w:color w:val="000000"/>
              </w:rPr>
              <w:t xml:space="preserve">$1,011,421 </w:t>
            </w:r>
          </w:p>
        </w:tc>
      </w:tr>
      <w:tr w14:paraId="348169DE" w14:textId="77777777" w:rsidTr="00B10E0C">
        <w:tblPrEx>
          <w:tblW w:w="8249" w:type="dxa"/>
          <w:jc w:val="center"/>
          <w:tblLayout w:type="fixed"/>
          <w:tblLook w:val="04A0"/>
        </w:tblPrEx>
        <w:trPr>
          <w:trHeight w:val="300"/>
          <w:jc w:val="center"/>
        </w:trPr>
        <w:tc>
          <w:tcPr>
            <w:tcW w:w="990" w:type="dxa"/>
            <w:shd w:val="clear" w:color="auto" w:fill="auto"/>
            <w:noWrap/>
            <w:vAlign w:val="center"/>
          </w:tcPr>
          <w:p w:rsidR="00A3656C" w:rsidRPr="002D3263" w:rsidP="00A3656C" w14:paraId="17BE4D53" w14:textId="6EAD0645">
            <w:pPr>
              <w:keepNext/>
              <w:widowControl/>
              <w:jc w:val="center"/>
              <w:rPr>
                <w:rFonts w:ascii="Calibri" w:hAnsi="Calibri"/>
                <w:color w:val="000000"/>
              </w:rPr>
            </w:pPr>
            <w:r w:rsidRPr="002D3263">
              <w:rPr>
                <w:rFonts w:ascii="Calibri" w:hAnsi="Calibri" w:cs="Calibri"/>
                <w:color w:val="000000"/>
              </w:rPr>
              <w:t>2027</w:t>
            </w:r>
          </w:p>
        </w:tc>
        <w:tc>
          <w:tcPr>
            <w:tcW w:w="2250" w:type="dxa"/>
            <w:shd w:val="clear" w:color="auto" w:fill="auto"/>
            <w:vAlign w:val="center"/>
          </w:tcPr>
          <w:p w:rsidR="00A3656C" w:rsidRPr="002D3263" w:rsidP="00A3656C" w14:paraId="7AA92996" w14:textId="3E314CCD">
            <w:pPr>
              <w:keepNext/>
              <w:widowControl/>
              <w:jc w:val="center"/>
              <w:rPr>
                <w:rFonts w:ascii="Calibri" w:hAnsi="Calibri"/>
                <w:color w:val="000000"/>
              </w:rPr>
            </w:pPr>
            <w:r>
              <w:rPr>
                <w:rFonts w:ascii="Calibri" w:hAnsi="Calibri" w:cs="Calibri"/>
                <w:color w:val="000000"/>
              </w:rPr>
              <w:t xml:space="preserve">$1,445,329 </w:t>
            </w:r>
          </w:p>
        </w:tc>
        <w:tc>
          <w:tcPr>
            <w:tcW w:w="2250" w:type="dxa"/>
            <w:shd w:val="clear" w:color="auto" w:fill="auto"/>
            <w:vAlign w:val="center"/>
          </w:tcPr>
          <w:p w:rsidR="00A3656C" w:rsidRPr="002D3263" w:rsidP="00A3656C" w14:paraId="46AD67C9" w14:textId="045C31C3">
            <w:pPr>
              <w:keepNext/>
              <w:widowControl/>
              <w:jc w:val="center"/>
              <w:rPr>
                <w:rFonts w:ascii="Calibri" w:hAnsi="Calibri"/>
                <w:color w:val="000000"/>
              </w:rPr>
            </w:pPr>
            <w:r>
              <w:rPr>
                <w:rFonts w:ascii="Calibri" w:hAnsi="Calibri" w:cs="Calibri"/>
                <w:color w:val="000000"/>
              </w:rPr>
              <w:t xml:space="preserve">$1,159,154 </w:t>
            </w:r>
          </w:p>
        </w:tc>
        <w:tc>
          <w:tcPr>
            <w:tcW w:w="1350" w:type="dxa"/>
            <w:shd w:val="clear" w:color="auto" w:fill="auto"/>
            <w:vAlign w:val="center"/>
          </w:tcPr>
          <w:p w:rsidR="00A3656C" w:rsidRPr="002D3263" w:rsidP="00A3656C" w14:paraId="05737373" w14:textId="5FEDBEC9">
            <w:pPr>
              <w:keepNext/>
              <w:widowControl/>
              <w:jc w:val="center"/>
              <w:rPr>
                <w:rFonts w:ascii="Calibri" w:hAnsi="Calibri"/>
                <w:color w:val="000000"/>
              </w:rPr>
            </w:pPr>
            <w:r>
              <w:rPr>
                <w:rFonts w:ascii="Calibri" w:hAnsi="Calibri" w:cs="Calibri"/>
                <w:color w:val="000000"/>
              </w:rPr>
              <w:t xml:space="preserve">$772,393 </w:t>
            </w:r>
          </w:p>
        </w:tc>
        <w:tc>
          <w:tcPr>
            <w:tcW w:w="1409" w:type="dxa"/>
            <w:shd w:val="clear" w:color="auto" w:fill="auto"/>
            <w:vAlign w:val="center"/>
          </w:tcPr>
          <w:p w:rsidR="00A3656C" w:rsidRPr="002D3263" w:rsidP="00A3656C" w14:paraId="3920A5B2" w14:textId="3EBD00A8">
            <w:pPr>
              <w:keepNext/>
              <w:widowControl/>
              <w:jc w:val="center"/>
              <w:rPr>
                <w:rFonts w:ascii="Calibri" w:hAnsi="Calibri"/>
                <w:color w:val="000000"/>
              </w:rPr>
            </w:pPr>
            <w:r>
              <w:rPr>
                <w:rFonts w:ascii="Calibri" w:hAnsi="Calibri" w:cs="Calibri"/>
                <w:color w:val="000000"/>
              </w:rPr>
              <w:t xml:space="preserve">$970,773 </w:t>
            </w:r>
          </w:p>
        </w:tc>
      </w:tr>
      <w:tr w14:paraId="3B61BB84" w14:textId="77777777" w:rsidTr="00B10E0C">
        <w:tblPrEx>
          <w:tblW w:w="8249" w:type="dxa"/>
          <w:jc w:val="center"/>
          <w:tblLayout w:type="fixed"/>
          <w:tblLook w:val="04A0"/>
        </w:tblPrEx>
        <w:trPr>
          <w:trHeight w:val="300"/>
          <w:jc w:val="center"/>
        </w:trPr>
        <w:tc>
          <w:tcPr>
            <w:tcW w:w="990" w:type="dxa"/>
            <w:shd w:val="clear" w:color="auto" w:fill="auto"/>
            <w:noWrap/>
            <w:vAlign w:val="center"/>
          </w:tcPr>
          <w:p w:rsidR="00A3656C" w:rsidRPr="002D3263" w:rsidP="00A3656C" w14:paraId="63C73912" w14:textId="4815D8A1">
            <w:pPr>
              <w:keepNext/>
              <w:widowControl/>
              <w:jc w:val="center"/>
              <w:rPr>
                <w:rFonts w:ascii="Calibri" w:hAnsi="Calibri"/>
                <w:color w:val="000000"/>
              </w:rPr>
            </w:pPr>
            <w:r w:rsidRPr="002D3263">
              <w:rPr>
                <w:rFonts w:ascii="Calibri" w:hAnsi="Calibri" w:cs="Calibri"/>
                <w:color w:val="000000"/>
              </w:rPr>
              <w:t>2028</w:t>
            </w:r>
          </w:p>
        </w:tc>
        <w:tc>
          <w:tcPr>
            <w:tcW w:w="2250" w:type="dxa"/>
            <w:shd w:val="clear" w:color="auto" w:fill="auto"/>
            <w:vAlign w:val="center"/>
          </w:tcPr>
          <w:p w:rsidR="00A3656C" w:rsidRPr="002D3263" w:rsidP="00A3656C" w14:paraId="6CE5560E" w14:textId="73CF0C7D">
            <w:pPr>
              <w:keepNext/>
              <w:widowControl/>
              <w:jc w:val="center"/>
              <w:rPr>
                <w:rFonts w:ascii="Calibri" w:hAnsi="Calibri"/>
                <w:color w:val="000000"/>
              </w:rPr>
            </w:pPr>
            <w:r>
              <w:rPr>
                <w:rFonts w:ascii="Calibri" w:hAnsi="Calibri" w:cs="Calibri"/>
                <w:color w:val="000000"/>
              </w:rPr>
              <w:t xml:space="preserve">$1,654,892 </w:t>
            </w:r>
          </w:p>
        </w:tc>
        <w:tc>
          <w:tcPr>
            <w:tcW w:w="2250" w:type="dxa"/>
            <w:shd w:val="clear" w:color="auto" w:fill="auto"/>
            <w:vAlign w:val="center"/>
          </w:tcPr>
          <w:p w:rsidR="00A3656C" w:rsidRPr="002D3263" w:rsidP="00A3656C" w14:paraId="35235438" w14:textId="691F00FB">
            <w:pPr>
              <w:keepNext/>
              <w:widowControl/>
              <w:jc w:val="center"/>
              <w:rPr>
                <w:rFonts w:ascii="Calibri" w:hAnsi="Calibri"/>
                <w:color w:val="000000"/>
              </w:rPr>
            </w:pPr>
            <w:r>
              <w:rPr>
                <w:rFonts w:ascii="Calibri" w:hAnsi="Calibri" w:cs="Calibri"/>
                <w:color w:val="000000"/>
              </w:rPr>
              <w:t xml:space="preserve">$1,297,436 </w:t>
            </w:r>
          </w:p>
        </w:tc>
        <w:tc>
          <w:tcPr>
            <w:tcW w:w="1350" w:type="dxa"/>
            <w:shd w:val="clear" w:color="auto" w:fill="auto"/>
            <w:vAlign w:val="center"/>
          </w:tcPr>
          <w:p w:rsidR="00A3656C" w:rsidRPr="002D3263" w:rsidP="00A3656C" w14:paraId="2762A902" w14:textId="65759AD6">
            <w:pPr>
              <w:keepNext/>
              <w:widowControl/>
              <w:jc w:val="center"/>
              <w:rPr>
                <w:rFonts w:ascii="Calibri" w:hAnsi="Calibri"/>
                <w:color w:val="000000"/>
              </w:rPr>
            </w:pPr>
            <w:r>
              <w:rPr>
                <w:rFonts w:ascii="Calibri" w:hAnsi="Calibri" w:cs="Calibri"/>
                <w:color w:val="000000"/>
              </w:rPr>
              <w:t xml:space="preserve">$807,978 </w:t>
            </w:r>
          </w:p>
        </w:tc>
        <w:tc>
          <w:tcPr>
            <w:tcW w:w="1409" w:type="dxa"/>
            <w:shd w:val="clear" w:color="auto" w:fill="auto"/>
            <w:vAlign w:val="center"/>
          </w:tcPr>
          <w:p w:rsidR="00A3656C" w:rsidRPr="002D3263" w:rsidP="00A3656C" w14:paraId="0EFA8234" w14:textId="6BC1F508">
            <w:pPr>
              <w:keepNext/>
              <w:widowControl/>
              <w:jc w:val="center"/>
              <w:rPr>
                <w:rFonts w:ascii="Calibri" w:hAnsi="Calibri"/>
                <w:color w:val="000000"/>
              </w:rPr>
            </w:pPr>
            <w:r>
              <w:rPr>
                <w:rFonts w:ascii="Calibri" w:hAnsi="Calibri" w:cs="Calibri"/>
                <w:color w:val="000000"/>
              </w:rPr>
              <w:t xml:space="preserve">$1,054,934 </w:t>
            </w:r>
          </w:p>
        </w:tc>
      </w:tr>
      <w:tr w14:paraId="4067EFEA" w14:textId="77777777" w:rsidTr="00B10E0C">
        <w:tblPrEx>
          <w:tblW w:w="8249" w:type="dxa"/>
          <w:jc w:val="center"/>
          <w:tblLayout w:type="fixed"/>
          <w:tblLook w:val="04A0"/>
        </w:tblPrEx>
        <w:trPr>
          <w:trHeight w:val="300"/>
          <w:jc w:val="center"/>
        </w:trPr>
        <w:tc>
          <w:tcPr>
            <w:tcW w:w="990" w:type="dxa"/>
            <w:shd w:val="clear" w:color="auto" w:fill="auto"/>
            <w:noWrap/>
            <w:vAlign w:val="center"/>
          </w:tcPr>
          <w:p w:rsidR="00A3656C" w:rsidRPr="002D3263" w:rsidP="00A3656C" w14:paraId="2F637A64" w14:textId="2E79962A">
            <w:pPr>
              <w:keepNext/>
              <w:widowControl/>
              <w:jc w:val="center"/>
              <w:rPr>
                <w:rFonts w:ascii="Calibri" w:hAnsi="Calibri"/>
                <w:color w:val="000000"/>
              </w:rPr>
            </w:pPr>
            <w:r w:rsidRPr="002D3263">
              <w:rPr>
                <w:rFonts w:ascii="Calibri" w:hAnsi="Calibri" w:cs="Calibri"/>
                <w:color w:val="000000"/>
              </w:rPr>
              <w:t>2029</w:t>
            </w:r>
          </w:p>
        </w:tc>
        <w:tc>
          <w:tcPr>
            <w:tcW w:w="2250" w:type="dxa"/>
            <w:shd w:val="clear" w:color="auto" w:fill="auto"/>
            <w:vAlign w:val="center"/>
          </w:tcPr>
          <w:p w:rsidR="00A3656C" w:rsidRPr="002D3263" w:rsidP="00A3656C" w14:paraId="165B1417" w14:textId="0AE22653">
            <w:pPr>
              <w:keepNext/>
              <w:widowControl/>
              <w:jc w:val="center"/>
              <w:rPr>
                <w:rFonts w:ascii="Calibri" w:hAnsi="Calibri"/>
                <w:color w:val="000000"/>
              </w:rPr>
            </w:pPr>
            <w:r>
              <w:rPr>
                <w:rFonts w:ascii="Calibri" w:hAnsi="Calibri" w:cs="Calibri"/>
                <w:color w:val="000000"/>
              </w:rPr>
              <w:t xml:space="preserve">$1,672,428 </w:t>
            </w:r>
          </w:p>
        </w:tc>
        <w:tc>
          <w:tcPr>
            <w:tcW w:w="2250" w:type="dxa"/>
            <w:shd w:val="clear" w:color="auto" w:fill="auto"/>
            <w:vAlign w:val="center"/>
          </w:tcPr>
          <w:p w:rsidR="00A3656C" w:rsidRPr="002D3263" w:rsidP="00A3656C" w14:paraId="3F1E6DF4" w14:textId="20E4FFB8">
            <w:pPr>
              <w:keepNext/>
              <w:widowControl/>
              <w:jc w:val="center"/>
              <w:rPr>
                <w:rFonts w:ascii="Calibri" w:hAnsi="Calibri"/>
                <w:color w:val="000000"/>
              </w:rPr>
            </w:pPr>
            <w:r>
              <w:rPr>
                <w:rFonts w:ascii="Calibri" w:hAnsi="Calibri" w:cs="Calibri"/>
                <w:color w:val="000000"/>
              </w:rPr>
              <w:t xml:space="preserve">$1,281,080 </w:t>
            </w:r>
          </w:p>
        </w:tc>
        <w:tc>
          <w:tcPr>
            <w:tcW w:w="1350" w:type="dxa"/>
            <w:shd w:val="clear" w:color="auto" w:fill="auto"/>
            <w:vAlign w:val="center"/>
          </w:tcPr>
          <w:p w:rsidR="00A3656C" w:rsidRPr="002D3263" w:rsidP="00A3656C" w14:paraId="0D6CFAF1" w14:textId="0C32E6DA">
            <w:pPr>
              <w:keepNext/>
              <w:widowControl/>
              <w:jc w:val="center"/>
              <w:rPr>
                <w:rFonts w:ascii="Calibri" w:hAnsi="Calibri"/>
                <w:color w:val="000000"/>
              </w:rPr>
            </w:pPr>
            <w:r>
              <w:rPr>
                <w:rFonts w:ascii="Calibri" w:hAnsi="Calibri" w:cs="Calibri"/>
                <w:color w:val="000000"/>
              </w:rPr>
              <w:t xml:space="preserve">$745,600 </w:t>
            </w:r>
          </w:p>
        </w:tc>
        <w:tc>
          <w:tcPr>
            <w:tcW w:w="1409" w:type="dxa"/>
            <w:shd w:val="clear" w:color="auto" w:fill="auto"/>
            <w:vAlign w:val="center"/>
          </w:tcPr>
          <w:p w:rsidR="00A3656C" w:rsidRPr="002D3263" w:rsidP="00A3656C" w14:paraId="28E3A61A" w14:textId="17CEE4BB">
            <w:pPr>
              <w:keepNext/>
              <w:widowControl/>
              <w:jc w:val="center"/>
              <w:rPr>
                <w:rFonts w:ascii="Calibri" w:hAnsi="Calibri"/>
                <w:color w:val="000000"/>
              </w:rPr>
            </w:pPr>
            <w:r>
              <w:rPr>
                <w:rFonts w:ascii="Calibri" w:hAnsi="Calibri" w:cs="Calibri"/>
                <w:color w:val="000000"/>
              </w:rPr>
              <w:t xml:space="preserve">$1,011,296 </w:t>
            </w:r>
          </w:p>
        </w:tc>
      </w:tr>
      <w:tr w14:paraId="1F3AB808" w14:textId="77777777" w:rsidTr="00B10E0C">
        <w:tblPrEx>
          <w:tblW w:w="8249" w:type="dxa"/>
          <w:jc w:val="center"/>
          <w:tblLayout w:type="fixed"/>
          <w:tblLook w:val="04A0"/>
        </w:tblPrEx>
        <w:trPr>
          <w:trHeight w:val="80"/>
          <w:jc w:val="center"/>
        </w:trPr>
        <w:tc>
          <w:tcPr>
            <w:tcW w:w="990" w:type="dxa"/>
            <w:shd w:val="clear" w:color="auto" w:fill="auto"/>
            <w:noWrap/>
            <w:vAlign w:val="center"/>
          </w:tcPr>
          <w:p w:rsidR="00A3656C" w:rsidRPr="002D3263" w:rsidP="00A3656C" w14:paraId="6E6BADE2" w14:textId="7DF69A11">
            <w:pPr>
              <w:keepNext/>
              <w:widowControl/>
              <w:jc w:val="center"/>
              <w:rPr>
                <w:rFonts w:ascii="Calibri" w:hAnsi="Calibri"/>
                <w:color w:val="000000"/>
              </w:rPr>
            </w:pPr>
            <w:r w:rsidRPr="002D3263">
              <w:rPr>
                <w:rFonts w:ascii="Calibri" w:hAnsi="Calibri" w:cs="Calibri"/>
                <w:color w:val="000000"/>
              </w:rPr>
              <w:t>2030</w:t>
            </w:r>
          </w:p>
        </w:tc>
        <w:tc>
          <w:tcPr>
            <w:tcW w:w="2250" w:type="dxa"/>
            <w:shd w:val="clear" w:color="auto" w:fill="auto"/>
            <w:vAlign w:val="center"/>
          </w:tcPr>
          <w:p w:rsidR="00A3656C" w:rsidRPr="002D3263" w:rsidP="00A3656C" w14:paraId="33FABB0D" w14:textId="7729A1DD">
            <w:pPr>
              <w:keepNext/>
              <w:widowControl/>
              <w:jc w:val="center"/>
              <w:rPr>
                <w:rFonts w:ascii="Calibri" w:hAnsi="Calibri"/>
                <w:color w:val="000000"/>
              </w:rPr>
            </w:pPr>
            <w:r>
              <w:rPr>
                <w:rFonts w:ascii="Calibri" w:hAnsi="Calibri" w:cs="Calibri"/>
                <w:color w:val="000000"/>
              </w:rPr>
              <w:t xml:space="preserve">$1,689,964 </w:t>
            </w:r>
          </w:p>
        </w:tc>
        <w:tc>
          <w:tcPr>
            <w:tcW w:w="2250" w:type="dxa"/>
            <w:shd w:val="clear" w:color="auto" w:fill="auto"/>
            <w:vAlign w:val="center"/>
          </w:tcPr>
          <w:p w:rsidR="00A3656C" w:rsidRPr="002D3263" w:rsidP="00A3656C" w14:paraId="34E6B69E" w14:textId="13338383">
            <w:pPr>
              <w:keepNext/>
              <w:widowControl/>
              <w:jc w:val="center"/>
              <w:rPr>
                <w:rFonts w:ascii="Calibri" w:hAnsi="Calibri"/>
                <w:color w:val="000000"/>
              </w:rPr>
            </w:pPr>
            <w:r>
              <w:rPr>
                <w:rFonts w:ascii="Calibri" w:hAnsi="Calibri" w:cs="Calibri"/>
                <w:color w:val="000000"/>
              </w:rPr>
              <w:t xml:space="preserve">$1,265,783 </w:t>
            </w:r>
          </w:p>
        </w:tc>
        <w:tc>
          <w:tcPr>
            <w:tcW w:w="1350" w:type="dxa"/>
            <w:shd w:val="clear" w:color="auto" w:fill="auto"/>
            <w:vAlign w:val="center"/>
          </w:tcPr>
          <w:p w:rsidR="00A3656C" w:rsidRPr="002D3263" w:rsidP="00A3656C" w14:paraId="11F89D86" w14:textId="3A49058B">
            <w:pPr>
              <w:keepNext/>
              <w:widowControl/>
              <w:jc w:val="center"/>
              <w:rPr>
                <w:rFonts w:ascii="Calibri" w:hAnsi="Calibri"/>
                <w:color w:val="000000"/>
              </w:rPr>
            </w:pPr>
            <w:r>
              <w:rPr>
                <w:rFonts w:ascii="Calibri" w:hAnsi="Calibri" w:cs="Calibri"/>
                <w:color w:val="000000"/>
              </w:rPr>
              <w:t xml:space="preserve">$688,502 </w:t>
            </w:r>
          </w:p>
        </w:tc>
        <w:tc>
          <w:tcPr>
            <w:tcW w:w="1409" w:type="dxa"/>
            <w:shd w:val="clear" w:color="auto" w:fill="auto"/>
            <w:vAlign w:val="center"/>
          </w:tcPr>
          <w:p w:rsidR="00A3656C" w:rsidRPr="002D3263" w:rsidP="00A3656C" w14:paraId="09BFD428" w14:textId="1E666DE1">
            <w:pPr>
              <w:keepNext/>
              <w:widowControl/>
              <w:jc w:val="center"/>
              <w:rPr>
                <w:rFonts w:ascii="Calibri" w:hAnsi="Calibri"/>
                <w:color w:val="000000"/>
              </w:rPr>
            </w:pPr>
            <w:r>
              <w:rPr>
                <w:rFonts w:ascii="Calibri" w:hAnsi="Calibri" w:cs="Calibri"/>
                <w:color w:val="000000"/>
              </w:rPr>
              <w:t xml:space="preserve">$970,118 </w:t>
            </w:r>
          </w:p>
        </w:tc>
      </w:tr>
      <w:tr w14:paraId="0EAAB29D" w14:textId="77777777" w:rsidTr="00B10E0C">
        <w:tblPrEx>
          <w:tblW w:w="8249" w:type="dxa"/>
          <w:jc w:val="center"/>
          <w:tblLayout w:type="fixed"/>
          <w:tblLook w:val="04A0"/>
        </w:tblPrEx>
        <w:trPr>
          <w:trHeight w:val="80"/>
          <w:jc w:val="center"/>
        </w:trPr>
        <w:tc>
          <w:tcPr>
            <w:tcW w:w="990" w:type="dxa"/>
            <w:shd w:val="clear" w:color="auto" w:fill="auto"/>
            <w:noWrap/>
            <w:vAlign w:val="center"/>
          </w:tcPr>
          <w:p w:rsidR="00A3656C" w:rsidRPr="002D3263" w:rsidP="00A3656C" w14:paraId="2AB2D8E9" w14:textId="3C9B9A9C">
            <w:pPr>
              <w:keepNext/>
              <w:widowControl/>
              <w:jc w:val="center"/>
              <w:rPr>
                <w:rFonts w:ascii="Calibri" w:hAnsi="Calibri"/>
                <w:color w:val="000000"/>
              </w:rPr>
            </w:pPr>
            <w:r w:rsidRPr="002D3263">
              <w:rPr>
                <w:rFonts w:ascii="Calibri" w:hAnsi="Calibri" w:cs="Calibri"/>
                <w:color w:val="000000"/>
              </w:rPr>
              <w:t>2031</w:t>
            </w:r>
          </w:p>
        </w:tc>
        <w:tc>
          <w:tcPr>
            <w:tcW w:w="2250" w:type="dxa"/>
            <w:shd w:val="clear" w:color="auto" w:fill="auto"/>
            <w:vAlign w:val="center"/>
          </w:tcPr>
          <w:p w:rsidR="00A3656C" w:rsidRPr="002D3263" w:rsidP="00A3656C" w14:paraId="2A38197E" w14:textId="5A92160C">
            <w:pPr>
              <w:keepNext/>
              <w:widowControl/>
              <w:jc w:val="center"/>
              <w:rPr>
                <w:rFonts w:ascii="Calibri" w:hAnsi="Calibri"/>
                <w:color w:val="000000"/>
              </w:rPr>
            </w:pPr>
            <w:r>
              <w:rPr>
                <w:rFonts w:ascii="Calibri" w:hAnsi="Calibri" w:cs="Calibri"/>
                <w:color w:val="000000"/>
              </w:rPr>
              <w:t xml:space="preserve">$1,920,454 </w:t>
            </w:r>
          </w:p>
        </w:tc>
        <w:tc>
          <w:tcPr>
            <w:tcW w:w="2250" w:type="dxa"/>
            <w:shd w:val="clear" w:color="auto" w:fill="auto"/>
            <w:vAlign w:val="center"/>
          </w:tcPr>
          <w:p w:rsidR="00A3656C" w:rsidRPr="002D3263" w:rsidP="00A3656C" w14:paraId="4536CF1D" w14:textId="3164A4E0">
            <w:pPr>
              <w:keepNext/>
              <w:widowControl/>
              <w:jc w:val="center"/>
              <w:rPr>
                <w:rFonts w:ascii="Calibri" w:hAnsi="Calibri"/>
                <w:color w:val="000000"/>
              </w:rPr>
            </w:pPr>
            <w:r>
              <w:rPr>
                <w:rFonts w:ascii="Calibri" w:hAnsi="Calibri" w:cs="Calibri"/>
                <w:color w:val="000000"/>
              </w:rPr>
              <w:t xml:space="preserve">$1,405,772 </w:t>
            </w:r>
          </w:p>
        </w:tc>
        <w:tc>
          <w:tcPr>
            <w:tcW w:w="1350" w:type="dxa"/>
            <w:shd w:val="clear" w:color="auto" w:fill="auto"/>
            <w:vAlign w:val="center"/>
          </w:tcPr>
          <w:p w:rsidR="00A3656C" w:rsidRPr="002D3263" w:rsidP="00A3656C" w14:paraId="62B46B4B" w14:textId="7D15E908">
            <w:pPr>
              <w:keepNext/>
              <w:widowControl/>
              <w:jc w:val="center"/>
              <w:rPr>
                <w:rFonts w:ascii="Calibri" w:hAnsi="Calibri"/>
                <w:color w:val="000000"/>
              </w:rPr>
            </w:pPr>
            <w:r>
              <w:rPr>
                <w:rFonts w:ascii="Calibri" w:hAnsi="Calibri" w:cs="Calibri"/>
                <w:color w:val="000000"/>
              </w:rPr>
              <w:t xml:space="preserve">$714,623 </w:t>
            </w:r>
          </w:p>
        </w:tc>
        <w:tc>
          <w:tcPr>
            <w:tcW w:w="1409" w:type="dxa"/>
            <w:shd w:val="clear" w:color="auto" w:fill="auto"/>
            <w:vAlign w:val="center"/>
          </w:tcPr>
          <w:p w:rsidR="00A3656C" w:rsidRPr="002D3263" w:rsidP="00A3656C" w14:paraId="3E84FB55" w14:textId="4C99D8EF">
            <w:pPr>
              <w:keepNext/>
              <w:widowControl/>
              <w:jc w:val="center"/>
              <w:rPr>
                <w:rFonts w:ascii="Calibri" w:hAnsi="Calibri"/>
                <w:color w:val="000000"/>
              </w:rPr>
            </w:pPr>
            <w:r>
              <w:rPr>
                <w:rFonts w:ascii="Calibri" w:hAnsi="Calibri" w:cs="Calibri"/>
                <w:color w:val="000000"/>
              </w:rPr>
              <w:t xml:space="preserve">$1,046,027 </w:t>
            </w:r>
          </w:p>
        </w:tc>
      </w:tr>
      <w:tr w14:paraId="1A126FD5" w14:textId="77777777" w:rsidTr="00B10E0C">
        <w:tblPrEx>
          <w:tblW w:w="8249" w:type="dxa"/>
          <w:jc w:val="center"/>
          <w:tblLayout w:type="fixed"/>
          <w:tblLook w:val="04A0"/>
        </w:tblPrEx>
        <w:trPr>
          <w:trHeight w:val="80"/>
          <w:jc w:val="center"/>
        </w:trPr>
        <w:tc>
          <w:tcPr>
            <w:tcW w:w="990" w:type="dxa"/>
            <w:shd w:val="clear" w:color="auto" w:fill="auto"/>
            <w:noWrap/>
            <w:vAlign w:val="center"/>
          </w:tcPr>
          <w:p w:rsidR="00A3656C" w:rsidRPr="002D3263" w:rsidP="00A3656C" w14:paraId="4592F67E" w14:textId="3BF5EC7A">
            <w:pPr>
              <w:keepNext/>
              <w:widowControl/>
              <w:jc w:val="center"/>
              <w:rPr>
                <w:rFonts w:ascii="Calibri" w:hAnsi="Calibri"/>
                <w:color w:val="000000"/>
              </w:rPr>
            </w:pPr>
            <w:r w:rsidRPr="002D3263">
              <w:rPr>
                <w:rFonts w:ascii="Calibri" w:hAnsi="Calibri" w:cs="Calibri"/>
                <w:color w:val="000000"/>
              </w:rPr>
              <w:t>2032</w:t>
            </w:r>
          </w:p>
        </w:tc>
        <w:tc>
          <w:tcPr>
            <w:tcW w:w="2250" w:type="dxa"/>
            <w:shd w:val="clear" w:color="auto" w:fill="auto"/>
            <w:vAlign w:val="center"/>
          </w:tcPr>
          <w:p w:rsidR="00A3656C" w:rsidRPr="002D3263" w:rsidP="00A3656C" w14:paraId="3207283A" w14:textId="45241A92">
            <w:pPr>
              <w:keepNext/>
              <w:widowControl/>
              <w:jc w:val="center"/>
              <w:rPr>
                <w:rFonts w:ascii="Calibri" w:hAnsi="Calibri"/>
                <w:color w:val="000000"/>
              </w:rPr>
            </w:pPr>
            <w:r>
              <w:rPr>
                <w:rFonts w:ascii="Calibri" w:hAnsi="Calibri" w:cs="Calibri"/>
                <w:color w:val="000000"/>
              </w:rPr>
              <w:t xml:space="preserve">$1,940,238 </w:t>
            </w:r>
          </w:p>
        </w:tc>
        <w:tc>
          <w:tcPr>
            <w:tcW w:w="2250" w:type="dxa"/>
            <w:shd w:val="clear" w:color="auto" w:fill="auto"/>
            <w:vAlign w:val="center"/>
          </w:tcPr>
          <w:p w:rsidR="00A3656C" w:rsidRPr="002D3263" w:rsidP="00A3656C" w14:paraId="579EF47D" w14:textId="151C3366">
            <w:pPr>
              <w:keepNext/>
              <w:widowControl/>
              <w:jc w:val="center"/>
              <w:rPr>
                <w:rFonts w:ascii="Calibri" w:hAnsi="Calibri"/>
                <w:color w:val="000000"/>
              </w:rPr>
            </w:pPr>
            <w:r>
              <w:rPr>
                <w:rFonts w:ascii="Calibri" w:hAnsi="Calibri" w:cs="Calibri"/>
                <w:color w:val="000000"/>
              </w:rPr>
              <w:t xml:space="preserve">$1,389,210 </w:t>
            </w:r>
          </w:p>
        </w:tc>
        <w:tc>
          <w:tcPr>
            <w:tcW w:w="1350" w:type="dxa"/>
            <w:shd w:val="clear" w:color="auto" w:fill="auto"/>
            <w:vAlign w:val="center"/>
          </w:tcPr>
          <w:p w:rsidR="00A3656C" w:rsidRPr="002D3263" w:rsidP="00A3656C" w14:paraId="08163AD4" w14:textId="75EC9A28">
            <w:pPr>
              <w:keepNext/>
              <w:widowControl/>
              <w:jc w:val="center"/>
              <w:rPr>
                <w:rFonts w:ascii="Calibri" w:hAnsi="Calibri"/>
                <w:color w:val="000000"/>
              </w:rPr>
            </w:pPr>
            <w:r>
              <w:rPr>
                <w:rFonts w:ascii="Calibri" w:hAnsi="Calibri" w:cs="Calibri"/>
                <w:color w:val="000000"/>
              </w:rPr>
              <w:t xml:space="preserve">$660,004 </w:t>
            </w:r>
          </w:p>
        </w:tc>
        <w:tc>
          <w:tcPr>
            <w:tcW w:w="1409" w:type="dxa"/>
            <w:shd w:val="clear" w:color="auto" w:fill="auto"/>
            <w:vAlign w:val="center"/>
          </w:tcPr>
          <w:p w:rsidR="00A3656C" w:rsidRPr="002D3263" w:rsidP="00A3656C" w14:paraId="57DB7B34" w14:textId="10E2E306">
            <w:pPr>
              <w:keepNext/>
              <w:widowControl/>
              <w:jc w:val="center"/>
              <w:rPr>
                <w:rFonts w:ascii="Calibri" w:hAnsi="Calibri"/>
                <w:color w:val="000000"/>
              </w:rPr>
            </w:pPr>
            <w:r>
              <w:rPr>
                <w:rFonts w:ascii="Calibri" w:hAnsi="Calibri" w:cs="Calibri"/>
                <w:color w:val="000000"/>
              </w:rPr>
              <w:t xml:space="preserve">$1,003,595 </w:t>
            </w:r>
          </w:p>
        </w:tc>
      </w:tr>
      <w:tr w14:paraId="59780951" w14:textId="77777777" w:rsidTr="00B10E0C">
        <w:tblPrEx>
          <w:tblW w:w="8249" w:type="dxa"/>
          <w:jc w:val="center"/>
          <w:tblLayout w:type="fixed"/>
          <w:tblLook w:val="04A0"/>
        </w:tblPrEx>
        <w:trPr>
          <w:trHeight w:val="300"/>
          <w:jc w:val="center"/>
        </w:trPr>
        <w:tc>
          <w:tcPr>
            <w:tcW w:w="990" w:type="dxa"/>
            <w:tcBorders>
              <w:bottom w:val="single" w:sz="12" w:space="0" w:color="auto"/>
            </w:tcBorders>
            <w:shd w:val="clear" w:color="auto" w:fill="auto"/>
            <w:noWrap/>
            <w:vAlign w:val="center"/>
          </w:tcPr>
          <w:p w:rsidR="00A3656C" w:rsidRPr="002D3263" w:rsidP="00A3656C" w14:paraId="5058EE1C" w14:textId="0DAE2102">
            <w:pPr>
              <w:widowControl/>
              <w:jc w:val="center"/>
              <w:rPr>
                <w:b/>
              </w:rPr>
            </w:pPr>
            <w:r w:rsidRPr="002D3263">
              <w:rPr>
                <w:rFonts w:ascii="Calibri" w:hAnsi="Calibri" w:cs="Calibri"/>
                <w:b/>
                <w:bCs/>
                <w:color w:val="000000"/>
              </w:rPr>
              <w:t>Total*</w:t>
            </w:r>
          </w:p>
        </w:tc>
        <w:tc>
          <w:tcPr>
            <w:tcW w:w="2250" w:type="dxa"/>
            <w:tcBorders>
              <w:bottom w:val="single" w:sz="12" w:space="0" w:color="auto"/>
            </w:tcBorders>
            <w:shd w:val="clear" w:color="auto" w:fill="auto"/>
            <w:noWrap/>
            <w:vAlign w:val="center"/>
          </w:tcPr>
          <w:p w:rsidR="00A3656C" w:rsidRPr="002D3263" w:rsidP="00A3656C" w14:paraId="7EB376B1" w14:textId="6B2C25A2">
            <w:pPr>
              <w:widowControl/>
              <w:jc w:val="center"/>
              <w:rPr>
                <w:rFonts w:ascii="Calibri" w:hAnsi="Calibri"/>
                <w:b/>
                <w:color w:val="000000"/>
              </w:rPr>
            </w:pPr>
            <w:r>
              <w:rPr>
                <w:rFonts w:ascii="Calibri" w:hAnsi="Calibri" w:cs="Calibri"/>
                <w:b/>
                <w:bCs/>
                <w:color w:val="000000"/>
              </w:rPr>
              <w:t xml:space="preserve">$15,815,764 </w:t>
            </w:r>
          </w:p>
        </w:tc>
        <w:tc>
          <w:tcPr>
            <w:tcW w:w="2250" w:type="dxa"/>
            <w:tcBorders>
              <w:bottom w:val="single" w:sz="12" w:space="0" w:color="auto"/>
            </w:tcBorders>
            <w:shd w:val="clear" w:color="auto" w:fill="auto"/>
            <w:noWrap/>
            <w:vAlign w:val="center"/>
          </w:tcPr>
          <w:p w:rsidR="00A3656C" w:rsidRPr="002D3263" w:rsidP="00A3656C" w14:paraId="45DD724A" w14:textId="17ACAA7F">
            <w:pPr>
              <w:widowControl/>
              <w:jc w:val="center"/>
              <w:rPr>
                <w:rFonts w:ascii="Calibri" w:hAnsi="Calibri"/>
                <w:b/>
                <w:color w:val="000000"/>
              </w:rPr>
            </w:pPr>
            <w:r>
              <w:rPr>
                <w:rFonts w:ascii="Calibri" w:hAnsi="Calibri" w:cs="Calibri"/>
                <w:b/>
                <w:bCs/>
                <w:color w:val="000000"/>
              </w:rPr>
              <w:t xml:space="preserve">$12,456,089 </w:t>
            </w:r>
          </w:p>
        </w:tc>
        <w:tc>
          <w:tcPr>
            <w:tcW w:w="1350" w:type="dxa"/>
            <w:tcBorders>
              <w:bottom w:val="single" w:sz="12" w:space="0" w:color="auto"/>
            </w:tcBorders>
            <w:shd w:val="clear" w:color="auto" w:fill="auto"/>
            <w:noWrap/>
            <w:vAlign w:val="center"/>
          </w:tcPr>
          <w:p w:rsidR="00A3656C" w:rsidRPr="002D3263" w:rsidP="00A3656C" w14:paraId="5B7662D0" w14:textId="56157A51">
            <w:pPr>
              <w:widowControl/>
              <w:jc w:val="center"/>
              <w:rPr>
                <w:rFonts w:ascii="Calibri" w:hAnsi="Calibri"/>
                <w:b/>
                <w:color w:val="000000"/>
              </w:rPr>
            </w:pPr>
            <w:r>
              <w:rPr>
                <w:rFonts w:ascii="Calibri" w:hAnsi="Calibri" w:cs="Calibri"/>
                <w:b/>
                <w:bCs/>
                <w:color w:val="000000"/>
              </w:rPr>
              <w:t xml:space="preserve">$8,072,686 </w:t>
            </w:r>
          </w:p>
        </w:tc>
        <w:tc>
          <w:tcPr>
            <w:tcW w:w="1409" w:type="dxa"/>
            <w:tcBorders>
              <w:bottom w:val="single" w:sz="12" w:space="0" w:color="auto"/>
            </w:tcBorders>
            <w:shd w:val="clear" w:color="auto" w:fill="auto"/>
            <w:noWrap/>
            <w:vAlign w:val="center"/>
          </w:tcPr>
          <w:p w:rsidR="00A3656C" w:rsidRPr="002D3263" w:rsidP="00A3656C" w14:paraId="67B9AEE9" w14:textId="11024767">
            <w:pPr>
              <w:widowControl/>
              <w:jc w:val="center"/>
              <w:rPr>
                <w:rFonts w:ascii="Calibri" w:hAnsi="Calibri"/>
                <w:b/>
                <w:color w:val="000000"/>
              </w:rPr>
            </w:pPr>
            <w:r>
              <w:rPr>
                <w:rFonts w:ascii="Calibri" w:hAnsi="Calibri" w:cs="Calibri"/>
                <w:b/>
                <w:bCs/>
                <w:color w:val="000000"/>
              </w:rPr>
              <w:t xml:space="preserve">$10,257,668 </w:t>
            </w:r>
          </w:p>
        </w:tc>
      </w:tr>
      <w:tr w14:paraId="41EFAA96" w14:textId="77777777" w:rsidTr="008A4DC9">
        <w:tblPrEx>
          <w:tblW w:w="8249" w:type="dxa"/>
          <w:jc w:val="center"/>
          <w:tblLayout w:type="fixed"/>
          <w:tblLook w:val="04A0"/>
        </w:tblPrEx>
        <w:trPr>
          <w:trHeight w:val="300"/>
          <w:jc w:val="center"/>
        </w:trPr>
        <w:tc>
          <w:tcPr>
            <w:tcW w:w="8249" w:type="dxa"/>
            <w:gridSpan w:val="5"/>
            <w:tcBorders>
              <w:top w:val="single" w:sz="12" w:space="0" w:color="auto"/>
            </w:tcBorders>
            <w:shd w:val="clear" w:color="auto" w:fill="auto"/>
            <w:noWrap/>
            <w:vAlign w:val="bottom"/>
          </w:tcPr>
          <w:p w:rsidR="00973CCE" w:rsidP="00EF4CBB" w14:paraId="40AEFC0D" w14:textId="77777777">
            <w:pPr>
              <w:widowControl/>
              <w:rPr>
                <w:rFonts w:ascii="Calibri" w:hAnsi="Calibri"/>
                <w:color w:val="000000"/>
              </w:rPr>
            </w:pPr>
            <w:r w:rsidRPr="002D3263">
              <w:rPr>
                <w:rFonts w:ascii="Calibri" w:hAnsi="Calibri"/>
                <w:color w:val="000000"/>
              </w:rPr>
              <w:t>*Totals may not match sums due to rounding</w:t>
            </w:r>
          </w:p>
          <w:p w:rsidR="00300607" w:rsidRPr="002D3263" w:rsidP="00EF4CBB" w14:paraId="6D0A5F1C" w14:textId="5E140274">
            <w:pPr>
              <w:widowControl/>
              <w:rPr>
                <w:rFonts w:ascii="Calibri" w:hAnsi="Calibri"/>
                <w:b/>
                <w:color w:val="000000"/>
              </w:rPr>
            </w:pPr>
          </w:p>
        </w:tc>
      </w:tr>
    </w:tbl>
    <w:p w:rsidR="00DA20C7" w:rsidRPr="002D3263" w:rsidP="00C53C33" w14:paraId="3EF924DD" w14:textId="77777777">
      <w:pPr>
        <w:pStyle w:val="Heading2"/>
      </w:pPr>
      <w:bookmarkStart w:id="116" w:name="_Toc68008796"/>
      <w:bookmarkStart w:id="117" w:name="_Toc68008962"/>
      <w:bookmarkStart w:id="118" w:name="_Toc127438044"/>
      <w:bookmarkEnd w:id="116"/>
      <w:bookmarkEnd w:id="117"/>
      <w:r w:rsidRPr="002D3263">
        <w:t>Re-establishment expenses</w:t>
      </w:r>
      <w:bookmarkEnd w:id="118"/>
    </w:p>
    <w:p w:rsidR="004F3B9A" w:rsidRPr="002D3263" w:rsidP="00E85518" w14:paraId="7708132A" w14:textId="1C01A136">
      <w:pPr>
        <w:widowControl/>
        <w:spacing w:after="240"/>
      </w:pPr>
      <w:r w:rsidRPr="002D3263">
        <w:t xml:space="preserve">The current rule at </w:t>
      </w:r>
      <w:r w:rsidRPr="002D3263" w:rsidR="004E28AD">
        <w:t>Section</w:t>
      </w:r>
      <w:r w:rsidRPr="002D3263" w:rsidR="00B02C1E">
        <w:t xml:space="preserve"> </w:t>
      </w:r>
      <w:r w:rsidRPr="002D3263">
        <w:t xml:space="preserve">24.304 allows </w:t>
      </w:r>
      <w:r w:rsidRPr="002D3263" w:rsidR="00173A04">
        <w:t xml:space="preserve">certain </w:t>
      </w:r>
      <w:r w:rsidRPr="002D3263" w:rsidR="00305D57">
        <w:t>non-residential</w:t>
      </w:r>
      <w:r w:rsidRPr="002D3263" w:rsidR="002A616F">
        <w:t xml:space="preserve"> displaced persons</w:t>
      </w:r>
      <w:r w:rsidRPr="002D3263">
        <w:t xml:space="preserve"> to receive a payment not to exceed $10,000 for </w:t>
      </w:r>
      <w:r w:rsidRPr="002D3263" w:rsidR="007F70F5">
        <w:t xml:space="preserve">actual </w:t>
      </w:r>
      <w:r w:rsidRPr="002D3263" w:rsidR="00D21D85">
        <w:t>expenses</w:t>
      </w:r>
      <w:r w:rsidRPr="002D3263">
        <w:t xml:space="preserve"> </w:t>
      </w:r>
      <w:r w:rsidRPr="002D3263" w:rsidR="00395EF9">
        <w:t xml:space="preserve">incurred </w:t>
      </w:r>
      <w:r w:rsidRPr="002D3263" w:rsidR="002A616F">
        <w:t>when</w:t>
      </w:r>
      <w:r w:rsidRPr="002D3263" w:rsidR="00395EF9">
        <w:t xml:space="preserve"> </w:t>
      </w:r>
      <w:r w:rsidRPr="002D3263">
        <w:t>relocating and re</w:t>
      </w:r>
      <w:r w:rsidR="00732A88">
        <w:t>-</w:t>
      </w:r>
      <w:r w:rsidRPr="002D3263">
        <w:t>establishing</w:t>
      </w:r>
      <w:r w:rsidRPr="002D3263" w:rsidR="00173A04">
        <w:t xml:space="preserve"> at the replacement site</w:t>
      </w:r>
      <w:r w:rsidRPr="002D3263">
        <w:t>.</w:t>
      </w:r>
      <w:r w:rsidR="00B210CA">
        <w:t xml:space="preserve"> </w:t>
      </w:r>
      <w:r w:rsidRPr="002D3263">
        <w:t xml:space="preserve"> </w:t>
      </w:r>
      <w:r w:rsidRPr="002D3263" w:rsidR="003E43A7">
        <w:t>Eligible re</w:t>
      </w:r>
      <w:r w:rsidR="00732A88">
        <w:t>-</w:t>
      </w:r>
      <w:r w:rsidRPr="002D3263" w:rsidR="003E43A7">
        <w:t>establishment</w:t>
      </w:r>
      <w:r w:rsidRPr="002D3263" w:rsidR="00B3694C">
        <w:t xml:space="preserve"> </w:t>
      </w:r>
      <w:r w:rsidRPr="002D3263" w:rsidR="00173A04">
        <w:t>expenses</w:t>
      </w:r>
      <w:r w:rsidRPr="002D3263" w:rsidR="003E43A7">
        <w:t xml:space="preserve"> may include the addition of facilities such as bathrooms,</w:t>
      </w:r>
      <w:r w:rsidRPr="002D3263" w:rsidR="00173A04">
        <w:t xml:space="preserve"> handicapped accessibility features, </w:t>
      </w:r>
      <w:r w:rsidRPr="002D3263" w:rsidR="003E43A7">
        <w:t>room partitions, built-in display cases</w:t>
      </w:r>
      <w:r w:rsidRPr="002D3263" w:rsidR="002A616F">
        <w:t xml:space="preserve"> </w:t>
      </w:r>
      <w:r w:rsidRPr="002D3263" w:rsidR="00173A04">
        <w:t>or</w:t>
      </w:r>
      <w:r w:rsidRPr="002D3263" w:rsidR="003E43A7">
        <w:t xml:space="preserve"> similar items if required by </w:t>
      </w:r>
      <w:r w:rsidRPr="002D3263" w:rsidR="00111308">
        <w:t>Federal</w:t>
      </w:r>
      <w:r w:rsidRPr="002D3263" w:rsidR="003E43A7">
        <w:t xml:space="preserve">, </w:t>
      </w:r>
      <w:r w:rsidRPr="002D3263" w:rsidR="00682BBD">
        <w:t>S</w:t>
      </w:r>
      <w:r w:rsidRPr="002D3263" w:rsidR="003E43A7">
        <w:t>tate</w:t>
      </w:r>
      <w:r w:rsidRPr="002D3263" w:rsidR="003E43A7">
        <w:t xml:space="preserve"> or local codes, ordinances, or simply considered reasonable and necessary for the operation of the business. </w:t>
      </w:r>
      <w:r w:rsidR="00B210CA">
        <w:t xml:space="preserve"> </w:t>
      </w:r>
      <w:r w:rsidRPr="002D3263">
        <w:t xml:space="preserve">The </w:t>
      </w:r>
      <w:r w:rsidRPr="002D3263" w:rsidR="0035027D">
        <w:t>final</w:t>
      </w:r>
      <w:r w:rsidRPr="002D3263">
        <w:t xml:space="preserve"> rule raises t</w:t>
      </w:r>
      <w:r w:rsidRPr="002D3263" w:rsidR="000F76CC">
        <w:t>he maximum reimbursement for re</w:t>
      </w:r>
      <w:r w:rsidR="00732A88">
        <w:t>-</w:t>
      </w:r>
      <w:r w:rsidRPr="002D3263">
        <w:t>establishment</w:t>
      </w:r>
      <w:r w:rsidR="00E07AAD">
        <w:t xml:space="preserve"> from its pre-MAP-21 limit of $10,000</w:t>
      </w:r>
      <w:r w:rsidRPr="002D3263" w:rsidR="00173A04">
        <w:t xml:space="preserve"> </w:t>
      </w:r>
      <w:r w:rsidR="00E07AAD">
        <w:t xml:space="preserve">for eligible </w:t>
      </w:r>
      <w:r w:rsidRPr="002D3263" w:rsidR="00173A04">
        <w:t>expenses</w:t>
      </w:r>
      <w:r w:rsidRPr="002D3263">
        <w:t xml:space="preserve"> to </w:t>
      </w:r>
      <w:r w:rsidR="00E07AAD">
        <w:t xml:space="preserve">an inflation adjusted amount of </w:t>
      </w:r>
      <w:r w:rsidRPr="002D3263">
        <w:t>$</w:t>
      </w:r>
      <w:r w:rsidR="00EB690F">
        <w:t>33,200</w:t>
      </w:r>
      <w:r w:rsidRPr="002D3263">
        <w:t>, a difference of $</w:t>
      </w:r>
      <w:r w:rsidR="00EB690F">
        <w:t>23,200</w:t>
      </w:r>
      <w:r w:rsidRPr="002D3263">
        <w:t xml:space="preserve">. </w:t>
      </w:r>
      <w:r w:rsidR="00B210CA">
        <w:t xml:space="preserve"> </w:t>
      </w:r>
      <w:r w:rsidRPr="002D3263">
        <w:t xml:space="preserve">The </w:t>
      </w:r>
      <w:r w:rsidRPr="002D3263" w:rsidR="0035027D">
        <w:t>final</w:t>
      </w:r>
      <w:r w:rsidRPr="002D3263">
        <w:t xml:space="preserve"> rule </w:t>
      </w:r>
      <w:r w:rsidRPr="002D3263" w:rsidR="00F72506">
        <w:t>allows for the maximum amount to be adjusted</w:t>
      </w:r>
      <w:r w:rsidRPr="002D3263" w:rsidR="00EF7C44">
        <w:t xml:space="preserve"> </w:t>
      </w:r>
      <w:r w:rsidR="00E07AAD">
        <w:t xml:space="preserve">in the future </w:t>
      </w:r>
      <w:r w:rsidRPr="002D3263" w:rsidR="00EF7C44">
        <w:t>for inflation or other factors</w:t>
      </w:r>
      <w:r w:rsidRPr="002D3263" w:rsidR="00F72506">
        <w:t>.</w:t>
      </w:r>
    </w:p>
    <w:p w:rsidR="008543FE" w:rsidRPr="002D3263" w:rsidP="00EF4CBB" w14:paraId="0BD42D25" w14:textId="77777777">
      <w:pPr>
        <w:pStyle w:val="Heading3"/>
        <w:widowControl/>
      </w:pPr>
      <w:bookmarkStart w:id="119" w:name="_Toc127438045"/>
      <w:r w:rsidRPr="002D3263">
        <w:t>Benefits</w:t>
      </w:r>
      <w:bookmarkEnd w:id="119"/>
    </w:p>
    <w:p w:rsidR="004109EA" w:rsidRPr="002D3263" w:rsidP="00E85518" w14:paraId="65D493B8" w14:textId="06823996">
      <w:pPr>
        <w:widowControl/>
        <w:spacing w:after="240"/>
      </w:pPr>
      <w:r w:rsidRPr="002D3263">
        <w:t>The goal of increasing the limit for reimbursement of re</w:t>
      </w:r>
      <w:r w:rsidR="00732A88">
        <w:t>-</w:t>
      </w:r>
      <w:r w:rsidRPr="002D3263">
        <w:t xml:space="preserve">establishment </w:t>
      </w:r>
      <w:r w:rsidRPr="002D3263" w:rsidR="00173A04">
        <w:t xml:space="preserve">expenses </w:t>
      </w:r>
      <w:r w:rsidRPr="002D3263">
        <w:t>to $</w:t>
      </w:r>
      <w:r w:rsidR="00EB690F">
        <w:t>33,200</w:t>
      </w:r>
      <w:r w:rsidRPr="002D3263">
        <w:t xml:space="preserve"> is to</w:t>
      </w:r>
      <w:r w:rsidRPr="002D3263" w:rsidR="000F76CC">
        <w:t xml:space="preserve"> </w:t>
      </w:r>
      <w:r w:rsidRPr="002D3263" w:rsidR="000F76CC">
        <w:t xml:space="preserve">more fairly </w:t>
      </w:r>
      <w:r w:rsidRPr="002D3263" w:rsidR="00B93E8A">
        <w:t xml:space="preserve">reimburse </w:t>
      </w:r>
      <w:r w:rsidRPr="002D3263" w:rsidR="000F76CC">
        <w:t>re</w:t>
      </w:r>
      <w:r w:rsidR="00732A88">
        <w:t>-</w:t>
      </w:r>
      <w:r w:rsidRPr="002D3263">
        <w:t>establishment costs</w:t>
      </w:r>
      <w:r w:rsidRPr="002D3263">
        <w:t xml:space="preserve">. </w:t>
      </w:r>
      <w:r w:rsidR="00B210CA">
        <w:t xml:space="preserve"> </w:t>
      </w:r>
      <w:r w:rsidRPr="002D3263" w:rsidR="003E43A7">
        <w:t xml:space="preserve">The </w:t>
      </w:r>
      <w:r w:rsidRPr="002D3263" w:rsidR="003E43A7">
        <w:rPr>
          <w:i/>
        </w:rPr>
        <w:t>BRARS</w:t>
      </w:r>
      <w:r w:rsidRPr="002D3263" w:rsidR="003E43A7">
        <w:t xml:space="preserve"> finds that during the 2006 to 2010 timeframe 70 percent of businesses that claim a re</w:t>
      </w:r>
      <w:r w:rsidR="00732A88">
        <w:t>-</w:t>
      </w:r>
      <w:r w:rsidRPr="002D3263" w:rsidR="003E43A7">
        <w:t xml:space="preserve">establishment payment claim the maximum amount which strongly suggests that currently </w:t>
      </w:r>
      <w:r w:rsidRPr="002D3263" w:rsidR="00305D57">
        <w:t>non-residential</w:t>
      </w:r>
      <w:r w:rsidRPr="002D3263" w:rsidR="00173A04">
        <w:t xml:space="preserve"> displaced </w:t>
      </w:r>
      <w:r w:rsidRPr="002D3263" w:rsidR="002A616F">
        <w:t>persons</w:t>
      </w:r>
      <w:r w:rsidRPr="002D3263" w:rsidR="003E43A7">
        <w:t xml:space="preserve"> are not being compensated for the costs they incur due to the displacement. </w:t>
      </w:r>
      <w:r w:rsidR="00B210CA">
        <w:t xml:space="preserve"> </w:t>
      </w:r>
      <w:r w:rsidRPr="002D3263" w:rsidR="003E43A7">
        <w:t xml:space="preserve">The benefit of the </w:t>
      </w:r>
      <w:r w:rsidRPr="002D3263" w:rsidR="0035027D">
        <w:t>final</w:t>
      </w:r>
      <w:r w:rsidRPr="002D3263" w:rsidR="003E43A7">
        <w:t xml:space="preserve"> rule is to </w:t>
      </w:r>
      <w:r w:rsidRPr="002D3263" w:rsidR="003E43A7">
        <w:t xml:space="preserve">more fairly and equitably compensate </w:t>
      </w:r>
      <w:r w:rsidRPr="002D3263" w:rsidR="00305D57">
        <w:t>non-residential</w:t>
      </w:r>
      <w:r w:rsidRPr="002D3263" w:rsidR="00CA3F3F">
        <w:t xml:space="preserve"> displaced persons</w:t>
      </w:r>
      <w:r w:rsidRPr="002D3263" w:rsidR="00CA3F3F">
        <w:t xml:space="preserve"> </w:t>
      </w:r>
      <w:r w:rsidRPr="002D3263" w:rsidR="00F15C29">
        <w:t xml:space="preserve">and to </w:t>
      </w:r>
      <w:r w:rsidRPr="002D3263">
        <w:t>also</w:t>
      </w:r>
      <w:r w:rsidRPr="002D3263" w:rsidR="00CA3F3F">
        <w:t xml:space="preserve"> facilitate </w:t>
      </w:r>
      <w:r w:rsidRPr="002D3263" w:rsidR="001F4034">
        <w:t xml:space="preserve">their </w:t>
      </w:r>
      <w:r w:rsidRPr="002D3263" w:rsidR="00CA3F3F">
        <w:t xml:space="preserve">successful </w:t>
      </w:r>
      <w:r w:rsidRPr="002D3263" w:rsidR="001F4034">
        <w:t xml:space="preserve">relocation and </w:t>
      </w:r>
      <w:r w:rsidRPr="002D3263" w:rsidR="00CA3F3F">
        <w:t>re</w:t>
      </w:r>
      <w:r w:rsidR="00732A88">
        <w:t>-</w:t>
      </w:r>
      <w:r w:rsidRPr="002D3263" w:rsidR="00CA3F3F">
        <w:t>establishment</w:t>
      </w:r>
      <w:r w:rsidRPr="002D3263">
        <w:t xml:space="preserve">. </w:t>
      </w:r>
      <w:r w:rsidR="00B210CA">
        <w:t xml:space="preserve"> </w:t>
      </w:r>
      <w:r w:rsidRPr="002D3263">
        <w:t xml:space="preserve">Under the new rule, </w:t>
      </w:r>
      <w:r w:rsidRPr="002D3263" w:rsidR="00305D57">
        <w:t>non-residential</w:t>
      </w:r>
      <w:r w:rsidRPr="002D3263" w:rsidR="00B3694C">
        <w:t xml:space="preserve"> displaced persons </w:t>
      </w:r>
      <w:r w:rsidRPr="002D3263" w:rsidR="00D2312D">
        <w:t xml:space="preserve">will </w:t>
      </w:r>
      <w:r w:rsidRPr="002D3263">
        <w:t>be reimbursed for</w:t>
      </w:r>
      <w:r w:rsidRPr="002D3263" w:rsidR="00B3694C">
        <w:t xml:space="preserve"> more of the</w:t>
      </w:r>
      <w:r w:rsidRPr="002D3263">
        <w:t xml:space="preserve"> expenses that they either currently absorb or perhaps choose not to incur.</w:t>
      </w:r>
    </w:p>
    <w:p w:rsidR="008543FE" w:rsidRPr="002D3263" w:rsidP="00BC5A99" w14:paraId="2733EB49" w14:textId="77777777">
      <w:pPr>
        <w:pStyle w:val="Heading3"/>
        <w:keepNext/>
        <w:widowControl/>
      </w:pPr>
      <w:bookmarkStart w:id="120" w:name="_Toc127438046"/>
      <w:r w:rsidRPr="002D3263">
        <w:t>Transfers (Increased Program Expenditures)</w:t>
      </w:r>
      <w:bookmarkEnd w:id="120"/>
    </w:p>
    <w:p w:rsidR="00615DE6" w:rsidRPr="002D3263" w:rsidP="00EF4CBB" w14:paraId="0DD62983" w14:textId="59F614F1">
      <w:pPr>
        <w:pStyle w:val="Body"/>
        <w:widowControl/>
        <w:rPr>
          <w:rStyle w:val="Emphasis"/>
          <w:i w:val="0"/>
        </w:rPr>
      </w:pPr>
      <w:r w:rsidRPr="002D3263">
        <w:t>Because the payment</w:t>
      </w:r>
      <w:r w:rsidRPr="002D3263" w:rsidR="00B3694C">
        <w:t xml:space="preserve"> of re</w:t>
      </w:r>
      <w:r w:rsidR="00732A88">
        <w:t>-</w:t>
      </w:r>
      <w:r w:rsidRPr="002D3263" w:rsidR="00B3694C">
        <w:t>establishment expenses</w:t>
      </w:r>
      <w:r w:rsidRPr="002D3263">
        <w:t xml:space="preserve"> is a reimbursement, the resulting increase in payments </w:t>
      </w:r>
      <w:r w:rsidRPr="002D3263" w:rsidR="00E718F7">
        <w:t>is</w:t>
      </w:r>
      <w:r w:rsidRPr="002D3263">
        <w:t xml:space="preserve"> not a social cost, but rather a transfer. </w:t>
      </w:r>
    </w:p>
    <w:p w:rsidR="00273380" w:rsidRPr="002D3263" w:rsidP="00EF4CBB" w14:paraId="6C033FD5" w14:textId="7FCF36CB">
      <w:pPr>
        <w:pStyle w:val="Body"/>
        <w:widowControl/>
      </w:pPr>
      <w:r w:rsidRPr="002D3263">
        <w:t xml:space="preserve">The </w:t>
      </w:r>
      <w:r w:rsidRPr="002D3263">
        <w:rPr>
          <w:i/>
        </w:rPr>
        <w:t>BRARS</w:t>
      </w:r>
      <w:r w:rsidRPr="002D3263">
        <w:t xml:space="preserve"> finds that </w:t>
      </w:r>
      <w:r w:rsidRPr="002D3263" w:rsidR="000F76CC">
        <w:t>13</w:t>
      </w:r>
      <w:r w:rsidRPr="002D3263" w:rsidR="00F72506">
        <w:t xml:space="preserve"> </w:t>
      </w:r>
      <w:r w:rsidRPr="002D3263" w:rsidR="00682BBD">
        <w:t>S</w:t>
      </w:r>
      <w:r w:rsidRPr="002D3263" w:rsidR="00F72506">
        <w:t>tates have already enacted legislation that increase</w:t>
      </w:r>
      <w:r w:rsidRPr="002D3263" w:rsidR="00615DE6">
        <w:t>s</w:t>
      </w:r>
      <w:r w:rsidRPr="002D3263" w:rsidR="00F72506">
        <w:t xml:space="preserve"> the limit of this payment above the Uniform Act current</w:t>
      </w:r>
      <w:r w:rsidR="00E07AAD">
        <w:t xml:space="preserve"> pre-MAP-21</w:t>
      </w:r>
      <w:r w:rsidRPr="002D3263" w:rsidR="00F72506">
        <w:t xml:space="preserve"> maximum</w:t>
      </w:r>
      <w:r w:rsidRPr="002D3263" w:rsidR="00615DE6">
        <w:t xml:space="preserve"> of $10,000</w:t>
      </w:r>
      <w:r w:rsidRPr="002D3263" w:rsidR="00B02C1E">
        <w:t>,</w:t>
      </w:r>
      <w:r w:rsidRPr="002D3263" w:rsidR="00615DE6">
        <w:t xml:space="preserve"> and </w:t>
      </w:r>
      <w:r w:rsidRPr="002D3263" w:rsidR="000F76CC">
        <w:t xml:space="preserve">that </w:t>
      </w:r>
      <w:r w:rsidRPr="002D3263" w:rsidR="00615DE6">
        <w:t>1</w:t>
      </w:r>
      <w:r w:rsidR="00A638C5">
        <w:t>0</w:t>
      </w:r>
      <w:r w:rsidRPr="002D3263" w:rsidR="00615DE6">
        <w:t xml:space="preserve"> of those </w:t>
      </w:r>
      <w:r w:rsidRPr="002D3263" w:rsidR="00682BBD">
        <w:t>S</w:t>
      </w:r>
      <w:r w:rsidRPr="002D3263" w:rsidR="00615DE6">
        <w:t xml:space="preserve">tates have either set the limit close to or higher than the new </w:t>
      </w:r>
      <w:r w:rsidR="00E07AAD">
        <w:t xml:space="preserve">final rule </w:t>
      </w:r>
      <w:r w:rsidRPr="002D3263" w:rsidR="00615DE6">
        <w:t>maximum, or</w:t>
      </w:r>
      <w:r w:rsidRPr="002D3263" w:rsidR="00615DE6">
        <w:t xml:space="preserve"> have imposed no maximum at all (page</w:t>
      </w:r>
      <w:r w:rsidRPr="002D3263" w:rsidR="003361C6">
        <w:t>s</w:t>
      </w:r>
      <w:r w:rsidRPr="002D3263" w:rsidR="00615DE6">
        <w:t xml:space="preserve"> 11-</w:t>
      </w:r>
      <w:r w:rsidRPr="002D3263">
        <w:t>14)</w:t>
      </w:r>
      <w:r w:rsidRPr="002D3263" w:rsidR="00615DE6">
        <w:t>.</w:t>
      </w:r>
      <w:r w:rsidR="00B210CA">
        <w:t xml:space="preserve"> </w:t>
      </w:r>
      <w:r w:rsidRPr="002D3263" w:rsidR="004410C8">
        <w:t xml:space="preserve"> </w:t>
      </w:r>
      <w:r w:rsidRPr="002D3263" w:rsidR="00615DE6">
        <w:t xml:space="preserve">We therefore expect that the </w:t>
      </w:r>
      <w:r w:rsidRPr="002D3263" w:rsidR="0035027D">
        <w:t>final</w:t>
      </w:r>
      <w:r w:rsidRPr="002D3263" w:rsidR="00615DE6">
        <w:t xml:space="preserve"> rule will have no impact on </w:t>
      </w:r>
      <w:r w:rsidRPr="002D3263" w:rsidR="004802BF">
        <w:t xml:space="preserve">non-residential </w:t>
      </w:r>
      <w:r w:rsidRPr="002D3263" w:rsidR="009B2D76">
        <w:t>displaced</w:t>
      </w:r>
      <w:r w:rsidRPr="002D3263" w:rsidR="004802BF">
        <w:t xml:space="preserve"> persons</w:t>
      </w:r>
      <w:r w:rsidRPr="002D3263" w:rsidR="009B2D76">
        <w:t xml:space="preserve"> in </w:t>
      </w:r>
      <w:r w:rsidRPr="002D3263" w:rsidR="00615DE6">
        <w:t>those 1</w:t>
      </w:r>
      <w:r w:rsidR="00A638C5">
        <w:t>0</w:t>
      </w:r>
      <w:r w:rsidRPr="002D3263" w:rsidR="00615DE6">
        <w:t xml:space="preserve"> </w:t>
      </w:r>
      <w:r w:rsidRPr="002D3263" w:rsidR="00682BBD">
        <w:t>S</w:t>
      </w:r>
      <w:r w:rsidRPr="002D3263" w:rsidR="00615DE6">
        <w:t>tates</w:t>
      </w:r>
      <w:r w:rsidRPr="002D3263" w:rsidR="0080567F">
        <w:t xml:space="preserve">. </w:t>
      </w:r>
      <w:r w:rsidR="00B210CA">
        <w:t xml:space="preserve"> </w:t>
      </w:r>
      <w:r w:rsidRPr="002D3263" w:rsidR="00441E38">
        <w:t>These 1</w:t>
      </w:r>
      <w:r w:rsidR="00A638C5">
        <w:t>0</w:t>
      </w:r>
      <w:r w:rsidRPr="002D3263" w:rsidR="00441E38">
        <w:t xml:space="preserve"> States </w:t>
      </w:r>
      <w:r w:rsidRPr="002D3263" w:rsidR="0080567F">
        <w:t xml:space="preserve">(Maryland, Minnesota, New Hampshire, North Dakota, Oklahoma, South Carolina, Utah, Washington, Wisconsin, and Wyoming) </w:t>
      </w:r>
      <w:r w:rsidRPr="002D3263" w:rsidR="00441E38">
        <w:t xml:space="preserve">comprise </w:t>
      </w:r>
      <w:r w:rsidR="00A638C5">
        <w:t>8</w:t>
      </w:r>
      <w:r w:rsidRPr="002D3263" w:rsidR="00441E38">
        <w:t xml:space="preserve"> percent of the </w:t>
      </w:r>
      <w:r w:rsidRPr="002D3263" w:rsidR="00EC2FE5">
        <w:t xml:space="preserve">total non-residential displacements </w:t>
      </w:r>
      <w:r w:rsidRPr="002D3263" w:rsidR="00441E38">
        <w:t xml:space="preserve">in </w:t>
      </w:r>
      <w:r w:rsidRPr="002D3263" w:rsidR="00BC3F75">
        <w:t>52 States and territories.</w:t>
      </w:r>
      <w:r>
        <w:rPr>
          <w:rStyle w:val="FootnoteReference"/>
        </w:rPr>
        <w:footnoteReference w:id="29"/>
      </w:r>
      <w:r w:rsidRPr="002D3263" w:rsidR="00BC3F75">
        <w:t xml:space="preserve"> </w:t>
      </w:r>
      <w:r w:rsidR="00B210CA">
        <w:t xml:space="preserve"> </w:t>
      </w:r>
      <w:r w:rsidRPr="002D3263" w:rsidR="00A65C30">
        <w:t xml:space="preserve">Thus, the </w:t>
      </w:r>
      <w:r w:rsidRPr="002D3263" w:rsidR="0035027D">
        <w:t>final</w:t>
      </w:r>
      <w:r w:rsidRPr="002D3263" w:rsidR="00A65C30">
        <w:t xml:space="preserve"> rule </w:t>
      </w:r>
      <w:r w:rsidRPr="002D3263" w:rsidR="00BC3F75">
        <w:t xml:space="preserve">is expected </w:t>
      </w:r>
      <w:r w:rsidRPr="002D3263" w:rsidR="005358C9">
        <w:t xml:space="preserve">to </w:t>
      </w:r>
      <w:r w:rsidRPr="002D3263" w:rsidR="00A65C30">
        <w:t>impact on</w:t>
      </w:r>
      <w:r w:rsidRPr="002D3263" w:rsidR="00BC3F75">
        <w:t>ly</w:t>
      </w:r>
      <w:r w:rsidRPr="002D3263" w:rsidR="00A65C30">
        <w:t xml:space="preserve"> </w:t>
      </w:r>
      <w:r w:rsidRPr="002D3263" w:rsidR="00116739">
        <w:t>9</w:t>
      </w:r>
      <w:r w:rsidR="00A638C5">
        <w:t>2</w:t>
      </w:r>
      <w:r w:rsidRPr="002D3263" w:rsidR="00A65C30">
        <w:t xml:space="preserve"> percent of all non-residential displacements.</w:t>
      </w:r>
      <w:r w:rsidRPr="002D3263" w:rsidR="00AC30F3">
        <w:t xml:space="preserve"> </w:t>
      </w:r>
    </w:p>
    <w:p w:rsidR="004C18C7" w:rsidRPr="002D3263" w:rsidP="00EF4CBB" w14:paraId="53B4C5E3" w14:textId="3F8CEC57">
      <w:pPr>
        <w:pStyle w:val="Body"/>
        <w:widowControl/>
      </w:pPr>
      <w:r w:rsidRPr="002D3263">
        <w:t xml:space="preserve">The </w:t>
      </w:r>
      <w:r w:rsidRPr="002D3263">
        <w:rPr>
          <w:i/>
        </w:rPr>
        <w:t>BRARS</w:t>
      </w:r>
      <w:r w:rsidRPr="002D3263">
        <w:t xml:space="preserve"> also finds that overall 70 percent of businesses that claim a re</w:t>
      </w:r>
      <w:r w:rsidR="00732A88">
        <w:t>-</w:t>
      </w:r>
      <w:r w:rsidRPr="002D3263">
        <w:t>establishment p</w:t>
      </w:r>
      <w:r w:rsidRPr="002D3263" w:rsidR="004F4851">
        <w:t xml:space="preserve">ayment claim the maximum amount. </w:t>
      </w:r>
      <w:r w:rsidR="00B210CA">
        <w:t xml:space="preserve"> </w:t>
      </w:r>
      <w:r w:rsidRPr="002D3263" w:rsidR="004F4851">
        <w:t>This is</w:t>
      </w:r>
      <w:r w:rsidRPr="002D3263">
        <w:t xml:space="preserve"> the average of the 75 percent of businesses that claim the maximum in </w:t>
      </w:r>
      <w:r w:rsidRPr="002D3263" w:rsidR="00682BBD">
        <w:t>S</w:t>
      </w:r>
      <w:r w:rsidRPr="002D3263">
        <w:t xml:space="preserve">tates </w:t>
      </w:r>
      <w:r w:rsidRPr="002D3263" w:rsidR="004F4851">
        <w:t>using the</w:t>
      </w:r>
      <w:r w:rsidRPr="002D3263">
        <w:t xml:space="preserve"> Uniform Act </w:t>
      </w:r>
      <w:r w:rsidRPr="002D3263" w:rsidR="004F4851">
        <w:t>maximum</w:t>
      </w:r>
      <w:r w:rsidRPr="002D3263" w:rsidR="00E77D78">
        <w:t>,</w:t>
      </w:r>
      <w:r w:rsidRPr="002D3263" w:rsidR="004F4851">
        <w:t xml:space="preserve"> </w:t>
      </w:r>
      <w:r w:rsidRPr="002D3263">
        <w:t xml:space="preserve">and 65 percent of businesses in </w:t>
      </w:r>
      <w:r w:rsidRPr="002D3263" w:rsidR="00682BBD">
        <w:t>S</w:t>
      </w:r>
      <w:r w:rsidRPr="002D3263">
        <w:t xml:space="preserve">tates </w:t>
      </w:r>
      <w:r w:rsidRPr="002D3263" w:rsidR="004F4851">
        <w:t xml:space="preserve">that have </w:t>
      </w:r>
      <w:r w:rsidRPr="002D3263">
        <w:t xml:space="preserve">increased </w:t>
      </w:r>
      <w:r w:rsidRPr="002D3263" w:rsidR="004F4851">
        <w:t>their respective</w:t>
      </w:r>
      <w:r w:rsidRPr="002D3263">
        <w:t xml:space="preserve"> maximum</w:t>
      </w:r>
      <w:r w:rsidRPr="002D3263" w:rsidR="004F4851">
        <w:t>s</w:t>
      </w:r>
      <w:r w:rsidRPr="002D3263">
        <w:t xml:space="preserve"> to </w:t>
      </w:r>
      <w:r w:rsidRPr="002D3263" w:rsidR="004F4851">
        <w:t>levels</w:t>
      </w:r>
      <w:r w:rsidRPr="002D3263">
        <w:t xml:space="preserve"> higher than that of the Uniform Act</w:t>
      </w:r>
      <w:r w:rsidRPr="002D3263" w:rsidR="00273380">
        <w:t xml:space="preserve"> (page 29)</w:t>
      </w:r>
      <w:r w:rsidRPr="002D3263">
        <w:t>.</w:t>
      </w:r>
      <w:r w:rsidRPr="002D3263" w:rsidR="00273380">
        <w:t xml:space="preserve"> </w:t>
      </w:r>
    </w:p>
    <w:p w:rsidR="00F9477B" w:rsidRPr="002D3263" w:rsidP="00EF4CBB" w14:paraId="59188AE0" w14:textId="2A891BBF">
      <w:pPr>
        <w:pStyle w:val="Body"/>
        <w:widowControl/>
      </w:pPr>
      <w:r w:rsidRPr="002D3263">
        <w:t>Based on this information, we estimate the average re</w:t>
      </w:r>
      <w:r w:rsidR="00732A88">
        <w:t>-</w:t>
      </w:r>
      <w:r w:rsidRPr="002D3263">
        <w:t>establishment payment under the current rule</w:t>
      </w:r>
      <w:r w:rsidRPr="002D3263" w:rsidR="00E77D78">
        <w:t>,</w:t>
      </w:r>
      <w:r w:rsidRPr="002D3263">
        <w:t xml:space="preserve"> and what it would be under the </w:t>
      </w:r>
      <w:r w:rsidRPr="002D3263" w:rsidR="0035027D">
        <w:t>final</w:t>
      </w:r>
      <w:r w:rsidRPr="002D3263">
        <w:t xml:space="preserve"> rule in a manner </w:t>
      </w:r>
      <w:r w:rsidRPr="002D3263">
        <w:t>similar to</w:t>
      </w:r>
      <w:r w:rsidRPr="002D3263">
        <w:t xml:space="preserve"> that used to estimate the search expense payments.</w:t>
      </w:r>
      <w:r w:rsidR="00B210CA">
        <w:t xml:space="preserve"> </w:t>
      </w:r>
      <w:r w:rsidRPr="002D3263" w:rsidR="003361C6">
        <w:t xml:space="preserve"> </w:t>
      </w:r>
      <w:r w:rsidRPr="002D3263">
        <w:t xml:space="preserve">To estimate the magnitude </w:t>
      </w:r>
      <w:r w:rsidRPr="002D3263" w:rsidR="00E77D78">
        <w:t>of the transfer to</w:t>
      </w:r>
      <w:r w:rsidRPr="002D3263">
        <w:t xml:space="preserve"> </w:t>
      </w:r>
      <w:r w:rsidRPr="002D3263" w:rsidR="00305D57">
        <w:t>non-residential</w:t>
      </w:r>
      <w:r w:rsidRPr="002D3263" w:rsidR="002A616F">
        <w:t xml:space="preserve"> displaced persons</w:t>
      </w:r>
      <w:r w:rsidRPr="002D3263" w:rsidR="004F4851">
        <w:t>,</w:t>
      </w:r>
      <w:r w:rsidRPr="002D3263">
        <w:t xml:space="preserve"> we first estimate the average payment amount under the existing rule and then we estimate the average payment amount under the new maximum</w:t>
      </w:r>
      <w:r w:rsidRPr="002D3263" w:rsidR="004F4851">
        <w:t xml:space="preserve">. </w:t>
      </w:r>
      <w:r w:rsidR="00B210CA">
        <w:t xml:space="preserve"> </w:t>
      </w:r>
      <w:r w:rsidRPr="002D3263" w:rsidR="004F4851">
        <w:t>Next</w:t>
      </w:r>
      <w:r w:rsidRPr="002D3263">
        <w:t xml:space="preserve">, we calculate the difference of those two amounts and multiply the difference by the estimated total number of </w:t>
      </w:r>
      <w:r w:rsidRPr="002D3263" w:rsidR="00305D57">
        <w:t>non-residential</w:t>
      </w:r>
      <w:r w:rsidRPr="002D3263" w:rsidR="008F2AB1">
        <w:t xml:space="preserve"> displaced persons </w:t>
      </w:r>
      <w:r w:rsidRPr="002D3263">
        <w:t xml:space="preserve">that are in </w:t>
      </w:r>
      <w:r w:rsidRPr="002D3263" w:rsidR="00682BBD">
        <w:t>S</w:t>
      </w:r>
      <w:r w:rsidRPr="002D3263">
        <w:t xml:space="preserve">tates with maximum levels that </w:t>
      </w:r>
      <w:r w:rsidRPr="002D3263" w:rsidR="00D2312D">
        <w:t xml:space="preserve">are </w:t>
      </w:r>
      <w:r w:rsidRPr="002D3263">
        <w:t xml:space="preserve">impacted by the </w:t>
      </w:r>
      <w:r w:rsidRPr="002D3263" w:rsidR="0035027D">
        <w:t>final</w:t>
      </w:r>
      <w:r w:rsidRPr="002D3263">
        <w:t xml:space="preserve"> rule and that are expected to claim re</w:t>
      </w:r>
      <w:r w:rsidR="00732A88">
        <w:t>-</w:t>
      </w:r>
      <w:r w:rsidRPr="002D3263" w:rsidR="004F4851">
        <w:t>e</w:t>
      </w:r>
      <w:r w:rsidRPr="002D3263">
        <w:t xml:space="preserve">stablishment expenses. </w:t>
      </w:r>
    </w:p>
    <w:p w:rsidR="00EC6E74" w:rsidRPr="002D3263" w:rsidP="00634AAC" w14:paraId="1D94A56B" w14:textId="579141CC">
      <w:pPr>
        <w:widowControl/>
        <w:spacing w:after="200"/>
        <w:rPr>
          <w:rStyle w:val="Emphasis"/>
          <w:i w:val="0"/>
        </w:rPr>
      </w:pPr>
      <w:r w:rsidRPr="002D3263">
        <w:t xml:space="preserve">Table </w:t>
      </w:r>
      <w:r w:rsidRPr="002D3263" w:rsidR="00963C07">
        <w:t>A3</w:t>
      </w:r>
      <w:r w:rsidRPr="002D3263">
        <w:t xml:space="preserve"> in Appendix A</w:t>
      </w:r>
      <w:r w:rsidRPr="002D3263" w:rsidR="00E77D78">
        <w:t xml:space="preserve"> of this report</w:t>
      </w:r>
      <w:r w:rsidRPr="002D3263">
        <w:t xml:space="preserve"> </w:t>
      </w:r>
      <w:r w:rsidRPr="002D3263">
        <w:rPr>
          <w:rStyle w:val="Emphasis"/>
          <w:i w:val="0"/>
        </w:rPr>
        <w:t xml:space="preserve">presents the calculations used to estimate the </w:t>
      </w:r>
      <w:r w:rsidRPr="002D3263" w:rsidR="007E50D3">
        <w:rPr>
          <w:rStyle w:val="Emphasis"/>
          <w:i w:val="0"/>
        </w:rPr>
        <w:t>representative</w:t>
      </w:r>
      <w:r w:rsidRPr="002D3263">
        <w:rPr>
          <w:rStyle w:val="Emphasis"/>
          <w:i w:val="0"/>
        </w:rPr>
        <w:t xml:space="preserve"> payments for each year of the analysis period under both the current rule and the </w:t>
      </w:r>
      <w:r w:rsidRPr="002D3263" w:rsidR="0035027D">
        <w:rPr>
          <w:rStyle w:val="Emphasis"/>
          <w:i w:val="0"/>
        </w:rPr>
        <w:t>final</w:t>
      </w:r>
      <w:r w:rsidRPr="002D3263">
        <w:rPr>
          <w:rStyle w:val="Emphasis"/>
          <w:i w:val="0"/>
        </w:rPr>
        <w:t xml:space="preserve"> rule.</w:t>
      </w:r>
      <w:r w:rsidR="00B210CA">
        <w:rPr>
          <w:rStyle w:val="Emphasis"/>
          <w:i w:val="0"/>
        </w:rPr>
        <w:t xml:space="preserve"> </w:t>
      </w:r>
      <w:r w:rsidRPr="002D3263">
        <w:rPr>
          <w:rStyle w:val="Emphasis"/>
          <w:i w:val="0"/>
        </w:rPr>
        <w:t xml:space="preserve"> Under the current rule, the </w:t>
      </w:r>
      <w:r w:rsidRPr="002D3263">
        <w:rPr>
          <w:rStyle w:val="Emphasis"/>
        </w:rPr>
        <w:t>BRARS</w:t>
      </w:r>
      <w:r w:rsidRPr="002D3263">
        <w:rPr>
          <w:rStyle w:val="Emphasis"/>
          <w:i w:val="0"/>
        </w:rPr>
        <w:t xml:space="preserve"> </w:t>
      </w:r>
      <w:r w:rsidRPr="002D3263" w:rsidR="00F63B7C">
        <w:rPr>
          <w:rStyle w:val="Emphasis"/>
          <w:i w:val="0"/>
        </w:rPr>
        <w:t>found</w:t>
      </w:r>
      <w:r w:rsidRPr="002D3263">
        <w:rPr>
          <w:rStyle w:val="Emphasis"/>
          <w:i w:val="0"/>
        </w:rPr>
        <w:t xml:space="preserve"> that</w:t>
      </w:r>
      <w:r w:rsidRPr="002D3263" w:rsidR="00F63B7C">
        <w:rPr>
          <w:rStyle w:val="Emphasis"/>
          <w:i w:val="0"/>
        </w:rPr>
        <w:t xml:space="preserve"> in 2008</w:t>
      </w:r>
      <w:r w:rsidRPr="002D3263" w:rsidR="00682BBD">
        <w:rPr>
          <w:rStyle w:val="Emphasis"/>
          <w:i w:val="0"/>
        </w:rPr>
        <w:t>,</w:t>
      </w:r>
      <w:r w:rsidRPr="002D3263">
        <w:rPr>
          <w:rStyle w:val="Emphasis"/>
          <w:i w:val="0"/>
        </w:rPr>
        <w:t xml:space="preserve"> 75 percent of displaced businesses claim</w:t>
      </w:r>
      <w:r w:rsidRPr="002D3263" w:rsidR="00F63B7C">
        <w:rPr>
          <w:rStyle w:val="Emphasis"/>
          <w:i w:val="0"/>
        </w:rPr>
        <w:t>ed</w:t>
      </w:r>
      <w:r w:rsidRPr="002D3263">
        <w:rPr>
          <w:rStyle w:val="Emphasis"/>
          <w:i w:val="0"/>
        </w:rPr>
        <w:t xml:space="preserve"> the current maximum amount of $10,000</w:t>
      </w:r>
      <w:r w:rsidRPr="002D3263" w:rsidR="00E77D78">
        <w:rPr>
          <w:rStyle w:val="Emphasis"/>
          <w:i w:val="0"/>
        </w:rPr>
        <w:t xml:space="preserve"> </w:t>
      </w:r>
      <w:r w:rsidRPr="002D3263" w:rsidR="004F4851">
        <w:rPr>
          <w:rStyle w:val="Emphasis"/>
          <w:i w:val="0"/>
        </w:rPr>
        <w:t>—</w:t>
      </w:r>
      <w:r w:rsidRPr="002D3263">
        <w:rPr>
          <w:rStyle w:val="Emphasis"/>
          <w:i w:val="0"/>
        </w:rPr>
        <w:t xml:space="preserve"> meaning that 25 percent claim</w:t>
      </w:r>
      <w:r w:rsidRPr="002D3263" w:rsidR="00F63B7C">
        <w:rPr>
          <w:rStyle w:val="Emphasis"/>
          <w:i w:val="0"/>
        </w:rPr>
        <w:t>ed</w:t>
      </w:r>
      <w:r w:rsidRPr="002D3263">
        <w:rPr>
          <w:rStyle w:val="Emphasis"/>
          <w:i w:val="0"/>
        </w:rPr>
        <w:t xml:space="preserve"> some amount less than $10,000. </w:t>
      </w:r>
      <w:r w:rsidR="00B210CA">
        <w:rPr>
          <w:rStyle w:val="Emphasis"/>
          <w:i w:val="0"/>
        </w:rPr>
        <w:t xml:space="preserve"> </w:t>
      </w:r>
      <w:r w:rsidRPr="002D3263" w:rsidR="004109EA">
        <w:t xml:space="preserve">Based on the observation that </w:t>
      </w:r>
      <w:r w:rsidRPr="002D3263" w:rsidR="004109EA">
        <w:t>the majority of</w:t>
      </w:r>
      <w:r w:rsidRPr="002D3263" w:rsidR="00D433BF">
        <w:t xml:space="preserve"> businesses experience costs gre</w:t>
      </w:r>
      <w:r w:rsidRPr="002D3263" w:rsidR="004109EA">
        <w:t>ater than $</w:t>
      </w:r>
      <w:r w:rsidRPr="002D3263" w:rsidR="00D433BF">
        <w:t>10</w:t>
      </w:r>
      <w:r w:rsidRPr="002D3263" w:rsidR="004109EA">
        <w:t xml:space="preserve">,000 we expect the distribution of payments to be skewed toward the upper end of the range. </w:t>
      </w:r>
      <w:r w:rsidR="00B210CA">
        <w:t xml:space="preserve"> </w:t>
      </w:r>
      <w:r w:rsidRPr="002D3263">
        <w:rPr>
          <w:rStyle w:val="Emphasis"/>
          <w:i w:val="0"/>
        </w:rPr>
        <w:t>We</w:t>
      </w:r>
      <w:r w:rsidRPr="002D3263" w:rsidR="00D433BF">
        <w:rPr>
          <w:rStyle w:val="Emphasis"/>
          <w:i w:val="0"/>
        </w:rPr>
        <w:t xml:space="preserve"> therefore</w:t>
      </w:r>
      <w:r w:rsidRPr="002D3263">
        <w:rPr>
          <w:rStyle w:val="Emphasis"/>
          <w:i w:val="0"/>
        </w:rPr>
        <w:t xml:space="preserve"> </w:t>
      </w:r>
      <w:r w:rsidRPr="002D3263" w:rsidR="00C158C8">
        <w:rPr>
          <w:rStyle w:val="Emphasis"/>
          <w:i w:val="0"/>
        </w:rPr>
        <w:t>use</w:t>
      </w:r>
      <w:r w:rsidRPr="002D3263" w:rsidR="004410C8">
        <w:rPr>
          <w:rStyle w:val="Emphasis"/>
          <w:i w:val="0"/>
        </w:rPr>
        <w:t xml:space="preserve"> </w:t>
      </w:r>
      <w:r w:rsidRPr="002D3263" w:rsidR="00C158C8">
        <w:rPr>
          <w:rStyle w:val="Emphasis"/>
          <w:i w:val="0"/>
        </w:rPr>
        <w:t xml:space="preserve">$7,500 as the representative amount receive by </w:t>
      </w:r>
      <w:r w:rsidRPr="002D3263">
        <w:rPr>
          <w:rStyle w:val="Emphasis"/>
          <w:i w:val="0"/>
        </w:rPr>
        <w:t>th</w:t>
      </w:r>
      <w:r w:rsidRPr="002D3263" w:rsidR="008F2AB1">
        <w:rPr>
          <w:rStyle w:val="Emphasis"/>
          <w:i w:val="0"/>
        </w:rPr>
        <w:t>e</w:t>
      </w:r>
      <w:r w:rsidRPr="002D3263">
        <w:rPr>
          <w:rStyle w:val="Emphasis"/>
          <w:i w:val="0"/>
        </w:rPr>
        <w:t xml:space="preserve"> second group</w:t>
      </w:r>
      <w:r w:rsidRPr="002D3263" w:rsidR="00C158C8">
        <w:rPr>
          <w:rStyle w:val="Emphasis"/>
          <w:i w:val="0"/>
        </w:rPr>
        <w:t>.</w:t>
      </w:r>
      <w:r w:rsidRPr="002D3263" w:rsidR="004410C8">
        <w:rPr>
          <w:rStyle w:val="Emphasis"/>
          <w:i w:val="0"/>
        </w:rPr>
        <w:t xml:space="preserve"> </w:t>
      </w:r>
      <w:r w:rsidR="00B210CA">
        <w:rPr>
          <w:rStyle w:val="Emphasis"/>
          <w:i w:val="0"/>
        </w:rPr>
        <w:t xml:space="preserve"> </w:t>
      </w:r>
      <w:r w:rsidRPr="002D3263">
        <w:rPr>
          <w:rStyle w:val="Emphasis"/>
          <w:i w:val="0"/>
        </w:rPr>
        <w:t xml:space="preserve">Thus, the </w:t>
      </w:r>
      <w:r w:rsidRPr="002D3263" w:rsidR="007E50D3">
        <w:rPr>
          <w:rStyle w:val="Emphasis"/>
          <w:i w:val="0"/>
        </w:rPr>
        <w:t>representative</w:t>
      </w:r>
      <w:r w:rsidRPr="002D3263">
        <w:rPr>
          <w:rStyle w:val="Emphasis"/>
          <w:i w:val="0"/>
        </w:rPr>
        <w:t xml:space="preserve"> reimbursement for re-establishment expenses under the current rule is estimated to be $9,375 (0.25*$7,500 + 0.75*$10,000) in 2008 dollars. </w:t>
      </w:r>
    </w:p>
    <w:p w:rsidR="004F3B9A" w:rsidRPr="002D3263" w:rsidP="00634AAC" w14:paraId="6A9ABEE1" w14:textId="5DC38F6F">
      <w:pPr>
        <w:widowControl/>
        <w:spacing w:after="200"/>
        <w:rPr>
          <w:rStyle w:val="Emphasis"/>
          <w:i w:val="0"/>
        </w:rPr>
      </w:pPr>
      <w:r w:rsidRPr="002D3263">
        <w:rPr>
          <w:rStyle w:val="Emphasis"/>
          <w:i w:val="0"/>
        </w:rPr>
        <w:t xml:space="preserve">To estimate the </w:t>
      </w:r>
      <w:r w:rsidRPr="002D3263" w:rsidR="007E50D3">
        <w:rPr>
          <w:rStyle w:val="Emphasis"/>
          <w:i w:val="0"/>
        </w:rPr>
        <w:t>representative</w:t>
      </w:r>
      <w:r w:rsidRPr="002D3263">
        <w:rPr>
          <w:rStyle w:val="Emphasis"/>
          <w:i w:val="0"/>
        </w:rPr>
        <w:t xml:space="preserve"> reimbursement under the </w:t>
      </w:r>
      <w:r w:rsidRPr="002D3263" w:rsidR="0035027D">
        <w:rPr>
          <w:rStyle w:val="Emphasis"/>
          <w:i w:val="0"/>
        </w:rPr>
        <w:t>final</w:t>
      </w:r>
      <w:r w:rsidRPr="002D3263">
        <w:rPr>
          <w:rStyle w:val="Emphasis"/>
          <w:i w:val="0"/>
        </w:rPr>
        <w:t xml:space="preserve"> rule, we assume that the percent that claim some amount less than $10,</w:t>
      </w:r>
      <w:r w:rsidRPr="002D3263" w:rsidR="009F6718">
        <w:rPr>
          <w:rStyle w:val="Emphasis"/>
          <w:i w:val="0"/>
        </w:rPr>
        <w:t>0</w:t>
      </w:r>
      <w:r w:rsidRPr="002D3263">
        <w:rPr>
          <w:rStyle w:val="Emphasis"/>
          <w:i w:val="0"/>
        </w:rPr>
        <w:t xml:space="preserve">00 </w:t>
      </w:r>
      <w:r w:rsidRPr="002D3263" w:rsidR="00F63B7C">
        <w:rPr>
          <w:rStyle w:val="Emphasis"/>
          <w:i w:val="0"/>
        </w:rPr>
        <w:t xml:space="preserve">in 2008 would have </w:t>
      </w:r>
      <w:r w:rsidRPr="002D3263">
        <w:rPr>
          <w:rStyle w:val="Emphasis"/>
          <w:i w:val="0"/>
        </w:rPr>
        <w:t>remain</w:t>
      </w:r>
      <w:r w:rsidRPr="002D3263" w:rsidR="00F63B7C">
        <w:rPr>
          <w:rStyle w:val="Emphasis"/>
          <w:i w:val="0"/>
        </w:rPr>
        <w:t>ed</w:t>
      </w:r>
      <w:r w:rsidRPr="002D3263">
        <w:rPr>
          <w:rStyle w:val="Emphasis"/>
          <w:i w:val="0"/>
        </w:rPr>
        <w:t xml:space="preserve"> the same at 25 percent. </w:t>
      </w:r>
      <w:r w:rsidR="00B210CA">
        <w:rPr>
          <w:rStyle w:val="Emphasis"/>
          <w:i w:val="0"/>
        </w:rPr>
        <w:t xml:space="preserve"> </w:t>
      </w:r>
      <w:r w:rsidRPr="002D3263">
        <w:rPr>
          <w:rStyle w:val="Emphasis"/>
          <w:i w:val="0"/>
        </w:rPr>
        <w:t xml:space="preserve">The </w:t>
      </w:r>
      <w:r w:rsidRPr="002D3263">
        <w:rPr>
          <w:rStyle w:val="Emphasis"/>
        </w:rPr>
        <w:t>BRARS</w:t>
      </w:r>
      <w:r w:rsidRPr="002D3263">
        <w:rPr>
          <w:rStyle w:val="Emphasis"/>
          <w:i w:val="0"/>
        </w:rPr>
        <w:t xml:space="preserve"> found that in </w:t>
      </w:r>
      <w:r w:rsidRPr="002D3263" w:rsidR="00682BBD">
        <w:rPr>
          <w:rStyle w:val="Emphasis"/>
          <w:i w:val="0"/>
        </w:rPr>
        <w:t>S</w:t>
      </w:r>
      <w:r w:rsidRPr="002D3263" w:rsidR="007C2E13">
        <w:rPr>
          <w:rStyle w:val="Emphasis"/>
          <w:i w:val="0"/>
        </w:rPr>
        <w:t>tate</w:t>
      </w:r>
      <w:r w:rsidRPr="002D3263">
        <w:rPr>
          <w:rStyle w:val="Emphasis"/>
          <w:i w:val="0"/>
        </w:rPr>
        <w:t xml:space="preserve">s with reimbursement levels close to or higher than the </w:t>
      </w:r>
      <w:r w:rsidRPr="002D3263" w:rsidR="0035027D">
        <w:rPr>
          <w:rStyle w:val="Emphasis"/>
          <w:i w:val="0"/>
        </w:rPr>
        <w:t xml:space="preserve">new </w:t>
      </w:r>
      <w:r w:rsidRPr="002D3263">
        <w:rPr>
          <w:rStyle w:val="Emphasis"/>
          <w:i w:val="0"/>
        </w:rPr>
        <w:t>$</w:t>
      </w:r>
      <w:r w:rsidR="00C31CCA">
        <w:rPr>
          <w:rStyle w:val="Emphasis"/>
          <w:i w:val="0"/>
        </w:rPr>
        <w:t>33,200</w:t>
      </w:r>
      <w:r w:rsidRPr="002D3263">
        <w:rPr>
          <w:rStyle w:val="Emphasis"/>
          <w:i w:val="0"/>
        </w:rPr>
        <w:t xml:space="preserve"> maximum, 65 </w:t>
      </w:r>
      <w:r w:rsidRPr="002D3263">
        <w:rPr>
          <w:rStyle w:val="Emphasis"/>
          <w:i w:val="0"/>
        </w:rPr>
        <w:t>percent of displaced businesses claimed the higher maximum.</w:t>
      </w:r>
      <w:r w:rsidR="00B210CA">
        <w:rPr>
          <w:rStyle w:val="Emphasis"/>
          <w:i w:val="0"/>
        </w:rPr>
        <w:t xml:space="preserve"> </w:t>
      </w:r>
      <w:r w:rsidRPr="002D3263">
        <w:rPr>
          <w:rStyle w:val="Emphasis"/>
          <w:i w:val="0"/>
        </w:rPr>
        <w:t xml:space="preserve"> </w:t>
      </w:r>
      <w:r w:rsidRPr="002D3263" w:rsidR="002A616F">
        <w:rPr>
          <w:rStyle w:val="Emphasis"/>
          <w:i w:val="0"/>
        </w:rPr>
        <w:t>Therefore,</w:t>
      </w:r>
      <w:r w:rsidRPr="002D3263">
        <w:rPr>
          <w:rStyle w:val="Emphasis"/>
          <w:i w:val="0"/>
        </w:rPr>
        <w:t xml:space="preserve"> we assume that 65 percent of </w:t>
      </w:r>
      <w:r w:rsidRPr="002D3263" w:rsidR="00305D57">
        <w:t>non-residential</w:t>
      </w:r>
      <w:r w:rsidRPr="002D3263" w:rsidR="009C2364">
        <w:t xml:space="preserve"> displaced persons </w:t>
      </w:r>
      <w:r w:rsidRPr="002D3263">
        <w:rPr>
          <w:rStyle w:val="Emphasis"/>
          <w:i w:val="0"/>
        </w:rPr>
        <w:t xml:space="preserve">will still claim the higher maximum amount. </w:t>
      </w:r>
      <w:r w:rsidR="00B210CA">
        <w:rPr>
          <w:rStyle w:val="Emphasis"/>
          <w:i w:val="0"/>
        </w:rPr>
        <w:t xml:space="preserve"> </w:t>
      </w:r>
      <w:r w:rsidRPr="002D3263">
        <w:rPr>
          <w:rStyle w:val="Emphasis"/>
          <w:i w:val="0"/>
        </w:rPr>
        <w:t xml:space="preserve">We assume the remaining 10 percent of </w:t>
      </w:r>
      <w:r w:rsidRPr="002D3263" w:rsidR="00305D57">
        <w:t>non-residential</w:t>
      </w:r>
      <w:r w:rsidRPr="002D3263" w:rsidR="009C2364">
        <w:t xml:space="preserve"> displaced </w:t>
      </w:r>
      <w:r w:rsidRPr="002D3263" w:rsidR="002A616F">
        <w:t xml:space="preserve">persons </w:t>
      </w:r>
      <w:r w:rsidRPr="002D3263" w:rsidR="002A616F">
        <w:rPr>
          <w:rStyle w:val="Emphasis"/>
          <w:i w:val="0"/>
        </w:rPr>
        <w:t>would</w:t>
      </w:r>
      <w:r w:rsidRPr="002D3263">
        <w:rPr>
          <w:rStyle w:val="Emphasis"/>
          <w:i w:val="0"/>
        </w:rPr>
        <w:t xml:space="preserve"> claim some amount between $10,000 and $</w:t>
      </w:r>
      <w:r w:rsidR="00C31CCA">
        <w:rPr>
          <w:rStyle w:val="Emphasis"/>
          <w:i w:val="0"/>
        </w:rPr>
        <w:t>33,200</w:t>
      </w:r>
      <w:r w:rsidRPr="002D3263">
        <w:rPr>
          <w:rStyle w:val="Emphasis"/>
          <w:i w:val="0"/>
        </w:rPr>
        <w:t xml:space="preserve">. </w:t>
      </w:r>
      <w:r w:rsidR="00B210CA">
        <w:rPr>
          <w:rStyle w:val="Emphasis"/>
          <w:i w:val="0"/>
        </w:rPr>
        <w:t xml:space="preserve"> </w:t>
      </w:r>
      <w:r w:rsidRPr="002D3263" w:rsidR="00D433BF">
        <w:rPr>
          <w:rStyle w:val="Emphasis"/>
          <w:i w:val="0"/>
        </w:rPr>
        <w:t xml:space="preserve">Based on the observation that </w:t>
      </w:r>
      <w:r w:rsidRPr="002D3263" w:rsidR="009C2364">
        <w:rPr>
          <w:rStyle w:val="Emphasis"/>
          <w:i w:val="0"/>
        </w:rPr>
        <w:t xml:space="preserve">most </w:t>
      </w:r>
      <w:r w:rsidRPr="002D3263" w:rsidR="00D433BF">
        <w:rPr>
          <w:rStyle w:val="Emphasis"/>
          <w:i w:val="0"/>
        </w:rPr>
        <w:t>businesses experience costs greater than $</w:t>
      </w:r>
      <w:r w:rsidR="00C31CCA">
        <w:rPr>
          <w:rStyle w:val="Emphasis"/>
          <w:i w:val="0"/>
        </w:rPr>
        <w:t>33,200</w:t>
      </w:r>
      <w:r w:rsidRPr="002D3263" w:rsidR="00D433BF">
        <w:rPr>
          <w:rStyle w:val="Emphasis"/>
          <w:i w:val="0"/>
        </w:rPr>
        <w:t xml:space="preserve"> we expect the distribution of payments to be skewed toward the upper end of the range.</w:t>
      </w:r>
      <w:r w:rsidRPr="002D3263" w:rsidR="004410C8">
        <w:rPr>
          <w:rStyle w:val="Emphasis"/>
          <w:i w:val="0"/>
        </w:rPr>
        <w:t xml:space="preserve"> </w:t>
      </w:r>
      <w:r w:rsidR="00B210CA">
        <w:rPr>
          <w:rStyle w:val="Emphasis"/>
          <w:i w:val="0"/>
        </w:rPr>
        <w:t xml:space="preserve"> </w:t>
      </w:r>
      <w:r w:rsidRPr="002D3263" w:rsidR="00D433BF">
        <w:rPr>
          <w:rStyle w:val="Emphasis"/>
          <w:i w:val="0"/>
        </w:rPr>
        <w:t xml:space="preserve">We therefore </w:t>
      </w:r>
      <w:r w:rsidRPr="002D3263" w:rsidR="00C158C8">
        <w:rPr>
          <w:rStyle w:val="Emphasis"/>
          <w:i w:val="0"/>
        </w:rPr>
        <w:t>use $2</w:t>
      </w:r>
      <w:r w:rsidR="00D62C7A">
        <w:rPr>
          <w:rStyle w:val="Emphasis"/>
          <w:i w:val="0"/>
        </w:rPr>
        <w:t>5</w:t>
      </w:r>
      <w:r w:rsidRPr="002D3263" w:rsidR="00C158C8">
        <w:rPr>
          <w:rStyle w:val="Emphasis"/>
          <w:i w:val="0"/>
        </w:rPr>
        <w:t xml:space="preserve">,000 as the representative amount received by </w:t>
      </w:r>
      <w:r w:rsidRPr="002D3263" w:rsidR="00D433BF">
        <w:rPr>
          <w:rStyle w:val="Emphasis"/>
          <w:i w:val="0"/>
        </w:rPr>
        <w:t>this group</w:t>
      </w:r>
      <w:r w:rsidRPr="002D3263" w:rsidR="00C158C8">
        <w:rPr>
          <w:rStyle w:val="Emphasis"/>
          <w:i w:val="0"/>
        </w:rPr>
        <w:t>.</w:t>
      </w:r>
      <w:r w:rsidRPr="002D3263">
        <w:rPr>
          <w:rStyle w:val="Emphasis"/>
          <w:i w:val="0"/>
        </w:rPr>
        <w:t xml:space="preserve"> </w:t>
      </w:r>
      <w:r w:rsidR="00B210CA">
        <w:rPr>
          <w:rStyle w:val="Emphasis"/>
          <w:i w:val="0"/>
        </w:rPr>
        <w:t xml:space="preserve"> </w:t>
      </w:r>
      <w:r w:rsidRPr="002D3263" w:rsidR="002A616F">
        <w:rPr>
          <w:rStyle w:val="Emphasis"/>
          <w:i w:val="0"/>
        </w:rPr>
        <w:t>Thus,</w:t>
      </w:r>
      <w:r w:rsidRPr="002D3263">
        <w:rPr>
          <w:rStyle w:val="Emphasis"/>
          <w:i w:val="0"/>
        </w:rPr>
        <w:t xml:space="preserve"> the </w:t>
      </w:r>
      <w:r w:rsidRPr="002D3263" w:rsidR="007E50D3">
        <w:rPr>
          <w:rStyle w:val="Emphasis"/>
          <w:i w:val="0"/>
        </w:rPr>
        <w:t>representative</w:t>
      </w:r>
      <w:r w:rsidRPr="002D3263">
        <w:rPr>
          <w:rStyle w:val="Emphasis"/>
          <w:i w:val="0"/>
        </w:rPr>
        <w:t xml:space="preserve"> reimbursement for re-establishment expenses under the current rule is expected to be $</w:t>
      </w:r>
      <w:r w:rsidR="00066EBB">
        <w:rPr>
          <w:rStyle w:val="Emphasis"/>
          <w:i w:val="0"/>
        </w:rPr>
        <w:t>25,995</w:t>
      </w:r>
      <w:r w:rsidRPr="002D3263">
        <w:rPr>
          <w:rStyle w:val="Emphasis"/>
          <w:i w:val="0"/>
        </w:rPr>
        <w:t xml:space="preserve"> (0.25*$7,500 + 0.10*$</w:t>
      </w:r>
      <w:r w:rsidRPr="002D3263" w:rsidR="00D433BF">
        <w:rPr>
          <w:rStyle w:val="Emphasis"/>
          <w:i w:val="0"/>
        </w:rPr>
        <w:t>2</w:t>
      </w:r>
      <w:r w:rsidR="00D62C7A">
        <w:rPr>
          <w:rStyle w:val="Emphasis"/>
          <w:i w:val="0"/>
        </w:rPr>
        <w:t>5</w:t>
      </w:r>
      <w:r w:rsidRPr="002D3263" w:rsidR="00D433BF">
        <w:rPr>
          <w:rStyle w:val="Emphasis"/>
          <w:i w:val="0"/>
        </w:rPr>
        <w:t>,000</w:t>
      </w:r>
      <w:r w:rsidRPr="002D3263">
        <w:rPr>
          <w:rStyle w:val="Emphasis"/>
          <w:i w:val="0"/>
        </w:rPr>
        <w:t xml:space="preserve"> + 0.65*$</w:t>
      </w:r>
      <w:r w:rsidR="00066EBB">
        <w:rPr>
          <w:rStyle w:val="Emphasis"/>
          <w:i w:val="0"/>
        </w:rPr>
        <w:t>33,200</w:t>
      </w:r>
      <w:r w:rsidRPr="002D3263">
        <w:rPr>
          <w:rStyle w:val="Emphasis"/>
          <w:i w:val="0"/>
        </w:rPr>
        <w:t>) in 2008 dollars.</w:t>
      </w:r>
    </w:p>
    <w:p w:rsidR="00EC6E74" w:rsidRPr="002D3263" w:rsidP="00EF4CBB" w14:paraId="4D99A2BE" w14:textId="0FA2CAE4">
      <w:pPr>
        <w:pStyle w:val="Body"/>
        <w:widowControl/>
      </w:pPr>
      <w:r w:rsidRPr="002D3263">
        <w:t>In order to</w:t>
      </w:r>
      <w:r w:rsidRPr="002D3263">
        <w:t xml:space="preserve"> bring those estimates forward to the </w:t>
      </w:r>
      <w:r w:rsidRPr="00A3656C" w:rsidR="007C0D8C">
        <w:t>202</w:t>
      </w:r>
      <w:r w:rsidRPr="00A3656C" w:rsidR="00D2312D">
        <w:t>3</w:t>
      </w:r>
      <w:r w:rsidRPr="00A3656C" w:rsidR="007C0D8C">
        <w:t xml:space="preserve"> through</w:t>
      </w:r>
      <w:r w:rsidRPr="002D3263" w:rsidR="007C0D8C">
        <w:t xml:space="preserve"> 203</w:t>
      </w:r>
      <w:r w:rsidRPr="002D3263" w:rsidR="00D2312D">
        <w:t>2</w:t>
      </w:r>
      <w:r w:rsidRPr="002D3263">
        <w:t xml:space="preserve"> analysis period, we must account for the fact that prices are changing over that period due to inflation</w:t>
      </w:r>
      <w:r w:rsidRPr="002D3263" w:rsidR="00A83BB3">
        <w:t>.</w:t>
      </w:r>
      <w:r w:rsidRPr="002D3263">
        <w:t xml:space="preserve"> </w:t>
      </w:r>
    </w:p>
    <w:p w:rsidR="00EC6E74" w:rsidRPr="002D3263" w:rsidP="00EF4CBB" w14:paraId="1A05272C" w14:textId="63C2115E">
      <w:pPr>
        <w:pStyle w:val="Body"/>
        <w:widowControl/>
      </w:pPr>
      <w:r w:rsidRPr="002D3263">
        <w:t xml:space="preserve">To account for the impact of inflation on the statutory maximum payments, we assume that </w:t>
      </w:r>
      <w:r w:rsidRPr="002D3263" w:rsidR="000C10EE">
        <w:t xml:space="preserve">the </w:t>
      </w:r>
      <w:r w:rsidRPr="002D3263">
        <w:t>percent</w:t>
      </w:r>
      <w:r w:rsidRPr="002D3263" w:rsidR="00E87A84">
        <w:t>age</w:t>
      </w:r>
      <w:r w:rsidRPr="002D3263">
        <w:t xml:space="preserve"> of </w:t>
      </w:r>
      <w:bookmarkStart w:id="121" w:name="_Hlk509386605"/>
      <w:r w:rsidRPr="002D3263" w:rsidR="00E77D78">
        <w:t>non-residential displaced persons</w:t>
      </w:r>
      <w:r w:rsidRPr="002D3263">
        <w:t xml:space="preserve"> </w:t>
      </w:r>
      <w:bookmarkEnd w:id="121"/>
      <w:r w:rsidRPr="002D3263">
        <w:t>that receive t</w:t>
      </w:r>
      <w:r w:rsidRPr="002D3263" w:rsidR="003361C6">
        <w:t xml:space="preserve">he </w:t>
      </w:r>
      <w:r w:rsidRPr="002D3263" w:rsidR="00D8708B">
        <w:t>maximum amount increases by 0.</w:t>
      </w:r>
      <w:r w:rsidRPr="002D3263" w:rsidR="00EB4A78">
        <w:t>8</w:t>
      </w:r>
      <w:r w:rsidRPr="002D3263" w:rsidR="003361C6">
        <w:t xml:space="preserve"> </w:t>
      </w:r>
      <w:r w:rsidRPr="002D3263">
        <w:t>percent</w:t>
      </w:r>
      <w:r w:rsidRPr="002D3263" w:rsidR="003361C6">
        <w:t xml:space="preserve">age points </w:t>
      </w:r>
      <w:r w:rsidRPr="002D3263">
        <w:t>each year</w:t>
      </w:r>
      <w:r w:rsidRPr="002D3263" w:rsidR="003361C6">
        <w:t>.</w:t>
      </w:r>
      <w:r w:rsidR="00B210CA">
        <w:t xml:space="preserve"> </w:t>
      </w:r>
      <w:r w:rsidRPr="002D3263" w:rsidR="00AC30F3">
        <w:t xml:space="preserve"> </w:t>
      </w:r>
      <w:r w:rsidRPr="002D3263" w:rsidR="00D8708B">
        <w:t>The 0.</w:t>
      </w:r>
      <w:r w:rsidRPr="002D3263" w:rsidR="00EB4A78">
        <w:t>8</w:t>
      </w:r>
      <w:r w:rsidRPr="002D3263" w:rsidR="003361C6">
        <w:t xml:space="preserve"> percentage point estimate is taken from the analysis of the growth in the percent of household relocations that exceed the maximums for replacement housing payment and thus receive a </w:t>
      </w:r>
      <w:r w:rsidRPr="002D3263" w:rsidR="007828E4">
        <w:t>last resort housing</w:t>
      </w:r>
      <w:r w:rsidRPr="002D3263" w:rsidR="003361C6">
        <w:t xml:space="preserve"> payment.</w:t>
      </w:r>
      <w:r w:rsidRPr="002D3263" w:rsidR="00AC30F3">
        <w:t xml:space="preserve"> </w:t>
      </w:r>
      <w:r w:rsidR="00B210CA">
        <w:t xml:space="preserve"> </w:t>
      </w:r>
      <w:r w:rsidRPr="002D3263" w:rsidR="003361C6">
        <w:t xml:space="preserve">To illustrate, </w:t>
      </w:r>
      <w:r w:rsidRPr="002D3263">
        <w:t>we assume that 7</w:t>
      </w:r>
      <w:r w:rsidRPr="002D3263" w:rsidR="005668C2">
        <w:t>5</w:t>
      </w:r>
      <w:r w:rsidRPr="002D3263">
        <w:t xml:space="preserve"> percent of </w:t>
      </w:r>
      <w:r w:rsidRPr="002D3263" w:rsidR="00E77D78">
        <w:t xml:space="preserve">non-residential displaced persons </w:t>
      </w:r>
      <w:r w:rsidRPr="002D3263">
        <w:t>receive the $</w:t>
      </w:r>
      <w:r w:rsidRPr="002D3263" w:rsidR="005668C2">
        <w:t>10,000</w:t>
      </w:r>
      <w:r w:rsidRPr="002D3263">
        <w:t xml:space="preserve"> maximum under the current rule</w:t>
      </w:r>
      <w:r w:rsidRPr="002D3263" w:rsidR="003361C6">
        <w:t xml:space="preserve"> in 2008</w:t>
      </w:r>
      <w:r w:rsidRPr="002D3263">
        <w:t>.</w:t>
      </w:r>
      <w:r w:rsidR="00B210CA">
        <w:t xml:space="preserve"> </w:t>
      </w:r>
      <w:r w:rsidRPr="002D3263">
        <w:t xml:space="preserve"> In 2009, we assume that </w:t>
      </w:r>
      <w:r w:rsidRPr="002D3263" w:rsidR="005668C2">
        <w:t>7</w:t>
      </w:r>
      <w:r w:rsidRPr="002D3263" w:rsidR="00EB4A78">
        <w:t>5.8</w:t>
      </w:r>
      <w:r w:rsidRPr="002D3263">
        <w:t xml:space="preserve"> percent do (0.7</w:t>
      </w:r>
      <w:r w:rsidRPr="002D3263" w:rsidR="005668C2">
        <w:t>5</w:t>
      </w:r>
      <w:r w:rsidRPr="002D3263" w:rsidR="00D8708B">
        <w:t xml:space="preserve"> +0.00</w:t>
      </w:r>
      <w:r w:rsidRPr="002D3263" w:rsidR="00EB4A78">
        <w:t>8</w:t>
      </w:r>
      <w:r w:rsidRPr="002D3263">
        <w:t xml:space="preserve">). </w:t>
      </w:r>
      <w:r w:rsidR="00B210CA">
        <w:t xml:space="preserve"> </w:t>
      </w:r>
      <w:r w:rsidRPr="002D3263">
        <w:t>The remainder would receiv</w:t>
      </w:r>
      <w:r w:rsidRPr="002D3263" w:rsidR="005668C2">
        <w:t>e an amount less than the $10,000</w:t>
      </w:r>
      <w:r w:rsidRPr="002D3263">
        <w:t xml:space="preserve"> maxim</w:t>
      </w:r>
      <w:r w:rsidRPr="002D3263" w:rsidR="005668C2">
        <w:t>um, which we assume will continue to be $7,500</w:t>
      </w:r>
      <w:r w:rsidRPr="002D3263">
        <w:t xml:space="preserve">. </w:t>
      </w:r>
      <w:r w:rsidR="00B210CA">
        <w:t xml:space="preserve"> </w:t>
      </w:r>
      <w:r w:rsidRPr="002D3263">
        <w:t xml:space="preserve">In estimating the </w:t>
      </w:r>
      <w:r w:rsidRPr="002D3263" w:rsidR="007E50D3">
        <w:t>typical</w:t>
      </w:r>
      <w:r w:rsidRPr="002D3263" w:rsidR="00EB2A61">
        <w:t xml:space="preserve"> payment under the </w:t>
      </w:r>
      <w:r w:rsidRPr="002D3263">
        <w:t xml:space="preserve">current rule, that pattern continues throughout the analysis period. </w:t>
      </w:r>
      <w:r w:rsidR="00B210CA">
        <w:t xml:space="preserve"> </w:t>
      </w:r>
      <w:r w:rsidRPr="002D3263">
        <w:t>The percent of business</w:t>
      </w:r>
      <w:r w:rsidRPr="002D3263" w:rsidR="001646F4">
        <w:t>es</w:t>
      </w:r>
      <w:r w:rsidRPr="002D3263">
        <w:t xml:space="preserve"> receiving the maximum payment is expected to </w:t>
      </w:r>
      <w:r w:rsidRPr="002D3263" w:rsidR="003361C6">
        <w:t xml:space="preserve">be </w:t>
      </w:r>
      <w:r w:rsidRPr="002D3263" w:rsidR="00EF7C44">
        <w:t>87.0</w:t>
      </w:r>
      <w:r w:rsidRPr="002D3263">
        <w:t xml:space="preserve"> percent in</w:t>
      </w:r>
      <w:r w:rsidRPr="002D3263" w:rsidR="00C00D41">
        <w:t xml:space="preserve"> </w:t>
      </w:r>
      <w:r w:rsidRPr="00A3656C" w:rsidR="00EF7C44">
        <w:t>2023</w:t>
      </w:r>
      <w:r w:rsidRPr="002D3263">
        <w:t xml:space="preserve">, the first year of the analysis period and </w:t>
      </w:r>
      <w:r w:rsidRPr="002D3263" w:rsidR="00EF7C44">
        <w:t xml:space="preserve">94.2 </w:t>
      </w:r>
      <w:r w:rsidRPr="002D3263" w:rsidR="00C00D41">
        <w:t xml:space="preserve">percent in </w:t>
      </w:r>
      <w:r w:rsidRPr="002D3263" w:rsidR="00EF7C44">
        <w:t>2032</w:t>
      </w:r>
      <w:r w:rsidRPr="002D3263">
        <w:t>, the last year of the analysis period.</w:t>
      </w:r>
    </w:p>
    <w:p w:rsidR="00B6275C" w:rsidRPr="002D3263" w:rsidP="00EF4CBB" w14:paraId="72D5E016" w14:textId="124AE9CB">
      <w:pPr>
        <w:pStyle w:val="Body"/>
        <w:widowControl/>
      </w:pPr>
      <w:r w:rsidRPr="002D3263">
        <w:t xml:space="preserve">The process for estimating the </w:t>
      </w:r>
      <w:r w:rsidRPr="002D3263" w:rsidR="007E50D3">
        <w:t>representative</w:t>
      </w:r>
      <w:r w:rsidRPr="002D3263">
        <w:t xml:space="preserve"> </w:t>
      </w:r>
      <w:r w:rsidRPr="002D3263" w:rsidR="009C2364">
        <w:t>re</w:t>
      </w:r>
      <w:r w:rsidR="00732A88">
        <w:t>-</w:t>
      </w:r>
      <w:r w:rsidRPr="002D3263" w:rsidR="009C2364">
        <w:t xml:space="preserve">establishment </w:t>
      </w:r>
      <w:r w:rsidRPr="002D3263">
        <w:t xml:space="preserve">payment under the </w:t>
      </w:r>
      <w:r w:rsidRPr="002D3263" w:rsidR="0035027D">
        <w:t>final</w:t>
      </w:r>
      <w:r w:rsidRPr="002D3263">
        <w:t xml:space="preserve"> rule is very similar except that the </w:t>
      </w:r>
      <w:r w:rsidRPr="002D3263" w:rsidR="00D8708B">
        <w:t>0.</w:t>
      </w:r>
      <w:r w:rsidRPr="002D3263" w:rsidR="00EB4A78">
        <w:t>8</w:t>
      </w:r>
      <w:r w:rsidRPr="002D3263" w:rsidR="003361C6">
        <w:t xml:space="preserve"> annual</w:t>
      </w:r>
      <w:r w:rsidRPr="002D3263">
        <w:t xml:space="preserve"> </w:t>
      </w:r>
      <w:r w:rsidRPr="002D3263" w:rsidR="003361C6">
        <w:t>percentage point</w:t>
      </w:r>
      <w:r w:rsidRPr="002D3263">
        <w:t xml:space="preserve"> growth in </w:t>
      </w:r>
      <w:r w:rsidRPr="002D3263" w:rsidR="00305D57">
        <w:t>non-residential</w:t>
      </w:r>
      <w:r w:rsidRPr="002D3263" w:rsidR="002A616F">
        <w:t xml:space="preserve"> displaced persons</w:t>
      </w:r>
      <w:r w:rsidRPr="002D3263">
        <w:t xml:space="preserve"> receiving the maximum payment applies to the estimate of </w:t>
      </w:r>
      <w:r w:rsidRPr="002D3263" w:rsidR="00305D57">
        <w:t>non-residential</w:t>
      </w:r>
      <w:r w:rsidRPr="002D3263" w:rsidR="00E92EE6">
        <w:t xml:space="preserve"> displaced persons </w:t>
      </w:r>
      <w:r w:rsidRPr="002D3263">
        <w:t>that receive the $</w:t>
      </w:r>
      <w:r w:rsidR="00066EBB">
        <w:t>33,200</w:t>
      </w:r>
      <w:r w:rsidRPr="002D3263">
        <w:t xml:space="preserve"> maximum rather than the $</w:t>
      </w:r>
      <w:r w:rsidRPr="002D3263" w:rsidR="005668C2">
        <w:t>10,000</w:t>
      </w:r>
      <w:r w:rsidRPr="002D3263">
        <w:t xml:space="preserve"> maximum. </w:t>
      </w:r>
      <w:r w:rsidR="00B210CA">
        <w:t xml:space="preserve"> </w:t>
      </w:r>
      <w:r w:rsidRPr="002D3263">
        <w:t xml:space="preserve">As explained above, we estimated that </w:t>
      </w:r>
      <w:r w:rsidRPr="002D3263" w:rsidR="005668C2">
        <w:t>65</w:t>
      </w:r>
      <w:r w:rsidRPr="002D3263">
        <w:t xml:space="preserve"> percent would receive the $</w:t>
      </w:r>
      <w:r w:rsidR="00066EBB">
        <w:t>33,200</w:t>
      </w:r>
      <w:r w:rsidRPr="002D3263">
        <w:t xml:space="preserve"> maximum in 2008. </w:t>
      </w:r>
      <w:r w:rsidR="00B210CA">
        <w:t xml:space="preserve"> </w:t>
      </w:r>
      <w:r w:rsidRPr="002D3263">
        <w:t>Therefore</w:t>
      </w:r>
      <w:r w:rsidRPr="002D3263" w:rsidR="00E77D78">
        <w:t>,</w:t>
      </w:r>
      <w:r w:rsidRPr="002D3263">
        <w:t xml:space="preserve"> in 2009 we </w:t>
      </w:r>
      <w:r w:rsidRPr="002D3263" w:rsidR="00E87A84">
        <w:t>assume</w:t>
      </w:r>
      <w:r w:rsidRPr="002D3263">
        <w:t xml:space="preserve"> that </w:t>
      </w:r>
      <w:r w:rsidRPr="002D3263" w:rsidR="00D8708B">
        <w:t>6</w:t>
      </w:r>
      <w:r w:rsidRPr="002D3263" w:rsidR="00EB4A78">
        <w:t>5.8</w:t>
      </w:r>
      <w:r w:rsidRPr="002D3263" w:rsidR="00D8708B">
        <w:t xml:space="preserve"> </w:t>
      </w:r>
      <w:r w:rsidRPr="002D3263" w:rsidR="005668C2">
        <w:t>percent (0.65</w:t>
      </w:r>
      <w:r w:rsidRPr="002D3263" w:rsidR="00D8708B">
        <w:t xml:space="preserve"> +0.00</w:t>
      </w:r>
      <w:r w:rsidRPr="002D3263" w:rsidR="00EB4A78">
        <w:t>8</w:t>
      </w:r>
      <w:r w:rsidRPr="002D3263">
        <w:t>) would rece</w:t>
      </w:r>
      <w:r w:rsidRPr="002D3263" w:rsidR="00D8708B">
        <w:t xml:space="preserve">ive the maximum payment. </w:t>
      </w:r>
      <w:r w:rsidR="00B210CA">
        <w:t xml:space="preserve"> </w:t>
      </w:r>
      <w:r w:rsidRPr="00A3656C" w:rsidR="00D8708B">
        <w:t xml:space="preserve">By </w:t>
      </w:r>
      <w:r w:rsidRPr="00A3656C" w:rsidR="00EF7C44">
        <w:t>2023,</w:t>
      </w:r>
      <w:r w:rsidRPr="002D3263">
        <w:t xml:space="preserve"> the first year of the analysis period, we expect that </w:t>
      </w:r>
      <w:r w:rsidRPr="002D3263" w:rsidR="00EF7C44">
        <w:t xml:space="preserve">77.0 </w:t>
      </w:r>
      <w:r w:rsidRPr="002D3263">
        <w:t xml:space="preserve">percent of </w:t>
      </w:r>
      <w:r w:rsidRPr="002D3263" w:rsidR="00305D57">
        <w:t>non-residential</w:t>
      </w:r>
      <w:r w:rsidRPr="002D3263" w:rsidR="00E92EE6">
        <w:t xml:space="preserve"> displaced persons </w:t>
      </w:r>
      <w:r w:rsidRPr="002D3263">
        <w:t>will receive the maximum amount</w:t>
      </w:r>
      <w:r w:rsidRPr="002D3263" w:rsidR="005668C2">
        <w:t xml:space="preserve">. </w:t>
      </w:r>
      <w:r w:rsidR="00B210CA">
        <w:t xml:space="preserve"> </w:t>
      </w:r>
      <w:r w:rsidRPr="002D3263" w:rsidR="005668C2">
        <w:t>The percent</w:t>
      </w:r>
      <w:r w:rsidRPr="002D3263" w:rsidR="003829AF">
        <w:t xml:space="preserve"> of </w:t>
      </w:r>
      <w:r w:rsidRPr="002D3263" w:rsidR="00305D57">
        <w:t>non-residential</w:t>
      </w:r>
      <w:r w:rsidRPr="002D3263" w:rsidR="00E92EE6">
        <w:t xml:space="preserve"> displaced persons </w:t>
      </w:r>
      <w:r w:rsidRPr="002D3263" w:rsidR="003829AF">
        <w:t>receiving the maximum is assumed to continue</w:t>
      </w:r>
      <w:r w:rsidRPr="002D3263" w:rsidR="005668C2">
        <w:t xml:space="preserve"> </w:t>
      </w:r>
      <w:r w:rsidRPr="002D3263" w:rsidR="001646F4">
        <w:t xml:space="preserve">to </w:t>
      </w:r>
      <w:r w:rsidRPr="002D3263" w:rsidR="005668C2">
        <w:t xml:space="preserve">increase by </w:t>
      </w:r>
      <w:r w:rsidRPr="002D3263" w:rsidR="00D8708B">
        <w:t>0.</w:t>
      </w:r>
      <w:r w:rsidRPr="002D3263" w:rsidR="00EB4A78">
        <w:t>8</w:t>
      </w:r>
      <w:r w:rsidRPr="002D3263" w:rsidR="005668C2">
        <w:t xml:space="preserve"> percent</w:t>
      </w:r>
      <w:r w:rsidRPr="002D3263" w:rsidR="003361C6">
        <w:t>age points</w:t>
      </w:r>
      <w:r w:rsidRPr="002D3263" w:rsidR="00D8708B">
        <w:t xml:space="preserve"> each year until </w:t>
      </w:r>
      <w:r w:rsidRPr="002D3263">
        <w:t xml:space="preserve">2025 </w:t>
      </w:r>
      <w:r w:rsidRPr="002D3263" w:rsidR="00EF7C44">
        <w:t>at which point this analysis assumes that the amounts will be adjusted for inflation</w:t>
      </w:r>
      <w:r w:rsidRPr="002D3263" w:rsidR="005668C2">
        <w:t xml:space="preserve">. </w:t>
      </w:r>
    </w:p>
    <w:p w:rsidR="00B6275C" w:rsidRPr="00BC5A99" w:rsidP="00B6275C" w14:paraId="4A594C6F" w14:textId="155B17AB">
      <w:pPr>
        <w:pStyle w:val="Body"/>
        <w:widowControl/>
      </w:pPr>
      <w:r w:rsidRPr="00BC5A99">
        <w:t xml:space="preserve">This analysis explores a scenario with adjustments </w:t>
      </w:r>
      <w:r w:rsidR="00066EBB">
        <w:t xml:space="preserve">roughly every </w:t>
      </w:r>
      <w:r w:rsidR="00A00528">
        <w:t>2-3</w:t>
      </w:r>
      <w:r w:rsidR="00335593">
        <w:t xml:space="preserve"> years</w:t>
      </w:r>
      <w:r w:rsidRPr="00BC5A99">
        <w:t xml:space="preserve"> of the analysis </w:t>
      </w:r>
      <w:r w:rsidRPr="00A3656C">
        <w:t xml:space="preserve">period (2025, 2028 and 2031). </w:t>
      </w:r>
      <w:r w:rsidR="00B210CA">
        <w:t xml:space="preserve"> </w:t>
      </w:r>
      <w:r w:rsidRPr="00A3656C">
        <w:t>An analyst seeking to update the amounts in 2025 would</w:t>
      </w:r>
      <w:r w:rsidRPr="00BC5A99">
        <w:t xml:space="preserve"> calculate the factor by dividing the most recent CPI (in 2025, the most recent CPI </w:t>
      </w:r>
      <w:r w:rsidR="00066EBB">
        <w:t xml:space="preserve">is approximated </w:t>
      </w:r>
      <w:r w:rsidRPr="00BC5A99">
        <w:t xml:space="preserve">from 2024) by the CPI from </w:t>
      </w:r>
      <w:r w:rsidR="00066EBB">
        <w:t>June 2023</w:t>
      </w:r>
      <w:r w:rsidRPr="00BC5A99">
        <w:t xml:space="preserve">. </w:t>
      </w:r>
      <w:r w:rsidR="00B210CA">
        <w:t xml:space="preserve"> </w:t>
      </w:r>
      <w:r w:rsidRPr="00BC5A99">
        <w:t xml:space="preserve">To estimate the CPI what the CPI would be in 2024, we use the most recent CPI available to us which is </w:t>
      </w:r>
      <w:r w:rsidR="00066EBB">
        <w:t>305.1</w:t>
      </w:r>
      <w:r w:rsidRPr="00BC5A99">
        <w:t xml:space="preserve"> </w:t>
      </w:r>
      <w:r w:rsidR="00066EBB">
        <w:t>June 2023</w:t>
      </w:r>
      <w:r w:rsidRPr="00BC5A99">
        <w:t xml:space="preserve"> and adjust for </w:t>
      </w:r>
      <w:r w:rsidR="00066EBB">
        <w:t>one and a half</w:t>
      </w:r>
      <w:r w:rsidRPr="00BC5A99">
        <w:t xml:space="preserve"> more </w:t>
      </w:r>
      <w:r w:rsidRPr="00BC5A99">
        <w:t>years</w:t>
      </w:r>
      <w:r w:rsidRPr="00BC5A99">
        <w:t xml:space="preserve"> of expected inflation, which The Presidents FY23 Budget puts at 2.3 percent per year.</w:t>
      </w:r>
      <w:r>
        <w:rPr>
          <w:rStyle w:val="FootnoteReference"/>
        </w:rPr>
        <w:footnoteReference w:id="30"/>
      </w:r>
      <w:r w:rsidRPr="00BC5A99">
        <w:t xml:space="preserve"> </w:t>
      </w:r>
      <w:r w:rsidR="00B210CA">
        <w:t xml:space="preserve"> </w:t>
      </w:r>
      <w:r w:rsidRPr="00BC5A99">
        <w:t xml:space="preserve">As shown in Table A15, the resulting factor is </w:t>
      </w:r>
      <w:r w:rsidRPr="00BC5A99">
        <w:t>1.</w:t>
      </w:r>
      <w:r w:rsidR="008C5E57">
        <w:t>0</w:t>
      </w:r>
      <w:r w:rsidR="00066EBB">
        <w:t>3</w:t>
      </w:r>
      <w:r w:rsidRPr="00BC5A99">
        <w:t xml:space="preserve"> (</w:t>
      </w:r>
      <w:r w:rsidR="00066EBB">
        <w:t>315.7</w:t>
      </w:r>
      <w:r w:rsidRPr="00BC5A99">
        <w:t xml:space="preserve">/ </w:t>
      </w:r>
      <w:r w:rsidR="00066EBB">
        <w:t>305.1</w:t>
      </w:r>
      <w:r w:rsidRPr="00BC5A99">
        <w:t xml:space="preserve">). </w:t>
      </w:r>
      <w:r w:rsidR="00B210CA">
        <w:t xml:space="preserve"> </w:t>
      </w:r>
      <w:r w:rsidRPr="00BC5A99">
        <w:t xml:space="preserve">Therefore, we assume that an adjustment made in 2025 would result an adjustment of </w:t>
      </w:r>
      <w:r w:rsidR="00066EBB">
        <w:t>3</w:t>
      </w:r>
      <w:r w:rsidRPr="00BC5A99">
        <w:t xml:space="preserve"> percent such that the maximum search expense would rise to $</w:t>
      </w:r>
      <w:r w:rsidR="00066EBB">
        <w:t>34,196</w:t>
      </w:r>
      <w:r w:rsidRPr="00BC5A99">
        <w:t xml:space="preserve"> in nominal dollars or $</w:t>
      </w:r>
      <w:r w:rsidR="00066EBB">
        <w:t>29,340</w:t>
      </w:r>
      <w:r w:rsidRPr="00BC5A99">
        <w:t xml:space="preserve"> when expressed in 2021 dollars. </w:t>
      </w:r>
      <w:r w:rsidR="00B210CA">
        <w:t xml:space="preserve"> </w:t>
      </w:r>
      <w:r w:rsidRPr="00BC5A99">
        <w:t>At that time, we expect that the percent of non-residential displacements receiving</w:t>
      </w:r>
      <w:r w:rsidRPr="00BC5A99" w:rsidR="002A0E31">
        <w:t xml:space="preserve"> the</w:t>
      </w:r>
      <w:r w:rsidRPr="00BC5A99">
        <w:t xml:space="preserve"> maximum amount would drop to the predicted level for 20</w:t>
      </w:r>
      <w:r w:rsidR="009B0210">
        <w:t>2</w:t>
      </w:r>
      <w:r w:rsidRPr="00BC5A99">
        <w:t xml:space="preserve">2, when a similar level of payment (in real terms) was in place. </w:t>
      </w:r>
      <w:r w:rsidR="00B210CA">
        <w:t xml:space="preserve"> </w:t>
      </w:r>
      <w:r w:rsidRPr="00BC5A99">
        <w:t xml:space="preserve">That percentage is roughly </w:t>
      </w:r>
      <w:r w:rsidR="009B0210">
        <w:t>76</w:t>
      </w:r>
      <w:r w:rsidRPr="00BC5A99" w:rsidR="008543BB">
        <w:t>.2</w:t>
      </w:r>
      <w:r w:rsidRPr="00BC5A99">
        <w:t xml:space="preserve"> percent, a drop from the </w:t>
      </w:r>
      <w:r w:rsidRPr="00BC5A99" w:rsidR="008543BB">
        <w:t>77.8</w:t>
      </w:r>
      <w:r w:rsidRPr="00BC5A99">
        <w:t xml:space="preserve"> percent expected in 2024 before the inflation adjustment. </w:t>
      </w:r>
      <w:r w:rsidR="00B210CA">
        <w:t xml:space="preserve"> </w:t>
      </w:r>
      <w:r w:rsidRPr="00BC5A99">
        <w:t xml:space="preserve">The subsequent inflation adjustments will </w:t>
      </w:r>
      <w:r w:rsidR="009B0210">
        <w:t>remain</w:t>
      </w:r>
      <w:r w:rsidRPr="00BC5A99">
        <w:t xml:space="preserve"> minor if they are done </w:t>
      </w:r>
      <w:r w:rsidRPr="00BC5A99">
        <w:t>fairly regularly</w:t>
      </w:r>
      <w:r w:rsidRPr="00BC5A99">
        <w:t xml:space="preserve"> to keep up with inflation and each subsequent inflation adjustment will move the percent of households receiving last resort payments back to its 20</w:t>
      </w:r>
      <w:r w:rsidR="009B0210">
        <w:t>2</w:t>
      </w:r>
      <w:r w:rsidRPr="00BC5A99" w:rsidR="008543BB">
        <w:t>2</w:t>
      </w:r>
      <w:r w:rsidRPr="00BC5A99">
        <w:t xml:space="preserve"> level. </w:t>
      </w:r>
    </w:p>
    <w:p w:rsidR="00EC6E74" w:rsidRPr="002D3263" w:rsidP="00EF4CBB" w14:paraId="5DF2ECB6" w14:textId="410F945A">
      <w:pPr>
        <w:pStyle w:val="Body"/>
        <w:widowControl/>
      </w:pPr>
      <w:r w:rsidRPr="002D3263">
        <w:t>The pattern for the percent receiving some amount less than the current $</w:t>
      </w:r>
      <w:r w:rsidRPr="002D3263" w:rsidR="005668C2">
        <w:t>10,</w:t>
      </w:r>
      <w:r w:rsidRPr="002D3263">
        <w:t>00</w:t>
      </w:r>
      <w:r w:rsidRPr="002D3263" w:rsidR="005668C2">
        <w:t>0</w:t>
      </w:r>
      <w:r w:rsidRPr="002D3263">
        <w:t xml:space="preserve"> follows the same pattern as was estimated for the future under the current rule</w:t>
      </w:r>
      <w:r w:rsidRPr="002D3263" w:rsidR="00E77D78">
        <w:t>,</w:t>
      </w:r>
      <w:r w:rsidRPr="002D3263">
        <w:t xml:space="preserve"> and the percent receiving some amount between $</w:t>
      </w:r>
      <w:r w:rsidRPr="002D3263" w:rsidR="005668C2">
        <w:t>10</w:t>
      </w:r>
      <w:r w:rsidRPr="002D3263">
        <w:t>,</w:t>
      </w:r>
      <w:r w:rsidRPr="002D3263" w:rsidR="005668C2">
        <w:t>0</w:t>
      </w:r>
      <w:r w:rsidRPr="002D3263" w:rsidR="003829AF">
        <w:t xml:space="preserve">00 and </w:t>
      </w:r>
      <w:r w:rsidRPr="002D3263" w:rsidR="001646F4">
        <w:t xml:space="preserve">the </w:t>
      </w:r>
      <w:r w:rsidRPr="002D3263" w:rsidR="003829AF">
        <w:t>maximum amount</w:t>
      </w:r>
      <w:r w:rsidRPr="002D3263">
        <w:t xml:space="preserve"> is </w:t>
      </w:r>
      <w:r w:rsidRPr="002D3263" w:rsidR="00A83BB3">
        <w:t xml:space="preserve">the </w:t>
      </w:r>
      <w:r w:rsidRPr="002D3263">
        <w:t>remainder</w:t>
      </w:r>
      <w:r w:rsidRPr="002D3263" w:rsidR="003829AF">
        <w:t xml:space="preserve">. </w:t>
      </w:r>
      <w:r w:rsidR="00B210CA">
        <w:t xml:space="preserve"> </w:t>
      </w:r>
      <w:r w:rsidRPr="002D3263" w:rsidR="003829AF">
        <w:t>We</w:t>
      </w:r>
      <w:r w:rsidRPr="002D3263">
        <w:t xml:space="preserve"> assume that this group receives $</w:t>
      </w:r>
      <w:r w:rsidRPr="002D3263" w:rsidR="00EB2A61">
        <w:t>2</w:t>
      </w:r>
      <w:r w:rsidR="0053392D">
        <w:t>5</w:t>
      </w:r>
      <w:r w:rsidRPr="002D3263" w:rsidR="00EB2A61">
        <w:t>,000</w:t>
      </w:r>
      <w:r w:rsidRPr="002D3263" w:rsidR="003829AF">
        <w:t xml:space="preserve"> </w:t>
      </w:r>
      <w:r w:rsidRPr="002D3263" w:rsidR="008543BB">
        <w:t xml:space="preserve">when the rule first becomes effective. </w:t>
      </w:r>
      <w:r w:rsidR="00B210CA">
        <w:t xml:space="preserve"> </w:t>
      </w:r>
      <w:r w:rsidRPr="002D3263" w:rsidR="008543BB">
        <w:t xml:space="preserve">In subsequent years it </w:t>
      </w:r>
      <w:r w:rsidRPr="002D3263" w:rsidR="005C2B26">
        <w:t>is grown at the same inflation rate as is used to determine the maximum payment amounts.</w:t>
      </w:r>
    </w:p>
    <w:p w:rsidR="0051416B" w:rsidRPr="002D3263" w:rsidP="00EF4CBB" w14:paraId="4B6FEE17" w14:textId="44086ADB">
      <w:pPr>
        <w:pStyle w:val="Body"/>
        <w:widowControl/>
      </w:pPr>
      <w:r w:rsidRPr="002D3263">
        <w:t xml:space="preserve">The results of these calculations are shown in Table </w:t>
      </w:r>
      <w:r w:rsidRPr="002D3263" w:rsidR="00963C07">
        <w:t>A3</w:t>
      </w:r>
      <w:r w:rsidRPr="002D3263">
        <w:t xml:space="preserve"> of Appendix A</w:t>
      </w:r>
      <w:r w:rsidRPr="002D3263" w:rsidR="00E77D78">
        <w:t xml:space="preserve"> of this report</w:t>
      </w:r>
      <w:r w:rsidRPr="002D3263">
        <w:t xml:space="preserve">. </w:t>
      </w:r>
      <w:r w:rsidR="00B210CA">
        <w:t xml:space="preserve"> </w:t>
      </w:r>
      <w:r w:rsidRPr="002D3263">
        <w:t xml:space="preserve">The difference in </w:t>
      </w:r>
      <w:r w:rsidRPr="002D3263" w:rsidR="007E50D3">
        <w:t>typical</w:t>
      </w:r>
      <w:r w:rsidRPr="002D3263" w:rsidR="001646F4">
        <w:t xml:space="preserve"> re</w:t>
      </w:r>
      <w:r w:rsidR="00732A88">
        <w:t>-</w:t>
      </w:r>
      <w:r w:rsidRPr="002D3263" w:rsidR="001646F4">
        <w:t xml:space="preserve">establishment </w:t>
      </w:r>
      <w:r w:rsidRPr="002D3263">
        <w:t xml:space="preserve">payment between the current rule and the </w:t>
      </w:r>
      <w:r w:rsidRPr="002D3263" w:rsidR="0035027D">
        <w:t>final</w:t>
      </w:r>
      <w:r w:rsidRPr="002D3263">
        <w:t xml:space="preserve"> rule ranges </w:t>
      </w:r>
      <w:r w:rsidRPr="002D3263" w:rsidR="003361C6">
        <w:t xml:space="preserve">from </w:t>
      </w:r>
      <w:r w:rsidRPr="002D3263" w:rsidR="005C2B26">
        <w:t xml:space="preserve">roughly </w:t>
      </w:r>
      <w:r w:rsidRPr="002D3263" w:rsidR="00825BA1">
        <w:t>$</w:t>
      </w:r>
      <w:r w:rsidR="00066EBB">
        <w:t>16,600</w:t>
      </w:r>
      <w:r w:rsidRPr="002D3263" w:rsidR="005C2B26">
        <w:t xml:space="preserve"> </w:t>
      </w:r>
      <w:r w:rsidRPr="002D3263" w:rsidR="000B68E1">
        <w:t>and</w:t>
      </w:r>
      <w:r w:rsidRPr="002D3263" w:rsidR="00825BA1">
        <w:t xml:space="preserve"> $</w:t>
      </w:r>
      <w:r w:rsidR="00066EBB">
        <w:t>18,700</w:t>
      </w:r>
      <w:r w:rsidRPr="002D3263" w:rsidR="00D8708B">
        <w:t xml:space="preserve"> in </w:t>
      </w:r>
      <w:r w:rsidRPr="002D3263" w:rsidR="00350396">
        <w:t>2021</w:t>
      </w:r>
      <w:r w:rsidRPr="002D3263">
        <w:t xml:space="preserve"> dollars over the course of the analysis period.</w:t>
      </w:r>
    </w:p>
    <w:p w:rsidR="00E762F5" w:rsidRPr="002D3263" w:rsidP="00F26826" w14:paraId="4D48DFB0" w14:textId="2924D39D">
      <w:pPr>
        <w:widowControl/>
      </w:pPr>
      <w:r w:rsidRPr="002D3263">
        <w:t xml:space="preserve">The calculations used to estimate the total change in program expenses related to </w:t>
      </w:r>
      <w:r w:rsidRPr="002D3263" w:rsidR="00606A2A">
        <w:t>re</w:t>
      </w:r>
      <w:r w:rsidR="00732A88">
        <w:t>-</w:t>
      </w:r>
      <w:r w:rsidRPr="002D3263" w:rsidR="00606A2A">
        <w:t>establishment</w:t>
      </w:r>
      <w:r w:rsidRPr="002D3263">
        <w:t xml:space="preserve"> expenses to </w:t>
      </w:r>
      <w:r w:rsidRPr="002D3263" w:rsidR="00305D57">
        <w:t>non-residential</w:t>
      </w:r>
      <w:r w:rsidRPr="002D3263" w:rsidR="002A616F">
        <w:t xml:space="preserve"> displaced persons</w:t>
      </w:r>
      <w:r w:rsidRPr="002D3263" w:rsidR="003F0E6D">
        <w:t xml:space="preserve"> </w:t>
      </w:r>
      <w:r w:rsidRPr="002D3263">
        <w:t xml:space="preserve">are shown in Table </w:t>
      </w:r>
      <w:r w:rsidRPr="002D3263" w:rsidR="00963C07">
        <w:t>A4</w:t>
      </w:r>
      <w:r w:rsidRPr="002D3263">
        <w:t xml:space="preserve"> of Appendix A</w:t>
      </w:r>
      <w:r w:rsidRPr="002D3263" w:rsidR="00E77D78">
        <w:t xml:space="preserve"> of this report</w:t>
      </w:r>
      <w:r w:rsidRPr="002D3263">
        <w:t>.</w:t>
      </w:r>
      <w:r w:rsidR="00B210CA">
        <w:t xml:space="preserve"> </w:t>
      </w:r>
      <w:r w:rsidRPr="002D3263">
        <w:t xml:space="preserve"> There are expected to be </w:t>
      </w:r>
      <w:r w:rsidRPr="002D3263" w:rsidR="00116739">
        <w:t>1,388</w:t>
      </w:r>
      <w:r w:rsidRPr="002D3263">
        <w:t xml:space="preserve"> </w:t>
      </w:r>
      <w:r w:rsidRPr="002D3263" w:rsidR="00305D57">
        <w:t>non-residential</w:t>
      </w:r>
      <w:r w:rsidRPr="002D3263" w:rsidR="003F0E6D">
        <w:t xml:space="preserve"> </w:t>
      </w:r>
      <w:r w:rsidRPr="002D3263">
        <w:t>displacements each year of the analysis period</w:t>
      </w:r>
      <w:r w:rsidRPr="002D3263" w:rsidR="00713E98">
        <w:t>,</w:t>
      </w:r>
      <w:r w:rsidRPr="002D3263">
        <w:t xml:space="preserve"> and 86 percent of the </w:t>
      </w:r>
      <w:r w:rsidRPr="002D3263" w:rsidR="00305D57">
        <w:t>non-residential</w:t>
      </w:r>
      <w:r w:rsidRPr="002D3263" w:rsidR="003F0E6D">
        <w:t xml:space="preserve"> displaced persons </w:t>
      </w:r>
      <w:r w:rsidRPr="002D3263">
        <w:t>(</w:t>
      </w:r>
      <w:r w:rsidRPr="002D3263" w:rsidR="00116739">
        <w:t>1,194</w:t>
      </w:r>
      <w:r w:rsidRPr="002D3263">
        <w:t xml:space="preserve">) are expected to choose the reimbursement option rather than the </w:t>
      </w:r>
      <w:r w:rsidRPr="002D3263" w:rsidR="000C10EE">
        <w:t xml:space="preserve">fixed </w:t>
      </w:r>
      <w:r w:rsidRPr="002D3263">
        <w:t xml:space="preserve">in-lieu-of payment. </w:t>
      </w:r>
      <w:r w:rsidR="00B210CA">
        <w:t xml:space="preserve"> </w:t>
      </w:r>
      <w:r w:rsidRPr="002D3263">
        <w:t xml:space="preserve">Of those </w:t>
      </w:r>
      <w:r w:rsidRPr="002D3263" w:rsidR="00116739">
        <w:t>1,194</w:t>
      </w:r>
      <w:r w:rsidRPr="002D3263" w:rsidR="00D8708B">
        <w:t xml:space="preserve"> </w:t>
      </w:r>
      <w:r w:rsidRPr="002D3263" w:rsidR="00713E98">
        <w:t>non-residential displacements</w:t>
      </w:r>
      <w:r w:rsidRPr="002D3263">
        <w:t xml:space="preserve">, </w:t>
      </w:r>
      <w:r w:rsidRPr="002D3263" w:rsidR="00116739">
        <w:t>9</w:t>
      </w:r>
      <w:r w:rsidR="00066EBB">
        <w:t>2</w:t>
      </w:r>
      <w:r w:rsidRPr="002D3263">
        <w:t xml:space="preserve"> percent </w:t>
      </w:r>
      <w:r w:rsidRPr="002D3263" w:rsidR="00A45BE3">
        <w:t>(</w:t>
      </w:r>
      <w:r w:rsidR="00066EBB">
        <w:t>1,101</w:t>
      </w:r>
      <w:r w:rsidRPr="002D3263" w:rsidR="00A45BE3">
        <w:t xml:space="preserve">) </w:t>
      </w:r>
      <w:r w:rsidRPr="002D3263">
        <w:t xml:space="preserve">are expected to be impacted </w:t>
      </w:r>
      <w:r w:rsidRPr="002D3263" w:rsidR="004F4851">
        <w:t>by the change to the maximum re</w:t>
      </w:r>
      <w:r w:rsidR="00732A88">
        <w:t>-</w:t>
      </w:r>
      <w:r w:rsidRPr="002D3263">
        <w:t xml:space="preserve">establishment reimbursement contained in the </w:t>
      </w:r>
      <w:r w:rsidRPr="002D3263" w:rsidR="0035027D">
        <w:t>final</w:t>
      </w:r>
      <w:r w:rsidRPr="002D3263">
        <w:t xml:space="preserve"> rule. </w:t>
      </w:r>
      <w:r w:rsidR="00B210CA">
        <w:t xml:space="preserve"> </w:t>
      </w:r>
      <w:r w:rsidRPr="002D3263">
        <w:t xml:space="preserve">The remaining </w:t>
      </w:r>
      <w:r w:rsidR="00066EBB">
        <w:t>8</w:t>
      </w:r>
      <w:r w:rsidRPr="002D3263">
        <w:t xml:space="preserve"> percent would not be impacted because </w:t>
      </w:r>
      <w:r w:rsidRPr="002D3263" w:rsidR="00D837EE">
        <w:t xml:space="preserve">some </w:t>
      </w:r>
      <w:r w:rsidRPr="002D3263" w:rsidR="00682BBD">
        <w:t>S</w:t>
      </w:r>
      <w:r w:rsidRPr="002D3263" w:rsidR="00D837EE">
        <w:t xml:space="preserve">tates have maximum amounts that are higher </w:t>
      </w:r>
      <w:r w:rsidRPr="002D3263" w:rsidR="00163ED8">
        <w:t xml:space="preserve">than </w:t>
      </w:r>
      <w:r w:rsidRPr="002D3263" w:rsidR="00D837EE">
        <w:t>the new maximum.</w:t>
      </w:r>
      <w:r w:rsidRPr="002D3263" w:rsidR="00AC30F3">
        <w:t xml:space="preserve"> </w:t>
      </w:r>
      <w:r w:rsidR="00B210CA">
        <w:t xml:space="preserve"> </w:t>
      </w:r>
      <w:r w:rsidRPr="002D3263">
        <w:t xml:space="preserve">The total change in program expenditure related to the </w:t>
      </w:r>
      <w:r w:rsidRPr="002D3263" w:rsidR="0035027D">
        <w:t>final</w:t>
      </w:r>
      <w:r w:rsidRPr="002D3263">
        <w:t xml:space="preserve"> rule is then the number of </w:t>
      </w:r>
      <w:r w:rsidRPr="002D3263" w:rsidR="00305D57">
        <w:t>non-residential</w:t>
      </w:r>
      <w:r w:rsidRPr="002D3263" w:rsidR="002A616F">
        <w:t xml:space="preserve"> displaced persons</w:t>
      </w:r>
      <w:r w:rsidRPr="002D3263">
        <w:t xml:space="preserve"> </w:t>
      </w:r>
      <w:r w:rsidRPr="002D3263" w:rsidR="00D837EE">
        <w:t>impacted by increase</w:t>
      </w:r>
      <w:r w:rsidRPr="002D3263" w:rsidR="001646F4">
        <w:t>s</w:t>
      </w:r>
      <w:r w:rsidRPr="002D3263" w:rsidR="00D837EE">
        <w:t xml:space="preserve"> in maximum re</w:t>
      </w:r>
      <w:r w:rsidR="00732A88">
        <w:t>-</w:t>
      </w:r>
      <w:r w:rsidRPr="002D3263" w:rsidR="00D837EE">
        <w:t xml:space="preserve">establishment expense </w:t>
      </w:r>
      <w:r w:rsidRPr="002D3263" w:rsidR="003F0E6D">
        <w:t xml:space="preserve">payments multiplied by </w:t>
      </w:r>
      <w:r w:rsidRPr="002D3263">
        <w:t xml:space="preserve">the difference in </w:t>
      </w:r>
      <w:r w:rsidRPr="002D3263" w:rsidR="007E50D3">
        <w:t>typical</w:t>
      </w:r>
      <w:r w:rsidRPr="002D3263">
        <w:t xml:space="preserve"> reimbursements due to the </w:t>
      </w:r>
      <w:r w:rsidRPr="002D3263" w:rsidR="0035027D">
        <w:t>final</w:t>
      </w:r>
      <w:r w:rsidRPr="002D3263">
        <w:t xml:space="preserve"> rule. </w:t>
      </w:r>
      <w:r w:rsidR="00B210CA">
        <w:t xml:space="preserve"> </w:t>
      </w:r>
      <w:r w:rsidRPr="002D3263">
        <w:t xml:space="preserve">The total change in payments related to </w:t>
      </w:r>
      <w:r w:rsidRPr="002D3263" w:rsidR="004F4851">
        <w:t>re</w:t>
      </w:r>
      <w:r w:rsidR="00732A88">
        <w:t>-</w:t>
      </w:r>
      <w:r w:rsidRPr="002D3263" w:rsidR="00606A2A">
        <w:t>establishment</w:t>
      </w:r>
      <w:r w:rsidRPr="002D3263">
        <w:t xml:space="preserve"> expenses are shown in</w:t>
      </w:r>
      <w:r w:rsidRPr="002D3263" w:rsidR="00B90FE9">
        <w:t xml:space="preserve"> </w:t>
      </w:r>
      <w:r w:rsidRPr="002D3263" w:rsidR="00A45BE3">
        <w:fldChar w:fldCharType="begin"/>
      </w:r>
      <w:r w:rsidRPr="002D3263" w:rsidR="00A45BE3">
        <w:instrText xml:space="preserve"> REF _Ref67910474 \h </w:instrText>
      </w:r>
      <w:r w:rsidR="002D3263">
        <w:instrText xml:space="preserve"> \* MERGEFORMAT </w:instrText>
      </w:r>
      <w:r w:rsidRPr="002D3263" w:rsidR="00A45BE3">
        <w:fldChar w:fldCharType="separate"/>
      </w:r>
    </w:p>
    <w:p w:rsidR="0051416B" w:rsidRPr="002D3263" w:rsidP="00F26826" w14:paraId="49673AC7" w14:textId="03FD86C6">
      <w:pPr>
        <w:widowControl/>
      </w:pPr>
      <w:r w:rsidRPr="002D3263">
        <w:t>Table</w:t>
      </w:r>
      <w:r w:rsidRPr="002D3263">
        <w:rPr>
          <w:noProof/>
        </w:rPr>
        <w:t xml:space="preserve"> </w:t>
      </w:r>
      <w:r>
        <w:rPr>
          <w:noProof/>
        </w:rPr>
        <w:t>9</w:t>
      </w:r>
      <w:r w:rsidRPr="002D3263" w:rsidR="00A45BE3">
        <w:fldChar w:fldCharType="end"/>
      </w:r>
      <w:r w:rsidRPr="002D3263" w:rsidR="00A45BE3">
        <w:t xml:space="preserve"> </w:t>
      </w:r>
      <w:r w:rsidRPr="002D3263">
        <w:t>below.</w:t>
      </w:r>
    </w:p>
    <w:p w:rsidR="006C54A9" w:rsidRPr="002D3263" w:rsidP="00EF4CBB" w14:paraId="6645DDDE" w14:textId="77777777">
      <w:pPr>
        <w:widowControl/>
      </w:pPr>
      <w:bookmarkStart w:id="122" w:name="_Ref67910474"/>
      <w:bookmarkStart w:id="123" w:name="_Ref415393104"/>
    </w:p>
    <w:p w:rsidR="00D837EE" w:rsidRPr="002D3263" w:rsidP="00E85518" w14:paraId="3AAAE83F" w14:textId="1CB11FED">
      <w:pPr>
        <w:pStyle w:val="Caption"/>
      </w:pPr>
      <w:bookmarkStart w:id="124" w:name="_Toc127438095"/>
      <w:r w:rsidRPr="002D3263">
        <w:t xml:space="preserve">Table </w:t>
      </w:r>
      <w:r w:rsidR="00F903AF">
        <w:fldChar w:fldCharType="begin"/>
      </w:r>
      <w:r w:rsidR="00F903AF">
        <w:instrText xml:space="preserve"> SEQ Tab</w:instrText>
      </w:r>
      <w:r w:rsidR="00F903AF">
        <w:instrText xml:space="preserve">le \* ARABIC </w:instrText>
      </w:r>
      <w:r w:rsidR="00F903AF">
        <w:fldChar w:fldCharType="separate"/>
      </w:r>
      <w:r w:rsidR="00E762F5">
        <w:rPr>
          <w:noProof/>
        </w:rPr>
        <w:t>9</w:t>
      </w:r>
      <w:r w:rsidR="00F903AF">
        <w:rPr>
          <w:noProof/>
        </w:rPr>
        <w:fldChar w:fldCharType="end"/>
      </w:r>
      <w:bookmarkEnd w:id="122"/>
      <w:r w:rsidRPr="002D3263">
        <w:t>.</w:t>
      </w:r>
      <w:bookmarkEnd w:id="123"/>
      <w:r w:rsidRPr="002D3263">
        <w:t xml:space="preserve"> Change in Re-establishment Expense for </w:t>
      </w:r>
      <w:r w:rsidRPr="002D3263" w:rsidR="00305D57">
        <w:t>Non-</w:t>
      </w:r>
      <w:r w:rsidRPr="002D3263" w:rsidR="00F63B6F">
        <w:t>residential Relocations</w:t>
      </w:r>
      <w:r w:rsidRPr="002D3263" w:rsidR="006D1EAB">
        <w:t xml:space="preserve"> (FHWA)</w:t>
      </w:r>
      <w:bookmarkEnd w:id="124"/>
    </w:p>
    <w:tbl>
      <w:tblPr>
        <w:tblW w:w="8335" w:type="dxa"/>
        <w:jc w:val="center"/>
        <w:tblLook w:val="04A0"/>
      </w:tblPr>
      <w:tblGrid>
        <w:gridCol w:w="990"/>
        <w:gridCol w:w="2250"/>
        <w:gridCol w:w="2205"/>
        <w:gridCol w:w="135"/>
        <w:gridCol w:w="1310"/>
        <w:gridCol w:w="1445"/>
      </w:tblGrid>
      <w:tr w14:paraId="7ACE91F7" w14:textId="77777777" w:rsidTr="006D5D1A">
        <w:tblPrEx>
          <w:tblW w:w="8335" w:type="dxa"/>
          <w:jc w:val="center"/>
          <w:tblLook w:val="04A0"/>
        </w:tblPrEx>
        <w:trPr>
          <w:trHeight w:val="585"/>
          <w:jc w:val="center"/>
        </w:trPr>
        <w:tc>
          <w:tcPr>
            <w:tcW w:w="990" w:type="dxa"/>
            <w:tcBorders>
              <w:bottom w:val="single" w:sz="12" w:space="0" w:color="auto"/>
            </w:tcBorders>
            <w:shd w:val="clear" w:color="auto" w:fill="auto"/>
            <w:hideMark/>
          </w:tcPr>
          <w:p w:rsidR="00D837EE" w:rsidRPr="002D3263" w:rsidP="00BC5A99" w14:paraId="499C8517" w14:textId="77777777">
            <w:pPr>
              <w:keepNext/>
              <w:keepLines/>
              <w:widowControl/>
              <w:jc w:val="center"/>
              <w:rPr>
                <w:b/>
              </w:rPr>
            </w:pPr>
            <w:r w:rsidRPr="002D3263">
              <w:rPr>
                <w:b/>
              </w:rPr>
              <w:t>Year</w:t>
            </w:r>
          </w:p>
        </w:tc>
        <w:tc>
          <w:tcPr>
            <w:tcW w:w="2250" w:type="dxa"/>
            <w:tcBorders>
              <w:bottom w:val="single" w:sz="12" w:space="0" w:color="auto"/>
            </w:tcBorders>
          </w:tcPr>
          <w:p w:rsidR="00D837EE" w:rsidRPr="002D3263" w:rsidP="00BC5A99" w14:paraId="14AA92C8" w14:textId="77777777">
            <w:pPr>
              <w:keepNext/>
              <w:keepLines/>
              <w:widowControl/>
              <w:jc w:val="center"/>
              <w:rPr>
                <w:b/>
              </w:rPr>
            </w:pPr>
            <w:r w:rsidRPr="002D3263">
              <w:rPr>
                <w:b/>
              </w:rPr>
              <w:t>Total Difference in Program Expenditures (nominal)</w:t>
            </w:r>
          </w:p>
        </w:tc>
        <w:tc>
          <w:tcPr>
            <w:tcW w:w="2340" w:type="dxa"/>
            <w:gridSpan w:val="2"/>
            <w:tcBorders>
              <w:bottom w:val="single" w:sz="12" w:space="0" w:color="auto"/>
            </w:tcBorders>
          </w:tcPr>
          <w:p w:rsidR="00D837EE" w:rsidRPr="002D3263" w:rsidP="00BC5A99" w14:paraId="6ECDCACF" w14:textId="4BACFAEF">
            <w:pPr>
              <w:keepNext/>
              <w:keepLines/>
              <w:widowControl/>
              <w:jc w:val="center"/>
              <w:rPr>
                <w:b/>
              </w:rPr>
            </w:pPr>
            <w:r w:rsidRPr="002D3263">
              <w:rPr>
                <w:b/>
              </w:rPr>
              <w:t>Total Differen</w:t>
            </w:r>
            <w:r w:rsidRPr="002D3263" w:rsidR="00D8708B">
              <w:rPr>
                <w:b/>
              </w:rPr>
              <w:t>ce in Program Expenditures (20</w:t>
            </w:r>
            <w:r w:rsidRPr="002D3263" w:rsidR="001E7137">
              <w:rPr>
                <w:b/>
              </w:rPr>
              <w:t>21</w:t>
            </w:r>
            <w:r w:rsidRPr="002D3263">
              <w:rPr>
                <w:b/>
              </w:rPr>
              <w:t xml:space="preserve"> $)</w:t>
            </w:r>
          </w:p>
        </w:tc>
        <w:tc>
          <w:tcPr>
            <w:tcW w:w="1310" w:type="dxa"/>
            <w:tcBorders>
              <w:bottom w:val="single" w:sz="12" w:space="0" w:color="auto"/>
            </w:tcBorders>
          </w:tcPr>
          <w:p w:rsidR="00D837EE" w:rsidRPr="002D3263" w:rsidP="00BC5A99" w14:paraId="67EA6454" w14:textId="77777777">
            <w:pPr>
              <w:keepNext/>
              <w:keepLines/>
              <w:widowControl/>
              <w:jc w:val="center"/>
              <w:rPr>
                <w:b/>
              </w:rPr>
            </w:pPr>
            <w:r w:rsidRPr="002D3263">
              <w:rPr>
                <w:b/>
              </w:rPr>
              <w:t>Discounted 7%</w:t>
            </w:r>
          </w:p>
        </w:tc>
        <w:tc>
          <w:tcPr>
            <w:tcW w:w="1445" w:type="dxa"/>
            <w:tcBorders>
              <w:bottom w:val="single" w:sz="12" w:space="0" w:color="auto"/>
            </w:tcBorders>
          </w:tcPr>
          <w:p w:rsidR="00D837EE" w:rsidRPr="002D3263" w:rsidP="00BC5A99" w14:paraId="2617D18B" w14:textId="77777777">
            <w:pPr>
              <w:keepNext/>
              <w:keepLines/>
              <w:widowControl/>
              <w:jc w:val="center"/>
              <w:rPr>
                <w:b/>
              </w:rPr>
            </w:pPr>
            <w:r w:rsidRPr="002D3263">
              <w:rPr>
                <w:b/>
              </w:rPr>
              <w:t>Discounted 3%</w:t>
            </w:r>
          </w:p>
        </w:tc>
      </w:tr>
      <w:tr w14:paraId="316317B5" w14:textId="77777777" w:rsidTr="006D5D1A">
        <w:tblPrEx>
          <w:tblW w:w="8335" w:type="dxa"/>
          <w:jc w:val="center"/>
          <w:tblLook w:val="04A0"/>
        </w:tblPrEx>
        <w:trPr>
          <w:trHeight w:val="50"/>
          <w:jc w:val="center"/>
        </w:trPr>
        <w:tc>
          <w:tcPr>
            <w:tcW w:w="990" w:type="dxa"/>
            <w:tcBorders>
              <w:top w:val="single" w:sz="12" w:space="0" w:color="auto"/>
            </w:tcBorders>
            <w:shd w:val="clear" w:color="auto" w:fill="auto"/>
            <w:vAlign w:val="center"/>
          </w:tcPr>
          <w:p w:rsidR="00B22D42" w:rsidRPr="002D3263" w:rsidP="00B22D42" w14:paraId="61C2B414" w14:textId="3A44D8F5">
            <w:pPr>
              <w:keepNext/>
              <w:keepLines/>
              <w:widowControl/>
              <w:jc w:val="center"/>
              <w:rPr>
                <w:rFonts w:ascii="Calibri" w:hAnsi="Calibri"/>
                <w:color w:val="000000"/>
              </w:rPr>
            </w:pPr>
            <w:r w:rsidRPr="00A3656C">
              <w:rPr>
                <w:rFonts w:ascii="Calibri" w:hAnsi="Calibri" w:cs="Calibri"/>
                <w:color w:val="000000"/>
              </w:rPr>
              <w:t>2023</w:t>
            </w:r>
          </w:p>
        </w:tc>
        <w:tc>
          <w:tcPr>
            <w:tcW w:w="2250" w:type="dxa"/>
            <w:tcBorders>
              <w:top w:val="single" w:sz="12" w:space="0" w:color="auto"/>
            </w:tcBorders>
            <w:vAlign w:val="center"/>
          </w:tcPr>
          <w:p w:rsidR="00B22D42" w:rsidRPr="002D3263" w:rsidP="00B22D42" w14:paraId="05834D25" w14:textId="30280E75">
            <w:pPr>
              <w:keepNext/>
              <w:keepLines/>
              <w:widowControl/>
              <w:jc w:val="center"/>
              <w:rPr>
                <w:rFonts w:ascii="Calibri" w:hAnsi="Calibri"/>
                <w:color w:val="000000"/>
              </w:rPr>
            </w:pPr>
            <w:r>
              <w:rPr>
                <w:rFonts w:ascii="Calibri" w:hAnsi="Calibri" w:cs="Calibri"/>
                <w:color w:val="000000"/>
              </w:rPr>
              <w:t xml:space="preserve">$21,319,764 </w:t>
            </w:r>
          </w:p>
        </w:tc>
        <w:tc>
          <w:tcPr>
            <w:tcW w:w="2205" w:type="dxa"/>
            <w:tcBorders>
              <w:top w:val="single" w:sz="12" w:space="0" w:color="auto"/>
            </w:tcBorders>
            <w:vAlign w:val="center"/>
          </w:tcPr>
          <w:p w:rsidR="00B22D42" w:rsidRPr="002D3263" w:rsidP="00B22D42" w14:paraId="19332ACF" w14:textId="0BBF5EA5">
            <w:pPr>
              <w:keepNext/>
              <w:keepLines/>
              <w:widowControl/>
              <w:jc w:val="center"/>
              <w:rPr>
                <w:rFonts w:ascii="Calibri" w:hAnsi="Calibri"/>
                <w:color w:val="000000"/>
              </w:rPr>
            </w:pPr>
            <w:r>
              <w:rPr>
                <w:rFonts w:ascii="Calibri" w:hAnsi="Calibri" w:cs="Calibri"/>
                <w:color w:val="000000"/>
              </w:rPr>
              <w:t xml:space="preserve">$18,718,753 </w:t>
            </w:r>
          </w:p>
        </w:tc>
        <w:tc>
          <w:tcPr>
            <w:tcW w:w="1445" w:type="dxa"/>
            <w:gridSpan w:val="2"/>
            <w:tcBorders>
              <w:top w:val="single" w:sz="12" w:space="0" w:color="auto"/>
            </w:tcBorders>
            <w:vAlign w:val="center"/>
          </w:tcPr>
          <w:p w:rsidR="00B22D42" w:rsidRPr="002D3263" w:rsidP="00B22D42" w14:paraId="5AFDFAAC" w14:textId="479EA600">
            <w:pPr>
              <w:keepNext/>
              <w:keepLines/>
              <w:widowControl/>
              <w:jc w:val="center"/>
              <w:rPr>
                <w:rFonts w:ascii="Calibri" w:hAnsi="Calibri"/>
                <w:color w:val="000000"/>
              </w:rPr>
            </w:pPr>
            <w:r>
              <w:rPr>
                <w:rFonts w:ascii="Calibri" w:hAnsi="Calibri" w:cs="Calibri"/>
                <w:color w:val="000000"/>
              </w:rPr>
              <w:t xml:space="preserve">$16,349,684 </w:t>
            </w:r>
          </w:p>
        </w:tc>
        <w:tc>
          <w:tcPr>
            <w:tcW w:w="1445" w:type="dxa"/>
            <w:tcBorders>
              <w:top w:val="single" w:sz="12" w:space="0" w:color="auto"/>
            </w:tcBorders>
            <w:vAlign w:val="center"/>
          </w:tcPr>
          <w:p w:rsidR="00B22D42" w:rsidRPr="002D3263" w:rsidP="00B22D42" w14:paraId="5C869085" w14:textId="2C532179">
            <w:pPr>
              <w:keepNext/>
              <w:keepLines/>
              <w:widowControl/>
              <w:jc w:val="center"/>
              <w:rPr>
                <w:rFonts w:ascii="Calibri" w:hAnsi="Calibri"/>
                <w:color w:val="000000"/>
              </w:rPr>
            </w:pPr>
            <w:r>
              <w:rPr>
                <w:rFonts w:ascii="Calibri" w:hAnsi="Calibri" w:cs="Calibri"/>
                <w:color w:val="000000"/>
              </w:rPr>
              <w:t xml:space="preserve">$17,644,220 </w:t>
            </w:r>
          </w:p>
        </w:tc>
      </w:tr>
      <w:tr w14:paraId="68FC16E1" w14:textId="77777777" w:rsidTr="006D5D1A">
        <w:tblPrEx>
          <w:tblW w:w="8335" w:type="dxa"/>
          <w:jc w:val="center"/>
          <w:tblLook w:val="04A0"/>
        </w:tblPrEx>
        <w:trPr>
          <w:trHeight w:val="80"/>
          <w:jc w:val="center"/>
        </w:trPr>
        <w:tc>
          <w:tcPr>
            <w:tcW w:w="990" w:type="dxa"/>
            <w:shd w:val="clear" w:color="auto" w:fill="auto"/>
            <w:noWrap/>
            <w:vAlign w:val="center"/>
          </w:tcPr>
          <w:p w:rsidR="00B22D42" w:rsidRPr="002D3263" w:rsidP="00B22D42" w14:paraId="419148FB" w14:textId="0F99003C">
            <w:pPr>
              <w:keepNext/>
              <w:keepLines/>
              <w:widowControl/>
              <w:jc w:val="center"/>
              <w:rPr>
                <w:rFonts w:ascii="Calibri" w:hAnsi="Calibri"/>
                <w:color w:val="000000"/>
              </w:rPr>
            </w:pPr>
            <w:r w:rsidRPr="002D3263">
              <w:rPr>
                <w:rFonts w:ascii="Calibri" w:hAnsi="Calibri" w:cs="Calibri"/>
                <w:color w:val="000000"/>
              </w:rPr>
              <w:t>2024</w:t>
            </w:r>
          </w:p>
        </w:tc>
        <w:tc>
          <w:tcPr>
            <w:tcW w:w="2250" w:type="dxa"/>
            <w:vAlign w:val="center"/>
          </w:tcPr>
          <w:p w:rsidR="00B22D42" w:rsidRPr="002D3263" w:rsidP="00B22D42" w14:paraId="7DA990EF" w14:textId="0C37DFC6">
            <w:pPr>
              <w:keepNext/>
              <w:keepLines/>
              <w:widowControl/>
              <w:jc w:val="center"/>
              <w:rPr>
                <w:rFonts w:ascii="Calibri" w:hAnsi="Calibri"/>
                <w:color w:val="000000"/>
              </w:rPr>
            </w:pPr>
            <w:r>
              <w:rPr>
                <w:rFonts w:ascii="Calibri" w:hAnsi="Calibri" w:cs="Calibri"/>
                <w:color w:val="000000"/>
              </w:rPr>
              <w:t xml:space="preserve">$21,524,110 </w:t>
            </w:r>
          </w:p>
        </w:tc>
        <w:tc>
          <w:tcPr>
            <w:tcW w:w="2205" w:type="dxa"/>
            <w:vAlign w:val="center"/>
          </w:tcPr>
          <w:p w:rsidR="00B22D42" w:rsidRPr="002D3263" w:rsidP="00B22D42" w14:paraId="6D2A132A" w14:textId="569066FA">
            <w:pPr>
              <w:keepNext/>
              <w:keepLines/>
              <w:widowControl/>
              <w:jc w:val="center"/>
              <w:rPr>
                <w:rFonts w:ascii="Calibri" w:hAnsi="Calibri"/>
                <w:color w:val="000000"/>
              </w:rPr>
            </w:pPr>
            <w:r>
              <w:rPr>
                <w:rFonts w:ascii="Calibri" w:hAnsi="Calibri" w:cs="Calibri"/>
                <w:color w:val="000000"/>
              </w:rPr>
              <w:t xml:space="preserve">$18,467,686 </w:t>
            </w:r>
          </w:p>
        </w:tc>
        <w:tc>
          <w:tcPr>
            <w:tcW w:w="1445" w:type="dxa"/>
            <w:gridSpan w:val="2"/>
            <w:vAlign w:val="center"/>
          </w:tcPr>
          <w:p w:rsidR="00B22D42" w:rsidRPr="002D3263" w:rsidP="00B22D42" w14:paraId="022E134B" w14:textId="7CCB5990">
            <w:pPr>
              <w:keepNext/>
              <w:keepLines/>
              <w:widowControl/>
              <w:jc w:val="center"/>
              <w:rPr>
                <w:rFonts w:ascii="Calibri" w:hAnsi="Calibri"/>
                <w:color w:val="000000"/>
              </w:rPr>
            </w:pPr>
            <w:r>
              <w:rPr>
                <w:rFonts w:ascii="Calibri" w:hAnsi="Calibri" w:cs="Calibri"/>
                <w:color w:val="000000"/>
              </w:rPr>
              <w:t xml:space="preserve">$15,075,133 </w:t>
            </w:r>
          </w:p>
        </w:tc>
        <w:tc>
          <w:tcPr>
            <w:tcW w:w="1445" w:type="dxa"/>
            <w:vAlign w:val="center"/>
          </w:tcPr>
          <w:p w:rsidR="00B22D42" w:rsidRPr="002D3263" w:rsidP="00B22D42" w14:paraId="3CA6E06A" w14:textId="2037D3DD">
            <w:pPr>
              <w:keepNext/>
              <w:keepLines/>
              <w:widowControl/>
              <w:jc w:val="center"/>
              <w:rPr>
                <w:rFonts w:ascii="Calibri" w:hAnsi="Calibri"/>
                <w:color w:val="000000"/>
              </w:rPr>
            </w:pPr>
            <w:r>
              <w:rPr>
                <w:rFonts w:ascii="Calibri" w:hAnsi="Calibri" w:cs="Calibri"/>
                <w:color w:val="000000"/>
              </w:rPr>
              <w:t xml:space="preserve">$16,900,549 </w:t>
            </w:r>
          </w:p>
        </w:tc>
      </w:tr>
      <w:tr w14:paraId="236E8DF1" w14:textId="77777777" w:rsidTr="006D5D1A">
        <w:tblPrEx>
          <w:tblW w:w="8335" w:type="dxa"/>
          <w:jc w:val="center"/>
          <w:tblLook w:val="04A0"/>
        </w:tblPrEx>
        <w:trPr>
          <w:trHeight w:val="300"/>
          <w:jc w:val="center"/>
        </w:trPr>
        <w:tc>
          <w:tcPr>
            <w:tcW w:w="990" w:type="dxa"/>
            <w:shd w:val="clear" w:color="auto" w:fill="auto"/>
            <w:noWrap/>
            <w:vAlign w:val="center"/>
          </w:tcPr>
          <w:p w:rsidR="00B22D42" w:rsidRPr="002D3263" w:rsidP="00B22D42" w14:paraId="2A069473" w14:textId="600908F6">
            <w:pPr>
              <w:keepNext/>
              <w:keepLines/>
              <w:widowControl/>
              <w:jc w:val="center"/>
              <w:rPr>
                <w:rFonts w:ascii="Calibri" w:hAnsi="Calibri"/>
                <w:color w:val="000000"/>
              </w:rPr>
            </w:pPr>
            <w:r w:rsidRPr="002D3263">
              <w:rPr>
                <w:rFonts w:ascii="Calibri" w:hAnsi="Calibri" w:cs="Calibri"/>
                <w:color w:val="000000"/>
              </w:rPr>
              <w:t>2025</w:t>
            </w:r>
          </w:p>
        </w:tc>
        <w:tc>
          <w:tcPr>
            <w:tcW w:w="2250" w:type="dxa"/>
            <w:vAlign w:val="center"/>
          </w:tcPr>
          <w:p w:rsidR="00B22D42" w:rsidRPr="002D3263" w:rsidP="00B22D42" w14:paraId="5979CA08" w14:textId="18C78427">
            <w:pPr>
              <w:keepNext/>
              <w:keepLines/>
              <w:widowControl/>
              <w:jc w:val="center"/>
              <w:rPr>
                <w:rFonts w:ascii="Calibri" w:hAnsi="Calibri"/>
                <w:color w:val="000000"/>
              </w:rPr>
            </w:pPr>
            <w:r>
              <w:rPr>
                <w:rFonts w:ascii="Calibri" w:hAnsi="Calibri" w:cs="Calibri"/>
                <w:color w:val="000000"/>
              </w:rPr>
              <w:t xml:space="preserve">$22,449,778 </w:t>
            </w:r>
          </w:p>
        </w:tc>
        <w:tc>
          <w:tcPr>
            <w:tcW w:w="2205" w:type="dxa"/>
            <w:vAlign w:val="center"/>
          </w:tcPr>
          <w:p w:rsidR="00B22D42" w:rsidRPr="002D3263" w:rsidP="00B22D42" w14:paraId="30486EF9" w14:textId="39258EDB">
            <w:pPr>
              <w:keepNext/>
              <w:keepLines/>
              <w:widowControl/>
              <w:jc w:val="center"/>
              <w:rPr>
                <w:rFonts w:ascii="Calibri" w:hAnsi="Calibri"/>
                <w:color w:val="000000"/>
              </w:rPr>
            </w:pPr>
            <w:r>
              <w:rPr>
                <w:rFonts w:ascii="Calibri" w:hAnsi="Calibri" w:cs="Calibri"/>
                <w:color w:val="000000"/>
              </w:rPr>
              <w:t xml:space="preserve">$18,835,363 </w:t>
            </w:r>
          </w:p>
        </w:tc>
        <w:tc>
          <w:tcPr>
            <w:tcW w:w="1445" w:type="dxa"/>
            <w:gridSpan w:val="2"/>
            <w:vAlign w:val="center"/>
          </w:tcPr>
          <w:p w:rsidR="00B22D42" w:rsidRPr="002D3263" w:rsidP="00B22D42" w14:paraId="65D606AB" w14:textId="70E6345C">
            <w:pPr>
              <w:keepNext/>
              <w:keepLines/>
              <w:widowControl/>
              <w:jc w:val="center"/>
              <w:rPr>
                <w:rFonts w:ascii="Calibri" w:hAnsi="Calibri"/>
                <w:color w:val="000000"/>
              </w:rPr>
            </w:pPr>
            <w:r>
              <w:rPr>
                <w:rFonts w:ascii="Calibri" w:hAnsi="Calibri" w:cs="Calibri"/>
                <w:color w:val="000000"/>
              </w:rPr>
              <w:t xml:space="preserve">$14,369,409 </w:t>
            </w:r>
          </w:p>
        </w:tc>
        <w:tc>
          <w:tcPr>
            <w:tcW w:w="1445" w:type="dxa"/>
            <w:vAlign w:val="center"/>
          </w:tcPr>
          <w:p w:rsidR="00B22D42" w:rsidRPr="002D3263" w:rsidP="00B22D42" w14:paraId="5ECAC182" w14:textId="4A738E3B">
            <w:pPr>
              <w:keepNext/>
              <w:keepLines/>
              <w:widowControl/>
              <w:jc w:val="center"/>
              <w:rPr>
                <w:rFonts w:ascii="Calibri" w:hAnsi="Calibri"/>
                <w:color w:val="000000"/>
              </w:rPr>
            </w:pPr>
            <w:r>
              <w:rPr>
                <w:rFonts w:ascii="Calibri" w:hAnsi="Calibri" w:cs="Calibri"/>
                <w:color w:val="000000"/>
              </w:rPr>
              <w:t xml:space="preserve">$16,734,976 </w:t>
            </w:r>
          </w:p>
        </w:tc>
      </w:tr>
      <w:tr w14:paraId="0749153E" w14:textId="77777777" w:rsidTr="006D5D1A">
        <w:tblPrEx>
          <w:tblW w:w="8335" w:type="dxa"/>
          <w:jc w:val="center"/>
          <w:tblLook w:val="04A0"/>
        </w:tblPrEx>
        <w:trPr>
          <w:trHeight w:val="300"/>
          <w:jc w:val="center"/>
        </w:trPr>
        <w:tc>
          <w:tcPr>
            <w:tcW w:w="990" w:type="dxa"/>
            <w:shd w:val="clear" w:color="auto" w:fill="auto"/>
            <w:noWrap/>
            <w:vAlign w:val="center"/>
          </w:tcPr>
          <w:p w:rsidR="00B22D42" w:rsidRPr="002D3263" w:rsidP="00B22D42" w14:paraId="634817BD" w14:textId="67D77FB7">
            <w:pPr>
              <w:keepNext/>
              <w:keepLines/>
              <w:widowControl/>
              <w:jc w:val="center"/>
              <w:rPr>
                <w:rFonts w:ascii="Calibri" w:hAnsi="Calibri"/>
                <w:color w:val="000000"/>
              </w:rPr>
            </w:pPr>
            <w:r w:rsidRPr="002D3263">
              <w:rPr>
                <w:rFonts w:ascii="Calibri" w:hAnsi="Calibri" w:cs="Calibri"/>
                <w:color w:val="000000"/>
              </w:rPr>
              <w:t>2026</w:t>
            </w:r>
          </w:p>
        </w:tc>
        <w:tc>
          <w:tcPr>
            <w:tcW w:w="2250" w:type="dxa"/>
            <w:vAlign w:val="center"/>
          </w:tcPr>
          <w:p w:rsidR="00B22D42" w:rsidRPr="002D3263" w:rsidP="00B22D42" w14:paraId="5FC3888C" w14:textId="4E243AFC">
            <w:pPr>
              <w:keepNext/>
              <w:keepLines/>
              <w:widowControl/>
              <w:jc w:val="center"/>
              <w:rPr>
                <w:rFonts w:ascii="Calibri" w:hAnsi="Calibri"/>
                <w:color w:val="000000"/>
              </w:rPr>
            </w:pPr>
            <w:r>
              <w:rPr>
                <w:rFonts w:ascii="Calibri" w:hAnsi="Calibri" w:cs="Calibri"/>
                <w:color w:val="000000"/>
              </w:rPr>
              <w:t xml:space="preserve">$22,662,896 </w:t>
            </w:r>
          </w:p>
        </w:tc>
        <w:tc>
          <w:tcPr>
            <w:tcW w:w="2205" w:type="dxa"/>
            <w:vAlign w:val="center"/>
          </w:tcPr>
          <w:p w:rsidR="00B22D42" w:rsidRPr="002D3263" w:rsidP="00B22D42" w14:paraId="6B5A495C" w14:textId="5EF7AF4F">
            <w:pPr>
              <w:keepNext/>
              <w:keepLines/>
              <w:widowControl/>
              <w:jc w:val="center"/>
              <w:rPr>
                <w:rFonts w:ascii="Calibri" w:hAnsi="Calibri"/>
                <w:color w:val="000000"/>
              </w:rPr>
            </w:pPr>
            <w:r>
              <w:rPr>
                <w:rFonts w:ascii="Calibri" w:hAnsi="Calibri" w:cs="Calibri"/>
                <w:color w:val="000000"/>
              </w:rPr>
              <w:t xml:space="preserve">$18,583,575 </w:t>
            </w:r>
          </w:p>
        </w:tc>
        <w:tc>
          <w:tcPr>
            <w:tcW w:w="1445" w:type="dxa"/>
            <w:gridSpan w:val="2"/>
            <w:vAlign w:val="center"/>
          </w:tcPr>
          <w:p w:rsidR="00B22D42" w:rsidRPr="002D3263" w:rsidP="00B22D42" w14:paraId="01BD3AD9" w14:textId="5F0D5AC4">
            <w:pPr>
              <w:keepNext/>
              <w:keepLines/>
              <w:widowControl/>
              <w:jc w:val="center"/>
              <w:rPr>
                <w:rFonts w:ascii="Calibri" w:hAnsi="Calibri"/>
                <w:color w:val="000000"/>
              </w:rPr>
            </w:pPr>
            <w:r>
              <w:rPr>
                <w:rFonts w:ascii="Calibri" w:hAnsi="Calibri" w:cs="Calibri"/>
                <w:color w:val="000000"/>
              </w:rPr>
              <w:t xml:space="preserve">$13,249,832 </w:t>
            </w:r>
          </w:p>
        </w:tc>
        <w:tc>
          <w:tcPr>
            <w:tcW w:w="1445" w:type="dxa"/>
            <w:vAlign w:val="center"/>
          </w:tcPr>
          <w:p w:rsidR="00B22D42" w:rsidRPr="002D3263" w:rsidP="00B22D42" w14:paraId="53874403" w14:textId="1E5FEEB7">
            <w:pPr>
              <w:keepNext/>
              <w:keepLines/>
              <w:widowControl/>
              <w:jc w:val="center"/>
              <w:rPr>
                <w:rFonts w:ascii="Calibri" w:hAnsi="Calibri"/>
                <w:color w:val="000000"/>
              </w:rPr>
            </w:pPr>
            <w:r>
              <w:rPr>
                <w:rFonts w:ascii="Calibri" w:hAnsi="Calibri" w:cs="Calibri"/>
                <w:color w:val="000000"/>
              </w:rPr>
              <w:t xml:space="preserve">$16,030,355 </w:t>
            </w:r>
          </w:p>
        </w:tc>
      </w:tr>
      <w:tr w14:paraId="73F5259F" w14:textId="77777777" w:rsidTr="006D5D1A">
        <w:tblPrEx>
          <w:tblW w:w="8335" w:type="dxa"/>
          <w:jc w:val="center"/>
          <w:tblLook w:val="04A0"/>
        </w:tblPrEx>
        <w:trPr>
          <w:trHeight w:val="300"/>
          <w:jc w:val="center"/>
        </w:trPr>
        <w:tc>
          <w:tcPr>
            <w:tcW w:w="990" w:type="dxa"/>
            <w:shd w:val="clear" w:color="auto" w:fill="auto"/>
            <w:noWrap/>
            <w:vAlign w:val="center"/>
          </w:tcPr>
          <w:p w:rsidR="00B22D42" w:rsidRPr="002D3263" w:rsidP="00B22D42" w14:paraId="19C09017" w14:textId="59DCC95E">
            <w:pPr>
              <w:keepNext/>
              <w:keepLines/>
              <w:widowControl/>
              <w:jc w:val="center"/>
              <w:rPr>
                <w:rFonts w:ascii="Calibri" w:hAnsi="Calibri"/>
                <w:color w:val="000000"/>
              </w:rPr>
            </w:pPr>
            <w:r w:rsidRPr="002D3263">
              <w:rPr>
                <w:rFonts w:ascii="Calibri" w:hAnsi="Calibri" w:cs="Calibri"/>
                <w:color w:val="000000"/>
              </w:rPr>
              <w:t>2027</w:t>
            </w:r>
          </w:p>
        </w:tc>
        <w:tc>
          <w:tcPr>
            <w:tcW w:w="2250" w:type="dxa"/>
            <w:vAlign w:val="center"/>
          </w:tcPr>
          <w:p w:rsidR="00B22D42" w:rsidRPr="002D3263" w:rsidP="00B22D42" w14:paraId="0B648E69" w14:textId="6155B054">
            <w:pPr>
              <w:keepNext/>
              <w:keepLines/>
              <w:widowControl/>
              <w:jc w:val="center"/>
              <w:rPr>
                <w:rFonts w:ascii="Calibri" w:hAnsi="Calibri"/>
                <w:color w:val="000000"/>
              </w:rPr>
            </w:pPr>
            <w:r>
              <w:rPr>
                <w:rFonts w:ascii="Calibri" w:hAnsi="Calibri" w:cs="Calibri"/>
                <w:color w:val="000000"/>
              </w:rPr>
              <w:t xml:space="preserve">$22,876,014 </w:t>
            </w:r>
          </w:p>
        </w:tc>
        <w:tc>
          <w:tcPr>
            <w:tcW w:w="2205" w:type="dxa"/>
            <w:vAlign w:val="center"/>
          </w:tcPr>
          <w:p w:rsidR="00B22D42" w:rsidRPr="002D3263" w:rsidP="00B22D42" w14:paraId="2BB813A2" w14:textId="2F5A7C28">
            <w:pPr>
              <w:keepNext/>
              <w:keepLines/>
              <w:widowControl/>
              <w:jc w:val="center"/>
              <w:rPr>
                <w:rFonts w:ascii="Calibri" w:hAnsi="Calibri"/>
                <w:color w:val="000000"/>
              </w:rPr>
            </w:pPr>
            <w:r>
              <w:rPr>
                <w:rFonts w:ascii="Calibri" w:hAnsi="Calibri" w:cs="Calibri"/>
                <w:color w:val="000000"/>
              </w:rPr>
              <w:t xml:space="preserve">$18,346,563 </w:t>
            </w:r>
          </w:p>
        </w:tc>
        <w:tc>
          <w:tcPr>
            <w:tcW w:w="1445" w:type="dxa"/>
            <w:gridSpan w:val="2"/>
            <w:vAlign w:val="center"/>
          </w:tcPr>
          <w:p w:rsidR="00B22D42" w:rsidRPr="002D3263" w:rsidP="00B22D42" w14:paraId="4FD5FE40" w14:textId="3D59C4C0">
            <w:pPr>
              <w:keepNext/>
              <w:keepLines/>
              <w:widowControl/>
              <w:jc w:val="center"/>
              <w:rPr>
                <w:rFonts w:ascii="Calibri" w:hAnsi="Calibri"/>
                <w:color w:val="000000"/>
              </w:rPr>
            </w:pPr>
            <w:r>
              <w:rPr>
                <w:rFonts w:ascii="Calibri" w:hAnsi="Calibri" w:cs="Calibri"/>
                <w:color w:val="000000"/>
              </w:rPr>
              <w:t xml:space="preserve">$12,225,090 </w:t>
            </w:r>
          </w:p>
        </w:tc>
        <w:tc>
          <w:tcPr>
            <w:tcW w:w="1445" w:type="dxa"/>
            <w:vAlign w:val="center"/>
          </w:tcPr>
          <w:p w:rsidR="00B22D42" w:rsidRPr="002D3263" w:rsidP="00B22D42" w14:paraId="5F87B344" w14:textId="37DDD8C3">
            <w:pPr>
              <w:keepNext/>
              <w:keepLines/>
              <w:widowControl/>
              <w:jc w:val="center"/>
              <w:rPr>
                <w:rFonts w:ascii="Calibri" w:hAnsi="Calibri"/>
                <w:color w:val="000000"/>
              </w:rPr>
            </w:pPr>
            <w:r>
              <w:rPr>
                <w:rFonts w:ascii="Calibri" w:hAnsi="Calibri" w:cs="Calibri"/>
                <w:color w:val="000000"/>
              </w:rPr>
              <w:t xml:space="preserve">$15,364,958 </w:t>
            </w:r>
          </w:p>
        </w:tc>
      </w:tr>
      <w:tr w14:paraId="653766D2" w14:textId="77777777" w:rsidTr="006D5D1A">
        <w:tblPrEx>
          <w:tblW w:w="8335" w:type="dxa"/>
          <w:jc w:val="center"/>
          <w:tblLook w:val="04A0"/>
        </w:tblPrEx>
        <w:trPr>
          <w:trHeight w:val="300"/>
          <w:jc w:val="center"/>
        </w:trPr>
        <w:tc>
          <w:tcPr>
            <w:tcW w:w="990" w:type="dxa"/>
            <w:shd w:val="clear" w:color="auto" w:fill="auto"/>
            <w:noWrap/>
            <w:vAlign w:val="center"/>
          </w:tcPr>
          <w:p w:rsidR="00B22D42" w:rsidRPr="002D3263" w:rsidP="00B22D42" w14:paraId="1EB13083" w14:textId="7A81D094">
            <w:pPr>
              <w:keepNext/>
              <w:keepLines/>
              <w:widowControl/>
              <w:jc w:val="center"/>
              <w:rPr>
                <w:rFonts w:ascii="Calibri" w:hAnsi="Calibri"/>
                <w:color w:val="000000"/>
              </w:rPr>
            </w:pPr>
            <w:r w:rsidRPr="002D3263">
              <w:rPr>
                <w:rFonts w:ascii="Calibri" w:hAnsi="Calibri" w:cs="Calibri"/>
                <w:color w:val="000000"/>
              </w:rPr>
              <w:t>2028</w:t>
            </w:r>
          </w:p>
        </w:tc>
        <w:tc>
          <w:tcPr>
            <w:tcW w:w="2250" w:type="dxa"/>
            <w:vAlign w:val="center"/>
          </w:tcPr>
          <w:p w:rsidR="00B22D42" w:rsidRPr="002D3263" w:rsidP="00B22D42" w14:paraId="0E9ECCDD" w14:textId="54D1709A">
            <w:pPr>
              <w:keepNext/>
              <w:keepLines/>
              <w:widowControl/>
              <w:jc w:val="center"/>
              <w:rPr>
                <w:rFonts w:ascii="Calibri" w:hAnsi="Calibri"/>
                <w:color w:val="000000"/>
              </w:rPr>
            </w:pPr>
            <w:r>
              <w:rPr>
                <w:rFonts w:ascii="Calibri" w:hAnsi="Calibri" w:cs="Calibri"/>
                <w:color w:val="000000"/>
              </w:rPr>
              <w:t xml:space="preserve">$25,168,179 </w:t>
            </w:r>
          </w:p>
        </w:tc>
        <w:tc>
          <w:tcPr>
            <w:tcW w:w="2205" w:type="dxa"/>
            <w:vAlign w:val="center"/>
          </w:tcPr>
          <w:p w:rsidR="00B22D42" w:rsidRPr="002D3263" w:rsidP="00B22D42" w14:paraId="7D25E165" w14:textId="01D9B3E4">
            <w:pPr>
              <w:keepNext/>
              <w:keepLines/>
              <w:widowControl/>
              <w:jc w:val="center"/>
              <w:rPr>
                <w:rFonts w:ascii="Calibri" w:hAnsi="Calibri"/>
                <w:color w:val="000000"/>
              </w:rPr>
            </w:pPr>
            <w:r>
              <w:rPr>
                <w:rFonts w:ascii="Calibri" w:hAnsi="Calibri" w:cs="Calibri"/>
                <w:color w:val="000000"/>
              </w:rPr>
              <w:t xml:space="preserve">$19,731,852 </w:t>
            </w:r>
          </w:p>
        </w:tc>
        <w:tc>
          <w:tcPr>
            <w:tcW w:w="1445" w:type="dxa"/>
            <w:gridSpan w:val="2"/>
            <w:vAlign w:val="center"/>
          </w:tcPr>
          <w:p w:rsidR="00B22D42" w:rsidRPr="002D3263" w:rsidP="00B22D42" w14:paraId="3144D8DA" w14:textId="17D6F38B">
            <w:pPr>
              <w:keepNext/>
              <w:keepLines/>
              <w:widowControl/>
              <w:jc w:val="center"/>
              <w:rPr>
                <w:rFonts w:ascii="Calibri" w:hAnsi="Calibri"/>
                <w:color w:val="000000"/>
              </w:rPr>
            </w:pPr>
            <w:r>
              <w:rPr>
                <w:rFonts w:ascii="Calibri" w:hAnsi="Calibri" w:cs="Calibri"/>
                <w:color w:val="000000"/>
              </w:rPr>
              <w:t xml:space="preserve">$12,288,006 </w:t>
            </w:r>
          </w:p>
        </w:tc>
        <w:tc>
          <w:tcPr>
            <w:tcW w:w="1445" w:type="dxa"/>
            <w:vAlign w:val="center"/>
          </w:tcPr>
          <w:p w:rsidR="00B22D42" w:rsidRPr="002D3263" w:rsidP="00B22D42" w14:paraId="393FF218" w14:textId="2C49DA71">
            <w:pPr>
              <w:keepNext/>
              <w:keepLines/>
              <w:widowControl/>
              <w:jc w:val="center"/>
              <w:rPr>
                <w:rFonts w:ascii="Calibri" w:hAnsi="Calibri"/>
                <w:color w:val="000000"/>
              </w:rPr>
            </w:pPr>
            <w:r>
              <w:rPr>
                <w:rFonts w:ascii="Calibri" w:hAnsi="Calibri" w:cs="Calibri"/>
                <w:color w:val="000000"/>
              </w:rPr>
              <w:t xml:space="preserve">$16,043,801 </w:t>
            </w:r>
          </w:p>
        </w:tc>
      </w:tr>
      <w:tr w14:paraId="71D5175E" w14:textId="77777777" w:rsidTr="006D5D1A">
        <w:tblPrEx>
          <w:tblW w:w="8335" w:type="dxa"/>
          <w:jc w:val="center"/>
          <w:tblLook w:val="04A0"/>
        </w:tblPrEx>
        <w:trPr>
          <w:trHeight w:val="300"/>
          <w:jc w:val="center"/>
        </w:trPr>
        <w:tc>
          <w:tcPr>
            <w:tcW w:w="990" w:type="dxa"/>
            <w:shd w:val="clear" w:color="auto" w:fill="auto"/>
            <w:noWrap/>
            <w:vAlign w:val="center"/>
          </w:tcPr>
          <w:p w:rsidR="00B22D42" w:rsidRPr="002D3263" w:rsidP="00B22D42" w14:paraId="197079E8" w14:textId="636C0423">
            <w:pPr>
              <w:keepNext/>
              <w:keepLines/>
              <w:widowControl/>
              <w:jc w:val="center"/>
              <w:rPr>
                <w:rFonts w:ascii="Calibri" w:hAnsi="Calibri"/>
                <w:color w:val="000000"/>
              </w:rPr>
            </w:pPr>
            <w:r w:rsidRPr="002D3263">
              <w:rPr>
                <w:rFonts w:ascii="Calibri" w:hAnsi="Calibri" w:cs="Calibri"/>
                <w:color w:val="000000"/>
              </w:rPr>
              <w:t>2029</w:t>
            </w:r>
          </w:p>
        </w:tc>
        <w:tc>
          <w:tcPr>
            <w:tcW w:w="2250" w:type="dxa"/>
            <w:vAlign w:val="center"/>
          </w:tcPr>
          <w:p w:rsidR="00B22D42" w:rsidRPr="002D3263" w:rsidP="00B22D42" w14:paraId="0B01772D" w14:textId="284DDB59">
            <w:pPr>
              <w:keepNext/>
              <w:keepLines/>
              <w:widowControl/>
              <w:jc w:val="center"/>
              <w:rPr>
                <w:rFonts w:ascii="Calibri" w:hAnsi="Calibri"/>
                <w:color w:val="000000"/>
              </w:rPr>
            </w:pPr>
            <w:r>
              <w:rPr>
                <w:rFonts w:ascii="Calibri" w:hAnsi="Calibri" w:cs="Calibri"/>
                <w:color w:val="000000"/>
              </w:rPr>
              <w:t xml:space="preserve">$25,402,383 </w:t>
            </w:r>
          </w:p>
        </w:tc>
        <w:tc>
          <w:tcPr>
            <w:tcW w:w="2205" w:type="dxa"/>
            <w:vAlign w:val="center"/>
          </w:tcPr>
          <w:p w:rsidR="00B22D42" w:rsidRPr="002D3263" w:rsidP="00B22D42" w14:paraId="5245AE2C" w14:textId="4DE4A4F2">
            <w:pPr>
              <w:keepNext/>
              <w:keepLines/>
              <w:widowControl/>
              <w:jc w:val="center"/>
              <w:rPr>
                <w:rFonts w:ascii="Calibri" w:hAnsi="Calibri"/>
                <w:color w:val="000000"/>
              </w:rPr>
            </w:pPr>
            <w:r>
              <w:rPr>
                <w:rFonts w:ascii="Calibri" w:hAnsi="Calibri" w:cs="Calibri"/>
                <w:color w:val="000000"/>
              </w:rPr>
              <w:t xml:space="preserve">$19,458,226 </w:t>
            </w:r>
          </w:p>
        </w:tc>
        <w:tc>
          <w:tcPr>
            <w:tcW w:w="1445" w:type="dxa"/>
            <w:gridSpan w:val="2"/>
            <w:vAlign w:val="center"/>
          </w:tcPr>
          <w:p w:rsidR="00B22D42" w:rsidRPr="002D3263" w:rsidP="00B22D42" w14:paraId="5637A9FF" w14:textId="5798B9EB">
            <w:pPr>
              <w:keepNext/>
              <w:keepLines/>
              <w:widowControl/>
              <w:jc w:val="center"/>
              <w:rPr>
                <w:rFonts w:ascii="Calibri" w:hAnsi="Calibri"/>
                <w:color w:val="000000"/>
              </w:rPr>
            </w:pPr>
            <w:r>
              <w:rPr>
                <w:rFonts w:ascii="Calibri" w:hAnsi="Calibri" w:cs="Calibri"/>
                <w:color w:val="000000"/>
              </w:rPr>
              <w:t xml:space="preserve">$11,324,865 </w:t>
            </w:r>
          </w:p>
        </w:tc>
        <w:tc>
          <w:tcPr>
            <w:tcW w:w="1445" w:type="dxa"/>
            <w:vAlign w:val="center"/>
          </w:tcPr>
          <w:p w:rsidR="00B22D42" w:rsidRPr="002D3263" w:rsidP="00B22D42" w14:paraId="30817793" w14:textId="19215CB1">
            <w:pPr>
              <w:keepNext/>
              <w:keepLines/>
              <w:widowControl/>
              <w:jc w:val="center"/>
              <w:rPr>
                <w:rFonts w:ascii="Calibri" w:hAnsi="Calibri"/>
                <w:color w:val="000000"/>
              </w:rPr>
            </w:pPr>
            <w:r>
              <w:rPr>
                <w:rFonts w:ascii="Calibri" w:hAnsi="Calibri" w:cs="Calibri"/>
                <w:color w:val="000000"/>
              </w:rPr>
              <w:t xml:space="preserve">$15,360,503 </w:t>
            </w:r>
          </w:p>
        </w:tc>
      </w:tr>
      <w:tr w14:paraId="4B2737A1" w14:textId="77777777" w:rsidTr="006D5D1A">
        <w:tblPrEx>
          <w:tblW w:w="8335" w:type="dxa"/>
          <w:jc w:val="center"/>
          <w:tblLook w:val="04A0"/>
        </w:tblPrEx>
        <w:trPr>
          <w:trHeight w:val="300"/>
          <w:jc w:val="center"/>
        </w:trPr>
        <w:tc>
          <w:tcPr>
            <w:tcW w:w="990" w:type="dxa"/>
            <w:shd w:val="clear" w:color="auto" w:fill="auto"/>
            <w:noWrap/>
            <w:vAlign w:val="center"/>
          </w:tcPr>
          <w:p w:rsidR="00B22D42" w:rsidRPr="002D3263" w:rsidP="00B22D42" w14:paraId="16EE709B" w14:textId="6BFC4A43">
            <w:pPr>
              <w:keepNext/>
              <w:keepLines/>
              <w:widowControl/>
              <w:jc w:val="center"/>
              <w:rPr>
                <w:rFonts w:ascii="Calibri" w:hAnsi="Calibri"/>
                <w:color w:val="000000"/>
              </w:rPr>
            </w:pPr>
            <w:r w:rsidRPr="002D3263">
              <w:rPr>
                <w:rFonts w:ascii="Calibri" w:hAnsi="Calibri" w:cs="Calibri"/>
                <w:color w:val="000000"/>
              </w:rPr>
              <w:t>2030</w:t>
            </w:r>
          </w:p>
        </w:tc>
        <w:tc>
          <w:tcPr>
            <w:tcW w:w="2250" w:type="dxa"/>
            <w:vAlign w:val="center"/>
          </w:tcPr>
          <w:p w:rsidR="00B22D42" w:rsidRPr="002D3263" w:rsidP="00B22D42" w14:paraId="54629CBC" w14:textId="2FEDB07E">
            <w:pPr>
              <w:keepNext/>
              <w:keepLines/>
              <w:widowControl/>
              <w:jc w:val="center"/>
              <w:rPr>
                <w:rFonts w:ascii="Calibri" w:hAnsi="Calibri"/>
                <w:color w:val="000000"/>
              </w:rPr>
            </w:pPr>
            <w:r>
              <w:rPr>
                <w:rFonts w:ascii="Calibri" w:hAnsi="Calibri" w:cs="Calibri"/>
                <w:color w:val="000000"/>
              </w:rPr>
              <w:t xml:space="preserve">$25,636,588 </w:t>
            </w:r>
          </w:p>
        </w:tc>
        <w:tc>
          <w:tcPr>
            <w:tcW w:w="2205" w:type="dxa"/>
            <w:vAlign w:val="center"/>
          </w:tcPr>
          <w:p w:rsidR="00B22D42" w:rsidRPr="002D3263" w:rsidP="00B22D42" w14:paraId="6623BB80" w14:textId="4C98A279">
            <w:pPr>
              <w:keepNext/>
              <w:keepLines/>
              <w:widowControl/>
              <w:jc w:val="center"/>
              <w:rPr>
                <w:rFonts w:ascii="Calibri" w:hAnsi="Calibri"/>
                <w:color w:val="000000"/>
              </w:rPr>
            </w:pPr>
            <w:r>
              <w:rPr>
                <w:rFonts w:ascii="Calibri" w:hAnsi="Calibri" w:cs="Calibri"/>
                <w:color w:val="000000"/>
              </w:rPr>
              <w:t xml:space="preserve">$19,201,805 </w:t>
            </w:r>
          </w:p>
        </w:tc>
        <w:tc>
          <w:tcPr>
            <w:tcW w:w="1445" w:type="dxa"/>
            <w:gridSpan w:val="2"/>
            <w:vAlign w:val="center"/>
          </w:tcPr>
          <w:p w:rsidR="00B22D42" w:rsidRPr="002D3263" w:rsidP="00B22D42" w14:paraId="03DD0A3A" w14:textId="169DC77D">
            <w:pPr>
              <w:keepNext/>
              <w:keepLines/>
              <w:widowControl/>
              <w:jc w:val="center"/>
              <w:rPr>
                <w:rFonts w:ascii="Calibri" w:hAnsi="Calibri"/>
                <w:color w:val="000000"/>
              </w:rPr>
            </w:pPr>
            <w:r>
              <w:rPr>
                <w:rFonts w:ascii="Calibri" w:hAnsi="Calibri" w:cs="Calibri"/>
                <w:color w:val="000000"/>
              </w:rPr>
              <w:t xml:space="preserve">$10,444,509 </w:t>
            </w:r>
          </w:p>
        </w:tc>
        <w:tc>
          <w:tcPr>
            <w:tcW w:w="1445" w:type="dxa"/>
            <w:vAlign w:val="center"/>
          </w:tcPr>
          <w:p w:rsidR="00B22D42" w:rsidRPr="002D3263" w:rsidP="00B22D42" w14:paraId="51DDF5B0" w14:textId="3DFABD7C">
            <w:pPr>
              <w:keepNext/>
              <w:keepLines/>
              <w:widowControl/>
              <w:jc w:val="center"/>
              <w:rPr>
                <w:rFonts w:ascii="Calibri" w:hAnsi="Calibri"/>
                <w:color w:val="000000"/>
              </w:rPr>
            </w:pPr>
            <w:r>
              <w:rPr>
                <w:rFonts w:ascii="Calibri" w:hAnsi="Calibri" w:cs="Calibri"/>
                <w:color w:val="000000"/>
              </w:rPr>
              <w:t xml:space="preserve">$14,716,584 </w:t>
            </w:r>
          </w:p>
        </w:tc>
      </w:tr>
      <w:tr w14:paraId="2AF1C2FA" w14:textId="77777777" w:rsidTr="006D5D1A">
        <w:tblPrEx>
          <w:tblW w:w="8335" w:type="dxa"/>
          <w:jc w:val="center"/>
          <w:tblLook w:val="04A0"/>
        </w:tblPrEx>
        <w:trPr>
          <w:trHeight w:val="300"/>
          <w:jc w:val="center"/>
        </w:trPr>
        <w:tc>
          <w:tcPr>
            <w:tcW w:w="990" w:type="dxa"/>
            <w:shd w:val="clear" w:color="auto" w:fill="auto"/>
            <w:noWrap/>
            <w:vAlign w:val="center"/>
          </w:tcPr>
          <w:p w:rsidR="00B22D42" w:rsidRPr="002D3263" w:rsidP="00B22D42" w14:paraId="3A8DFB66" w14:textId="1EE28BC3">
            <w:pPr>
              <w:keepNext/>
              <w:keepLines/>
              <w:widowControl/>
              <w:jc w:val="center"/>
              <w:rPr>
                <w:rFonts w:ascii="Calibri" w:hAnsi="Calibri"/>
                <w:color w:val="000000"/>
              </w:rPr>
            </w:pPr>
            <w:r w:rsidRPr="002D3263">
              <w:rPr>
                <w:rFonts w:ascii="Calibri" w:hAnsi="Calibri" w:cs="Calibri"/>
                <w:color w:val="000000"/>
              </w:rPr>
              <w:t>2031</w:t>
            </w:r>
          </w:p>
        </w:tc>
        <w:tc>
          <w:tcPr>
            <w:tcW w:w="2250" w:type="dxa"/>
            <w:vAlign w:val="center"/>
          </w:tcPr>
          <w:p w:rsidR="00B22D42" w:rsidRPr="002D3263" w:rsidP="00B22D42" w14:paraId="73F23EB6" w14:textId="574404EE">
            <w:pPr>
              <w:keepNext/>
              <w:keepLines/>
              <w:widowControl/>
              <w:jc w:val="center"/>
              <w:rPr>
                <w:rFonts w:ascii="Calibri" w:hAnsi="Calibri"/>
                <w:color w:val="000000"/>
              </w:rPr>
            </w:pPr>
            <w:r>
              <w:rPr>
                <w:rFonts w:ascii="Calibri" w:hAnsi="Calibri" w:cs="Calibri"/>
                <w:color w:val="000000"/>
              </w:rPr>
              <w:t xml:space="preserve">$28,145,770 </w:t>
            </w:r>
          </w:p>
        </w:tc>
        <w:tc>
          <w:tcPr>
            <w:tcW w:w="2205" w:type="dxa"/>
            <w:vAlign w:val="center"/>
          </w:tcPr>
          <w:p w:rsidR="00B22D42" w:rsidRPr="002D3263" w:rsidP="00B22D42" w14:paraId="2F5CB0F9" w14:textId="677DF1DB">
            <w:pPr>
              <w:keepNext/>
              <w:keepLines/>
              <w:widowControl/>
              <w:jc w:val="center"/>
              <w:rPr>
                <w:rFonts w:ascii="Calibri" w:hAnsi="Calibri"/>
                <w:color w:val="000000"/>
              </w:rPr>
            </w:pPr>
            <w:r>
              <w:rPr>
                <w:rFonts w:ascii="Calibri" w:hAnsi="Calibri" w:cs="Calibri"/>
                <w:color w:val="000000"/>
              </w:rPr>
              <w:t xml:space="preserve">$20,602,704 </w:t>
            </w:r>
          </w:p>
        </w:tc>
        <w:tc>
          <w:tcPr>
            <w:tcW w:w="1445" w:type="dxa"/>
            <w:gridSpan w:val="2"/>
            <w:vAlign w:val="center"/>
          </w:tcPr>
          <w:p w:rsidR="00B22D42" w:rsidRPr="002D3263" w:rsidP="00B22D42" w14:paraId="11FE06D1" w14:textId="65B43EC4">
            <w:pPr>
              <w:keepNext/>
              <w:keepLines/>
              <w:widowControl/>
              <w:jc w:val="center"/>
              <w:rPr>
                <w:rFonts w:ascii="Calibri" w:hAnsi="Calibri"/>
                <w:color w:val="000000"/>
              </w:rPr>
            </w:pPr>
            <w:r>
              <w:rPr>
                <w:rFonts w:ascii="Calibri" w:hAnsi="Calibri" w:cs="Calibri"/>
                <w:color w:val="000000"/>
              </w:rPr>
              <w:t xml:space="preserve">$10,473,370 </w:t>
            </w:r>
          </w:p>
        </w:tc>
        <w:tc>
          <w:tcPr>
            <w:tcW w:w="1445" w:type="dxa"/>
            <w:vAlign w:val="center"/>
          </w:tcPr>
          <w:p w:rsidR="00B22D42" w:rsidRPr="002D3263" w:rsidP="00B22D42" w14:paraId="595848E8" w14:textId="4ED8C7BC">
            <w:pPr>
              <w:keepNext/>
              <w:keepLines/>
              <w:widowControl/>
              <w:jc w:val="center"/>
              <w:rPr>
                <w:rFonts w:ascii="Calibri" w:hAnsi="Calibri"/>
                <w:color w:val="000000"/>
              </w:rPr>
            </w:pPr>
            <w:r>
              <w:rPr>
                <w:rFonts w:ascii="Calibri" w:hAnsi="Calibri" w:cs="Calibri"/>
                <w:color w:val="000000"/>
              </w:rPr>
              <w:t xml:space="preserve">$15,330,347 </w:t>
            </w:r>
          </w:p>
        </w:tc>
      </w:tr>
      <w:tr w14:paraId="3F1C0AC9" w14:textId="77777777" w:rsidTr="006D5D1A">
        <w:tblPrEx>
          <w:tblW w:w="8335" w:type="dxa"/>
          <w:jc w:val="center"/>
          <w:tblLook w:val="04A0"/>
        </w:tblPrEx>
        <w:trPr>
          <w:trHeight w:val="300"/>
          <w:jc w:val="center"/>
        </w:trPr>
        <w:tc>
          <w:tcPr>
            <w:tcW w:w="990" w:type="dxa"/>
            <w:shd w:val="clear" w:color="auto" w:fill="auto"/>
            <w:noWrap/>
            <w:vAlign w:val="center"/>
          </w:tcPr>
          <w:p w:rsidR="00B22D42" w:rsidRPr="002D3263" w:rsidP="00B22D42" w14:paraId="17D1AA5E" w14:textId="68F6674B">
            <w:pPr>
              <w:keepNext/>
              <w:keepLines/>
              <w:widowControl/>
              <w:jc w:val="center"/>
              <w:rPr>
                <w:rFonts w:ascii="Calibri" w:hAnsi="Calibri"/>
                <w:color w:val="000000"/>
              </w:rPr>
            </w:pPr>
            <w:r w:rsidRPr="002D3263">
              <w:rPr>
                <w:rFonts w:ascii="Calibri" w:hAnsi="Calibri" w:cs="Calibri"/>
                <w:color w:val="000000"/>
              </w:rPr>
              <w:t>2032</w:t>
            </w:r>
          </w:p>
        </w:tc>
        <w:tc>
          <w:tcPr>
            <w:tcW w:w="2250" w:type="dxa"/>
            <w:vAlign w:val="center"/>
          </w:tcPr>
          <w:p w:rsidR="00B22D42" w:rsidRPr="002D3263" w:rsidP="00B22D42" w14:paraId="61819ECE" w14:textId="6D734BAA">
            <w:pPr>
              <w:keepNext/>
              <w:keepLines/>
              <w:widowControl/>
              <w:jc w:val="center"/>
              <w:rPr>
                <w:rFonts w:ascii="Calibri" w:hAnsi="Calibri"/>
                <w:color w:val="000000"/>
              </w:rPr>
            </w:pPr>
            <w:r>
              <w:rPr>
                <w:rFonts w:ascii="Calibri" w:hAnsi="Calibri" w:cs="Calibri"/>
                <w:color w:val="000000"/>
              </w:rPr>
              <w:t xml:space="preserve">$28,402,532 </w:t>
            </w:r>
          </w:p>
        </w:tc>
        <w:tc>
          <w:tcPr>
            <w:tcW w:w="2205" w:type="dxa"/>
            <w:vAlign w:val="center"/>
          </w:tcPr>
          <w:p w:rsidR="00B22D42" w:rsidRPr="002D3263" w:rsidP="00B22D42" w14:paraId="44B629B1" w14:textId="7B2AA6D3">
            <w:pPr>
              <w:keepNext/>
              <w:keepLines/>
              <w:widowControl/>
              <w:jc w:val="center"/>
              <w:rPr>
                <w:rFonts w:ascii="Calibri" w:hAnsi="Calibri"/>
                <w:color w:val="000000"/>
              </w:rPr>
            </w:pPr>
            <w:r>
              <w:rPr>
                <w:rFonts w:ascii="Calibri" w:hAnsi="Calibri" w:cs="Calibri"/>
                <w:color w:val="000000"/>
              </w:rPr>
              <w:t xml:space="preserve">$20,336,213 </w:t>
            </w:r>
          </w:p>
        </w:tc>
        <w:tc>
          <w:tcPr>
            <w:tcW w:w="1445" w:type="dxa"/>
            <w:gridSpan w:val="2"/>
            <w:vAlign w:val="center"/>
          </w:tcPr>
          <w:p w:rsidR="00B22D42" w:rsidRPr="002D3263" w:rsidP="00B22D42" w14:paraId="1B6A3183" w14:textId="2E4EE66A">
            <w:pPr>
              <w:keepNext/>
              <w:keepLines/>
              <w:widowControl/>
              <w:jc w:val="center"/>
              <w:rPr>
                <w:rFonts w:ascii="Calibri" w:hAnsi="Calibri"/>
                <w:color w:val="000000"/>
              </w:rPr>
            </w:pPr>
            <w:r>
              <w:rPr>
                <w:rFonts w:ascii="Calibri" w:hAnsi="Calibri" w:cs="Calibri"/>
                <w:color w:val="000000"/>
              </w:rPr>
              <w:t xml:space="preserve">$9,661,588 </w:t>
            </w:r>
          </w:p>
        </w:tc>
        <w:tc>
          <w:tcPr>
            <w:tcW w:w="1445" w:type="dxa"/>
            <w:vAlign w:val="center"/>
          </w:tcPr>
          <w:p w:rsidR="00B22D42" w:rsidRPr="002D3263" w:rsidP="00B22D42" w14:paraId="53FA29A2" w14:textId="23EA2A6E">
            <w:pPr>
              <w:keepNext/>
              <w:keepLines/>
              <w:widowControl/>
              <w:jc w:val="center"/>
              <w:rPr>
                <w:rFonts w:ascii="Calibri" w:hAnsi="Calibri"/>
                <w:color w:val="000000"/>
              </w:rPr>
            </w:pPr>
            <w:r>
              <w:rPr>
                <w:rFonts w:ascii="Calibri" w:hAnsi="Calibri" w:cs="Calibri"/>
                <w:color w:val="000000"/>
              </w:rPr>
              <w:t xml:space="preserve">$14,691,313 </w:t>
            </w:r>
          </w:p>
        </w:tc>
      </w:tr>
      <w:tr w14:paraId="4CA77109" w14:textId="77777777" w:rsidTr="006D5D1A">
        <w:tblPrEx>
          <w:tblW w:w="8335" w:type="dxa"/>
          <w:jc w:val="center"/>
          <w:tblLook w:val="04A0"/>
        </w:tblPrEx>
        <w:trPr>
          <w:trHeight w:val="300"/>
          <w:jc w:val="center"/>
        </w:trPr>
        <w:tc>
          <w:tcPr>
            <w:tcW w:w="990" w:type="dxa"/>
            <w:tcBorders>
              <w:bottom w:val="single" w:sz="12" w:space="0" w:color="auto"/>
            </w:tcBorders>
            <w:shd w:val="clear" w:color="auto" w:fill="auto"/>
            <w:noWrap/>
            <w:vAlign w:val="center"/>
          </w:tcPr>
          <w:p w:rsidR="00B22D42" w:rsidRPr="002D3263" w:rsidP="00B22D42" w14:paraId="31D6A02E" w14:textId="1AC8F021">
            <w:pPr>
              <w:keepNext/>
              <w:keepLines/>
              <w:widowControl/>
              <w:jc w:val="center"/>
              <w:rPr>
                <w:rFonts w:ascii="Calibri" w:hAnsi="Calibri"/>
                <w:b/>
                <w:color w:val="000000"/>
              </w:rPr>
            </w:pPr>
            <w:r w:rsidRPr="002D3263">
              <w:rPr>
                <w:rFonts w:ascii="Calibri" w:hAnsi="Calibri" w:cs="Calibri"/>
                <w:b/>
                <w:bCs/>
                <w:color w:val="000000"/>
              </w:rPr>
              <w:t>Total*</w:t>
            </w:r>
          </w:p>
        </w:tc>
        <w:tc>
          <w:tcPr>
            <w:tcW w:w="2250" w:type="dxa"/>
            <w:tcBorders>
              <w:bottom w:val="single" w:sz="12" w:space="0" w:color="auto"/>
            </w:tcBorders>
            <w:vAlign w:val="center"/>
          </w:tcPr>
          <w:p w:rsidR="00B22D42" w:rsidRPr="002D3263" w:rsidP="00B22D42" w14:paraId="11CBD26A" w14:textId="696A8118">
            <w:pPr>
              <w:keepNext/>
              <w:keepLines/>
              <w:widowControl/>
              <w:jc w:val="center"/>
              <w:rPr>
                <w:rFonts w:ascii="Calibri" w:hAnsi="Calibri"/>
                <w:b/>
                <w:color w:val="000000"/>
              </w:rPr>
            </w:pPr>
            <w:r>
              <w:rPr>
                <w:rFonts w:ascii="Calibri" w:hAnsi="Calibri" w:cs="Calibri"/>
                <w:b/>
                <w:bCs/>
                <w:color w:val="000000"/>
              </w:rPr>
              <w:t xml:space="preserve">$243,588,014 </w:t>
            </w:r>
          </w:p>
        </w:tc>
        <w:tc>
          <w:tcPr>
            <w:tcW w:w="2205" w:type="dxa"/>
            <w:tcBorders>
              <w:bottom w:val="single" w:sz="12" w:space="0" w:color="auto"/>
            </w:tcBorders>
            <w:vAlign w:val="center"/>
          </w:tcPr>
          <w:p w:rsidR="00B22D42" w:rsidRPr="002D3263" w:rsidP="00B22D42" w14:paraId="5353EDD8" w14:textId="35E76C55">
            <w:pPr>
              <w:keepNext/>
              <w:keepLines/>
              <w:widowControl/>
              <w:jc w:val="center"/>
              <w:rPr>
                <w:rFonts w:ascii="Calibri" w:hAnsi="Calibri"/>
                <w:b/>
                <w:color w:val="000000"/>
              </w:rPr>
            </w:pPr>
            <w:r>
              <w:rPr>
                <w:rFonts w:ascii="Calibri" w:hAnsi="Calibri" w:cs="Calibri"/>
                <w:b/>
                <w:bCs/>
                <w:color w:val="000000"/>
              </w:rPr>
              <w:t xml:space="preserve">$192,282,740 </w:t>
            </w:r>
          </w:p>
        </w:tc>
        <w:tc>
          <w:tcPr>
            <w:tcW w:w="1445" w:type="dxa"/>
            <w:gridSpan w:val="2"/>
            <w:tcBorders>
              <w:bottom w:val="single" w:sz="12" w:space="0" w:color="auto"/>
            </w:tcBorders>
            <w:vAlign w:val="center"/>
          </w:tcPr>
          <w:p w:rsidR="00B22D42" w:rsidRPr="002D3263" w:rsidP="00B22D42" w14:paraId="55D8604B" w14:textId="0A33C0F7">
            <w:pPr>
              <w:keepNext/>
              <w:keepLines/>
              <w:widowControl/>
              <w:jc w:val="center"/>
              <w:rPr>
                <w:rFonts w:ascii="Calibri" w:hAnsi="Calibri"/>
                <w:b/>
                <w:color w:val="000000"/>
              </w:rPr>
            </w:pPr>
            <w:r>
              <w:rPr>
                <w:rFonts w:ascii="Calibri" w:hAnsi="Calibri" w:cs="Calibri"/>
                <w:b/>
                <w:bCs/>
                <w:color w:val="000000"/>
              </w:rPr>
              <w:t xml:space="preserve">$125,461,485 </w:t>
            </w:r>
          </w:p>
        </w:tc>
        <w:tc>
          <w:tcPr>
            <w:tcW w:w="1445" w:type="dxa"/>
            <w:tcBorders>
              <w:bottom w:val="single" w:sz="12" w:space="0" w:color="auto"/>
            </w:tcBorders>
            <w:vAlign w:val="center"/>
          </w:tcPr>
          <w:p w:rsidR="00B22D42" w:rsidRPr="002D3263" w:rsidP="00B22D42" w14:paraId="68F2FB81" w14:textId="7E7E6D2A">
            <w:pPr>
              <w:keepNext/>
              <w:keepLines/>
              <w:widowControl/>
              <w:jc w:val="center"/>
              <w:rPr>
                <w:rFonts w:ascii="Calibri" w:hAnsi="Calibri"/>
                <w:b/>
                <w:color w:val="000000"/>
              </w:rPr>
            </w:pPr>
            <w:r>
              <w:rPr>
                <w:rFonts w:ascii="Calibri" w:hAnsi="Calibri" w:cs="Calibri"/>
                <w:b/>
                <w:bCs/>
                <w:color w:val="000000"/>
              </w:rPr>
              <w:t xml:space="preserve">$158,817,606 </w:t>
            </w:r>
          </w:p>
        </w:tc>
      </w:tr>
      <w:tr w14:paraId="25ADBAFF" w14:textId="77777777" w:rsidTr="008A4DC9">
        <w:tblPrEx>
          <w:tblW w:w="8335" w:type="dxa"/>
          <w:jc w:val="center"/>
          <w:tblLook w:val="04A0"/>
        </w:tblPrEx>
        <w:trPr>
          <w:trHeight w:val="300"/>
          <w:jc w:val="center"/>
        </w:trPr>
        <w:tc>
          <w:tcPr>
            <w:tcW w:w="8335" w:type="dxa"/>
            <w:gridSpan w:val="6"/>
            <w:tcBorders>
              <w:top w:val="single" w:sz="12" w:space="0" w:color="auto"/>
            </w:tcBorders>
            <w:shd w:val="clear" w:color="auto" w:fill="auto"/>
            <w:noWrap/>
            <w:vAlign w:val="center"/>
          </w:tcPr>
          <w:p w:rsidR="00973CCE" w:rsidP="00BC5A99" w14:paraId="25C7DD37" w14:textId="77777777">
            <w:pPr>
              <w:keepLines/>
              <w:widowControl/>
              <w:rPr>
                <w:rFonts w:ascii="Calibri" w:hAnsi="Calibri"/>
                <w:color w:val="000000"/>
              </w:rPr>
            </w:pPr>
            <w:r w:rsidRPr="002D3263">
              <w:rPr>
                <w:rFonts w:ascii="Calibri" w:hAnsi="Calibri"/>
                <w:color w:val="000000"/>
              </w:rPr>
              <w:t>*Totals may not match sums due to rounding</w:t>
            </w:r>
          </w:p>
          <w:p w:rsidR="00F26826" w:rsidRPr="002D3263" w:rsidP="00BC5A99" w14:paraId="4EA832B2" w14:textId="240D1ABF">
            <w:pPr>
              <w:keepLines/>
              <w:widowControl/>
              <w:rPr>
                <w:rFonts w:ascii="Calibri" w:hAnsi="Calibri"/>
                <w:b/>
                <w:color w:val="000000"/>
              </w:rPr>
            </w:pPr>
          </w:p>
        </w:tc>
      </w:tr>
    </w:tbl>
    <w:p w:rsidR="008F2FFC" w:rsidRPr="002D3263" w:rsidP="00C53C33" w14:paraId="14EB846F" w14:textId="77777777">
      <w:pPr>
        <w:pStyle w:val="Heading2"/>
      </w:pPr>
      <w:bookmarkStart w:id="125" w:name="_Toc127438047"/>
      <w:r w:rsidRPr="002D3263">
        <w:t>Fixed</w:t>
      </w:r>
      <w:r w:rsidRPr="002D3263">
        <w:t xml:space="preserve"> Payment</w:t>
      </w:r>
      <w:r w:rsidRPr="002D3263">
        <w:t xml:space="preserve"> </w:t>
      </w:r>
      <w:r w:rsidRPr="002D3263" w:rsidR="00713E98">
        <w:t xml:space="preserve">In-Lieu-of </w:t>
      </w:r>
      <w:r w:rsidRPr="002D3263" w:rsidR="00551E08">
        <w:t>Moving Expenses</w:t>
      </w:r>
      <w:bookmarkEnd w:id="125"/>
      <w:r w:rsidRPr="002D3263">
        <w:t xml:space="preserve"> </w:t>
      </w:r>
    </w:p>
    <w:p w:rsidR="008F2FFC" w:rsidRPr="002D3263" w:rsidP="00E85518" w14:paraId="2A4447DA" w14:textId="03FDB4CE">
      <w:pPr>
        <w:widowControl/>
        <w:spacing w:after="240"/>
      </w:pPr>
      <w:r w:rsidRPr="002D3263">
        <w:t>Rather than submitting documentation for reimbursement of actual expenses related to</w:t>
      </w:r>
      <w:r w:rsidRPr="002D3263" w:rsidR="001829EF">
        <w:t xml:space="preserve"> search, moving, and re</w:t>
      </w:r>
      <w:r w:rsidR="00732A88">
        <w:t>-</w:t>
      </w:r>
      <w:r w:rsidRPr="002D3263">
        <w:t>establishment expenses</w:t>
      </w:r>
      <w:r w:rsidRPr="002D3263" w:rsidR="001829EF">
        <w:t xml:space="preserve">, </w:t>
      </w:r>
      <w:r w:rsidRPr="002D3263" w:rsidR="00F63B6F">
        <w:t>certain</w:t>
      </w:r>
      <w:r w:rsidRPr="002D3263">
        <w:t xml:space="preserve"> </w:t>
      </w:r>
      <w:r w:rsidRPr="002D3263" w:rsidR="00305D57">
        <w:t>non-residential</w:t>
      </w:r>
      <w:r w:rsidRPr="002D3263" w:rsidR="00F63B6F">
        <w:t xml:space="preserve"> displaced persons</w:t>
      </w:r>
      <w:r w:rsidRPr="002D3263">
        <w:t xml:space="preserve"> can </w:t>
      </w:r>
      <w:r w:rsidRPr="002D3263" w:rsidR="00551E08">
        <w:t>choose</w:t>
      </w:r>
      <w:r w:rsidRPr="002D3263">
        <w:t xml:space="preserve"> a one-time </w:t>
      </w:r>
      <w:r w:rsidRPr="002D3263" w:rsidR="00551E08">
        <w:t xml:space="preserve">fixed payment of moving expenses </w:t>
      </w:r>
      <w:r w:rsidRPr="002D3263">
        <w:t>“in-lieu-of</w:t>
      </w:r>
      <w:r w:rsidRPr="002D3263" w:rsidR="00713E98">
        <w:t xml:space="preserve">” </w:t>
      </w:r>
      <w:r w:rsidRPr="002D3263" w:rsidR="00886AF3">
        <w:t>these benefits</w:t>
      </w:r>
      <w:r w:rsidRPr="002D3263" w:rsidR="001646F4">
        <w:t>.</w:t>
      </w:r>
      <w:r w:rsidRPr="002D3263">
        <w:t xml:space="preserve"> </w:t>
      </w:r>
      <w:r w:rsidR="00B210CA">
        <w:t xml:space="preserve"> </w:t>
      </w:r>
      <w:r w:rsidRPr="002D3263" w:rsidR="00EB2A61">
        <w:t>T</w:t>
      </w:r>
      <w:r w:rsidRPr="002D3263">
        <w:t>he payment a</w:t>
      </w:r>
      <w:r w:rsidRPr="002D3263" w:rsidR="00F63B6F">
        <w:t>mount is</w:t>
      </w:r>
      <w:r w:rsidRPr="002D3263">
        <w:t xml:space="preserve"> the average </w:t>
      </w:r>
      <w:r w:rsidRPr="002D3263" w:rsidR="00544E9F">
        <w:t xml:space="preserve">annual net earnings during the </w:t>
      </w:r>
      <w:r w:rsidRPr="002D3263" w:rsidR="00682BBD">
        <w:t>2</w:t>
      </w:r>
      <w:r w:rsidRPr="002D3263" w:rsidR="00544E9F">
        <w:t xml:space="preserve"> years prior to the displacement</w:t>
      </w:r>
      <w:r w:rsidRPr="002D3263" w:rsidR="00886AF3">
        <w:t>,</w:t>
      </w:r>
      <w:r w:rsidRPr="002D3263" w:rsidR="0058772E">
        <w:t xml:space="preserve"> up to the </w:t>
      </w:r>
      <w:r w:rsidRPr="002D3263" w:rsidR="00382AB1">
        <w:t xml:space="preserve">pre-MAP-21 baseline </w:t>
      </w:r>
      <w:r w:rsidRPr="002D3263" w:rsidR="0058772E">
        <w:t>maximum amount</w:t>
      </w:r>
      <w:r w:rsidRPr="002D3263" w:rsidR="00886AF3">
        <w:t xml:space="preserve"> of</w:t>
      </w:r>
      <w:r w:rsidRPr="002D3263" w:rsidR="0058772E">
        <w:t xml:space="preserve"> $20,000.</w:t>
      </w:r>
      <w:r w:rsidR="00B210CA">
        <w:t xml:space="preserve"> </w:t>
      </w:r>
      <w:r w:rsidRPr="002D3263" w:rsidR="0058772E">
        <w:t xml:space="preserve"> The </w:t>
      </w:r>
      <w:r w:rsidRPr="002D3263" w:rsidR="0035027D">
        <w:t>final</w:t>
      </w:r>
      <w:r w:rsidRPr="002D3263" w:rsidR="0058772E">
        <w:t xml:space="preserve"> rule increases this amount to $</w:t>
      </w:r>
      <w:r w:rsidR="00AA123A">
        <w:t>53,200</w:t>
      </w:r>
      <w:r w:rsidRPr="002D3263" w:rsidR="00283205">
        <w:t>, a difference of $</w:t>
      </w:r>
      <w:r w:rsidR="00AA123A">
        <w:t>33,200</w:t>
      </w:r>
      <w:r w:rsidRPr="002D3263" w:rsidR="0058772E">
        <w:t xml:space="preserve">. As mentioned above, approximately 14 percent of non-residential displacements chose the in-lieu-of payment rather than reimbursements. </w:t>
      </w:r>
    </w:p>
    <w:p w:rsidR="008543FE" w:rsidRPr="002D3263" w:rsidP="00EF4CBB" w14:paraId="18855282" w14:textId="77777777">
      <w:pPr>
        <w:pStyle w:val="Heading3"/>
        <w:keepNext/>
        <w:widowControl/>
      </w:pPr>
      <w:bookmarkStart w:id="126" w:name="_Toc127438048"/>
      <w:r w:rsidRPr="002D3263">
        <w:t>Benefits</w:t>
      </w:r>
      <w:bookmarkEnd w:id="126"/>
    </w:p>
    <w:p w:rsidR="00292EC0" w:rsidRPr="002D3263" w:rsidP="00EF4CBB" w14:paraId="4DBB16AC" w14:textId="57438558">
      <w:pPr>
        <w:pStyle w:val="Body"/>
        <w:widowControl/>
      </w:pPr>
      <w:r w:rsidRPr="002D3263">
        <w:t>Although the in-lieu-of payment is not strictly a reimbursement, its goal is t</w:t>
      </w:r>
      <w:r w:rsidRPr="002D3263" w:rsidR="00E718F7">
        <w:t xml:space="preserve">o compensate </w:t>
      </w:r>
      <w:r w:rsidRPr="002D3263" w:rsidR="00305D57">
        <w:t>non-residential</w:t>
      </w:r>
      <w:r w:rsidRPr="002D3263" w:rsidR="00886AF3">
        <w:t xml:space="preserve"> displaced</w:t>
      </w:r>
      <w:r w:rsidRPr="002D3263" w:rsidR="00F63B6F">
        <w:t xml:space="preserve"> persons</w:t>
      </w:r>
      <w:r w:rsidRPr="002D3263" w:rsidR="00E718F7">
        <w:t xml:space="preserve"> for their </w:t>
      </w:r>
      <w:r w:rsidRPr="002D3263">
        <w:t xml:space="preserve">relocation expenses while at the same time imposing a minimum amount of paperwork </w:t>
      </w:r>
      <w:r w:rsidRPr="002D3263" w:rsidR="007B1849">
        <w:t>f</w:t>
      </w:r>
      <w:r w:rsidRPr="002D3263">
        <w:t>or</w:t>
      </w:r>
      <w:r w:rsidRPr="002D3263" w:rsidR="00075F59">
        <w:t xml:space="preserve"> a</w:t>
      </w:r>
      <w:r w:rsidRPr="002D3263" w:rsidR="00E72757">
        <w:t xml:space="preserve">n </w:t>
      </w:r>
      <w:r w:rsidR="007D41B2">
        <w:t>A</w:t>
      </w:r>
      <w:r w:rsidRPr="002D3263" w:rsidR="00E72757">
        <w:t>genc</w:t>
      </w:r>
      <w:r w:rsidRPr="002D3263" w:rsidR="00221B85">
        <w:t>y</w:t>
      </w:r>
      <w:r w:rsidRPr="002D3263" w:rsidR="00E72757">
        <w:t xml:space="preserve"> and</w:t>
      </w:r>
      <w:r w:rsidRPr="002D3263" w:rsidR="00075F59">
        <w:t xml:space="preserve"> displaced person</w:t>
      </w:r>
      <w:r w:rsidRPr="002D3263" w:rsidR="003A4E98">
        <w:t>’</w:t>
      </w:r>
      <w:r w:rsidRPr="002D3263" w:rsidR="00075F59">
        <w:t>s</w:t>
      </w:r>
      <w:r w:rsidRPr="002D3263">
        <w:t xml:space="preserve"> administrative burden.</w:t>
      </w:r>
      <w:r w:rsidR="00B210CA">
        <w:t xml:space="preserve"> </w:t>
      </w:r>
      <w:r w:rsidRPr="002D3263">
        <w:t xml:space="preserve"> It provides an alternative method of receiving reimbursement for costs associated with a move.</w:t>
      </w:r>
      <w:r w:rsidR="00B210CA">
        <w:t xml:space="preserve"> </w:t>
      </w:r>
      <w:r w:rsidRPr="002D3263">
        <w:t xml:space="preserve"> Some </w:t>
      </w:r>
      <w:r w:rsidRPr="002D3263" w:rsidR="00305D57">
        <w:t>non-residential</w:t>
      </w:r>
      <w:r w:rsidRPr="002D3263" w:rsidR="00886AF3">
        <w:t xml:space="preserve"> displaced persons </w:t>
      </w:r>
      <w:r w:rsidRPr="002D3263">
        <w:t>may choose the in-lieu-of payment because they do not yet know where they will relocate</w:t>
      </w:r>
      <w:r w:rsidRPr="002D3263" w:rsidR="00713E98">
        <w:t>,</w:t>
      </w:r>
      <w:r w:rsidRPr="002D3263">
        <w:t xml:space="preserve"> and the payment will allow them</w:t>
      </w:r>
      <w:r w:rsidRPr="002D3263" w:rsidR="002865B1">
        <w:t xml:space="preserve"> </w:t>
      </w:r>
      <w:r w:rsidRPr="002D3263">
        <w:t xml:space="preserve">access to funds prior to </w:t>
      </w:r>
      <w:r w:rsidRPr="002D3263">
        <w:t>actually incurring</w:t>
      </w:r>
      <w:r w:rsidRPr="002D3263">
        <w:t xml:space="preserve"> expenses. </w:t>
      </w:r>
      <w:r w:rsidR="00B210CA">
        <w:t xml:space="preserve"> </w:t>
      </w:r>
      <w:r w:rsidRPr="002D3263" w:rsidR="00014CCE">
        <w:t>Therefore,</w:t>
      </w:r>
      <w:r w:rsidRPr="002D3263">
        <w:t xml:space="preserve"> the benefit of th</w:t>
      </w:r>
      <w:r w:rsidRPr="002D3263" w:rsidR="001646F4">
        <w:t>is</w:t>
      </w:r>
      <w:r w:rsidRPr="002D3263">
        <w:t xml:space="preserve"> option relates to reduced administrative burden on the part of the </w:t>
      </w:r>
      <w:r w:rsidR="007D41B2">
        <w:t>A</w:t>
      </w:r>
      <w:r w:rsidRPr="002D3263">
        <w:t xml:space="preserve">gency and of the </w:t>
      </w:r>
      <w:r w:rsidRPr="002D3263" w:rsidR="00305D57">
        <w:t>non-residential</w:t>
      </w:r>
      <w:r w:rsidRPr="002D3263" w:rsidR="00F63B6F">
        <w:t xml:space="preserve"> displaced persons</w:t>
      </w:r>
      <w:r w:rsidRPr="002D3263">
        <w:t>.</w:t>
      </w:r>
    </w:p>
    <w:p w:rsidR="00292EC0" w:rsidRPr="002D3263" w:rsidP="00EF4CBB" w14:paraId="00BA083A" w14:textId="545F788E">
      <w:pPr>
        <w:pStyle w:val="Body"/>
        <w:widowControl/>
      </w:pPr>
      <w:r w:rsidRPr="002D3263">
        <w:t xml:space="preserve">In relation to this </w:t>
      </w:r>
      <w:r w:rsidRPr="002D3263" w:rsidR="0035027D">
        <w:t>final</w:t>
      </w:r>
      <w:r w:rsidRPr="002D3263">
        <w:t xml:space="preserve"> rule, it is possible that changing the maximum amount of the </w:t>
      </w:r>
      <w:r w:rsidRPr="002D3263" w:rsidR="00886AF3">
        <w:t xml:space="preserve">fixed </w:t>
      </w:r>
      <w:r w:rsidRPr="002D3263">
        <w:t xml:space="preserve">payment may increase the number of </w:t>
      </w:r>
      <w:r w:rsidRPr="002D3263" w:rsidR="00713E98">
        <w:t xml:space="preserve">non-residential displaced persons </w:t>
      </w:r>
      <w:r w:rsidRPr="002D3263">
        <w:t>choosing this option</w:t>
      </w:r>
      <w:r w:rsidRPr="002D3263" w:rsidR="00713E98">
        <w:t>,</w:t>
      </w:r>
      <w:r w:rsidRPr="002D3263">
        <w:t xml:space="preserve"> and therefore reduce the administrative costs of the program</w:t>
      </w:r>
      <w:r w:rsidRPr="002D3263" w:rsidR="00E72757">
        <w:t xml:space="preserve"> for both </w:t>
      </w:r>
      <w:r w:rsidR="0059129A">
        <w:t>Agencies</w:t>
      </w:r>
      <w:r w:rsidRPr="002D3263" w:rsidR="00E72757">
        <w:t xml:space="preserve"> and displaced persons</w:t>
      </w:r>
      <w:r w:rsidRPr="002D3263">
        <w:t>.</w:t>
      </w:r>
      <w:r w:rsidR="00B210CA">
        <w:t xml:space="preserve"> </w:t>
      </w:r>
      <w:r w:rsidRPr="002D3263">
        <w:t xml:space="preserve"> However, no data </w:t>
      </w:r>
      <w:r w:rsidRPr="002D3263">
        <w:t>exists upon which to estimate the magnitude of that potential impact.</w:t>
      </w:r>
      <w:r w:rsidR="00B210CA">
        <w:t xml:space="preserve"> </w:t>
      </w:r>
      <w:r w:rsidRPr="002D3263">
        <w:t xml:space="preserve"> More broadly, increas</w:t>
      </w:r>
      <w:r w:rsidRPr="002D3263" w:rsidR="00E718F7">
        <w:t>ing</w:t>
      </w:r>
      <w:r w:rsidRPr="002D3263">
        <w:t xml:space="preserve"> the maximum payment associated with the </w:t>
      </w:r>
      <w:r w:rsidRPr="002D3263" w:rsidR="00886AF3">
        <w:t xml:space="preserve">fixed </w:t>
      </w:r>
      <w:r w:rsidRPr="002D3263">
        <w:t xml:space="preserve">payment will serve to achieve the equity and fairness goals of the Uniform Act by providing a higher level of compensation to </w:t>
      </w:r>
      <w:r w:rsidRPr="002D3263" w:rsidR="00305D57">
        <w:t>non-residential</w:t>
      </w:r>
      <w:r w:rsidRPr="002D3263" w:rsidR="00886AF3">
        <w:t xml:space="preserve"> displaced persons</w:t>
      </w:r>
      <w:r w:rsidRPr="002D3263" w:rsidR="001646F4">
        <w:t>.</w:t>
      </w:r>
      <w:r w:rsidRPr="002D3263" w:rsidR="006158D6">
        <w:t xml:space="preserve"> </w:t>
      </w:r>
      <w:r w:rsidR="00B210CA">
        <w:t xml:space="preserve"> </w:t>
      </w:r>
      <w:r w:rsidRPr="002D3263" w:rsidR="006158D6">
        <w:t>As discussed in preceding sections of this document, there is significant evidence that under the current rules</w:t>
      </w:r>
      <w:r w:rsidRPr="002D3263" w:rsidR="003A4E98">
        <w:t>,</w:t>
      </w:r>
      <w:r w:rsidRPr="002D3263" w:rsidR="006158D6">
        <w:t xml:space="preserve"> businesses often incur costs above the amounts of payments allowed.</w:t>
      </w:r>
      <w:r w:rsidRPr="002D3263" w:rsidR="00EB2A61">
        <w:t xml:space="preserve"> </w:t>
      </w:r>
      <w:r w:rsidR="00B210CA">
        <w:t xml:space="preserve"> </w:t>
      </w:r>
      <w:r w:rsidRPr="002D3263" w:rsidR="00EB2A61">
        <w:t xml:space="preserve">Increasing the amount of the </w:t>
      </w:r>
      <w:r w:rsidRPr="002D3263" w:rsidR="00886AF3">
        <w:t xml:space="preserve">fixed </w:t>
      </w:r>
      <w:r w:rsidRPr="002D3263" w:rsidR="00EB2A61">
        <w:t xml:space="preserve">payment may also result in more </w:t>
      </w:r>
      <w:r w:rsidRPr="002D3263" w:rsidR="00305D57">
        <w:t>non-residential</w:t>
      </w:r>
      <w:r w:rsidRPr="002D3263" w:rsidR="00886AF3">
        <w:t xml:space="preserve"> displaced persons</w:t>
      </w:r>
      <w:r w:rsidRPr="002D3263" w:rsidR="00EB2A61">
        <w:t xml:space="preserve"> successfully relocating.</w:t>
      </w:r>
    </w:p>
    <w:p w:rsidR="008543FE" w:rsidRPr="002D3263" w:rsidP="00EF4CBB" w14:paraId="7BDA493F" w14:textId="77777777">
      <w:pPr>
        <w:pStyle w:val="Heading3"/>
        <w:widowControl/>
      </w:pPr>
      <w:bookmarkStart w:id="127" w:name="_Toc127438049"/>
      <w:r w:rsidRPr="002D3263">
        <w:t>Transfers (Increased Program Expenditures)</w:t>
      </w:r>
      <w:bookmarkEnd w:id="127"/>
      <w:r w:rsidRPr="002D3263">
        <w:t xml:space="preserve"> </w:t>
      </w:r>
    </w:p>
    <w:p w:rsidR="00283205" w:rsidRPr="002D3263" w:rsidP="00EF4CBB" w14:paraId="0038EE3A" w14:textId="77777777">
      <w:pPr>
        <w:pStyle w:val="Body"/>
        <w:widowControl/>
      </w:pPr>
      <w:r w:rsidRPr="002D3263">
        <w:t>Because the in-li</w:t>
      </w:r>
      <w:r w:rsidRPr="002D3263" w:rsidR="00F63B6F">
        <w:t>eu-of payment is compensating non-residential displaced persons</w:t>
      </w:r>
      <w:r w:rsidRPr="002D3263">
        <w:t xml:space="preserve"> for costs incurred due to a displacement, even though the payment is not structured as a reimbursement, </w:t>
      </w:r>
      <w:r w:rsidRPr="002D3263">
        <w:t>this analysis categorizes the increase in payments related to this payment option a</w:t>
      </w:r>
      <w:r w:rsidRPr="002D3263" w:rsidR="006E6C71">
        <w:t>s a</w:t>
      </w:r>
      <w:r w:rsidRPr="002D3263">
        <w:t xml:space="preserve"> transfer rather than a social cost. </w:t>
      </w:r>
    </w:p>
    <w:p w:rsidR="00081EA4" w:rsidRPr="002D3263" w:rsidP="00EF4CBB" w14:paraId="2317DB26" w14:textId="24F11A4B">
      <w:pPr>
        <w:pStyle w:val="Body"/>
        <w:widowControl/>
      </w:pPr>
      <w:r w:rsidRPr="002D3263">
        <w:t xml:space="preserve">The </w:t>
      </w:r>
      <w:r w:rsidRPr="002D3263">
        <w:rPr>
          <w:i/>
        </w:rPr>
        <w:t>BRARS</w:t>
      </w:r>
      <w:r w:rsidRPr="002D3263">
        <w:t xml:space="preserve"> finds that </w:t>
      </w:r>
      <w:r w:rsidR="00C42B58">
        <w:t>5</w:t>
      </w:r>
      <w:r w:rsidRPr="002D3263" w:rsidR="001B0A97">
        <w:t xml:space="preserve"> </w:t>
      </w:r>
      <w:r w:rsidR="00C37494">
        <w:t>S</w:t>
      </w:r>
      <w:r w:rsidRPr="002D3263">
        <w:t xml:space="preserve">tates have enacted legislation that increases the limit of this payment above the Uniform Act </w:t>
      </w:r>
      <w:r w:rsidR="00AA123A">
        <w:t>p</w:t>
      </w:r>
      <w:r w:rsidR="00E762F5">
        <w:t>re-MAP</w:t>
      </w:r>
      <w:r w:rsidR="00E762F5">
        <w:t xml:space="preserve">-21 </w:t>
      </w:r>
      <w:r w:rsidRPr="002D3263">
        <w:t>maximum</w:t>
      </w:r>
      <w:r w:rsidRPr="002D3263" w:rsidR="004C15DD">
        <w:t xml:space="preserve"> of $</w:t>
      </w:r>
      <w:r w:rsidRPr="002D3263" w:rsidR="003955D2">
        <w:t>2</w:t>
      </w:r>
      <w:r w:rsidRPr="002D3263" w:rsidR="004C15DD">
        <w:t>0,000</w:t>
      </w:r>
      <w:r w:rsidRPr="002D3263" w:rsidR="00713E98">
        <w:t>,</w:t>
      </w:r>
      <w:r w:rsidRPr="002D3263" w:rsidR="004C15DD">
        <w:t xml:space="preserve"> and above the $</w:t>
      </w:r>
      <w:r w:rsidR="00AA123A">
        <w:t>53,200</w:t>
      </w:r>
      <w:r w:rsidRPr="002D3263" w:rsidR="004C15DD">
        <w:t xml:space="preserve"> maximum level set in the </w:t>
      </w:r>
      <w:r w:rsidRPr="002D3263" w:rsidR="0044569C">
        <w:t>final</w:t>
      </w:r>
      <w:r w:rsidRPr="002D3263" w:rsidR="004C15DD">
        <w:t xml:space="preserve"> rule (pages 11-14). </w:t>
      </w:r>
      <w:r w:rsidR="00B210CA">
        <w:t xml:space="preserve"> </w:t>
      </w:r>
      <w:r w:rsidRPr="002D3263" w:rsidR="004C15DD">
        <w:t xml:space="preserve">We therefore expect that the </w:t>
      </w:r>
      <w:r w:rsidRPr="002D3263" w:rsidR="0044569C">
        <w:t>final</w:t>
      </w:r>
      <w:r w:rsidRPr="002D3263" w:rsidR="004C15DD">
        <w:t xml:space="preserve"> rule will have no impact on </w:t>
      </w:r>
      <w:r w:rsidRPr="002D3263" w:rsidR="004802BF">
        <w:t xml:space="preserve">non-residential </w:t>
      </w:r>
      <w:r w:rsidRPr="002D3263" w:rsidR="009B2D76">
        <w:t>displaced persons in</w:t>
      </w:r>
      <w:r w:rsidRPr="002D3263" w:rsidR="004C15DD">
        <w:t xml:space="preserve"> those </w:t>
      </w:r>
      <w:r w:rsidR="00C42B58">
        <w:t>5</w:t>
      </w:r>
      <w:r w:rsidRPr="002D3263" w:rsidR="004C15DD">
        <w:t xml:space="preserve"> </w:t>
      </w:r>
      <w:r w:rsidR="00B210CA">
        <w:t>S</w:t>
      </w:r>
      <w:r w:rsidRPr="002D3263" w:rsidR="004C15DD">
        <w:t>tates</w:t>
      </w:r>
      <w:r w:rsidRPr="002D3263" w:rsidR="004B0C35">
        <w:t xml:space="preserve">. </w:t>
      </w:r>
      <w:r w:rsidR="00B210CA">
        <w:t xml:space="preserve"> </w:t>
      </w:r>
      <w:r w:rsidRPr="002D3263" w:rsidR="00214A40">
        <w:t xml:space="preserve">In </w:t>
      </w:r>
      <w:r w:rsidRPr="002D3263" w:rsidR="00116739">
        <w:t>2021</w:t>
      </w:r>
      <w:r w:rsidRPr="002D3263" w:rsidR="001E7137">
        <w:t>,</w:t>
      </w:r>
      <w:r w:rsidRPr="002D3263" w:rsidR="00214A40">
        <w:t xml:space="preserve"> these </w:t>
      </w:r>
      <w:r w:rsidR="00C42B58">
        <w:t>5</w:t>
      </w:r>
      <w:r w:rsidRPr="002D3263" w:rsidR="004B0C35">
        <w:t xml:space="preserve"> </w:t>
      </w:r>
      <w:r w:rsidR="00B210CA">
        <w:t>S</w:t>
      </w:r>
      <w:r w:rsidRPr="002D3263" w:rsidR="004B0C35">
        <w:t xml:space="preserve">tates (Maine, Maryland, Pennsylvania, </w:t>
      </w:r>
      <w:r w:rsidRPr="002D3263" w:rsidR="004B0C35">
        <w:t>Utah</w:t>
      </w:r>
      <w:r w:rsidRPr="002D3263" w:rsidR="004B0C35">
        <w:t xml:space="preserve"> and Virginia) </w:t>
      </w:r>
      <w:r w:rsidRPr="002D3263" w:rsidR="00214A40">
        <w:t xml:space="preserve">comprised </w:t>
      </w:r>
      <w:r w:rsidRPr="002D3263" w:rsidR="00116739">
        <w:t>5</w:t>
      </w:r>
      <w:r w:rsidRPr="002D3263" w:rsidR="00214A40">
        <w:t xml:space="preserve"> percent of the </w:t>
      </w:r>
      <w:r w:rsidRPr="002D3263" w:rsidR="00EC2FE5">
        <w:t>total non-residential displacements in</w:t>
      </w:r>
      <w:r w:rsidRPr="002D3263" w:rsidR="00214A40">
        <w:t xml:space="preserve"> 52 States and territories.</w:t>
      </w:r>
      <w:r>
        <w:rPr>
          <w:rStyle w:val="FootnoteReference"/>
        </w:rPr>
        <w:footnoteReference w:id="31"/>
      </w:r>
      <w:r w:rsidRPr="002D3263" w:rsidR="004B0C35">
        <w:t xml:space="preserve"> </w:t>
      </w:r>
      <w:r w:rsidR="00B210CA">
        <w:t xml:space="preserve"> </w:t>
      </w:r>
      <w:r w:rsidRPr="002D3263" w:rsidR="004B0C35">
        <w:t xml:space="preserve">Thus, the </w:t>
      </w:r>
      <w:r w:rsidRPr="002D3263" w:rsidR="0044569C">
        <w:t>final</w:t>
      </w:r>
      <w:r w:rsidRPr="002D3263" w:rsidR="004B0C35">
        <w:t xml:space="preserve"> rule </w:t>
      </w:r>
      <w:r w:rsidRPr="002D3263" w:rsidR="00214A40">
        <w:t xml:space="preserve">is estimated to </w:t>
      </w:r>
      <w:r w:rsidRPr="002D3263" w:rsidR="004B0C35">
        <w:t xml:space="preserve">impact </w:t>
      </w:r>
      <w:r w:rsidRPr="002D3263" w:rsidR="00116739">
        <w:t>95</w:t>
      </w:r>
      <w:r w:rsidRPr="002D3263" w:rsidR="004B0C35">
        <w:t xml:space="preserve"> percent of all non-residential displacements.</w:t>
      </w:r>
      <w:r w:rsidRPr="002D3263" w:rsidR="00AC30F3">
        <w:t xml:space="preserve"> </w:t>
      </w:r>
    </w:p>
    <w:p w:rsidR="006E6C71" w:rsidRPr="002D3263" w:rsidP="00EF4CBB" w14:paraId="653EFD7F" w14:textId="3CAFE26D">
      <w:pPr>
        <w:pStyle w:val="Body"/>
        <w:widowControl/>
      </w:pPr>
      <w:r w:rsidRPr="002D3263">
        <w:t xml:space="preserve">The </w:t>
      </w:r>
      <w:r w:rsidRPr="002D3263">
        <w:rPr>
          <w:i/>
        </w:rPr>
        <w:t>BRARS</w:t>
      </w:r>
      <w:r w:rsidRPr="002D3263">
        <w:t xml:space="preserve"> also finds that in those </w:t>
      </w:r>
      <w:r w:rsidRPr="002D3263" w:rsidR="00682BBD">
        <w:t>S</w:t>
      </w:r>
      <w:r w:rsidRPr="002D3263">
        <w:t xml:space="preserve">tates where the maximum level is set by the Uniform Act, 78 percent of </w:t>
      </w:r>
      <w:r w:rsidRPr="002D3263" w:rsidR="00305D57">
        <w:t>non-residential</w:t>
      </w:r>
      <w:r w:rsidRPr="002D3263" w:rsidR="00176DF5">
        <w:t xml:space="preserve"> </w:t>
      </w:r>
      <w:r w:rsidRPr="002D3263">
        <w:t xml:space="preserve">displacements had </w:t>
      </w:r>
      <w:r w:rsidRPr="002D3263" w:rsidR="00682BBD">
        <w:t>2</w:t>
      </w:r>
      <w:r w:rsidRPr="002D3263">
        <w:t>-year average annual net earnings equal to or greater than $2</w:t>
      </w:r>
      <w:r w:rsidR="00E762F5">
        <w:t>5</w:t>
      </w:r>
      <w:r w:rsidRPr="002D3263">
        <w:t>,000.</w:t>
      </w:r>
      <w:r w:rsidR="00B210CA">
        <w:t xml:space="preserve"> </w:t>
      </w:r>
      <w:r w:rsidRPr="002D3263">
        <w:t xml:space="preserve"> In </w:t>
      </w:r>
      <w:r w:rsidRPr="002D3263" w:rsidR="00682BBD">
        <w:t>S</w:t>
      </w:r>
      <w:r w:rsidRPr="002D3263">
        <w:t xml:space="preserve">tates that authorized payment </w:t>
      </w:r>
      <w:r w:rsidRPr="002D3263">
        <w:t>in excess of</w:t>
      </w:r>
      <w:r w:rsidRPr="002D3263">
        <w:t xml:space="preserve"> $20,000, 76 percent of </w:t>
      </w:r>
      <w:r w:rsidRPr="002D3263" w:rsidR="00305D57">
        <w:t>non-residential</w:t>
      </w:r>
      <w:r w:rsidRPr="002D3263" w:rsidR="00176DF5">
        <w:t xml:space="preserve"> displacements </w:t>
      </w:r>
      <w:r w:rsidRPr="002D3263">
        <w:t xml:space="preserve">reviewed had </w:t>
      </w:r>
      <w:r w:rsidRPr="002D3263" w:rsidR="00682BBD">
        <w:t>2</w:t>
      </w:r>
      <w:r w:rsidRPr="002D3263">
        <w:t>-year average annual net earnings equal to or greater than the maximum amount allowed</w:t>
      </w:r>
      <w:r w:rsidRPr="002D3263">
        <w:t xml:space="preserve"> (page 24)</w:t>
      </w:r>
      <w:r w:rsidRPr="002D3263">
        <w:t xml:space="preserve">. </w:t>
      </w:r>
    </w:p>
    <w:p w:rsidR="009F6718" w:rsidRPr="002D3263" w:rsidP="00EF4CBB" w14:paraId="3C8FDE4F" w14:textId="21E25CE1">
      <w:pPr>
        <w:pStyle w:val="Body"/>
        <w:widowControl/>
      </w:pPr>
      <w:r w:rsidRPr="002D3263">
        <w:t xml:space="preserve">Based on this information, we estimate the </w:t>
      </w:r>
      <w:r w:rsidRPr="002D3263" w:rsidR="007E50D3">
        <w:t>representative</w:t>
      </w:r>
      <w:r w:rsidRPr="002D3263">
        <w:t xml:space="preserve"> </w:t>
      </w:r>
      <w:r w:rsidRPr="002D3263" w:rsidR="00D1676C">
        <w:t>in</w:t>
      </w:r>
      <w:r w:rsidRPr="002D3263" w:rsidR="003F3305">
        <w:t>-</w:t>
      </w:r>
      <w:r w:rsidRPr="002D3263" w:rsidR="00D1676C">
        <w:t>lieu</w:t>
      </w:r>
      <w:r w:rsidRPr="002D3263" w:rsidR="003F3305">
        <w:t>-of</w:t>
      </w:r>
      <w:r w:rsidRPr="002D3263" w:rsidR="00D1676C">
        <w:t xml:space="preserve"> </w:t>
      </w:r>
      <w:r w:rsidRPr="002D3263">
        <w:t xml:space="preserve">payment under the current rule and what it would be under the </w:t>
      </w:r>
      <w:r w:rsidRPr="002D3263" w:rsidR="0044569C">
        <w:t>final</w:t>
      </w:r>
      <w:r w:rsidRPr="002D3263">
        <w:t xml:space="preserve"> rule in a manner </w:t>
      </w:r>
      <w:r w:rsidRPr="002D3263">
        <w:t>similar to</w:t>
      </w:r>
      <w:r w:rsidRPr="002D3263">
        <w:t xml:space="preserve"> that used to estimate the search expense payments and re</w:t>
      </w:r>
      <w:r w:rsidR="00732A88">
        <w:t>-</w:t>
      </w:r>
      <w:r w:rsidRPr="002D3263">
        <w:t>establishment expense payments.</w:t>
      </w:r>
      <w:r w:rsidRPr="002D3263" w:rsidR="00C00333">
        <w:t xml:space="preserve"> </w:t>
      </w:r>
      <w:r w:rsidR="00B210CA">
        <w:t xml:space="preserve"> </w:t>
      </w:r>
      <w:r w:rsidRPr="002D3263">
        <w:t xml:space="preserve">To estimate the magnitude of the transfer to the </w:t>
      </w:r>
      <w:r w:rsidRPr="002D3263" w:rsidR="00713E98">
        <w:t>non-residential displaced persons</w:t>
      </w:r>
      <w:r w:rsidRPr="002D3263" w:rsidR="00011C64">
        <w:t>,</w:t>
      </w:r>
      <w:r w:rsidRPr="002D3263">
        <w:t xml:space="preserve"> we first estimate the </w:t>
      </w:r>
      <w:r w:rsidRPr="002D3263" w:rsidR="007E50D3">
        <w:t>representative</w:t>
      </w:r>
      <w:r w:rsidRPr="002D3263">
        <w:t xml:space="preserve"> payment amount under the existing rule</w:t>
      </w:r>
      <w:r w:rsidRPr="002D3263" w:rsidR="00713E98">
        <w:t>,</w:t>
      </w:r>
      <w:r w:rsidRPr="002D3263">
        <w:t xml:space="preserve"> and then we estimate the </w:t>
      </w:r>
      <w:r w:rsidRPr="002D3263" w:rsidR="007E50D3">
        <w:t>representative</w:t>
      </w:r>
      <w:r w:rsidRPr="002D3263">
        <w:t xml:space="preserve"> payme</w:t>
      </w:r>
      <w:r w:rsidRPr="002D3263" w:rsidR="00713E98">
        <w:t>nt amount under the new maximum.</w:t>
      </w:r>
      <w:r w:rsidRPr="002D3263">
        <w:t xml:space="preserve"> </w:t>
      </w:r>
      <w:r w:rsidR="00B210CA">
        <w:t xml:space="preserve"> </w:t>
      </w:r>
      <w:r w:rsidRPr="002D3263" w:rsidR="00713E98">
        <w:t>W</w:t>
      </w:r>
      <w:r w:rsidRPr="002D3263">
        <w:t xml:space="preserve">e </w:t>
      </w:r>
      <w:r w:rsidRPr="002D3263" w:rsidR="00713E98">
        <w:t xml:space="preserve">then </w:t>
      </w:r>
      <w:r w:rsidRPr="002D3263">
        <w:t xml:space="preserve">calculate the difference </w:t>
      </w:r>
      <w:r w:rsidRPr="002D3263" w:rsidR="003955D2">
        <w:t>between</w:t>
      </w:r>
      <w:r w:rsidRPr="002D3263">
        <w:t xml:space="preserve"> those two amounts</w:t>
      </w:r>
      <w:r w:rsidRPr="002D3263" w:rsidR="00713E98">
        <w:t xml:space="preserve"> </w:t>
      </w:r>
      <w:r w:rsidRPr="002D3263">
        <w:t xml:space="preserve">and multiply the difference by the estimated total number of </w:t>
      </w:r>
      <w:r w:rsidRPr="002D3263" w:rsidR="00305D57">
        <w:t>non-residential</w:t>
      </w:r>
      <w:r w:rsidRPr="002D3263" w:rsidR="001B0A97">
        <w:t xml:space="preserve"> displacements </w:t>
      </w:r>
      <w:r w:rsidRPr="002D3263">
        <w:t xml:space="preserve">that are in </w:t>
      </w:r>
      <w:r w:rsidRPr="002D3263" w:rsidR="00682BBD">
        <w:t>S</w:t>
      </w:r>
      <w:r w:rsidRPr="002D3263">
        <w:t xml:space="preserve">tates with maximum levels that would </w:t>
      </w:r>
      <w:r w:rsidRPr="002D3263" w:rsidR="003955D2">
        <w:t xml:space="preserve">be </w:t>
      </w:r>
      <w:r w:rsidRPr="002D3263">
        <w:t xml:space="preserve">impacted by the </w:t>
      </w:r>
      <w:r w:rsidRPr="002D3263" w:rsidR="0044569C">
        <w:t>final</w:t>
      </w:r>
      <w:r w:rsidRPr="002D3263">
        <w:t xml:space="preserve"> rule and that are expected to choose the in-lieu-of payment. </w:t>
      </w:r>
    </w:p>
    <w:p w:rsidR="009F6718" w:rsidRPr="002D3263" w:rsidP="00EF4CBB" w14:paraId="011234F5" w14:textId="714CA802">
      <w:pPr>
        <w:pStyle w:val="Body"/>
        <w:widowControl/>
        <w:rPr>
          <w:rStyle w:val="Emphasis"/>
          <w:i w:val="0"/>
        </w:rPr>
      </w:pPr>
      <w:r w:rsidRPr="002D3263">
        <w:t xml:space="preserve">Table </w:t>
      </w:r>
      <w:r w:rsidRPr="002D3263" w:rsidR="00963C07">
        <w:t>A5</w:t>
      </w:r>
      <w:r w:rsidRPr="002D3263">
        <w:t xml:space="preserve"> in Appendix A </w:t>
      </w:r>
      <w:r w:rsidRPr="002D3263" w:rsidR="00713E98">
        <w:t xml:space="preserve">of this report </w:t>
      </w:r>
      <w:r w:rsidRPr="002D3263">
        <w:rPr>
          <w:rStyle w:val="Emphasis"/>
          <w:i w:val="0"/>
        </w:rPr>
        <w:t xml:space="preserve">presents the calculations used to estimate the </w:t>
      </w:r>
      <w:r w:rsidRPr="002D3263" w:rsidR="007E50D3">
        <w:rPr>
          <w:rStyle w:val="Emphasis"/>
          <w:i w:val="0"/>
        </w:rPr>
        <w:t>representative</w:t>
      </w:r>
      <w:r w:rsidRPr="002D3263">
        <w:rPr>
          <w:rStyle w:val="Emphasis"/>
          <w:i w:val="0"/>
        </w:rPr>
        <w:t xml:space="preserve"> payments for each year of the analysis period under both the current rule and the </w:t>
      </w:r>
      <w:r w:rsidRPr="002D3263" w:rsidR="0044569C">
        <w:rPr>
          <w:rStyle w:val="Emphasis"/>
          <w:i w:val="0"/>
        </w:rPr>
        <w:t>final</w:t>
      </w:r>
      <w:r w:rsidRPr="002D3263">
        <w:rPr>
          <w:rStyle w:val="Emphasis"/>
          <w:i w:val="0"/>
        </w:rPr>
        <w:t xml:space="preserve"> rule. </w:t>
      </w:r>
      <w:r w:rsidR="00B210CA">
        <w:rPr>
          <w:rStyle w:val="Emphasis"/>
          <w:i w:val="0"/>
        </w:rPr>
        <w:t xml:space="preserve"> </w:t>
      </w:r>
      <w:r w:rsidRPr="002D3263">
        <w:rPr>
          <w:rStyle w:val="Emphasis"/>
          <w:i w:val="0"/>
        </w:rPr>
        <w:t xml:space="preserve">Under the current rule, the </w:t>
      </w:r>
      <w:r w:rsidRPr="002D3263">
        <w:rPr>
          <w:rStyle w:val="Emphasis"/>
        </w:rPr>
        <w:t>BRARS</w:t>
      </w:r>
      <w:r w:rsidRPr="002D3263">
        <w:rPr>
          <w:rStyle w:val="Emphasis"/>
          <w:i w:val="0"/>
        </w:rPr>
        <w:t xml:space="preserve"> finds that</w:t>
      </w:r>
      <w:r w:rsidRPr="002D3263" w:rsidR="0042589B">
        <w:rPr>
          <w:rStyle w:val="Emphasis"/>
          <w:i w:val="0"/>
        </w:rPr>
        <w:t xml:space="preserve"> of those who</w:t>
      </w:r>
      <w:r w:rsidRPr="002D3263" w:rsidR="00713E98">
        <w:rPr>
          <w:rStyle w:val="Emphasis"/>
          <w:i w:val="0"/>
        </w:rPr>
        <w:t xml:space="preserve"> opt for the in-lieu-of payment</w:t>
      </w:r>
      <w:r w:rsidRPr="002D3263">
        <w:rPr>
          <w:rStyle w:val="Emphasis"/>
          <w:i w:val="0"/>
        </w:rPr>
        <w:t xml:space="preserve"> 78 percent of </w:t>
      </w:r>
      <w:r w:rsidRPr="002D3263" w:rsidR="00713E98">
        <w:t xml:space="preserve">businesses </w:t>
      </w:r>
      <w:r w:rsidRPr="002D3263">
        <w:rPr>
          <w:rStyle w:val="Emphasis"/>
          <w:i w:val="0"/>
        </w:rPr>
        <w:t>claim the current maximum amount of $20,000</w:t>
      </w:r>
      <w:r w:rsidRPr="002D3263" w:rsidR="00713E98">
        <w:rPr>
          <w:rStyle w:val="Emphasis"/>
          <w:i w:val="0"/>
        </w:rPr>
        <w:t>,</w:t>
      </w:r>
      <w:r w:rsidRPr="002D3263">
        <w:rPr>
          <w:rStyle w:val="Emphasis"/>
          <w:i w:val="0"/>
        </w:rPr>
        <w:t xml:space="preserve"> meaning that 22 percent claim some amount less than </w:t>
      </w:r>
      <w:r w:rsidRPr="002D3263">
        <w:rPr>
          <w:rStyle w:val="Emphasis"/>
          <w:i w:val="0"/>
        </w:rPr>
        <w:t>$20,000.</w:t>
      </w:r>
      <w:r w:rsidR="00B210CA">
        <w:rPr>
          <w:rStyle w:val="Emphasis"/>
          <w:i w:val="0"/>
        </w:rPr>
        <w:t xml:space="preserve"> </w:t>
      </w:r>
      <w:r w:rsidRPr="002D3263">
        <w:rPr>
          <w:rStyle w:val="Emphasis"/>
          <w:i w:val="0"/>
        </w:rPr>
        <w:t xml:space="preserve"> </w:t>
      </w:r>
      <w:r w:rsidRPr="002D3263" w:rsidR="00911859">
        <w:rPr>
          <w:rStyle w:val="Emphasis"/>
          <w:i w:val="0"/>
        </w:rPr>
        <w:t xml:space="preserve">Based on the observation that </w:t>
      </w:r>
      <w:r w:rsidRPr="002D3263" w:rsidR="00911859">
        <w:rPr>
          <w:rStyle w:val="Emphasis"/>
          <w:i w:val="0"/>
        </w:rPr>
        <w:t>the majority of</w:t>
      </w:r>
      <w:r w:rsidRPr="002D3263" w:rsidR="00911859">
        <w:rPr>
          <w:rStyle w:val="Emphasis"/>
          <w:i w:val="0"/>
        </w:rPr>
        <w:t xml:space="preserve"> </w:t>
      </w:r>
      <w:r w:rsidRPr="002D3263" w:rsidR="00305D57">
        <w:t>non-residential</w:t>
      </w:r>
      <w:r w:rsidRPr="002D3263" w:rsidR="001B0A97">
        <w:t xml:space="preserve"> displaced persons </w:t>
      </w:r>
      <w:r w:rsidRPr="002D3263" w:rsidR="00911859">
        <w:rPr>
          <w:rStyle w:val="Emphasis"/>
          <w:i w:val="0"/>
        </w:rPr>
        <w:t xml:space="preserve">have </w:t>
      </w:r>
      <w:r w:rsidRPr="002D3263" w:rsidR="00911859">
        <w:t>average annual net earnings greater than $20,000, we expect the distribution of payments to be skewed toward the upper end of the range.</w:t>
      </w:r>
      <w:r w:rsidR="00B210CA">
        <w:t xml:space="preserve"> </w:t>
      </w:r>
      <w:r w:rsidRPr="002D3263" w:rsidR="00911859">
        <w:t xml:space="preserve"> We therefore </w:t>
      </w:r>
      <w:r w:rsidRPr="002D3263">
        <w:rPr>
          <w:rStyle w:val="Emphasis"/>
          <w:i w:val="0"/>
        </w:rPr>
        <w:t xml:space="preserve">assume that </w:t>
      </w:r>
      <w:r w:rsidRPr="002D3263" w:rsidR="00911859">
        <w:rPr>
          <w:rStyle w:val="Emphasis"/>
          <w:i w:val="0"/>
        </w:rPr>
        <w:t xml:space="preserve">the </w:t>
      </w:r>
      <w:r w:rsidRPr="002D3263">
        <w:rPr>
          <w:rStyle w:val="Emphasis"/>
          <w:i w:val="0"/>
        </w:rPr>
        <w:t xml:space="preserve">second group </w:t>
      </w:r>
      <w:r w:rsidRPr="002D3263" w:rsidR="008547A6">
        <w:rPr>
          <w:rStyle w:val="Emphasis"/>
          <w:i w:val="0"/>
        </w:rPr>
        <w:t xml:space="preserve">typically </w:t>
      </w:r>
      <w:r w:rsidRPr="002D3263">
        <w:rPr>
          <w:rStyle w:val="Emphasis"/>
          <w:i w:val="0"/>
        </w:rPr>
        <w:t xml:space="preserve">receives approximately $15,000. </w:t>
      </w:r>
      <w:r w:rsidR="00B210CA">
        <w:rPr>
          <w:rStyle w:val="Emphasis"/>
          <w:i w:val="0"/>
        </w:rPr>
        <w:t xml:space="preserve"> </w:t>
      </w:r>
      <w:r w:rsidRPr="002D3263">
        <w:rPr>
          <w:rStyle w:val="Emphasis"/>
          <w:i w:val="0"/>
        </w:rPr>
        <w:t>Thus, t</w:t>
      </w:r>
      <w:r w:rsidRPr="002D3263" w:rsidR="003955D2">
        <w:rPr>
          <w:rStyle w:val="Emphasis"/>
          <w:i w:val="0"/>
        </w:rPr>
        <w:t xml:space="preserve">he </w:t>
      </w:r>
      <w:r w:rsidRPr="002D3263" w:rsidR="007E50D3">
        <w:rPr>
          <w:rStyle w:val="Emphasis"/>
          <w:i w:val="0"/>
        </w:rPr>
        <w:t>representative</w:t>
      </w:r>
      <w:r w:rsidRPr="002D3263" w:rsidR="003F3305">
        <w:rPr>
          <w:rStyle w:val="Emphasis"/>
          <w:i w:val="0"/>
        </w:rPr>
        <w:t xml:space="preserve"> in-lieu-of payment</w:t>
      </w:r>
      <w:r w:rsidRPr="002D3263" w:rsidR="003955D2">
        <w:rPr>
          <w:rStyle w:val="Emphasis"/>
          <w:i w:val="0"/>
        </w:rPr>
        <w:t xml:space="preserve"> </w:t>
      </w:r>
      <w:r w:rsidRPr="002D3263">
        <w:rPr>
          <w:rStyle w:val="Emphasis"/>
          <w:i w:val="0"/>
        </w:rPr>
        <w:t xml:space="preserve">under the current rule is estimated to be $18,900 (0.22*15,000 + 0.78*$20,000) in 2008 dollars. </w:t>
      </w:r>
    </w:p>
    <w:p w:rsidR="009F6718" w:rsidRPr="002D3263" w:rsidP="00EF4CBB" w14:paraId="328656DF" w14:textId="491342CF">
      <w:pPr>
        <w:pStyle w:val="Body"/>
        <w:widowControl/>
        <w:rPr>
          <w:rStyle w:val="Emphasis"/>
          <w:i w:val="0"/>
        </w:rPr>
      </w:pPr>
      <w:r w:rsidRPr="002D3263">
        <w:rPr>
          <w:rStyle w:val="Emphasis"/>
          <w:i w:val="0"/>
        </w:rPr>
        <w:t xml:space="preserve">To estimate the </w:t>
      </w:r>
      <w:r w:rsidRPr="002D3263" w:rsidR="000260BC">
        <w:rPr>
          <w:rStyle w:val="Emphasis"/>
          <w:i w:val="0"/>
        </w:rPr>
        <w:t>representative</w:t>
      </w:r>
      <w:r w:rsidRPr="002D3263">
        <w:rPr>
          <w:rStyle w:val="Emphasis"/>
          <w:i w:val="0"/>
        </w:rPr>
        <w:t xml:space="preserve"> </w:t>
      </w:r>
      <w:r w:rsidRPr="002D3263" w:rsidR="00B75ECE">
        <w:rPr>
          <w:rStyle w:val="Emphasis"/>
          <w:i w:val="0"/>
        </w:rPr>
        <w:t>in</w:t>
      </w:r>
      <w:r w:rsidRPr="002D3263" w:rsidR="003F3305">
        <w:rPr>
          <w:rStyle w:val="Emphasis"/>
          <w:i w:val="0"/>
        </w:rPr>
        <w:t>-</w:t>
      </w:r>
      <w:r w:rsidRPr="002D3263" w:rsidR="00B75ECE">
        <w:rPr>
          <w:rStyle w:val="Emphasis"/>
          <w:i w:val="0"/>
        </w:rPr>
        <w:t>lieu</w:t>
      </w:r>
      <w:r w:rsidRPr="002D3263" w:rsidR="003F3305">
        <w:rPr>
          <w:rStyle w:val="Emphasis"/>
          <w:i w:val="0"/>
        </w:rPr>
        <w:t>-</w:t>
      </w:r>
      <w:r w:rsidRPr="002D3263" w:rsidR="00B75ECE">
        <w:rPr>
          <w:rStyle w:val="Emphasis"/>
          <w:i w:val="0"/>
        </w:rPr>
        <w:t xml:space="preserve">of payment </w:t>
      </w:r>
      <w:r w:rsidRPr="002D3263">
        <w:rPr>
          <w:rStyle w:val="Emphasis"/>
          <w:i w:val="0"/>
        </w:rPr>
        <w:t xml:space="preserve">under the </w:t>
      </w:r>
      <w:r w:rsidRPr="002D3263" w:rsidR="0044569C">
        <w:rPr>
          <w:rStyle w:val="Emphasis"/>
          <w:i w:val="0"/>
        </w:rPr>
        <w:t>final</w:t>
      </w:r>
      <w:r w:rsidRPr="002D3263">
        <w:rPr>
          <w:rStyle w:val="Emphasis"/>
          <w:i w:val="0"/>
        </w:rPr>
        <w:t xml:space="preserve"> rule, we assume that the percent</w:t>
      </w:r>
      <w:r w:rsidRPr="002D3263" w:rsidR="00DD04C4">
        <w:rPr>
          <w:rStyle w:val="Emphasis"/>
          <w:i w:val="0"/>
        </w:rPr>
        <w:t>age</w:t>
      </w:r>
      <w:r w:rsidRPr="002D3263">
        <w:rPr>
          <w:rStyle w:val="Emphasis"/>
          <w:i w:val="0"/>
        </w:rPr>
        <w:t xml:space="preserve"> that claim some amount less than $</w:t>
      </w:r>
      <w:r w:rsidRPr="002D3263" w:rsidR="00E71FEE">
        <w:rPr>
          <w:rStyle w:val="Emphasis"/>
          <w:i w:val="0"/>
        </w:rPr>
        <w:t>2</w:t>
      </w:r>
      <w:r w:rsidRPr="002D3263">
        <w:rPr>
          <w:rStyle w:val="Emphasis"/>
          <w:i w:val="0"/>
        </w:rPr>
        <w:t>0,</w:t>
      </w:r>
      <w:r w:rsidRPr="002D3263" w:rsidR="00E71FEE">
        <w:rPr>
          <w:rStyle w:val="Emphasis"/>
          <w:i w:val="0"/>
        </w:rPr>
        <w:t>0</w:t>
      </w:r>
      <w:r w:rsidRPr="002D3263">
        <w:rPr>
          <w:rStyle w:val="Emphasis"/>
          <w:i w:val="0"/>
        </w:rPr>
        <w:t>0</w:t>
      </w:r>
      <w:r w:rsidRPr="002D3263" w:rsidR="00C00333">
        <w:rPr>
          <w:rStyle w:val="Emphasis"/>
          <w:i w:val="0"/>
        </w:rPr>
        <w:t>0 remains the same as under the current rule</w:t>
      </w:r>
      <w:r w:rsidRPr="002D3263">
        <w:rPr>
          <w:rStyle w:val="Emphasis"/>
          <w:i w:val="0"/>
        </w:rPr>
        <w:t xml:space="preserve">. </w:t>
      </w:r>
      <w:r w:rsidR="00B210CA">
        <w:rPr>
          <w:rStyle w:val="Emphasis"/>
          <w:i w:val="0"/>
        </w:rPr>
        <w:t xml:space="preserve"> </w:t>
      </w:r>
      <w:r w:rsidRPr="002D3263">
        <w:rPr>
          <w:rStyle w:val="Emphasis"/>
          <w:i w:val="0"/>
        </w:rPr>
        <w:t xml:space="preserve">The </w:t>
      </w:r>
      <w:r w:rsidRPr="002D3263">
        <w:rPr>
          <w:rStyle w:val="Emphasis"/>
        </w:rPr>
        <w:t>BRARS</w:t>
      </w:r>
      <w:r w:rsidRPr="002D3263">
        <w:rPr>
          <w:rStyle w:val="Emphasis"/>
          <w:i w:val="0"/>
        </w:rPr>
        <w:t xml:space="preserve"> found that in </w:t>
      </w:r>
      <w:r w:rsidRPr="002D3263" w:rsidR="00682BBD">
        <w:rPr>
          <w:rStyle w:val="Emphasis"/>
          <w:i w:val="0"/>
        </w:rPr>
        <w:t>S</w:t>
      </w:r>
      <w:r w:rsidRPr="002D3263" w:rsidR="007C2E13">
        <w:rPr>
          <w:rStyle w:val="Emphasis"/>
          <w:i w:val="0"/>
        </w:rPr>
        <w:t>tate</w:t>
      </w:r>
      <w:r w:rsidRPr="002D3263">
        <w:rPr>
          <w:rStyle w:val="Emphasis"/>
          <w:i w:val="0"/>
        </w:rPr>
        <w:t xml:space="preserve">s with </w:t>
      </w:r>
      <w:r w:rsidRPr="002D3263" w:rsidR="00E71FEE">
        <w:rPr>
          <w:rStyle w:val="Emphasis"/>
          <w:i w:val="0"/>
        </w:rPr>
        <w:t xml:space="preserve">fixed-payment options </w:t>
      </w:r>
      <w:r w:rsidRPr="002D3263">
        <w:rPr>
          <w:rStyle w:val="Emphasis"/>
          <w:i w:val="0"/>
        </w:rPr>
        <w:t xml:space="preserve">close to or higher than the </w:t>
      </w:r>
      <w:r w:rsidRPr="002D3263" w:rsidR="0044569C">
        <w:rPr>
          <w:rStyle w:val="Emphasis"/>
          <w:i w:val="0"/>
        </w:rPr>
        <w:t xml:space="preserve">new </w:t>
      </w:r>
      <w:r w:rsidRPr="002D3263">
        <w:rPr>
          <w:rStyle w:val="Emphasis"/>
          <w:i w:val="0"/>
        </w:rPr>
        <w:t>$</w:t>
      </w:r>
      <w:r w:rsidR="002F65E8">
        <w:rPr>
          <w:rStyle w:val="Emphasis"/>
          <w:i w:val="0"/>
        </w:rPr>
        <w:t>53,200</w:t>
      </w:r>
      <w:r w:rsidRPr="002D3263">
        <w:rPr>
          <w:rStyle w:val="Emphasis"/>
          <w:i w:val="0"/>
        </w:rPr>
        <w:t xml:space="preserve"> maximum, </w:t>
      </w:r>
      <w:r w:rsidRPr="002D3263" w:rsidR="00E71FEE">
        <w:rPr>
          <w:rStyle w:val="Emphasis"/>
          <w:i w:val="0"/>
        </w:rPr>
        <w:t>76</w:t>
      </w:r>
      <w:r w:rsidRPr="002D3263">
        <w:rPr>
          <w:rStyle w:val="Emphasis"/>
          <w:i w:val="0"/>
        </w:rPr>
        <w:t xml:space="preserve"> percent of displaced businesses </w:t>
      </w:r>
      <w:r w:rsidRPr="002D3263" w:rsidR="00E71FEE">
        <w:rPr>
          <w:rStyle w:val="Emphasis"/>
          <w:i w:val="0"/>
        </w:rPr>
        <w:t>received</w:t>
      </w:r>
      <w:r w:rsidRPr="002D3263">
        <w:rPr>
          <w:rStyle w:val="Emphasis"/>
          <w:i w:val="0"/>
        </w:rPr>
        <w:t xml:space="preserve"> </w:t>
      </w:r>
      <w:r w:rsidRPr="002D3263" w:rsidR="00E71FEE">
        <w:rPr>
          <w:rStyle w:val="Emphasis"/>
          <w:i w:val="0"/>
        </w:rPr>
        <w:t xml:space="preserve">the </w:t>
      </w:r>
      <w:r w:rsidRPr="002D3263">
        <w:rPr>
          <w:rStyle w:val="Emphasis"/>
          <w:i w:val="0"/>
        </w:rPr>
        <w:t>maximum</w:t>
      </w:r>
      <w:r w:rsidRPr="002D3263" w:rsidR="00E71FEE">
        <w:rPr>
          <w:rStyle w:val="Emphasis"/>
          <w:i w:val="0"/>
        </w:rPr>
        <w:t xml:space="preserve"> amount</w:t>
      </w:r>
      <w:r w:rsidRPr="002D3263">
        <w:rPr>
          <w:rStyle w:val="Emphasis"/>
          <w:i w:val="0"/>
        </w:rPr>
        <w:t xml:space="preserve">. </w:t>
      </w:r>
      <w:r w:rsidR="00B210CA">
        <w:rPr>
          <w:rStyle w:val="Emphasis"/>
          <w:i w:val="0"/>
        </w:rPr>
        <w:t xml:space="preserve"> </w:t>
      </w:r>
      <w:r w:rsidRPr="002D3263" w:rsidR="00F63B6F">
        <w:rPr>
          <w:rStyle w:val="Emphasis"/>
          <w:i w:val="0"/>
        </w:rPr>
        <w:t>Therefore,</w:t>
      </w:r>
      <w:r w:rsidRPr="002D3263">
        <w:rPr>
          <w:rStyle w:val="Emphasis"/>
          <w:i w:val="0"/>
        </w:rPr>
        <w:t xml:space="preserve"> we assume that </w:t>
      </w:r>
      <w:r w:rsidRPr="002D3263" w:rsidR="00E71FEE">
        <w:rPr>
          <w:rStyle w:val="Emphasis"/>
          <w:i w:val="0"/>
        </w:rPr>
        <w:t>76</w:t>
      </w:r>
      <w:r w:rsidRPr="002D3263">
        <w:rPr>
          <w:rStyle w:val="Emphasis"/>
          <w:i w:val="0"/>
        </w:rPr>
        <w:t xml:space="preserve"> percent of </w:t>
      </w:r>
      <w:r w:rsidRPr="002D3263" w:rsidR="00305D57">
        <w:t>non-residential</w:t>
      </w:r>
      <w:r w:rsidRPr="002D3263" w:rsidR="001B0A97">
        <w:t xml:space="preserve"> displaced persons </w:t>
      </w:r>
      <w:r w:rsidRPr="002D3263">
        <w:rPr>
          <w:rStyle w:val="Emphasis"/>
          <w:i w:val="0"/>
        </w:rPr>
        <w:t xml:space="preserve">will still </w:t>
      </w:r>
      <w:r w:rsidRPr="002D3263" w:rsidR="009B0BEE">
        <w:rPr>
          <w:rStyle w:val="Emphasis"/>
          <w:i w:val="0"/>
        </w:rPr>
        <w:t>receive</w:t>
      </w:r>
      <w:r w:rsidRPr="002D3263">
        <w:rPr>
          <w:rStyle w:val="Emphasis"/>
          <w:i w:val="0"/>
        </w:rPr>
        <w:t xml:space="preserve"> the higher maximum amount. </w:t>
      </w:r>
      <w:r w:rsidR="00B210CA">
        <w:rPr>
          <w:rStyle w:val="Emphasis"/>
          <w:i w:val="0"/>
        </w:rPr>
        <w:t xml:space="preserve"> </w:t>
      </w:r>
      <w:r w:rsidRPr="002D3263">
        <w:rPr>
          <w:rStyle w:val="Emphasis"/>
          <w:i w:val="0"/>
        </w:rPr>
        <w:t xml:space="preserve">We assume the remaining </w:t>
      </w:r>
      <w:r w:rsidRPr="002D3263" w:rsidR="00E71FEE">
        <w:rPr>
          <w:rStyle w:val="Emphasis"/>
          <w:i w:val="0"/>
        </w:rPr>
        <w:t>2</w:t>
      </w:r>
      <w:r w:rsidRPr="002D3263">
        <w:rPr>
          <w:rStyle w:val="Emphasis"/>
          <w:i w:val="0"/>
        </w:rPr>
        <w:t xml:space="preserve"> percent of </w:t>
      </w:r>
      <w:r w:rsidRPr="002D3263" w:rsidR="00305D57">
        <w:t>non-residential</w:t>
      </w:r>
      <w:r w:rsidRPr="002D3263" w:rsidR="001B0A97">
        <w:t xml:space="preserve"> displaced </w:t>
      </w:r>
      <w:r w:rsidRPr="002D3263" w:rsidR="00F63B6F">
        <w:t xml:space="preserve">persons </w:t>
      </w:r>
      <w:r w:rsidRPr="002D3263" w:rsidR="00F63B6F">
        <w:rPr>
          <w:rStyle w:val="Emphasis"/>
          <w:i w:val="0"/>
        </w:rPr>
        <w:t>would</w:t>
      </w:r>
      <w:r w:rsidRPr="002D3263">
        <w:rPr>
          <w:rStyle w:val="Emphasis"/>
          <w:i w:val="0"/>
        </w:rPr>
        <w:t xml:space="preserve"> claim some amount between $</w:t>
      </w:r>
      <w:r w:rsidRPr="002D3263" w:rsidR="00E71FEE">
        <w:rPr>
          <w:rStyle w:val="Emphasis"/>
          <w:i w:val="0"/>
        </w:rPr>
        <w:t>2</w:t>
      </w:r>
      <w:r w:rsidRPr="002D3263">
        <w:rPr>
          <w:rStyle w:val="Emphasis"/>
          <w:i w:val="0"/>
        </w:rPr>
        <w:t xml:space="preserve">0,000 and </w:t>
      </w:r>
      <w:r w:rsidRPr="002D3263" w:rsidR="00E71FEE">
        <w:rPr>
          <w:rStyle w:val="Emphasis"/>
          <w:i w:val="0"/>
        </w:rPr>
        <w:t>$</w:t>
      </w:r>
      <w:r w:rsidR="002F65E8">
        <w:rPr>
          <w:rStyle w:val="Emphasis"/>
          <w:i w:val="0"/>
        </w:rPr>
        <w:t>53,200</w:t>
      </w:r>
      <w:r w:rsidRPr="002D3263">
        <w:rPr>
          <w:rStyle w:val="Emphasis"/>
          <w:i w:val="0"/>
        </w:rPr>
        <w:t xml:space="preserve">. </w:t>
      </w:r>
      <w:r w:rsidR="00B210CA">
        <w:rPr>
          <w:rStyle w:val="Emphasis"/>
          <w:i w:val="0"/>
        </w:rPr>
        <w:t xml:space="preserve"> </w:t>
      </w:r>
      <w:r w:rsidRPr="002D3263" w:rsidR="00EF6A23">
        <w:rPr>
          <w:rStyle w:val="Emphasis"/>
          <w:i w:val="0"/>
        </w:rPr>
        <w:t xml:space="preserve">Based on the observation </w:t>
      </w:r>
      <w:r w:rsidRPr="002D3263" w:rsidR="00F63B6F">
        <w:rPr>
          <w:rStyle w:val="Emphasis"/>
          <w:i w:val="0"/>
        </w:rPr>
        <w:t>that most</w:t>
      </w:r>
      <w:r w:rsidRPr="002D3263" w:rsidR="00EF6A23">
        <w:rPr>
          <w:rStyle w:val="Emphasis"/>
          <w:i w:val="0"/>
        </w:rPr>
        <w:t xml:space="preserve"> </w:t>
      </w:r>
      <w:r w:rsidRPr="002D3263" w:rsidR="00305D57">
        <w:t>non-residential</w:t>
      </w:r>
      <w:r w:rsidRPr="002D3263" w:rsidR="00E213A4">
        <w:t xml:space="preserve"> displaced persons</w:t>
      </w:r>
      <w:r w:rsidRPr="002D3263" w:rsidR="00EF6A23">
        <w:rPr>
          <w:rStyle w:val="Emphasis"/>
          <w:i w:val="0"/>
        </w:rPr>
        <w:t xml:space="preserve"> have average annual net earnings greater than $</w:t>
      </w:r>
      <w:r w:rsidR="002F65E8">
        <w:rPr>
          <w:rStyle w:val="Emphasis"/>
          <w:i w:val="0"/>
        </w:rPr>
        <w:t>53,200</w:t>
      </w:r>
      <w:r w:rsidRPr="002D3263" w:rsidR="00EF6A23">
        <w:rPr>
          <w:rStyle w:val="Emphasis"/>
          <w:i w:val="0"/>
        </w:rPr>
        <w:t>, we expect the distribution of payments to be</w:t>
      </w:r>
      <w:r w:rsidRPr="002D3263" w:rsidR="0001416F">
        <w:rPr>
          <w:rStyle w:val="Emphasis"/>
          <w:i w:val="0"/>
        </w:rPr>
        <w:t xml:space="preserve"> skewed toward the upper end of the range. </w:t>
      </w:r>
      <w:r w:rsidR="00B210CA">
        <w:rPr>
          <w:rStyle w:val="Emphasis"/>
          <w:i w:val="0"/>
        </w:rPr>
        <w:t xml:space="preserve"> </w:t>
      </w:r>
      <w:r w:rsidRPr="002D3263" w:rsidR="0001416F">
        <w:rPr>
          <w:rStyle w:val="Emphasis"/>
          <w:i w:val="0"/>
        </w:rPr>
        <w:t xml:space="preserve">We therefore </w:t>
      </w:r>
      <w:r w:rsidRPr="002D3263">
        <w:rPr>
          <w:rStyle w:val="Emphasis"/>
          <w:i w:val="0"/>
        </w:rPr>
        <w:t xml:space="preserve">assume that </w:t>
      </w:r>
      <w:r w:rsidRPr="002D3263" w:rsidR="0001416F">
        <w:rPr>
          <w:rStyle w:val="Emphasis"/>
          <w:i w:val="0"/>
        </w:rPr>
        <w:t xml:space="preserve">this </w:t>
      </w:r>
      <w:r w:rsidRPr="002D3263">
        <w:rPr>
          <w:rStyle w:val="Emphasis"/>
          <w:i w:val="0"/>
        </w:rPr>
        <w:t xml:space="preserve">group </w:t>
      </w:r>
      <w:r w:rsidRPr="002D3263" w:rsidR="007E50D3">
        <w:rPr>
          <w:rStyle w:val="Emphasis"/>
          <w:i w:val="0"/>
        </w:rPr>
        <w:t xml:space="preserve">typically </w:t>
      </w:r>
      <w:r w:rsidRPr="002D3263">
        <w:rPr>
          <w:rStyle w:val="Emphasis"/>
          <w:i w:val="0"/>
        </w:rPr>
        <w:t>would receive $</w:t>
      </w:r>
      <w:r w:rsidRPr="002D3263" w:rsidR="00E71FEE">
        <w:rPr>
          <w:rStyle w:val="Emphasis"/>
          <w:i w:val="0"/>
        </w:rPr>
        <w:t>3</w:t>
      </w:r>
      <w:r w:rsidR="009F0E5D">
        <w:rPr>
          <w:rStyle w:val="Emphasis"/>
          <w:i w:val="0"/>
        </w:rPr>
        <w:t>5</w:t>
      </w:r>
      <w:r w:rsidRPr="002D3263" w:rsidR="00E71FEE">
        <w:rPr>
          <w:rStyle w:val="Emphasis"/>
          <w:i w:val="0"/>
        </w:rPr>
        <w:t>,000</w:t>
      </w:r>
      <w:r w:rsidRPr="002D3263">
        <w:rPr>
          <w:rStyle w:val="Emphasis"/>
          <w:i w:val="0"/>
        </w:rPr>
        <w:t xml:space="preserve">. </w:t>
      </w:r>
      <w:r w:rsidR="00B210CA">
        <w:rPr>
          <w:rStyle w:val="Emphasis"/>
          <w:i w:val="0"/>
        </w:rPr>
        <w:t xml:space="preserve"> </w:t>
      </w:r>
      <w:r w:rsidRPr="002D3263" w:rsidR="00F63B6F">
        <w:rPr>
          <w:rStyle w:val="Emphasis"/>
          <w:i w:val="0"/>
        </w:rPr>
        <w:t>Thus,</w:t>
      </w:r>
      <w:r w:rsidRPr="002D3263">
        <w:rPr>
          <w:rStyle w:val="Emphasis"/>
          <w:i w:val="0"/>
        </w:rPr>
        <w:t xml:space="preserve"> t</w:t>
      </w:r>
      <w:r w:rsidRPr="002D3263" w:rsidR="00011C64">
        <w:rPr>
          <w:rStyle w:val="Emphasis"/>
          <w:i w:val="0"/>
        </w:rPr>
        <w:t xml:space="preserve">he </w:t>
      </w:r>
      <w:r w:rsidRPr="002D3263" w:rsidR="007E50D3">
        <w:rPr>
          <w:rStyle w:val="Emphasis"/>
          <w:i w:val="0"/>
        </w:rPr>
        <w:t>representative</w:t>
      </w:r>
      <w:r w:rsidRPr="002D3263" w:rsidR="00011C64">
        <w:rPr>
          <w:rStyle w:val="Emphasis"/>
          <w:i w:val="0"/>
        </w:rPr>
        <w:t xml:space="preserve"> </w:t>
      </w:r>
      <w:r w:rsidRPr="002D3263" w:rsidR="00B75ECE">
        <w:rPr>
          <w:rStyle w:val="Emphasis"/>
          <w:i w:val="0"/>
        </w:rPr>
        <w:t>in</w:t>
      </w:r>
      <w:r w:rsidRPr="002D3263" w:rsidR="003F3305">
        <w:rPr>
          <w:rStyle w:val="Emphasis"/>
          <w:i w:val="0"/>
        </w:rPr>
        <w:t>-</w:t>
      </w:r>
      <w:r w:rsidRPr="002D3263" w:rsidR="00B75ECE">
        <w:rPr>
          <w:rStyle w:val="Emphasis"/>
          <w:i w:val="0"/>
        </w:rPr>
        <w:t>lieu</w:t>
      </w:r>
      <w:r w:rsidRPr="002D3263" w:rsidR="003F3305">
        <w:rPr>
          <w:rStyle w:val="Emphasis"/>
          <w:i w:val="0"/>
        </w:rPr>
        <w:t>-</w:t>
      </w:r>
      <w:r w:rsidRPr="002D3263" w:rsidR="00B75ECE">
        <w:rPr>
          <w:rStyle w:val="Emphasis"/>
          <w:i w:val="0"/>
        </w:rPr>
        <w:t xml:space="preserve">of payment </w:t>
      </w:r>
      <w:r w:rsidRPr="002D3263">
        <w:rPr>
          <w:rStyle w:val="Emphasis"/>
          <w:i w:val="0"/>
        </w:rPr>
        <w:t>under the current rule is expected to be $</w:t>
      </w:r>
      <w:r w:rsidR="002F65E8">
        <w:rPr>
          <w:rStyle w:val="Emphasis"/>
          <w:i w:val="0"/>
        </w:rPr>
        <w:t>44,432</w:t>
      </w:r>
      <w:r w:rsidRPr="002D3263">
        <w:rPr>
          <w:rStyle w:val="Emphasis"/>
          <w:i w:val="0"/>
        </w:rPr>
        <w:t xml:space="preserve"> (0.2</w:t>
      </w:r>
      <w:r w:rsidRPr="002D3263" w:rsidR="00A83BB3">
        <w:rPr>
          <w:rStyle w:val="Emphasis"/>
          <w:i w:val="0"/>
        </w:rPr>
        <w:t>2</w:t>
      </w:r>
      <w:r w:rsidRPr="002D3263">
        <w:rPr>
          <w:rStyle w:val="Emphasis"/>
          <w:i w:val="0"/>
        </w:rPr>
        <w:t>*$</w:t>
      </w:r>
      <w:r w:rsidRPr="002D3263" w:rsidR="00A83BB3">
        <w:rPr>
          <w:rStyle w:val="Emphasis"/>
          <w:i w:val="0"/>
        </w:rPr>
        <w:t>15,000</w:t>
      </w:r>
      <w:r w:rsidRPr="002D3263">
        <w:rPr>
          <w:rStyle w:val="Emphasis"/>
          <w:i w:val="0"/>
        </w:rPr>
        <w:t xml:space="preserve"> + 0.0</w:t>
      </w:r>
      <w:r w:rsidRPr="002D3263" w:rsidR="00A83BB3">
        <w:rPr>
          <w:rStyle w:val="Emphasis"/>
          <w:i w:val="0"/>
        </w:rPr>
        <w:t>2</w:t>
      </w:r>
      <w:r w:rsidRPr="002D3263">
        <w:rPr>
          <w:rStyle w:val="Emphasis"/>
          <w:i w:val="0"/>
        </w:rPr>
        <w:t>*$</w:t>
      </w:r>
      <w:r w:rsidRPr="002D3263" w:rsidR="00A83BB3">
        <w:rPr>
          <w:rStyle w:val="Emphasis"/>
          <w:i w:val="0"/>
        </w:rPr>
        <w:t>3</w:t>
      </w:r>
      <w:r w:rsidR="009F0E5D">
        <w:rPr>
          <w:rStyle w:val="Emphasis"/>
          <w:i w:val="0"/>
        </w:rPr>
        <w:t>5</w:t>
      </w:r>
      <w:r w:rsidRPr="002D3263" w:rsidR="00A83BB3">
        <w:rPr>
          <w:rStyle w:val="Emphasis"/>
          <w:i w:val="0"/>
        </w:rPr>
        <w:t>,0</w:t>
      </w:r>
      <w:r w:rsidRPr="002D3263">
        <w:rPr>
          <w:rStyle w:val="Emphasis"/>
          <w:i w:val="0"/>
        </w:rPr>
        <w:t>00 + 0.</w:t>
      </w:r>
      <w:r w:rsidRPr="002D3263" w:rsidR="00A83BB3">
        <w:rPr>
          <w:rStyle w:val="Emphasis"/>
          <w:i w:val="0"/>
        </w:rPr>
        <w:t>76</w:t>
      </w:r>
      <w:r w:rsidRPr="002D3263">
        <w:rPr>
          <w:rStyle w:val="Emphasis"/>
          <w:i w:val="0"/>
        </w:rPr>
        <w:t>*$</w:t>
      </w:r>
      <w:r w:rsidR="002F65E8">
        <w:rPr>
          <w:rStyle w:val="Emphasis"/>
          <w:i w:val="0"/>
        </w:rPr>
        <w:t>53,200</w:t>
      </w:r>
      <w:r w:rsidRPr="002D3263">
        <w:rPr>
          <w:rStyle w:val="Emphasis"/>
          <w:i w:val="0"/>
        </w:rPr>
        <w:t>) in 2008 dollars.</w:t>
      </w:r>
    </w:p>
    <w:p w:rsidR="009F6718" w:rsidRPr="002D3263" w:rsidP="00EF4CBB" w14:paraId="66BF87DF" w14:textId="169F5785">
      <w:pPr>
        <w:pStyle w:val="Body"/>
        <w:widowControl/>
      </w:pPr>
      <w:r w:rsidRPr="002D3263">
        <w:t>To</w:t>
      </w:r>
      <w:r w:rsidRPr="002D3263">
        <w:t xml:space="preserve"> bring tho</w:t>
      </w:r>
      <w:r w:rsidRPr="002D3263" w:rsidR="003E5CA6">
        <w:t xml:space="preserve">se estimates forward to the </w:t>
      </w:r>
      <w:r w:rsidRPr="00E711E2" w:rsidR="00876078">
        <w:t>2023</w:t>
      </w:r>
      <w:r w:rsidRPr="002D3263" w:rsidR="003E5CA6">
        <w:t xml:space="preserve"> through </w:t>
      </w:r>
      <w:r w:rsidRPr="002D3263" w:rsidR="00876078">
        <w:t>2032</w:t>
      </w:r>
      <w:r w:rsidRPr="002D3263">
        <w:t xml:space="preserve"> analysis period, we must account for the fact that prices are changing over that period due to inflation</w:t>
      </w:r>
      <w:r w:rsidRPr="002D3263" w:rsidR="00A83BB3">
        <w:t>.</w:t>
      </w:r>
      <w:r w:rsidRPr="002D3263">
        <w:t xml:space="preserve"> </w:t>
      </w:r>
    </w:p>
    <w:p w:rsidR="009F6718" w:rsidRPr="002D3263" w:rsidP="00EF4CBB" w14:paraId="5CCC59B4" w14:textId="7C8EC7BC">
      <w:pPr>
        <w:pStyle w:val="Body"/>
        <w:widowControl/>
      </w:pPr>
      <w:r w:rsidRPr="002D3263">
        <w:t xml:space="preserve">To account for the impact of inflation on the statutory maximum payments, we assume that </w:t>
      </w:r>
      <w:r w:rsidRPr="002D3263" w:rsidR="003955D2">
        <w:t xml:space="preserve">the </w:t>
      </w:r>
      <w:r w:rsidRPr="002D3263">
        <w:t xml:space="preserve">percent of </w:t>
      </w:r>
      <w:r w:rsidRPr="002D3263" w:rsidR="00305D57">
        <w:t>non-residential</w:t>
      </w:r>
      <w:r w:rsidRPr="002D3263" w:rsidR="00B714E4">
        <w:t xml:space="preserve"> displaced persons </w:t>
      </w:r>
      <w:r w:rsidRPr="002D3263">
        <w:t xml:space="preserve">that receive the maximum amount increases by </w:t>
      </w:r>
      <w:r w:rsidRPr="002D3263" w:rsidR="003E5CA6">
        <w:t>0.</w:t>
      </w:r>
      <w:r w:rsidRPr="002D3263" w:rsidR="000B60BD">
        <w:t>8</w:t>
      </w:r>
      <w:r w:rsidRPr="002D3263">
        <w:t xml:space="preserve"> percent</w:t>
      </w:r>
      <w:r w:rsidRPr="002D3263" w:rsidR="00C00333">
        <w:t xml:space="preserve"> points</w:t>
      </w:r>
      <w:r w:rsidRPr="002D3263">
        <w:t xml:space="preserve"> each year </w:t>
      </w:r>
      <w:r w:rsidRPr="002D3263" w:rsidR="0001416F">
        <w:t>(</w:t>
      </w:r>
      <w:r w:rsidRPr="002D3263">
        <w:t>until it reaches 100 percent</w:t>
      </w:r>
      <w:r w:rsidRPr="002D3263" w:rsidR="0001416F">
        <w:t>)</w:t>
      </w:r>
      <w:r w:rsidRPr="002D3263" w:rsidR="00C00333">
        <w:t>.</w:t>
      </w:r>
      <w:r w:rsidRPr="002D3263" w:rsidR="00AC30F3">
        <w:t xml:space="preserve"> </w:t>
      </w:r>
      <w:r w:rsidR="00B210CA">
        <w:t xml:space="preserve"> </w:t>
      </w:r>
      <w:r w:rsidRPr="002D3263" w:rsidR="003E5CA6">
        <w:t>The 0.</w:t>
      </w:r>
      <w:r w:rsidRPr="002D3263" w:rsidR="000B60BD">
        <w:t>8</w:t>
      </w:r>
      <w:r w:rsidRPr="002D3263" w:rsidR="00C00333">
        <w:t xml:space="preserve"> percentage point estimate is taken from the analysis of the growth in the percent of household relocations that receive a </w:t>
      </w:r>
      <w:r w:rsidRPr="002D3263" w:rsidR="007828E4">
        <w:t>last resort housing</w:t>
      </w:r>
      <w:r w:rsidRPr="002D3263" w:rsidR="00C00333">
        <w:t xml:space="preserve"> payment.</w:t>
      </w:r>
      <w:r w:rsidRPr="002D3263" w:rsidR="00AC30F3">
        <w:t xml:space="preserve"> </w:t>
      </w:r>
      <w:r w:rsidR="00B210CA">
        <w:t xml:space="preserve"> </w:t>
      </w:r>
      <w:r w:rsidRPr="002D3263" w:rsidR="00C00333">
        <w:t xml:space="preserve">To illustrate, we assume </w:t>
      </w:r>
      <w:r w:rsidRPr="002D3263">
        <w:t>that 7</w:t>
      </w:r>
      <w:r w:rsidRPr="002D3263" w:rsidR="00A83BB3">
        <w:t>8</w:t>
      </w:r>
      <w:r w:rsidRPr="002D3263">
        <w:t xml:space="preserve"> percent of </w:t>
      </w:r>
      <w:r w:rsidRPr="002D3263" w:rsidR="00305D57">
        <w:t>non-residential</w:t>
      </w:r>
      <w:r w:rsidRPr="002D3263" w:rsidR="00B714E4">
        <w:t xml:space="preserve"> displaced persons </w:t>
      </w:r>
      <w:r w:rsidRPr="002D3263" w:rsidR="00A83BB3">
        <w:t xml:space="preserve">choosing the in-lieu-of payment </w:t>
      </w:r>
      <w:r w:rsidRPr="002D3263">
        <w:t>receive the $</w:t>
      </w:r>
      <w:r w:rsidRPr="002D3263" w:rsidR="00A83BB3">
        <w:t>2</w:t>
      </w:r>
      <w:r w:rsidRPr="002D3263">
        <w:t>0,000 maximum under the current rule.</w:t>
      </w:r>
      <w:r w:rsidR="00B210CA">
        <w:t xml:space="preserve"> </w:t>
      </w:r>
      <w:r w:rsidRPr="002D3263">
        <w:t xml:space="preserve"> In 2009, we assume that 7</w:t>
      </w:r>
      <w:r w:rsidRPr="002D3263" w:rsidR="000B60BD">
        <w:t>8.8</w:t>
      </w:r>
      <w:r w:rsidRPr="002D3263" w:rsidR="00C00333">
        <w:t xml:space="preserve"> percent do (</w:t>
      </w:r>
      <w:r w:rsidRPr="002D3263">
        <w:t>0.7</w:t>
      </w:r>
      <w:r w:rsidRPr="002D3263" w:rsidR="00A83BB3">
        <w:t>8</w:t>
      </w:r>
      <w:r w:rsidRPr="002D3263" w:rsidR="003E5CA6">
        <w:t xml:space="preserve"> + 0.00</w:t>
      </w:r>
      <w:r w:rsidRPr="002D3263" w:rsidR="000B60BD">
        <w:t>8</w:t>
      </w:r>
      <w:r w:rsidRPr="002D3263">
        <w:t xml:space="preserve">). </w:t>
      </w:r>
      <w:r w:rsidR="00B210CA">
        <w:t xml:space="preserve"> </w:t>
      </w:r>
      <w:r w:rsidRPr="002D3263">
        <w:t>The remainder would receive an amount less than the $</w:t>
      </w:r>
      <w:r w:rsidRPr="002D3263" w:rsidR="00A83BB3">
        <w:t>2</w:t>
      </w:r>
      <w:r w:rsidRPr="002D3263">
        <w:t>0,000 maximum, which we assume will continue to be $</w:t>
      </w:r>
      <w:r w:rsidRPr="002D3263" w:rsidR="00A83BB3">
        <w:t>1</w:t>
      </w:r>
      <w:r w:rsidRPr="002D3263">
        <w:t>5</w:t>
      </w:r>
      <w:r w:rsidRPr="002D3263" w:rsidR="00A83BB3">
        <w:t>,0</w:t>
      </w:r>
      <w:r w:rsidRPr="002D3263">
        <w:t>00.</w:t>
      </w:r>
      <w:r w:rsidR="00B210CA">
        <w:t xml:space="preserve"> </w:t>
      </w:r>
      <w:r w:rsidRPr="002D3263">
        <w:t xml:space="preserve"> In estimating the </w:t>
      </w:r>
      <w:r w:rsidRPr="002D3263" w:rsidR="000260BC">
        <w:t>representative</w:t>
      </w:r>
      <w:r w:rsidRPr="002D3263" w:rsidR="0001416F">
        <w:t xml:space="preserve"> payment amount under the </w:t>
      </w:r>
      <w:r w:rsidRPr="002D3263">
        <w:t xml:space="preserve">current rule, that pattern continues throughout the analysis period. </w:t>
      </w:r>
      <w:r w:rsidR="00B210CA">
        <w:t xml:space="preserve"> </w:t>
      </w:r>
      <w:r w:rsidRPr="002D3263">
        <w:t>The percent of</w:t>
      </w:r>
      <w:r w:rsidRPr="002D3263" w:rsidR="00B714E4">
        <w:t xml:space="preserve"> </w:t>
      </w:r>
      <w:r w:rsidRPr="002D3263" w:rsidR="00305D57">
        <w:t>non-residential</w:t>
      </w:r>
      <w:r w:rsidRPr="002D3263" w:rsidR="00B714E4">
        <w:t xml:space="preserve"> displaced persons </w:t>
      </w:r>
      <w:r w:rsidRPr="002D3263">
        <w:t xml:space="preserve">receiving the maximum payment is expected to </w:t>
      </w:r>
      <w:r w:rsidRPr="002D3263" w:rsidR="00C00333">
        <w:t xml:space="preserve">be </w:t>
      </w:r>
      <w:r w:rsidRPr="002D3263" w:rsidR="00876078">
        <w:t>90.0</w:t>
      </w:r>
      <w:r w:rsidRPr="002D3263" w:rsidR="003E5CA6">
        <w:t xml:space="preserve"> percent in </w:t>
      </w:r>
      <w:r w:rsidRPr="002D3263" w:rsidR="00876078">
        <w:t>2023</w:t>
      </w:r>
      <w:r w:rsidRPr="002D3263">
        <w:t>, the first year of the analysis period</w:t>
      </w:r>
      <w:r w:rsidRPr="002D3263" w:rsidR="005C2B26">
        <w:t>.</w:t>
      </w:r>
      <w:r w:rsidRPr="002D3263">
        <w:t xml:space="preserve"> and </w:t>
      </w:r>
      <w:r w:rsidRPr="002D3263" w:rsidR="00876078">
        <w:t>97.2</w:t>
      </w:r>
      <w:r w:rsidRPr="002D3263" w:rsidR="003E5CA6">
        <w:t xml:space="preserve"> percent in </w:t>
      </w:r>
      <w:r w:rsidRPr="002D3263" w:rsidR="00876078">
        <w:t>2032</w:t>
      </w:r>
      <w:r w:rsidRPr="002D3263">
        <w:t>, the last year of the analysis period.</w:t>
      </w:r>
    </w:p>
    <w:p w:rsidR="005C2B26" w:rsidRPr="002D3263" w:rsidP="00EF4CBB" w14:paraId="7C70A80E" w14:textId="043804A1">
      <w:pPr>
        <w:pStyle w:val="Body"/>
        <w:widowControl/>
      </w:pPr>
      <w:r w:rsidRPr="002D3263">
        <w:t xml:space="preserve">The process for estimating the </w:t>
      </w:r>
      <w:r w:rsidRPr="002D3263" w:rsidR="000260BC">
        <w:t>representative</w:t>
      </w:r>
      <w:r w:rsidRPr="002D3263">
        <w:t xml:space="preserve"> </w:t>
      </w:r>
      <w:r w:rsidRPr="002D3263" w:rsidR="00F63B6F">
        <w:t>in-lieu-</w:t>
      </w:r>
      <w:r w:rsidRPr="002D3263" w:rsidR="00305D57">
        <w:t>of</w:t>
      </w:r>
      <w:r w:rsidRPr="002D3263" w:rsidR="00B714E4">
        <w:t xml:space="preserve"> </w:t>
      </w:r>
      <w:r w:rsidRPr="002D3263">
        <w:t xml:space="preserve">payment under the </w:t>
      </w:r>
      <w:r w:rsidRPr="002D3263" w:rsidR="009A2048">
        <w:t xml:space="preserve">final </w:t>
      </w:r>
      <w:r w:rsidRPr="002D3263">
        <w:t>rule i</w:t>
      </w:r>
      <w:r w:rsidRPr="002D3263" w:rsidR="00C00333">
        <w:t>s v</w:t>
      </w:r>
      <w:r w:rsidRPr="002D3263" w:rsidR="003E5CA6">
        <w:t>ery similar except that the 0.</w:t>
      </w:r>
      <w:r w:rsidRPr="002D3263" w:rsidR="000B60BD">
        <w:t>8</w:t>
      </w:r>
      <w:r w:rsidRPr="002D3263">
        <w:t xml:space="preserve"> percent</w:t>
      </w:r>
      <w:r w:rsidRPr="002D3263" w:rsidR="00C00333">
        <w:t>age point</w:t>
      </w:r>
      <w:r w:rsidRPr="002D3263">
        <w:t xml:space="preserve"> growth in</w:t>
      </w:r>
      <w:r w:rsidRPr="002D3263" w:rsidR="00D92D14">
        <w:t xml:space="preserve"> non-residential displaced persons</w:t>
      </w:r>
      <w:r w:rsidRPr="002D3263" w:rsidR="00F63B6F">
        <w:t xml:space="preserve"> </w:t>
      </w:r>
      <w:r w:rsidRPr="002D3263">
        <w:t xml:space="preserve">receiving the maximum payment applies to the estimate of </w:t>
      </w:r>
      <w:r w:rsidRPr="002D3263" w:rsidR="00D92D14">
        <w:t xml:space="preserve">non-residential displaced persons </w:t>
      </w:r>
      <w:r w:rsidRPr="002D3263">
        <w:t>that receive the $</w:t>
      </w:r>
      <w:r w:rsidR="004C4EEB">
        <w:t>53,200</w:t>
      </w:r>
      <w:r w:rsidRPr="002D3263">
        <w:t xml:space="preserve"> maximum rather than the $</w:t>
      </w:r>
      <w:r w:rsidRPr="002D3263" w:rsidR="00A83BB3">
        <w:t>2</w:t>
      </w:r>
      <w:r w:rsidRPr="002D3263">
        <w:t xml:space="preserve">0,000 maximum. </w:t>
      </w:r>
      <w:r w:rsidR="00B210CA">
        <w:t xml:space="preserve"> </w:t>
      </w:r>
      <w:r w:rsidRPr="002D3263">
        <w:t xml:space="preserve">As explained above, we estimated that </w:t>
      </w:r>
      <w:r w:rsidRPr="002D3263" w:rsidR="00A83BB3">
        <w:t>76</w:t>
      </w:r>
      <w:r w:rsidRPr="002D3263">
        <w:t xml:space="preserve"> percent would receive the $</w:t>
      </w:r>
      <w:r w:rsidR="004C4EEB">
        <w:t>53,200</w:t>
      </w:r>
      <w:r w:rsidRPr="002D3263">
        <w:t xml:space="preserve"> maximum in 2008.</w:t>
      </w:r>
      <w:r w:rsidR="00B210CA">
        <w:t xml:space="preserve"> </w:t>
      </w:r>
      <w:r w:rsidRPr="002D3263">
        <w:t xml:space="preserve"> Therefore in 2009 we </w:t>
      </w:r>
      <w:r w:rsidRPr="002D3263" w:rsidR="00305D57">
        <w:t>assume</w:t>
      </w:r>
      <w:r w:rsidRPr="002D3263">
        <w:t xml:space="preserve"> that </w:t>
      </w:r>
      <w:r w:rsidRPr="002D3263" w:rsidR="00C00333">
        <w:t>7</w:t>
      </w:r>
      <w:r w:rsidRPr="002D3263" w:rsidR="000B60BD">
        <w:t>6.8</w:t>
      </w:r>
      <w:r w:rsidRPr="002D3263">
        <w:t xml:space="preserve"> percent</w:t>
      </w:r>
      <w:r w:rsidRPr="002D3263" w:rsidR="00D20C9A">
        <w:t xml:space="preserve"> </w:t>
      </w:r>
      <w:r w:rsidRPr="002D3263">
        <w:t>(0.</w:t>
      </w:r>
      <w:r w:rsidRPr="002D3263" w:rsidR="00A83BB3">
        <w:t>76</w:t>
      </w:r>
      <w:r w:rsidRPr="002D3263">
        <w:t xml:space="preserve"> </w:t>
      </w:r>
      <w:r w:rsidRPr="002D3263" w:rsidR="003E5CA6">
        <w:t>+ 0.00</w:t>
      </w:r>
      <w:r w:rsidRPr="002D3263" w:rsidR="000B60BD">
        <w:t>8</w:t>
      </w:r>
      <w:r w:rsidRPr="002D3263">
        <w:t>) would rece</w:t>
      </w:r>
      <w:r w:rsidRPr="002D3263" w:rsidR="000D06C9">
        <w:t>ive the maximum payment.</w:t>
      </w:r>
      <w:r w:rsidR="00B210CA">
        <w:t xml:space="preserve"> </w:t>
      </w:r>
      <w:r w:rsidRPr="002D3263" w:rsidR="000D06C9">
        <w:t xml:space="preserve"> By </w:t>
      </w:r>
      <w:r w:rsidRPr="002D3263" w:rsidR="00362CFF">
        <w:t>2023</w:t>
      </w:r>
      <w:r w:rsidRPr="002D3263">
        <w:t xml:space="preserve">, the first year of the analysis period, we expect that </w:t>
      </w:r>
      <w:r w:rsidRPr="002D3263" w:rsidR="00362CFF">
        <w:t>88.0</w:t>
      </w:r>
      <w:r w:rsidRPr="002D3263">
        <w:t xml:space="preserve"> percent of </w:t>
      </w:r>
      <w:r w:rsidRPr="002D3263" w:rsidR="00305D57">
        <w:t>non-residential</w:t>
      </w:r>
      <w:r w:rsidRPr="002D3263" w:rsidR="00B714E4">
        <w:t xml:space="preserve"> displaced persons </w:t>
      </w:r>
      <w:r w:rsidRPr="002D3263">
        <w:t xml:space="preserve">will receive the maximum amount. </w:t>
      </w:r>
    </w:p>
    <w:p w:rsidR="005C2B26" w:rsidRPr="002D3263" w:rsidP="005C2B26" w14:paraId="33023900" w14:textId="2A07D737">
      <w:pPr>
        <w:pStyle w:val="Body"/>
        <w:widowControl/>
      </w:pPr>
      <w:r w:rsidRPr="002D3263">
        <w:t xml:space="preserve">The percent of </w:t>
      </w:r>
      <w:r w:rsidRPr="002D3263" w:rsidR="00305D57">
        <w:t>non-residential</w:t>
      </w:r>
      <w:r w:rsidRPr="002D3263" w:rsidR="00F63B6F">
        <w:t xml:space="preserve"> displaced persons</w:t>
      </w:r>
      <w:r w:rsidRPr="002D3263">
        <w:t xml:space="preserve"> receiving the maximum is </w:t>
      </w:r>
      <w:r w:rsidRPr="002D3263" w:rsidR="00305D57">
        <w:t>assume</w:t>
      </w:r>
      <w:r w:rsidRPr="002D3263">
        <w:t>d to continue</w:t>
      </w:r>
      <w:r w:rsidRPr="002D3263" w:rsidR="00B714E4">
        <w:t xml:space="preserve"> to</w:t>
      </w:r>
      <w:r w:rsidRPr="002D3263">
        <w:t xml:space="preserve"> increase by </w:t>
      </w:r>
      <w:r w:rsidRPr="002D3263" w:rsidR="000D06C9">
        <w:t>0.</w:t>
      </w:r>
      <w:r w:rsidRPr="002D3263" w:rsidR="000B60BD">
        <w:t>8</w:t>
      </w:r>
      <w:r w:rsidRPr="002D3263">
        <w:t xml:space="preserve"> percent</w:t>
      </w:r>
      <w:r w:rsidRPr="002D3263" w:rsidR="00C00333">
        <w:t>age points</w:t>
      </w:r>
      <w:r w:rsidRPr="002D3263" w:rsidR="000D06C9">
        <w:t xml:space="preserve"> each year until </w:t>
      </w:r>
      <w:r w:rsidRPr="00E711E2">
        <w:t>2025</w:t>
      </w:r>
      <w:r w:rsidRPr="002D3263">
        <w:t xml:space="preserve"> at which point this analysis assumes that the amounts will be adjusted for inflation. </w:t>
      </w:r>
    </w:p>
    <w:p w:rsidR="005C2B26" w:rsidRPr="00BC5A99" w:rsidP="005C2B26" w14:paraId="77517968" w14:textId="6B27A047">
      <w:pPr>
        <w:pStyle w:val="Body"/>
        <w:widowControl/>
      </w:pPr>
      <w:r w:rsidRPr="00BC5A99">
        <w:t xml:space="preserve">This analysis explores a scenario with adjustments </w:t>
      </w:r>
      <w:r w:rsidR="004C4EEB">
        <w:t xml:space="preserve">roughly every </w:t>
      </w:r>
      <w:r w:rsidR="00F02A3A">
        <w:t>2-3</w:t>
      </w:r>
      <w:r w:rsidR="004C4EEB">
        <w:t xml:space="preserve"> </w:t>
      </w:r>
      <w:r w:rsidRPr="00E711E2" w:rsidR="004C4EEB">
        <w:t>years</w:t>
      </w:r>
      <w:r w:rsidRPr="00E711E2">
        <w:t xml:space="preserve"> of the analysis period (2025, 2028 and 2031). </w:t>
      </w:r>
      <w:r w:rsidR="00B210CA">
        <w:t xml:space="preserve"> </w:t>
      </w:r>
      <w:r w:rsidRPr="00E711E2">
        <w:t>An analyst seeking to update the amounts in 2025 w</w:t>
      </w:r>
      <w:r w:rsidRPr="00BC5A99">
        <w:t>ould calculate the factor by dividing the most recent CPI (in 2025, the most recent CPI would be</w:t>
      </w:r>
      <w:r w:rsidR="004C4EEB">
        <w:t xml:space="preserve"> approximated</w:t>
      </w:r>
      <w:r w:rsidRPr="00BC5A99">
        <w:t xml:space="preserve"> from 2024) by the CPI from </w:t>
      </w:r>
      <w:r w:rsidR="004C4EEB">
        <w:t>June 2023</w:t>
      </w:r>
      <w:r w:rsidRPr="00BC5A99">
        <w:t xml:space="preserve">. To estimate the CPI what the CPI would be in 2024, we use the most recent CPI available to us which is </w:t>
      </w:r>
      <w:r w:rsidR="004C4EEB">
        <w:t>305.1</w:t>
      </w:r>
      <w:r w:rsidRPr="00BC5A99">
        <w:t xml:space="preserve"> for </w:t>
      </w:r>
      <w:r w:rsidR="004C4EEB">
        <w:t>June 2023</w:t>
      </w:r>
      <w:r w:rsidRPr="00BC5A99">
        <w:t xml:space="preserve"> and adjust for </w:t>
      </w:r>
      <w:r w:rsidR="004C4EEB">
        <w:t>one and a half</w:t>
      </w:r>
      <w:r w:rsidRPr="00BC5A99" w:rsidR="004C4EEB">
        <w:t xml:space="preserve"> </w:t>
      </w:r>
      <w:r w:rsidRPr="00BC5A99">
        <w:t xml:space="preserve">more </w:t>
      </w:r>
      <w:r w:rsidRPr="00BC5A99">
        <w:t>years</w:t>
      </w:r>
      <w:r w:rsidRPr="00BC5A99">
        <w:t xml:space="preserve"> of expected inflation, which </w:t>
      </w:r>
      <w:r w:rsidR="00BC31E7">
        <w:t>t</w:t>
      </w:r>
      <w:r w:rsidRPr="00BC5A99">
        <w:t>he Presidents FY</w:t>
      </w:r>
      <w:r w:rsidR="00A5569D">
        <w:t xml:space="preserve"> </w:t>
      </w:r>
      <w:r w:rsidRPr="00BC5A99">
        <w:t>23 Budget puts at 2.3 percent per year.</w:t>
      </w:r>
      <w:r>
        <w:rPr>
          <w:rStyle w:val="FootnoteReference"/>
        </w:rPr>
        <w:footnoteReference w:id="32"/>
      </w:r>
      <w:r w:rsidRPr="00BC5A99">
        <w:t xml:space="preserve"> </w:t>
      </w:r>
      <w:r w:rsidR="00B210CA">
        <w:t xml:space="preserve"> </w:t>
      </w:r>
      <w:r w:rsidRPr="00BC5A99">
        <w:t>As shown in Table A15, the resulting factor is 1.</w:t>
      </w:r>
      <w:r w:rsidR="00BA2875">
        <w:t>0</w:t>
      </w:r>
      <w:r w:rsidR="004C4EEB">
        <w:t>3</w:t>
      </w:r>
      <w:r w:rsidRPr="00BC5A99">
        <w:t xml:space="preserve"> (</w:t>
      </w:r>
      <w:r w:rsidR="004C4EEB">
        <w:t>315.7</w:t>
      </w:r>
      <w:r w:rsidRPr="00BC5A99">
        <w:t xml:space="preserve">/ </w:t>
      </w:r>
      <w:r w:rsidR="004C4EEB">
        <w:t>305.1</w:t>
      </w:r>
      <w:r w:rsidRPr="00BC5A99">
        <w:t xml:space="preserve">). </w:t>
      </w:r>
      <w:r w:rsidR="00B210CA">
        <w:t xml:space="preserve"> </w:t>
      </w:r>
      <w:r w:rsidRPr="00BC5A99">
        <w:t xml:space="preserve">Therefore, we assume that an adjustment made in </w:t>
      </w:r>
      <w:r w:rsidRPr="00E711E2">
        <w:t>2025</w:t>
      </w:r>
      <w:r w:rsidRPr="00BC5A99">
        <w:t xml:space="preserve"> would result an adjustment of </w:t>
      </w:r>
      <w:r w:rsidR="004C4EEB">
        <w:t>3</w:t>
      </w:r>
      <w:r w:rsidRPr="00BC5A99">
        <w:t xml:space="preserve"> percent such that the maximum in-</w:t>
      </w:r>
      <w:r w:rsidRPr="00BC5A99" w:rsidR="007705E4">
        <w:t>lieu</w:t>
      </w:r>
      <w:r w:rsidRPr="00BC5A99">
        <w:t>-of payment would rise to $</w:t>
      </w:r>
      <w:r w:rsidR="004C4EEB">
        <w:t>54,769</w:t>
      </w:r>
      <w:r w:rsidRPr="00BC5A99">
        <w:t xml:space="preserve"> in nominal dollars or $</w:t>
      </w:r>
      <w:r w:rsidR="004C4EEB">
        <w:t>47,015</w:t>
      </w:r>
      <w:r w:rsidRPr="00BC5A99">
        <w:t xml:space="preserve"> when expressed in 2021 dollars.</w:t>
      </w:r>
      <w:r w:rsidR="000923B7">
        <w:t xml:space="preserve"> </w:t>
      </w:r>
      <w:r w:rsidRPr="00BC5A99">
        <w:t xml:space="preserve"> At that time, we expect that the percent of non-residential displacements receiving maximum amount would drop to the predicted level for 20</w:t>
      </w:r>
      <w:r w:rsidR="00BA2875">
        <w:t>2</w:t>
      </w:r>
      <w:r w:rsidRPr="00BC5A99">
        <w:t xml:space="preserve">2, when a similar level of payment (in real terms) was in place. </w:t>
      </w:r>
      <w:r w:rsidR="000923B7">
        <w:t xml:space="preserve"> </w:t>
      </w:r>
      <w:r w:rsidRPr="00BC5A99">
        <w:t xml:space="preserve">That percentage is roughly </w:t>
      </w:r>
      <w:r w:rsidR="00BA2875">
        <w:t>87</w:t>
      </w:r>
      <w:r w:rsidRPr="00BC5A99" w:rsidR="00B945C8">
        <w:t>.2</w:t>
      </w:r>
      <w:r w:rsidRPr="00BC5A99">
        <w:t xml:space="preserve"> percent, a drop from the </w:t>
      </w:r>
      <w:r w:rsidRPr="00BC5A99" w:rsidR="00B945C8">
        <w:t>88</w:t>
      </w:r>
      <w:r w:rsidRPr="00BC5A99">
        <w:t xml:space="preserve">.8 percent expected in 2024 before the inflation adjustment. </w:t>
      </w:r>
      <w:r w:rsidR="000923B7">
        <w:t xml:space="preserve"> </w:t>
      </w:r>
      <w:r w:rsidRPr="00BC5A99">
        <w:t xml:space="preserve">The subsequent inflation adjustments will </w:t>
      </w:r>
      <w:r w:rsidR="00BA2875">
        <w:t>remain</w:t>
      </w:r>
      <w:r w:rsidRPr="00BC5A99">
        <w:t xml:space="preserve"> minor if they are done </w:t>
      </w:r>
      <w:r w:rsidRPr="00BC5A99">
        <w:t>fairly regularly</w:t>
      </w:r>
      <w:r w:rsidRPr="00BC5A99">
        <w:t xml:space="preserve"> to keep up with inflation and each subsequent inflation adjustment will move the percent of households receiving last resort payments back to its 20</w:t>
      </w:r>
      <w:r w:rsidR="00BA2875">
        <w:t>2</w:t>
      </w:r>
      <w:r w:rsidRPr="00BC5A99">
        <w:t xml:space="preserve">2 level. </w:t>
      </w:r>
    </w:p>
    <w:p w:rsidR="009F6718" w:rsidRPr="002D3263" w:rsidP="00EF4CBB" w14:paraId="18C6FECD" w14:textId="62A14B1F">
      <w:pPr>
        <w:pStyle w:val="Body"/>
        <w:widowControl/>
      </w:pPr>
      <w:r w:rsidRPr="002D3263">
        <w:t>T</w:t>
      </w:r>
      <w:r w:rsidRPr="002D3263">
        <w:t>he pattern for the percent receiving some amount less than the current $</w:t>
      </w:r>
      <w:r w:rsidRPr="002D3263" w:rsidR="00A83BB3">
        <w:t>2</w:t>
      </w:r>
      <w:r w:rsidRPr="002D3263">
        <w:t>0,000 follows the same pattern as was estimated for the future under the current rule</w:t>
      </w:r>
      <w:r w:rsidRPr="002D3263" w:rsidR="00B714E4">
        <w:t>,</w:t>
      </w:r>
      <w:r w:rsidRPr="002D3263">
        <w:t xml:space="preserve"> and the percent receiving some amount between $</w:t>
      </w:r>
      <w:r w:rsidRPr="002D3263" w:rsidR="00A83BB3">
        <w:t>2</w:t>
      </w:r>
      <w:r w:rsidRPr="002D3263">
        <w:t xml:space="preserve">0,000 and </w:t>
      </w:r>
      <w:r w:rsidRPr="002D3263" w:rsidR="001646F4">
        <w:t xml:space="preserve">the </w:t>
      </w:r>
      <w:r w:rsidRPr="002D3263">
        <w:t>maximum amount is</w:t>
      </w:r>
      <w:r w:rsidRPr="002D3263" w:rsidR="00A83BB3">
        <w:t xml:space="preserve"> the</w:t>
      </w:r>
      <w:r w:rsidRPr="002D3263">
        <w:t xml:space="preserve"> remainder. </w:t>
      </w:r>
      <w:r w:rsidR="000923B7">
        <w:t xml:space="preserve"> </w:t>
      </w:r>
      <w:r w:rsidRPr="002D3263">
        <w:t xml:space="preserve">We </w:t>
      </w:r>
      <w:r w:rsidRPr="002D3263" w:rsidR="00305D57">
        <w:t>assume</w:t>
      </w:r>
      <w:r w:rsidRPr="002D3263">
        <w:t xml:space="preserve"> that this group receives $</w:t>
      </w:r>
      <w:r w:rsidRPr="002D3263" w:rsidR="00A83BB3">
        <w:t>3</w:t>
      </w:r>
      <w:r w:rsidR="008C247B">
        <w:t>5</w:t>
      </w:r>
      <w:r w:rsidRPr="002D3263" w:rsidR="00A83BB3">
        <w:t>,000</w:t>
      </w:r>
      <w:r w:rsidRPr="002D3263" w:rsidR="00B945C8">
        <w:t xml:space="preserve"> when the rule first becomes effective. In subsequent years it is grown at the same inflation rate as is used to determine the maximum payment amounts.</w:t>
      </w:r>
    </w:p>
    <w:p w:rsidR="009F6718" w:rsidRPr="002D3263" w:rsidP="00EF4CBB" w14:paraId="2529C3C9" w14:textId="31D850C7">
      <w:pPr>
        <w:pStyle w:val="Body"/>
        <w:widowControl/>
      </w:pPr>
      <w:r w:rsidRPr="002D3263">
        <w:t>The results of these ca</w:t>
      </w:r>
      <w:r w:rsidRPr="002D3263" w:rsidR="00996D05">
        <w:t xml:space="preserve">lculations are shown in Table </w:t>
      </w:r>
      <w:r w:rsidRPr="002D3263" w:rsidR="00963C07">
        <w:t>A5</w:t>
      </w:r>
      <w:r w:rsidRPr="002D3263">
        <w:t xml:space="preserve"> of Appendix A</w:t>
      </w:r>
      <w:r w:rsidRPr="002D3263" w:rsidR="00E213A4">
        <w:t xml:space="preserve"> of this report</w:t>
      </w:r>
      <w:r w:rsidRPr="002D3263">
        <w:t xml:space="preserve">. </w:t>
      </w:r>
      <w:r w:rsidR="000923B7">
        <w:t xml:space="preserve"> </w:t>
      </w:r>
      <w:r w:rsidRPr="002D3263">
        <w:t xml:space="preserve">The difference in </w:t>
      </w:r>
      <w:r w:rsidRPr="002D3263" w:rsidR="000260BC">
        <w:t>typical</w:t>
      </w:r>
      <w:r w:rsidRPr="002D3263">
        <w:t xml:space="preserve"> </w:t>
      </w:r>
      <w:r w:rsidRPr="002D3263" w:rsidR="003955D2">
        <w:t>in-lieu-of payments</w:t>
      </w:r>
      <w:r w:rsidRPr="002D3263">
        <w:t xml:space="preserve"> between the current rule and the </w:t>
      </w:r>
      <w:r w:rsidRPr="002D3263" w:rsidR="0044569C">
        <w:t>final</w:t>
      </w:r>
      <w:r w:rsidRPr="002D3263">
        <w:t xml:space="preserve"> rule ranges from </w:t>
      </w:r>
      <w:r w:rsidRPr="002D3263" w:rsidR="00B945C8">
        <w:t>roughly $</w:t>
      </w:r>
      <w:r w:rsidR="004C4EEB">
        <w:t>21,600</w:t>
      </w:r>
      <w:r w:rsidRPr="002D3263" w:rsidR="00B945C8">
        <w:t xml:space="preserve"> to $</w:t>
      </w:r>
      <w:r w:rsidR="004C4EEB">
        <w:t>25,200</w:t>
      </w:r>
      <w:r w:rsidRPr="002D3263" w:rsidR="00B945C8">
        <w:t xml:space="preserve"> </w:t>
      </w:r>
      <w:r w:rsidRPr="002D3263" w:rsidR="00F726E0">
        <w:t xml:space="preserve">in 2021 dollars </w:t>
      </w:r>
      <w:r w:rsidRPr="002D3263">
        <w:t>over the course of the analysis period.</w:t>
      </w:r>
    </w:p>
    <w:p w:rsidR="009F6718" w:rsidRPr="002D3263" w:rsidP="00E85518" w14:paraId="54B51DA5" w14:textId="6A3CB42F">
      <w:pPr>
        <w:widowControl/>
        <w:spacing w:after="240"/>
      </w:pPr>
      <w:r w:rsidRPr="002D3263">
        <w:t>The calculations used to estimate the total change in program expenses related to in-lieu-of payments</w:t>
      </w:r>
      <w:r w:rsidRPr="002D3263" w:rsidR="00AC30F3">
        <w:t xml:space="preserve"> </w:t>
      </w:r>
      <w:r w:rsidRPr="002D3263">
        <w:t xml:space="preserve">to </w:t>
      </w:r>
      <w:r w:rsidRPr="002D3263" w:rsidR="00305D57">
        <w:t>non-residential</w:t>
      </w:r>
      <w:r w:rsidRPr="002D3263" w:rsidR="00B714E4">
        <w:t xml:space="preserve"> displaced persons </w:t>
      </w:r>
      <w:r w:rsidRPr="002D3263">
        <w:t xml:space="preserve">are shown in Table </w:t>
      </w:r>
      <w:r w:rsidRPr="002D3263" w:rsidR="00963C07">
        <w:t>A6</w:t>
      </w:r>
      <w:r w:rsidRPr="002D3263">
        <w:t xml:space="preserve"> of Appendix A</w:t>
      </w:r>
      <w:r w:rsidRPr="002D3263" w:rsidR="00E213A4">
        <w:t xml:space="preserve"> of this report</w:t>
      </w:r>
      <w:r w:rsidRPr="002D3263">
        <w:t>.</w:t>
      </w:r>
      <w:r w:rsidR="000923B7">
        <w:t xml:space="preserve"> </w:t>
      </w:r>
      <w:r w:rsidRPr="002D3263">
        <w:t xml:space="preserve"> There are expected to be </w:t>
      </w:r>
      <w:r w:rsidRPr="002D3263" w:rsidR="00FB6353">
        <w:t>1,388</w:t>
      </w:r>
      <w:r w:rsidRPr="002D3263">
        <w:t xml:space="preserve"> </w:t>
      </w:r>
      <w:r w:rsidRPr="002D3263" w:rsidR="00305D57">
        <w:t>non-residential</w:t>
      </w:r>
      <w:r w:rsidRPr="002D3263">
        <w:t xml:space="preserve"> displacements each year of the analysis period and 14 percent of the </w:t>
      </w:r>
      <w:r w:rsidRPr="002D3263" w:rsidR="00305D57">
        <w:t>non-residential</w:t>
      </w:r>
      <w:r w:rsidRPr="002D3263" w:rsidR="00E82672">
        <w:t xml:space="preserve"> displaced persons </w:t>
      </w:r>
      <w:r w:rsidRPr="002D3263">
        <w:t>(</w:t>
      </w:r>
      <w:r w:rsidRPr="002D3263" w:rsidR="00FB6353">
        <w:t>194</w:t>
      </w:r>
      <w:r w:rsidRPr="002D3263">
        <w:t xml:space="preserve">) are expected to choose </w:t>
      </w:r>
      <w:r w:rsidRPr="002D3263" w:rsidR="00886AF3">
        <w:t xml:space="preserve">fixed </w:t>
      </w:r>
      <w:r w:rsidRPr="002D3263">
        <w:t xml:space="preserve">payments. </w:t>
      </w:r>
      <w:r w:rsidR="000923B7">
        <w:t xml:space="preserve"> </w:t>
      </w:r>
      <w:r w:rsidRPr="002D3263">
        <w:t xml:space="preserve">Of those </w:t>
      </w:r>
      <w:r w:rsidRPr="002D3263" w:rsidR="00FB6353">
        <w:t>194</w:t>
      </w:r>
      <w:r w:rsidRPr="002D3263">
        <w:t xml:space="preserve"> </w:t>
      </w:r>
      <w:r w:rsidRPr="002D3263" w:rsidR="00305D57">
        <w:t>non-residential</w:t>
      </w:r>
      <w:r w:rsidRPr="002D3263" w:rsidR="00D1728A">
        <w:t xml:space="preserve"> displacements</w:t>
      </w:r>
      <w:r w:rsidRPr="002D3263">
        <w:t xml:space="preserve">, </w:t>
      </w:r>
      <w:r w:rsidRPr="002D3263" w:rsidR="00FB6353">
        <w:t>95</w:t>
      </w:r>
      <w:r w:rsidRPr="002D3263">
        <w:t xml:space="preserve"> percent</w:t>
      </w:r>
      <w:r w:rsidRPr="002D3263" w:rsidR="008442DA">
        <w:t xml:space="preserve"> (</w:t>
      </w:r>
      <w:r w:rsidRPr="002D3263" w:rsidR="00FB6353">
        <w:t>184</w:t>
      </w:r>
      <w:r w:rsidRPr="002D3263" w:rsidR="008442DA">
        <w:t>)</w:t>
      </w:r>
      <w:r w:rsidRPr="002D3263">
        <w:t xml:space="preserve"> are expected to be impacted </w:t>
      </w:r>
      <w:r w:rsidRPr="002D3263" w:rsidR="00011C64">
        <w:t xml:space="preserve">by the change to the maximum </w:t>
      </w:r>
      <w:r w:rsidRPr="002D3263" w:rsidR="00E82672">
        <w:t>fixed payment</w:t>
      </w:r>
      <w:r w:rsidRPr="002D3263">
        <w:t xml:space="preserve"> contained in the </w:t>
      </w:r>
      <w:r w:rsidRPr="002D3263" w:rsidR="0044569C">
        <w:t>final</w:t>
      </w:r>
      <w:r w:rsidRPr="002D3263">
        <w:t xml:space="preserve"> rule. </w:t>
      </w:r>
      <w:r w:rsidR="000923B7">
        <w:t xml:space="preserve"> </w:t>
      </w:r>
      <w:r w:rsidRPr="002D3263">
        <w:t xml:space="preserve">The remaining </w:t>
      </w:r>
      <w:r w:rsidRPr="002D3263" w:rsidR="00FB6353">
        <w:t>5</w:t>
      </w:r>
      <w:r w:rsidRPr="002D3263">
        <w:t xml:space="preserve"> percent would not be impacted because some </w:t>
      </w:r>
      <w:r w:rsidR="00F02A3A">
        <w:t>S</w:t>
      </w:r>
      <w:r w:rsidRPr="002D3263">
        <w:t>tates have maximum amounts that are close to or higher than the new maximum.</w:t>
      </w:r>
      <w:r w:rsidRPr="002D3263" w:rsidR="00AC30F3">
        <w:t xml:space="preserve"> </w:t>
      </w:r>
      <w:r w:rsidR="000923B7">
        <w:t xml:space="preserve"> </w:t>
      </w:r>
      <w:r w:rsidRPr="002D3263">
        <w:t xml:space="preserve">The total change in program expenditures related to the </w:t>
      </w:r>
      <w:r w:rsidRPr="002D3263" w:rsidR="0044569C">
        <w:t>final</w:t>
      </w:r>
      <w:r w:rsidRPr="002D3263">
        <w:t xml:space="preserve"> rule is then the number of </w:t>
      </w:r>
      <w:r w:rsidRPr="002D3263" w:rsidR="00305D57">
        <w:t>non-residential</w:t>
      </w:r>
      <w:r w:rsidRPr="002D3263" w:rsidR="00E82672">
        <w:t xml:space="preserve"> displaced persons</w:t>
      </w:r>
      <w:r w:rsidRPr="002D3263">
        <w:t xml:space="preserve"> impacted by the increase in </w:t>
      </w:r>
      <w:r w:rsidRPr="002D3263" w:rsidR="00E82672">
        <w:t xml:space="preserve">the </w:t>
      </w:r>
      <w:r w:rsidRPr="002D3263" w:rsidR="00E213A4">
        <w:t>maximum in-lieu-of payment multiplied by</w:t>
      </w:r>
      <w:r w:rsidRPr="002D3263">
        <w:t xml:space="preserve"> the difference in </w:t>
      </w:r>
      <w:r w:rsidRPr="002D3263" w:rsidR="000260BC">
        <w:t>representative</w:t>
      </w:r>
      <w:r w:rsidRPr="002D3263">
        <w:t xml:space="preserve"> payments due to the </w:t>
      </w:r>
      <w:r w:rsidRPr="002D3263" w:rsidR="0044569C">
        <w:t>final</w:t>
      </w:r>
      <w:r w:rsidRPr="002D3263">
        <w:t xml:space="preserve"> rule. </w:t>
      </w:r>
      <w:r w:rsidR="000923B7">
        <w:t xml:space="preserve"> </w:t>
      </w:r>
      <w:r w:rsidRPr="002D3263">
        <w:t xml:space="preserve">The total change in payments related to </w:t>
      </w:r>
      <w:r w:rsidRPr="002D3263" w:rsidR="00305D57">
        <w:t>non-residential</w:t>
      </w:r>
      <w:r w:rsidRPr="002D3263" w:rsidR="00E82672">
        <w:t xml:space="preserve"> displacement </w:t>
      </w:r>
      <w:r w:rsidRPr="002D3263" w:rsidR="00886AF3">
        <w:t xml:space="preserve">fixed </w:t>
      </w:r>
      <w:r w:rsidRPr="002D3263">
        <w:t xml:space="preserve">payments is shown in </w:t>
      </w:r>
      <w:r w:rsidRPr="002D3263" w:rsidR="00FA4EB5">
        <w:fldChar w:fldCharType="begin"/>
      </w:r>
      <w:r w:rsidRPr="002D3263" w:rsidR="00FA4EB5">
        <w:instrText xml:space="preserve"> REF _Ref67910888 \h </w:instrText>
      </w:r>
      <w:r w:rsidR="002D3263">
        <w:instrText xml:space="preserve"> \* MERGEFORMAT </w:instrText>
      </w:r>
      <w:r w:rsidRPr="002D3263" w:rsidR="00FA4EB5">
        <w:fldChar w:fldCharType="separate"/>
      </w:r>
      <w:r w:rsidRPr="002D3263" w:rsidR="00E762F5">
        <w:t xml:space="preserve">Table </w:t>
      </w:r>
      <w:r w:rsidR="00E762F5">
        <w:rPr>
          <w:noProof/>
        </w:rPr>
        <w:t>10</w:t>
      </w:r>
      <w:r w:rsidRPr="002D3263" w:rsidR="00FA4EB5">
        <w:fldChar w:fldCharType="end"/>
      </w:r>
      <w:r w:rsidRPr="002D3263" w:rsidR="00FA4EB5">
        <w:t>.</w:t>
      </w:r>
    </w:p>
    <w:p w:rsidR="00DD4F27" w:rsidRPr="002D3263" w:rsidP="00EF4CBB" w14:paraId="433F1D9B" w14:textId="77777777">
      <w:pPr>
        <w:widowControl/>
      </w:pPr>
      <w:bookmarkStart w:id="128" w:name="_Ref415226508"/>
    </w:p>
    <w:p w:rsidR="00606A2A" w:rsidRPr="002D3263" w:rsidP="00D6005F" w14:paraId="675F94E7" w14:textId="1CB9CD39">
      <w:pPr>
        <w:pStyle w:val="Caption"/>
      </w:pPr>
      <w:bookmarkStart w:id="129" w:name="_Ref67910888"/>
      <w:bookmarkStart w:id="130" w:name="_Toc127438096"/>
      <w:r w:rsidRPr="002D3263">
        <w:t xml:space="preserve">Table </w:t>
      </w:r>
      <w:r w:rsidR="00F903AF">
        <w:fldChar w:fldCharType="begin"/>
      </w:r>
      <w:r w:rsidR="00F903AF">
        <w:instrText xml:space="preserve"> SEQ Table \* ARABIC </w:instrText>
      </w:r>
      <w:r w:rsidR="00F903AF">
        <w:fldChar w:fldCharType="separate"/>
      </w:r>
      <w:r w:rsidR="00E762F5">
        <w:rPr>
          <w:noProof/>
        </w:rPr>
        <w:t>10</w:t>
      </w:r>
      <w:r w:rsidR="00F903AF">
        <w:rPr>
          <w:noProof/>
        </w:rPr>
        <w:fldChar w:fldCharType="end"/>
      </w:r>
      <w:bookmarkEnd w:id="129"/>
      <w:r w:rsidRPr="002D3263">
        <w:t>.</w:t>
      </w:r>
      <w:bookmarkEnd w:id="128"/>
      <w:r w:rsidRPr="002D3263">
        <w:t xml:space="preserve"> Change in </w:t>
      </w:r>
      <w:r w:rsidRPr="002D3263" w:rsidR="00886AF3">
        <w:t xml:space="preserve">Fixed </w:t>
      </w:r>
      <w:r w:rsidRPr="002D3263" w:rsidR="00D1728A">
        <w:t xml:space="preserve">Payments In-Lieu-of </w:t>
      </w:r>
      <w:r w:rsidRPr="002D3263" w:rsidR="00E213A4">
        <w:t xml:space="preserve">Moving Costs </w:t>
      </w:r>
      <w:r w:rsidRPr="002D3263" w:rsidR="00D1728A">
        <w:t>for Non-residential</w:t>
      </w:r>
      <w:r w:rsidRPr="002D3263">
        <w:t xml:space="preserve"> Relocations</w:t>
      </w:r>
      <w:r w:rsidRPr="002D3263" w:rsidR="006D1EAB">
        <w:t xml:space="preserve"> (FHWA)</w:t>
      </w:r>
      <w:bookmarkEnd w:id="130"/>
    </w:p>
    <w:tbl>
      <w:tblPr>
        <w:tblW w:w="8488" w:type="dxa"/>
        <w:jc w:val="center"/>
        <w:tblLook w:val="04A0"/>
      </w:tblPr>
      <w:tblGrid>
        <w:gridCol w:w="1170"/>
        <w:gridCol w:w="2250"/>
        <w:gridCol w:w="2322"/>
        <w:gridCol w:w="1333"/>
        <w:gridCol w:w="1413"/>
      </w:tblGrid>
      <w:tr w14:paraId="7DAE8FE9" w14:textId="77777777" w:rsidTr="008A4DC9">
        <w:tblPrEx>
          <w:tblW w:w="8488" w:type="dxa"/>
          <w:jc w:val="center"/>
          <w:tblLook w:val="04A0"/>
        </w:tblPrEx>
        <w:trPr>
          <w:trHeight w:val="297"/>
          <w:jc w:val="center"/>
        </w:trPr>
        <w:tc>
          <w:tcPr>
            <w:tcW w:w="1170" w:type="dxa"/>
            <w:tcBorders>
              <w:bottom w:val="single" w:sz="12" w:space="0" w:color="auto"/>
            </w:tcBorders>
            <w:shd w:val="clear" w:color="auto" w:fill="auto"/>
            <w:hideMark/>
          </w:tcPr>
          <w:p w:rsidR="00606A2A" w:rsidRPr="002D3263" w:rsidP="00EF4CBB" w14:paraId="58E05AB4" w14:textId="77777777">
            <w:pPr>
              <w:keepNext/>
              <w:widowControl/>
              <w:jc w:val="center"/>
              <w:rPr>
                <w:rFonts w:ascii="Calibri" w:hAnsi="Calibri"/>
                <w:b/>
              </w:rPr>
            </w:pPr>
            <w:r w:rsidRPr="002D3263">
              <w:rPr>
                <w:rFonts w:ascii="Calibri" w:hAnsi="Calibri"/>
                <w:b/>
              </w:rPr>
              <w:t>Year</w:t>
            </w:r>
          </w:p>
        </w:tc>
        <w:tc>
          <w:tcPr>
            <w:tcW w:w="2250" w:type="dxa"/>
            <w:tcBorders>
              <w:bottom w:val="single" w:sz="12" w:space="0" w:color="auto"/>
            </w:tcBorders>
          </w:tcPr>
          <w:p w:rsidR="00606A2A" w:rsidRPr="002D3263" w:rsidP="00EF4CBB" w14:paraId="32047DBD" w14:textId="77777777">
            <w:pPr>
              <w:keepNext/>
              <w:widowControl/>
              <w:jc w:val="center"/>
              <w:rPr>
                <w:rFonts w:ascii="Calibri" w:hAnsi="Calibri"/>
                <w:b/>
              </w:rPr>
            </w:pPr>
            <w:r w:rsidRPr="002D3263">
              <w:rPr>
                <w:rFonts w:ascii="Calibri" w:hAnsi="Calibri" w:cs="Arial"/>
                <w:b/>
              </w:rPr>
              <w:t>Total Difference in Program Expenditures (nominal)</w:t>
            </w:r>
          </w:p>
        </w:tc>
        <w:tc>
          <w:tcPr>
            <w:tcW w:w="2322" w:type="dxa"/>
            <w:tcBorders>
              <w:bottom w:val="single" w:sz="12" w:space="0" w:color="auto"/>
            </w:tcBorders>
          </w:tcPr>
          <w:p w:rsidR="00606A2A" w:rsidRPr="002D3263" w:rsidP="00EF4CBB" w14:paraId="71588709" w14:textId="5F78EC4F">
            <w:pPr>
              <w:keepNext/>
              <w:widowControl/>
              <w:jc w:val="center"/>
              <w:rPr>
                <w:rFonts w:ascii="Calibri" w:hAnsi="Calibri"/>
                <w:b/>
              </w:rPr>
            </w:pPr>
            <w:r w:rsidRPr="002D3263">
              <w:rPr>
                <w:rFonts w:ascii="Calibri" w:hAnsi="Calibri" w:cs="Arial"/>
                <w:b/>
              </w:rPr>
              <w:t>Total Differen</w:t>
            </w:r>
            <w:r w:rsidRPr="002D3263" w:rsidR="000D06C9">
              <w:rPr>
                <w:rFonts w:ascii="Calibri" w:hAnsi="Calibri" w:cs="Arial"/>
                <w:b/>
              </w:rPr>
              <w:t>ce in Program Expenditures (20</w:t>
            </w:r>
            <w:r w:rsidRPr="002D3263" w:rsidR="00BC4862">
              <w:rPr>
                <w:rFonts w:ascii="Calibri" w:hAnsi="Calibri" w:cs="Arial"/>
                <w:b/>
              </w:rPr>
              <w:t>21</w:t>
            </w:r>
            <w:r w:rsidRPr="002D3263">
              <w:rPr>
                <w:rFonts w:ascii="Calibri" w:hAnsi="Calibri" w:cs="Arial"/>
                <w:b/>
              </w:rPr>
              <w:t xml:space="preserve"> $)</w:t>
            </w:r>
          </w:p>
        </w:tc>
        <w:tc>
          <w:tcPr>
            <w:tcW w:w="1333" w:type="dxa"/>
            <w:tcBorders>
              <w:bottom w:val="single" w:sz="12" w:space="0" w:color="auto"/>
            </w:tcBorders>
          </w:tcPr>
          <w:p w:rsidR="00606A2A" w:rsidRPr="002D3263" w:rsidP="00EF4CBB" w14:paraId="6C415A21" w14:textId="77777777">
            <w:pPr>
              <w:keepNext/>
              <w:widowControl/>
              <w:jc w:val="center"/>
              <w:rPr>
                <w:rFonts w:ascii="Calibri" w:hAnsi="Calibri"/>
                <w:b/>
              </w:rPr>
            </w:pPr>
            <w:r w:rsidRPr="002D3263">
              <w:rPr>
                <w:rFonts w:ascii="Calibri" w:hAnsi="Calibri"/>
                <w:b/>
              </w:rPr>
              <w:t>Discounted 7%</w:t>
            </w:r>
          </w:p>
        </w:tc>
        <w:tc>
          <w:tcPr>
            <w:tcW w:w="1413" w:type="dxa"/>
            <w:tcBorders>
              <w:bottom w:val="single" w:sz="12" w:space="0" w:color="auto"/>
            </w:tcBorders>
          </w:tcPr>
          <w:p w:rsidR="00606A2A" w:rsidRPr="002D3263" w:rsidP="00EF4CBB" w14:paraId="222B998E" w14:textId="77777777">
            <w:pPr>
              <w:keepNext/>
              <w:widowControl/>
              <w:jc w:val="center"/>
              <w:rPr>
                <w:rFonts w:ascii="Calibri" w:hAnsi="Calibri"/>
                <w:b/>
              </w:rPr>
            </w:pPr>
            <w:r w:rsidRPr="002D3263">
              <w:rPr>
                <w:rFonts w:ascii="Calibri" w:hAnsi="Calibri"/>
                <w:b/>
              </w:rPr>
              <w:t>Discounted 3%</w:t>
            </w:r>
          </w:p>
        </w:tc>
      </w:tr>
      <w:tr w14:paraId="6912997F" w14:textId="77777777" w:rsidTr="006D5D1A">
        <w:tblPrEx>
          <w:tblW w:w="8488" w:type="dxa"/>
          <w:jc w:val="center"/>
          <w:tblLook w:val="04A0"/>
        </w:tblPrEx>
        <w:trPr>
          <w:trHeight w:val="300"/>
          <w:jc w:val="center"/>
        </w:trPr>
        <w:tc>
          <w:tcPr>
            <w:tcW w:w="1170" w:type="dxa"/>
            <w:tcBorders>
              <w:top w:val="single" w:sz="12" w:space="0" w:color="auto"/>
            </w:tcBorders>
            <w:shd w:val="clear" w:color="auto" w:fill="auto"/>
            <w:vAlign w:val="center"/>
          </w:tcPr>
          <w:p w:rsidR="00E711E2" w:rsidRPr="002D3263" w:rsidP="00E711E2" w14:paraId="2CD3C7BF" w14:textId="71C236C0">
            <w:pPr>
              <w:keepNext/>
              <w:widowControl/>
              <w:jc w:val="center"/>
              <w:rPr>
                <w:rFonts w:ascii="Calibri" w:hAnsi="Calibri"/>
                <w:color w:val="000000"/>
              </w:rPr>
            </w:pPr>
            <w:r w:rsidRPr="00FD47CC">
              <w:rPr>
                <w:rFonts w:ascii="Calibri" w:hAnsi="Calibri" w:cs="Calibri"/>
                <w:color w:val="000000"/>
              </w:rPr>
              <w:t>2023</w:t>
            </w:r>
          </w:p>
        </w:tc>
        <w:tc>
          <w:tcPr>
            <w:tcW w:w="2250" w:type="dxa"/>
            <w:tcBorders>
              <w:top w:val="nil"/>
              <w:left w:val="nil"/>
              <w:bottom w:val="nil"/>
              <w:right w:val="nil"/>
            </w:tcBorders>
            <w:shd w:val="clear" w:color="auto" w:fill="auto"/>
            <w:vAlign w:val="center"/>
          </w:tcPr>
          <w:p w:rsidR="00E711E2" w:rsidRPr="002D3263" w:rsidP="00E711E2" w14:paraId="53A2A5A7" w14:textId="6234BC72">
            <w:pPr>
              <w:keepNext/>
              <w:widowControl/>
              <w:jc w:val="center"/>
              <w:rPr>
                <w:rFonts w:ascii="Calibri" w:hAnsi="Calibri"/>
                <w:color w:val="000000"/>
              </w:rPr>
            </w:pPr>
            <w:r>
              <w:rPr>
                <w:rFonts w:ascii="Calibri" w:hAnsi="Calibri" w:cs="Calibri"/>
                <w:color w:val="000000"/>
              </w:rPr>
              <w:t xml:space="preserve">$5,430,944 </w:t>
            </w:r>
          </w:p>
        </w:tc>
        <w:tc>
          <w:tcPr>
            <w:tcW w:w="2322" w:type="dxa"/>
            <w:tcBorders>
              <w:top w:val="nil"/>
              <w:left w:val="nil"/>
              <w:bottom w:val="nil"/>
              <w:right w:val="nil"/>
            </w:tcBorders>
            <w:shd w:val="clear" w:color="auto" w:fill="auto"/>
            <w:vAlign w:val="center"/>
          </w:tcPr>
          <w:p w:rsidR="00E711E2" w:rsidRPr="002D3263" w:rsidP="00E711E2" w14:paraId="21B9EB82" w14:textId="1C2E3CC1">
            <w:pPr>
              <w:keepNext/>
              <w:widowControl/>
              <w:jc w:val="center"/>
              <w:rPr>
                <w:rFonts w:ascii="Calibri" w:hAnsi="Calibri"/>
                <w:color w:val="000000"/>
              </w:rPr>
            </w:pPr>
            <w:r>
              <w:rPr>
                <w:rFonts w:ascii="Calibri" w:hAnsi="Calibri" w:cs="Calibri"/>
                <w:color w:val="000000"/>
              </w:rPr>
              <w:t xml:space="preserve">$4,768,369 </w:t>
            </w:r>
          </w:p>
        </w:tc>
        <w:tc>
          <w:tcPr>
            <w:tcW w:w="1333" w:type="dxa"/>
            <w:tcBorders>
              <w:top w:val="nil"/>
              <w:left w:val="nil"/>
              <w:bottom w:val="nil"/>
              <w:right w:val="nil"/>
            </w:tcBorders>
            <w:shd w:val="clear" w:color="auto" w:fill="auto"/>
            <w:vAlign w:val="center"/>
          </w:tcPr>
          <w:p w:rsidR="00E711E2" w:rsidRPr="002D3263" w:rsidP="00E711E2" w14:paraId="748CAD05" w14:textId="34DD7BB3">
            <w:pPr>
              <w:keepNext/>
              <w:widowControl/>
              <w:jc w:val="center"/>
              <w:rPr>
                <w:rFonts w:ascii="Calibri" w:hAnsi="Calibri"/>
                <w:color w:val="000000"/>
              </w:rPr>
            </w:pPr>
            <w:r>
              <w:rPr>
                <w:rFonts w:ascii="Calibri" w:hAnsi="Calibri" w:cs="Calibri"/>
                <w:color w:val="000000"/>
              </w:rPr>
              <w:t xml:space="preserve">$4,164,878 </w:t>
            </w:r>
          </w:p>
        </w:tc>
        <w:tc>
          <w:tcPr>
            <w:tcW w:w="1413" w:type="dxa"/>
            <w:tcBorders>
              <w:top w:val="nil"/>
              <w:left w:val="nil"/>
              <w:bottom w:val="nil"/>
              <w:right w:val="nil"/>
            </w:tcBorders>
            <w:shd w:val="clear" w:color="auto" w:fill="auto"/>
            <w:vAlign w:val="center"/>
          </w:tcPr>
          <w:p w:rsidR="00E711E2" w:rsidRPr="002D3263" w:rsidP="00E711E2" w14:paraId="53D68E01" w14:textId="2FDF55B9">
            <w:pPr>
              <w:keepNext/>
              <w:widowControl/>
              <w:jc w:val="center"/>
              <w:rPr>
                <w:rFonts w:ascii="Calibri" w:hAnsi="Calibri"/>
                <w:color w:val="000000"/>
              </w:rPr>
            </w:pPr>
            <w:r>
              <w:rPr>
                <w:rFonts w:ascii="Calibri" w:hAnsi="Calibri" w:cs="Calibri"/>
                <w:color w:val="000000"/>
              </w:rPr>
              <w:t xml:space="preserve">$4,494,645 </w:t>
            </w:r>
          </w:p>
        </w:tc>
      </w:tr>
      <w:tr w14:paraId="2942FA1F" w14:textId="77777777" w:rsidTr="006D5D1A">
        <w:tblPrEx>
          <w:tblW w:w="8488" w:type="dxa"/>
          <w:jc w:val="center"/>
          <w:tblLook w:val="04A0"/>
        </w:tblPrEx>
        <w:trPr>
          <w:trHeight w:val="300"/>
          <w:jc w:val="center"/>
        </w:trPr>
        <w:tc>
          <w:tcPr>
            <w:tcW w:w="1170" w:type="dxa"/>
            <w:shd w:val="clear" w:color="auto" w:fill="auto"/>
            <w:noWrap/>
            <w:vAlign w:val="center"/>
          </w:tcPr>
          <w:p w:rsidR="00E711E2" w:rsidRPr="002D3263" w:rsidP="00E711E2" w14:paraId="099794E0" w14:textId="28B18814">
            <w:pPr>
              <w:keepNext/>
              <w:widowControl/>
              <w:jc w:val="center"/>
              <w:rPr>
                <w:rFonts w:ascii="Calibri" w:hAnsi="Calibri"/>
                <w:color w:val="000000"/>
              </w:rPr>
            </w:pPr>
            <w:r w:rsidRPr="002D3263">
              <w:rPr>
                <w:rFonts w:ascii="Calibri" w:hAnsi="Calibri" w:cs="Calibri"/>
                <w:color w:val="000000"/>
              </w:rPr>
              <w:t>2024</w:t>
            </w:r>
          </w:p>
        </w:tc>
        <w:tc>
          <w:tcPr>
            <w:tcW w:w="2250" w:type="dxa"/>
            <w:tcBorders>
              <w:top w:val="nil"/>
              <w:left w:val="nil"/>
              <w:bottom w:val="nil"/>
              <w:right w:val="nil"/>
            </w:tcBorders>
            <w:shd w:val="clear" w:color="auto" w:fill="auto"/>
            <w:vAlign w:val="center"/>
          </w:tcPr>
          <w:p w:rsidR="00E711E2" w:rsidRPr="002D3263" w:rsidP="00E711E2" w14:paraId="173712E5" w14:textId="25E86FED">
            <w:pPr>
              <w:keepNext/>
              <w:widowControl/>
              <w:jc w:val="center"/>
              <w:rPr>
                <w:rFonts w:ascii="Calibri" w:hAnsi="Calibri"/>
                <w:color w:val="000000"/>
              </w:rPr>
            </w:pPr>
            <w:r>
              <w:rPr>
                <w:rFonts w:ascii="Calibri" w:hAnsi="Calibri" w:cs="Calibri"/>
                <w:color w:val="000000"/>
              </w:rPr>
              <w:t xml:space="preserve">$5,479,814 </w:t>
            </w:r>
          </w:p>
        </w:tc>
        <w:tc>
          <w:tcPr>
            <w:tcW w:w="2322" w:type="dxa"/>
            <w:tcBorders>
              <w:top w:val="nil"/>
              <w:left w:val="nil"/>
              <w:bottom w:val="nil"/>
              <w:right w:val="nil"/>
            </w:tcBorders>
            <w:shd w:val="clear" w:color="auto" w:fill="auto"/>
            <w:vAlign w:val="center"/>
          </w:tcPr>
          <w:p w:rsidR="00E711E2" w:rsidRPr="002D3263" w:rsidP="00E711E2" w14:paraId="36DC938A" w14:textId="611AA924">
            <w:pPr>
              <w:keepNext/>
              <w:widowControl/>
              <w:jc w:val="center"/>
              <w:rPr>
                <w:rFonts w:ascii="Calibri" w:hAnsi="Calibri"/>
                <w:color w:val="000000"/>
              </w:rPr>
            </w:pPr>
            <w:r>
              <w:rPr>
                <w:rFonts w:ascii="Calibri" w:hAnsi="Calibri" w:cs="Calibri"/>
                <w:color w:val="000000"/>
              </w:rPr>
              <w:t xml:space="preserve">$4,701,681 </w:t>
            </w:r>
          </w:p>
        </w:tc>
        <w:tc>
          <w:tcPr>
            <w:tcW w:w="1333" w:type="dxa"/>
            <w:tcBorders>
              <w:top w:val="nil"/>
              <w:left w:val="nil"/>
              <w:bottom w:val="nil"/>
              <w:right w:val="nil"/>
            </w:tcBorders>
            <w:shd w:val="clear" w:color="auto" w:fill="auto"/>
            <w:vAlign w:val="center"/>
          </w:tcPr>
          <w:p w:rsidR="00E711E2" w:rsidRPr="002D3263" w:rsidP="00E711E2" w14:paraId="4714DF63" w14:textId="56D7C64F">
            <w:pPr>
              <w:keepNext/>
              <w:widowControl/>
              <w:jc w:val="center"/>
              <w:rPr>
                <w:rFonts w:ascii="Calibri" w:hAnsi="Calibri"/>
                <w:color w:val="000000"/>
              </w:rPr>
            </w:pPr>
            <w:r>
              <w:rPr>
                <w:rFonts w:ascii="Calibri" w:hAnsi="Calibri" w:cs="Calibri"/>
                <w:color w:val="000000"/>
              </w:rPr>
              <w:t xml:space="preserve">$3,837,972 </w:t>
            </w:r>
          </w:p>
        </w:tc>
        <w:tc>
          <w:tcPr>
            <w:tcW w:w="1413" w:type="dxa"/>
            <w:tcBorders>
              <w:top w:val="nil"/>
              <w:left w:val="nil"/>
              <w:bottom w:val="nil"/>
              <w:right w:val="nil"/>
            </w:tcBorders>
            <w:shd w:val="clear" w:color="auto" w:fill="auto"/>
            <w:vAlign w:val="center"/>
          </w:tcPr>
          <w:p w:rsidR="00E711E2" w:rsidRPr="002D3263" w:rsidP="00E711E2" w14:paraId="06CAB308" w14:textId="2EDFA4AF">
            <w:pPr>
              <w:keepNext/>
              <w:widowControl/>
              <w:jc w:val="center"/>
              <w:rPr>
                <w:rFonts w:ascii="Calibri" w:hAnsi="Calibri"/>
                <w:color w:val="000000"/>
              </w:rPr>
            </w:pPr>
            <w:r>
              <w:rPr>
                <w:rFonts w:ascii="Calibri" w:hAnsi="Calibri" w:cs="Calibri"/>
                <w:color w:val="000000"/>
              </w:rPr>
              <w:t xml:space="preserve">$4,302,704 </w:t>
            </w:r>
          </w:p>
        </w:tc>
      </w:tr>
      <w:tr w14:paraId="3BED7113" w14:textId="77777777" w:rsidTr="006D5D1A">
        <w:tblPrEx>
          <w:tblW w:w="8488" w:type="dxa"/>
          <w:jc w:val="center"/>
          <w:tblLook w:val="04A0"/>
        </w:tblPrEx>
        <w:trPr>
          <w:trHeight w:val="300"/>
          <w:jc w:val="center"/>
        </w:trPr>
        <w:tc>
          <w:tcPr>
            <w:tcW w:w="1170" w:type="dxa"/>
            <w:shd w:val="clear" w:color="auto" w:fill="auto"/>
            <w:noWrap/>
            <w:vAlign w:val="center"/>
          </w:tcPr>
          <w:p w:rsidR="00E711E2" w:rsidRPr="002D3263" w:rsidP="00E711E2" w14:paraId="0982444B" w14:textId="43E63C3C">
            <w:pPr>
              <w:keepNext/>
              <w:widowControl/>
              <w:jc w:val="center"/>
              <w:rPr>
                <w:rFonts w:ascii="Calibri" w:hAnsi="Calibri"/>
                <w:color w:val="000000"/>
              </w:rPr>
            </w:pPr>
            <w:r w:rsidRPr="002D3263">
              <w:rPr>
                <w:rFonts w:ascii="Calibri" w:hAnsi="Calibri" w:cs="Calibri"/>
                <w:color w:val="000000"/>
              </w:rPr>
              <w:t>2025</w:t>
            </w:r>
          </w:p>
        </w:tc>
        <w:tc>
          <w:tcPr>
            <w:tcW w:w="2250" w:type="dxa"/>
            <w:tcBorders>
              <w:top w:val="nil"/>
              <w:left w:val="nil"/>
              <w:bottom w:val="nil"/>
              <w:right w:val="nil"/>
            </w:tcBorders>
            <w:shd w:val="clear" w:color="auto" w:fill="auto"/>
            <w:vAlign w:val="center"/>
          </w:tcPr>
          <w:p w:rsidR="00E711E2" w:rsidRPr="002D3263" w:rsidP="00E711E2" w14:paraId="65829A3B" w14:textId="54BD9B33">
            <w:pPr>
              <w:keepNext/>
              <w:widowControl/>
              <w:jc w:val="center"/>
              <w:rPr>
                <w:rFonts w:ascii="Calibri" w:hAnsi="Calibri"/>
                <w:color w:val="000000"/>
              </w:rPr>
            </w:pPr>
            <w:r>
              <w:rPr>
                <w:rFonts w:ascii="Calibri" w:hAnsi="Calibri" w:cs="Calibri"/>
                <w:color w:val="000000"/>
              </w:rPr>
              <w:t xml:space="preserve">$5,712,889 </w:t>
            </w:r>
          </w:p>
        </w:tc>
        <w:tc>
          <w:tcPr>
            <w:tcW w:w="2322" w:type="dxa"/>
            <w:tcBorders>
              <w:top w:val="nil"/>
              <w:left w:val="nil"/>
              <w:bottom w:val="nil"/>
              <w:right w:val="nil"/>
            </w:tcBorders>
            <w:shd w:val="clear" w:color="auto" w:fill="auto"/>
            <w:vAlign w:val="center"/>
          </w:tcPr>
          <w:p w:rsidR="00E711E2" w:rsidRPr="002D3263" w:rsidP="00E711E2" w14:paraId="5E63B0FC" w14:textId="08F7D443">
            <w:pPr>
              <w:keepNext/>
              <w:widowControl/>
              <w:jc w:val="center"/>
              <w:rPr>
                <w:rFonts w:ascii="Calibri" w:hAnsi="Calibri"/>
                <w:color w:val="000000"/>
              </w:rPr>
            </w:pPr>
            <w:r>
              <w:rPr>
                <w:rFonts w:ascii="Calibri" w:hAnsi="Calibri" w:cs="Calibri"/>
                <w:color w:val="000000"/>
              </w:rPr>
              <w:t xml:space="preserve">$4,793,114 </w:t>
            </w:r>
          </w:p>
        </w:tc>
        <w:tc>
          <w:tcPr>
            <w:tcW w:w="1333" w:type="dxa"/>
            <w:tcBorders>
              <w:top w:val="nil"/>
              <w:left w:val="nil"/>
              <w:bottom w:val="nil"/>
              <w:right w:val="nil"/>
            </w:tcBorders>
            <w:shd w:val="clear" w:color="auto" w:fill="auto"/>
            <w:vAlign w:val="center"/>
          </w:tcPr>
          <w:p w:rsidR="00E711E2" w:rsidRPr="002D3263" w:rsidP="00E711E2" w14:paraId="31898E70" w14:textId="2696D4ED">
            <w:pPr>
              <w:keepNext/>
              <w:widowControl/>
              <w:jc w:val="center"/>
              <w:rPr>
                <w:rFonts w:ascii="Calibri" w:hAnsi="Calibri"/>
                <w:color w:val="000000"/>
              </w:rPr>
            </w:pPr>
            <w:r>
              <w:rPr>
                <w:rFonts w:ascii="Calibri" w:hAnsi="Calibri" w:cs="Calibri"/>
                <w:color w:val="000000"/>
              </w:rPr>
              <w:t xml:space="preserve">$3,656,644 </w:t>
            </w:r>
          </w:p>
        </w:tc>
        <w:tc>
          <w:tcPr>
            <w:tcW w:w="1413" w:type="dxa"/>
            <w:tcBorders>
              <w:top w:val="nil"/>
              <w:left w:val="nil"/>
              <w:bottom w:val="nil"/>
              <w:right w:val="nil"/>
            </w:tcBorders>
            <w:shd w:val="clear" w:color="auto" w:fill="auto"/>
            <w:vAlign w:val="center"/>
          </w:tcPr>
          <w:p w:rsidR="00E711E2" w:rsidRPr="002D3263" w:rsidP="00E711E2" w14:paraId="052A1ED4" w14:textId="03733FA0">
            <w:pPr>
              <w:keepNext/>
              <w:widowControl/>
              <w:jc w:val="center"/>
              <w:rPr>
                <w:rFonts w:ascii="Calibri" w:hAnsi="Calibri"/>
                <w:color w:val="000000"/>
              </w:rPr>
            </w:pPr>
            <w:r>
              <w:rPr>
                <w:rFonts w:ascii="Calibri" w:hAnsi="Calibri" w:cs="Calibri"/>
                <w:color w:val="000000"/>
              </w:rPr>
              <w:t xml:space="preserve">$4,258,620 </w:t>
            </w:r>
          </w:p>
        </w:tc>
      </w:tr>
      <w:tr w14:paraId="1E5AA8BB" w14:textId="77777777" w:rsidTr="006D5D1A">
        <w:tblPrEx>
          <w:tblW w:w="8488" w:type="dxa"/>
          <w:jc w:val="center"/>
          <w:tblLook w:val="04A0"/>
        </w:tblPrEx>
        <w:trPr>
          <w:trHeight w:val="300"/>
          <w:jc w:val="center"/>
        </w:trPr>
        <w:tc>
          <w:tcPr>
            <w:tcW w:w="1170" w:type="dxa"/>
            <w:shd w:val="clear" w:color="auto" w:fill="auto"/>
            <w:noWrap/>
            <w:vAlign w:val="center"/>
          </w:tcPr>
          <w:p w:rsidR="00E711E2" w:rsidRPr="002D3263" w:rsidP="00E711E2" w14:paraId="1F17B960" w14:textId="3E34D435">
            <w:pPr>
              <w:keepNext/>
              <w:widowControl/>
              <w:jc w:val="center"/>
              <w:rPr>
                <w:rFonts w:ascii="Calibri" w:hAnsi="Calibri"/>
                <w:color w:val="000000"/>
              </w:rPr>
            </w:pPr>
            <w:r w:rsidRPr="002D3263">
              <w:rPr>
                <w:rFonts w:ascii="Calibri" w:hAnsi="Calibri" w:cs="Calibri"/>
                <w:color w:val="000000"/>
              </w:rPr>
              <w:t>2026</w:t>
            </w:r>
          </w:p>
        </w:tc>
        <w:tc>
          <w:tcPr>
            <w:tcW w:w="2250" w:type="dxa"/>
            <w:tcBorders>
              <w:top w:val="nil"/>
              <w:left w:val="nil"/>
              <w:bottom w:val="nil"/>
              <w:right w:val="nil"/>
            </w:tcBorders>
            <w:shd w:val="clear" w:color="auto" w:fill="auto"/>
            <w:vAlign w:val="center"/>
          </w:tcPr>
          <w:p w:rsidR="00E711E2" w:rsidRPr="002D3263" w:rsidP="00E711E2" w14:paraId="6C2F58B0" w14:textId="775C8116">
            <w:pPr>
              <w:keepNext/>
              <w:widowControl/>
              <w:jc w:val="center"/>
              <w:rPr>
                <w:rFonts w:ascii="Calibri" w:hAnsi="Calibri"/>
                <w:color w:val="000000"/>
              </w:rPr>
            </w:pPr>
            <w:r>
              <w:rPr>
                <w:rFonts w:ascii="Calibri" w:hAnsi="Calibri" w:cs="Calibri"/>
                <w:color w:val="000000"/>
              </w:rPr>
              <w:t xml:space="preserve">$5,764,109 </w:t>
            </w:r>
          </w:p>
        </w:tc>
        <w:tc>
          <w:tcPr>
            <w:tcW w:w="2322" w:type="dxa"/>
            <w:tcBorders>
              <w:top w:val="nil"/>
              <w:left w:val="nil"/>
              <w:bottom w:val="nil"/>
              <w:right w:val="nil"/>
            </w:tcBorders>
            <w:shd w:val="clear" w:color="auto" w:fill="auto"/>
            <w:vAlign w:val="center"/>
          </w:tcPr>
          <w:p w:rsidR="00E711E2" w:rsidRPr="002D3263" w:rsidP="00E711E2" w14:paraId="6F6A3658" w14:textId="32D13064">
            <w:pPr>
              <w:keepNext/>
              <w:widowControl/>
              <w:jc w:val="center"/>
              <w:rPr>
                <w:rFonts w:ascii="Calibri" w:hAnsi="Calibri"/>
                <w:color w:val="000000"/>
              </w:rPr>
            </w:pPr>
            <w:r>
              <w:rPr>
                <w:rFonts w:ascii="Calibri" w:hAnsi="Calibri" w:cs="Calibri"/>
                <w:color w:val="000000"/>
              </w:rPr>
              <w:t xml:space="preserve">$4,726,569 </w:t>
            </w:r>
          </w:p>
        </w:tc>
        <w:tc>
          <w:tcPr>
            <w:tcW w:w="1333" w:type="dxa"/>
            <w:tcBorders>
              <w:top w:val="nil"/>
              <w:left w:val="nil"/>
              <w:bottom w:val="nil"/>
              <w:right w:val="nil"/>
            </w:tcBorders>
            <w:shd w:val="clear" w:color="auto" w:fill="auto"/>
            <w:vAlign w:val="center"/>
          </w:tcPr>
          <w:p w:rsidR="00E711E2" w:rsidRPr="002D3263" w:rsidP="00E711E2" w14:paraId="58B3C913" w14:textId="1E3A287F">
            <w:pPr>
              <w:keepNext/>
              <w:widowControl/>
              <w:jc w:val="center"/>
              <w:rPr>
                <w:rFonts w:ascii="Calibri" w:hAnsi="Calibri"/>
                <w:color w:val="000000"/>
              </w:rPr>
            </w:pPr>
            <w:r>
              <w:rPr>
                <w:rFonts w:ascii="Calibri" w:hAnsi="Calibri" w:cs="Calibri"/>
                <w:color w:val="000000"/>
              </w:rPr>
              <w:t xml:space="preserve">$3,369,979 </w:t>
            </w:r>
          </w:p>
        </w:tc>
        <w:tc>
          <w:tcPr>
            <w:tcW w:w="1413" w:type="dxa"/>
            <w:tcBorders>
              <w:top w:val="nil"/>
              <w:left w:val="nil"/>
              <w:bottom w:val="nil"/>
              <w:right w:val="nil"/>
            </w:tcBorders>
            <w:shd w:val="clear" w:color="auto" w:fill="auto"/>
            <w:vAlign w:val="center"/>
          </w:tcPr>
          <w:p w:rsidR="00E711E2" w:rsidRPr="002D3263" w:rsidP="00E711E2" w14:paraId="0435C887" w14:textId="38306482">
            <w:pPr>
              <w:keepNext/>
              <w:widowControl/>
              <w:jc w:val="center"/>
              <w:rPr>
                <w:rFonts w:ascii="Calibri" w:hAnsi="Calibri"/>
                <w:color w:val="000000"/>
              </w:rPr>
            </w:pPr>
            <w:r>
              <w:rPr>
                <w:rFonts w:ascii="Calibri" w:hAnsi="Calibri" w:cs="Calibri"/>
                <w:color w:val="000000"/>
              </w:rPr>
              <w:t xml:space="preserve">$4,077,180 </w:t>
            </w:r>
          </w:p>
        </w:tc>
      </w:tr>
      <w:tr w14:paraId="40C330C4" w14:textId="77777777" w:rsidTr="006D5D1A">
        <w:tblPrEx>
          <w:tblW w:w="8488" w:type="dxa"/>
          <w:jc w:val="center"/>
          <w:tblLook w:val="04A0"/>
        </w:tblPrEx>
        <w:trPr>
          <w:trHeight w:val="300"/>
          <w:jc w:val="center"/>
        </w:trPr>
        <w:tc>
          <w:tcPr>
            <w:tcW w:w="1170" w:type="dxa"/>
            <w:shd w:val="clear" w:color="auto" w:fill="auto"/>
            <w:noWrap/>
            <w:vAlign w:val="center"/>
          </w:tcPr>
          <w:p w:rsidR="00E711E2" w:rsidRPr="002D3263" w:rsidP="00E711E2" w14:paraId="1707BE91" w14:textId="0968B84B">
            <w:pPr>
              <w:keepNext/>
              <w:widowControl/>
              <w:jc w:val="center"/>
              <w:rPr>
                <w:rFonts w:ascii="Calibri" w:hAnsi="Calibri"/>
                <w:color w:val="000000"/>
              </w:rPr>
            </w:pPr>
            <w:r w:rsidRPr="002D3263">
              <w:rPr>
                <w:rFonts w:ascii="Calibri" w:hAnsi="Calibri" w:cs="Calibri"/>
                <w:color w:val="000000"/>
              </w:rPr>
              <w:t>2027</w:t>
            </w:r>
          </w:p>
        </w:tc>
        <w:tc>
          <w:tcPr>
            <w:tcW w:w="2250" w:type="dxa"/>
            <w:tcBorders>
              <w:top w:val="nil"/>
              <w:left w:val="nil"/>
              <w:bottom w:val="nil"/>
              <w:right w:val="nil"/>
            </w:tcBorders>
            <w:shd w:val="clear" w:color="auto" w:fill="auto"/>
            <w:vAlign w:val="center"/>
          </w:tcPr>
          <w:p w:rsidR="00E711E2" w:rsidRPr="002D3263" w:rsidP="00E711E2" w14:paraId="1F266FBC" w14:textId="338C96EF">
            <w:pPr>
              <w:keepNext/>
              <w:widowControl/>
              <w:jc w:val="center"/>
              <w:rPr>
                <w:rFonts w:ascii="Calibri" w:hAnsi="Calibri"/>
                <w:color w:val="000000"/>
              </w:rPr>
            </w:pPr>
            <w:r>
              <w:rPr>
                <w:rFonts w:ascii="Calibri" w:hAnsi="Calibri" w:cs="Calibri"/>
                <w:color w:val="000000"/>
              </w:rPr>
              <w:t xml:space="preserve">$5,815,329 </w:t>
            </w:r>
          </w:p>
        </w:tc>
        <w:tc>
          <w:tcPr>
            <w:tcW w:w="2322" w:type="dxa"/>
            <w:tcBorders>
              <w:top w:val="nil"/>
              <w:left w:val="nil"/>
              <w:bottom w:val="nil"/>
              <w:right w:val="nil"/>
            </w:tcBorders>
            <w:shd w:val="clear" w:color="auto" w:fill="auto"/>
            <w:vAlign w:val="center"/>
          </w:tcPr>
          <w:p w:rsidR="00E711E2" w:rsidRPr="002D3263" w:rsidP="00E711E2" w14:paraId="20993579" w14:textId="33872225">
            <w:pPr>
              <w:keepNext/>
              <w:widowControl/>
              <w:jc w:val="center"/>
              <w:rPr>
                <w:rFonts w:ascii="Calibri" w:hAnsi="Calibri"/>
                <w:color w:val="000000"/>
              </w:rPr>
            </w:pPr>
            <w:r>
              <w:rPr>
                <w:rFonts w:ascii="Calibri" w:hAnsi="Calibri" w:cs="Calibri"/>
                <w:color w:val="000000"/>
              </w:rPr>
              <w:t xml:space="preserve">$4,663,894 </w:t>
            </w:r>
          </w:p>
        </w:tc>
        <w:tc>
          <w:tcPr>
            <w:tcW w:w="1333" w:type="dxa"/>
            <w:tcBorders>
              <w:top w:val="nil"/>
              <w:left w:val="nil"/>
              <w:bottom w:val="nil"/>
              <w:right w:val="nil"/>
            </w:tcBorders>
            <w:shd w:val="clear" w:color="auto" w:fill="auto"/>
            <w:vAlign w:val="center"/>
          </w:tcPr>
          <w:p w:rsidR="00E711E2" w:rsidRPr="002D3263" w:rsidP="00E711E2" w14:paraId="30A522F2" w14:textId="6235BEAE">
            <w:pPr>
              <w:keepNext/>
              <w:widowControl/>
              <w:jc w:val="center"/>
              <w:rPr>
                <w:rFonts w:ascii="Calibri" w:hAnsi="Calibri"/>
                <w:color w:val="000000"/>
              </w:rPr>
            </w:pPr>
            <w:r>
              <w:rPr>
                <w:rFonts w:ascii="Calibri" w:hAnsi="Calibri" w:cs="Calibri"/>
                <w:color w:val="000000"/>
              </w:rPr>
              <w:t xml:space="preserve">$3,107,749 </w:t>
            </w:r>
          </w:p>
        </w:tc>
        <w:tc>
          <w:tcPr>
            <w:tcW w:w="1413" w:type="dxa"/>
            <w:tcBorders>
              <w:top w:val="nil"/>
              <w:left w:val="nil"/>
              <w:bottom w:val="nil"/>
              <w:right w:val="nil"/>
            </w:tcBorders>
            <w:shd w:val="clear" w:color="auto" w:fill="auto"/>
            <w:vAlign w:val="center"/>
          </w:tcPr>
          <w:p w:rsidR="00E711E2" w:rsidRPr="002D3263" w:rsidP="00E711E2" w14:paraId="4A3A7C66" w14:textId="42E0FFDD">
            <w:pPr>
              <w:keepNext/>
              <w:widowControl/>
              <w:jc w:val="center"/>
              <w:rPr>
                <w:rFonts w:ascii="Calibri" w:hAnsi="Calibri"/>
                <w:color w:val="000000"/>
              </w:rPr>
            </w:pPr>
            <w:r>
              <w:rPr>
                <w:rFonts w:ascii="Calibri" w:hAnsi="Calibri" w:cs="Calibri"/>
                <w:color w:val="000000"/>
              </w:rPr>
              <w:t xml:space="preserve">$3,905,938 </w:t>
            </w:r>
          </w:p>
        </w:tc>
      </w:tr>
      <w:tr w14:paraId="72FC708B" w14:textId="77777777" w:rsidTr="006D5D1A">
        <w:tblPrEx>
          <w:tblW w:w="8488" w:type="dxa"/>
          <w:jc w:val="center"/>
          <w:tblLook w:val="04A0"/>
        </w:tblPrEx>
        <w:trPr>
          <w:trHeight w:val="300"/>
          <w:jc w:val="center"/>
        </w:trPr>
        <w:tc>
          <w:tcPr>
            <w:tcW w:w="1170" w:type="dxa"/>
            <w:shd w:val="clear" w:color="auto" w:fill="auto"/>
            <w:noWrap/>
            <w:vAlign w:val="center"/>
          </w:tcPr>
          <w:p w:rsidR="00E711E2" w:rsidRPr="002D3263" w:rsidP="00E711E2" w14:paraId="1B32B5A2" w14:textId="7D73DCE4">
            <w:pPr>
              <w:keepNext/>
              <w:widowControl/>
              <w:jc w:val="center"/>
              <w:rPr>
                <w:rFonts w:ascii="Calibri" w:hAnsi="Calibri"/>
                <w:color w:val="000000"/>
              </w:rPr>
            </w:pPr>
            <w:r w:rsidRPr="002D3263">
              <w:rPr>
                <w:rFonts w:ascii="Calibri" w:hAnsi="Calibri" w:cs="Calibri"/>
                <w:color w:val="000000"/>
              </w:rPr>
              <w:t>2028</w:t>
            </w:r>
          </w:p>
        </w:tc>
        <w:tc>
          <w:tcPr>
            <w:tcW w:w="2250" w:type="dxa"/>
            <w:tcBorders>
              <w:top w:val="nil"/>
              <w:left w:val="nil"/>
              <w:bottom w:val="nil"/>
              <w:right w:val="nil"/>
            </w:tcBorders>
            <w:shd w:val="clear" w:color="auto" w:fill="auto"/>
            <w:vAlign w:val="center"/>
          </w:tcPr>
          <w:p w:rsidR="00E711E2" w:rsidRPr="002D3263" w:rsidP="00E711E2" w14:paraId="036EC6F2" w14:textId="4CC49548">
            <w:pPr>
              <w:keepNext/>
              <w:widowControl/>
              <w:jc w:val="center"/>
              <w:rPr>
                <w:rFonts w:ascii="Calibri" w:hAnsi="Calibri"/>
                <w:color w:val="000000"/>
              </w:rPr>
            </w:pPr>
            <w:r>
              <w:rPr>
                <w:rFonts w:ascii="Calibri" w:hAnsi="Calibri" w:cs="Calibri"/>
                <w:color w:val="000000"/>
              </w:rPr>
              <w:t xml:space="preserve">$6,430,821 </w:t>
            </w:r>
          </w:p>
        </w:tc>
        <w:tc>
          <w:tcPr>
            <w:tcW w:w="2322" w:type="dxa"/>
            <w:tcBorders>
              <w:top w:val="nil"/>
              <w:left w:val="nil"/>
              <w:bottom w:val="nil"/>
              <w:right w:val="nil"/>
            </w:tcBorders>
            <w:shd w:val="clear" w:color="auto" w:fill="auto"/>
            <w:vAlign w:val="center"/>
          </w:tcPr>
          <w:p w:rsidR="00E711E2" w:rsidRPr="002D3263" w:rsidP="00E711E2" w14:paraId="4BD2E324" w14:textId="2C9FB663">
            <w:pPr>
              <w:keepNext/>
              <w:widowControl/>
              <w:jc w:val="center"/>
              <w:rPr>
                <w:rFonts w:ascii="Calibri" w:hAnsi="Calibri"/>
                <w:color w:val="000000"/>
              </w:rPr>
            </w:pPr>
            <w:r>
              <w:rPr>
                <w:rFonts w:ascii="Calibri" w:hAnsi="Calibri" w:cs="Calibri"/>
                <w:color w:val="000000"/>
              </w:rPr>
              <w:t xml:space="preserve">$5,041,764 </w:t>
            </w:r>
          </w:p>
        </w:tc>
        <w:tc>
          <w:tcPr>
            <w:tcW w:w="1333" w:type="dxa"/>
            <w:tcBorders>
              <w:top w:val="nil"/>
              <w:left w:val="nil"/>
              <w:bottom w:val="nil"/>
              <w:right w:val="nil"/>
            </w:tcBorders>
            <w:shd w:val="clear" w:color="auto" w:fill="auto"/>
            <w:vAlign w:val="center"/>
          </w:tcPr>
          <w:p w:rsidR="00E711E2" w:rsidRPr="002D3263" w:rsidP="00E711E2" w14:paraId="7460C2E0" w14:textId="0624B588">
            <w:pPr>
              <w:keepNext/>
              <w:widowControl/>
              <w:jc w:val="center"/>
              <w:rPr>
                <w:rFonts w:ascii="Calibri" w:hAnsi="Calibri"/>
                <w:color w:val="000000"/>
              </w:rPr>
            </w:pPr>
            <w:r>
              <w:rPr>
                <w:rFonts w:ascii="Calibri" w:hAnsi="Calibri" w:cs="Calibri"/>
                <w:color w:val="000000"/>
              </w:rPr>
              <w:t xml:space="preserve">$3,139,757 </w:t>
            </w:r>
          </w:p>
        </w:tc>
        <w:tc>
          <w:tcPr>
            <w:tcW w:w="1413" w:type="dxa"/>
            <w:tcBorders>
              <w:top w:val="nil"/>
              <w:left w:val="nil"/>
              <w:bottom w:val="nil"/>
              <w:right w:val="nil"/>
            </w:tcBorders>
            <w:shd w:val="clear" w:color="auto" w:fill="auto"/>
            <w:vAlign w:val="center"/>
          </w:tcPr>
          <w:p w:rsidR="00E711E2" w:rsidRPr="002D3263" w:rsidP="00E711E2" w14:paraId="3F2113AC" w14:textId="4954D369">
            <w:pPr>
              <w:keepNext/>
              <w:widowControl/>
              <w:jc w:val="center"/>
              <w:rPr>
                <w:rFonts w:ascii="Calibri" w:hAnsi="Calibri"/>
                <w:color w:val="000000"/>
              </w:rPr>
            </w:pPr>
            <w:r>
              <w:rPr>
                <w:rFonts w:ascii="Calibri" w:hAnsi="Calibri" w:cs="Calibri"/>
                <w:color w:val="000000"/>
              </w:rPr>
              <w:t xml:space="preserve">$4,099,415 </w:t>
            </w:r>
          </w:p>
        </w:tc>
      </w:tr>
      <w:tr w14:paraId="6B2C2F22" w14:textId="77777777" w:rsidTr="006D5D1A">
        <w:tblPrEx>
          <w:tblW w:w="8488" w:type="dxa"/>
          <w:jc w:val="center"/>
          <w:tblLook w:val="04A0"/>
        </w:tblPrEx>
        <w:trPr>
          <w:trHeight w:val="300"/>
          <w:jc w:val="center"/>
        </w:trPr>
        <w:tc>
          <w:tcPr>
            <w:tcW w:w="1170" w:type="dxa"/>
            <w:shd w:val="clear" w:color="auto" w:fill="auto"/>
            <w:noWrap/>
            <w:vAlign w:val="center"/>
          </w:tcPr>
          <w:p w:rsidR="00E711E2" w:rsidRPr="002D3263" w:rsidP="00E711E2" w14:paraId="59767423" w14:textId="2763F1C3">
            <w:pPr>
              <w:keepNext/>
              <w:widowControl/>
              <w:jc w:val="center"/>
              <w:rPr>
                <w:rFonts w:ascii="Calibri" w:hAnsi="Calibri"/>
                <w:color w:val="000000"/>
              </w:rPr>
            </w:pPr>
            <w:r w:rsidRPr="002D3263">
              <w:rPr>
                <w:rFonts w:ascii="Calibri" w:hAnsi="Calibri" w:cs="Calibri"/>
                <w:color w:val="000000"/>
              </w:rPr>
              <w:t>2029</w:t>
            </w:r>
          </w:p>
        </w:tc>
        <w:tc>
          <w:tcPr>
            <w:tcW w:w="2250" w:type="dxa"/>
            <w:tcBorders>
              <w:top w:val="nil"/>
              <w:left w:val="nil"/>
              <w:bottom w:val="nil"/>
              <w:right w:val="nil"/>
            </w:tcBorders>
            <w:shd w:val="clear" w:color="auto" w:fill="auto"/>
            <w:vAlign w:val="center"/>
          </w:tcPr>
          <w:p w:rsidR="00E711E2" w:rsidRPr="002D3263" w:rsidP="00E711E2" w14:paraId="3052556E" w14:textId="563F350A">
            <w:pPr>
              <w:keepNext/>
              <w:widowControl/>
              <w:jc w:val="center"/>
              <w:rPr>
                <w:rFonts w:ascii="Calibri" w:hAnsi="Calibri"/>
                <w:color w:val="000000"/>
              </w:rPr>
            </w:pPr>
            <w:r>
              <w:rPr>
                <w:rFonts w:ascii="Calibri" w:hAnsi="Calibri" w:cs="Calibri"/>
                <w:color w:val="000000"/>
              </w:rPr>
              <w:t xml:space="preserve">$6,487,687 </w:t>
            </w:r>
          </w:p>
        </w:tc>
        <w:tc>
          <w:tcPr>
            <w:tcW w:w="2322" w:type="dxa"/>
            <w:tcBorders>
              <w:top w:val="nil"/>
              <w:left w:val="nil"/>
              <w:bottom w:val="nil"/>
              <w:right w:val="nil"/>
            </w:tcBorders>
            <w:shd w:val="clear" w:color="auto" w:fill="auto"/>
            <w:vAlign w:val="center"/>
          </w:tcPr>
          <w:p w:rsidR="00E711E2" w:rsidRPr="002D3263" w:rsidP="00E711E2" w14:paraId="61A43A52" w14:textId="51E2AEED">
            <w:pPr>
              <w:keepNext/>
              <w:widowControl/>
              <w:jc w:val="center"/>
              <w:rPr>
                <w:rFonts w:ascii="Calibri" w:hAnsi="Calibri"/>
                <w:color w:val="000000"/>
              </w:rPr>
            </w:pPr>
            <w:r>
              <w:rPr>
                <w:rFonts w:ascii="Calibri" w:hAnsi="Calibri" w:cs="Calibri"/>
                <w:color w:val="000000"/>
              </w:rPr>
              <w:t xml:space="preserve">$4,969,569 </w:t>
            </w:r>
          </w:p>
        </w:tc>
        <w:tc>
          <w:tcPr>
            <w:tcW w:w="1333" w:type="dxa"/>
            <w:tcBorders>
              <w:top w:val="nil"/>
              <w:left w:val="nil"/>
              <w:bottom w:val="nil"/>
              <w:right w:val="nil"/>
            </w:tcBorders>
            <w:shd w:val="clear" w:color="auto" w:fill="auto"/>
            <w:vAlign w:val="center"/>
          </w:tcPr>
          <w:p w:rsidR="00E711E2" w:rsidRPr="002D3263" w:rsidP="00E711E2" w14:paraId="745E4210" w14:textId="005DA254">
            <w:pPr>
              <w:keepNext/>
              <w:widowControl/>
              <w:jc w:val="center"/>
              <w:rPr>
                <w:rFonts w:ascii="Calibri" w:hAnsi="Calibri"/>
                <w:color w:val="000000"/>
              </w:rPr>
            </w:pPr>
            <w:r>
              <w:rPr>
                <w:rFonts w:ascii="Calibri" w:hAnsi="Calibri" w:cs="Calibri"/>
                <w:color w:val="000000"/>
              </w:rPr>
              <w:t xml:space="preserve">$2,892,334 </w:t>
            </w:r>
          </w:p>
        </w:tc>
        <w:tc>
          <w:tcPr>
            <w:tcW w:w="1413" w:type="dxa"/>
            <w:tcBorders>
              <w:top w:val="nil"/>
              <w:left w:val="nil"/>
              <w:bottom w:val="nil"/>
              <w:right w:val="nil"/>
            </w:tcBorders>
            <w:shd w:val="clear" w:color="auto" w:fill="auto"/>
            <w:vAlign w:val="center"/>
          </w:tcPr>
          <w:p w:rsidR="00E711E2" w:rsidRPr="002D3263" w:rsidP="00E711E2" w14:paraId="5F195DB1" w14:textId="23291708">
            <w:pPr>
              <w:keepNext/>
              <w:widowControl/>
              <w:jc w:val="center"/>
              <w:rPr>
                <w:rFonts w:ascii="Calibri" w:hAnsi="Calibri"/>
                <w:color w:val="000000"/>
              </w:rPr>
            </w:pPr>
            <w:r>
              <w:rPr>
                <w:rFonts w:ascii="Calibri" w:hAnsi="Calibri" w:cs="Calibri"/>
                <w:color w:val="000000"/>
              </w:rPr>
              <w:t xml:space="preserve">$3,923,023 </w:t>
            </w:r>
          </w:p>
        </w:tc>
      </w:tr>
      <w:tr w14:paraId="748EDBA2" w14:textId="77777777" w:rsidTr="006D5D1A">
        <w:tblPrEx>
          <w:tblW w:w="8488" w:type="dxa"/>
          <w:jc w:val="center"/>
          <w:tblLook w:val="04A0"/>
        </w:tblPrEx>
        <w:trPr>
          <w:trHeight w:val="300"/>
          <w:jc w:val="center"/>
        </w:trPr>
        <w:tc>
          <w:tcPr>
            <w:tcW w:w="1170" w:type="dxa"/>
            <w:shd w:val="clear" w:color="auto" w:fill="auto"/>
            <w:noWrap/>
            <w:vAlign w:val="center"/>
          </w:tcPr>
          <w:p w:rsidR="00E711E2" w:rsidRPr="002D3263" w:rsidP="00E711E2" w14:paraId="19191168" w14:textId="38F47C43">
            <w:pPr>
              <w:keepNext/>
              <w:widowControl/>
              <w:jc w:val="center"/>
              <w:rPr>
                <w:rFonts w:ascii="Calibri" w:hAnsi="Calibri"/>
                <w:color w:val="000000"/>
              </w:rPr>
            </w:pPr>
            <w:r w:rsidRPr="002D3263">
              <w:rPr>
                <w:rFonts w:ascii="Calibri" w:hAnsi="Calibri" w:cs="Calibri"/>
                <w:color w:val="000000"/>
              </w:rPr>
              <w:t>2030</w:t>
            </w:r>
          </w:p>
        </w:tc>
        <w:tc>
          <w:tcPr>
            <w:tcW w:w="2250" w:type="dxa"/>
            <w:tcBorders>
              <w:top w:val="nil"/>
              <w:left w:val="nil"/>
              <w:bottom w:val="nil"/>
              <w:right w:val="nil"/>
            </w:tcBorders>
            <w:shd w:val="clear" w:color="auto" w:fill="auto"/>
            <w:vAlign w:val="center"/>
          </w:tcPr>
          <w:p w:rsidR="00E711E2" w:rsidRPr="002D3263" w:rsidP="00E711E2" w14:paraId="71BD858A" w14:textId="7A654F51">
            <w:pPr>
              <w:keepNext/>
              <w:widowControl/>
              <w:jc w:val="center"/>
              <w:rPr>
                <w:rFonts w:ascii="Calibri" w:hAnsi="Calibri"/>
                <w:color w:val="000000"/>
              </w:rPr>
            </w:pPr>
            <w:r>
              <w:rPr>
                <w:rFonts w:ascii="Calibri" w:hAnsi="Calibri" w:cs="Calibri"/>
                <w:color w:val="000000"/>
              </w:rPr>
              <w:t xml:space="preserve">$6,544,554 </w:t>
            </w:r>
          </w:p>
        </w:tc>
        <w:tc>
          <w:tcPr>
            <w:tcW w:w="2322" w:type="dxa"/>
            <w:tcBorders>
              <w:top w:val="nil"/>
              <w:left w:val="nil"/>
              <w:bottom w:val="nil"/>
              <w:right w:val="nil"/>
            </w:tcBorders>
            <w:shd w:val="clear" w:color="auto" w:fill="auto"/>
            <w:vAlign w:val="center"/>
          </w:tcPr>
          <w:p w:rsidR="00E711E2" w:rsidRPr="002D3263" w:rsidP="00E711E2" w14:paraId="0EB8F945" w14:textId="1BA0D49C">
            <w:pPr>
              <w:keepNext/>
              <w:widowControl/>
              <w:jc w:val="center"/>
              <w:rPr>
                <w:rFonts w:ascii="Calibri" w:hAnsi="Calibri"/>
                <w:color w:val="000000"/>
              </w:rPr>
            </w:pPr>
            <w:r>
              <w:rPr>
                <w:rFonts w:ascii="Calibri" w:hAnsi="Calibri" w:cs="Calibri"/>
                <w:color w:val="000000"/>
              </w:rPr>
              <w:t xml:space="preserve">$4,901,871 </w:t>
            </w:r>
          </w:p>
        </w:tc>
        <w:tc>
          <w:tcPr>
            <w:tcW w:w="1333" w:type="dxa"/>
            <w:tcBorders>
              <w:top w:val="nil"/>
              <w:left w:val="nil"/>
              <w:bottom w:val="nil"/>
              <w:right w:val="nil"/>
            </w:tcBorders>
            <w:shd w:val="clear" w:color="auto" w:fill="auto"/>
            <w:vAlign w:val="center"/>
          </w:tcPr>
          <w:p w:rsidR="00E711E2" w:rsidRPr="002D3263" w:rsidP="00E711E2" w14:paraId="693F8289" w14:textId="040913A8">
            <w:pPr>
              <w:keepNext/>
              <w:widowControl/>
              <w:jc w:val="center"/>
              <w:rPr>
                <w:rFonts w:ascii="Calibri" w:hAnsi="Calibri"/>
                <w:color w:val="000000"/>
              </w:rPr>
            </w:pPr>
            <w:r>
              <w:rPr>
                <w:rFonts w:ascii="Calibri" w:hAnsi="Calibri" w:cs="Calibri"/>
                <w:color w:val="000000"/>
              </w:rPr>
              <w:t xml:space="preserve">$2,666,293 </w:t>
            </w:r>
          </w:p>
        </w:tc>
        <w:tc>
          <w:tcPr>
            <w:tcW w:w="1413" w:type="dxa"/>
            <w:tcBorders>
              <w:top w:val="nil"/>
              <w:left w:val="nil"/>
              <w:bottom w:val="nil"/>
              <w:right w:val="nil"/>
            </w:tcBorders>
            <w:shd w:val="clear" w:color="auto" w:fill="auto"/>
            <w:vAlign w:val="center"/>
          </w:tcPr>
          <w:p w:rsidR="00E711E2" w:rsidRPr="002D3263" w:rsidP="00E711E2" w14:paraId="447FC3FF" w14:textId="6B43C33C">
            <w:pPr>
              <w:keepNext/>
              <w:widowControl/>
              <w:jc w:val="center"/>
              <w:rPr>
                <w:rFonts w:ascii="Calibri" w:hAnsi="Calibri"/>
                <w:color w:val="000000"/>
              </w:rPr>
            </w:pPr>
            <w:r>
              <w:rPr>
                <w:rFonts w:ascii="Calibri" w:hAnsi="Calibri" w:cs="Calibri"/>
                <w:color w:val="000000"/>
              </w:rPr>
              <w:t xml:space="preserve">$3,756,876 </w:t>
            </w:r>
          </w:p>
        </w:tc>
      </w:tr>
      <w:tr w14:paraId="2D6E2AC2" w14:textId="77777777" w:rsidTr="006D5D1A">
        <w:tblPrEx>
          <w:tblW w:w="8488" w:type="dxa"/>
          <w:jc w:val="center"/>
          <w:tblLook w:val="04A0"/>
        </w:tblPrEx>
        <w:trPr>
          <w:trHeight w:val="300"/>
          <w:jc w:val="center"/>
        </w:trPr>
        <w:tc>
          <w:tcPr>
            <w:tcW w:w="1170" w:type="dxa"/>
            <w:shd w:val="clear" w:color="auto" w:fill="auto"/>
            <w:noWrap/>
            <w:vAlign w:val="center"/>
          </w:tcPr>
          <w:p w:rsidR="00E711E2" w:rsidRPr="002D3263" w:rsidP="00E711E2" w14:paraId="278CD96D" w14:textId="10D567E2">
            <w:pPr>
              <w:keepNext/>
              <w:widowControl/>
              <w:jc w:val="center"/>
              <w:rPr>
                <w:rFonts w:ascii="Calibri" w:hAnsi="Calibri"/>
                <w:color w:val="000000"/>
              </w:rPr>
            </w:pPr>
            <w:r w:rsidRPr="002D3263">
              <w:rPr>
                <w:rFonts w:ascii="Calibri" w:hAnsi="Calibri" w:cs="Calibri"/>
                <w:color w:val="000000"/>
              </w:rPr>
              <w:t>2031</w:t>
            </w:r>
          </w:p>
        </w:tc>
        <w:tc>
          <w:tcPr>
            <w:tcW w:w="2250" w:type="dxa"/>
            <w:tcBorders>
              <w:top w:val="nil"/>
              <w:left w:val="nil"/>
              <w:bottom w:val="nil"/>
              <w:right w:val="nil"/>
            </w:tcBorders>
            <w:shd w:val="clear" w:color="auto" w:fill="auto"/>
            <w:vAlign w:val="center"/>
          </w:tcPr>
          <w:p w:rsidR="00E711E2" w:rsidRPr="002D3263" w:rsidP="00E711E2" w14:paraId="617E02F0" w14:textId="21A5BF46">
            <w:pPr>
              <w:keepNext/>
              <w:widowControl/>
              <w:jc w:val="center"/>
              <w:rPr>
                <w:rFonts w:ascii="Calibri" w:hAnsi="Calibri"/>
                <w:color w:val="000000"/>
              </w:rPr>
            </w:pPr>
            <w:r>
              <w:rPr>
                <w:rFonts w:ascii="Calibri" w:hAnsi="Calibri" w:cs="Calibri"/>
                <w:color w:val="000000"/>
              </w:rPr>
              <w:t xml:space="preserve">$7,217,027 </w:t>
            </w:r>
          </w:p>
        </w:tc>
        <w:tc>
          <w:tcPr>
            <w:tcW w:w="2322" w:type="dxa"/>
            <w:tcBorders>
              <w:top w:val="nil"/>
              <w:left w:val="nil"/>
              <w:bottom w:val="nil"/>
              <w:right w:val="nil"/>
            </w:tcBorders>
            <w:shd w:val="clear" w:color="auto" w:fill="auto"/>
            <w:vAlign w:val="center"/>
          </w:tcPr>
          <w:p w:rsidR="00E711E2" w:rsidRPr="002D3263" w:rsidP="00E711E2" w14:paraId="3A4390F2" w14:textId="6EA79840">
            <w:pPr>
              <w:keepNext/>
              <w:widowControl/>
              <w:jc w:val="center"/>
              <w:rPr>
                <w:rFonts w:ascii="Calibri" w:hAnsi="Calibri"/>
                <w:color w:val="000000"/>
              </w:rPr>
            </w:pPr>
            <w:r>
              <w:rPr>
                <w:rFonts w:ascii="Calibri" w:hAnsi="Calibri" w:cs="Calibri"/>
                <w:color w:val="000000"/>
              </w:rPr>
              <w:t xml:space="preserve">$5,282,864 </w:t>
            </w:r>
          </w:p>
        </w:tc>
        <w:tc>
          <w:tcPr>
            <w:tcW w:w="1333" w:type="dxa"/>
            <w:tcBorders>
              <w:top w:val="nil"/>
              <w:left w:val="nil"/>
              <w:bottom w:val="nil"/>
              <w:right w:val="nil"/>
            </w:tcBorders>
            <w:shd w:val="clear" w:color="auto" w:fill="auto"/>
            <w:vAlign w:val="center"/>
          </w:tcPr>
          <w:p w:rsidR="00E711E2" w:rsidRPr="002D3263" w:rsidP="00E711E2" w14:paraId="4D1C72FF" w14:textId="2E88B574">
            <w:pPr>
              <w:keepNext/>
              <w:widowControl/>
              <w:jc w:val="center"/>
              <w:rPr>
                <w:rFonts w:ascii="Calibri" w:hAnsi="Calibri"/>
                <w:color w:val="000000"/>
              </w:rPr>
            </w:pPr>
            <w:r>
              <w:rPr>
                <w:rFonts w:ascii="Calibri" w:hAnsi="Calibri" w:cs="Calibri"/>
                <w:color w:val="000000"/>
              </w:rPr>
              <w:t xml:space="preserve">$2,685,540 </w:t>
            </w:r>
          </w:p>
        </w:tc>
        <w:tc>
          <w:tcPr>
            <w:tcW w:w="1413" w:type="dxa"/>
            <w:tcBorders>
              <w:top w:val="nil"/>
              <w:left w:val="nil"/>
              <w:bottom w:val="nil"/>
              <w:right w:val="nil"/>
            </w:tcBorders>
            <w:shd w:val="clear" w:color="auto" w:fill="auto"/>
            <w:vAlign w:val="center"/>
          </w:tcPr>
          <w:p w:rsidR="00E711E2" w:rsidRPr="002D3263" w:rsidP="00E711E2" w14:paraId="57748DBB" w14:textId="4DA5F3B0">
            <w:pPr>
              <w:keepNext/>
              <w:widowControl/>
              <w:jc w:val="center"/>
              <w:rPr>
                <w:rFonts w:ascii="Calibri" w:hAnsi="Calibri"/>
                <w:color w:val="000000"/>
              </w:rPr>
            </w:pPr>
            <w:r>
              <w:rPr>
                <w:rFonts w:ascii="Calibri" w:hAnsi="Calibri" w:cs="Calibri"/>
                <w:color w:val="000000"/>
              </w:rPr>
              <w:t xml:space="preserve">$3,930,947 </w:t>
            </w:r>
          </w:p>
        </w:tc>
      </w:tr>
      <w:tr w14:paraId="1D52C8DB" w14:textId="77777777" w:rsidTr="006D5D1A">
        <w:tblPrEx>
          <w:tblW w:w="8488" w:type="dxa"/>
          <w:jc w:val="center"/>
          <w:tblLook w:val="04A0"/>
        </w:tblPrEx>
        <w:trPr>
          <w:trHeight w:val="300"/>
          <w:jc w:val="center"/>
        </w:trPr>
        <w:tc>
          <w:tcPr>
            <w:tcW w:w="1170" w:type="dxa"/>
            <w:shd w:val="clear" w:color="auto" w:fill="auto"/>
            <w:noWrap/>
            <w:vAlign w:val="center"/>
          </w:tcPr>
          <w:p w:rsidR="00E711E2" w:rsidRPr="002D3263" w:rsidP="00E711E2" w14:paraId="766B168F" w14:textId="0115B7FC">
            <w:pPr>
              <w:keepNext/>
              <w:widowControl/>
              <w:jc w:val="center"/>
              <w:rPr>
                <w:rFonts w:ascii="Calibri" w:hAnsi="Calibri"/>
                <w:color w:val="000000"/>
              </w:rPr>
            </w:pPr>
            <w:r w:rsidRPr="002D3263">
              <w:rPr>
                <w:rFonts w:ascii="Calibri" w:hAnsi="Calibri" w:cs="Calibri"/>
                <w:color w:val="000000"/>
              </w:rPr>
              <w:t>2032</w:t>
            </w:r>
          </w:p>
        </w:tc>
        <w:tc>
          <w:tcPr>
            <w:tcW w:w="2250" w:type="dxa"/>
            <w:tcBorders>
              <w:top w:val="nil"/>
              <w:left w:val="nil"/>
              <w:bottom w:val="nil"/>
              <w:right w:val="nil"/>
            </w:tcBorders>
            <w:shd w:val="clear" w:color="auto" w:fill="auto"/>
            <w:vAlign w:val="center"/>
          </w:tcPr>
          <w:p w:rsidR="00E711E2" w:rsidRPr="002D3263" w:rsidP="00E711E2" w14:paraId="054D7419" w14:textId="72828AE4">
            <w:pPr>
              <w:keepNext/>
              <w:widowControl/>
              <w:jc w:val="center"/>
              <w:rPr>
                <w:rFonts w:ascii="Calibri" w:hAnsi="Calibri"/>
                <w:color w:val="000000"/>
              </w:rPr>
            </w:pPr>
            <w:r>
              <w:rPr>
                <w:rFonts w:ascii="Calibri" w:hAnsi="Calibri" w:cs="Calibri"/>
                <w:color w:val="000000"/>
              </w:rPr>
              <w:t xml:space="preserve">$7,279,934 </w:t>
            </w:r>
          </w:p>
        </w:tc>
        <w:tc>
          <w:tcPr>
            <w:tcW w:w="2322" w:type="dxa"/>
            <w:tcBorders>
              <w:top w:val="nil"/>
              <w:left w:val="nil"/>
              <w:bottom w:val="nil"/>
              <w:right w:val="nil"/>
            </w:tcBorders>
            <w:shd w:val="clear" w:color="auto" w:fill="auto"/>
            <w:vAlign w:val="center"/>
          </w:tcPr>
          <w:p w:rsidR="00E711E2" w:rsidRPr="002D3263" w:rsidP="00E711E2" w14:paraId="076B9836" w14:textId="15173282">
            <w:pPr>
              <w:keepNext/>
              <w:widowControl/>
              <w:jc w:val="center"/>
              <w:rPr>
                <w:rFonts w:ascii="Calibri" w:hAnsi="Calibri"/>
                <w:color w:val="000000"/>
              </w:rPr>
            </w:pPr>
            <w:r>
              <w:rPr>
                <w:rFonts w:ascii="Calibri" w:hAnsi="Calibri" w:cs="Calibri"/>
                <w:color w:val="000000"/>
              </w:rPr>
              <w:t xml:space="preserve">$5,212,433 </w:t>
            </w:r>
          </w:p>
        </w:tc>
        <w:tc>
          <w:tcPr>
            <w:tcW w:w="1333" w:type="dxa"/>
            <w:tcBorders>
              <w:top w:val="nil"/>
              <w:left w:val="nil"/>
              <w:bottom w:val="nil"/>
              <w:right w:val="nil"/>
            </w:tcBorders>
            <w:shd w:val="clear" w:color="auto" w:fill="auto"/>
            <w:vAlign w:val="center"/>
          </w:tcPr>
          <w:p w:rsidR="00E711E2" w:rsidRPr="002D3263" w:rsidP="00E711E2" w14:paraId="45BAFAC7" w14:textId="35F96B6F">
            <w:pPr>
              <w:keepNext/>
              <w:widowControl/>
              <w:jc w:val="center"/>
              <w:rPr>
                <w:rFonts w:ascii="Calibri" w:hAnsi="Calibri"/>
                <w:color w:val="000000"/>
              </w:rPr>
            </w:pPr>
            <w:r>
              <w:rPr>
                <w:rFonts w:ascii="Calibri" w:hAnsi="Calibri" w:cs="Calibri"/>
                <w:color w:val="000000"/>
              </w:rPr>
              <w:t xml:space="preserve">$2,476,389 </w:t>
            </w:r>
          </w:p>
        </w:tc>
        <w:tc>
          <w:tcPr>
            <w:tcW w:w="1413" w:type="dxa"/>
            <w:tcBorders>
              <w:top w:val="nil"/>
              <w:left w:val="nil"/>
              <w:bottom w:val="nil"/>
              <w:right w:val="nil"/>
            </w:tcBorders>
            <w:shd w:val="clear" w:color="auto" w:fill="auto"/>
            <w:vAlign w:val="center"/>
          </w:tcPr>
          <w:p w:rsidR="00E711E2" w:rsidRPr="002D3263" w:rsidP="00E711E2" w14:paraId="31336FBF" w14:textId="3C9B62BB">
            <w:pPr>
              <w:keepNext/>
              <w:widowControl/>
              <w:jc w:val="center"/>
              <w:rPr>
                <w:rFonts w:ascii="Calibri" w:hAnsi="Calibri"/>
                <w:color w:val="000000"/>
              </w:rPr>
            </w:pPr>
            <w:r>
              <w:rPr>
                <w:rFonts w:ascii="Calibri" w:hAnsi="Calibri" w:cs="Calibri"/>
                <w:color w:val="000000"/>
              </w:rPr>
              <w:t xml:space="preserve">$3,765,572 </w:t>
            </w:r>
          </w:p>
        </w:tc>
      </w:tr>
      <w:tr w14:paraId="7E5452F5" w14:textId="77777777" w:rsidTr="006D5D1A">
        <w:tblPrEx>
          <w:tblW w:w="8488" w:type="dxa"/>
          <w:jc w:val="center"/>
          <w:tblLook w:val="04A0"/>
        </w:tblPrEx>
        <w:trPr>
          <w:trHeight w:val="300"/>
          <w:jc w:val="center"/>
        </w:trPr>
        <w:tc>
          <w:tcPr>
            <w:tcW w:w="1170" w:type="dxa"/>
            <w:tcBorders>
              <w:bottom w:val="single" w:sz="12" w:space="0" w:color="auto"/>
            </w:tcBorders>
            <w:shd w:val="clear" w:color="auto" w:fill="auto"/>
            <w:noWrap/>
            <w:vAlign w:val="center"/>
          </w:tcPr>
          <w:p w:rsidR="00E711E2" w:rsidRPr="002D3263" w:rsidP="00E711E2" w14:paraId="0BF04491" w14:textId="7F1D65CF">
            <w:pPr>
              <w:widowControl/>
              <w:jc w:val="center"/>
              <w:rPr>
                <w:rFonts w:ascii="Calibri" w:hAnsi="Calibri"/>
                <w:b/>
              </w:rPr>
            </w:pPr>
            <w:r w:rsidRPr="002D3263">
              <w:rPr>
                <w:rFonts w:ascii="Calibri" w:hAnsi="Calibri" w:cs="Calibri"/>
                <w:b/>
                <w:bCs/>
                <w:color w:val="000000"/>
              </w:rPr>
              <w:t>Total*</w:t>
            </w:r>
          </w:p>
        </w:tc>
        <w:tc>
          <w:tcPr>
            <w:tcW w:w="2250" w:type="dxa"/>
            <w:tcBorders>
              <w:top w:val="nil"/>
              <w:left w:val="nil"/>
              <w:bottom w:val="single" w:sz="4" w:space="0" w:color="auto"/>
              <w:right w:val="nil"/>
            </w:tcBorders>
            <w:shd w:val="clear" w:color="auto" w:fill="auto"/>
            <w:vAlign w:val="center"/>
          </w:tcPr>
          <w:p w:rsidR="00E711E2" w:rsidRPr="002D3263" w:rsidP="00E711E2" w14:paraId="1B831B56" w14:textId="30277EDE">
            <w:pPr>
              <w:widowControl/>
              <w:jc w:val="center"/>
              <w:rPr>
                <w:rFonts w:ascii="Calibri" w:hAnsi="Calibri"/>
                <w:b/>
                <w:color w:val="000000"/>
              </w:rPr>
            </w:pPr>
            <w:r>
              <w:rPr>
                <w:rFonts w:ascii="Calibri" w:hAnsi="Calibri" w:cs="Calibri"/>
                <w:b/>
                <w:bCs/>
                <w:color w:val="000000"/>
              </w:rPr>
              <w:t xml:space="preserve">$62,163,109 </w:t>
            </w:r>
          </w:p>
        </w:tc>
        <w:tc>
          <w:tcPr>
            <w:tcW w:w="2322" w:type="dxa"/>
            <w:tcBorders>
              <w:top w:val="nil"/>
              <w:left w:val="nil"/>
              <w:bottom w:val="single" w:sz="4" w:space="0" w:color="auto"/>
              <w:right w:val="nil"/>
            </w:tcBorders>
            <w:shd w:val="clear" w:color="auto" w:fill="auto"/>
            <w:vAlign w:val="center"/>
          </w:tcPr>
          <w:p w:rsidR="00E711E2" w:rsidRPr="002D3263" w:rsidP="00E711E2" w14:paraId="0FBC6F9D" w14:textId="763AE9CE">
            <w:pPr>
              <w:widowControl/>
              <w:jc w:val="center"/>
              <w:rPr>
                <w:rFonts w:ascii="Calibri" w:hAnsi="Calibri"/>
                <w:b/>
                <w:color w:val="000000"/>
              </w:rPr>
            </w:pPr>
            <w:r>
              <w:rPr>
                <w:rFonts w:ascii="Calibri" w:hAnsi="Calibri" w:cs="Calibri"/>
                <w:b/>
                <w:bCs/>
                <w:color w:val="000000"/>
              </w:rPr>
              <w:t xml:space="preserve">$49,062,126 </w:t>
            </w:r>
          </w:p>
        </w:tc>
        <w:tc>
          <w:tcPr>
            <w:tcW w:w="1333" w:type="dxa"/>
            <w:tcBorders>
              <w:top w:val="nil"/>
              <w:left w:val="nil"/>
              <w:bottom w:val="single" w:sz="4" w:space="0" w:color="auto"/>
              <w:right w:val="nil"/>
            </w:tcBorders>
            <w:shd w:val="clear" w:color="auto" w:fill="auto"/>
            <w:vAlign w:val="center"/>
          </w:tcPr>
          <w:p w:rsidR="00E711E2" w:rsidRPr="002D3263" w:rsidP="00E711E2" w14:paraId="4B128472" w14:textId="4D2877E6">
            <w:pPr>
              <w:widowControl/>
              <w:jc w:val="center"/>
              <w:rPr>
                <w:rFonts w:ascii="Calibri" w:hAnsi="Calibri"/>
                <w:b/>
                <w:color w:val="000000"/>
              </w:rPr>
            </w:pPr>
            <w:r>
              <w:rPr>
                <w:rFonts w:ascii="Calibri" w:hAnsi="Calibri" w:cs="Calibri"/>
                <w:b/>
                <w:bCs/>
                <w:color w:val="000000"/>
              </w:rPr>
              <w:t xml:space="preserve">$31,997,535 </w:t>
            </w:r>
          </w:p>
        </w:tc>
        <w:tc>
          <w:tcPr>
            <w:tcW w:w="1413" w:type="dxa"/>
            <w:tcBorders>
              <w:top w:val="nil"/>
              <w:left w:val="nil"/>
              <w:bottom w:val="single" w:sz="4" w:space="0" w:color="auto"/>
              <w:right w:val="nil"/>
            </w:tcBorders>
            <w:shd w:val="clear" w:color="auto" w:fill="auto"/>
            <w:vAlign w:val="center"/>
          </w:tcPr>
          <w:p w:rsidR="00E711E2" w:rsidRPr="002D3263" w:rsidP="00E711E2" w14:paraId="206FDBEA" w14:textId="248C9A55">
            <w:pPr>
              <w:widowControl/>
              <w:jc w:val="center"/>
              <w:rPr>
                <w:rFonts w:ascii="Calibri" w:hAnsi="Calibri"/>
                <w:b/>
                <w:color w:val="000000"/>
              </w:rPr>
            </w:pPr>
            <w:r>
              <w:rPr>
                <w:rFonts w:ascii="Calibri" w:hAnsi="Calibri" w:cs="Calibri"/>
                <w:b/>
                <w:bCs/>
                <w:color w:val="000000"/>
              </w:rPr>
              <w:t xml:space="preserve">$40,514,920 </w:t>
            </w:r>
          </w:p>
        </w:tc>
      </w:tr>
      <w:tr w14:paraId="7943C012" w14:textId="77777777" w:rsidTr="008A4DC9">
        <w:tblPrEx>
          <w:tblW w:w="8488" w:type="dxa"/>
          <w:jc w:val="center"/>
          <w:tblLook w:val="04A0"/>
        </w:tblPrEx>
        <w:trPr>
          <w:trHeight w:val="300"/>
          <w:jc w:val="center"/>
        </w:trPr>
        <w:tc>
          <w:tcPr>
            <w:tcW w:w="8488" w:type="dxa"/>
            <w:gridSpan w:val="5"/>
            <w:tcBorders>
              <w:top w:val="single" w:sz="12" w:space="0" w:color="auto"/>
            </w:tcBorders>
            <w:shd w:val="clear" w:color="auto" w:fill="auto"/>
            <w:noWrap/>
            <w:vAlign w:val="bottom"/>
          </w:tcPr>
          <w:p w:rsidR="00973CCE" w:rsidP="00EF4CBB" w14:paraId="409C0750" w14:textId="77777777">
            <w:pPr>
              <w:widowControl/>
              <w:rPr>
                <w:rFonts w:ascii="Calibri" w:hAnsi="Calibri"/>
                <w:color w:val="000000"/>
              </w:rPr>
            </w:pPr>
            <w:r w:rsidRPr="002D3263">
              <w:rPr>
                <w:rFonts w:ascii="Calibri" w:hAnsi="Calibri"/>
                <w:color w:val="000000"/>
              </w:rPr>
              <w:t>*Totals may not match sums due to rounding</w:t>
            </w:r>
          </w:p>
          <w:p w:rsidR="005327D0" w:rsidRPr="002D3263" w:rsidP="00EF4CBB" w14:paraId="03FF6EA1" w14:textId="6EA16491">
            <w:pPr>
              <w:widowControl/>
              <w:rPr>
                <w:rFonts w:ascii="Calibri" w:hAnsi="Calibri"/>
                <w:b/>
                <w:color w:val="000000"/>
              </w:rPr>
            </w:pPr>
          </w:p>
        </w:tc>
      </w:tr>
    </w:tbl>
    <w:p w:rsidR="001A0FB7" w:rsidRPr="002D3263" w:rsidP="00C53C33" w14:paraId="7D4DA3BE" w14:textId="4FA94021">
      <w:pPr>
        <w:pStyle w:val="Heading2"/>
      </w:pPr>
      <w:bookmarkStart w:id="131" w:name="_Toc68008803"/>
      <w:bookmarkStart w:id="132" w:name="_Toc68008969"/>
      <w:bookmarkStart w:id="133" w:name="_Toc127438050"/>
      <w:bookmarkEnd w:id="131"/>
      <w:bookmarkEnd w:id="132"/>
      <w:r w:rsidRPr="002D3263">
        <w:t>Move Cost Finding</w:t>
      </w:r>
      <w:bookmarkEnd w:id="133"/>
    </w:p>
    <w:p w:rsidR="001A0FB7" w:rsidRPr="002D3263" w:rsidP="00E85518" w14:paraId="4C5DD772" w14:textId="35D95A99">
      <w:pPr>
        <w:widowControl/>
        <w:spacing w:after="240"/>
      </w:pPr>
      <w:r w:rsidRPr="002D3263">
        <w:t xml:space="preserve">In response to comments to the NPRM, FHWA revised the final rule related to payment for moving expenses for non-residential displacements. </w:t>
      </w:r>
      <w:r w:rsidR="000923B7">
        <w:t xml:space="preserve"> </w:t>
      </w:r>
      <w:r w:rsidRPr="002D3263">
        <w:t>The final rule at section 24.301(d)(2)</w:t>
      </w:r>
      <w:r w:rsidRPr="002D3263" w:rsidR="00204B83">
        <w:t>(iii)</w:t>
      </w:r>
      <w:r w:rsidRPr="002D3263">
        <w:t xml:space="preserve"> adds a self-move option which may be used for uncomplicated non-residential moves which may cost no more than $5,000.</w:t>
      </w:r>
      <w:r w:rsidR="000923B7">
        <w:t xml:space="preserve"> </w:t>
      </w:r>
      <w:r w:rsidRPr="002D3263">
        <w:t xml:space="preserve"> </w:t>
      </w:r>
      <w:r w:rsidRPr="002D3263" w:rsidR="00D27EA6">
        <w:t>Section 24.11 allows this amount to be adjusted in the future for inflation.</w:t>
      </w:r>
    </w:p>
    <w:p w:rsidR="001A0FB7" w:rsidRPr="002D3263" w:rsidP="00EF4CBB" w14:paraId="004D4BDE" w14:textId="54307348">
      <w:pPr>
        <w:pStyle w:val="Heading3"/>
        <w:widowControl/>
      </w:pPr>
      <w:bookmarkStart w:id="134" w:name="_Toc127438051"/>
      <w:r w:rsidRPr="002D3263">
        <w:t>Administrative Cost Savings</w:t>
      </w:r>
      <w:bookmarkEnd w:id="134"/>
    </w:p>
    <w:p w:rsidR="001A0FB7" w:rsidRPr="002D3263" w:rsidP="00E85518" w14:paraId="1277DB23" w14:textId="21B70CC9">
      <w:pPr>
        <w:widowControl/>
        <w:spacing w:after="240"/>
      </w:pPr>
      <w:r w:rsidRPr="002D3263">
        <w:t xml:space="preserve">The flexibility is a benefit because its use will result in cost savings through reduced administrative burdens and paperwork for Agencies subject to the Uniform Act for low cost, uncomplicated non-residential moves as opposed </w:t>
      </w:r>
      <w:r w:rsidRPr="002D3263" w:rsidR="00382AB1">
        <w:t xml:space="preserve">to </w:t>
      </w:r>
      <w:r w:rsidRPr="002D3263" w:rsidR="00221B85">
        <w:t>processing</w:t>
      </w:r>
      <w:r w:rsidRPr="002D3263" w:rsidR="00D51029">
        <w:t xml:space="preserve"> </w:t>
      </w:r>
      <w:r w:rsidRPr="002D3263">
        <w:t>submitt</w:t>
      </w:r>
      <w:r w:rsidRPr="002D3263" w:rsidR="00221B85">
        <w:t>ed</w:t>
      </w:r>
      <w:r w:rsidRPr="002D3263">
        <w:t xml:space="preserve"> receipts or obtaining commercial bids. </w:t>
      </w:r>
      <w:r w:rsidR="000923B7">
        <w:t xml:space="preserve"> </w:t>
      </w:r>
      <w:r w:rsidRPr="002D3263">
        <w:t>These cost savings are not quantifiable as their use will be voluntary on the part of the Agencies</w:t>
      </w:r>
      <w:r w:rsidRPr="002D3263" w:rsidR="00221B85">
        <w:t xml:space="preserve"> and displaced persons, </w:t>
      </w:r>
      <w:r w:rsidRPr="002D3263">
        <w:t>and a method for tracking the actual instances where this moving cost payment method will be used has not been established.</w:t>
      </w:r>
    </w:p>
    <w:p w:rsidR="005F5C35" w:rsidRPr="002D3263" w:rsidP="00EF4CBB" w14:paraId="46EAA934" w14:textId="77777777">
      <w:pPr>
        <w:pStyle w:val="Heading3"/>
        <w:keepNext/>
        <w:widowControl/>
      </w:pPr>
      <w:bookmarkStart w:id="135" w:name="_Toc127438052"/>
      <w:r w:rsidRPr="002D3263">
        <w:t>Transfer (Increased Program Expenditures)</w:t>
      </w:r>
      <w:bookmarkEnd w:id="135"/>
    </w:p>
    <w:p w:rsidR="005F5C35" w:rsidRPr="002D3263" w:rsidP="00E85518" w14:paraId="336A0D41" w14:textId="77777777">
      <w:pPr>
        <w:widowControl/>
        <w:spacing w:after="240"/>
      </w:pPr>
      <w:r w:rsidRPr="002D3263">
        <w:t>This change is not expected to change the amount of program expenditures to displaced persons.</w:t>
      </w:r>
    </w:p>
    <w:p w:rsidR="00835097" w:rsidRPr="002D3263" w:rsidP="00EF4CBB" w14:paraId="3E23E164" w14:textId="495EBD10">
      <w:pPr>
        <w:widowControl/>
      </w:pPr>
    </w:p>
    <w:p w:rsidR="00D66DB5" w:rsidRPr="002D3263" w:rsidP="00BD26C9" w14:paraId="018A8A68" w14:textId="3680D362">
      <w:pPr>
        <w:pStyle w:val="Heading1"/>
      </w:pPr>
      <w:r w:rsidRPr="002D3263">
        <w:t xml:space="preserve"> </w:t>
      </w:r>
      <w:bookmarkStart w:id="136" w:name="_Toc127438053"/>
      <w:r w:rsidRPr="002D3263" w:rsidR="002917B8">
        <w:t>Program Administration</w:t>
      </w:r>
      <w:bookmarkEnd w:id="136"/>
    </w:p>
    <w:p w:rsidR="00886942" w:rsidRPr="002D3263" w:rsidP="00C53C33" w14:paraId="3AEC596D" w14:textId="5CEBB1B1">
      <w:pPr>
        <w:pStyle w:val="Heading2"/>
      </w:pPr>
      <w:bookmarkStart w:id="137" w:name="_Toc127438054"/>
      <w:r w:rsidRPr="002D3263">
        <w:t>Appraisal Waiver</w:t>
      </w:r>
      <w:r w:rsidRPr="002D3263" w:rsidR="00221B85">
        <w:t xml:space="preserve"> Valuation</w:t>
      </w:r>
      <w:r w:rsidRPr="002D3263">
        <w:t>s</w:t>
      </w:r>
      <w:bookmarkEnd w:id="137"/>
    </w:p>
    <w:p w:rsidR="00DB6E6F" w:rsidRPr="002D3263" w:rsidP="00E85518" w14:paraId="6F6C172E" w14:textId="30710499">
      <w:pPr>
        <w:widowControl/>
        <w:spacing w:after="240"/>
        <w:rPr>
          <w:color w:val="000000" w:themeColor="text1"/>
        </w:rPr>
      </w:pPr>
      <w:r w:rsidRPr="002D3263">
        <w:t>Changes for Section 24.102(c)(2)(ii)(A)</w:t>
      </w:r>
      <w:r w:rsidRPr="002D3263" w:rsidR="004323B7">
        <w:t>(1)</w:t>
      </w:r>
      <w:r w:rsidRPr="002D3263">
        <w:rPr>
          <w:i/>
        </w:rPr>
        <w:t xml:space="preserve"> Appraisal</w:t>
      </w:r>
      <w:r w:rsidRPr="002D3263">
        <w:t xml:space="preserve"> </w:t>
      </w:r>
      <w:r w:rsidRPr="002D3263">
        <w:rPr>
          <w:i/>
        </w:rPr>
        <w:t>waiver</w:t>
      </w:r>
      <w:r w:rsidRPr="002D3263" w:rsidR="00221B85">
        <w:rPr>
          <w:i/>
        </w:rPr>
        <w:t xml:space="preserve"> thereof,</w:t>
      </w:r>
      <w:r w:rsidRPr="002D3263" w:rsidR="00221B85">
        <w:t xml:space="preserve"> </w:t>
      </w:r>
      <w:r w:rsidRPr="002D3263" w:rsidR="00221B85">
        <w:rPr>
          <w:i/>
        </w:rPr>
        <w:t>and invitation to owner</w:t>
      </w:r>
      <w:r w:rsidRPr="002D3263" w:rsidR="005A3B09">
        <w:rPr>
          <w:i/>
        </w:rPr>
        <w:t xml:space="preserve"> </w:t>
      </w:r>
      <w:r w:rsidRPr="002D3263">
        <w:t xml:space="preserve">are intended allow an appraiser to accept and perform waiver valuations while remaining compliant with the provisions of the State appraisal licensing enforcement Agencies. </w:t>
      </w:r>
      <w:r w:rsidR="000923B7">
        <w:t xml:space="preserve"> </w:t>
      </w:r>
      <w:r w:rsidRPr="002D3263">
        <w:t>Currently, in some States, when a State-certified or licensed appraiser estimates a value, they may be obligated under the licensing requirements of their State to perform an appraisal even if the client requests something less than an appraisal.</w:t>
      </w:r>
      <w:r w:rsidRPr="002D3263" w:rsidR="004410C8">
        <w:t xml:space="preserve"> </w:t>
      </w:r>
      <w:r w:rsidR="000923B7">
        <w:t xml:space="preserve"> </w:t>
      </w:r>
      <w:r w:rsidRPr="002D3263">
        <w:t>Some States have laws that interpret waiver valuations as appraisals, and those States only permit appraisers to perform appraisals, which effectively nullifies the benefits of the waiver valuation.</w:t>
      </w:r>
      <w:r w:rsidRPr="002D3263" w:rsidR="004410C8">
        <w:t xml:space="preserve"> </w:t>
      </w:r>
      <w:r w:rsidRPr="002D3263">
        <w:t xml:space="preserve">Performing appraisals rather than waiver valuations in situations where the valuation problem is not complex can cause unnecessary delay and adds unnecessary cost to an acquisition. </w:t>
      </w:r>
      <w:r w:rsidR="000923B7">
        <w:t xml:space="preserve"> </w:t>
      </w:r>
      <w:r w:rsidRPr="002D3263">
        <w:t xml:space="preserve">The change </w:t>
      </w:r>
      <w:r w:rsidRPr="002D3263" w:rsidR="0044569C">
        <w:t>will</w:t>
      </w:r>
      <w:r w:rsidRPr="002D3263">
        <w:t xml:space="preserve"> specify that waiver valuations are not appraisals under the rule.</w:t>
      </w:r>
      <w:r w:rsidR="000923B7">
        <w:t xml:space="preserve"> </w:t>
      </w:r>
      <w:r w:rsidRPr="002D3263">
        <w:t xml:space="preserve"> This change is intended to encourage those States to take advantage of the streamlining efficiencies offered by the existing waiver valuation and avoid the increased time and increased cost associated with providing </w:t>
      </w:r>
      <w:r w:rsidRPr="002D3263" w:rsidR="00221B85">
        <w:t>comple</w:t>
      </w:r>
      <w:r w:rsidRPr="002D3263" w:rsidR="00C768B7">
        <w:t xml:space="preserve">x </w:t>
      </w:r>
      <w:r w:rsidRPr="002D3263">
        <w:t xml:space="preserve">appraisals. </w:t>
      </w:r>
    </w:p>
    <w:p w:rsidR="00886942" w:rsidRPr="002D3263" w:rsidP="00EF4CBB" w14:paraId="20C21FD9" w14:textId="77777777">
      <w:pPr>
        <w:pStyle w:val="Heading3"/>
        <w:widowControl/>
      </w:pPr>
      <w:bookmarkStart w:id="138" w:name="_Toc127438055"/>
      <w:r w:rsidRPr="002D3263">
        <w:t>Benefits</w:t>
      </w:r>
      <w:bookmarkEnd w:id="138"/>
    </w:p>
    <w:p w:rsidR="006667D2" w:rsidRPr="002D3263" w:rsidP="00E85518" w14:paraId="524C7D1B" w14:textId="3A834D08">
      <w:pPr>
        <w:widowControl/>
        <w:spacing w:after="240"/>
      </w:pPr>
      <w:r w:rsidRPr="002D3263">
        <w:t xml:space="preserve">According to FHWA program office staff, a simple appraisal </w:t>
      </w:r>
      <w:r w:rsidRPr="002D3263" w:rsidR="00221B85">
        <w:t xml:space="preserve">for property values up to $50,000 </w:t>
      </w:r>
      <w:r w:rsidRPr="002D3263">
        <w:t xml:space="preserve">would generally cost between $1,000 and $2,000 whereas a waiver valuation would cost roughly $600, for a savings of approximately $400 to $1,400 per instance. </w:t>
      </w:r>
      <w:r w:rsidR="000923B7">
        <w:t xml:space="preserve"> </w:t>
      </w:r>
      <w:r w:rsidRPr="002D3263">
        <w:t>This does not include the cost savings enjoyed by forgoing the appraisal review process, which generally cost between $1,000 to $1,500 per instance for the review of simplistic valuations.</w:t>
      </w:r>
      <w:r w:rsidR="000923B7">
        <w:t xml:space="preserve"> </w:t>
      </w:r>
      <w:r w:rsidRPr="002D3263">
        <w:t xml:space="preserve"> However, the number of instances that would change from a simple appraisal to a waiver valuation cannot be estimated with the available information.</w:t>
      </w:r>
      <w:r w:rsidR="000923B7">
        <w:t xml:space="preserve"> </w:t>
      </w:r>
      <w:r w:rsidRPr="002D3263" w:rsidR="004410C8">
        <w:t xml:space="preserve"> </w:t>
      </w:r>
      <w:r w:rsidRPr="002D3263">
        <w:t>As a consequence</w:t>
      </w:r>
      <w:r w:rsidRPr="002D3263">
        <w:t xml:space="preserve">, the cost savings from this </w:t>
      </w:r>
      <w:r w:rsidRPr="002D3263" w:rsidR="0044569C">
        <w:t xml:space="preserve">rule </w:t>
      </w:r>
      <w:r w:rsidRPr="002D3263">
        <w:t>change have not been quantified.</w:t>
      </w:r>
      <w:r w:rsidRPr="002D3263" w:rsidR="004410C8">
        <w:t xml:space="preserve"> </w:t>
      </w:r>
    </w:p>
    <w:p w:rsidR="00886942" w:rsidRPr="002D3263" w:rsidP="00EF4CBB" w14:paraId="5B685444" w14:textId="77777777">
      <w:pPr>
        <w:pStyle w:val="Heading3"/>
        <w:widowControl/>
      </w:pPr>
      <w:bookmarkStart w:id="139" w:name="_Toc127438056"/>
      <w:r w:rsidRPr="002D3263">
        <w:t>Transfer (Increased Program Expenditures)</w:t>
      </w:r>
      <w:bookmarkEnd w:id="139"/>
    </w:p>
    <w:p w:rsidR="00886942" w:rsidP="00E85518" w14:paraId="4C759E47" w14:textId="77777777">
      <w:pPr>
        <w:widowControl/>
        <w:spacing w:after="240"/>
      </w:pPr>
      <w:r w:rsidRPr="002D3263">
        <w:t>This change is not expected to change the amount of program expenditures to displaced persons.</w:t>
      </w:r>
    </w:p>
    <w:p w:rsidR="00D77B11" w:rsidRPr="002D3263" w:rsidP="00C53C33" w14:paraId="5B6CAE2E" w14:textId="72CB6D68">
      <w:pPr>
        <w:pStyle w:val="Heading2"/>
      </w:pPr>
      <w:bookmarkStart w:id="140" w:name="_Toc68008811"/>
      <w:bookmarkStart w:id="141" w:name="_Toc68008977"/>
      <w:bookmarkStart w:id="142" w:name="_Toc127438057"/>
      <w:bookmarkEnd w:id="140"/>
      <w:bookmarkEnd w:id="141"/>
      <w:r w:rsidRPr="002D3263">
        <w:t xml:space="preserve">First and </w:t>
      </w:r>
      <w:r w:rsidRPr="002D3263">
        <w:t>Second Tier Waiver Valuations</w:t>
      </w:r>
      <w:bookmarkEnd w:id="142"/>
    </w:p>
    <w:p w:rsidR="00D77B11" w:rsidRPr="002D3263" w:rsidP="00EF4CBB" w14:paraId="7B6EE099" w14:textId="68271A34">
      <w:pPr>
        <w:widowControl/>
      </w:pPr>
      <w:r w:rsidRPr="002D3263">
        <w:rPr>
          <w:color w:val="000000" w:themeColor="text1"/>
        </w:rPr>
        <w:t xml:space="preserve">Changes to </w:t>
      </w:r>
      <w:r w:rsidRPr="002D3263" w:rsidR="00B50657">
        <w:rPr>
          <w:color w:val="000000" w:themeColor="text1"/>
        </w:rPr>
        <w:t>S</w:t>
      </w:r>
      <w:r w:rsidRPr="002D3263">
        <w:rPr>
          <w:lang w:val="en"/>
        </w:rPr>
        <w:t>ection</w:t>
      </w:r>
      <w:r w:rsidRPr="002D3263">
        <w:rPr>
          <w:lang w:val="en"/>
        </w:rPr>
        <w:t xml:space="preserve"> </w:t>
      </w:r>
      <w:r w:rsidRPr="002D3263">
        <w:t xml:space="preserve">24.102(c)(2)(ii)(C) increase the waiver valuation thresholds from $10,000 to $15,000 for the first tier, and $25,000 to $35,000 for the second tier to address comments received to the NPRM requesting additional waiver valuation flexibility. </w:t>
      </w:r>
      <w:r w:rsidR="000923B7">
        <w:t xml:space="preserve"> </w:t>
      </w:r>
      <w:r w:rsidRPr="002D3263" w:rsidR="00272C2C">
        <w:t>Section 24.102(n)(</w:t>
      </w:r>
      <w:r w:rsidRPr="002D3263" w:rsidR="009456BC">
        <w:t>3</w:t>
      </w:r>
      <w:r w:rsidRPr="002D3263" w:rsidR="00272C2C">
        <w:t xml:space="preserve">) makes corresponding changes to relevant conflict of interest provisions. </w:t>
      </w:r>
      <w:r w:rsidR="000923B7">
        <w:t xml:space="preserve"> </w:t>
      </w:r>
      <w:r w:rsidRPr="002D3263" w:rsidR="005F5C35">
        <w:t>Section 24.11 of t</w:t>
      </w:r>
      <w:r w:rsidRPr="002D3263" w:rsidR="00272C2C">
        <w:t xml:space="preserve">he final rule allows </w:t>
      </w:r>
      <w:r w:rsidRPr="002D3263" w:rsidR="007E7368">
        <w:t xml:space="preserve">these dollar amounts </w:t>
      </w:r>
      <w:r w:rsidRPr="002D3263" w:rsidR="00272C2C">
        <w:t>to</w:t>
      </w:r>
      <w:r w:rsidRPr="002D3263" w:rsidR="0044569C">
        <w:t xml:space="preserve"> be adjusted in the future</w:t>
      </w:r>
      <w:r w:rsidRPr="002D3263" w:rsidR="007E7368">
        <w:t xml:space="preserve"> to account for inflation.</w:t>
      </w:r>
    </w:p>
    <w:p w:rsidR="00D77B11" w:rsidRPr="002D3263" w:rsidP="00EF4CBB" w14:paraId="493DBF84" w14:textId="77777777">
      <w:pPr>
        <w:pStyle w:val="Heading3"/>
        <w:keepNext/>
        <w:widowControl/>
      </w:pPr>
      <w:bookmarkStart w:id="143" w:name="_Toc127438058"/>
      <w:r w:rsidRPr="002D3263">
        <w:t>Benefits</w:t>
      </w:r>
      <w:bookmarkEnd w:id="143"/>
    </w:p>
    <w:p w:rsidR="00D77B11" w:rsidRPr="002D3263" w:rsidP="00EF4CBB" w14:paraId="60E90311" w14:textId="22D70E26">
      <w:pPr>
        <w:widowControl/>
      </w:pPr>
      <w:r w:rsidRPr="002D3263">
        <w:t>Similar to</w:t>
      </w:r>
      <w:r w:rsidRPr="002D3263">
        <w:t xml:space="preserve"> the changes for appraisal waiver</w:t>
      </w:r>
      <w:r w:rsidRPr="002D3263" w:rsidR="00F13C27">
        <w:t xml:space="preserve"> </w:t>
      </w:r>
      <w:r w:rsidRPr="002D3263" w:rsidR="00280B72">
        <w:t>valuations</w:t>
      </w:r>
      <w:r w:rsidRPr="002D3263">
        <w:t xml:space="preserve">, this change is expected to provide administrative cost savings. </w:t>
      </w:r>
      <w:r w:rsidR="000923B7">
        <w:t xml:space="preserve"> </w:t>
      </w:r>
      <w:r w:rsidRPr="002D3263">
        <w:t>However, the cost difference</w:t>
      </w:r>
      <w:r w:rsidRPr="002D3263" w:rsidR="00F13C27">
        <w:t xml:space="preserve"> </w:t>
      </w:r>
      <w:r w:rsidRPr="002D3263" w:rsidR="00382AB1">
        <w:t xml:space="preserve">among </w:t>
      </w:r>
      <w:r w:rsidRPr="002D3263" w:rsidR="007E7368">
        <w:t xml:space="preserve">the </w:t>
      </w:r>
      <w:r w:rsidRPr="002D3263" w:rsidR="00280B72">
        <w:t>three</w:t>
      </w:r>
      <w:r w:rsidRPr="002D3263" w:rsidR="00F13C27">
        <w:t xml:space="preserve"> </w:t>
      </w:r>
      <w:r w:rsidRPr="002D3263" w:rsidR="007E7368">
        <w:t>tiers of valuations</w:t>
      </w:r>
      <w:r w:rsidRPr="002D3263">
        <w:t xml:space="preserve"> is no</w:t>
      </w:r>
      <w:r w:rsidRPr="002D3263" w:rsidR="007E7368">
        <w:t>t</w:t>
      </w:r>
      <w:r w:rsidRPr="002D3263">
        <w:t xml:space="preserve"> known. </w:t>
      </w:r>
      <w:r w:rsidR="000923B7">
        <w:t xml:space="preserve"> </w:t>
      </w:r>
      <w:r w:rsidRPr="002D3263">
        <w:t>In addition, the number of instances that would change valuation tiers is not known.</w:t>
      </w:r>
      <w:r w:rsidR="000923B7">
        <w:t xml:space="preserve"> </w:t>
      </w:r>
      <w:r w:rsidRPr="002D3263" w:rsidR="004410C8">
        <w:t xml:space="preserve"> </w:t>
      </w:r>
      <w:r w:rsidRPr="002D3263">
        <w:t>As a consequence</w:t>
      </w:r>
      <w:r w:rsidRPr="002D3263">
        <w:t>, the cost savings from this change have not been quantified.</w:t>
      </w:r>
      <w:r w:rsidRPr="002D3263" w:rsidR="004410C8">
        <w:t xml:space="preserve"> </w:t>
      </w:r>
    </w:p>
    <w:p w:rsidR="00D77B11" w:rsidRPr="002D3263" w:rsidP="00EF4CBB" w14:paraId="66279464" w14:textId="77777777">
      <w:pPr>
        <w:pStyle w:val="Heading3"/>
        <w:widowControl/>
      </w:pPr>
      <w:bookmarkStart w:id="144" w:name="_Toc127438059"/>
      <w:r w:rsidRPr="002D3263">
        <w:t>Transfer (Increased Program Expenditures)</w:t>
      </w:r>
      <w:bookmarkEnd w:id="144"/>
    </w:p>
    <w:p w:rsidR="00D77B11" w:rsidP="00E85518" w14:paraId="1774ABC7" w14:textId="77777777">
      <w:pPr>
        <w:widowControl/>
        <w:spacing w:after="240"/>
      </w:pPr>
      <w:r w:rsidRPr="002D3263">
        <w:t>This change is not expected to change the amount of program expenditures to displaced persons.</w:t>
      </w:r>
    </w:p>
    <w:p w:rsidR="00CF1B31" w:rsidRPr="002D3263" w:rsidP="00C53C33" w14:paraId="2ED5F40D" w14:textId="3CE26690">
      <w:pPr>
        <w:pStyle w:val="Heading2"/>
      </w:pPr>
      <w:bookmarkStart w:id="145" w:name="_Toc68008815"/>
      <w:bookmarkStart w:id="146" w:name="_Toc68008981"/>
      <w:bookmarkStart w:id="147" w:name="_Toc127438060"/>
      <w:bookmarkEnd w:id="145"/>
      <w:bookmarkEnd w:id="146"/>
      <w:r w:rsidRPr="002D3263">
        <w:t>Third Tier of Waiver Valuations</w:t>
      </w:r>
      <w:bookmarkEnd w:id="147"/>
    </w:p>
    <w:p w:rsidR="0044569C" w:rsidRPr="002D3263" w:rsidP="00B767EC" w14:paraId="77A2153C" w14:textId="74DBDFB2">
      <w:pPr>
        <w:pStyle w:val="Body"/>
        <w:widowControl/>
        <w:rPr>
          <w:rFonts w:eastAsia="Courier New"/>
          <w:szCs w:val="20"/>
        </w:rPr>
      </w:pPr>
      <w:r w:rsidRPr="002D3263">
        <w:t>The</w:t>
      </w:r>
      <w:r w:rsidRPr="002D3263" w:rsidR="00D47E63">
        <w:t xml:space="preserve"> NPRM</w:t>
      </w:r>
      <w:r w:rsidRPr="002D3263">
        <w:t xml:space="preserve"> </w:t>
      </w:r>
      <w:r w:rsidRPr="002D3263" w:rsidR="007D0093">
        <w:t xml:space="preserve">proposed </w:t>
      </w:r>
      <w:r w:rsidRPr="002D3263" w:rsidR="00D47E63">
        <w:t xml:space="preserve">the </w:t>
      </w:r>
      <w:r w:rsidRPr="002D3263" w:rsidR="007D0093">
        <w:t>addition</w:t>
      </w:r>
      <w:r w:rsidRPr="002D3263">
        <w:t xml:space="preserve"> of </w:t>
      </w:r>
      <w:r w:rsidRPr="002D3263">
        <w:rPr>
          <w:iCs/>
        </w:rPr>
        <w:t>Section 24.102(c)(2)(ii)(D)</w:t>
      </w:r>
      <w:r w:rsidRPr="002D3263">
        <w:t xml:space="preserve"> </w:t>
      </w:r>
      <w:r w:rsidRPr="002D3263" w:rsidR="00D47E63">
        <w:t>to</w:t>
      </w:r>
      <w:r w:rsidRPr="002D3263">
        <w:t xml:space="preserve"> create a third tier of waiver valuations that would extend the potential use of waiver valuations to parcels of </w:t>
      </w:r>
      <w:r w:rsidRPr="002D3263" w:rsidR="007D0093">
        <w:t xml:space="preserve">up to </w:t>
      </w:r>
      <w:r w:rsidRPr="002D3263">
        <w:t>$50,000 in value.</w:t>
      </w:r>
      <w:r w:rsidRPr="002D3263" w:rsidR="00661E06">
        <w:t xml:space="preserve"> </w:t>
      </w:r>
      <w:r w:rsidR="000923B7">
        <w:t xml:space="preserve"> </w:t>
      </w:r>
      <w:r w:rsidRPr="002D3263" w:rsidR="00661E06">
        <w:t>Currently, the ceiling for waiver valuations is $25,000</w:t>
      </w:r>
      <w:r w:rsidRPr="002D3263" w:rsidR="00D47E63">
        <w:t xml:space="preserve"> for the </w:t>
      </w:r>
      <w:r w:rsidRPr="002D3263" w:rsidR="00280B72">
        <w:t>T</w:t>
      </w:r>
      <w:r w:rsidRPr="002D3263" w:rsidR="00D47E63">
        <w:t>ier 2 Waiver Valuation</w:t>
      </w:r>
      <w:r w:rsidRPr="002D3263" w:rsidR="00661E06">
        <w:t xml:space="preserve">. </w:t>
      </w:r>
      <w:r w:rsidR="000923B7">
        <w:t xml:space="preserve"> </w:t>
      </w:r>
      <w:r w:rsidRPr="002D3263" w:rsidR="005248ED">
        <w:t xml:space="preserve">The final rule </w:t>
      </w:r>
      <w:r w:rsidRPr="002D3263" w:rsidR="00221B85">
        <w:t xml:space="preserve">confirms the creation of </w:t>
      </w:r>
      <w:r w:rsidRPr="002D3263" w:rsidR="005248ED">
        <w:t>th</w:t>
      </w:r>
      <w:r w:rsidRPr="002D3263" w:rsidR="00221B85">
        <w:t>e</w:t>
      </w:r>
      <w:r w:rsidRPr="002D3263" w:rsidR="005248ED">
        <w:t xml:space="preserve"> third tier of waiver valuations</w:t>
      </w:r>
      <w:r w:rsidRPr="002D3263" w:rsidR="00234335">
        <w:t xml:space="preserve"> for parcels with values between </w:t>
      </w:r>
      <w:r w:rsidRPr="002D3263" w:rsidR="00E277AA">
        <w:t xml:space="preserve">$35,000 </w:t>
      </w:r>
      <w:r w:rsidRPr="002D3263" w:rsidR="00234335">
        <w:t>and</w:t>
      </w:r>
      <w:r w:rsidRPr="002D3263" w:rsidR="00E277AA">
        <w:t xml:space="preserve"> $50,000 </w:t>
      </w:r>
      <w:r w:rsidRPr="002D3263" w:rsidR="005248ED">
        <w:t xml:space="preserve">with some modifications in implementation compared to the NPRM. </w:t>
      </w:r>
      <w:r w:rsidR="000923B7">
        <w:t xml:space="preserve"> </w:t>
      </w:r>
      <w:r w:rsidRPr="002D3263" w:rsidR="005F5C35">
        <w:t>Section 24.11 of t</w:t>
      </w:r>
      <w:r w:rsidRPr="002D3263" w:rsidR="005248ED">
        <w:t>he final rule a</w:t>
      </w:r>
      <w:r w:rsidRPr="002D3263" w:rsidR="00D47E63">
        <w:t>llows for t</w:t>
      </w:r>
      <w:r w:rsidRPr="002D3263" w:rsidR="007E7368">
        <w:t>his threshold</w:t>
      </w:r>
      <w:r w:rsidRPr="002D3263">
        <w:t xml:space="preserve"> dollar amount will be</w:t>
      </w:r>
      <w:r w:rsidRPr="002D3263" w:rsidR="007E7368">
        <w:t xml:space="preserve"> </w:t>
      </w:r>
      <w:r w:rsidRPr="002D3263">
        <w:rPr>
          <w:rFonts w:eastAsia="Courier New"/>
          <w:szCs w:val="20"/>
        </w:rPr>
        <w:t>adjusted in the future to account for inflation.</w:t>
      </w:r>
    </w:p>
    <w:p w:rsidR="00661E06" w:rsidRPr="002D3263" w:rsidP="00EF4CBB" w14:paraId="677846AA" w14:textId="77777777">
      <w:pPr>
        <w:pStyle w:val="Heading3"/>
        <w:widowControl/>
      </w:pPr>
      <w:bookmarkStart w:id="148" w:name="_Toc68008817"/>
      <w:bookmarkStart w:id="149" w:name="_Toc68008983"/>
      <w:bookmarkStart w:id="150" w:name="_Toc127438061"/>
      <w:bookmarkEnd w:id="148"/>
      <w:bookmarkEnd w:id="149"/>
      <w:r w:rsidRPr="002D3263">
        <w:t>Benefits</w:t>
      </w:r>
      <w:bookmarkEnd w:id="150"/>
    </w:p>
    <w:p w:rsidR="006667D2" w:rsidRPr="002D3263" w:rsidP="00E85518" w14:paraId="0C3BE20B" w14:textId="11E81BC2">
      <w:pPr>
        <w:widowControl/>
        <w:spacing w:after="240"/>
      </w:pPr>
      <w:r w:rsidRPr="002D3263">
        <w:t>This</w:t>
      </w:r>
      <w:r w:rsidRPr="002D3263" w:rsidR="00162F0A">
        <w:t xml:space="preserve"> </w:t>
      </w:r>
      <w:r w:rsidRPr="002D3263">
        <w:t xml:space="preserve">change is expected to result in cost savings related to the cost difference between appraisals and waiver valuations which is roughly </w:t>
      </w:r>
      <w:r w:rsidRPr="002D3263" w:rsidR="00986A86">
        <w:t>$800 to $5,600</w:t>
      </w:r>
      <w:r w:rsidRPr="002D3263" w:rsidR="00C768B7">
        <w:t xml:space="preserve"> </w:t>
      </w:r>
      <w:r w:rsidRPr="002D3263">
        <w:t xml:space="preserve">per instance. </w:t>
      </w:r>
      <w:r w:rsidR="000923B7">
        <w:t xml:space="preserve"> </w:t>
      </w:r>
      <w:r w:rsidRPr="002D3263">
        <w:t xml:space="preserve">However, the number of instances that would change from a </w:t>
      </w:r>
      <w:r w:rsidRPr="002D3263" w:rsidR="00E277AA">
        <w:t>complete</w:t>
      </w:r>
      <w:r w:rsidRPr="002D3263">
        <w:t xml:space="preserve"> appraisal to a waiver valuation </w:t>
      </w:r>
      <w:r w:rsidRPr="002D3263" w:rsidR="00E277AA">
        <w:t>being</w:t>
      </w:r>
      <w:r w:rsidRPr="002D3263" w:rsidR="00844C77">
        <w:t xml:space="preserve"> </w:t>
      </w:r>
      <w:r w:rsidRPr="002D3263" w:rsidR="00E277AA">
        <w:t>performed</w:t>
      </w:r>
      <w:r w:rsidRPr="002D3263" w:rsidR="00844C77">
        <w:t xml:space="preserve"> </w:t>
      </w:r>
      <w:r w:rsidRPr="002D3263">
        <w:t>cannot be estimated with the available information.</w:t>
      </w:r>
      <w:r w:rsidRPr="002D3263" w:rsidR="00632D4D">
        <w:t xml:space="preserve"> </w:t>
      </w:r>
      <w:r w:rsidR="000923B7">
        <w:t xml:space="preserve"> </w:t>
      </w:r>
      <w:r w:rsidRPr="002D3263" w:rsidR="00632D4D">
        <w:t>As a consequence</w:t>
      </w:r>
      <w:r w:rsidRPr="002D3263" w:rsidR="00632D4D">
        <w:t>, the cost savings from this change have not been quantified.</w:t>
      </w:r>
    </w:p>
    <w:p w:rsidR="00632D4D" w:rsidRPr="002D3263" w:rsidP="00EF4CBB" w14:paraId="705B8441" w14:textId="77777777">
      <w:pPr>
        <w:pStyle w:val="Heading3"/>
        <w:widowControl/>
      </w:pPr>
      <w:bookmarkStart w:id="151" w:name="_Toc127438062"/>
      <w:r w:rsidRPr="002D3263">
        <w:t>Transfer (Increased Program Expenditures)</w:t>
      </w:r>
      <w:bookmarkEnd w:id="151"/>
    </w:p>
    <w:p w:rsidR="00661E06" w:rsidP="00E85518" w14:paraId="01ED9DAA" w14:textId="77777777">
      <w:pPr>
        <w:widowControl/>
        <w:spacing w:after="240"/>
      </w:pPr>
      <w:r w:rsidRPr="002D3263">
        <w:t>This change is not expected to change the amount of program expenditures to displaced persons.</w:t>
      </w:r>
    </w:p>
    <w:p w:rsidR="00661E06" w:rsidRPr="002D3263" w:rsidP="00C53C33" w14:paraId="13C6338A" w14:textId="77777777">
      <w:pPr>
        <w:pStyle w:val="Heading2"/>
      </w:pPr>
      <w:bookmarkStart w:id="152" w:name="_Toc127438063"/>
      <w:r w:rsidRPr="002D3263">
        <w:t>Use of Single Agents</w:t>
      </w:r>
      <w:bookmarkEnd w:id="152"/>
    </w:p>
    <w:p w:rsidR="00661E06" w:rsidRPr="002D3263" w:rsidP="00EF4CBB" w14:paraId="35B3F221" w14:textId="2BA542B7">
      <w:pPr>
        <w:pStyle w:val="Body"/>
        <w:widowControl/>
        <w:rPr>
          <w:color w:val="000000" w:themeColor="text1"/>
        </w:rPr>
      </w:pPr>
      <w:r w:rsidRPr="002D3263">
        <w:rPr>
          <w:color w:val="000000" w:themeColor="text1"/>
        </w:rPr>
        <w:t xml:space="preserve">Changes for </w:t>
      </w:r>
      <w:r w:rsidRPr="002D3263">
        <w:rPr>
          <w:iCs/>
          <w:color w:val="000000" w:themeColor="text1"/>
        </w:rPr>
        <w:t>Section 24.102(n)(3)</w:t>
      </w:r>
      <w:r w:rsidRPr="002D3263">
        <w:rPr>
          <w:i/>
          <w:color w:val="000000" w:themeColor="text1"/>
        </w:rPr>
        <w:t xml:space="preserve"> Conflict of Interest</w:t>
      </w:r>
      <w:r w:rsidRPr="002D3263">
        <w:rPr>
          <w:color w:val="000000" w:themeColor="text1"/>
        </w:rPr>
        <w:t xml:space="preserve"> create a two-tiered approach for allowing a single agent to both value property and perform negotiations on a property.</w:t>
      </w:r>
    </w:p>
    <w:p w:rsidR="00661E06" w:rsidRPr="002D3263" w:rsidP="00EF4CBB" w14:paraId="535CA0EC" w14:textId="03B84C07">
      <w:pPr>
        <w:pStyle w:val="Body"/>
        <w:widowControl/>
        <w:rPr>
          <w:color w:val="000000" w:themeColor="text1"/>
        </w:rPr>
      </w:pPr>
      <w:r w:rsidRPr="002D3263">
        <w:rPr>
          <w:color w:val="000000" w:themeColor="text1"/>
        </w:rPr>
        <w:t>The current regulation allows single agents who valued properties to also perform negotiations on properties that were valued at less than $10,000.</w:t>
      </w:r>
      <w:r w:rsidRPr="002D3263" w:rsidR="004410C8">
        <w:rPr>
          <w:color w:val="000000" w:themeColor="text1"/>
        </w:rPr>
        <w:t xml:space="preserve"> </w:t>
      </w:r>
      <w:r w:rsidR="000923B7">
        <w:rPr>
          <w:color w:val="000000" w:themeColor="text1"/>
        </w:rPr>
        <w:t xml:space="preserve"> </w:t>
      </w:r>
      <w:r w:rsidRPr="002D3263">
        <w:rPr>
          <w:color w:val="000000" w:themeColor="text1"/>
        </w:rPr>
        <w:t>The FHWA has conducted reviews that provided no indication that the use of the single agent created a problem to administer or led to property owners receiving offers that were less than the Agency’s best estimate of just compensation.</w:t>
      </w:r>
      <w:r w:rsidRPr="002D3263" w:rsidR="004410C8">
        <w:rPr>
          <w:color w:val="000000" w:themeColor="text1"/>
        </w:rPr>
        <w:t xml:space="preserve"> </w:t>
      </w:r>
      <w:r w:rsidR="000923B7">
        <w:rPr>
          <w:color w:val="000000" w:themeColor="text1"/>
        </w:rPr>
        <w:t xml:space="preserve"> </w:t>
      </w:r>
      <w:r w:rsidRPr="002D3263">
        <w:rPr>
          <w:color w:val="000000" w:themeColor="text1"/>
        </w:rPr>
        <w:t xml:space="preserve">The FHWA’s </w:t>
      </w:r>
      <w:r w:rsidRPr="002D3263">
        <w:rPr>
          <w:color w:val="000000" w:themeColor="text1"/>
        </w:rPr>
        <w:t>experience is that the $10,000 limit has been managed effectively and property owners’ rights and protections have not been diminished by this process.</w:t>
      </w:r>
      <w:r w:rsidRPr="002D3263" w:rsidR="004410C8">
        <w:rPr>
          <w:color w:val="000000" w:themeColor="text1"/>
        </w:rPr>
        <w:t xml:space="preserve"> </w:t>
      </w:r>
    </w:p>
    <w:p w:rsidR="007472C4" w:rsidRPr="002D3263" w:rsidP="00E85518" w14:paraId="23965BC5" w14:textId="3F9A6819">
      <w:pPr>
        <w:widowControl/>
        <w:spacing w:after="240"/>
      </w:pPr>
      <w:r w:rsidRPr="002D3263">
        <w:t xml:space="preserve">In the NPRM, </w:t>
      </w:r>
      <w:r w:rsidRPr="002D3263" w:rsidR="00661E06">
        <w:t>FHWA propose</w:t>
      </w:r>
      <w:r w:rsidRPr="002D3263">
        <w:t xml:space="preserve">d </w:t>
      </w:r>
      <w:r w:rsidRPr="002D3263" w:rsidR="00661E06">
        <w:t>to raise the limit to $25,000 with a two-tiered approach</w:t>
      </w:r>
      <w:r w:rsidRPr="002D3263" w:rsidR="009B4BCB">
        <w:t xml:space="preserve"> </w:t>
      </w:r>
      <w:r w:rsidRPr="002D3263" w:rsidR="00E277AA">
        <w:t>for the</w:t>
      </w:r>
      <w:r w:rsidRPr="002D3263" w:rsidR="00C768B7">
        <w:t xml:space="preserve"> </w:t>
      </w:r>
      <w:r w:rsidRPr="002D3263" w:rsidR="00661E06">
        <w:t>single agent concept</w:t>
      </w:r>
      <w:r w:rsidRPr="002D3263" w:rsidR="00330EC1">
        <w:t xml:space="preserve"> </w:t>
      </w:r>
      <w:r w:rsidRPr="002D3263">
        <w:t>applying</w:t>
      </w:r>
      <w:r w:rsidRPr="002D3263" w:rsidR="00661E06">
        <w:t xml:space="preserve"> </w:t>
      </w:r>
      <w:r w:rsidRPr="002D3263" w:rsidR="00E277AA">
        <w:t xml:space="preserve">it to align </w:t>
      </w:r>
      <w:r w:rsidRPr="002D3263" w:rsidR="00661E06">
        <w:t>with</w:t>
      </w:r>
      <w:r w:rsidRPr="002D3263" w:rsidR="009B4BCB">
        <w:t xml:space="preserve"> </w:t>
      </w:r>
      <w:r w:rsidRPr="002D3263" w:rsidR="00E277AA">
        <w:t xml:space="preserve">current </w:t>
      </w:r>
      <w:r w:rsidRPr="002D3263" w:rsidR="00661E06">
        <w:t>waiver valuation</w:t>
      </w:r>
      <w:r w:rsidRPr="002D3263" w:rsidR="009B4BCB">
        <w:t xml:space="preserve"> </w:t>
      </w:r>
      <w:r w:rsidRPr="002D3263" w:rsidR="00E277AA">
        <w:t>threshold</w:t>
      </w:r>
      <w:r w:rsidRPr="002D3263" w:rsidR="00661E06">
        <w:t>s up to the $10,000 amount</w:t>
      </w:r>
      <w:r w:rsidRPr="002D3263">
        <w:t xml:space="preserve"> and a</w:t>
      </w:r>
      <w:r w:rsidRPr="002D3263" w:rsidR="00661E06">
        <w:t>cquisitions estimated to be greater than $10,000 but less than $25,000 requir</w:t>
      </w:r>
      <w:r w:rsidRPr="002D3263">
        <w:t>ing</w:t>
      </w:r>
      <w:r w:rsidRPr="002D3263" w:rsidR="00661E06">
        <w:t xml:space="preserve"> an appraisal and review of the </w:t>
      </w:r>
      <w:r w:rsidRPr="002D3263" w:rsidR="00661E06">
        <w:t>appraisal, if</w:t>
      </w:r>
      <w:r w:rsidRPr="002D3263" w:rsidR="00661E06">
        <w:t xml:space="preserve"> the valuation preparer is also acting as the negotiator.</w:t>
      </w:r>
      <w:r w:rsidR="000923B7">
        <w:t xml:space="preserve"> </w:t>
      </w:r>
      <w:r w:rsidRPr="002D3263" w:rsidR="00BC4862">
        <w:t xml:space="preserve"> </w:t>
      </w:r>
      <w:r w:rsidRPr="002D3263">
        <w:t xml:space="preserve">In response to comments to the NPRM, the final rule adopts the proposal but with higher threshold levels to match the increase in waiver valuation </w:t>
      </w:r>
      <w:r w:rsidRPr="002D3263" w:rsidR="00E277AA">
        <w:t>thresholds</w:t>
      </w:r>
      <w:r w:rsidRPr="002D3263" w:rsidR="00C768B7">
        <w:t xml:space="preserve"> </w:t>
      </w:r>
      <w:r w:rsidRPr="002D3263">
        <w:t xml:space="preserve">in </w:t>
      </w:r>
      <w:r w:rsidRPr="002D3263" w:rsidR="00BC4862">
        <w:t>S</w:t>
      </w:r>
      <w:r w:rsidRPr="002D3263">
        <w:rPr>
          <w:rFonts w:eastAsia="Courier New"/>
        </w:rPr>
        <w:t xml:space="preserve">ection 24.102(c)(2)(ii)(C). </w:t>
      </w:r>
      <w:r w:rsidR="000923B7">
        <w:rPr>
          <w:rFonts w:eastAsia="Courier New"/>
        </w:rPr>
        <w:t xml:space="preserve"> </w:t>
      </w:r>
      <w:r w:rsidRPr="002D3263">
        <w:t xml:space="preserve">The single agent concept can </w:t>
      </w:r>
      <w:r w:rsidRPr="002D3263" w:rsidR="00E277AA">
        <w:t xml:space="preserve">be applied </w:t>
      </w:r>
      <w:r w:rsidRPr="002D3263">
        <w:t>for waiver valuations up to the $15,000 amount</w:t>
      </w:r>
      <w:r w:rsidRPr="002D3263" w:rsidR="00D27EA6">
        <w:t>.</w:t>
      </w:r>
      <w:r w:rsidR="000923B7">
        <w:t xml:space="preserve"> </w:t>
      </w:r>
      <w:r w:rsidRPr="002D3263" w:rsidR="00D27EA6">
        <w:t xml:space="preserve"> A</w:t>
      </w:r>
      <w:r w:rsidRPr="002D3263">
        <w:t>cquisitions estimated to be greater than $15,000 but less than $35,000 require an appraisal and review of the appraisal if the valuation preparer is also acting as the negotiator.</w:t>
      </w:r>
      <w:r w:rsidRPr="002D3263" w:rsidR="00D27EA6">
        <w:t xml:space="preserve"> </w:t>
      </w:r>
      <w:r w:rsidR="000923B7">
        <w:t xml:space="preserve"> </w:t>
      </w:r>
      <w:r w:rsidRPr="002D3263" w:rsidR="00D27EA6">
        <w:t>Section 24.11 allows these threshold levels to be adjusted in the future for inflation.</w:t>
      </w:r>
    </w:p>
    <w:p w:rsidR="00162F0A" w:rsidRPr="002D3263" w:rsidP="00EF4CBB" w14:paraId="1A9B002C" w14:textId="47EFC520">
      <w:pPr>
        <w:pStyle w:val="Heading3"/>
        <w:widowControl/>
      </w:pPr>
      <w:bookmarkStart w:id="153" w:name="_Toc68008821"/>
      <w:bookmarkStart w:id="154" w:name="_Toc68008987"/>
      <w:bookmarkStart w:id="155" w:name="_Toc127438064"/>
      <w:bookmarkEnd w:id="153"/>
      <w:bookmarkEnd w:id="154"/>
      <w:r w:rsidRPr="002D3263">
        <w:t>Benefits</w:t>
      </w:r>
      <w:bookmarkEnd w:id="155"/>
    </w:p>
    <w:p w:rsidR="00DD4F27" w:rsidRPr="002D3263" w:rsidP="00E85518" w14:paraId="476254D3" w14:textId="219866B1">
      <w:pPr>
        <w:widowControl/>
        <w:spacing w:after="240"/>
      </w:pPr>
      <w:r w:rsidRPr="002D3263">
        <w:t xml:space="preserve">The change is expected to provide some minor </w:t>
      </w:r>
      <w:r w:rsidRPr="002D3263" w:rsidR="00E72757">
        <w:t xml:space="preserve">displacing </w:t>
      </w:r>
      <w:r w:rsidR="007D41B2">
        <w:t>A</w:t>
      </w:r>
      <w:r w:rsidRPr="002D3263" w:rsidR="00E72757">
        <w:t xml:space="preserve">gency </w:t>
      </w:r>
      <w:r w:rsidRPr="002D3263">
        <w:t xml:space="preserve">administrative cost savings related to flexibility in the use of agents who perform valuations and negotiations. </w:t>
      </w:r>
      <w:r w:rsidR="000923B7">
        <w:t xml:space="preserve"> </w:t>
      </w:r>
      <w:r w:rsidRPr="002D3263">
        <w:t>Work that previously had to be performed by two different agents can now be performed by a single agent</w:t>
      </w:r>
      <w:r w:rsidRPr="002D3263" w:rsidR="007D0093">
        <w:t>,</w:t>
      </w:r>
      <w:r w:rsidRPr="002D3263">
        <w:t xml:space="preserve"> allowing managers at Agencies more flexibility in making assignments to allocate agents in a more efficient way. </w:t>
      </w:r>
      <w:r w:rsidR="000923B7">
        <w:t xml:space="preserve"> </w:t>
      </w:r>
      <w:r w:rsidRPr="002D3263" w:rsidR="002611E2">
        <w:t>This cost savings has not been quantified.</w:t>
      </w:r>
    </w:p>
    <w:p w:rsidR="002611E2" w:rsidRPr="002D3263" w:rsidP="00EF4CBB" w14:paraId="225D0F60" w14:textId="77777777">
      <w:pPr>
        <w:pStyle w:val="Heading3"/>
        <w:widowControl/>
      </w:pPr>
      <w:bookmarkStart w:id="156" w:name="_Toc127438065"/>
      <w:r w:rsidRPr="002D3263">
        <w:t>Transfer (Increased Program Expenditures)</w:t>
      </w:r>
      <w:bookmarkEnd w:id="156"/>
    </w:p>
    <w:p w:rsidR="00162F0A" w:rsidP="00E85518" w14:paraId="67239EDA" w14:textId="77777777">
      <w:pPr>
        <w:widowControl/>
        <w:spacing w:after="240"/>
      </w:pPr>
      <w:r w:rsidRPr="002D3263">
        <w:t>This change is not expected to change the amount of program expenditures to displaced persons.</w:t>
      </w:r>
      <w:r w:rsidRPr="002D3263">
        <w:t xml:space="preserve"> </w:t>
      </w:r>
    </w:p>
    <w:p w:rsidR="00C042C1" w:rsidRPr="002D3263" w:rsidP="00C53C33" w14:paraId="6A398D28" w14:textId="3D2EAB46">
      <w:pPr>
        <w:pStyle w:val="Heading2"/>
      </w:pPr>
      <w:bookmarkStart w:id="157" w:name="_Toc68008824"/>
      <w:bookmarkStart w:id="158" w:name="_Toc68008990"/>
      <w:bookmarkStart w:id="159" w:name="_Toc127438066"/>
      <w:bookmarkEnd w:id="157"/>
      <w:bookmarkEnd w:id="158"/>
      <w:r w:rsidRPr="002D3263">
        <w:t xml:space="preserve">Inspection of Comparable </w:t>
      </w:r>
      <w:r w:rsidRPr="002D3263" w:rsidR="00E277AA">
        <w:t>Replacement Dwellings</w:t>
      </w:r>
      <w:bookmarkEnd w:id="159"/>
    </w:p>
    <w:p w:rsidR="00DA6722" w:rsidRPr="002D3263" w:rsidP="00E85518" w14:paraId="3CE9248D" w14:textId="6EA86572">
      <w:pPr>
        <w:widowControl/>
        <w:spacing w:after="240"/>
      </w:pPr>
      <w:r w:rsidRPr="002D3263">
        <w:t>Section 24.205(c)(2)(ii)</w:t>
      </w:r>
      <w:r w:rsidRPr="002D3263" w:rsidR="004410C8">
        <w:t xml:space="preserve"> </w:t>
      </w:r>
      <w:r w:rsidRPr="002D3263">
        <w:rPr>
          <w:i/>
        </w:rPr>
        <w:t>Relocation Planning, Advisory Services, and Coordination</w:t>
      </w:r>
      <w:r w:rsidRPr="002D3263" w:rsidR="00567FE7">
        <w:t xml:space="preserve">, requires that the Agency provide each person to be displaced </w:t>
      </w:r>
      <w:r w:rsidRPr="002D3263" w:rsidR="00E277AA">
        <w:t>with</w:t>
      </w:r>
      <w:r w:rsidRPr="002D3263" w:rsidR="00431DDA">
        <w:t xml:space="preserve"> </w:t>
      </w:r>
      <w:r w:rsidRPr="002D3263" w:rsidR="00E277AA">
        <w:t xml:space="preserve">an offer of at least one </w:t>
      </w:r>
      <w:r w:rsidRPr="002D3263" w:rsidR="00567FE7">
        <w:t xml:space="preserve">comparable </w:t>
      </w:r>
      <w:r w:rsidRPr="002D3263" w:rsidR="00E277AA">
        <w:t xml:space="preserve">replacement dwelling </w:t>
      </w:r>
      <w:r w:rsidRPr="002D3263" w:rsidR="00567FE7">
        <w:t>for</w:t>
      </w:r>
      <w:r w:rsidRPr="002D3263" w:rsidR="00E277AA">
        <w:t xml:space="preserve"> their</w:t>
      </w:r>
      <w:r w:rsidRPr="002D3263" w:rsidR="00567FE7">
        <w:t xml:space="preserve"> relocation. </w:t>
      </w:r>
      <w:r w:rsidR="000923B7">
        <w:t xml:space="preserve"> </w:t>
      </w:r>
      <w:r w:rsidRPr="002D3263" w:rsidR="00E277AA">
        <w:t xml:space="preserve">Section 24.403(a)(1) </w:t>
      </w:r>
      <w:r w:rsidRPr="002D3263" w:rsidR="00E277AA">
        <w:rPr>
          <w:i/>
        </w:rPr>
        <w:t>Additional rules governing replacement housing payments</w:t>
      </w:r>
      <w:r w:rsidRPr="002D3263" w:rsidR="00E277AA">
        <w:t xml:space="preserve">, states that, if available, the Agency is to consider at least three comparable replacement dwellings and compute the differential payment on the dwelling that is most representative of being equal to or better than the displacement dwelling. </w:t>
      </w:r>
      <w:r w:rsidRPr="002D3263" w:rsidR="00567FE7">
        <w:t xml:space="preserve">Before relocation, </w:t>
      </w:r>
      <w:r w:rsidRPr="002D3263" w:rsidR="00E277AA">
        <w:t xml:space="preserve">dwellings used as </w:t>
      </w:r>
      <w:r w:rsidRPr="002D3263" w:rsidR="00567FE7">
        <w:t>comparable</w:t>
      </w:r>
      <w:r w:rsidRPr="002D3263" w:rsidR="00E277AA">
        <w:t xml:space="preserve"> replacement dwellings for determining the replacement housing differential payment</w:t>
      </w:r>
      <w:r w:rsidRPr="002D3263" w:rsidR="00E277AA">
        <w:t xml:space="preserve"> </w:t>
      </w:r>
      <w:r w:rsidRPr="002D3263" w:rsidR="00811F01">
        <w:t xml:space="preserve">should </w:t>
      </w:r>
      <w:r w:rsidRPr="002D3263" w:rsidR="00567FE7">
        <w:t>be</w:t>
      </w:r>
      <w:r w:rsidRPr="002D3263" w:rsidR="00E277AA">
        <w:t xml:space="preserve"> determined to meet comparable replacement dwelling standards by the Agency for the Uniform Act requirement of offering at least one comparable replacement dwelling to the displaced person to have been met</w:t>
      </w:r>
      <w:r w:rsidRPr="002D3263" w:rsidR="00567FE7">
        <w:t>.</w:t>
      </w:r>
      <w:r w:rsidR="000923B7">
        <w:t xml:space="preserve"> </w:t>
      </w:r>
      <w:r w:rsidRPr="002D3263" w:rsidR="00567FE7">
        <w:t xml:space="preserve"> The change to Section 24.205(c)(2)(ii)(C), would allow Agencies </w:t>
      </w:r>
      <w:r w:rsidRPr="002D3263" w:rsidR="007D0093">
        <w:t xml:space="preserve">to </w:t>
      </w:r>
      <w:r w:rsidRPr="002D3263" w:rsidR="00E277AA">
        <w:t>utilize dwellings for this purpose when inspection of the</w:t>
      </w:r>
      <w:r w:rsidRPr="002D3263" w:rsidR="00567FE7">
        <w:t xml:space="preserve"> comparable </w:t>
      </w:r>
      <w:r w:rsidRPr="002D3263" w:rsidR="00E277AA">
        <w:t>replacement dwelling w</w:t>
      </w:r>
      <w:r w:rsidRPr="002D3263" w:rsidR="00567FE7">
        <w:t>as not</w:t>
      </w:r>
      <w:r w:rsidRPr="002D3263" w:rsidR="00EC7CE1">
        <w:t xml:space="preserve"> </w:t>
      </w:r>
      <w:r w:rsidRPr="002D3263" w:rsidR="00E277AA">
        <w:t>possible</w:t>
      </w:r>
      <w:r w:rsidRPr="002D3263" w:rsidR="00567FE7">
        <w:t xml:space="preserve">, </w:t>
      </w:r>
      <w:r w:rsidRPr="002D3263" w:rsidR="00567FE7">
        <w:t>as long as</w:t>
      </w:r>
      <w:r w:rsidRPr="002D3263" w:rsidR="00567FE7">
        <w:t xml:space="preserve"> the Agency discloses in writing that the</w:t>
      </w:r>
      <w:r w:rsidRPr="002D3263" w:rsidR="00E277AA">
        <w:t xml:space="preserve"> dwelling </w:t>
      </w:r>
      <w:r w:rsidRPr="002D3263" w:rsidR="00567FE7">
        <w:t xml:space="preserve">has not been inspected. </w:t>
      </w:r>
      <w:r w:rsidR="000923B7">
        <w:t xml:space="preserve"> </w:t>
      </w:r>
      <w:r w:rsidRPr="002D3263" w:rsidR="00567FE7">
        <w:t xml:space="preserve">If chosen as </w:t>
      </w:r>
      <w:r w:rsidRPr="002D3263" w:rsidR="00E277AA">
        <w:t xml:space="preserve">the </w:t>
      </w:r>
      <w:r w:rsidRPr="002D3263" w:rsidR="00567FE7">
        <w:t xml:space="preserve">replacement </w:t>
      </w:r>
      <w:r w:rsidRPr="002D3263" w:rsidR="00E277AA">
        <w:t xml:space="preserve">dwelling </w:t>
      </w:r>
      <w:r w:rsidRPr="002D3263" w:rsidR="00567FE7">
        <w:t xml:space="preserve">by the person being displaced, </w:t>
      </w:r>
      <w:r w:rsidRPr="002D3263" w:rsidR="00E277AA">
        <w:t xml:space="preserve">purchase or rental of </w:t>
      </w:r>
      <w:r w:rsidRPr="002D3263" w:rsidR="00567FE7">
        <w:t xml:space="preserve">the property </w:t>
      </w:r>
      <w:r w:rsidRPr="002D3263" w:rsidR="00E277AA">
        <w:t>must</w:t>
      </w:r>
      <w:r w:rsidRPr="002D3263" w:rsidR="00567FE7">
        <w:t xml:space="preserve"> be</w:t>
      </w:r>
      <w:r w:rsidRPr="002D3263" w:rsidR="00E277AA">
        <w:t xml:space="preserve"> conditioned upon it being</w:t>
      </w:r>
      <w:r w:rsidRPr="002D3263" w:rsidR="00567FE7">
        <w:t xml:space="preserve"> inspected</w:t>
      </w:r>
      <w:r w:rsidRPr="002D3263" w:rsidR="00EC7CE1">
        <w:t xml:space="preserve"> </w:t>
      </w:r>
      <w:r w:rsidRPr="002D3263" w:rsidR="00E277AA">
        <w:t xml:space="preserve">and found to meet comparable replacement dwelling standards prior to the displaced </w:t>
      </w:r>
      <w:r w:rsidRPr="002D3263" w:rsidR="00E277AA">
        <w:t>person committing to the purchase or rental as with any other dwelling the displaced person may choose</w:t>
      </w:r>
      <w:r w:rsidRPr="002D3263" w:rsidR="00567FE7">
        <w:t xml:space="preserve">. </w:t>
      </w:r>
      <w:r w:rsidR="000923B7">
        <w:t xml:space="preserve"> </w:t>
      </w:r>
      <w:r w:rsidRPr="002D3263" w:rsidR="00567FE7">
        <w:t xml:space="preserve">In practice, it may be </w:t>
      </w:r>
      <w:r w:rsidRPr="002D3263" w:rsidR="00E277AA">
        <w:t xml:space="preserve">impossible </w:t>
      </w:r>
      <w:r w:rsidRPr="002D3263" w:rsidR="00567FE7">
        <w:t xml:space="preserve">to schedule </w:t>
      </w:r>
      <w:r w:rsidRPr="002D3263" w:rsidR="001205D4">
        <w:t>a full inspection of comparable housing unit</w:t>
      </w:r>
      <w:r w:rsidRPr="002D3263" w:rsidR="00333488">
        <w:t>,</w:t>
      </w:r>
      <w:r w:rsidRPr="002D3263" w:rsidR="001205D4">
        <w:t xml:space="preserve"> but the Agency could conduct an </w:t>
      </w:r>
      <w:r w:rsidRPr="002D3263" w:rsidR="00E277AA">
        <w:t xml:space="preserve">in-person </w:t>
      </w:r>
      <w:r w:rsidRPr="002D3263" w:rsidR="001205D4">
        <w:t>exterior visual inspection and provide other information from property listings such as interior pictures, pricing, etc.</w:t>
      </w:r>
      <w:r w:rsidR="000923B7">
        <w:t xml:space="preserve"> </w:t>
      </w:r>
      <w:r w:rsidRPr="002D3263" w:rsidR="004410C8">
        <w:t xml:space="preserve"> </w:t>
      </w:r>
      <w:r w:rsidRPr="002D3263" w:rsidR="00E277AA">
        <w:t>This change still ensures the Agency has determined that the dwelling offered to the displaced person meets the requirements of a comparable replacement dwelling as defined</w:t>
      </w:r>
      <w:r w:rsidRPr="002D3263" w:rsidR="003D23FD">
        <w:rPr>
          <w:i/>
        </w:rPr>
        <w:t>.</w:t>
      </w:r>
    </w:p>
    <w:p w:rsidR="00567FE7" w:rsidRPr="002D3263" w:rsidP="00EF4CBB" w14:paraId="572C1A13" w14:textId="4F616D39">
      <w:pPr>
        <w:pStyle w:val="Heading3"/>
        <w:keepNext/>
        <w:widowControl/>
      </w:pPr>
      <w:bookmarkStart w:id="160" w:name="_Toc127438067"/>
      <w:r w:rsidRPr="002D3263">
        <w:t>Benefits</w:t>
      </w:r>
      <w:bookmarkEnd w:id="160"/>
      <w:r w:rsidRPr="002D3263" w:rsidR="00EC2780">
        <w:t xml:space="preserve"> </w:t>
      </w:r>
    </w:p>
    <w:p w:rsidR="002611E2" w:rsidRPr="002D3263" w:rsidP="00E85518" w14:paraId="51F13779" w14:textId="26B89F18">
      <w:pPr>
        <w:widowControl/>
        <w:spacing w:after="240"/>
      </w:pPr>
      <w:r w:rsidRPr="002D3263">
        <w:t>The change could facilitate</w:t>
      </w:r>
      <w:r w:rsidRPr="002D3263" w:rsidR="00E277AA">
        <w:t xml:space="preserve"> the completion of replacement housing differential payment determinations and enable the Agency to make an offer to the displaced person in the rare instance where it is not possible for the Agency to determine if the selected dwelling meets the comparable replacement dwelling standards and requirements as defined in Section 24.2(a)</w:t>
      </w:r>
      <w:r w:rsidRPr="002D3263" w:rsidR="001205D4">
        <w:t>.</w:t>
      </w:r>
      <w:r w:rsidR="000923B7">
        <w:t xml:space="preserve"> </w:t>
      </w:r>
      <w:r w:rsidRPr="002D3263" w:rsidR="001205D4">
        <w:t xml:space="preserve"> If the comparable </w:t>
      </w:r>
      <w:r w:rsidRPr="002D3263" w:rsidR="00E277AA">
        <w:t>dwelling i</w:t>
      </w:r>
      <w:r w:rsidRPr="002D3263" w:rsidR="001205D4">
        <w:t>s chosen</w:t>
      </w:r>
      <w:r w:rsidRPr="002D3263" w:rsidR="006C453D">
        <w:t xml:space="preserve"> as the replacement dwelling by the displaced person</w:t>
      </w:r>
      <w:r w:rsidRPr="002D3263" w:rsidR="001205D4">
        <w:t xml:space="preserve">, </w:t>
      </w:r>
      <w:r w:rsidRPr="002D3263" w:rsidR="00EC2780">
        <w:t xml:space="preserve">the Agency </w:t>
      </w:r>
      <w:r w:rsidRPr="002D3263" w:rsidR="006C453D">
        <w:t xml:space="preserve">is required </w:t>
      </w:r>
      <w:r w:rsidRPr="002D3263" w:rsidR="00234D86">
        <w:t xml:space="preserve">to </w:t>
      </w:r>
      <w:r w:rsidRPr="002D3263" w:rsidR="007F280F">
        <w:t>take the necessary</w:t>
      </w:r>
      <w:r w:rsidRPr="002D3263" w:rsidR="00DB6789">
        <w:t xml:space="preserve"> steps to ensure</w:t>
      </w:r>
      <w:r w:rsidRPr="002D3263" w:rsidR="00234D86">
        <w:t xml:space="preserve"> the dwelling’s condition </w:t>
      </w:r>
      <w:r w:rsidRPr="002D3263" w:rsidR="00DB6789">
        <w:t>meets comparable replacement dwelling</w:t>
      </w:r>
      <w:r w:rsidRPr="002D3263" w:rsidR="00EC2780">
        <w:t xml:space="preserve"> </w:t>
      </w:r>
      <w:r w:rsidRPr="002D3263" w:rsidR="00234D86">
        <w:t xml:space="preserve">standards and </w:t>
      </w:r>
      <w:r w:rsidRPr="002D3263" w:rsidR="00DB6789">
        <w:t>requirement</w:t>
      </w:r>
      <w:r w:rsidRPr="002D3263" w:rsidR="00A43CA5">
        <w:t>s</w:t>
      </w:r>
      <w:r w:rsidRPr="002D3263" w:rsidR="007F280F">
        <w:t xml:space="preserve"> </w:t>
      </w:r>
      <w:r w:rsidRPr="002D3263" w:rsidR="00EC2780">
        <w:t xml:space="preserve">prior to </w:t>
      </w:r>
      <w:r w:rsidRPr="002D3263" w:rsidR="007F280F">
        <w:t>commitment for</w:t>
      </w:r>
      <w:r w:rsidRPr="002D3263" w:rsidR="00DB6789">
        <w:t xml:space="preserve"> </w:t>
      </w:r>
      <w:r w:rsidRPr="002D3263" w:rsidR="00EC2780">
        <w:t>purchase or rental by the displaced person</w:t>
      </w:r>
      <w:r w:rsidRPr="002D3263" w:rsidR="001205D4">
        <w:t>.</w:t>
      </w:r>
      <w:r w:rsidR="000923B7">
        <w:t xml:space="preserve"> </w:t>
      </w:r>
      <w:r w:rsidRPr="002D3263">
        <w:t xml:space="preserve"> There is a minor cost associated with including an additional text in a letter to a person being displaced that the comparable housing was not fully inspected. </w:t>
      </w:r>
      <w:r w:rsidR="000923B7">
        <w:t xml:space="preserve"> </w:t>
      </w:r>
      <w:r w:rsidRPr="002D3263">
        <w:t xml:space="preserve">The cost of inserting this additional text is expected to be </w:t>
      </w:r>
      <w:r w:rsidRPr="002D3263">
        <w:rPr>
          <w:i/>
        </w:rPr>
        <w:t>de minimu</w:t>
      </w:r>
      <w:r w:rsidRPr="002D3263" w:rsidR="00BC4862">
        <w:rPr>
          <w:i/>
        </w:rPr>
        <w:t>m</w:t>
      </w:r>
      <w:r w:rsidRPr="002D3263">
        <w:rPr>
          <w:i/>
        </w:rPr>
        <w:t>s</w:t>
      </w:r>
      <w:r w:rsidRPr="002D3263">
        <w:t xml:space="preserve"> compared to the total cost of assembling the information and distributing the information </w:t>
      </w:r>
      <w:r w:rsidRPr="002D3263" w:rsidR="00671F03">
        <w:t xml:space="preserve">about </w:t>
      </w:r>
      <w:r w:rsidRPr="002D3263" w:rsidR="00E277AA">
        <w:t>the dwellings</w:t>
      </w:r>
      <w:r w:rsidRPr="002D3263" w:rsidR="00671F03">
        <w:t xml:space="preserve"> </w:t>
      </w:r>
      <w:r w:rsidRPr="002D3263">
        <w:t xml:space="preserve">to persons being displaced. </w:t>
      </w:r>
      <w:r w:rsidR="000923B7">
        <w:t xml:space="preserve"> </w:t>
      </w:r>
      <w:r w:rsidRPr="002D3263">
        <w:t xml:space="preserve">Further, the number of instances where </w:t>
      </w:r>
      <w:r w:rsidRPr="002D3263" w:rsidR="00E277AA">
        <w:t xml:space="preserve">access to dwellings for a comparable replacement determination is not possible to be rare, so the number of instances where </w:t>
      </w:r>
      <w:r w:rsidRPr="002D3263">
        <w:t>this text would be required cannot be estimated with the available information.</w:t>
      </w:r>
      <w:r w:rsidR="000923B7">
        <w:t xml:space="preserve"> </w:t>
      </w:r>
      <w:r w:rsidRPr="002D3263">
        <w:t xml:space="preserve"> This change is expected to provide net benefits, though the benefits have not been quantified. </w:t>
      </w:r>
    </w:p>
    <w:p w:rsidR="002611E2" w:rsidRPr="002D3263" w:rsidP="00EF4CBB" w14:paraId="2DE9FE5E" w14:textId="77777777">
      <w:pPr>
        <w:pStyle w:val="Heading3"/>
        <w:widowControl/>
      </w:pPr>
      <w:bookmarkStart w:id="161" w:name="_Toc127438068"/>
      <w:r w:rsidRPr="002D3263">
        <w:t>Transfer (Increased Program Expenditures)</w:t>
      </w:r>
      <w:bookmarkEnd w:id="161"/>
    </w:p>
    <w:p w:rsidR="002611E2" w:rsidP="00E85518" w14:paraId="04D014B9" w14:textId="77777777">
      <w:pPr>
        <w:widowControl/>
        <w:spacing w:after="240"/>
      </w:pPr>
      <w:r w:rsidRPr="002D3263">
        <w:t xml:space="preserve">This change is not expected to change the amount of program expenditures to displaced persons. </w:t>
      </w:r>
    </w:p>
    <w:p w:rsidR="002917B8" w:rsidRPr="002D3263" w:rsidP="00C53C33" w14:paraId="3DB7B601" w14:textId="77777777">
      <w:pPr>
        <w:pStyle w:val="Heading2"/>
      </w:pPr>
      <w:bookmarkStart w:id="162" w:name="_Toc127438069"/>
      <w:r w:rsidRPr="002D3263">
        <w:t xml:space="preserve">Other </w:t>
      </w:r>
      <w:r w:rsidRPr="002D3263">
        <w:t>Clarifications</w:t>
      </w:r>
      <w:r w:rsidRPr="002D3263" w:rsidR="002865B1">
        <w:t xml:space="preserve"> </w:t>
      </w:r>
      <w:r w:rsidRPr="002D3263" w:rsidR="007A6C1A">
        <w:t>and</w:t>
      </w:r>
      <w:r w:rsidRPr="002D3263" w:rsidR="002865B1">
        <w:t xml:space="preserve"> Streamlining</w:t>
      </w:r>
      <w:bookmarkEnd w:id="162"/>
    </w:p>
    <w:p w:rsidR="00723D1C" w:rsidRPr="002D3263" w:rsidP="00EF4CBB" w14:paraId="4BCE1210" w14:textId="0EA0EA87">
      <w:pPr>
        <w:pStyle w:val="Body"/>
        <w:widowControl/>
      </w:pPr>
      <w:r w:rsidRPr="002D3263">
        <w:t>In large part, the amendments to the Uniform Act regulations that FHWA proposes are intended to clarify existing requirements</w:t>
      </w:r>
      <w:r w:rsidRPr="002D3263" w:rsidR="00E213A4">
        <w:t>,</w:t>
      </w:r>
      <w:r w:rsidRPr="002D3263">
        <w:t xml:space="preserve"> and to streamline processes involved with providing service to </w:t>
      </w:r>
      <w:r w:rsidRPr="002D3263" w:rsidR="00E82672">
        <w:t>residential</w:t>
      </w:r>
      <w:r w:rsidRPr="002D3263">
        <w:t xml:space="preserve"> and </w:t>
      </w:r>
      <w:r w:rsidRPr="002D3263" w:rsidR="00305D57">
        <w:t>non-residential</w:t>
      </w:r>
      <w:r w:rsidRPr="002D3263" w:rsidR="00E82672">
        <w:t xml:space="preserve"> displaced persons </w:t>
      </w:r>
      <w:r w:rsidRPr="002D3263">
        <w:t xml:space="preserve">affected by </w:t>
      </w:r>
      <w:r w:rsidRPr="002D3263" w:rsidR="00111308">
        <w:t>Federal</w:t>
      </w:r>
      <w:r w:rsidRPr="002D3263">
        <w:t xml:space="preserve"> or </w:t>
      </w:r>
      <w:r w:rsidRPr="002D3263" w:rsidR="002F6403">
        <w:t xml:space="preserve">federally </w:t>
      </w:r>
      <w:r w:rsidRPr="002D3263">
        <w:t>assisted projects.</w:t>
      </w:r>
      <w:r w:rsidRPr="002D3263" w:rsidR="00AC30F3">
        <w:t xml:space="preserve"> </w:t>
      </w:r>
      <w:r w:rsidR="000923B7">
        <w:t xml:space="preserve"> </w:t>
      </w:r>
      <w:r w:rsidRPr="002D3263" w:rsidR="008516C9">
        <w:t>The FHWA</w:t>
      </w:r>
      <w:r w:rsidRPr="002D3263">
        <w:t xml:space="preserve"> believes the changes will better meet modern needs, whi</w:t>
      </w:r>
      <w:r w:rsidRPr="002D3263" w:rsidR="00553536">
        <w:t>l</w:t>
      </w:r>
      <w:r w:rsidRPr="002D3263">
        <w:t>e reducing the paperwork</w:t>
      </w:r>
      <w:r w:rsidRPr="002D3263" w:rsidR="00A43CA5">
        <w:t>,</w:t>
      </w:r>
      <w:r w:rsidRPr="002D3263">
        <w:t xml:space="preserve"> and </w:t>
      </w:r>
      <w:r w:rsidRPr="002D3263" w:rsidR="00A43CA5">
        <w:t xml:space="preserve">Federal aid </w:t>
      </w:r>
      <w:r w:rsidRPr="002D3263" w:rsidR="001E44DA">
        <w:t xml:space="preserve">recipient </w:t>
      </w:r>
      <w:r w:rsidRPr="002D3263" w:rsidR="00A43CA5">
        <w:t>or</w:t>
      </w:r>
      <w:r w:rsidRPr="002D3263" w:rsidR="001E44DA">
        <w:t xml:space="preserve"> Federal </w:t>
      </w:r>
      <w:r w:rsidR="007D41B2">
        <w:t>A</w:t>
      </w:r>
      <w:r w:rsidRPr="002D3263" w:rsidR="001E44DA">
        <w:t>gency</w:t>
      </w:r>
      <w:r w:rsidRPr="002D3263" w:rsidR="00E72757">
        <w:t xml:space="preserve"> </w:t>
      </w:r>
      <w:r w:rsidRPr="002D3263">
        <w:t xml:space="preserve">administrative burdens on </w:t>
      </w:r>
      <w:r w:rsidR="0059129A">
        <w:t>Agencies</w:t>
      </w:r>
      <w:r w:rsidRPr="002D3263" w:rsidR="00F06A36">
        <w:t xml:space="preserve"> subject to the Uniform Act.</w:t>
      </w:r>
      <w:r w:rsidRPr="002D3263" w:rsidR="00AC30F3">
        <w:t xml:space="preserve"> </w:t>
      </w:r>
    </w:p>
    <w:p w:rsidR="00C8727F" w:rsidRPr="002D3263" w:rsidP="00EF4CBB" w14:paraId="7A08906A" w14:textId="60DE7A5D">
      <w:pPr>
        <w:pStyle w:val="Body"/>
        <w:widowControl/>
      </w:pPr>
      <w:r w:rsidRPr="002D3263">
        <w:t>For example, FHWA is proposing to make</w:t>
      </w:r>
      <w:r w:rsidRPr="002D3263" w:rsidR="00F06A36">
        <w:t xml:space="preserve"> additions</w:t>
      </w:r>
      <w:r w:rsidRPr="002D3263">
        <w:t xml:space="preserve">, </w:t>
      </w:r>
      <w:r w:rsidRPr="002D3263" w:rsidR="00F06A36">
        <w:t>modifications</w:t>
      </w:r>
      <w:r w:rsidRPr="002D3263">
        <w:t>, and minor corrections</w:t>
      </w:r>
      <w:r w:rsidRPr="002D3263" w:rsidR="00F06A36">
        <w:t xml:space="preserve"> to </w:t>
      </w:r>
      <w:r w:rsidRPr="002D3263">
        <w:t>several</w:t>
      </w:r>
      <w:r w:rsidRPr="002D3263" w:rsidR="00F06A36">
        <w:t xml:space="preserve"> definitions and acronyms to </w:t>
      </w:r>
      <w:r w:rsidRPr="002D3263">
        <w:t xml:space="preserve">better explain sections that have generated questions among Uniform Act </w:t>
      </w:r>
      <w:r w:rsidR="0059129A">
        <w:t>Agencies</w:t>
      </w:r>
      <w:r w:rsidRPr="002D3263">
        <w:t xml:space="preserve"> in the past. </w:t>
      </w:r>
      <w:r w:rsidR="000923B7">
        <w:t xml:space="preserve"> </w:t>
      </w:r>
      <w:r w:rsidRPr="002D3263">
        <w:t>One such clarification is at</w:t>
      </w:r>
      <w:r w:rsidRPr="002D3263" w:rsidR="00BE7551">
        <w:t xml:space="preserve"> </w:t>
      </w:r>
      <w:r w:rsidRPr="002D3263" w:rsidR="00F06A36">
        <w:t xml:space="preserve">Appendix A </w:t>
      </w:r>
      <w:r w:rsidRPr="002D3263" w:rsidR="00BE7551">
        <w:t xml:space="preserve">for </w:t>
      </w:r>
      <w:r w:rsidRPr="002D3263" w:rsidR="00EA53B8">
        <w:t xml:space="preserve">Section </w:t>
      </w:r>
      <w:r w:rsidRPr="002D3263" w:rsidR="00F06A36">
        <w:t xml:space="preserve">24.305(e) </w:t>
      </w:r>
      <w:r w:rsidRPr="002D3263">
        <w:t xml:space="preserve">where a more detailed discussion </w:t>
      </w:r>
      <w:r w:rsidRPr="002D3263" w:rsidR="00F06A36">
        <w:t>about calculating a benefit</w:t>
      </w:r>
      <w:r w:rsidRPr="002D3263" w:rsidR="00BE7551">
        <w:t>,</w:t>
      </w:r>
      <w:r w:rsidRPr="002D3263" w:rsidR="00F06A36">
        <w:t xml:space="preserve"> and if necessary</w:t>
      </w:r>
      <w:r w:rsidRPr="002D3263">
        <w:t>,</w:t>
      </w:r>
      <w:r w:rsidRPr="002D3263" w:rsidR="00F06A36">
        <w:t xml:space="preserve"> prorating the average annual net earnings of a business or farm operation</w:t>
      </w:r>
      <w:r w:rsidRPr="002D3263">
        <w:t xml:space="preserve"> is given; this </w:t>
      </w:r>
      <w:r w:rsidRPr="002D3263">
        <w:t>particular proposal</w:t>
      </w:r>
      <w:r w:rsidRPr="002D3263">
        <w:t xml:space="preserve"> </w:t>
      </w:r>
      <w:r w:rsidRPr="002D3263" w:rsidR="00F06A36">
        <w:t>include</w:t>
      </w:r>
      <w:r w:rsidRPr="002D3263">
        <w:t>s</w:t>
      </w:r>
      <w:r w:rsidRPr="002D3263" w:rsidR="00F06A36">
        <w:t xml:space="preserve"> sample calculations </w:t>
      </w:r>
      <w:r w:rsidRPr="002D3263" w:rsidR="00F06A36">
        <w:t xml:space="preserve">for businesses with less than </w:t>
      </w:r>
      <w:r w:rsidRPr="002D3263" w:rsidR="00682BBD">
        <w:t>1</w:t>
      </w:r>
      <w:r w:rsidRPr="002D3263" w:rsidR="00F06A36">
        <w:t xml:space="preserve"> year in operation, more than </w:t>
      </w:r>
      <w:r w:rsidR="000923B7">
        <w:t>1</w:t>
      </w:r>
      <w:r w:rsidRPr="002D3263" w:rsidR="00F06A36">
        <w:t xml:space="preserve"> year but not </w:t>
      </w:r>
      <w:r w:rsidR="000923B7">
        <w:t xml:space="preserve">2 </w:t>
      </w:r>
      <w:r w:rsidRPr="002D3263" w:rsidR="00F06A36">
        <w:t>full years in operation, an</w:t>
      </w:r>
      <w:r w:rsidRPr="002D3263">
        <w:t xml:space="preserve">d seasonally operated businesses. </w:t>
      </w:r>
    </w:p>
    <w:p w:rsidR="007A6C1A" w:rsidRPr="002D3263" w:rsidP="00EF4CBB" w14:paraId="175DB1C5" w14:textId="42BD7790">
      <w:pPr>
        <w:pStyle w:val="Body"/>
        <w:widowControl/>
      </w:pPr>
      <w:r w:rsidRPr="002D3263">
        <w:t xml:space="preserve">Another example clarification relates to </w:t>
      </w:r>
      <w:r w:rsidRPr="002D3263" w:rsidR="00D75E4D">
        <w:t xml:space="preserve">the </w:t>
      </w:r>
      <w:r w:rsidRPr="002D3263" w:rsidR="00EA53B8">
        <w:t>Section</w:t>
      </w:r>
      <w:r w:rsidRPr="002D3263" w:rsidR="00BE7551">
        <w:t xml:space="preserve"> </w:t>
      </w:r>
      <w:r w:rsidRPr="002D3263">
        <w:t>24.2(a) definition of “</w:t>
      </w:r>
      <w:r w:rsidRPr="002D3263">
        <w:t xml:space="preserve">Decent, </w:t>
      </w:r>
      <w:r w:rsidRPr="002D3263" w:rsidR="00D75E4D">
        <w:t>s</w:t>
      </w:r>
      <w:r w:rsidRPr="002D3263">
        <w:t xml:space="preserve">afe, and </w:t>
      </w:r>
      <w:r w:rsidRPr="002D3263" w:rsidR="00D75E4D">
        <w:t>s</w:t>
      </w:r>
      <w:r w:rsidRPr="002D3263">
        <w:t xml:space="preserve">anitary </w:t>
      </w:r>
      <w:r w:rsidRPr="002D3263" w:rsidR="00D75E4D">
        <w:t>d</w:t>
      </w:r>
      <w:r w:rsidRPr="002D3263">
        <w:t>welling</w:t>
      </w:r>
      <w:r w:rsidRPr="002D3263">
        <w:t>s</w:t>
      </w:r>
      <w:r w:rsidRPr="002D3263" w:rsidR="00234335">
        <w:t>,</w:t>
      </w:r>
      <w:r w:rsidRPr="002D3263">
        <w:t>”</w:t>
      </w:r>
      <w:r w:rsidRPr="002D3263" w:rsidR="00234335">
        <w:t xml:space="preserve"> referred to as DSS. </w:t>
      </w:r>
      <w:r w:rsidR="000923B7">
        <w:t xml:space="preserve"> </w:t>
      </w:r>
      <w:r w:rsidRPr="002D3263">
        <w:t>The Uniform Act requires that displaced persons must have</w:t>
      </w:r>
      <w:r w:rsidRPr="002D3263" w:rsidR="00A43CA5">
        <w:t xml:space="preserve"> </w:t>
      </w:r>
      <w:r w:rsidRPr="002D3263" w:rsidR="00D75E4D">
        <w:t xml:space="preserve">a comparable replacement dwelling made available to them, of which, meeting the standards of being </w:t>
      </w:r>
      <w:r w:rsidRPr="002D3263">
        <w:t>DSS</w:t>
      </w:r>
      <w:r w:rsidRPr="002D3263" w:rsidR="00D75E4D">
        <w:t xml:space="preserve"> is a part</w:t>
      </w:r>
      <w:r w:rsidRPr="002D3263">
        <w:t>.</w:t>
      </w:r>
      <w:r w:rsidRPr="002D3263" w:rsidR="00AC30F3">
        <w:t xml:space="preserve"> </w:t>
      </w:r>
      <w:r w:rsidR="000923B7">
        <w:t xml:space="preserve"> </w:t>
      </w:r>
      <w:r w:rsidRPr="002D3263" w:rsidR="008516C9">
        <w:t>The FHWA</w:t>
      </w:r>
      <w:r w:rsidRPr="002D3263">
        <w:t xml:space="preserve"> </w:t>
      </w:r>
      <w:r w:rsidRPr="002D3263">
        <w:t xml:space="preserve">has </w:t>
      </w:r>
      <w:r w:rsidRPr="002D3263" w:rsidR="00A71637">
        <w:t xml:space="preserve">revised </w:t>
      </w:r>
      <w:r w:rsidRPr="002D3263">
        <w:t>the definition of DSS</w:t>
      </w:r>
      <w:r w:rsidRPr="002D3263" w:rsidR="00671F03">
        <w:t xml:space="preserve"> </w:t>
      </w:r>
      <w:r w:rsidRPr="002D3263">
        <w:t>to clari</w:t>
      </w:r>
      <w:r w:rsidRPr="002D3263" w:rsidR="00BF2373">
        <w:t xml:space="preserve">fy that the standards in </w:t>
      </w:r>
      <w:r w:rsidRPr="002D3263" w:rsidR="00EA53B8">
        <w:t>Section</w:t>
      </w:r>
      <w:r w:rsidRPr="002D3263" w:rsidR="0091417E">
        <w:t xml:space="preserve"> </w:t>
      </w:r>
      <w:r w:rsidRPr="002D3263">
        <w:t xml:space="preserve">24.2(a)(8) are minimum standards and </w:t>
      </w:r>
      <w:r w:rsidRPr="002D3263" w:rsidR="00D75E4D">
        <w:t xml:space="preserve">the most stringent of either the DSS requirements, local housing and occupancy codes, or displacing </w:t>
      </w:r>
      <w:r w:rsidR="007D41B2">
        <w:t>A</w:t>
      </w:r>
      <w:r w:rsidRPr="002D3263" w:rsidR="00D75E4D">
        <w:t xml:space="preserve">gency regulation or policy </w:t>
      </w:r>
      <w:r w:rsidRPr="002D3263">
        <w:t xml:space="preserve">must be used by displacing </w:t>
      </w:r>
      <w:r w:rsidR="0059129A">
        <w:t>Agencies</w:t>
      </w:r>
      <w:r w:rsidRPr="002D3263">
        <w:t>.</w:t>
      </w:r>
      <w:r w:rsidRPr="002D3263">
        <w:t xml:space="preserve"> </w:t>
      </w:r>
    </w:p>
    <w:p w:rsidR="00A47D9A" w:rsidRPr="002D3263" w:rsidP="00EF4CBB" w14:paraId="54204088" w14:textId="43581911">
      <w:pPr>
        <w:pStyle w:val="Body"/>
        <w:widowControl/>
      </w:pPr>
      <w:r w:rsidRPr="002D3263">
        <w:t>Changes to Section 24.301(g)(4) clarify that if an Agency determines that storage is an actual, reasonable, and necessary expense in conjunction with this schedule, payment may be paid in accordance with Section 24.301(g)(4) for a period not to exceed 12 months.</w:t>
      </w:r>
    </w:p>
    <w:p w:rsidR="002A0CCD" w:rsidRPr="002D3263" w:rsidP="00EF4CBB" w14:paraId="25C67E63" w14:textId="18DB5B4B">
      <w:pPr>
        <w:pStyle w:val="Body"/>
        <w:widowControl/>
      </w:pPr>
      <w:r w:rsidRPr="002D3263">
        <w:t xml:space="preserve">The creation of new Section 24.202(a) </w:t>
      </w:r>
      <w:r w:rsidRPr="002D3263">
        <w:rPr>
          <w:i/>
          <w:iCs/>
        </w:rPr>
        <w:t>Persons required to move temporarily</w:t>
      </w:r>
      <w:r w:rsidRPr="002D3263">
        <w:t xml:space="preserve"> in Subpart C--General Relocation Requirements presents content currently provided in Appendix A. </w:t>
      </w:r>
      <w:r w:rsidR="000923B7">
        <w:t xml:space="preserve"> </w:t>
      </w:r>
      <w:r w:rsidRPr="002D3263">
        <w:t xml:space="preserve">This addition clarifies the payments a person required to move temporarily is eligible for. </w:t>
      </w:r>
      <w:r w:rsidR="000923B7">
        <w:t xml:space="preserve"> </w:t>
      </w:r>
      <w:r w:rsidRPr="002D3263">
        <w:t xml:space="preserve">Related to this new section, two new definitions are added to Section 24.2(a). </w:t>
      </w:r>
      <w:r w:rsidR="000923B7">
        <w:t xml:space="preserve"> </w:t>
      </w:r>
      <w:r w:rsidRPr="002D3263">
        <w:t xml:space="preserve">The definition for </w:t>
      </w:r>
      <w:r w:rsidRPr="002D3263" w:rsidR="00FE1771">
        <w:rPr>
          <w:i/>
        </w:rPr>
        <w:t>P</w:t>
      </w:r>
      <w:r w:rsidRPr="002D3263">
        <w:rPr>
          <w:i/>
        </w:rPr>
        <w:t>ersons required to move temporarily</w:t>
      </w:r>
      <w:r w:rsidRPr="002D3263">
        <w:t xml:space="preserve"> has been added to the definition of </w:t>
      </w:r>
      <w:r w:rsidRPr="002D3263">
        <w:rPr>
          <w:i/>
        </w:rPr>
        <w:t>displaced persons</w:t>
      </w:r>
      <w:r w:rsidRPr="002D3263">
        <w:t xml:space="preserve"> and the definition of </w:t>
      </w:r>
      <w:r w:rsidRPr="002D3263" w:rsidR="00FE1771">
        <w:rPr>
          <w:i/>
        </w:rPr>
        <w:t>O</w:t>
      </w:r>
      <w:r w:rsidRPr="002D3263">
        <w:rPr>
          <w:i/>
        </w:rPr>
        <w:t>ccupants of a temporary, daily, or emergency shelter</w:t>
      </w:r>
      <w:r w:rsidRPr="002D3263">
        <w:t xml:space="preserve"> has been added to</w:t>
      </w:r>
      <w:r w:rsidRPr="002D3263" w:rsidR="002F1720">
        <w:t xml:space="preserve"> the definition of</w:t>
      </w:r>
      <w:r w:rsidRPr="002D3263">
        <w:t xml:space="preserve"> </w:t>
      </w:r>
      <w:r w:rsidRPr="002D3263" w:rsidR="00FE1771">
        <w:rPr>
          <w:i/>
        </w:rPr>
        <w:t>P</w:t>
      </w:r>
      <w:r w:rsidRPr="002D3263" w:rsidR="002F1720">
        <w:rPr>
          <w:i/>
        </w:rPr>
        <w:t>ersons not displaced</w:t>
      </w:r>
      <w:r w:rsidRPr="002D3263">
        <w:t xml:space="preserve">. </w:t>
      </w:r>
      <w:r w:rsidR="000923B7">
        <w:t xml:space="preserve"> </w:t>
      </w:r>
      <w:r w:rsidRPr="002D3263">
        <w:t>This new content provides direction for addressing temporary relocation of persons not displaced</w:t>
      </w:r>
      <w:r w:rsidRPr="002D3263" w:rsidR="002F1720">
        <w:t xml:space="preserve"> or persons occupying a shelter</w:t>
      </w:r>
      <w:r w:rsidRPr="002D3263">
        <w:t xml:space="preserve">. </w:t>
      </w:r>
    </w:p>
    <w:p w:rsidR="00E26736" w:rsidRPr="002D3263" w:rsidP="00EF4CBB" w14:paraId="19E0A54B" w14:textId="27ECEB72">
      <w:pPr>
        <w:pStyle w:val="Body"/>
        <w:widowControl/>
      </w:pPr>
      <w:r w:rsidRPr="002D3263">
        <w:t xml:space="preserve">The </w:t>
      </w:r>
      <w:r w:rsidRPr="002D3263" w:rsidR="00C8727F">
        <w:t xml:space="preserve">final rule </w:t>
      </w:r>
      <w:r w:rsidRPr="002D3263">
        <w:t xml:space="preserve">regulatory changes are also expected to streamline the relocation process. </w:t>
      </w:r>
      <w:r w:rsidRPr="002D3263" w:rsidR="0072121C">
        <w:t xml:space="preserve">Notable instances of these streamlining provisions </w:t>
      </w:r>
      <w:r w:rsidRPr="002D3263" w:rsidR="00972803">
        <w:t>are</w:t>
      </w:r>
      <w:r w:rsidRPr="002D3263" w:rsidR="0072121C">
        <w:t xml:space="preserve"> discussed individually below.</w:t>
      </w:r>
      <w:r w:rsidRPr="002D3263" w:rsidR="006768EF">
        <w:t xml:space="preserve"> </w:t>
      </w:r>
    </w:p>
    <w:p w:rsidR="007472C4" w:rsidRPr="002D3263" w:rsidP="00EF4CBB" w14:paraId="53FDC44D" w14:textId="4DE8A6A6">
      <w:pPr>
        <w:pStyle w:val="Body"/>
        <w:widowControl/>
      </w:pPr>
      <w:r w:rsidRPr="002D3263">
        <w:t>The insertion of new paragraph</w:t>
      </w:r>
      <w:r w:rsidRPr="002D3263" w:rsidR="00C93C06">
        <w:t xml:space="preserve"> </w:t>
      </w:r>
      <w:r w:rsidRPr="002D3263" w:rsidR="00BC2A5F">
        <w:t xml:space="preserve">(a) under Section </w:t>
      </w:r>
      <w:r w:rsidRPr="002D3263">
        <w:t>24.302</w:t>
      </w:r>
      <w:r w:rsidRPr="002D3263" w:rsidR="005B08E9">
        <w:t xml:space="preserve"> </w:t>
      </w:r>
      <w:r w:rsidRPr="002D3263" w:rsidR="00E26736">
        <w:rPr>
          <w:i/>
        </w:rPr>
        <w:t xml:space="preserve">Fixed Payment for Moving Expenses – Residential Moves </w:t>
      </w:r>
      <w:r w:rsidRPr="002D3263">
        <w:t>acts to clarify that if a displaced person chooses to receive a fixed payment for moving expenses</w:t>
      </w:r>
      <w:r w:rsidRPr="002D3263" w:rsidR="00BC2A5F">
        <w:t xml:space="preserve"> as an alternative to a payment for actual, reasonable</w:t>
      </w:r>
      <w:r w:rsidRPr="002D3263">
        <w:t>,</w:t>
      </w:r>
      <w:r w:rsidRPr="002D3263" w:rsidR="00BC2A5F">
        <w:t xml:space="preserve"> moving expenses,</w:t>
      </w:r>
      <w:r w:rsidRPr="002D3263">
        <w:t xml:space="preserve"> and also requires storage for up to 12 months, only  a single fixed payment</w:t>
      </w:r>
      <w:r w:rsidRPr="002D3263" w:rsidR="00E26736">
        <w:t xml:space="preserve"> for the move into storage </w:t>
      </w:r>
      <w:r w:rsidRPr="002D3263" w:rsidR="00BC2A5F">
        <w:t xml:space="preserve">in accordance with the Fixed Residential Moving Cost Schedule, </w:t>
      </w:r>
      <w:r w:rsidRPr="002D3263" w:rsidR="00E26736">
        <w:t xml:space="preserve">and the necessary storage costs </w:t>
      </w:r>
      <w:r w:rsidRPr="002D3263" w:rsidR="00BC2A5F">
        <w:t xml:space="preserve">for up to 12 months </w:t>
      </w:r>
      <w:r w:rsidRPr="002D3263" w:rsidR="00E26736">
        <w:t xml:space="preserve">will be eligible for </w:t>
      </w:r>
      <w:r w:rsidRPr="002D3263" w:rsidR="00BC2A5F">
        <w:t>payment</w:t>
      </w:r>
      <w:r w:rsidRPr="002D3263">
        <w:t>.</w:t>
      </w:r>
      <w:r w:rsidRPr="002D3263" w:rsidR="00E26736">
        <w:t xml:space="preserve"> </w:t>
      </w:r>
      <w:r w:rsidR="000923B7">
        <w:t xml:space="preserve"> </w:t>
      </w:r>
      <w:r w:rsidRPr="002D3263" w:rsidR="00E26736">
        <w:t>The expenses for the move out of storage to the replacement dwelling would not be an eligible expense.</w:t>
      </w:r>
      <w:r w:rsidRPr="002D3263">
        <w:t xml:space="preserve"> </w:t>
      </w:r>
      <w:r w:rsidR="000923B7">
        <w:t xml:space="preserve"> </w:t>
      </w:r>
      <w:r w:rsidRPr="002D3263">
        <w:t>Using storage in combination with a fixed payment for moving expenses is expected to be rare</w:t>
      </w:r>
      <w:r w:rsidRPr="002D3263" w:rsidR="00BC2A5F">
        <w:t>,</w:t>
      </w:r>
      <w:r w:rsidRPr="002D3263">
        <w:t xml:space="preserve"> since usually someone would require two moves when using storage, one move into storage and one move out of storage. </w:t>
      </w:r>
      <w:r w:rsidR="000923B7">
        <w:t xml:space="preserve"> </w:t>
      </w:r>
      <w:r w:rsidRPr="002D3263">
        <w:t>Thus, it is unlikely that someone would choose to use a fixed payment</w:t>
      </w:r>
      <w:r w:rsidRPr="002D3263" w:rsidR="00BC2A5F">
        <w:t>,</w:t>
      </w:r>
      <w:r w:rsidRPr="002D3263">
        <w:t xml:space="preserve"> and instead be reimbursed for their actual moving expenses</w:t>
      </w:r>
      <w:r w:rsidRPr="002D3263" w:rsidR="00BC2A5F">
        <w:t>,</w:t>
      </w:r>
      <w:r w:rsidRPr="002D3263">
        <w:t xml:space="preserve"> which would include the expenses </w:t>
      </w:r>
      <w:r w:rsidRPr="002D3263" w:rsidR="006736BD">
        <w:t>for</w:t>
      </w:r>
      <w:r w:rsidRPr="002D3263" w:rsidR="00671F03">
        <w:t xml:space="preserve"> </w:t>
      </w:r>
      <w:r w:rsidRPr="002D3263">
        <w:t>moving into and out of storage.</w:t>
      </w:r>
    </w:p>
    <w:p w:rsidR="0072121C" w:rsidRPr="002D3263" w:rsidP="00EF4CBB" w14:paraId="4960A24D" w14:textId="2D9644A0">
      <w:pPr>
        <w:pStyle w:val="Body"/>
        <w:widowControl/>
      </w:pPr>
      <w:r w:rsidRPr="002D3263">
        <w:t>C</w:t>
      </w:r>
      <w:r w:rsidRPr="002D3263" w:rsidR="007E11F4">
        <w:t xml:space="preserve">hanges for </w:t>
      </w:r>
      <w:r w:rsidRPr="002D3263" w:rsidR="00EA53B8">
        <w:t>Section</w:t>
      </w:r>
      <w:r w:rsidRPr="002D3263" w:rsidR="00BE7551">
        <w:t xml:space="preserve"> </w:t>
      </w:r>
      <w:r w:rsidRPr="002D3263" w:rsidR="007E11F4">
        <w:t>24.5 </w:t>
      </w:r>
      <w:r w:rsidRPr="002D3263" w:rsidR="007E11F4">
        <w:rPr>
          <w:i/>
        </w:rPr>
        <w:t>Manner of notices</w:t>
      </w:r>
      <w:r w:rsidRPr="002D3263" w:rsidR="00C331B9">
        <w:t xml:space="preserve"> </w:t>
      </w:r>
      <w:r w:rsidRPr="002D3263" w:rsidR="00A71637">
        <w:t>will</w:t>
      </w:r>
      <w:r w:rsidRPr="002D3263">
        <w:t xml:space="preserve"> allow Uniform Act </w:t>
      </w:r>
      <w:r w:rsidR="0059129A">
        <w:t>Agencies</w:t>
      </w:r>
      <w:r w:rsidRPr="002D3263">
        <w:t xml:space="preserve"> to use digital means to provide notices should a property owner or displaced person opt to receive notices electronically. </w:t>
      </w:r>
      <w:r w:rsidR="000923B7">
        <w:t xml:space="preserve"> </w:t>
      </w:r>
      <w:r w:rsidRPr="002D3263">
        <w:t xml:space="preserve">The current regulation requires that </w:t>
      </w:r>
      <w:r w:rsidR="0059129A">
        <w:t>Agencies</w:t>
      </w:r>
      <w:r w:rsidRPr="002D3263">
        <w:t xml:space="preserve"> personally serve or send notices to property owners or displaced person</w:t>
      </w:r>
      <w:r w:rsidRPr="002D3263" w:rsidR="005B08E9">
        <w:t>s</w:t>
      </w:r>
      <w:r w:rsidRPr="002D3263">
        <w:t xml:space="preserve"> by certified or registered first-class mail, return receipt requested. </w:t>
      </w:r>
      <w:r w:rsidR="000923B7">
        <w:t xml:space="preserve"> </w:t>
      </w:r>
      <w:r w:rsidRPr="002D3263">
        <w:t xml:space="preserve">The FHWA believes that delivery of notices by digital or electronic means can provide </w:t>
      </w:r>
      <w:r w:rsidR="0059129A">
        <w:t>Agencies</w:t>
      </w:r>
      <w:r w:rsidRPr="002D3263">
        <w:t xml:space="preserve"> and property </w:t>
      </w:r>
      <w:r w:rsidRPr="002D3263">
        <w:t>owners or displaced persons with an optional communications method that can streamline the acquisition and negotiation process, while not reducing any benefits or protections to property owners or displaced persons</w:t>
      </w:r>
      <w:r w:rsidRPr="002D3263" w:rsidR="007E7368">
        <w:t>.</w:t>
      </w:r>
    </w:p>
    <w:p w:rsidR="00325F9F" w:rsidRPr="002D3263" w:rsidP="00EF4CBB" w14:paraId="672A0417" w14:textId="6295E89F">
      <w:pPr>
        <w:pStyle w:val="Body"/>
        <w:widowControl/>
        <w:rPr>
          <w:color w:val="000000" w:themeColor="text1"/>
        </w:rPr>
      </w:pPr>
      <w:r w:rsidRPr="002D3263">
        <w:t xml:space="preserve">Changes </w:t>
      </w:r>
      <w:r w:rsidRPr="002D3263" w:rsidR="006736BD">
        <w:t>to</w:t>
      </w:r>
      <w:r w:rsidRPr="002D3263">
        <w:t xml:space="preserve"> </w:t>
      </w:r>
      <w:r w:rsidRPr="002D3263" w:rsidR="007E11F4">
        <w:t>24.301(g</w:t>
      </w:r>
      <w:r w:rsidRPr="002D3263" w:rsidR="00BE7551">
        <w:t>)</w:t>
      </w:r>
      <w:r w:rsidRPr="002D3263" w:rsidR="00D1728A">
        <w:t>(</w:t>
      </w:r>
      <w:r w:rsidRPr="002D3263" w:rsidR="007E11F4">
        <w:t>1</w:t>
      </w:r>
      <w:r w:rsidRPr="002D3263" w:rsidR="00146C54">
        <w:t>8</w:t>
      </w:r>
      <w:r w:rsidRPr="002D3263" w:rsidR="007E11F4">
        <w:t xml:space="preserve">) </w:t>
      </w:r>
      <w:r w:rsidRPr="002D3263" w:rsidR="007E11F4">
        <w:rPr>
          <w:i/>
        </w:rPr>
        <w:t>Searching for a replacement location</w:t>
      </w:r>
      <w:r w:rsidRPr="002D3263">
        <w:rPr>
          <w:i/>
        </w:rPr>
        <w:t xml:space="preserve"> </w:t>
      </w:r>
      <w:r w:rsidRPr="002D3263" w:rsidR="006736BD">
        <w:t>in the final rule</w:t>
      </w:r>
      <w:r w:rsidRPr="002D3263" w:rsidR="006736BD">
        <w:rPr>
          <w:i/>
        </w:rPr>
        <w:t xml:space="preserve"> </w:t>
      </w:r>
      <w:r w:rsidRPr="002D3263">
        <w:t>w</w:t>
      </w:r>
      <w:r w:rsidRPr="002D3263" w:rsidR="006736BD">
        <w:t>ill</w:t>
      </w:r>
      <w:r w:rsidRPr="002D3263" w:rsidR="004B7690">
        <w:t xml:space="preserve"> </w:t>
      </w:r>
      <w:r w:rsidRPr="002D3263">
        <w:t>streamline th</w:t>
      </w:r>
      <w:r w:rsidRPr="002D3263" w:rsidR="006736BD">
        <w:t xml:space="preserve">is benefit’s payment </w:t>
      </w:r>
      <w:r w:rsidRPr="002D3263">
        <w:t xml:space="preserve">process </w:t>
      </w:r>
      <w:r w:rsidRPr="002D3263" w:rsidR="006736BD">
        <w:t xml:space="preserve">for </w:t>
      </w:r>
      <w:r w:rsidRPr="002D3263" w:rsidR="00305D57">
        <w:t>non-residential</w:t>
      </w:r>
      <w:r w:rsidRPr="002D3263" w:rsidR="00DF260E">
        <w:t xml:space="preserve"> </w:t>
      </w:r>
      <w:r w:rsidRPr="002D3263">
        <w:t xml:space="preserve">relocations. </w:t>
      </w:r>
      <w:r w:rsidR="000923B7">
        <w:t xml:space="preserve"> </w:t>
      </w:r>
      <w:r w:rsidRPr="002D3263" w:rsidR="008516C9">
        <w:t>The FHWA</w:t>
      </w:r>
      <w:r w:rsidRPr="002D3263">
        <w:t xml:space="preserve"> believes that in some instances</w:t>
      </w:r>
      <w:r w:rsidRPr="002D3263" w:rsidR="00A31A4A">
        <w:t>,</w:t>
      </w:r>
      <w:r w:rsidRPr="002D3263">
        <w:t xml:space="preserve"> requiring documentation for all searching expenses can be administratively burdensome to both the</w:t>
      </w:r>
      <w:r w:rsidRPr="002D3263" w:rsidR="00E72757">
        <w:t xml:space="preserve"> displacing </w:t>
      </w:r>
      <w:r w:rsidR="007D41B2">
        <w:t>A</w:t>
      </w:r>
      <w:r w:rsidRPr="002D3263">
        <w:t xml:space="preserve">gency and the </w:t>
      </w:r>
      <w:r w:rsidRPr="002D3263" w:rsidR="00305D57">
        <w:t>non-residential</w:t>
      </w:r>
      <w:r w:rsidRPr="002D3263" w:rsidR="00D1728A">
        <w:t xml:space="preserve"> displaced person</w:t>
      </w:r>
      <w:r w:rsidRPr="002D3263">
        <w:t>.</w:t>
      </w:r>
      <w:r w:rsidRPr="002D3263" w:rsidR="00AC30F3">
        <w:t xml:space="preserve"> </w:t>
      </w:r>
      <w:r w:rsidR="000923B7">
        <w:t xml:space="preserve"> </w:t>
      </w:r>
      <w:r w:rsidRPr="002D3263" w:rsidR="006736BD">
        <w:t>The</w:t>
      </w:r>
      <w:r w:rsidRPr="002D3263">
        <w:t xml:space="preserve"> new provision at </w:t>
      </w:r>
      <w:r w:rsidRPr="002D3263" w:rsidR="00EA53B8">
        <w:t>Section</w:t>
      </w:r>
      <w:r w:rsidRPr="002D3263" w:rsidR="00BE7551">
        <w:t xml:space="preserve"> </w:t>
      </w:r>
      <w:r w:rsidRPr="002D3263">
        <w:t>24.301(g</w:t>
      </w:r>
      <w:r w:rsidRPr="002D3263" w:rsidR="00BE7551">
        <w:t>)(</w:t>
      </w:r>
      <w:r w:rsidRPr="002D3263" w:rsidR="00D1728A">
        <w:t>1</w:t>
      </w:r>
      <w:r w:rsidRPr="002D3263" w:rsidR="00146C54">
        <w:t>8</w:t>
      </w:r>
      <w:r w:rsidRPr="002D3263" w:rsidR="00BE7551">
        <w:t>)(</w:t>
      </w:r>
      <w:r w:rsidRPr="002D3263" w:rsidR="00146C54">
        <w:t>ii</w:t>
      </w:r>
      <w:r w:rsidRPr="002D3263">
        <w:t xml:space="preserve">) </w:t>
      </w:r>
      <w:r w:rsidRPr="002D3263" w:rsidR="006736BD">
        <w:t xml:space="preserve">will </w:t>
      </w:r>
      <w:r w:rsidRPr="002D3263">
        <w:t xml:space="preserve">provide </w:t>
      </w:r>
      <w:r w:rsidRPr="002D3263" w:rsidR="00111308">
        <w:t>Federal</w:t>
      </w:r>
      <w:r w:rsidRPr="002D3263">
        <w:t xml:space="preserve"> </w:t>
      </w:r>
      <w:r w:rsidRPr="002D3263" w:rsidR="006736BD">
        <w:t xml:space="preserve">and State </w:t>
      </w:r>
      <w:r w:rsidRPr="002D3263">
        <w:t>agencies with the option to make a onetime alternative payment of up to $1,000 with little or no documentation</w:t>
      </w:r>
      <w:r w:rsidRPr="002D3263" w:rsidR="00A31A4A">
        <w:t xml:space="preserve"> </w:t>
      </w:r>
      <w:r w:rsidRPr="002D3263" w:rsidR="006736BD">
        <w:t>for search expenses incurred while securing a replacement location</w:t>
      </w:r>
      <w:r w:rsidRPr="002D3263">
        <w:t xml:space="preserve">. </w:t>
      </w:r>
      <w:r w:rsidR="000923B7">
        <w:t xml:space="preserve"> </w:t>
      </w:r>
      <w:r w:rsidRPr="002D3263" w:rsidR="008516C9">
        <w:t>The FHWA</w:t>
      </w:r>
      <w:r w:rsidRPr="002D3263">
        <w:t xml:space="preserve"> </w:t>
      </w:r>
      <w:r w:rsidRPr="002D3263">
        <w:rPr>
          <w:color w:val="000000" w:themeColor="text1"/>
        </w:rPr>
        <w:t xml:space="preserve">believes </w:t>
      </w:r>
      <w:r w:rsidRPr="002D3263" w:rsidR="00974CDE">
        <w:rPr>
          <w:color w:val="000000" w:themeColor="text1"/>
        </w:rPr>
        <w:t xml:space="preserve">there would be </w:t>
      </w:r>
      <w:r w:rsidRPr="002D3263">
        <w:rPr>
          <w:color w:val="000000" w:themeColor="text1"/>
        </w:rPr>
        <w:t xml:space="preserve">savings in </w:t>
      </w:r>
      <w:r w:rsidRPr="002D3263" w:rsidR="00E72757">
        <w:rPr>
          <w:color w:val="000000" w:themeColor="text1"/>
        </w:rPr>
        <w:t xml:space="preserve">a displacing </w:t>
      </w:r>
      <w:r w:rsidR="007D41B2">
        <w:rPr>
          <w:color w:val="000000" w:themeColor="text1"/>
        </w:rPr>
        <w:t>A</w:t>
      </w:r>
      <w:r w:rsidRPr="002D3263" w:rsidR="00E72757">
        <w:rPr>
          <w:color w:val="000000" w:themeColor="text1"/>
        </w:rPr>
        <w:t>genc</w:t>
      </w:r>
      <w:r w:rsidRPr="002D3263" w:rsidR="00234335">
        <w:rPr>
          <w:color w:val="000000" w:themeColor="text1"/>
        </w:rPr>
        <w:t>y</w:t>
      </w:r>
      <w:r w:rsidRPr="002D3263" w:rsidR="006736BD">
        <w:rPr>
          <w:color w:val="000000" w:themeColor="text1"/>
        </w:rPr>
        <w:t>’</w:t>
      </w:r>
      <w:r w:rsidRPr="002D3263" w:rsidR="00E72757">
        <w:rPr>
          <w:color w:val="000000" w:themeColor="text1"/>
        </w:rPr>
        <w:t xml:space="preserve">s </w:t>
      </w:r>
      <w:r w:rsidRPr="002D3263">
        <w:rPr>
          <w:color w:val="000000" w:themeColor="text1"/>
        </w:rPr>
        <w:t xml:space="preserve">administrative costs associated with reviewing expenses that </w:t>
      </w:r>
      <w:r w:rsidRPr="002D3263" w:rsidR="00305D57">
        <w:t>non-residential</w:t>
      </w:r>
      <w:r w:rsidRPr="002D3263" w:rsidR="00DF260E">
        <w:t xml:space="preserve"> displaced persons</w:t>
      </w:r>
      <w:r w:rsidRPr="002D3263">
        <w:rPr>
          <w:color w:val="000000" w:themeColor="text1"/>
        </w:rPr>
        <w:t xml:space="preserve"> submit</w:t>
      </w:r>
      <w:r w:rsidRPr="002D3263" w:rsidR="00D75E4D">
        <w:rPr>
          <w:color w:val="000000" w:themeColor="text1"/>
        </w:rPr>
        <w:t>,</w:t>
      </w:r>
      <w:r w:rsidRPr="002D3263" w:rsidR="00C331B9">
        <w:rPr>
          <w:color w:val="000000" w:themeColor="text1"/>
        </w:rPr>
        <w:t xml:space="preserve"> and cost savings to the displaced persons who </w:t>
      </w:r>
      <w:r w:rsidRPr="002D3263" w:rsidR="006736BD">
        <w:rPr>
          <w:color w:val="000000" w:themeColor="text1"/>
        </w:rPr>
        <w:t xml:space="preserve">will </w:t>
      </w:r>
      <w:r w:rsidRPr="002D3263" w:rsidR="00C331B9">
        <w:rPr>
          <w:color w:val="000000" w:themeColor="text1"/>
        </w:rPr>
        <w:t xml:space="preserve">not need to maintain records and provide </w:t>
      </w:r>
      <w:r w:rsidRPr="002D3263" w:rsidR="006736BD">
        <w:rPr>
          <w:color w:val="000000" w:themeColor="text1"/>
        </w:rPr>
        <w:t xml:space="preserve">receipts and records of the expenses incurred. </w:t>
      </w:r>
      <w:r w:rsidR="000923B7">
        <w:rPr>
          <w:color w:val="000000" w:themeColor="text1"/>
        </w:rPr>
        <w:t xml:space="preserve"> </w:t>
      </w:r>
      <w:r w:rsidRPr="002D3263" w:rsidR="006736BD">
        <w:rPr>
          <w:color w:val="000000" w:themeColor="text1"/>
        </w:rPr>
        <w:t>T</w:t>
      </w:r>
      <w:r w:rsidRPr="002D3263" w:rsidR="00C331B9">
        <w:rPr>
          <w:color w:val="000000" w:themeColor="text1"/>
        </w:rPr>
        <w:t>his cost savings cannot be quantified with available</w:t>
      </w:r>
      <w:r w:rsidRPr="002D3263" w:rsidR="00330EC1">
        <w:rPr>
          <w:color w:val="000000" w:themeColor="text1"/>
        </w:rPr>
        <w:t xml:space="preserve"> </w:t>
      </w:r>
      <w:r w:rsidRPr="002D3263" w:rsidR="00C331B9">
        <w:rPr>
          <w:color w:val="000000" w:themeColor="text1"/>
        </w:rPr>
        <w:t>information</w:t>
      </w:r>
      <w:r w:rsidRPr="002D3263" w:rsidR="00974CDE">
        <w:rPr>
          <w:color w:val="000000" w:themeColor="text1"/>
        </w:rPr>
        <w:t>.</w:t>
      </w:r>
      <w:r w:rsidRPr="002D3263">
        <w:rPr>
          <w:color w:val="000000" w:themeColor="text1"/>
        </w:rPr>
        <w:t xml:space="preserve"> </w:t>
      </w:r>
    </w:p>
    <w:p w:rsidR="00272C2C" w:rsidRPr="002D3263" w:rsidP="00E85518" w14:paraId="65B42984" w14:textId="7B13C643">
      <w:pPr>
        <w:widowControl/>
        <w:spacing w:after="240"/>
        <w:rPr>
          <w:color w:val="000000" w:themeColor="text1"/>
        </w:rPr>
      </w:pPr>
      <w:r w:rsidRPr="002D3263">
        <w:rPr>
          <w:color w:val="000000" w:themeColor="text1"/>
        </w:rPr>
        <w:t>In response to comments to the NPRM, the</w:t>
      </w:r>
      <w:r w:rsidRPr="002D3263" w:rsidR="00A71637">
        <w:rPr>
          <w:color w:val="000000" w:themeColor="text1"/>
        </w:rPr>
        <w:t xml:space="preserve"> final rule revises </w:t>
      </w:r>
      <w:r w:rsidRPr="002D3263">
        <w:rPr>
          <w:iCs/>
        </w:rPr>
        <w:t>Section 24.101</w:t>
      </w:r>
      <w:r w:rsidRPr="002D3263">
        <w:rPr>
          <w:b/>
          <w:i/>
        </w:rPr>
        <w:t xml:space="preserve"> </w:t>
      </w:r>
      <w:r w:rsidRPr="002D3263">
        <w:rPr>
          <w:i/>
        </w:rPr>
        <w:t>Voluntary Acquisitions</w:t>
      </w:r>
      <w:r w:rsidRPr="002D3263" w:rsidR="00A71637">
        <w:rPr>
          <w:i/>
        </w:rPr>
        <w:t xml:space="preserve">. </w:t>
      </w:r>
      <w:r w:rsidR="000923B7">
        <w:rPr>
          <w:i/>
        </w:rPr>
        <w:t xml:space="preserve"> </w:t>
      </w:r>
      <w:r w:rsidRPr="002D3263" w:rsidR="00A71637">
        <w:t>In that section (</w:t>
      </w:r>
      <w:r w:rsidRPr="002D3263">
        <w:t>b)(2) and (b)(3)</w:t>
      </w:r>
      <w:r w:rsidRPr="002D3263" w:rsidR="00A71637">
        <w:t xml:space="preserve"> were removed and</w:t>
      </w:r>
      <w:r w:rsidRPr="002D3263">
        <w:t xml:space="preserve"> (b)(1) </w:t>
      </w:r>
      <w:r w:rsidRPr="002D3263" w:rsidR="00A71637">
        <w:t xml:space="preserve">was reorganized </w:t>
      </w:r>
      <w:r w:rsidRPr="002D3263">
        <w:t>to clarify the requirements and qualifications for determining when a voluntary acquisition may be advanced for all Federal and federally assisted programs and projects desiring to use voluntary acquisition</w:t>
      </w:r>
    </w:p>
    <w:p w:rsidR="002917B8" w:rsidRPr="002D3263" w:rsidP="00EF4CBB" w14:paraId="51EBD852" w14:textId="77777777">
      <w:pPr>
        <w:pStyle w:val="Heading3"/>
        <w:widowControl/>
        <w:rPr>
          <w:color w:val="000000" w:themeColor="text1"/>
        </w:rPr>
      </w:pPr>
      <w:bookmarkStart w:id="163" w:name="_Toc127438070"/>
      <w:r w:rsidRPr="002D3263">
        <w:rPr>
          <w:color w:val="000000" w:themeColor="text1"/>
        </w:rPr>
        <w:t>Be</w:t>
      </w:r>
      <w:r w:rsidRPr="002D3263">
        <w:rPr>
          <w:color w:val="000000" w:themeColor="text1"/>
        </w:rPr>
        <w:t>nefits</w:t>
      </w:r>
      <w:bookmarkEnd w:id="163"/>
    </w:p>
    <w:p w:rsidR="008D59D1" w:rsidRPr="002D3263" w:rsidP="00E85518" w14:paraId="5FD6A631" w14:textId="63FB767B">
      <w:pPr>
        <w:widowControl/>
        <w:spacing w:after="240"/>
        <w:rPr>
          <w:color w:val="000000" w:themeColor="text1"/>
        </w:rPr>
      </w:pPr>
      <w:r w:rsidRPr="002D3263">
        <w:rPr>
          <w:color w:val="000000" w:themeColor="text1"/>
        </w:rPr>
        <w:t>The benefits of the clarifying and streamlining changes are reduced administrative burdens</w:t>
      </w:r>
      <w:r w:rsidRPr="002D3263" w:rsidR="00DF260E">
        <w:rPr>
          <w:color w:val="000000" w:themeColor="text1"/>
        </w:rPr>
        <w:t xml:space="preserve"> and expedited project delivery schedules</w:t>
      </w:r>
      <w:r w:rsidRPr="002D3263" w:rsidR="00E72757">
        <w:rPr>
          <w:color w:val="000000" w:themeColor="text1"/>
        </w:rPr>
        <w:t xml:space="preserve"> for </w:t>
      </w:r>
      <w:r w:rsidRPr="002D3263" w:rsidR="006736BD">
        <w:rPr>
          <w:color w:val="000000" w:themeColor="text1"/>
        </w:rPr>
        <w:t>acquiring</w:t>
      </w:r>
      <w:r w:rsidRPr="002D3263" w:rsidR="006736BD">
        <w:rPr>
          <w:color w:val="000000" w:themeColor="text1"/>
        </w:rPr>
        <w:t xml:space="preserve"> </w:t>
      </w:r>
      <w:r w:rsidR="0059129A">
        <w:rPr>
          <w:color w:val="000000" w:themeColor="text1"/>
        </w:rPr>
        <w:t>Agencies</w:t>
      </w:r>
      <w:r w:rsidRPr="002D3263">
        <w:rPr>
          <w:color w:val="000000" w:themeColor="text1"/>
        </w:rPr>
        <w:t xml:space="preserve">. </w:t>
      </w:r>
      <w:r w:rsidR="000923B7">
        <w:rPr>
          <w:color w:val="000000" w:themeColor="text1"/>
        </w:rPr>
        <w:t xml:space="preserve"> </w:t>
      </w:r>
      <w:r w:rsidRPr="002D3263">
        <w:rPr>
          <w:color w:val="000000" w:themeColor="text1"/>
        </w:rPr>
        <w:t xml:space="preserve">Agencies subject to the Uniform Act will be able to </w:t>
      </w:r>
      <w:r w:rsidRPr="002D3263">
        <w:rPr>
          <w:color w:val="000000" w:themeColor="text1"/>
        </w:rPr>
        <w:t>more easily implement the regulations</w:t>
      </w:r>
      <w:r w:rsidRPr="002D3263">
        <w:rPr>
          <w:color w:val="000000" w:themeColor="text1"/>
        </w:rPr>
        <w:t xml:space="preserve">. </w:t>
      </w:r>
      <w:r w:rsidR="000923B7">
        <w:rPr>
          <w:color w:val="000000" w:themeColor="text1"/>
        </w:rPr>
        <w:t xml:space="preserve"> </w:t>
      </w:r>
      <w:r w:rsidRPr="002D3263">
        <w:rPr>
          <w:color w:val="000000" w:themeColor="text1"/>
        </w:rPr>
        <w:t xml:space="preserve">It is expected that the likelihood of miscalculating a benefit amount will be reduced due to the new calculation examples. There will also be reduced </w:t>
      </w:r>
      <w:r w:rsidRPr="002D3263" w:rsidR="006736BD">
        <w:rPr>
          <w:color w:val="000000" w:themeColor="text1"/>
        </w:rPr>
        <w:t xml:space="preserve">acquiring </w:t>
      </w:r>
      <w:r w:rsidR="007D41B2">
        <w:rPr>
          <w:color w:val="000000" w:themeColor="text1"/>
        </w:rPr>
        <w:t>A</w:t>
      </w:r>
      <w:r w:rsidRPr="002D3263" w:rsidR="00E72757">
        <w:rPr>
          <w:color w:val="000000" w:themeColor="text1"/>
        </w:rPr>
        <w:t xml:space="preserve">gency </w:t>
      </w:r>
      <w:r w:rsidRPr="002D3263">
        <w:rPr>
          <w:color w:val="000000" w:themeColor="text1"/>
        </w:rPr>
        <w:t xml:space="preserve">administrative costs associated with communicating with </w:t>
      </w:r>
      <w:r w:rsidRPr="002D3263" w:rsidR="00187622">
        <w:rPr>
          <w:color w:val="000000" w:themeColor="text1"/>
        </w:rPr>
        <w:t xml:space="preserve">landowners and displaced persons, </w:t>
      </w:r>
      <w:r w:rsidRPr="002D3263">
        <w:rPr>
          <w:color w:val="000000" w:themeColor="text1"/>
        </w:rPr>
        <w:t>and documenting expenses associated with</w:t>
      </w:r>
      <w:r w:rsidRPr="002D3263" w:rsidR="005B08E9">
        <w:rPr>
          <w:color w:val="000000" w:themeColor="text1"/>
        </w:rPr>
        <w:t xml:space="preserve"> </w:t>
      </w:r>
      <w:r w:rsidRPr="002D3263" w:rsidR="009C3282">
        <w:rPr>
          <w:color w:val="000000" w:themeColor="text1"/>
        </w:rPr>
        <w:t xml:space="preserve">acquisitions and </w:t>
      </w:r>
      <w:r w:rsidRPr="002D3263">
        <w:rPr>
          <w:color w:val="000000" w:themeColor="text1"/>
        </w:rPr>
        <w:t xml:space="preserve">relocations. </w:t>
      </w:r>
      <w:r w:rsidR="000923B7">
        <w:rPr>
          <w:color w:val="000000" w:themeColor="text1"/>
        </w:rPr>
        <w:t xml:space="preserve"> </w:t>
      </w:r>
      <w:r w:rsidRPr="002D3263">
        <w:rPr>
          <w:color w:val="000000" w:themeColor="text1"/>
        </w:rPr>
        <w:t xml:space="preserve">However, these benefits cannot be quantified, as there </w:t>
      </w:r>
      <w:r w:rsidRPr="002D3263" w:rsidR="00D1728A">
        <w:rPr>
          <w:color w:val="000000" w:themeColor="text1"/>
        </w:rPr>
        <w:t>is</w:t>
      </w:r>
      <w:r w:rsidRPr="002D3263">
        <w:rPr>
          <w:color w:val="000000" w:themeColor="text1"/>
        </w:rPr>
        <w:t xml:space="preserve"> no data suggesting how much time is currently allocated to </w:t>
      </w:r>
      <w:r w:rsidRPr="002D3263">
        <w:rPr>
          <w:color w:val="000000" w:themeColor="text1"/>
        </w:rPr>
        <w:t>all of</w:t>
      </w:r>
      <w:r w:rsidRPr="002D3263">
        <w:rPr>
          <w:color w:val="000000" w:themeColor="text1"/>
        </w:rPr>
        <w:t xml:space="preserve"> the various</w:t>
      </w:r>
      <w:r w:rsidRPr="002D3263" w:rsidR="00E72757">
        <w:rPr>
          <w:color w:val="000000" w:themeColor="text1"/>
        </w:rPr>
        <w:t xml:space="preserve"> </w:t>
      </w:r>
      <w:r w:rsidRPr="002D3263" w:rsidR="009C3282">
        <w:rPr>
          <w:color w:val="000000" w:themeColor="text1"/>
        </w:rPr>
        <w:t xml:space="preserve">acquiring </w:t>
      </w:r>
      <w:r w:rsidR="007D41B2">
        <w:rPr>
          <w:color w:val="000000" w:themeColor="text1"/>
        </w:rPr>
        <w:t>A</w:t>
      </w:r>
      <w:r w:rsidRPr="002D3263" w:rsidR="00E72757">
        <w:rPr>
          <w:color w:val="000000" w:themeColor="text1"/>
        </w:rPr>
        <w:t>gency</w:t>
      </w:r>
      <w:r w:rsidRPr="002D3263">
        <w:rPr>
          <w:color w:val="000000" w:themeColor="text1"/>
        </w:rPr>
        <w:t xml:space="preserve"> administrative tasks associated with implementing the regulation and/or successfully completing an acquisition and relocation. </w:t>
      </w:r>
    </w:p>
    <w:p w:rsidR="002917B8" w:rsidRPr="002D3263" w:rsidP="00EF4CBB" w14:paraId="48B28EED" w14:textId="77777777">
      <w:pPr>
        <w:pStyle w:val="Heading3"/>
        <w:widowControl/>
        <w:rPr>
          <w:color w:val="000000" w:themeColor="text1"/>
        </w:rPr>
      </w:pPr>
      <w:bookmarkStart w:id="164" w:name="_Toc127438071"/>
      <w:r w:rsidRPr="002D3263">
        <w:rPr>
          <w:color w:val="000000" w:themeColor="text1"/>
        </w:rPr>
        <w:t>Costs</w:t>
      </w:r>
      <w:bookmarkEnd w:id="164"/>
    </w:p>
    <w:p w:rsidR="00531787" w:rsidP="00E85518" w14:paraId="3A5DC32B" w14:textId="40FD40F9">
      <w:pPr>
        <w:widowControl/>
        <w:spacing w:after="240"/>
        <w:rPr>
          <w:color w:val="000000" w:themeColor="text1"/>
        </w:rPr>
      </w:pPr>
      <w:r w:rsidRPr="002D3263">
        <w:rPr>
          <w:color w:val="000000" w:themeColor="text1"/>
        </w:rPr>
        <w:t xml:space="preserve">The costs associated with the clarifications and streamlining changes are tied to the costs that Uniform Act </w:t>
      </w:r>
      <w:r w:rsidR="0059129A">
        <w:rPr>
          <w:color w:val="000000" w:themeColor="text1"/>
        </w:rPr>
        <w:t>Agencies</w:t>
      </w:r>
      <w:r w:rsidRPr="002D3263">
        <w:rPr>
          <w:color w:val="000000" w:themeColor="text1"/>
        </w:rPr>
        <w:t xml:space="preserve"> will incur when updating their policies and procedures manuals. (See Section </w:t>
      </w:r>
      <w:r w:rsidRPr="002D3263" w:rsidR="006158D6">
        <w:rPr>
          <w:color w:val="000000" w:themeColor="text1"/>
        </w:rPr>
        <w:fldChar w:fldCharType="begin"/>
      </w:r>
      <w:r w:rsidRPr="002D3263" w:rsidR="006158D6">
        <w:rPr>
          <w:color w:val="000000" w:themeColor="text1"/>
        </w:rPr>
        <w:instrText xml:space="preserve"> REF _Ref416267985 \r \h </w:instrText>
      </w:r>
      <w:r w:rsidR="002D3263">
        <w:rPr>
          <w:color w:val="000000" w:themeColor="text1"/>
        </w:rPr>
        <w:instrText xml:space="preserve"> \* MERGEFORMAT </w:instrText>
      </w:r>
      <w:r w:rsidRPr="002D3263" w:rsidR="006158D6">
        <w:rPr>
          <w:color w:val="000000" w:themeColor="text1"/>
        </w:rPr>
        <w:fldChar w:fldCharType="separate"/>
      </w:r>
      <w:r w:rsidR="00E762F5">
        <w:rPr>
          <w:color w:val="000000" w:themeColor="text1"/>
        </w:rPr>
        <w:t>4.8.2</w:t>
      </w:r>
      <w:r w:rsidRPr="002D3263" w:rsidR="006158D6">
        <w:rPr>
          <w:color w:val="000000" w:themeColor="text1"/>
        </w:rPr>
        <w:fldChar w:fldCharType="end"/>
      </w:r>
      <w:r w:rsidRPr="002D3263">
        <w:rPr>
          <w:color w:val="000000" w:themeColor="text1"/>
        </w:rPr>
        <w:t xml:space="preserve"> for a full accounting of these expected costs). </w:t>
      </w:r>
    </w:p>
    <w:p w:rsidR="006722A2" w:rsidRPr="002D3263" w:rsidP="00EF4CBB" w14:paraId="2C57EE59" w14:textId="77777777">
      <w:pPr>
        <w:widowControl/>
        <w:rPr>
          <w:color w:val="000000" w:themeColor="text1"/>
        </w:rPr>
      </w:pPr>
    </w:p>
    <w:p w:rsidR="005F7A07" w:rsidRPr="002D3263" w:rsidP="00C53C33" w14:paraId="3A151EDE" w14:textId="77777777">
      <w:pPr>
        <w:pStyle w:val="Heading2"/>
      </w:pPr>
      <w:bookmarkStart w:id="165" w:name="_Toc127438072"/>
      <w:bookmarkStart w:id="166" w:name="_Ref15908095"/>
      <w:bookmarkStart w:id="167" w:name="_Ref15908106"/>
      <w:r w:rsidRPr="002D3263">
        <w:t>Legal Status Verification</w:t>
      </w:r>
      <w:bookmarkEnd w:id="165"/>
    </w:p>
    <w:p w:rsidR="00332BD1" w:rsidRPr="002D3263" w:rsidP="00E85518" w14:paraId="574DF7C0" w14:textId="5109A55A">
      <w:pPr>
        <w:widowControl/>
        <w:spacing w:after="240"/>
      </w:pPr>
      <w:r w:rsidRPr="002D3263">
        <w:t>Under the current rule</w:t>
      </w:r>
      <w:r w:rsidRPr="002D3263" w:rsidR="00336B0E">
        <w:t xml:space="preserve"> when an </w:t>
      </w:r>
      <w:r w:rsidR="007D41B2">
        <w:t>A</w:t>
      </w:r>
      <w:r w:rsidRPr="002D3263" w:rsidR="00336B0E">
        <w:t xml:space="preserve">gency has reason to believe that the certification of a person who has </w:t>
      </w:r>
      <w:r w:rsidRPr="002D3263" w:rsidR="004E0B79">
        <w:t>self-</w:t>
      </w:r>
      <w:r w:rsidRPr="002D3263" w:rsidR="00336B0E">
        <w:t xml:space="preserve">certified that he or she is an alien lawfully present in the United States is invalid, the displacing Agency </w:t>
      </w:r>
      <w:r w:rsidRPr="002D3263" w:rsidR="00DD4F27">
        <w:t>is</w:t>
      </w:r>
      <w:r w:rsidRPr="002D3263" w:rsidR="00336B0E">
        <w:t xml:space="preserve"> required to </w:t>
      </w:r>
      <w:r w:rsidRPr="002D3263" w:rsidR="00553536">
        <w:t>obtain</w:t>
      </w:r>
      <w:r w:rsidRPr="002D3263" w:rsidR="00336B0E">
        <w:t xml:space="preserve"> verification of the alien's status from the local Bureau of Citizenship and Immigration Service Office. </w:t>
      </w:r>
      <w:r w:rsidR="000923B7">
        <w:t xml:space="preserve"> </w:t>
      </w:r>
      <w:r w:rsidRPr="002D3263">
        <w:t xml:space="preserve">US Customs and Border </w:t>
      </w:r>
      <w:r w:rsidRPr="002D3263" w:rsidR="004E0B79">
        <w:t xml:space="preserve">Protection </w:t>
      </w:r>
      <w:r w:rsidRPr="002D3263">
        <w:t xml:space="preserve">has changed the process for verification of legal status </w:t>
      </w:r>
      <w:r w:rsidRPr="002D3263" w:rsidR="00553536">
        <w:t xml:space="preserve">of aliens lawfully present </w:t>
      </w:r>
      <w:r w:rsidRPr="002D3263">
        <w:t xml:space="preserve">for benefit-providing </w:t>
      </w:r>
      <w:r w:rsidR="0059129A">
        <w:t>Agencies</w:t>
      </w:r>
      <w:r w:rsidRPr="002D3263">
        <w:t xml:space="preserve">. </w:t>
      </w:r>
      <w:r w:rsidR="000923B7">
        <w:t xml:space="preserve"> </w:t>
      </w:r>
      <w:r w:rsidRPr="002D3263">
        <w:t xml:space="preserve">The new process is called “SAVE” and can be performed using other electronic or paper-based means. </w:t>
      </w:r>
      <w:r w:rsidR="000923B7">
        <w:t xml:space="preserve"> </w:t>
      </w:r>
      <w:r w:rsidRPr="002D3263">
        <w:t>The</w:t>
      </w:r>
      <w:r w:rsidRPr="002D3263" w:rsidR="00A71637">
        <w:t xml:space="preserve"> final </w:t>
      </w:r>
      <w:r w:rsidRPr="002D3263">
        <w:t>rule revise</w:t>
      </w:r>
      <w:r w:rsidRPr="002D3263" w:rsidR="004E0B79">
        <w:t>s</w:t>
      </w:r>
      <w:r w:rsidRPr="002D3263">
        <w:t xml:space="preserve"> instructions for verification of legal status to </w:t>
      </w:r>
      <w:r w:rsidRPr="002D3263" w:rsidR="00553536">
        <w:t>require</w:t>
      </w:r>
      <w:r w:rsidRPr="002D3263">
        <w:t xml:space="preserve"> the </w:t>
      </w:r>
      <w:r w:rsidRPr="002D3263" w:rsidR="00553536">
        <w:t xml:space="preserve">use of the </w:t>
      </w:r>
      <w:r w:rsidRPr="002D3263">
        <w:t>SAVE process</w:t>
      </w:r>
      <w:r w:rsidRPr="002D3263" w:rsidR="00553536">
        <w:t xml:space="preserve"> when a</w:t>
      </w:r>
      <w:r w:rsidRPr="002D3263" w:rsidR="00055FFC">
        <w:t>n</w:t>
      </w:r>
      <w:r w:rsidRPr="002D3263" w:rsidR="00553536">
        <w:t xml:space="preserve"> </w:t>
      </w:r>
      <w:r w:rsidR="007D41B2">
        <w:t>A</w:t>
      </w:r>
      <w:r w:rsidRPr="002D3263" w:rsidR="00553536">
        <w:t>gency has reason to believe that the certification provided is invalid</w:t>
      </w:r>
      <w:r w:rsidRPr="002D3263">
        <w:t>.</w:t>
      </w:r>
    </w:p>
    <w:p w:rsidR="00E05ADE" w:rsidRPr="002D3263" w:rsidP="00EF4CBB" w14:paraId="65265711" w14:textId="77777777">
      <w:pPr>
        <w:pStyle w:val="Heading3"/>
        <w:widowControl/>
      </w:pPr>
      <w:bookmarkStart w:id="168" w:name="_Toc127438073"/>
      <w:r w:rsidRPr="002D3263">
        <w:t>Benefits</w:t>
      </w:r>
      <w:bookmarkEnd w:id="168"/>
    </w:p>
    <w:p w:rsidR="00DD4F27" w:rsidRPr="002D3263" w:rsidP="00E85518" w14:paraId="6A253F04" w14:textId="7A194908">
      <w:pPr>
        <w:widowControl/>
        <w:spacing w:after="240"/>
      </w:pPr>
      <w:r w:rsidRPr="002D3263">
        <w:t xml:space="preserve">The benefit of the change is to provide </w:t>
      </w:r>
      <w:r w:rsidR="0059129A">
        <w:t>Agencies</w:t>
      </w:r>
      <w:r w:rsidRPr="002D3263">
        <w:t xml:space="preserve"> with accurate information on how to verify legal status of individual</w:t>
      </w:r>
      <w:r w:rsidRPr="002D3263" w:rsidR="00280B72">
        <w:t>s</w:t>
      </w:r>
      <w:r w:rsidRPr="002D3263">
        <w:t xml:space="preserve"> who will receive assistance under the Uniform Act.</w:t>
      </w:r>
    </w:p>
    <w:p w:rsidR="00E05ADE" w:rsidRPr="002D3263" w:rsidP="00EF4CBB" w14:paraId="31EF7AA2" w14:textId="77777777">
      <w:pPr>
        <w:pStyle w:val="Heading3"/>
        <w:widowControl/>
      </w:pPr>
      <w:bookmarkStart w:id="169" w:name="_Toc127438074"/>
      <w:r w:rsidRPr="002D3263">
        <w:t>Transfers (Increased Program Expenditures)</w:t>
      </w:r>
      <w:bookmarkEnd w:id="169"/>
    </w:p>
    <w:p w:rsidR="00E05ADE" w:rsidP="00E85518" w14:paraId="01D049BC" w14:textId="07352268">
      <w:pPr>
        <w:widowControl/>
        <w:spacing w:after="240"/>
      </w:pPr>
      <w:r w:rsidRPr="002D3263">
        <w:t>Because the SAVE program already exists, there is expected to be only minimal cost</w:t>
      </w:r>
      <w:r w:rsidRPr="002D3263" w:rsidR="00743744">
        <w:t>s</w:t>
      </w:r>
      <w:r w:rsidRPr="002D3263">
        <w:t xml:space="preserve"> associated with running a few additional queries regarding legal status of individuals involved in Uniform Act activities. </w:t>
      </w:r>
      <w:r w:rsidR="000923B7">
        <w:t xml:space="preserve"> </w:t>
      </w:r>
      <w:r w:rsidRPr="002D3263">
        <w:t xml:space="preserve">However, SAVE charges a fee based on the number and type of transactions, presumably to defray the </w:t>
      </w:r>
      <w:r w:rsidRPr="002D3263">
        <w:t>fixed-costs</w:t>
      </w:r>
      <w:r w:rsidRPr="002D3263">
        <w:t xml:space="preserve"> of providing the service.</w:t>
      </w:r>
      <w:r w:rsidR="000923B7">
        <w:t xml:space="preserve"> </w:t>
      </w:r>
      <w:r w:rsidRPr="002D3263">
        <w:t xml:space="preserve"> If an </w:t>
      </w:r>
      <w:r w:rsidR="007D41B2">
        <w:t>A</w:t>
      </w:r>
      <w:r w:rsidRPr="002D3263">
        <w:t xml:space="preserve">gency’s account does not make any transactions in a given </w:t>
      </w:r>
      <w:r w:rsidRPr="002D3263">
        <w:t>month</w:t>
      </w:r>
      <w:r w:rsidRPr="002D3263">
        <w:t xml:space="preserve"> then SAVE does not charge that account. </w:t>
      </w:r>
      <w:r w:rsidR="000923B7">
        <w:t xml:space="preserve"> </w:t>
      </w:r>
      <w:r w:rsidRPr="002D3263">
        <w:t xml:space="preserve">However, if an </w:t>
      </w:r>
      <w:r w:rsidR="007D41B2">
        <w:t>A</w:t>
      </w:r>
      <w:r w:rsidRPr="002D3263">
        <w:t xml:space="preserve">gency’s account makes any transaction </w:t>
      </w:r>
      <w:r w:rsidRPr="002D3263">
        <w:t>in a given</w:t>
      </w:r>
      <w:r w:rsidRPr="002D3263">
        <w:t xml:space="preserve"> month, SAVE automatically charges a minimum monthly service transaction fee of $25 in addition to $0.50 per verification. </w:t>
      </w:r>
      <w:r w:rsidR="000923B7">
        <w:t xml:space="preserve"> </w:t>
      </w:r>
      <w:r w:rsidR="0096105D">
        <w:t xml:space="preserve">The </w:t>
      </w:r>
      <w:r w:rsidRPr="002D3263">
        <w:t>FHWA has no information on which to estimate the total expected payments related to SAVE fees.</w:t>
      </w:r>
    </w:p>
    <w:p w:rsidR="0085783A" w:rsidRPr="002D3263" w:rsidP="00EF4CBB" w14:paraId="0B9B2002" w14:textId="77777777">
      <w:pPr>
        <w:widowControl/>
      </w:pPr>
    </w:p>
    <w:p w:rsidR="002917B8" w:rsidRPr="002D3263" w:rsidP="00C53C33" w14:paraId="2EA97568" w14:textId="7145CFD2">
      <w:pPr>
        <w:pStyle w:val="Heading2"/>
      </w:pPr>
      <w:bookmarkStart w:id="170" w:name="_Toc127438075"/>
      <w:r w:rsidRPr="002D3263">
        <w:t>Revising Program Materials</w:t>
      </w:r>
      <w:bookmarkEnd w:id="166"/>
      <w:bookmarkEnd w:id="167"/>
      <w:bookmarkEnd w:id="170"/>
    </w:p>
    <w:p w:rsidR="00274E69" w:rsidRPr="002D3263" w:rsidP="00E85518" w14:paraId="3609F4E5" w14:textId="1C75AD13">
      <w:pPr>
        <w:widowControl/>
        <w:spacing w:after="240"/>
      </w:pPr>
      <w:r w:rsidRPr="002D3263">
        <w:t xml:space="preserve">Due to changes in </w:t>
      </w:r>
      <w:r w:rsidRPr="002D3263" w:rsidR="00610397">
        <w:t xml:space="preserve">MAP-21 and </w:t>
      </w:r>
      <w:r w:rsidRPr="002D3263">
        <w:t xml:space="preserve">the </w:t>
      </w:r>
      <w:r w:rsidRPr="002D3263" w:rsidR="00A71637">
        <w:t>final</w:t>
      </w:r>
      <w:r w:rsidRPr="002D3263">
        <w:t xml:space="preserve"> rule, </w:t>
      </w:r>
      <w:r w:rsidRPr="002D3263" w:rsidR="008D59D1">
        <w:t>most</w:t>
      </w:r>
      <w:r w:rsidRPr="002D3263">
        <w:t xml:space="preserve"> </w:t>
      </w:r>
      <w:r w:rsidRPr="002D3263" w:rsidR="00BF3213">
        <w:t xml:space="preserve">Federal </w:t>
      </w:r>
      <w:r w:rsidR="0059129A">
        <w:t>Agencies</w:t>
      </w:r>
      <w:r w:rsidRPr="002D3263" w:rsidR="00BF3213">
        <w:t xml:space="preserve"> and recipients</w:t>
      </w:r>
      <w:r w:rsidRPr="002D3263">
        <w:t xml:space="preserve"> will </w:t>
      </w:r>
      <w:r w:rsidRPr="002D3263" w:rsidR="008D59D1">
        <w:t>likely need or elect</w:t>
      </w:r>
      <w:r w:rsidRPr="002D3263">
        <w:t xml:space="preserve"> to revise their program guidance materials</w:t>
      </w:r>
      <w:r w:rsidRPr="002D3263" w:rsidR="008D59D1">
        <w:t>,</w:t>
      </w:r>
      <w:r w:rsidRPr="002D3263">
        <w:t xml:space="preserve"> such as </w:t>
      </w:r>
      <w:r w:rsidRPr="002D3263" w:rsidR="008D59D1">
        <w:t xml:space="preserve">right-of-way </w:t>
      </w:r>
      <w:r w:rsidRPr="002D3263">
        <w:t>manuals</w:t>
      </w:r>
      <w:r w:rsidRPr="002D3263" w:rsidR="008D59D1">
        <w:t xml:space="preserve"> or Uniform Act training materials</w:t>
      </w:r>
      <w:r w:rsidRPr="002D3263">
        <w:t xml:space="preserve">. </w:t>
      </w:r>
    </w:p>
    <w:p w:rsidR="00274E69" w:rsidRPr="002D3263" w:rsidP="00EF4CBB" w14:paraId="3704C511" w14:textId="77777777">
      <w:pPr>
        <w:pStyle w:val="Heading3"/>
        <w:widowControl/>
      </w:pPr>
      <w:bookmarkStart w:id="171" w:name="_Toc127438076"/>
      <w:r w:rsidRPr="002D3263">
        <w:t>Benefits</w:t>
      </w:r>
      <w:bookmarkEnd w:id="171"/>
    </w:p>
    <w:p w:rsidR="00274E69" w:rsidRPr="002D3263" w:rsidP="00E85518" w14:paraId="4D08E8C7" w14:textId="0FBBFB97">
      <w:pPr>
        <w:widowControl/>
        <w:spacing w:after="240"/>
      </w:pPr>
      <w:r w:rsidRPr="002D3263">
        <w:t xml:space="preserve">The benefits of the revised materials will </w:t>
      </w:r>
      <w:r w:rsidRPr="002D3263" w:rsidR="001646F4">
        <w:t xml:space="preserve">be </w:t>
      </w:r>
      <w:r w:rsidRPr="002D3263">
        <w:t xml:space="preserve">the effective </w:t>
      </w:r>
      <w:r w:rsidRPr="002D3263" w:rsidR="008D59D1">
        <w:t>i</w:t>
      </w:r>
      <w:r w:rsidRPr="002D3263">
        <w:t>mplement</w:t>
      </w:r>
      <w:r w:rsidRPr="002D3263">
        <w:t>ation of</w:t>
      </w:r>
      <w:r w:rsidRPr="002D3263">
        <w:t xml:space="preserve"> the </w:t>
      </w:r>
      <w:r w:rsidRPr="002D3263" w:rsidR="009A2048">
        <w:t>final</w:t>
      </w:r>
      <w:r w:rsidRPr="002D3263">
        <w:t xml:space="preserve"> rule.</w:t>
      </w:r>
    </w:p>
    <w:p w:rsidR="00274E69" w:rsidRPr="002D3263" w:rsidP="00EF4CBB" w14:paraId="69D6FEB2" w14:textId="77777777">
      <w:pPr>
        <w:pStyle w:val="Heading3"/>
        <w:widowControl/>
      </w:pPr>
      <w:bookmarkStart w:id="172" w:name="_Ref416267985"/>
      <w:bookmarkStart w:id="173" w:name="_Toc127438077"/>
      <w:r w:rsidRPr="002D3263">
        <w:t>Costs</w:t>
      </w:r>
      <w:bookmarkEnd w:id="172"/>
      <w:bookmarkEnd w:id="173"/>
    </w:p>
    <w:p w:rsidR="00274E69" w:rsidRPr="002D3263" w:rsidP="00E85518" w14:paraId="2DFDA827" w14:textId="18FD6CC0">
      <w:pPr>
        <w:widowControl/>
        <w:spacing w:after="240"/>
      </w:pPr>
      <w:r w:rsidRPr="002D3263">
        <w:t>The cost</w:t>
      </w:r>
      <w:r w:rsidRPr="002D3263" w:rsidR="003D05B4">
        <w:t xml:space="preserve"> of </w:t>
      </w:r>
      <w:r w:rsidRPr="002D3263">
        <w:t>revising program materials</w:t>
      </w:r>
      <w:r w:rsidRPr="002D3263" w:rsidR="00D1676C">
        <w:t xml:space="preserve"> is </w:t>
      </w:r>
      <w:r w:rsidRPr="002D3263" w:rsidR="003D05B4">
        <w:t>expected to be experienced by all</w:t>
      </w:r>
      <w:r w:rsidRPr="002D3263" w:rsidR="00BE7551">
        <w:t xml:space="preserve"> </w:t>
      </w:r>
      <w:r w:rsidRPr="002D3263" w:rsidR="004A046B">
        <w:t>1</w:t>
      </w:r>
      <w:r w:rsidRPr="002D3263" w:rsidR="009C0BD7">
        <w:t>9</w:t>
      </w:r>
      <w:r w:rsidRPr="002D3263" w:rsidR="003653FD">
        <w:t xml:space="preserve"> </w:t>
      </w:r>
      <w:r w:rsidRPr="002D3263" w:rsidR="00BF3213">
        <w:t>Federal</w:t>
      </w:r>
      <w:r w:rsidRPr="002D3263" w:rsidR="003D05B4">
        <w:t xml:space="preserve"> </w:t>
      </w:r>
      <w:r w:rsidR="0059129A">
        <w:t>Agencies</w:t>
      </w:r>
      <w:r w:rsidRPr="002D3263" w:rsidR="003D05B4">
        <w:t xml:space="preserve"> that have active Uniform Act </w:t>
      </w:r>
      <w:r w:rsidR="00C774F2">
        <w:t>P</w:t>
      </w:r>
      <w:r w:rsidRPr="002D3263" w:rsidR="003D05B4">
        <w:t>rograms.</w:t>
      </w:r>
      <w:r w:rsidR="000923B7">
        <w:t xml:space="preserve"> </w:t>
      </w:r>
      <w:r w:rsidRPr="002D3263" w:rsidR="003D05B4">
        <w:t xml:space="preserve"> </w:t>
      </w:r>
      <w:r w:rsidR="000923B7">
        <w:t xml:space="preserve">The </w:t>
      </w:r>
      <w:r w:rsidRPr="002D3263" w:rsidR="003D05B4">
        <w:t xml:space="preserve">FHWA expects that all 52 </w:t>
      </w:r>
      <w:r w:rsidRPr="002D3263" w:rsidR="00682BBD">
        <w:t>S</w:t>
      </w:r>
      <w:r w:rsidRPr="002D3263" w:rsidR="003D05B4">
        <w:t xml:space="preserve">tates and </w:t>
      </w:r>
      <w:r w:rsidR="003468B6">
        <w:t>T</w:t>
      </w:r>
      <w:r w:rsidRPr="002D3263" w:rsidR="003D05B4">
        <w:t>erritories</w:t>
      </w:r>
      <w:r w:rsidRPr="002D3263" w:rsidR="003653FD">
        <w:t xml:space="preserve">, as </w:t>
      </w:r>
      <w:r w:rsidRPr="002D3263" w:rsidR="00BF3213">
        <w:t>recipients</w:t>
      </w:r>
      <w:r w:rsidRPr="002D3263" w:rsidR="003653FD">
        <w:t>,</w:t>
      </w:r>
      <w:r w:rsidRPr="002D3263" w:rsidR="003D05B4">
        <w:t xml:space="preserve"> will need to update their program manuals. </w:t>
      </w:r>
      <w:r w:rsidR="000923B7">
        <w:t xml:space="preserve"> </w:t>
      </w:r>
      <w:r w:rsidRPr="002D3263" w:rsidR="0099693B">
        <w:t xml:space="preserve">The </w:t>
      </w:r>
      <w:r w:rsidRPr="002D3263" w:rsidR="003D05B4">
        <w:t xml:space="preserve">FAA and FTA stated that they each have roughly 50 </w:t>
      </w:r>
      <w:r w:rsidRPr="002D3263" w:rsidR="00BF3213">
        <w:t>recipients</w:t>
      </w:r>
      <w:r w:rsidRPr="002D3263" w:rsidR="003D05B4">
        <w:t xml:space="preserve"> that are large enough to have their own manuals. </w:t>
      </w:r>
      <w:r w:rsidR="000923B7">
        <w:t xml:space="preserve"> </w:t>
      </w:r>
      <w:r w:rsidRPr="002D3263" w:rsidR="003D05B4">
        <w:t xml:space="preserve">The remaining </w:t>
      </w:r>
      <w:r w:rsidRPr="002D3263" w:rsidR="00111308">
        <w:t>Federal</w:t>
      </w:r>
      <w:r w:rsidRPr="002D3263" w:rsidR="003D05B4">
        <w:t xml:space="preserve"> </w:t>
      </w:r>
      <w:r w:rsidR="0059129A">
        <w:t>Agencies</w:t>
      </w:r>
      <w:r w:rsidRPr="002D3263" w:rsidR="003D05B4">
        <w:t xml:space="preserve"> likely disseminate one package of information related to the Uniform Act</w:t>
      </w:r>
      <w:r w:rsidRPr="002D3263" w:rsidR="008D59D1">
        <w:t>,</w:t>
      </w:r>
      <w:r w:rsidRPr="002D3263" w:rsidR="003D05B4">
        <w:t xml:space="preserve"> and it is unlikely that the </w:t>
      </w:r>
      <w:r w:rsidRPr="002D3263" w:rsidR="00BF3213">
        <w:t>recipients</w:t>
      </w:r>
      <w:r w:rsidRPr="002D3263" w:rsidR="003D05B4">
        <w:t xml:space="preserve"> have their own materials. </w:t>
      </w:r>
      <w:r w:rsidR="000923B7">
        <w:t xml:space="preserve"> </w:t>
      </w:r>
      <w:r w:rsidRPr="002D3263" w:rsidR="003D05B4">
        <w:t xml:space="preserve">We estimate that roughly 225 labor hours per </w:t>
      </w:r>
      <w:r w:rsidR="007D41B2">
        <w:t>A</w:t>
      </w:r>
      <w:r w:rsidRPr="002D3263" w:rsidR="003D05B4">
        <w:t xml:space="preserve">gency will be required for the initial revision the program materials. </w:t>
      </w:r>
      <w:r w:rsidR="000923B7">
        <w:t xml:space="preserve"> </w:t>
      </w:r>
      <w:r w:rsidRPr="00BC5A99" w:rsidR="009976D0">
        <w:t xml:space="preserve">This analysis explores a scenario with adjustments to the maximum payments </w:t>
      </w:r>
      <w:r w:rsidR="004C4EEB">
        <w:t xml:space="preserve">roughly every </w:t>
      </w:r>
      <w:r w:rsidR="003468B6">
        <w:t>2-3</w:t>
      </w:r>
      <w:r w:rsidR="004C4EEB">
        <w:t xml:space="preserve"> years</w:t>
      </w:r>
      <w:r w:rsidRPr="00BC5A99" w:rsidR="009976D0">
        <w:t xml:space="preserve"> of the analysis period (</w:t>
      </w:r>
      <w:r w:rsidRPr="00E711E2" w:rsidR="009976D0">
        <w:t>2025, 2028 and 2031</w:t>
      </w:r>
      <w:r w:rsidRPr="00BC5A99" w:rsidR="009976D0">
        <w:t>).</w:t>
      </w:r>
      <w:r w:rsidR="000923B7">
        <w:t xml:space="preserve"> </w:t>
      </w:r>
      <w:r w:rsidRPr="002D3263" w:rsidR="009976D0">
        <w:t xml:space="preserve"> For each adjustment, </w:t>
      </w:r>
      <w:r w:rsidRPr="002D3263" w:rsidR="003D05B4">
        <w:t>the program materials will need to be updated</w:t>
      </w:r>
      <w:r w:rsidRPr="002D3263" w:rsidR="008D59D1">
        <w:t xml:space="preserve"> again</w:t>
      </w:r>
      <w:r w:rsidRPr="002D3263" w:rsidR="003D05B4">
        <w:t xml:space="preserve">. </w:t>
      </w:r>
      <w:r w:rsidR="000923B7">
        <w:t xml:space="preserve"> </w:t>
      </w:r>
      <w:r w:rsidRPr="002D3263" w:rsidR="003D05B4">
        <w:t xml:space="preserve">We estimate that the update will require 15 labor hours per </w:t>
      </w:r>
      <w:r w:rsidR="007D41B2">
        <w:t>A</w:t>
      </w:r>
      <w:r w:rsidRPr="002D3263" w:rsidR="003D05B4">
        <w:t>gency.</w:t>
      </w:r>
      <w:r w:rsidRPr="002D3263" w:rsidR="00C22AA8">
        <w:t xml:space="preserve"> </w:t>
      </w:r>
      <w:r w:rsidR="000923B7">
        <w:t xml:space="preserve"> </w:t>
      </w:r>
      <w:r w:rsidRPr="002D3263" w:rsidR="00C22AA8">
        <w:t>The average hourly salary for these type</w:t>
      </w:r>
      <w:r w:rsidRPr="002D3263" w:rsidR="009C3282">
        <w:t>s</w:t>
      </w:r>
      <w:r w:rsidRPr="002D3263" w:rsidR="00C22AA8">
        <w:t xml:space="preserve"> of</w:t>
      </w:r>
      <w:r w:rsidRPr="002D3263" w:rsidR="00CB72F4">
        <w:t xml:space="preserve"> State</w:t>
      </w:r>
      <w:r w:rsidRPr="002D3263" w:rsidR="00C22AA8">
        <w:t xml:space="preserve"> government workers is $</w:t>
      </w:r>
      <w:r w:rsidRPr="002D3263" w:rsidR="00584F4E">
        <w:t>37.94</w:t>
      </w:r>
      <w:r w:rsidRPr="002D3263" w:rsidR="00C22AA8">
        <w:t>.</w:t>
      </w:r>
      <w:r>
        <w:rPr>
          <w:rStyle w:val="FootnoteReference"/>
        </w:rPr>
        <w:footnoteReference w:id="33"/>
      </w:r>
      <w:r w:rsidRPr="002D3263" w:rsidR="00C22AA8">
        <w:t xml:space="preserve"> </w:t>
      </w:r>
      <w:r w:rsidR="000923B7">
        <w:t xml:space="preserve"> </w:t>
      </w:r>
      <w:r w:rsidRPr="002D3263" w:rsidR="00C22AA8">
        <w:t xml:space="preserve">By multiplying the hourly wage by </w:t>
      </w:r>
      <w:r w:rsidRPr="002D3263" w:rsidR="0006535C">
        <w:t>1.56</w:t>
      </w:r>
      <w:r w:rsidRPr="002D3263" w:rsidR="00C22AA8">
        <w:t xml:space="preserve"> to account for the cost of employer-provided benefits, hourly costs become $</w:t>
      </w:r>
      <w:r w:rsidRPr="002D3263" w:rsidR="00F67065">
        <w:t>59</w:t>
      </w:r>
      <w:r w:rsidRPr="002D3263" w:rsidR="00C22AA8">
        <w:t>.</w:t>
      </w:r>
      <w:r w:rsidRPr="002D3263" w:rsidR="003D05B4">
        <w:t xml:space="preserve"> </w:t>
      </w:r>
      <w:r w:rsidR="000923B7">
        <w:t xml:space="preserve"> </w:t>
      </w:r>
      <w:r w:rsidRPr="002D3263" w:rsidR="003D05B4">
        <w:t>The calculations</w:t>
      </w:r>
      <w:r w:rsidRPr="002D3263" w:rsidR="008979E9">
        <w:t xml:space="preserve"> associated with estimating the cost of revising program materials based on these assumptions</w:t>
      </w:r>
      <w:r w:rsidRPr="002D3263" w:rsidR="003D05B4">
        <w:t xml:space="preserve"> are shown in Table </w:t>
      </w:r>
      <w:r w:rsidRPr="002D3263" w:rsidR="00963C07">
        <w:t>A</w:t>
      </w:r>
      <w:r w:rsidRPr="002D3263" w:rsidR="007404C8">
        <w:t>10</w:t>
      </w:r>
      <w:r w:rsidRPr="002D3263" w:rsidR="003D05B4">
        <w:t xml:space="preserve"> of Appendix A</w:t>
      </w:r>
      <w:r w:rsidRPr="002D3263" w:rsidR="00BE7551">
        <w:t xml:space="preserve"> of this report</w:t>
      </w:r>
      <w:r w:rsidRPr="002D3263" w:rsidR="003D05B4">
        <w:t xml:space="preserve"> and are summarized in</w:t>
      </w:r>
      <w:r w:rsidRPr="002D3263" w:rsidR="0006535C">
        <w:t xml:space="preserve"> </w:t>
      </w:r>
      <w:r w:rsidRPr="002D3263" w:rsidR="00B26A79">
        <w:fldChar w:fldCharType="begin"/>
      </w:r>
      <w:r w:rsidRPr="002D3263" w:rsidR="00B26A79">
        <w:instrText xml:space="preserve"> REF _Ref67911274 \h </w:instrText>
      </w:r>
      <w:r w:rsidRPr="002D3263" w:rsidR="0078610F">
        <w:instrText xml:space="preserve"> \* MERGEFORMAT </w:instrText>
      </w:r>
      <w:r w:rsidRPr="002D3263" w:rsidR="00B26A79">
        <w:fldChar w:fldCharType="separate"/>
      </w:r>
      <w:r w:rsidRPr="002D3263" w:rsidR="00E762F5">
        <w:t xml:space="preserve">Table </w:t>
      </w:r>
      <w:r w:rsidR="00E762F5">
        <w:rPr>
          <w:noProof/>
        </w:rPr>
        <w:t>11</w:t>
      </w:r>
      <w:r w:rsidRPr="002D3263" w:rsidR="00B26A79">
        <w:fldChar w:fldCharType="end"/>
      </w:r>
      <w:r w:rsidRPr="002D3263" w:rsidR="00B26A79">
        <w:t xml:space="preserve"> </w:t>
      </w:r>
      <w:r w:rsidRPr="002D3263" w:rsidR="003D05B4">
        <w:t>below.</w:t>
      </w:r>
    </w:p>
    <w:p w:rsidR="0078610F" w:rsidRPr="002D3263" w:rsidP="00EF4CBB" w14:paraId="0D082449" w14:textId="77777777">
      <w:pPr>
        <w:widowControl/>
      </w:pPr>
    </w:p>
    <w:p w:rsidR="007E32A4" w:rsidRPr="002D3263" w:rsidP="00D6005F" w14:paraId="02A09E39" w14:textId="47AB4949">
      <w:pPr>
        <w:pStyle w:val="Caption"/>
      </w:pPr>
      <w:bookmarkStart w:id="174" w:name="_Ref67911274"/>
      <w:bookmarkStart w:id="175" w:name="_Ref415553819"/>
      <w:bookmarkStart w:id="176" w:name="_Toc127438097"/>
      <w:r w:rsidRPr="002D3263">
        <w:t xml:space="preserve">Table </w:t>
      </w:r>
      <w:r w:rsidR="00F903AF">
        <w:fldChar w:fldCharType="begin"/>
      </w:r>
      <w:r w:rsidR="00F903AF">
        <w:instrText xml:space="preserve"> SEQ Table \* ARABIC </w:instrText>
      </w:r>
      <w:r w:rsidR="00F903AF">
        <w:fldChar w:fldCharType="separate"/>
      </w:r>
      <w:r w:rsidR="00E762F5">
        <w:rPr>
          <w:noProof/>
        </w:rPr>
        <w:t>11</w:t>
      </w:r>
      <w:r w:rsidR="00F903AF">
        <w:rPr>
          <w:noProof/>
        </w:rPr>
        <w:fldChar w:fldCharType="end"/>
      </w:r>
      <w:bookmarkEnd w:id="174"/>
      <w:r w:rsidRPr="002D3263">
        <w:t>.</w:t>
      </w:r>
      <w:bookmarkEnd w:id="175"/>
      <w:r w:rsidRPr="002D3263">
        <w:t xml:space="preserve"> Costs to Update Program Materials</w:t>
      </w:r>
      <w:r w:rsidRPr="002D3263" w:rsidR="00066D0E">
        <w:t xml:space="preserve"> (All Agencies)</w:t>
      </w:r>
      <w:bookmarkEnd w:id="176"/>
    </w:p>
    <w:tbl>
      <w:tblPr>
        <w:tblW w:w="0" w:type="auto"/>
        <w:jc w:val="center"/>
        <w:tblLayout w:type="fixed"/>
        <w:tblLook w:val="04A0"/>
      </w:tblPr>
      <w:tblGrid>
        <w:gridCol w:w="1137"/>
        <w:gridCol w:w="2193"/>
        <w:gridCol w:w="1620"/>
        <w:gridCol w:w="2070"/>
      </w:tblGrid>
      <w:tr w14:paraId="14FF6C1D" w14:textId="77777777" w:rsidTr="00BC5A99">
        <w:tblPrEx>
          <w:tblW w:w="0" w:type="auto"/>
          <w:jc w:val="center"/>
          <w:tblLayout w:type="fixed"/>
          <w:tblLook w:val="04A0"/>
        </w:tblPrEx>
        <w:trPr>
          <w:trHeight w:val="300"/>
          <w:jc w:val="center"/>
        </w:trPr>
        <w:tc>
          <w:tcPr>
            <w:tcW w:w="1137" w:type="dxa"/>
            <w:tcBorders>
              <w:bottom w:val="single" w:sz="12" w:space="0" w:color="auto"/>
            </w:tcBorders>
            <w:shd w:val="clear" w:color="auto" w:fill="auto"/>
            <w:noWrap/>
            <w:vAlign w:val="center"/>
            <w:hideMark/>
          </w:tcPr>
          <w:p w:rsidR="008979E9" w:rsidRPr="002D3263" w:rsidP="0002327A" w14:paraId="66E2B590" w14:textId="77777777">
            <w:pPr>
              <w:keepNext/>
              <w:widowControl/>
              <w:spacing w:line="240" w:lineRule="auto"/>
              <w:jc w:val="center"/>
              <w:rPr>
                <w:rFonts w:ascii="Calibri" w:eastAsia="Times New Roman" w:hAnsi="Calibri" w:cs="Times New Roman"/>
                <w:b/>
                <w:color w:val="000000"/>
              </w:rPr>
            </w:pPr>
            <w:r w:rsidRPr="002D3263">
              <w:rPr>
                <w:rFonts w:ascii="Calibri" w:eastAsia="Times New Roman" w:hAnsi="Calibri" w:cs="Times New Roman"/>
                <w:b/>
                <w:color w:val="000000"/>
              </w:rPr>
              <w:t>Year</w:t>
            </w:r>
          </w:p>
        </w:tc>
        <w:tc>
          <w:tcPr>
            <w:tcW w:w="2193" w:type="dxa"/>
            <w:tcBorders>
              <w:bottom w:val="single" w:sz="12" w:space="0" w:color="auto"/>
            </w:tcBorders>
            <w:shd w:val="clear" w:color="auto" w:fill="auto"/>
            <w:noWrap/>
            <w:vAlign w:val="center"/>
            <w:hideMark/>
          </w:tcPr>
          <w:p w:rsidR="008979E9" w:rsidRPr="002D3263" w:rsidP="00EF4CBB" w14:paraId="225C52BF" w14:textId="0628856C">
            <w:pPr>
              <w:keepNext/>
              <w:widowControl/>
              <w:jc w:val="center"/>
              <w:rPr>
                <w:rFonts w:ascii="Calibri" w:hAnsi="Calibri"/>
                <w:b/>
                <w:color w:val="000000"/>
              </w:rPr>
            </w:pPr>
            <w:r w:rsidRPr="002D3263">
              <w:rPr>
                <w:rFonts w:ascii="Calibri" w:hAnsi="Calibri"/>
                <w:b/>
                <w:color w:val="000000"/>
              </w:rPr>
              <w:t>Program Material Update Costs</w:t>
            </w:r>
            <w:r w:rsidRPr="002D3263" w:rsidR="0078610F">
              <w:rPr>
                <w:rFonts w:ascii="Calibri" w:hAnsi="Calibri"/>
                <w:b/>
                <w:color w:val="000000"/>
              </w:rPr>
              <w:t xml:space="preserve"> (20</w:t>
            </w:r>
            <w:r w:rsidRPr="002D3263" w:rsidR="00B44A61">
              <w:rPr>
                <w:rFonts w:ascii="Calibri" w:hAnsi="Calibri"/>
                <w:b/>
                <w:color w:val="000000"/>
              </w:rPr>
              <w:t>21</w:t>
            </w:r>
            <w:r w:rsidRPr="002D3263" w:rsidR="0078610F">
              <w:rPr>
                <w:rFonts w:ascii="Calibri" w:hAnsi="Calibri"/>
                <w:b/>
                <w:color w:val="000000"/>
              </w:rPr>
              <w:t>$)</w:t>
            </w:r>
          </w:p>
        </w:tc>
        <w:tc>
          <w:tcPr>
            <w:tcW w:w="1620" w:type="dxa"/>
            <w:tcBorders>
              <w:bottom w:val="single" w:sz="12" w:space="0" w:color="auto"/>
            </w:tcBorders>
            <w:shd w:val="clear" w:color="auto" w:fill="auto"/>
            <w:noWrap/>
            <w:vAlign w:val="center"/>
            <w:hideMark/>
          </w:tcPr>
          <w:p w:rsidR="008979E9" w:rsidRPr="002D3263" w:rsidP="00634AAC" w14:paraId="4ADF366A" w14:textId="77777777">
            <w:pPr>
              <w:keepNext/>
              <w:widowControl/>
              <w:spacing w:line="240" w:lineRule="auto"/>
              <w:jc w:val="center"/>
              <w:rPr>
                <w:rFonts w:ascii="Calibri" w:eastAsia="Times New Roman" w:hAnsi="Calibri" w:cs="Times New Roman"/>
                <w:b/>
                <w:color w:val="000000"/>
              </w:rPr>
            </w:pPr>
            <w:r w:rsidRPr="002D3263">
              <w:rPr>
                <w:rFonts w:ascii="Calibri" w:eastAsia="Times New Roman" w:hAnsi="Calibri" w:cs="Times New Roman"/>
                <w:b/>
                <w:color w:val="000000"/>
              </w:rPr>
              <w:t>Discounted 7%</w:t>
            </w:r>
          </w:p>
        </w:tc>
        <w:tc>
          <w:tcPr>
            <w:tcW w:w="2070" w:type="dxa"/>
            <w:tcBorders>
              <w:bottom w:val="single" w:sz="12" w:space="0" w:color="auto"/>
            </w:tcBorders>
            <w:shd w:val="clear" w:color="auto" w:fill="auto"/>
            <w:noWrap/>
            <w:vAlign w:val="center"/>
            <w:hideMark/>
          </w:tcPr>
          <w:p w:rsidR="008979E9" w:rsidRPr="002D3263" w:rsidP="0002327A" w14:paraId="70374FDB" w14:textId="77777777">
            <w:pPr>
              <w:keepNext/>
              <w:widowControl/>
              <w:spacing w:line="240" w:lineRule="auto"/>
              <w:jc w:val="center"/>
              <w:rPr>
                <w:rFonts w:ascii="Calibri" w:eastAsia="Times New Roman" w:hAnsi="Calibri" w:cs="Times New Roman"/>
                <w:b/>
                <w:color w:val="000000"/>
              </w:rPr>
            </w:pPr>
            <w:r w:rsidRPr="002D3263">
              <w:rPr>
                <w:rFonts w:ascii="Calibri" w:eastAsia="Times New Roman" w:hAnsi="Calibri" w:cs="Times New Roman"/>
                <w:b/>
                <w:color w:val="000000"/>
              </w:rPr>
              <w:t>Discounted 3%</w:t>
            </w:r>
          </w:p>
        </w:tc>
      </w:tr>
      <w:tr w14:paraId="34C8C40D" w14:textId="77777777" w:rsidTr="00BC5A99">
        <w:tblPrEx>
          <w:tblW w:w="0" w:type="auto"/>
          <w:jc w:val="center"/>
          <w:tblLayout w:type="fixed"/>
          <w:tblLook w:val="04A0"/>
        </w:tblPrEx>
        <w:trPr>
          <w:trHeight w:val="87"/>
          <w:jc w:val="center"/>
        </w:trPr>
        <w:tc>
          <w:tcPr>
            <w:tcW w:w="1137" w:type="dxa"/>
            <w:tcBorders>
              <w:top w:val="single" w:sz="12" w:space="0" w:color="auto"/>
            </w:tcBorders>
            <w:shd w:val="clear" w:color="auto" w:fill="auto"/>
            <w:noWrap/>
            <w:vAlign w:val="bottom"/>
          </w:tcPr>
          <w:p w:rsidR="00B44A61" w:rsidRPr="002D3263" w:rsidP="00B44A61" w14:paraId="25E34936" w14:textId="460A9618">
            <w:pPr>
              <w:keepNext/>
              <w:widowControl/>
              <w:jc w:val="center"/>
              <w:rPr>
                <w:rFonts w:ascii="Calibri" w:hAnsi="Calibri"/>
                <w:color w:val="000000"/>
              </w:rPr>
            </w:pPr>
            <w:r w:rsidRPr="002D3263">
              <w:rPr>
                <w:rFonts w:ascii="Calibri" w:hAnsi="Calibri" w:cs="Calibri"/>
                <w:color w:val="000000"/>
              </w:rPr>
              <w:t>2023</w:t>
            </w:r>
          </w:p>
        </w:tc>
        <w:tc>
          <w:tcPr>
            <w:tcW w:w="2193" w:type="dxa"/>
            <w:tcBorders>
              <w:top w:val="single" w:sz="12" w:space="0" w:color="auto"/>
            </w:tcBorders>
            <w:shd w:val="clear" w:color="auto" w:fill="auto"/>
            <w:noWrap/>
            <w:vAlign w:val="bottom"/>
          </w:tcPr>
          <w:p w:rsidR="00B44A61" w:rsidRPr="002D3263" w:rsidP="00B44A61" w14:paraId="1B7C6AB2" w14:textId="2A30F915">
            <w:pPr>
              <w:widowControl/>
              <w:jc w:val="center"/>
              <w:rPr>
                <w:rFonts w:ascii="Calibri" w:hAnsi="Calibri"/>
                <w:color w:val="000000"/>
              </w:rPr>
            </w:pPr>
            <w:r w:rsidRPr="002D3263">
              <w:rPr>
                <w:rFonts w:ascii="Calibri" w:hAnsi="Calibri" w:cs="Calibri"/>
                <w:color w:val="000000"/>
              </w:rPr>
              <w:t>$2,216,925</w:t>
            </w:r>
          </w:p>
        </w:tc>
        <w:tc>
          <w:tcPr>
            <w:tcW w:w="1620" w:type="dxa"/>
            <w:tcBorders>
              <w:top w:val="single" w:sz="12" w:space="0" w:color="auto"/>
            </w:tcBorders>
            <w:shd w:val="clear" w:color="auto" w:fill="auto"/>
            <w:noWrap/>
            <w:vAlign w:val="bottom"/>
          </w:tcPr>
          <w:p w:rsidR="00B44A61" w:rsidRPr="002D3263" w:rsidP="00EF4CBB" w14:paraId="0F15EC7C" w14:textId="5D7E835F">
            <w:pPr>
              <w:widowControl/>
              <w:jc w:val="center"/>
              <w:rPr>
                <w:rFonts w:ascii="Calibri" w:hAnsi="Calibri"/>
                <w:color w:val="000000"/>
              </w:rPr>
            </w:pPr>
            <w:r w:rsidRPr="002D3263">
              <w:rPr>
                <w:rFonts w:ascii="Calibri" w:hAnsi="Calibri" w:cs="Calibri"/>
                <w:color w:val="000000"/>
              </w:rPr>
              <w:t>$1,936,348</w:t>
            </w:r>
          </w:p>
        </w:tc>
        <w:tc>
          <w:tcPr>
            <w:tcW w:w="2070" w:type="dxa"/>
            <w:tcBorders>
              <w:top w:val="single" w:sz="12" w:space="0" w:color="auto"/>
            </w:tcBorders>
            <w:shd w:val="clear" w:color="auto" w:fill="auto"/>
            <w:noWrap/>
            <w:vAlign w:val="bottom"/>
          </w:tcPr>
          <w:p w:rsidR="00B44A61" w:rsidRPr="002D3263" w:rsidP="00EF4CBB" w14:paraId="571DFEE7" w14:textId="0569658F">
            <w:pPr>
              <w:widowControl/>
              <w:jc w:val="center"/>
              <w:rPr>
                <w:rFonts w:ascii="Calibri" w:hAnsi="Calibri"/>
                <w:color w:val="000000"/>
              </w:rPr>
            </w:pPr>
            <w:r w:rsidRPr="002D3263">
              <w:rPr>
                <w:rFonts w:ascii="Calibri" w:hAnsi="Calibri" w:cs="Calibri"/>
                <w:color w:val="000000"/>
              </w:rPr>
              <w:t>$2,089,664</w:t>
            </w:r>
          </w:p>
        </w:tc>
      </w:tr>
      <w:tr w14:paraId="23F80DC0" w14:textId="77777777" w:rsidTr="00BC5A99">
        <w:tblPrEx>
          <w:tblW w:w="0" w:type="auto"/>
          <w:jc w:val="center"/>
          <w:tblLayout w:type="fixed"/>
          <w:tblLook w:val="04A0"/>
        </w:tblPrEx>
        <w:trPr>
          <w:trHeight w:val="80"/>
          <w:jc w:val="center"/>
        </w:trPr>
        <w:tc>
          <w:tcPr>
            <w:tcW w:w="1137" w:type="dxa"/>
            <w:shd w:val="clear" w:color="auto" w:fill="auto"/>
            <w:noWrap/>
            <w:vAlign w:val="bottom"/>
          </w:tcPr>
          <w:p w:rsidR="00B44A61" w:rsidRPr="002D3263" w:rsidP="00EF4CBB" w14:paraId="1516024A" w14:textId="1ABF07FE">
            <w:pPr>
              <w:keepNext/>
              <w:widowControl/>
              <w:jc w:val="center"/>
              <w:rPr>
                <w:rFonts w:ascii="Calibri" w:hAnsi="Calibri"/>
                <w:color w:val="000000"/>
              </w:rPr>
            </w:pPr>
            <w:r w:rsidRPr="002D3263">
              <w:rPr>
                <w:rFonts w:ascii="Calibri" w:hAnsi="Calibri" w:cs="Calibri"/>
                <w:color w:val="000000"/>
              </w:rPr>
              <w:t>2024</w:t>
            </w:r>
          </w:p>
        </w:tc>
        <w:tc>
          <w:tcPr>
            <w:tcW w:w="2193" w:type="dxa"/>
            <w:shd w:val="clear" w:color="auto" w:fill="auto"/>
            <w:noWrap/>
            <w:vAlign w:val="bottom"/>
          </w:tcPr>
          <w:p w:rsidR="00B44A61" w:rsidRPr="002D3263" w:rsidP="00EF4CBB" w14:paraId="08628303" w14:textId="74835132">
            <w:pPr>
              <w:widowControl/>
              <w:jc w:val="center"/>
              <w:rPr>
                <w:rFonts w:ascii="Calibri" w:hAnsi="Calibri"/>
                <w:color w:val="000000"/>
              </w:rPr>
            </w:pPr>
            <w:r w:rsidRPr="002D3263">
              <w:rPr>
                <w:rFonts w:ascii="Calibri" w:hAnsi="Calibri" w:cs="Calibri"/>
                <w:color w:val="000000"/>
              </w:rPr>
              <w:t>$0</w:t>
            </w:r>
          </w:p>
        </w:tc>
        <w:tc>
          <w:tcPr>
            <w:tcW w:w="1620" w:type="dxa"/>
            <w:shd w:val="clear" w:color="auto" w:fill="auto"/>
            <w:noWrap/>
            <w:vAlign w:val="bottom"/>
          </w:tcPr>
          <w:p w:rsidR="00B44A61" w:rsidRPr="002D3263" w:rsidP="00EF4CBB" w14:paraId="4648D16C" w14:textId="55683217">
            <w:pPr>
              <w:widowControl/>
              <w:jc w:val="center"/>
              <w:rPr>
                <w:rFonts w:ascii="Calibri" w:hAnsi="Calibri"/>
                <w:color w:val="000000"/>
              </w:rPr>
            </w:pPr>
            <w:r w:rsidRPr="002D3263">
              <w:rPr>
                <w:rFonts w:ascii="Calibri" w:hAnsi="Calibri" w:cs="Calibri"/>
                <w:color w:val="000000"/>
              </w:rPr>
              <w:t>$0</w:t>
            </w:r>
          </w:p>
        </w:tc>
        <w:tc>
          <w:tcPr>
            <w:tcW w:w="2070" w:type="dxa"/>
            <w:shd w:val="clear" w:color="auto" w:fill="auto"/>
            <w:noWrap/>
            <w:vAlign w:val="bottom"/>
          </w:tcPr>
          <w:p w:rsidR="00B44A61" w:rsidRPr="002D3263" w:rsidP="00EF4CBB" w14:paraId="7296F313" w14:textId="254BEA7A">
            <w:pPr>
              <w:widowControl/>
              <w:jc w:val="center"/>
              <w:rPr>
                <w:rFonts w:ascii="Calibri" w:hAnsi="Calibri"/>
                <w:color w:val="000000"/>
              </w:rPr>
            </w:pPr>
            <w:r w:rsidRPr="002D3263">
              <w:rPr>
                <w:rFonts w:ascii="Calibri" w:hAnsi="Calibri" w:cs="Calibri"/>
                <w:color w:val="000000"/>
              </w:rPr>
              <w:t>$0</w:t>
            </w:r>
          </w:p>
        </w:tc>
      </w:tr>
      <w:tr w14:paraId="2EEFFC72" w14:textId="77777777" w:rsidTr="00BC5A99">
        <w:tblPrEx>
          <w:tblW w:w="0" w:type="auto"/>
          <w:jc w:val="center"/>
          <w:tblLayout w:type="fixed"/>
          <w:tblLook w:val="04A0"/>
        </w:tblPrEx>
        <w:trPr>
          <w:trHeight w:val="80"/>
          <w:jc w:val="center"/>
        </w:trPr>
        <w:tc>
          <w:tcPr>
            <w:tcW w:w="1137" w:type="dxa"/>
            <w:shd w:val="clear" w:color="auto" w:fill="auto"/>
            <w:noWrap/>
            <w:vAlign w:val="bottom"/>
          </w:tcPr>
          <w:p w:rsidR="009976D0" w:rsidRPr="002D3263" w:rsidP="009976D0" w14:paraId="7E343D50" w14:textId="4A71225B">
            <w:pPr>
              <w:keepNext/>
              <w:widowControl/>
              <w:jc w:val="center"/>
              <w:rPr>
                <w:rFonts w:ascii="Calibri" w:hAnsi="Calibri"/>
                <w:color w:val="000000"/>
              </w:rPr>
            </w:pPr>
            <w:r w:rsidRPr="002D3263">
              <w:rPr>
                <w:rFonts w:ascii="Calibri" w:hAnsi="Calibri" w:cs="Calibri"/>
                <w:color w:val="000000"/>
              </w:rPr>
              <w:t>2025</w:t>
            </w:r>
          </w:p>
        </w:tc>
        <w:tc>
          <w:tcPr>
            <w:tcW w:w="2193" w:type="dxa"/>
            <w:shd w:val="clear" w:color="auto" w:fill="auto"/>
            <w:noWrap/>
            <w:vAlign w:val="bottom"/>
          </w:tcPr>
          <w:p w:rsidR="009976D0" w:rsidRPr="002D3263" w:rsidP="009976D0" w14:paraId="3521199A" w14:textId="3E09BC29">
            <w:pPr>
              <w:widowControl/>
              <w:jc w:val="center"/>
              <w:rPr>
                <w:rFonts w:ascii="Calibri" w:hAnsi="Calibri"/>
                <w:color w:val="000000"/>
              </w:rPr>
            </w:pPr>
            <w:r w:rsidRPr="002D3263">
              <w:rPr>
                <w:rFonts w:ascii="Calibri" w:hAnsi="Calibri" w:cs="Calibri"/>
                <w:color w:val="000000"/>
              </w:rPr>
              <w:t>$147,795</w:t>
            </w:r>
          </w:p>
        </w:tc>
        <w:tc>
          <w:tcPr>
            <w:tcW w:w="1620" w:type="dxa"/>
            <w:shd w:val="clear" w:color="auto" w:fill="auto"/>
            <w:noWrap/>
            <w:vAlign w:val="bottom"/>
          </w:tcPr>
          <w:p w:rsidR="009976D0" w:rsidRPr="002D3263" w:rsidP="009976D0" w14:paraId="51E00661" w14:textId="1684359B">
            <w:pPr>
              <w:widowControl/>
              <w:jc w:val="center"/>
              <w:rPr>
                <w:rFonts w:ascii="Calibri" w:hAnsi="Calibri"/>
                <w:color w:val="000000"/>
              </w:rPr>
            </w:pPr>
            <w:r w:rsidRPr="002D3263">
              <w:rPr>
                <w:rFonts w:ascii="Calibri" w:hAnsi="Calibri" w:cs="Calibri"/>
                <w:color w:val="000000"/>
              </w:rPr>
              <w:t>$112,752</w:t>
            </w:r>
          </w:p>
        </w:tc>
        <w:tc>
          <w:tcPr>
            <w:tcW w:w="2070" w:type="dxa"/>
            <w:shd w:val="clear" w:color="auto" w:fill="auto"/>
            <w:noWrap/>
            <w:vAlign w:val="bottom"/>
          </w:tcPr>
          <w:p w:rsidR="009976D0" w:rsidRPr="002D3263" w:rsidP="009976D0" w14:paraId="1A61A47D" w14:textId="69094470">
            <w:pPr>
              <w:widowControl/>
              <w:jc w:val="center"/>
              <w:rPr>
                <w:rFonts w:ascii="Calibri" w:hAnsi="Calibri"/>
                <w:color w:val="000000"/>
              </w:rPr>
            </w:pPr>
            <w:r w:rsidRPr="002D3263">
              <w:rPr>
                <w:rFonts w:ascii="Calibri" w:hAnsi="Calibri" w:cs="Calibri"/>
                <w:color w:val="000000"/>
              </w:rPr>
              <w:t>$131,314</w:t>
            </w:r>
          </w:p>
        </w:tc>
      </w:tr>
      <w:tr w14:paraId="5AA29AF1" w14:textId="77777777" w:rsidTr="00BC5A99">
        <w:tblPrEx>
          <w:tblW w:w="0" w:type="auto"/>
          <w:jc w:val="center"/>
          <w:tblLayout w:type="fixed"/>
          <w:tblLook w:val="04A0"/>
        </w:tblPrEx>
        <w:trPr>
          <w:trHeight w:val="80"/>
          <w:jc w:val="center"/>
        </w:trPr>
        <w:tc>
          <w:tcPr>
            <w:tcW w:w="1137" w:type="dxa"/>
            <w:shd w:val="clear" w:color="auto" w:fill="auto"/>
            <w:noWrap/>
            <w:vAlign w:val="bottom"/>
          </w:tcPr>
          <w:p w:rsidR="00B44A61" w:rsidRPr="002D3263" w:rsidP="00EF4CBB" w14:paraId="47B45B42" w14:textId="3A6318DF">
            <w:pPr>
              <w:keepNext/>
              <w:widowControl/>
              <w:jc w:val="center"/>
              <w:rPr>
                <w:rFonts w:ascii="Calibri" w:hAnsi="Calibri"/>
                <w:color w:val="000000"/>
              </w:rPr>
            </w:pPr>
            <w:r w:rsidRPr="002D3263">
              <w:rPr>
                <w:rFonts w:ascii="Calibri" w:hAnsi="Calibri" w:cs="Calibri"/>
                <w:color w:val="000000"/>
              </w:rPr>
              <w:t>2026</w:t>
            </w:r>
          </w:p>
        </w:tc>
        <w:tc>
          <w:tcPr>
            <w:tcW w:w="2193" w:type="dxa"/>
            <w:shd w:val="clear" w:color="auto" w:fill="auto"/>
            <w:noWrap/>
            <w:vAlign w:val="bottom"/>
          </w:tcPr>
          <w:p w:rsidR="00B44A61" w:rsidRPr="002D3263" w:rsidP="00EF4CBB" w14:paraId="6D1DD581" w14:textId="7AE9F3A2">
            <w:pPr>
              <w:widowControl/>
              <w:jc w:val="center"/>
              <w:rPr>
                <w:rFonts w:ascii="Calibri" w:hAnsi="Calibri"/>
                <w:color w:val="000000"/>
              </w:rPr>
            </w:pPr>
            <w:r w:rsidRPr="002D3263">
              <w:rPr>
                <w:rFonts w:ascii="Calibri" w:hAnsi="Calibri" w:cs="Calibri"/>
                <w:color w:val="000000"/>
              </w:rPr>
              <w:t>$0</w:t>
            </w:r>
          </w:p>
        </w:tc>
        <w:tc>
          <w:tcPr>
            <w:tcW w:w="1620" w:type="dxa"/>
            <w:shd w:val="clear" w:color="auto" w:fill="auto"/>
            <w:noWrap/>
            <w:vAlign w:val="bottom"/>
          </w:tcPr>
          <w:p w:rsidR="00B44A61" w:rsidRPr="002D3263" w:rsidP="00EF4CBB" w14:paraId="2C94B099" w14:textId="054662E1">
            <w:pPr>
              <w:widowControl/>
              <w:jc w:val="center"/>
              <w:rPr>
                <w:rFonts w:ascii="Calibri" w:hAnsi="Calibri"/>
                <w:color w:val="000000"/>
              </w:rPr>
            </w:pPr>
            <w:r w:rsidRPr="002D3263">
              <w:rPr>
                <w:rFonts w:ascii="Calibri" w:hAnsi="Calibri" w:cs="Calibri"/>
                <w:color w:val="000000"/>
              </w:rPr>
              <w:t>$0</w:t>
            </w:r>
          </w:p>
        </w:tc>
        <w:tc>
          <w:tcPr>
            <w:tcW w:w="2070" w:type="dxa"/>
            <w:shd w:val="clear" w:color="auto" w:fill="auto"/>
            <w:noWrap/>
            <w:vAlign w:val="bottom"/>
          </w:tcPr>
          <w:p w:rsidR="00B44A61" w:rsidRPr="002D3263" w:rsidP="00EF4CBB" w14:paraId="5F47A570" w14:textId="167F6B85">
            <w:pPr>
              <w:widowControl/>
              <w:jc w:val="center"/>
              <w:rPr>
                <w:rFonts w:ascii="Calibri" w:hAnsi="Calibri"/>
                <w:color w:val="000000"/>
              </w:rPr>
            </w:pPr>
            <w:r w:rsidRPr="002D3263">
              <w:rPr>
                <w:rFonts w:ascii="Calibri" w:hAnsi="Calibri" w:cs="Calibri"/>
                <w:color w:val="000000"/>
              </w:rPr>
              <w:t>$0</w:t>
            </w:r>
          </w:p>
        </w:tc>
      </w:tr>
      <w:tr w14:paraId="36838CB9" w14:textId="77777777" w:rsidTr="00BC5A99">
        <w:tblPrEx>
          <w:tblW w:w="0" w:type="auto"/>
          <w:jc w:val="center"/>
          <w:tblLayout w:type="fixed"/>
          <w:tblLook w:val="04A0"/>
        </w:tblPrEx>
        <w:trPr>
          <w:trHeight w:val="80"/>
          <w:jc w:val="center"/>
        </w:trPr>
        <w:tc>
          <w:tcPr>
            <w:tcW w:w="1137" w:type="dxa"/>
            <w:shd w:val="clear" w:color="auto" w:fill="auto"/>
            <w:noWrap/>
            <w:vAlign w:val="bottom"/>
          </w:tcPr>
          <w:p w:rsidR="00B44A61" w:rsidRPr="002D3263" w:rsidP="00EF4CBB" w14:paraId="2B1F06EA" w14:textId="41FBC478">
            <w:pPr>
              <w:keepNext/>
              <w:widowControl/>
              <w:jc w:val="center"/>
              <w:rPr>
                <w:rFonts w:ascii="Calibri" w:hAnsi="Calibri"/>
                <w:color w:val="000000"/>
              </w:rPr>
            </w:pPr>
            <w:r w:rsidRPr="002D3263">
              <w:rPr>
                <w:rFonts w:ascii="Calibri" w:hAnsi="Calibri" w:cs="Calibri"/>
                <w:color w:val="000000"/>
              </w:rPr>
              <w:t>2027</w:t>
            </w:r>
          </w:p>
        </w:tc>
        <w:tc>
          <w:tcPr>
            <w:tcW w:w="2193" w:type="dxa"/>
            <w:shd w:val="clear" w:color="auto" w:fill="auto"/>
            <w:noWrap/>
            <w:vAlign w:val="bottom"/>
          </w:tcPr>
          <w:p w:rsidR="00B44A61" w:rsidRPr="002D3263" w:rsidP="00EF4CBB" w14:paraId="6059000B" w14:textId="5F0CBC62">
            <w:pPr>
              <w:widowControl/>
              <w:jc w:val="center"/>
              <w:rPr>
                <w:rFonts w:ascii="Calibri" w:hAnsi="Calibri"/>
                <w:color w:val="000000"/>
              </w:rPr>
            </w:pPr>
            <w:r w:rsidRPr="002D3263">
              <w:rPr>
                <w:rFonts w:ascii="Calibri" w:hAnsi="Calibri" w:cs="Calibri"/>
                <w:color w:val="000000"/>
              </w:rPr>
              <w:t>$0</w:t>
            </w:r>
          </w:p>
        </w:tc>
        <w:tc>
          <w:tcPr>
            <w:tcW w:w="1620" w:type="dxa"/>
            <w:shd w:val="clear" w:color="auto" w:fill="auto"/>
            <w:noWrap/>
            <w:vAlign w:val="bottom"/>
          </w:tcPr>
          <w:p w:rsidR="00B44A61" w:rsidRPr="002D3263" w:rsidP="00EF4CBB" w14:paraId="5163994F" w14:textId="56FDD930">
            <w:pPr>
              <w:widowControl/>
              <w:jc w:val="center"/>
              <w:rPr>
                <w:rFonts w:ascii="Calibri" w:hAnsi="Calibri"/>
                <w:color w:val="000000"/>
              </w:rPr>
            </w:pPr>
            <w:r w:rsidRPr="002D3263">
              <w:rPr>
                <w:rFonts w:ascii="Calibri" w:hAnsi="Calibri" w:cs="Calibri"/>
                <w:color w:val="000000"/>
              </w:rPr>
              <w:t>$0</w:t>
            </w:r>
          </w:p>
        </w:tc>
        <w:tc>
          <w:tcPr>
            <w:tcW w:w="2070" w:type="dxa"/>
            <w:shd w:val="clear" w:color="auto" w:fill="auto"/>
            <w:noWrap/>
            <w:vAlign w:val="bottom"/>
          </w:tcPr>
          <w:p w:rsidR="00B44A61" w:rsidRPr="002D3263" w:rsidP="00EF4CBB" w14:paraId="74FD5A71" w14:textId="07F05C32">
            <w:pPr>
              <w:widowControl/>
              <w:jc w:val="center"/>
              <w:rPr>
                <w:rFonts w:ascii="Calibri" w:hAnsi="Calibri"/>
                <w:color w:val="000000"/>
              </w:rPr>
            </w:pPr>
            <w:r w:rsidRPr="002D3263">
              <w:rPr>
                <w:rFonts w:ascii="Calibri" w:hAnsi="Calibri" w:cs="Calibri"/>
                <w:color w:val="000000"/>
              </w:rPr>
              <w:t>$0</w:t>
            </w:r>
          </w:p>
        </w:tc>
      </w:tr>
      <w:tr w14:paraId="23FF3530" w14:textId="77777777" w:rsidTr="00BC5A99">
        <w:tblPrEx>
          <w:tblW w:w="0" w:type="auto"/>
          <w:jc w:val="center"/>
          <w:tblLayout w:type="fixed"/>
          <w:tblLook w:val="04A0"/>
        </w:tblPrEx>
        <w:trPr>
          <w:trHeight w:val="80"/>
          <w:jc w:val="center"/>
        </w:trPr>
        <w:tc>
          <w:tcPr>
            <w:tcW w:w="1137" w:type="dxa"/>
            <w:shd w:val="clear" w:color="auto" w:fill="auto"/>
            <w:noWrap/>
            <w:vAlign w:val="bottom"/>
          </w:tcPr>
          <w:p w:rsidR="00B44A61" w:rsidRPr="002D3263" w:rsidP="00EF4CBB" w14:paraId="6FBA6FCB" w14:textId="753E22C0">
            <w:pPr>
              <w:keepNext/>
              <w:widowControl/>
              <w:jc w:val="center"/>
              <w:rPr>
                <w:rFonts w:ascii="Calibri" w:hAnsi="Calibri"/>
                <w:color w:val="000000"/>
              </w:rPr>
            </w:pPr>
            <w:r w:rsidRPr="002D3263">
              <w:rPr>
                <w:rFonts w:ascii="Calibri" w:hAnsi="Calibri" w:cs="Calibri"/>
                <w:color w:val="000000"/>
              </w:rPr>
              <w:t>2028</w:t>
            </w:r>
          </w:p>
        </w:tc>
        <w:tc>
          <w:tcPr>
            <w:tcW w:w="2193" w:type="dxa"/>
            <w:shd w:val="clear" w:color="auto" w:fill="auto"/>
            <w:noWrap/>
            <w:vAlign w:val="bottom"/>
          </w:tcPr>
          <w:p w:rsidR="00B44A61" w:rsidRPr="002D3263" w:rsidP="00EF4CBB" w14:paraId="5E5FAFBD" w14:textId="41F2CA71">
            <w:pPr>
              <w:widowControl/>
              <w:jc w:val="center"/>
              <w:rPr>
                <w:rFonts w:ascii="Calibri" w:hAnsi="Calibri"/>
                <w:color w:val="000000"/>
              </w:rPr>
            </w:pPr>
            <w:r w:rsidRPr="002D3263">
              <w:rPr>
                <w:rFonts w:ascii="Calibri" w:hAnsi="Calibri" w:cs="Calibri"/>
                <w:color w:val="000000"/>
              </w:rPr>
              <w:t>$147,795</w:t>
            </w:r>
          </w:p>
        </w:tc>
        <w:tc>
          <w:tcPr>
            <w:tcW w:w="1620" w:type="dxa"/>
            <w:shd w:val="clear" w:color="auto" w:fill="auto"/>
            <w:noWrap/>
            <w:vAlign w:val="bottom"/>
          </w:tcPr>
          <w:p w:rsidR="00B44A61" w:rsidRPr="002D3263" w:rsidP="00EF4CBB" w14:paraId="17E5BC35" w14:textId="1FC9239A">
            <w:pPr>
              <w:widowControl/>
              <w:jc w:val="center"/>
              <w:rPr>
                <w:rFonts w:ascii="Calibri" w:hAnsi="Calibri"/>
                <w:color w:val="000000"/>
              </w:rPr>
            </w:pPr>
            <w:r w:rsidRPr="002D3263">
              <w:rPr>
                <w:rFonts w:ascii="Calibri" w:hAnsi="Calibri" w:cs="Calibri"/>
                <w:color w:val="000000"/>
              </w:rPr>
              <w:t>$92,039</w:t>
            </w:r>
          </w:p>
        </w:tc>
        <w:tc>
          <w:tcPr>
            <w:tcW w:w="2070" w:type="dxa"/>
            <w:shd w:val="clear" w:color="auto" w:fill="auto"/>
            <w:noWrap/>
            <w:vAlign w:val="bottom"/>
          </w:tcPr>
          <w:p w:rsidR="00B44A61" w:rsidRPr="002D3263" w:rsidP="00EF4CBB" w14:paraId="6371E8DC" w14:textId="5B1E5C3A">
            <w:pPr>
              <w:widowControl/>
              <w:jc w:val="center"/>
              <w:rPr>
                <w:rFonts w:ascii="Calibri" w:hAnsi="Calibri"/>
                <w:color w:val="000000"/>
              </w:rPr>
            </w:pPr>
            <w:r w:rsidRPr="002D3263">
              <w:rPr>
                <w:rFonts w:ascii="Calibri" w:hAnsi="Calibri" w:cs="Calibri"/>
                <w:color w:val="000000"/>
              </w:rPr>
              <w:t>$120,171</w:t>
            </w:r>
          </w:p>
        </w:tc>
      </w:tr>
      <w:tr w14:paraId="0F2FAA5E" w14:textId="77777777" w:rsidTr="00BC5A99">
        <w:tblPrEx>
          <w:tblW w:w="0" w:type="auto"/>
          <w:jc w:val="center"/>
          <w:tblLayout w:type="fixed"/>
          <w:tblLook w:val="04A0"/>
        </w:tblPrEx>
        <w:trPr>
          <w:trHeight w:val="80"/>
          <w:jc w:val="center"/>
        </w:trPr>
        <w:tc>
          <w:tcPr>
            <w:tcW w:w="1137" w:type="dxa"/>
            <w:shd w:val="clear" w:color="auto" w:fill="auto"/>
            <w:noWrap/>
            <w:vAlign w:val="bottom"/>
          </w:tcPr>
          <w:p w:rsidR="00B44A61" w:rsidRPr="002D3263" w:rsidP="00EF4CBB" w14:paraId="10A8302E" w14:textId="74B5C575">
            <w:pPr>
              <w:keepNext/>
              <w:widowControl/>
              <w:jc w:val="center"/>
              <w:rPr>
                <w:rFonts w:ascii="Calibri" w:hAnsi="Calibri"/>
                <w:color w:val="000000"/>
              </w:rPr>
            </w:pPr>
            <w:r w:rsidRPr="002D3263">
              <w:rPr>
                <w:rFonts w:ascii="Calibri" w:hAnsi="Calibri" w:cs="Calibri"/>
                <w:color w:val="000000"/>
              </w:rPr>
              <w:t>2029</w:t>
            </w:r>
          </w:p>
        </w:tc>
        <w:tc>
          <w:tcPr>
            <w:tcW w:w="2193" w:type="dxa"/>
            <w:shd w:val="clear" w:color="auto" w:fill="auto"/>
            <w:noWrap/>
            <w:vAlign w:val="bottom"/>
          </w:tcPr>
          <w:p w:rsidR="00B44A61" w:rsidRPr="002D3263" w:rsidP="00EF4CBB" w14:paraId="1F4D21F7" w14:textId="405A8DA0">
            <w:pPr>
              <w:widowControl/>
              <w:jc w:val="center"/>
              <w:rPr>
                <w:rFonts w:ascii="Calibri" w:hAnsi="Calibri"/>
                <w:color w:val="000000"/>
              </w:rPr>
            </w:pPr>
            <w:r w:rsidRPr="002D3263">
              <w:rPr>
                <w:rFonts w:ascii="Calibri" w:hAnsi="Calibri" w:cs="Calibri"/>
                <w:color w:val="000000"/>
              </w:rPr>
              <w:t>$0</w:t>
            </w:r>
          </w:p>
        </w:tc>
        <w:tc>
          <w:tcPr>
            <w:tcW w:w="1620" w:type="dxa"/>
            <w:shd w:val="clear" w:color="auto" w:fill="auto"/>
            <w:noWrap/>
            <w:vAlign w:val="bottom"/>
          </w:tcPr>
          <w:p w:rsidR="00B44A61" w:rsidRPr="002D3263" w:rsidP="00EF4CBB" w14:paraId="6D1CBE9E" w14:textId="03AE8A8D">
            <w:pPr>
              <w:widowControl/>
              <w:jc w:val="center"/>
              <w:rPr>
                <w:rFonts w:ascii="Calibri" w:hAnsi="Calibri"/>
                <w:color w:val="000000"/>
              </w:rPr>
            </w:pPr>
            <w:r w:rsidRPr="002D3263">
              <w:rPr>
                <w:rFonts w:ascii="Calibri" w:hAnsi="Calibri" w:cs="Calibri"/>
                <w:color w:val="000000"/>
              </w:rPr>
              <w:t>$0</w:t>
            </w:r>
          </w:p>
        </w:tc>
        <w:tc>
          <w:tcPr>
            <w:tcW w:w="2070" w:type="dxa"/>
            <w:shd w:val="clear" w:color="auto" w:fill="auto"/>
            <w:noWrap/>
            <w:vAlign w:val="bottom"/>
          </w:tcPr>
          <w:p w:rsidR="00B44A61" w:rsidRPr="002D3263" w:rsidP="00EF4CBB" w14:paraId="02C9B4F4" w14:textId="338AEF0B">
            <w:pPr>
              <w:widowControl/>
              <w:jc w:val="center"/>
              <w:rPr>
                <w:rFonts w:ascii="Calibri" w:hAnsi="Calibri"/>
                <w:color w:val="000000"/>
              </w:rPr>
            </w:pPr>
            <w:r w:rsidRPr="002D3263">
              <w:rPr>
                <w:rFonts w:ascii="Calibri" w:hAnsi="Calibri" w:cs="Calibri"/>
                <w:color w:val="000000"/>
              </w:rPr>
              <w:t>$0</w:t>
            </w:r>
          </w:p>
        </w:tc>
      </w:tr>
      <w:tr w14:paraId="3ED4A639" w14:textId="77777777" w:rsidTr="00BC5A99">
        <w:tblPrEx>
          <w:tblW w:w="0" w:type="auto"/>
          <w:jc w:val="center"/>
          <w:tblLayout w:type="fixed"/>
          <w:tblLook w:val="04A0"/>
        </w:tblPrEx>
        <w:trPr>
          <w:trHeight w:val="80"/>
          <w:jc w:val="center"/>
        </w:trPr>
        <w:tc>
          <w:tcPr>
            <w:tcW w:w="1137" w:type="dxa"/>
            <w:shd w:val="clear" w:color="auto" w:fill="auto"/>
            <w:noWrap/>
            <w:vAlign w:val="bottom"/>
          </w:tcPr>
          <w:p w:rsidR="00B44A61" w:rsidRPr="002D3263" w:rsidP="00EF4CBB" w14:paraId="32A794B2" w14:textId="4C8412EA">
            <w:pPr>
              <w:keepNext/>
              <w:widowControl/>
              <w:jc w:val="center"/>
              <w:rPr>
                <w:rFonts w:ascii="Calibri" w:hAnsi="Calibri"/>
                <w:color w:val="000000"/>
              </w:rPr>
            </w:pPr>
            <w:r w:rsidRPr="002D3263">
              <w:rPr>
                <w:rFonts w:ascii="Calibri" w:hAnsi="Calibri" w:cs="Calibri"/>
                <w:color w:val="000000"/>
              </w:rPr>
              <w:t>2030</w:t>
            </w:r>
          </w:p>
        </w:tc>
        <w:tc>
          <w:tcPr>
            <w:tcW w:w="2193" w:type="dxa"/>
            <w:shd w:val="clear" w:color="auto" w:fill="auto"/>
            <w:noWrap/>
            <w:vAlign w:val="bottom"/>
          </w:tcPr>
          <w:p w:rsidR="00B44A61" w:rsidRPr="002D3263" w:rsidP="00EF4CBB" w14:paraId="62003226" w14:textId="6FDF83EA">
            <w:pPr>
              <w:widowControl/>
              <w:jc w:val="center"/>
              <w:rPr>
                <w:rFonts w:ascii="Calibri" w:hAnsi="Calibri"/>
                <w:color w:val="000000"/>
              </w:rPr>
            </w:pPr>
            <w:r w:rsidRPr="002D3263">
              <w:rPr>
                <w:rFonts w:ascii="Calibri" w:hAnsi="Calibri" w:cs="Calibri"/>
                <w:color w:val="000000"/>
              </w:rPr>
              <w:t>$0</w:t>
            </w:r>
          </w:p>
        </w:tc>
        <w:tc>
          <w:tcPr>
            <w:tcW w:w="1620" w:type="dxa"/>
            <w:shd w:val="clear" w:color="auto" w:fill="auto"/>
            <w:noWrap/>
            <w:vAlign w:val="bottom"/>
          </w:tcPr>
          <w:p w:rsidR="00B44A61" w:rsidRPr="002D3263" w:rsidP="00EF4CBB" w14:paraId="3C90D291" w14:textId="336E8693">
            <w:pPr>
              <w:widowControl/>
              <w:jc w:val="center"/>
              <w:rPr>
                <w:rFonts w:ascii="Calibri" w:hAnsi="Calibri"/>
                <w:color w:val="000000"/>
              </w:rPr>
            </w:pPr>
            <w:r w:rsidRPr="002D3263">
              <w:rPr>
                <w:rFonts w:ascii="Calibri" w:hAnsi="Calibri" w:cs="Calibri"/>
                <w:color w:val="000000"/>
              </w:rPr>
              <w:t>$0</w:t>
            </w:r>
          </w:p>
        </w:tc>
        <w:tc>
          <w:tcPr>
            <w:tcW w:w="2070" w:type="dxa"/>
            <w:shd w:val="clear" w:color="auto" w:fill="auto"/>
            <w:noWrap/>
            <w:vAlign w:val="bottom"/>
          </w:tcPr>
          <w:p w:rsidR="00B44A61" w:rsidRPr="002D3263" w:rsidP="00EF4CBB" w14:paraId="1AEADAB2" w14:textId="17A69D2A">
            <w:pPr>
              <w:widowControl/>
              <w:jc w:val="center"/>
              <w:rPr>
                <w:rFonts w:ascii="Calibri" w:hAnsi="Calibri"/>
                <w:color w:val="000000"/>
              </w:rPr>
            </w:pPr>
            <w:r w:rsidRPr="002D3263">
              <w:rPr>
                <w:rFonts w:ascii="Calibri" w:hAnsi="Calibri" w:cs="Calibri"/>
                <w:color w:val="000000"/>
              </w:rPr>
              <w:t>$0</w:t>
            </w:r>
          </w:p>
        </w:tc>
      </w:tr>
      <w:tr w14:paraId="55462526" w14:textId="77777777" w:rsidTr="00BC5A99">
        <w:tblPrEx>
          <w:tblW w:w="0" w:type="auto"/>
          <w:jc w:val="center"/>
          <w:tblLayout w:type="fixed"/>
          <w:tblLook w:val="04A0"/>
        </w:tblPrEx>
        <w:trPr>
          <w:trHeight w:val="80"/>
          <w:jc w:val="center"/>
        </w:trPr>
        <w:tc>
          <w:tcPr>
            <w:tcW w:w="1137" w:type="dxa"/>
            <w:shd w:val="clear" w:color="auto" w:fill="auto"/>
            <w:noWrap/>
            <w:vAlign w:val="bottom"/>
          </w:tcPr>
          <w:p w:rsidR="009976D0" w:rsidRPr="002D3263" w:rsidP="009976D0" w14:paraId="7EF99E16" w14:textId="1E165A6F">
            <w:pPr>
              <w:keepNext/>
              <w:widowControl/>
              <w:jc w:val="center"/>
              <w:rPr>
                <w:rFonts w:ascii="Calibri" w:hAnsi="Calibri"/>
                <w:color w:val="000000"/>
              </w:rPr>
            </w:pPr>
            <w:r w:rsidRPr="002D3263">
              <w:rPr>
                <w:rFonts w:ascii="Calibri" w:hAnsi="Calibri" w:cs="Calibri"/>
                <w:color w:val="000000"/>
              </w:rPr>
              <w:t>2031</w:t>
            </w:r>
          </w:p>
        </w:tc>
        <w:tc>
          <w:tcPr>
            <w:tcW w:w="2193" w:type="dxa"/>
            <w:shd w:val="clear" w:color="auto" w:fill="auto"/>
            <w:noWrap/>
            <w:vAlign w:val="bottom"/>
          </w:tcPr>
          <w:p w:rsidR="009976D0" w:rsidRPr="002D3263" w:rsidP="009976D0" w14:paraId="4932B9D6" w14:textId="23936151">
            <w:pPr>
              <w:widowControl/>
              <w:jc w:val="center"/>
              <w:rPr>
                <w:rFonts w:ascii="Calibri" w:hAnsi="Calibri"/>
                <w:color w:val="000000"/>
              </w:rPr>
            </w:pPr>
            <w:r w:rsidRPr="002D3263">
              <w:rPr>
                <w:rFonts w:ascii="Calibri" w:hAnsi="Calibri" w:cs="Calibri"/>
                <w:color w:val="000000"/>
              </w:rPr>
              <w:t>$147,795</w:t>
            </w:r>
          </w:p>
        </w:tc>
        <w:tc>
          <w:tcPr>
            <w:tcW w:w="1620" w:type="dxa"/>
            <w:shd w:val="clear" w:color="auto" w:fill="auto"/>
            <w:noWrap/>
            <w:vAlign w:val="bottom"/>
          </w:tcPr>
          <w:p w:rsidR="009976D0" w:rsidRPr="002D3263" w:rsidP="009976D0" w14:paraId="3A102CB8" w14:textId="68093817">
            <w:pPr>
              <w:widowControl/>
              <w:jc w:val="center"/>
              <w:rPr>
                <w:rFonts w:ascii="Calibri" w:hAnsi="Calibri"/>
                <w:color w:val="000000"/>
              </w:rPr>
            </w:pPr>
            <w:r w:rsidRPr="002D3263">
              <w:rPr>
                <w:rFonts w:ascii="Calibri" w:hAnsi="Calibri" w:cs="Calibri"/>
                <w:color w:val="000000"/>
              </w:rPr>
              <w:t>$75,131</w:t>
            </w:r>
          </w:p>
        </w:tc>
        <w:tc>
          <w:tcPr>
            <w:tcW w:w="2070" w:type="dxa"/>
            <w:shd w:val="clear" w:color="auto" w:fill="auto"/>
            <w:noWrap/>
            <w:vAlign w:val="bottom"/>
          </w:tcPr>
          <w:p w:rsidR="009976D0" w:rsidRPr="002D3263" w:rsidP="009976D0" w14:paraId="199070DA" w14:textId="44B9B820">
            <w:pPr>
              <w:widowControl/>
              <w:jc w:val="center"/>
              <w:rPr>
                <w:rFonts w:ascii="Calibri" w:hAnsi="Calibri"/>
                <w:color w:val="000000"/>
              </w:rPr>
            </w:pPr>
            <w:r w:rsidRPr="002D3263">
              <w:rPr>
                <w:rFonts w:ascii="Calibri" w:hAnsi="Calibri" w:cs="Calibri"/>
                <w:color w:val="000000"/>
              </w:rPr>
              <w:t>$109,973</w:t>
            </w:r>
          </w:p>
        </w:tc>
      </w:tr>
      <w:tr w14:paraId="2D02AC10" w14:textId="77777777" w:rsidTr="00BC5A99">
        <w:tblPrEx>
          <w:tblW w:w="0" w:type="auto"/>
          <w:jc w:val="center"/>
          <w:tblLayout w:type="fixed"/>
          <w:tblLook w:val="04A0"/>
        </w:tblPrEx>
        <w:trPr>
          <w:trHeight w:val="180"/>
          <w:jc w:val="center"/>
        </w:trPr>
        <w:tc>
          <w:tcPr>
            <w:tcW w:w="1137" w:type="dxa"/>
            <w:shd w:val="clear" w:color="auto" w:fill="auto"/>
            <w:noWrap/>
            <w:vAlign w:val="bottom"/>
          </w:tcPr>
          <w:p w:rsidR="00B44A61" w:rsidRPr="002D3263" w:rsidP="00EF4CBB" w14:paraId="7F0C075B" w14:textId="176FD521">
            <w:pPr>
              <w:keepNext/>
              <w:widowControl/>
              <w:jc w:val="center"/>
              <w:rPr>
                <w:rFonts w:ascii="Calibri" w:hAnsi="Calibri"/>
                <w:color w:val="000000"/>
              </w:rPr>
            </w:pPr>
            <w:r w:rsidRPr="002D3263">
              <w:rPr>
                <w:rFonts w:ascii="Calibri" w:hAnsi="Calibri" w:cs="Calibri"/>
                <w:color w:val="000000"/>
              </w:rPr>
              <w:t>2032</w:t>
            </w:r>
          </w:p>
        </w:tc>
        <w:tc>
          <w:tcPr>
            <w:tcW w:w="2193" w:type="dxa"/>
            <w:shd w:val="clear" w:color="auto" w:fill="auto"/>
            <w:noWrap/>
            <w:vAlign w:val="bottom"/>
          </w:tcPr>
          <w:p w:rsidR="00B44A61" w:rsidRPr="002D3263" w:rsidP="00EF4CBB" w14:paraId="0B832520" w14:textId="08CCB9EC">
            <w:pPr>
              <w:widowControl/>
              <w:jc w:val="center"/>
              <w:rPr>
                <w:rFonts w:ascii="Calibri" w:hAnsi="Calibri"/>
                <w:color w:val="000000"/>
              </w:rPr>
            </w:pPr>
            <w:r w:rsidRPr="002D3263">
              <w:rPr>
                <w:rFonts w:ascii="Calibri" w:hAnsi="Calibri" w:cs="Calibri"/>
                <w:color w:val="000000"/>
              </w:rPr>
              <w:t>$0</w:t>
            </w:r>
          </w:p>
        </w:tc>
        <w:tc>
          <w:tcPr>
            <w:tcW w:w="1620" w:type="dxa"/>
            <w:shd w:val="clear" w:color="auto" w:fill="auto"/>
            <w:noWrap/>
            <w:vAlign w:val="bottom"/>
          </w:tcPr>
          <w:p w:rsidR="00B44A61" w:rsidRPr="002D3263" w:rsidP="00EF4CBB" w14:paraId="4133E1DD" w14:textId="32749684">
            <w:pPr>
              <w:widowControl/>
              <w:jc w:val="center"/>
              <w:rPr>
                <w:rFonts w:ascii="Calibri" w:hAnsi="Calibri"/>
                <w:color w:val="000000"/>
              </w:rPr>
            </w:pPr>
            <w:r w:rsidRPr="002D3263">
              <w:rPr>
                <w:rFonts w:ascii="Calibri" w:hAnsi="Calibri" w:cs="Calibri"/>
                <w:color w:val="000000"/>
              </w:rPr>
              <w:t>$0</w:t>
            </w:r>
          </w:p>
        </w:tc>
        <w:tc>
          <w:tcPr>
            <w:tcW w:w="2070" w:type="dxa"/>
            <w:shd w:val="clear" w:color="auto" w:fill="auto"/>
            <w:noWrap/>
            <w:vAlign w:val="bottom"/>
          </w:tcPr>
          <w:p w:rsidR="00B44A61" w:rsidRPr="002D3263" w:rsidP="00EF4CBB" w14:paraId="7E6CBFB0" w14:textId="646DABDF">
            <w:pPr>
              <w:widowControl/>
              <w:jc w:val="center"/>
              <w:rPr>
                <w:rFonts w:ascii="Calibri" w:hAnsi="Calibri"/>
                <w:color w:val="000000"/>
              </w:rPr>
            </w:pPr>
            <w:r w:rsidRPr="002D3263">
              <w:rPr>
                <w:rFonts w:ascii="Calibri" w:hAnsi="Calibri" w:cs="Calibri"/>
                <w:color w:val="000000"/>
              </w:rPr>
              <w:t>$0</w:t>
            </w:r>
          </w:p>
        </w:tc>
      </w:tr>
      <w:tr w14:paraId="42496585" w14:textId="77777777" w:rsidTr="00BC5A99">
        <w:tblPrEx>
          <w:tblW w:w="0" w:type="auto"/>
          <w:jc w:val="center"/>
          <w:tblLayout w:type="fixed"/>
          <w:tblLook w:val="04A0"/>
        </w:tblPrEx>
        <w:trPr>
          <w:trHeight w:val="80"/>
          <w:jc w:val="center"/>
        </w:trPr>
        <w:tc>
          <w:tcPr>
            <w:tcW w:w="1137" w:type="dxa"/>
            <w:tcBorders>
              <w:bottom w:val="single" w:sz="12" w:space="0" w:color="auto"/>
            </w:tcBorders>
            <w:shd w:val="clear" w:color="auto" w:fill="auto"/>
            <w:noWrap/>
            <w:vAlign w:val="bottom"/>
          </w:tcPr>
          <w:p w:rsidR="009976D0" w:rsidRPr="002D3263" w:rsidP="009976D0" w14:paraId="5A8FB5A8" w14:textId="31658C3F">
            <w:pPr>
              <w:widowControl/>
              <w:spacing w:line="240" w:lineRule="auto"/>
              <w:jc w:val="center"/>
              <w:rPr>
                <w:rFonts w:ascii="Calibri" w:eastAsia="Times New Roman" w:hAnsi="Calibri" w:cs="Times New Roman"/>
                <w:b/>
                <w:color w:val="000000"/>
              </w:rPr>
            </w:pPr>
            <w:r w:rsidRPr="002D3263">
              <w:rPr>
                <w:rFonts w:ascii="Calibri" w:hAnsi="Calibri" w:cs="Calibri"/>
                <w:b/>
                <w:bCs/>
                <w:color w:val="000000"/>
              </w:rPr>
              <w:t>Total*</w:t>
            </w:r>
          </w:p>
        </w:tc>
        <w:tc>
          <w:tcPr>
            <w:tcW w:w="2193" w:type="dxa"/>
            <w:tcBorders>
              <w:bottom w:val="single" w:sz="12" w:space="0" w:color="auto"/>
            </w:tcBorders>
            <w:shd w:val="clear" w:color="auto" w:fill="auto"/>
            <w:noWrap/>
            <w:vAlign w:val="bottom"/>
          </w:tcPr>
          <w:p w:rsidR="009976D0" w:rsidRPr="002D3263" w:rsidP="009976D0" w14:paraId="5638D1AF" w14:textId="23D98170">
            <w:pPr>
              <w:widowControl/>
              <w:jc w:val="center"/>
              <w:rPr>
                <w:rFonts w:ascii="Calibri" w:hAnsi="Calibri"/>
                <w:b/>
                <w:color w:val="000000"/>
              </w:rPr>
            </w:pPr>
            <w:r w:rsidRPr="002D3263">
              <w:rPr>
                <w:rFonts w:ascii="Calibri" w:hAnsi="Calibri" w:cs="Calibri"/>
                <w:b/>
                <w:bCs/>
                <w:color w:val="000000"/>
              </w:rPr>
              <w:t>$2,660,310</w:t>
            </w:r>
          </w:p>
        </w:tc>
        <w:tc>
          <w:tcPr>
            <w:tcW w:w="1620" w:type="dxa"/>
            <w:tcBorders>
              <w:bottom w:val="single" w:sz="12" w:space="0" w:color="auto"/>
            </w:tcBorders>
            <w:shd w:val="clear" w:color="auto" w:fill="auto"/>
            <w:noWrap/>
            <w:vAlign w:val="bottom"/>
          </w:tcPr>
          <w:p w:rsidR="009976D0" w:rsidRPr="002D3263" w:rsidP="009976D0" w14:paraId="5CD116BE" w14:textId="6A47690C">
            <w:pPr>
              <w:widowControl/>
              <w:jc w:val="center"/>
              <w:rPr>
                <w:rFonts w:ascii="Calibri" w:hAnsi="Calibri"/>
                <w:b/>
                <w:color w:val="000000"/>
              </w:rPr>
            </w:pPr>
            <w:r w:rsidRPr="002D3263">
              <w:rPr>
                <w:rFonts w:ascii="Calibri" w:hAnsi="Calibri" w:cs="Calibri"/>
                <w:b/>
                <w:bCs/>
                <w:color w:val="000000"/>
              </w:rPr>
              <w:t>$2,216,271</w:t>
            </w:r>
          </w:p>
        </w:tc>
        <w:tc>
          <w:tcPr>
            <w:tcW w:w="2070" w:type="dxa"/>
            <w:tcBorders>
              <w:bottom w:val="single" w:sz="12" w:space="0" w:color="auto"/>
            </w:tcBorders>
            <w:shd w:val="clear" w:color="auto" w:fill="auto"/>
            <w:noWrap/>
            <w:vAlign w:val="bottom"/>
          </w:tcPr>
          <w:p w:rsidR="009976D0" w:rsidRPr="002D3263" w:rsidP="009976D0" w14:paraId="5C624DA4" w14:textId="5095D683">
            <w:pPr>
              <w:widowControl/>
              <w:jc w:val="center"/>
              <w:rPr>
                <w:rFonts w:ascii="Calibri" w:hAnsi="Calibri"/>
                <w:b/>
                <w:color w:val="000000"/>
              </w:rPr>
            </w:pPr>
            <w:r w:rsidRPr="002D3263">
              <w:rPr>
                <w:rFonts w:ascii="Calibri" w:hAnsi="Calibri" w:cs="Calibri"/>
                <w:b/>
                <w:bCs/>
                <w:color w:val="000000"/>
              </w:rPr>
              <w:t>$2,451,123</w:t>
            </w:r>
          </w:p>
        </w:tc>
      </w:tr>
      <w:tr w14:paraId="679AFF32" w14:textId="77777777" w:rsidTr="00E85518">
        <w:tblPrEx>
          <w:tblW w:w="0" w:type="auto"/>
          <w:jc w:val="center"/>
          <w:tblLayout w:type="fixed"/>
          <w:tblLook w:val="04A0"/>
        </w:tblPrEx>
        <w:trPr>
          <w:trHeight w:val="80"/>
          <w:jc w:val="center"/>
        </w:trPr>
        <w:tc>
          <w:tcPr>
            <w:tcW w:w="7020" w:type="dxa"/>
            <w:gridSpan w:val="4"/>
            <w:tcBorders>
              <w:top w:val="single" w:sz="12" w:space="0" w:color="auto"/>
              <w:bottom w:val="single" w:sz="12" w:space="0" w:color="auto"/>
            </w:tcBorders>
            <w:shd w:val="clear" w:color="auto" w:fill="auto"/>
            <w:noWrap/>
            <w:vAlign w:val="bottom"/>
          </w:tcPr>
          <w:p w:rsidR="0006535C" w:rsidRPr="002D3263" w:rsidP="00EF4CBB" w14:paraId="14C86A19" w14:textId="77777777">
            <w:pPr>
              <w:widowControl/>
              <w:rPr>
                <w:rFonts w:ascii="Calibri" w:hAnsi="Calibri"/>
                <w:color w:val="000000"/>
              </w:rPr>
            </w:pPr>
            <w:r w:rsidRPr="002D3263">
              <w:rPr>
                <w:rFonts w:ascii="Calibri" w:hAnsi="Calibri"/>
                <w:color w:val="000000"/>
              </w:rPr>
              <w:t>*Totals may not match sums due to rounding</w:t>
            </w:r>
          </w:p>
        </w:tc>
      </w:tr>
      <w:tr w14:paraId="777B06FE" w14:textId="77777777" w:rsidTr="00BC5A99">
        <w:tblPrEx>
          <w:tblW w:w="0" w:type="auto"/>
          <w:jc w:val="center"/>
          <w:tblLayout w:type="fixed"/>
          <w:tblLook w:val="04A0"/>
        </w:tblPrEx>
        <w:trPr>
          <w:trHeight w:val="80"/>
          <w:jc w:val="center"/>
        </w:trPr>
        <w:tc>
          <w:tcPr>
            <w:tcW w:w="7020" w:type="dxa"/>
            <w:gridSpan w:val="4"/>
            <w:tcBorders>
              <w:top w:val="single" w:sz="12" w:space="0" w:color="auto"/>
            </w:tcBorders>
            <w:shd w:val="clear" w:color="auto" w:fill="auto"/>
            <w:noWrap/>
            <w:vAlign w:val="bottom"/>
          </w:tcPr>
          <w:p w:rsidR="00457909" w:rsidRPr="002D3263" w:rsidP="00EF4CBB" w14:paraId="066BFAA4" w14:textId="77777777">
            <w:pPr>
              <w:widowControl/>
              <w:rPr>
                <w:rFonts w:ascii="Calibri" w:hAnsi="Calibri"/>
                <w:color w:val="000000"/>
              </w:rPr>
            </w:pPr>
          </w:p>
        </w:tc>
      </w:tr>
    </w:tbl>
    <w:p w:rsidR="002917B8" w:rsidRPr="002D3263" w:rsidP="00C53C33" w14:paraId="01CBE0A1" w14:textId="77777777">
      <w:pPr>
        <w:pStyle w:val="Heading2"/>
      </w:pPr>
      <w:bookmarkStart w:id="177" w:name="_Toc68008837"/>
      <w:bookmarkStart w:id="178" w:name="_Toc68009003"/>
      <w:bookmarkStart w:id="179" w:name="_Toc127438078"/>
      <w:bookmarkEnd w:id="177"/>
      <w:bookmarkEnd w:id="178"/>
      <w:r w:rsidRPr="002D3263">
        <w:t>Federal</w:t>
      </w:r>
      <w:r w:rsidRPr="002D3263" w:rsidR="00E66268">
        <w:t xml:space="preserve"> Agency Reporting Requirement</w:t>
      </w:r>
      <w:bookmarkEnd w:id="179"/>
    </w:p>
    <w:p w:rsidR="008D59D1" w:rsidRPr="002D3263" w:rsidP="00EF4CBB" w14:paraId="05753731" w14:textId="4D97DC9A">
      <w:pPr>
        <w:pStyle w:val="Body"/>
        <w:widowControl/>
      </w:pPr>
      <w:r w:rsidRPr="002D3263">
        <w:t xml:space="preserve">The </w:t>
      </w:r>
      <w:r w:rsidRPr="002D3263">
        <w:t>MAP-21 require</w:t>
      </w:r>
      <w:r w:rsidRPr="002D3263" w:rsidR="001A3305">
        <w:t>s</w:t>
      </w:r>
      <w:r w:rsidRPr="002D3263">
        <w:t xml:space="preserve"> that each </w:t>
      </w:r>
      <w:r w:rsidRPr="002D3263" w:rsidR="00111308">
        <w:t>Federal</w:t>
      </w:r>
      <w:r w:rsidRPr="002D3263">
        <w:t xml:space="preserve"> </w:t>
      </w:r>
      <w:r w:rsidR="007D41B2">
        <w:t>A</w:t>
      </w:r>
      <w:r w:rsidRPr="002D3263">
        <w:t xml:space="preserve">gency subject to the Uniform Act submit an annual report describing activities conducted by the </w:t>
      </w:r>
      <w:r w:rsidR="007D41B2">
        <w:t>A</w:t>
      </w:r>
      <w:r w:rsidRPr="002D3263">
        <w:t>gency.</w:t>
      </w:r>
      <w:r w:rsidRPr="002D3263" w:rsidR="004410C8">
        <w:t xml:space="preserve"> </w:t>
      </w:r>
      <w:r w:rsidR="000923B7">
        <w:t xml:space="preserve"> </w:t>
      </w:r>
      <w:r w:rsidRPr="002D3263" w:rsidR="00876F9F">
        <w:t>Prior to MA</w:t>
      </w:r>
      <w:r w:rsidRPr="002D3263" w:rsidR="003A15BC">
        <w:t xml:space="preserve">P-21 the </w:t>
      </w:r>
      <w:r w:rsidRPr="002D3263" w:rsidR="00904FDF">
        <w:t xml:space="preserve">requirement was that </w:t>
      </w:r>
      <w:r w:rsidR="0059129A">
        <w:t>Agencies</w:t>
      </w:r>
      <w:r w:rsidRPr="002D3263" w:rsidR="00904FDF">
        <w:t xml:space="preserve"> provide a report (outlined in Appendix B to </w:t>
      </w:r>
      <w:r w:rsidRPr="002D3263" w:rsidR="00BF2373">
        <w:t>49 CFR 24</w:t>
      </w:r>
      <w:r w:rsidRPr="002D3263" w:rsidR="00904FDF">
        <w:t>) not more than every</w:t>
      </w:r>
      <w:r w:rsidRPr="002D3263" w:rsidR="00187622">
        <w:t xml:space="preserve"> </w:t>
      </w:r>
      <w:r w:rsidRPr="002D3263" w:rsidR="00111FC8">
        <w:t>3 years</w:t>
      </w:r>
      <w:r w:rsidRPr="002D3263" w:rsidR="003C6C51">
        <w:t xml:space="preserve">, which is </w:t>
      </w:r>
      <w:r w:rsidRPr="002D3263" w:rsidR="00305D57">
        <w:t>assume</w:t>
      </w:r>
      <w:r w:rsidRPr="002D3263" w:rsidR="00111FC8">
        <w:t xml:space="preserve">d to be </w:t>
      </w:r>
      <w:r w:rsidRPr="002D3263" w:rsidR="00371782">
        <w:t>included as the</w:t>
      </w:r>
      <w:r w:rsidRPr="002D3263" w:rsidR="003C6C51">
        <w:t xml:space="preserve"> reporting baseline in this analysis.</w:t>
      </w:r>
      <w:r w:rsidRPr="002D3263" w:rsidR="00904FDF">
        <w:t xml:space="preserve"> </w:t>
      </w:r>
      <w:r w:rsidR="000923B7">
        <w:t xml:space="preserve"> </w:t>
      </w:r>
      <w:r w:rsidRPr="002D3263" w:rsidR="008516C9">
        <w:t>The FHWA</w:t>
      </w:r>
      <w:r w:rsidRPr="002D3263">
        <w:t xml:space="preserve"> convened a working group to discuss and provide input on the proposed annual report template. </w:t>
      </w:r>
      <w:r w:rsidR="000923B7">
        <w:t xml:space="preserve"> </w:t>
      </w:r>
      <w:r w:rsidRPr="002D3263">
        <w:t xml:space="preserve">The report requests a narrative on the </w:t>
      </w:r>
      <w:r w:rsidRPr="002D3263">
        <w:t>overarching program and related activities as well as specific program metrics, including the number of acquisitions, relocations, condemnations, total dollars spent, and use of housing of last resort.</w:t>
      </w:r>
      <w:r w:rsidRPr="002D3263" w:rsidR="00AC30F3">
        <w:t xml:space="preserve"> </w:t>
      </w:r>
    </w:p>
    <w:p w:rsidR="008D59D1" w:rsidRPr="002D3263" w:rsidP="00EF4CBB" w14:paraId="4454951A" w14:textId="7ACB7D27">
      <w:pPr>
        <w:pStyle w:val="Body"/>
        <w:widowControl/>
      </w:pPr>
      <w:r w:rsidRPr="002D3263">
        <w:t>The FHWA</w:t>
      </w:r>
      <w:r w:rsidRPr="002D3263">
        <w:t xml:space="preserve"> realizes that not all </w:t>
      </w:r>
      <w:r w:rsidR="0059129A">
        <w:t>Agencies</w:t>
      </w:r>
      <w:r w:rsidRPr="002D3263">
        <w:t xml:space="preserve"> subject to this reporting requirement currently </w:t>
      </w:r>
      <w:r w:rsidRPr="002D3263">
        <w:t>have the ability to</w:t>
      </w:r>
      <w:r w:rsidRPr="002D3263">
        <w:t xml:space="preserve"> collect all information requested on the reporting form.</w:t>
      </w:r>
      <w:r w:rsidRPr="002D3263" w:rsidR="00AC30F3">
        <w:t xml:space="preserve"> </w:t>
      </w:r>
      <w:r w:rsidR="000923B7">
        <w:t xml:space="preserve"> </w:t>
      </w:r>
      <w:r w:rsidRPr="002D3263">
        <w:t xml:space="preserve">However, FHWA envisions that the </w:t>
      </w:r>
      <w:r w:rsidRPr="002D3263" w:rsidR="00111308">
        <w:t>Federal</w:t>
      </w:r>
      <w:r w:rsidRPr="002D3263">
        <w:t xml:space="preserve"> </w:t>
      </w:r>
      <w:r w:rsidR="0059129A">
        <w:t>Agencies</w:t>
      </w:r>
      <w:r w:rsidRPr="002D3263">
        <w:t xml:space="preserve"> may provide an interim version of this report that includes only a narrative section focusing on their respective efforts to improve and enhance delivery of Uniform Act benefits and services.</w:t>
      </w:r>
      <w:r w:rsidRPr="002D3263" w:rsidR="00AC30F3">
        <w:t xml:space="preserve"> </w:t>
      </w:r>
      <w:r w:rsidR="000923B7">
        <w:t xml:space="preserve"> </w:t>
      </w:r>
      <w:r w:rsidRPr="002D3263">
        <w:t xml:space="preserve">Narrative report information would include information on training offered, reviews conducted, or technical assistance provided to </w:t>
      </w:r>
      <w:r w:rsidRPr="002D3263" w:rsidR="00BF3213">
        <w:t>recipients</w:t>
      </w:r>
      <w:r w:rsidRPr="002D3263">
        <w:t>.</w:t>
      </w:r>
      <w:r w:rsidRPr="002D3263" w:rsidR="00AC30F3">
        <w:t xml:space="preserve"> </w:t>
      </w:r>
    </w:p>
    <w:p w:rsidR="002917B8" w:rsidRPr="002D3263" w:rsidP="00EF4CBB" w14:paraId="7BE8CC80" w14:textId="77777777">
      <w:pPr>
        <w:pStyle w:val="Heading3"/>
        <w:widowControl/>
      </w:pPr>
      <w:bookmarkStart w:id="180" w:name="_Toc127438079"/>
      <w:r w:rsidRPr="002D3263">
        <w:t>Benefits</w:t>
      </w:r>
      <w:bookmarkEnd w:id="180"/>
    </w:p>
    <w:p w:rsidR="002917B8" w:rsidRPr="002D3263" w:rsidP="00EF4CBB" w14:paraId="2CFA4456" w14:textId="247C31FC">
      <w:pPr>
        <w:widowControl/>
      </w:pPr>
      <w:r w:rsidRPr="002D3263">
        <w:t>The FHWA</w:t>
      </w:r>
      <w:r w:rsidRPr="002D3263" w:rsidR="008D59D1">
        <w:t xml:space="preserve"> believes that the report will provide a good indicator of program health and scope. </w:t>
      </w:r>
      <w:r w:rsidR="000923B7">
        <w:t xml:space="preserve"> </w:t>
      </w:r>
      <w:r w:rsidRPr="002D3263" w:rsidR="008D59D1">
        <w:t xml:space="preserve">The information the report collects will facilitate FHWA’s ability to carry out its primary responsibilities as </w:t>
      </w:r>
      <w:r w:rsidR="0059129A">
        <w:t>L</w:t>
      </w:r>
      <w:r w:rsidRPr="002D3263" w:rsidR="008D59D1">
        <w:t xml:space="preserve">ead </w:t>
      </w:r>
      <w:r w:rsidR="007D41B2">
        <w:t>A</w:t>
      </w:r>
      <w:r w:rsidRPr="002D3263" w:rsidR="008D59D1">
        <w:t>gency to the Uniform Act.</w:t>
      </w:r>
      <w:r w:rsidRPr="002D3263" w:rsidR="00F16D20">
        <w:t xml:space="preserve"> </w:t>
      </w:r>
      <w:r w:rsidR="000923B7">
        <w:t xml:space="preserve"> </w:t>
      </w:r>
      <w:r w:rsidRPr="002D3263" w:rsidR="007046D7">
        <w:t>Th</w:t>
      </w:r>
      <w:r w:rsidRPr="002D3263" w:rsidR="00F16D20">
        <w:t>e Lead Agency can also use th</w:t>
      </w:r>
      <w:r w:rsidRPr="002D3263" w:rsidR="003A15BC">
        <w:t>is</w:t>
      </w:r>
      <w:r w:rsidRPr="002D3263" w:rsidR="00F16D20">
        <w:t xml:space="preserve"> data </w:t>
      </w:r>
      <w:r w:rsidRPr="002D3263" w:rsidR="007046D7">
        <w:t>as part of the process of analyzing the need to increase benefits.</w:t>
      </w:r>
    </w:p>
    <w:p w:rsidR="002917B8" w:rsidRPr="002D3263" w:rsidP="00EF4CBB" w14:paraId="181C5835" w14:textId="77777777">
      <w:pPr>
        <w:pStyle w:val="Heading3"/>
        <w:widowControl/>
      </w:pPr>
      <w:bookmarkStart w:id="181" w:name="_Toc127438080"/>
      <w:r w:rsidRPr="002D3263">
        <w:t>Costs</w:t>
      </w:r>
      <w:bookmarkEnd w:id="181"/>
    </w:p>
    <w:p w:rsidR="00066D0E" w:rsidRPr="002D3263" w:rsidP="00E85518" w14:paraId="1270AF3D" w14:textId="203AE12A">
      <w:pPr>
        <w:widowControl/>
        <w:spacing w:after="240"/>
      </w:pPr>
      <w:r w:rsidRPr="002D3263">
        <w:t xml:space="preserve">Under the </w:t>
      </w:r>
      <w:r w:rsidRPr="002D3263" w:rsidR="00736255">
        <w:t>final</w:t>
      </w:r>
      <w:r w:rsidRPr="002D3263">
        <w:t xml:space="preserve"> rule, all </w:t>
      </w:r>
      <w:r w:rsidRPr="002D3263" w:rsidR="00111308">
        <w:t>Federal</w:t>
      </w:r>
      <w:r w:rsidRPr="002D3263">
        <w:t xml:space="preserve"> </w:t>
      </w:r>
      <w:r w:rsidR="0059129A">
        <w:t>Agencies</w:t>
      </w:r>
      <w:r w:rsidRPr="002D3263">
        <w:t xml:space="preserve"> with active </w:t>
      </w:r>
      <w:r w:rsidRPr="002D3263" w:rsidR="003A673E">
        <w:t xml:space="preserve">Uniform Act </w:t>
      </w:r>
      <w:r w:rsidR="00C774F2">
        <w:t>P</w:t>
      </w:r>
      <w:r w:rsidRPr="002D3263">
        <w:t>rogram</w:t>
      </w:r>
      <w:r w:rsidRPr="002D3263" w:rsidR="00D51DCC">
        <w:t>s</w:t>
      </w:r>
      <w:r w:rsidRPr="002D3263">
        <w:t xml:space="preserve"> will be required to </w:t>
      </w:r>
      <w:r w:rsidRPr="002D3263" w:rsidR="00D51DCC">
        <w:t>report</w:t>
      </w:r>
      <w:r w:rsidRPr="002D3263" w:rsidR="003A673E">
        <w:t xml:space="preserve"> annually to FHWA.</w:t>
      </w:r>
      <w:r w:rsidRPr="002D3263" w:rsidR="00AC30F3">
        <w:t xml:space="preserve"> </w:t>
      </w:r>
      <w:r w:rsidR="000923B7">
        <w:t xml:space="preserve"> </w:t>
      </w:r>
      <w:r w:rsidRPr="002D3263" w:rsidR="00BE4352">
        <w:t xml:space="preserve">There are 14 departments and </w:t>
      </w:r>
      <w:r w:rsidRPr="002D3263" w:rsidR="00187622">
        <w:t xml:space="preserve">5 </w:t>
      </w:r>
      <w:r w:rsidRPr="002D3263" w:rsidR="00BE4352">
        <w:t xml:space="preserve">independent </w:t>
      </w:r>
      <w:r w:rsidR="0059129A">
        <w:t>Agencies</w:t>
      </w:r>
      <w:r w:rsidRPr="002D3263" w:rsidR="00BE4352">
        <w:t xml:space="preserve"> that </w:t>
      </w:r>
      <w:r w:rsidRPr="002D3263" w:rsidR="00B75ECE">
        <w:t xml:space="preserve">are </w:t>
      </w:r>
      <w:r w:rsidRPr="002D3263" w:rsidR="00BE4352">
        <w:t>subject to the Uniform Act.</w:t>
      </w:r>
      <w:r w:rsidR="000923B7">
        <w:t xml:space="preserve"> </w:t>
      </w:r>
      <w:r w:rsidRPr="002D3263" w:rsidR="00BE4352">
        <w:t xml:space="preserve"> </w:t>
      </w:r>
      <w:r w:rsidRPr="002D3263" w:rsidR="00D51DCC">
        <w:t xml:space="preserve">We </w:t>
      </w:r>
      <w:r w:rsidRPr="002D3263" w:rsidR="00305D57">
        <w:t>assume</w:t>
      </w:r>
      <w:r w:rsidRPr="002D3263" w:rsidR="00D51DCC">
        <w:t xml:space="preserve"> that the reporting will require </w:t>
      </w:r>
      <w:r w:rsidRPr="002D3263" w:rsidR="00B111B9">
        <w:t>30</w:t>
      </w:r>
      <w:r w:rsidRPr="002D3263" w:rsidR="00D51DCC">
        <w:t xml:space="preserve"> labor hours</w:t>
      </w:r>
      <w:r w:rsidRPr="002D3263" w:rsidR="00B111B9">
        <w:t xml:space="preserve"> </w:t>
      </w:r>
      <w:r w:rsidRPr="002D3263" w:rsidR="003461A1">
        <w:t xml:space="preserve">of Federal staff time </w:t>
      </w:r>
      <w:r w:rsidRPr="002D3263" w:rsidR="00B111B9">
        <w:t>on average</w:t>
      </w:r>
      <w:r w:rsidRPr="002D3263" w:rsidR="00887C0F">
        <w:t>.</w:t>
      </w:r>
      <w:r>
        <w:rPr>
          <w:rStyle w:val="FootnoteReference"/>
        </w:rPr>
        <w:footnoteReference w:id="34"/>
      </w:r>
      <w:r w:rsidRPr="002D3263" w:rsidR="00D51DCC">
        <w:t xml:space="preserve"> </w:t>
      </w:r>
      <w:r w:rsidR="000923B7">
        <w:t xml:space="preserve"> </w:t>
      </w:r>
      <w:r w:rsidRPr="002D3263" w:rsidR="004E3166">
        <w:t xml:space="preserve">The hourly salary for a </w:t>
      </w:r>
      <w:r w:rsidRPr="002D3263" w:rsidR="004E3166">
        <w:t>Federal</w:t>
      </w:r>
      <w:r w:rsidRPr="002D3263" w:rsidR="004E3166">
        <w:t xml:space="preserve"> worker</w:t>
      </w:r>
      <w:r w:rsidRPr="002D3263" w:rsidR="003461A1">
        <w:t xml:space="preserve"> </w:t>
      </w:r>
      <w:r w:rsidRPr="002D3263" w:rsidR="004E3166">
        <w:t xml:space="preserve">preparing the report is </w:t>
      </w:r>
      <w:r w:rsidRPr="002D3263" w:rsidR="003461A1">
        <w:t xml:space="preserve">estimated to be </w:t>
      </w:r>
      <w:r w:rsidRPr="002D3263" w:rsidR="0006535C">
        <w:t>$47.35</w:t>
      </w:r>
      <w:r w:rsidRPr="002D3263" w:rsidR="003461A1">
        <w:t xml:space="preserve">, based on the </w:t>
      </w:r>
      <w:r w:rsidRPr="002D3263" w:rsidR="00B44A61">
        <w:t xml:space="preserve">2021 </w:t>
      </w:r>
      <w:r w:rsidRPr="002D3263" w:rsidR="003461A1">
        <w:t>General Schedule (GS) Level 12, Step 5 for Washington, DC.</w:t>
      </w:r>
      <w:r>
        <w:rPr>
          <w:rStyle w:val="FootnoteReference"/>
        </w:rPr>
        <w:footnoteReference w:id="35"/>
      </w:r>
      <w:r w:rsidRPr="002D3263" w:rsidR="004E3166">
        <w:t xml:space="preserve"> </w:t>
      </w:r>
      <w:r w:rsidR="000923B7">
        <w:t xml:space="preserve"> </w:t>
      </w:r>
      <w:r w:rsidRPr="002D3263" w:rsidR="003461A1">
        <w:t>M</w:t>
      </w:r>
      <w:r w:rsidRPr="002D3263" w:rsidR="00850F9C">
        <w:t xml:space="preserve">ultiplying </w:t>
      </w:r>
      <w:r w:rsidRPr="002D3263" w:rsidR="003461A1">
        <w:t>this</w:t>
      </w:r>
      <w:r w:rsidRPr="002D3263" w:rsidR="00850F9C">
        <w:t xml:space="preserve"> hourly rate by </w:t>
      </w:r>
      <w:r w:rsidRPr="002D3263" w:rsidR="0006535C">
        <w:t>1.56</w:t>
      </w:r>
      <w:r w:rsidRPr="002D3263" w:rsidR="004E3166">
        <w:t xml:space="preserve"> to account for the cost of employer</w:t>
      </w:r>
      <w:r w:rsidRPr="002D3263" w:rsidR="00A9049F">
        <w:t xml:space="preserve"> </w:t>
      </w:r>
      <w:r w:rsidRPr="002D3263" w:rsidR="004E3166">
        <w:t>provided bene</w:t>
      </w:r>
      <w:r w:rsidRPr="002D3263" w:rsidR="00850F9C">
        <w:t>fits</w:t>
      </w:r>
      <w:r w:rsidRPr="002D3263" w:rsidR="003461A1">
        <w:t xml:space="preserve"> results </w:t>
      </w:r>
      <w:r w:rsidRPr="002D3263" w:rsidR="00850F9C">
        <w:t xml:space="preserve">the hourly costs </w:t>
      </w:r>
      <w:r w:rsidRPr="002D3263" w:rsidR="003461A1">
        <w:t>of</w:t>
      </w:r>
      <w:r w:rsidRPr="002D3263" w:rsidR="0006535C">
        <w:t xml:space="preserve"> $</w:t>
      </w:r>
      <w:r w:rsidRPr="002D3263" w:rsidR="00F67065">
        <w:t>74</w:t>
      </w:r>
      <w:r w:rsidRPr="002D3263" w:rsidR="004E3166">
        <w:t xml:space="preserve">. </w:t>
      </w:r>
      <w:r w:rsidRPr="002D3263" w:rsidR="00887C0F">
        <w:t xml:space="preserve">This is the reporting cost under the </w:t>
      </w:r>
      <w:r w:rsidRPr="002D3263" w:rsidR="00736255">
        <w:t>final</w:t>
      </w:r>
      <w:r w:rsidRPr="002D3263" w:rsidR="00887C0F">
        <w:t xml:space="preserve"> rule. </w:t>
      </w:r>
      <w:r w:rsidR="000923B7">
        <w:t xml:space="preserve"> </w:t>
      </w:r>
      <w:r w:rsidRPr="002D3263" w:rsidR="00887C0F">
        <w:t xml:space="preserve">However, the baseline conditions prior to MAP-21 also had a reporting requirement, although the report was only required </w:t>
      </w:r>
      <w:r w:rsidRPr="002D3263" w:rsidR="00B111B9">
        <w:t xml:space="preserve">every </w:t>
      </w:r>
      <w:r w:rsidRPr="002D3263" w:rsidR="00682BBD">
        <w:t>3</w:t>
      </w:r>
      <w:r w:rsidRPr="002D3263" w:rsidR="00B111B9">
        <w:t xml:space="preserve"> years</w:t>
      </w:r>
      <w:r w:rsidRPr="002D3263" w:rsidR="00887C0F">
        <w:t>.</w:t>
      </w:r>
      <w:r>
        <w:rPr>
          <w:rStyle w:val="FootnoteReference"/>
        </w:rPr>
        <w:footnoteReference w:id="36"/>
      </w:r>
      <w:r w:rsidRPr="002D3263" w:rsidR="00D51DCC">
        <w:t xml:space="preserve"> </w:t>
      </w:r>
      <w:r w:rsidR="000923B7">
        <w:t xml:space="preserve"> </w:t>
      </w:r>
      <w:r w:rsidRPr="002D3263" w:rsidR="00887C0F">
        <w:t xml:space="preserve">Thus the net cost of the </w:t>
      </w:r>
      <w:r w:rsidRPr="002D3263" w:rsidR="00736255">
        <w:t>final</w:t>
      </w:r>
      <w:r w:rsidRPr="002D3263" w:rsidR="00887C0F">
        <w:t xml:space="preserve"> rule is the cost of the </w:t>
      </w:r>
      <w:r w:rsidRPr="002D3263" w:rsidR="00736255">
        <w:t>final</w:t>
      </w:r>
      <w:r w:rsidRPr="002D3263" w:rsidR="00887C0F">
        <w:t xml:space="preserve"> rule minus the baseline costs. </w:t>
      </w:r>
      <w:r w:rsidRPr="002D3263" w:rsidR="00D51DCC">
        <w:t xml:space="preserve">Table </w:t>
      </w:r>
      <w:r w:rsidRPr="002D3263" w:rsidR="00963C07">
        <w:t>A1</w:t>
      </w:r>
      <w:r w:rsidRPr="002D3263" w:rsidR="007404C8">
        <w:t>1</w:t>
      </w:r>
      <w:r w:rsidRPr="002D3263" w:rsidR="00D51DCC">
        <w:t xml:space="preserve"> of Appendix A </w:t>
      </w:r>
      <w:r w:rsidRPr="002D3263" w:rsidR="003A5064">
        <w:t xml:space="preserve">of this report </w:t>
      </w:r>
      <w:r w:rsidRPr="002D3263" w:rsidR="00D51DCC">
        <w:t xml:space="preserve">shows the details of those calculations which are summarized in </w:t>
      </w:r>
      <w:r w:rsidRPr="002D3263" w:rsidR="00D51DCC">
        <w:fldChar w:fldCharType="begin"/>
      </w:r>
      <w:r w:rsidRPr="002D3263" w:rsidR="00D51DCC">
        <w:instrText xml:space="preserve"> REF _Ref415488951 \h </w:instrText>
      </w:r>
      <w:r w:rsidR="002D3263">
        <w:instrText xml:space="preserve"> \* MERGEFORMAT </w:instrText>
      </w:r>
      <w:r w:rsidRPr="002D3263" w:rsidR="00D51DCC">
        <w:fldChar w:fldCharType="separate"/>
      </w:r>
      <w:r w:rsidRPr="002D3263" w:rsidR="00E762F5">
        <w:t xml:space="preserve">Table </w:t>
      </w:r>
      <w:r w:rsidR="00E762F5">
        <w:rPr>
          <w:noProof/>
        </w:rPr>
        <w:t>12</w:t>
      </w:r>
      <w:r w:rsidRPr="002D3263" w:rsidR="00E762F5">
        <w:rPr>
          <w:noProof/>
        </w:rPr>
        <w:t>.</w:t>
      </w:r>
      <w:r w:rsidRPr="002D3263" w:rsidR="00D51DCC">
        <w:fldChar w:fldCharType="end"/>
      </w:r>
      <w:r w:rsidRPr="002D3263" w:rsidR="00D51DCC">
        <w:t xml:space="preserve"> below.</w:t>
      </w:r>
    </w:p>
    <w:p w:rsidR="00F06A36" w:rsidRPr="002D3263" w:rsidP="00EF4CBB" w14:paraId="07FF83AA" w14:textId="77777777">
      <w:pPr>
        <w:widowControl/>
      </w:pPr>
    </w:p>
    <w:p w:rsidR="00066D0E" w:rsidRPr="002D3263" w:rsidP="00D6005F" w14:paraId="706AD5B0" w14:textId="55539D68">
      <w:pPr>
        <w:pStyle w:val="Caption"/>
      </w:pPr>
      <w:bookmarkStart w:id="182" w:name="_Ref415488951"/>
      <w:bookmarkStart w:id="183" w:name="_Toc127438098"/>
      <w:r w:rsidRPr="002D3263">
        <w:t xml:space="preserve">Table </w:t>
      </w:r>
      <w:r w:rsidR="00F903AF">
        <w:fldChar w:fldCharType="begin"/>
      </w:r>
      <w:r w:rsidR="00F903AF">
        <w:instrText xml:space="preserve"> SEQ Table \* ARABIC </w:instrText>
      </w:r>
      <w:r w:rsidR="00F903AF">
        <w:fldChar w:fldCharType="separate"/>
      </w:r>
      <w:r w:rsidR="00E762F5">
        <w:rPr>
          <w:noProof/>
        </w:rPr>
        <w:t>12</w:t>
      </w:r>
      <w:r w:rsidR="00F903AF">
        <w:rPr>
          <w:noProof/>
        </w:rPr>
        <w:fldChar w:fldCharType="end"/>
      </w:r>
      <w:r w:rsidRPr="002D3263">
        <w:t>.</w:t>
      </w:r>
      <w:bookmarkEnd w:id="182"/>
      <w:r w:rsidRPr="002D3263">
        <w:t xml:space="preserve"> Costs for Annual Reporting (All Agencies)</w:t>
      </w:r>
      <w:bookmarkEnd w:id="183"/>
    </w:p>
    <w:tbl>
      <w:tblPr>
        <w:tblW w:w="5031" w:type="dxa"/>
        <w:jc w:val="center"/>
        <w:tblLayout w:type="fixed"/>
        <w:tblLook w:val="04A0"/>
      </w:tblPr>
      <w:tblGrid>
        <w:gridCol w:w="810"/>
        <w:gridCol w:w="1582"/>
        <w:gridCol w:w="1350"/>
        <w:gridCol w:w="1289"/>
      </w:tblGrid>
      <w:tr w14:paraId="5D76E607" w14:textId="77777777" w:rsidTr="00B44A61">
        <w:tblPrEx>
          <w:tblW w:w="5031" w:type="dxa"/>
          <w:jc w:val="center"/>
          <w:tblLayout w:type="fixed"/>
          <w:tblLook w:val="04A0"/>
        </w:tblPrEx>
        <w:trPr>
          <w:trHeight w:val="20"/>
          <w:jc w:val="center"/>
        </w:trPr>
        <w:tc>
          <w:tcPr>
            <w:tcW w:w="810" w:type="dxa"/>
            <w:tcBorders>
              <w:bottom w:val="single" w:sz="12" w:space="0" w:color="auto"/>
            </w:tcBorders>
            <w:shd w:val="clear" w:color="auto" w:fill="auto"/>
            <w:noWrap/>
            <w:vAlign w:val="center"/>
            <w:hideMark/>
          </w:tcPr>
          <w:p w:rsidR="007E32A4" w:rsidRPr="002D3263" w:rsidP="0002327A" w14:paraId="4D94C556" w14:textId="77777777">
            <w:pPr>
              <w:keepNext/>
              <w:widowControl/>
              <w:spacing w:line="240" w:lineRule="auto"/>
              <w:jc w:val="center"/>
              <w:rPr>
                <w:rFonts w:ascii="Calibri" w:eastAsia="Times New Roman" w:hAnsi="Calibri" w:cs="Times New Roman"/>
                <w:b/>
                <w:color w:val="000000"/>
              </w:rPr>
            </w:pPr>
            <w:r w:rsidRPr="002D3263">
              <w:rPr>
                <w:rFonts w:ascii="Calibri" w:eastAsia="Times New Roman" w:hAnsi="Calibri" w:cs="Times New Roman"/>
                <w:b/>
                <w:color w:val="000000"/>
              </w:rPr>
              <w:t>Year</w:t>
            </w:r>
          </w:p>
        </w:tc>
        <w:tc>
          <w:tcPr>
            <w:tcW w:w="1582" w:type="dxa"/>
            <w:tcBorders>
              <w:bottom w:val="single" w:sz="12" w:space="0" w:color="auto"/>
            </w:tcBorders>
            <w:shd w:val="clear" w:color="auto" w:fill="auto"/>
            <w:vAlign w:val="center"/>
            <w:hideMark/>
          </w:tcPr>
          <w:p w:rsidR="007E32A4" w:rsidRPr="002D3263" w:rsidP="00093828" w14:paraId="5F634C95" w14:textId="0C9D010F">
            <w:pPr>
              <w:keepNext/>
              <w:widowControl/>
              <w:spacing w:line="240" w:lineRule="auto"/>
              <w:jc w:val="center"/>
              <w:rPr>
                <w:rFonts w:ascii="Calibri" w:eastAsia="Times New Roman" w:hAnsi="Calibri" w:cs="Times New Roman"/>
                <w:b/>
                <w:color w:val="000000"/>
              </w:rPr>
            </w:pPr>
            <w:r w:rsidRPr="002D3263">
              <w:rPr>
                <w:rFonts w:ascii="Calibri" w:eastAsia="Times New Roman" w:hAnsi="Calibri" w:cs="Times New Roman"/>
                <w:b/>
                <w:color w:val="000000"/>
              </w:rPr>
              <w:t>Annual Reporting Costs</w:t>
            </w:r>
            <w:r w:rsidRPr="002D3263" w:rsidR="00B44A61">
              <w:rPr>
                <w:rFonts w:ascii="Calibri" w:eastAsia="Times New Roman" w:hAnsi="Calibri" w:cs="Times New Roman"/>
                <w:b/>
                <w:color w:val="000000"/>
              </w:rPr>
              <w:t xml:space="preserve"> (2021 $)</w:t>
            </w:r>
          </w:p>
        </w:tc>
        <w:tc>
          <w:tcPr>
            <w:tcW w:w="1350" w:type="dxa"/>
            <w:tcBorders>
              <w:bottom w:val="single" w:sz="12" w:space="0" w:color="auto"/>
            </w:tcBorders>
            <w:shd w:val="clear" w:color="auto" w:fill="auto"/>
            <w:vAlign w:val="center"/>
            <w:hideMark/>
          </w:tcPr>
          <w:p w:rsidR="007E32A4" w:rsidRPr="002D3263" w:rsidP="00D2312D" w14:paraId="7F7DCFE2" w14:textId="77777777">
            <w:pPr>
              <w:keepNext/>
              <w:widowControl/>
              <w:spacing w:line="240" w:lineRule="auto"/>
              <w:jc w:val="center"/>
              <w:rPr>
                <w:rFonts w:ascii="Calibri" w:eastAsia="Times New Roman" w:hAnsi="Calibri" w:cs="Times New Roman"/>
                <w:b/>
                <w:color w:val="000000"/>
              </w:rPr>
            </w:pPr>
            <w:r w:rsidRPr="002D3263">
              <w:rPr>
                <w:rFonts w:ascii="Calibri" w:eastAsia="Times New Roman" w:hAnsi="Calibri" w:cs="Times New Roman"/>
                <w:b/>
                <w:color w:val="000000"/>
              </w:rPr>
              <w:t>Discounted 7%</w:t>
            </w:r>
          </w:p>
        </w:tc>
        <w:tc>
          <w:tcPr>
            <w:tcW w:w="1289" w:type="dxa"/>
            <w:tcBorders>
              <w:bottom w:val="single" w:sz="12" w:space="0" w:color="auto"/>
            </w:tcBorders>
            <w:shd w:val="clear" w:color="auto" w:fill="auto"/>
            <w:vAlign w:val="center"/>
            <w:hideMark/>
          </w:tcPr>
          <w:p w:rsidR="007E32A4" w:rsidRPr="002D3263" w:rsidP="001E7137" w14:paraId="189D168D" w14:textId="77777777">
            <w:pPr>
              <w:keepNext/>
              <w:widowControl/>
              <w:spacing w:line="240" w:lineRule="auto"/>
              <w:jc w:val="center"/>
              <w:rPr>
                <w:rFonts w:ascii="Calibri" w:eastAsia="Times New Roman" w:hAnsi="Calibri" w:cs="Times New Roman"/>
                <w:b/>
                <w:color w:val="000000"/>
              </w:rPr>
            </w:pPr>
            <w:r w:rsidRPr="002D3263">
              <w:rPr>
                <w:rFonts w:ascii="Calibri" w:eastAsia="Times New Roman" w:hAnsi="Calibri" w:cs="Times New Roman"/>
                <w:b/>
                <w:color w:val="000000"/>
              </w:rPr>
              <w:t>Discounted 3%</w:t>
            </w:r>
          </w:p>
        </w:tc>
      </w:tr>
      <w:tr w14:paraId="46D1E695" w14:textId="77777777" w:rsidTr="00B44A61">
        <w:tblPrEx>
          <w:tblW w:w="5031" w:type="dxa"/>
          <w:jc w:val="center"/>
          <w:tblLayout w:type="fixed"/>
          <w:tblLook w:val="04A0"/>
        </w:tblPrEx>
        <w:trPr>
          <w:trHeight w:val="20"/>
          <w:jc w:val="center"/>
        </w:trPr>
        <w:tc>
          <w:tcPr>
            <w:tcW w:w="810" w:type="dxa"/>
            <w:tcBorders>
              <w:top w:val="single" w:sz="12" w:space="0" w:color="auto"/>
            </w:tcBorders>
            <w:shd w:val="clear" w:color="auto" w:fill="auto"/>
            <w:noWrap/>
            <w:vAlign w:val="bottom"/>
          </w:tcPr>
          <w:p w:rsidR="00B44A61" w:rsidRPr="002D3263" w:rsidP="00B44A61" w14:paraId="35638D56" w14:textId="0B7CD976">
            <w:pPr>
              <w:keepNext/>
              <w:widowControl/>
              <w:jc w:val="center"/>
              <w:rPr>
                <w:rFonts w:ascii="Calibri" w:hAnsi="Calibri"/>
                <w:color w:val="000000"/>
              </w:rPr>
            </w:pPr>
            <w:r w:rsidRPr="00E711E2">
              <w:rPr>
                <w:rFonts w:ascii="Calibri" w:hAnsi="Calibri" w:cs="Calibri"/>
                <w:color w:val="000000"/>
              </w:rPr>
              <w:t>2023</w:t>
            </w:r>
          </w:p>
        </w:tc>
        <w:tc>
          <w:tcPr>
            <w:tcW w:w="1582" w:type="dxa"/>
            <w:tcBorders>
              <w:top w:val="single" w:sz="12" w:space="0" w:color="auto"/>
            </w:tcBorders>
            <w:shd w:val="clear" w:color="auto" w:fill="auto"/>
            <w:noWrap/>
            <w:vAlign w:val="bottom"/>
          </w:tcPr>
          <w:p w:rsidR="00B44A61" w:rsidRPr="002D3263" w:rsidP="00B44A61" w14:paraId="4731DA35" w14:textId="00CEFDCF">
            <w:pPr>
              <w:keepNext/>
              <w:widowControl/>
              <w:jc w:val="center"/>
              <w:rPr>
                <w:color w:val="000000"/>
              </w:rPr>
            </w:pPr>
            <w:r w:rsidRPr="002D3263">
              <w:rPr>
                <w:rFonts w:ascii="Calibri" w:hAnsi="Calibri" w:cs="Calibri"/>
                <w:color w:val="000000"/>
              </w:rPr>
              <w:t>$28,120</w:t>
            </w:r>
          </w:p>
        </w:tc>
        <w:tc>
          <w:tcPr>
            <w:tcW w:w="1350" w:type="dxa"/>
            <w:tcBorders>
              <w:top w:val="single" w:sz="12" w:space="0" w:color="auto"/>
            </w:tcBorders>
            <w:shd w:val="clear" w:color="auto" w:fill="auto"/>
            <w:noWrap/>
            <w:vAlign w:val="bottom"/>
          </w:tcPr>
          <w:p w:rsidR="00B44A61" w:rsidRPr="002D3263" w:rsidP="00EF4CBB" w14:paraId="5E8D0569" w14:textId="2AB7FD47">
            <w:pPr>
              <w:keepNext/>
              <w:widowControl/>
              <w:jc w:val="center"/>
              <w:rPr>
                <w:color w:val="000000"/>
              </w:rPr>
            </w:pPr>
            <w:r w:rsidRPr="002D3263">
              <w:rPr>
                <w:rFonts w:ascii="Calibri" w:hAnsi="Calibri" w:cs="Calibri"/>
                <w:color w:val="000000"/>
              </w:rPr>
              <w:t>$24,561</w:t>
            </w:r>
          </w:p>
        </w:tc>
        <w:tc>
          <w:tcPr>
            <w:tcW w:w="1289" w:type="dxa"/>
            <w:tcBorders>
              <w:top w:val="single" w:sz="12" w:space="0" w:color="auto"/>
            </w:tcBorders>
            <w:shd w:val="clear" w:color="auto" w:fill="auto"/>
            <w:noWrap/>
            <w:vAlign w:val="bottom"/>
          </w:tcPr>
          <w:p w:rsidR="00B44A61" w:rsidRPr="002D3263" w:rsidP="00EF4CBB" w14:paraId="63156509" w14:textId="0E990335">
            <w:pPr>
              <w:keepNext/>
              <w:widowControl/>
              <w:jc w:val="center"/>
              <w:rPr>
                <w:color w:val="000000"/>
              </w:rPr>
            </w:pPr>
            <w:r w:rsidRPr="002D3263">
              <w:rPr>
                <w:rFonts w:ascii="Calibri" w:hAnsi="Calibri" w:cs="Calibri"/>
                <w:color w:val="000000"/>
              </w:rPr>
              <w:t>$26,506</w:t>
            </w:r>
          </w:p>
        </w:tc>
      </w:tr>
      <w:tr w14:paraId="69F426C5" w14:textId="77777777" w:rsidTr="00B44A61">
        <w:tblPrEx>
          <w:tblW w:w="5031" w:type="dxa"/>
          <w:jc w:val="center"/>
          <w:tblLayout w:type="fixed"/>
          <w:tblLook w:val="04A0"/>
        </w:tblPrEx>
        <w:trPr>
          <w:trHeight w:val="20"/>
          <w:jc w:val="center"/>
        </w:trPr>
        <w:tc>
          <w:tcPr>
            <w:tcW w:w="810" w:type="dxa"/>
            <w:shd w:val="clear" w:color="auto" w:fill="auto"/>
            <w:noWrap/>
            <w:vAlign w:val="bottom"/>
          </w:tcPr>
          <w:p w:rsidR="00B44A61" w:rsidRPr="002D3263" w:rsidP="00EF4CBB" w14:paraId="7D87B393" w14:textId="10CE1DEE">
            <w:pPr>
              <w:keepNext/>
              <w:widowControl/>
              <w:jc w:val="center"/>
              <w:rPr>
                <w:rFonts w:ascii="Calibri" w:hAnsi="Calibri"/>
                <w:color w:val="000000"/>
              </w:rPr>
            </w:pPr>
            <w:r w:rsidRPr="002D3263">
              <w:rPr>
                <w:rFonts w:ascii="Calibri" w:hAnsi="Calibri" w:cs="Calibri"/>
                <w:color w:val="000000"/>
              </w:rPr>
              <w:t>2024</w:t>
            </w:r>
          </w:p>
        </w:tc>
        <w:tc>
          <w:tcPr>
            <w:tcW w:w="1582" w:type="dxa"/>
            <w:shd w:val="clear" w:color="auto" w:fill="auto"/>
            <w:noWrap/>
            <w:vAlign w:val="bottom"/>
          </w:tcPr>
          <w:p w:rsidR="00B44A61" w:rsidRPr="002D3263" w:rsidP="00EF4CBB" w14:paraId="5A00F940" w14:textId="2FD5DE84">
            <w:pPr>
              <w:keepNext/>
              <w:widowControl/>
              <w:jc w:val="center"/>
              <w:rPr>
                <w:color w:val="000000"/>
              </w:rPr>
            </w:pPr>
            <w:r w:rsidRPr="002D3263">
              <w:rPr>
                <w:rFonts w:ascii="Calibri" w:hAnsi="Calibri" w:cs="Calibri"/>
                <w:color w:val="000000"/>
              </w:rPr>
              <w:t>$28,120</w:t>
            </w:r>
          </w:p>
        </w:tc>
        <w:tc>
          <w:tcPr>
            <w:tcW w:w="1350" w:type="dxa"/>
            <w:shd w:val="clear" w:color="auto" w:fill="auto"/>
            <w:noWrap/>
            <w:vAlign w:val="bottom"/>
          </w:tcPr>
          <w:p w:rsidR="00B44A61" w:rsidRPr="002D3263" w:rsidP="00EF4CBB" w14:paraId="7266E6FC" w14:textId="61F11D1C">
            <w:pPr>
              <w:keepNext/>
              <w:widowControl/>
              <w:jc w:val="center"/>
              <w:rPr>
                <w:color w:val="000000"/>
              </w:rPr>
            </w:pPr>
            <w:r w:rsidRPr="002D3263">
              <w:rPr>
                <w:rFonts w:ascii="Calibri" w:hAnsi="Calibri" w:cs="Calibri"/>
                <w:color w:val="000000"/>
              </w:rPr>
              <w:t>$22,954</w:t>
            </w:r>
          </w:p>
        </w:tc>
        <w:tc>
          <w:tcPr>
            <w:tcW w:w="1289" w:type="dxa"/>
            <w:shd w:val="clear" w:color="auto" w:fill="auto"/>
            <w:noWrap/>
            <w:vAlign w:val="bottom"/>
          </w:tcPr>
          <w:p w:rsidR="00B44A61" w:rsidRPr="002D3263" w:rsidP="00EF4CBB" w14:paraId="70B85079" w14:textId="04C21A20">
            <w:pPr>
              <w:keepNext/>
              <w:widowControl/>
              <w:jc w:val="center"/>
              <w:rPr>
                <w:color w:val="000000"/>
              </w:rPr>
            </w:pPr>
            <w:r w:rsidRPr="002D3263">
              <w:rPr>
                <w:rFonts w:ascii="Calibri" w:hAnsi="Calibri" w:cs="Calibri"/>
                <w:color w:val="000000"/>
              </w:rPr>
              <w:t>$25,734</w:t>
            </w:r>
          </w:p>
        </w:tc>
      </w:tr>
      <w:tr w14:paraId="540B9E8D" w14:textId="77777777" w:rsidTr="00B44A61">
        <w:tblPrEx>
          <w:tblW w:w="5031" w:type="dxa"/>
          <w:jc w:val="center"/>
          <w:tblLayout w:type="fixed"/>
          <w:tblLook w:val="04A0"/>
        </w:tblPrEx>
        <w:trPr>
          <w:trHeight w:val="20"/>
          <w:jc w:val="center"/>
        </w:trPr>
        <w:tc>
          <w:tcPr>
            <w:tcW w:w="810" w:type="dxa"/>
            <w:shd w:val="clear" w:color="auto" w:fill="auto"/>
            <w:noWrap/>
            <w:vAlign w:val="bottom"/>
          </w:tcPr>
          <w:p w:rsidR="00B44A61" w:rsidRPr="002D3263" w:rsidP="00EF4CBB" w14:paraId="5680344C" w14:textId="2924BE7E">
            <w:pPr>
              <w:keepNext/>
              <w:widowControl/>
              <w:jc w:val="center"/>
              <w:rPr>
                <w:rFonts w:ascii="Calibri" w:hAnsi="Calibri"/>
                <w:color w:val="000000"/>
              </w:rPr>
            </w:pPr>
            <w:r w:rsidRPr="002D3263">
              <w:rPr>
                <w:rFonts w:ascii="Calibri" w:hAnsi="Calibri" w:cs="Calibri"/>
                <w:color w:val="000000"/>
              </w:rPr>
              <w:t>2025</w:t>
            </w:r>
          </w:p>
        </w:tc>
        <w:tc>
          <w:tcPr>
            <w:tcW w:w="1582" w:type="dxa"/>
            <w:shd w:val="clear" w:color="auto" w:fill="auto"/>
            <w:noWrap/>
            <w:vAlign w:val="bottom"/>
          </w:tcPr>
          <w:p w:rsidR="00B44A61" w:rsidRPr="002D3263" w:rsidP="00EF4CBB" w14:paraId="0F63348F" w14:textId="7AB5AEE8">
            <w:pPr>
              <w:keepNext/>
              <w:widowControl/>
              <w:jc w:val="center"/>
              <w:rPr>
                <w:color w:val="000000"/>
              </w:rPr>
            </w:pPr>
            <w:r w:rsidRPr="002D3263">
              <w:rPr>
                <w:rFonts w:ascii="Calibri" w:hAnsi="Calibri" w:cs="Calibri"/>
                <w:color w:val="000000"/>
              </w:rPr>
              <w:t>$28,120</w:t>
            </w:r>
          </w:p>
        </w:tc>
        <w:tc>
          <w:tcPr>
            <w:tcW w:w="1350" w:type="dxa"/>
            <w:shd w:val="clear" w:color="auto" w:fill="auto"/>
            <w:noWrap/>
            <w:vAlign w:val="bottom"/>
          </w:tcPr>
          <w:p w:rsidR="00B44A61" w:rsidRPr="002D3263" w:rsidP="00EF4CBB" w14:paraId="6BE40978" w14:textId="5B0FA26F">
            <w:pPr>
              <w:keepNext/>
              <w:widowControl/>
              <w:jc w:val="center"/>
              <w:rPr>
                <w:color w:val="000000"/>
              </w:rPr>
            </w:pPr>
            <w:r w:rsidRPr="002D3263">
              <w:rPr>
                <w:rFonts w:ascii="Calibri" w:hAnsi="Calibri" w:cs="Calibri"/>
                <w:color w:val="000000"/>
              </w:rPr>
              <w:t>$21,453</w:t>
            </w:r>
          </w:p>
        </w:tc>
        <w:tc>
          <w:tcPr>
            <w:tcW w:w="1289" w:type="dxa"/>
            <w:shd w:val="clear" w:color="auto" w:fill="auto"/>
            <w:noWrap/>
            <w:vAlign w:val="bottom"/>
          </w:tcPr>
          <w:p w:rsidR="00B44A61" w:rsidRPr="002D3263" w:rsidP="00EF4CBB" w14:paraId="264C314A" w14:textId="416F889F">
            <w:pPr>
              <w:keepNext/>
              <w:widowControl/>
              <w:jc w:val="center"/>
              <w:rPr>
                <w:color w:val="000000"/>
              </w:rPr>
            </w:pPr>
            <w:r w:rsidRPr="002D3263">
              <w:rPr>
                <w:rFonts w:ascii="Calibri" w:hAnsi="Calibri" w:cs="Calibri"/>
                <w:color w:val="000000"/>
              </w:rPr>
              <w:t>$24,984</w:t>
            </w:r>
          </w:p>
        </w:tc>
      </w:tr>
      <w:tr w14:paraId="121FBC33" w14:textId="77777777" w:rsidTr="00B44A61">
        <w:tblPrEx>
          <w:tblW w:w="5031" w:type="dxa"/>
          <w:jc w:val="center"/>
          <w:tblLayout w:type="fixed"/>
          <w:tblLook w:val="04A0"/>
        </w:tblPrEx>
        <w:trPr>
          <w:trHeight w:val="20"/>
          <w:jc w:val="center"/>
        </w:trPr>
        <w:tc>
          <w:tcPr>
            <w:tcW w:w="810" w:type="dxa"/>
            <w:shd w:val="clear" w:color="auto" w:fill="auto"/>
            <w:noWrap/>
            <w:vAlign w:val="bottom"/>
          </w:tcPr>
          <w:p w:rsidR="00B44A61" w:rsidRPr="002D3263" w:rsidP="00EF4CBB" w14:paraId="5CCE69AD" w14:textId="57ACC253">
            <w:pPr>
              <w:keepNext/>
              <w:widowControl/>
              <w:jc w:val="center"/>
              <w:rPr>
                <w:rFonts w:ascii="Calibri" w:hAnsi="Calibri"/>
                <w:color w:val="000000"/>
              </w:rPr>
            </w:pPr>
            <w:r w:rsidRPr="002D3263">
              <w:rPr>
                <w:rFonts w:ascii="Calibri" w:hAnsi="Calibri" w:cs="Calibri"/>
                <w:color w:val="000000"/>
              </w:rPr>
              <w:t>2026</w:t>
            </w:r>
          </w:p>
        </w:tc>
        <w:tc>
          <w:tcPr>
            <w:tcW w:w="1582" w:type="dxa"/>
            <w:shd w:val="clear" w:color="auto" w:fill="auto"/>
            <w:noWrap/>
            <w:vAlign w:val="bottom"/>
          </w:tcPr>
          <w:p w:rsidR="00B44A61" w:rsidRPr="002D3263" w:rsidP="00EF4CBB" w14:paraId="75B9059C" w14:textId="1A46B04D">
            <w:pPr>
              <w:keepNext/>
              <w:widowControl/>
              <w:jc w:val="center"/>
              <w:rPr>
                <w:color w:val="000000"/>
              </w:rPr>
            </w:pPr>
            <w:r w:rsidRPr="002D3263">
              <w:rPr>
                <w:rFonts w:ascii="Calibri" w:hAnsi="Calibri" w:cs="Calibri"/>
                <w:color w:val="000000"/>
              </w:rPr>
              <w:t>$28,120</w:t>
            </w:r>
          </w:p>
        </w:tc>
        <w:tc>
          <w:tcPr>
            <w:tcW w:w="1350" w:type="dxa"/>
            <w:shd w:val="clear" w:color="auto" w:fill="auto"/>
            <w:noWrap/>
            <w:vAlign w:val="bottom"/>
          </w:tcPr>
          <w:p w:rsidR="00B44A61" w:rsidRPr="002D3263" w:rsidP="00EF4CBB" w14:paraId="561923DD" w14:textId="315E38ED">
            <w:pPr>
              <w:keepNext/>
              <w:widowControl/>
              <w:jc w:val="center"/>
              <w:rPr>
                <w:color w:val="000000"/>
              </w:rPr>
            </w:pPr>
            <w:r w:rsidRPr="002D3263">
              <w:rPr>
                <w:rFonts w:ascii="Calibri" w:hAnsi="Calibri" w:cs="Calibri"/>
                <w:color w:val="000000"/>
              </w:rPr>
              <w:t>$20,049</w:t>
            </w:r>
          </w:p>
        </w:tc>
        <w:tc>
          <w:tcPr>
            <w:tcW w:w="1289" w:type="dxa"/>
            <w:shd w:val="clear" w:color="auto" w:fill="auto"/>
            <w:noWrap/>
            <w:vAlign w:val="bottom"/>
          </w:tcPr>
          <w:p w:rsidR="00B44A61" w:rsidRPr="002D3263" w:rsidP="00EF4CBB" w14:paraId="1D81A83C" w14:textId="44E53E38">
            <w:pPr>
              <w:keepNext/>
              <w:widowControl/>
              <w:jc w:val="center"/>
              <w:rPr>
                <w:color w:val="000000"/>
              </w:rPr>
            </w:pPr>
            <w:r w:rsidRPr="002D3263">
              <w:rPr>
                <w:rFonts w:ascii="Calibri" w:hAnsi="Calibri" w:cs="Calibri"/>
                <w:color w:val="000000"/>
              </w:rPr>
              <w:t>$24,257</w:t>
            </w:r>
          </w:p>
        </w:tc>
      </w:tr>
      <w:tr w14:paraId="2BF21450" w14:textId="77777777" w:rsidTr="00B44A61">
        <w:tblPrEx>
          <w:tblW w:w="5031" w:type="dxa"/>
          <w:jc w:val="center"/>
          <w:tblLayout w:type="fixed"/>
          <w:tblLook w:val="04A0"/>
        </w:tblPrEx>
        <w:trPr>
          <w:trHeight w:val="20"/>
          <w:jc w:val="center"/>
        </w:trPr>
        <w:tc>
          <w:tcPr>
            <w:tcW w:w="810" w:type="dxa"/>
            <w:shd w:val="clear" w:color="auto" w:fill="auto"/>
            <w:noWrap/>
            <w:vAlign w:val="bottom"/>
          </w:tcPr>
          <w:p w:rsidR="00B44A61" w:rsidRPr="002D3263" w:rsidP="00EF4CBB" w14:paraId="66839F0E" w14:textId="545EACB7">
            <w:pPr>
              <w:keepNext/>
              <w:widowControl/>
              <w:jc w:val="center"/>
              <w:rPr>
                <w:rFonts w:ascii="Calibri" w:hAnsi="Calibri"/>
                <w:color w:val="000000"/>
              </w:rPr>
            </w:pPr>
            <w:r w:rsidRPr="002D3263">
              <w:rPr>
                <w:rFonts w:ascii="Calibri" w:hAnsi="Calibri" w:cs="Calibri"/>
                <w:color w:val="000000"/>
              </w:rPr>
              <w:t>2027</w:t>
            </w:r>
          </w:p>
        </w:tc>
        <w:tc>
          <w:tcPr>
            <w:tcW w:w="1582" w:type="dxa"/>
            <w:shd w:val="clear" w:color="auto" w:fill="auto"/>
            <w:noWrap/>
            <w:vAlign w:val="bottom"/>
          </w:tcPr>
          <w:p w:rsidR="00B44A61" w:rsidRPr="002D3263" w:rsidP="00EF4CBB" w14:paraId="6279D492" w14:textId="339A7B8A">
            <w:pPr>
              <w:keepNext/>
              <w:widowControl/>
              <w:jc w:val="center"/>
              <w:rPr>
                <w:color w:val="000000"/>
              </w:rPr>
            </w:pPr>
            <w:r w:rsidRPr="002D3263">
              <w:rPr>
                <w:rFonts w:ascii="Calibri" w:hAnsi="Calibri" w:cs="Calibri"/>
                <w:color w:val="000000"/>
              </w:rPr>
              <w:t>$28,120</w:t>
            </w:r>
          </w:p>
        </w:tc>
        <w:tc>
          <w:tcPr>
            <w:tcW w:w="1350" w:type="dxa"/>
            <w:shd w:val="clear" w:color="auto" w:fill="auto"/>
            <w:noWrap/>
            <w:vAlign w:val="bottom"/>
          </w:tcPr>
          <w:p w:rsidR="00B44A61" w:rsidRPr="002D3263" w:rsidP="00EF4CBB" w14:paraId="76DCC1DF" w14:textId="42E629C6">
            <w:pPr>
              <w:keepNext/>
              <w:widowControl/>
              <w:jc w:val="center"/>
              <w:rPr>
                <w:color w:val="000000"/>
              </w:rPr>
            </w:pPr>
            <w:r w:rsidRPr="002D3263">
              <w:rPr>
                <w:rFonts w:ascii="Calibri" w:hAnsi="Calibri" w:cs="Calibri"/>
                <w:color w:val="000000"/>
              </w:rPr>
              <w:t>$18,738</w:t>
            </w:r>
          </w:p>
        </w:tc>
        <w:tc>
          <w:tcPr>
            <w:tcW w:w="1289" w:type="dxa"/>
            <w:shd w:val="clear" w:color="auto" w:fill="auto"/>
            <w:noWrap/>
            <w:vAlign w:val="bottom"/>
          </w:tcPr>
          <w:p w:rsidR="00B44A61" w:rsidRPr="002D3263" w:rsidP="00EF4CBB" w14:paraId="0E068A3E" w14:textId="50E8F52C">
            <w:pPr>
              <w:keepNext/>
              <w:widowControl/>
              <w:jc w:val="center"/>
              <w:rPr>
                <w:color w:val="000000"/>
              </w:rPr>
            </w:pPr>
            <w:r w:rsidRPr="002D3263">
              <w:rPr>
                <w:rFonts w:ascii="Calibri" w:hAnsi="Calibri" w:cs="Calibri"/>
                <w:color w:val="000000"/>
              </w:rPr>
              <w:t>$23,550</w:t>
            </w:r>
          </w:p>
        </w:tc>
      </w:tr>
      <w:tr w14:paraId="7F6A9BCF" w14:textId="77777777" w:rsidTr="00B44A61">
        <w:tblPrEx>
          <w:tblW w:w="5031" w:type="dxa"/>
          <w:jc w:val="center"/>
          <w:tblLayout w:type="fixed"/>
          <w:tblLook w:val="04A0"/>
        </w:tblPrEx>
        <w:trPr>
          <w:trHeight w:val="20"/>
          <w:jc w:val="center"/>
        </w:trPr>
        <w:tc>
          <w:tcPr>
            <w:tcW w:w="810" w:type="dxa"/>
            <w:shd w:val="clear" w:color="auto" w:fill="auto"/>
            <w:noWrap/>
            <w:vAlign w:val="bottom"/>
          </w:tcPr>
          <w:p w:rsidR="00B44A61" w:rsidRPr="002D3263" w:rsidP="00EF4CBB" w14:paraId="010205DA" w14:textId="6AD15110">
            <w:pPr>
              <w:keepNext/>
              <w:widowControl/>
              <w:jc w:val="center"/>
              <w:rPr>
                <w:rFonts w:ascii="Calibri" w:hAnsi="Calibri"/>
                <w:color w:val="000000"/>
              </w:rPr>
            </w:pPr>
            <w:r w:rsidRPr="002D3263">
              <w:rPr>
                <w:rFonts w:ascii="Calibri" w:hAnsi="Calibri" w:cs="Calibri"/>
                <w:color w:val="000000"/>
              </w:rPr>
              <w:t>2028</w:t>
            </w:r>
          </w:p>
        </w:tc>
        <w:tc>
          <w:tcPr>
            <w:tcW w:w="1582" w:type="dxa"/>
            <w:shd w:val="clear" w:color="auto" w:fill="auto"/>
            <w:noWrap/>
            <w:vAlign w:val="bottom"/>
          </w:tcPr>
          <w:p w:rsidR="00B44A61" w:rsidRPr="002D3263" w:rsidP="00EF4CBB" w14:paraId="45A725EE" w14:textId="23E58DA7">
            <w:pPr>
              <w:keepNext/>
              <w:widowControl/>
              <w:jc w:val="center"/>
              <w:rPr>
                <w:color w:val="000000"/>
              </w:rPr>
            </w:pPr>
            <w:r w:rsidRPr="002D3263">
              <w:rPr>
                <w:rFonts w:ascii="Calibri" w:hAnsi="Calibri" w:cs="Calibri"/>
                <w:color w:val="000000"/>
              </w:rPr>
              <w:t>$28,120</w:t>
            </w:r>
          </w:p>
        </w:tc>
        <w:tc>
          <w:tcPr>
            <w:tcW w:w="1350" w:type="dxa"/>
            <w:shd w:val="clear" w:color="auto" w:fill="auto"/>
            <w:noWrap/>
            <w:vAlign w:val="bottom"/>
          </w:tcPr>
          <w:p w:rsidR="00B44A61" w:rsidRPr="002D3263" w:rsidP="00EF4CBB" w14:paraId="3866FBF8" w14:textId="6F5E0597">
            <w:pPr>
              <w:keepNext/>
              <w:widowControl/>
              <w:jc w:val="center"/>
              <w:rPr>
                <w:color w:val="000000"/>
              </w:rPr>
            </w:pPr>
            <w:r w:rsidRPr="002D3263">
              <w:rPr>
                <w:rFonts w:ascii="Calibri" w:hAnsi="Calibri" w:cs="Calibri"/>
                <w:color w:val="000000"/>
              </w:rPr>
              <w:t>$17,512</w:t>
            </w:r>
          </w:p>
        </w:tc>
        <w:tc>
          <w:tcPr>
            <w:tcW w:w="1289" w:type="dxa"/>
            <w:shd w:val="clear" w:color="auto" w:fill="auto"/>
            <w:noWrap/>
            <w:vAlign w:val="bottom"/>
          </w:tcPr>
          <w:p w:rsidR="00B44A61" w:rsidRPr="002D3263" w:rsidP="00EF4CBB" w14:paraId="61DD3C99" w14:textId="5452D340">
            <w:pPr>
              <w:keepNext/>
              <w:widowControl/>
              <w:jc w:val="center"/>
              <w:rPr>
                <w:color w:val="000000"/>
              </w:rPr>
            </w:pPr>
            <w:r w:rsidRPr="002D3263">
              <w:rPr>
                <w:rFonts w:ascii="Calibri" w:hAnsi="Calibri" w:cs="Calibri"/>
                <w:color w:val="000000"/>
              </w:rPr>
              <w:t>$22,864</w:t>
            </w:r>
          </w:p>
        </w:tc>
      </w:tr>
      <w:tr w14:paraId="6A07A5EA" w14:textId="77777777" w:rsidTr="00B44A61">
        <w:tblPrEx>
          <w:tblW w:w="5031" w:type="dxa"/>
          <w:jc w:val="center"/>
          <w:tblLayout w:type="fixed"/>
          <w:tblLook w:val="04A0"/>
        </w:tblPrEx>
        <w:trPr>
          <w:trHeight w:val="20"/>
          <w:jc w:val="center"/>
        </w:trPr>
        <w:tc>
          <w:tcPr>
            <w:tcW w:w="810" w:type="dxa"/>
            <w:shd w:val="clear" w:color="auto" w:fill="auto"/>
            <w:noWrap/>
            <w:vAlign w:val="bottom"/>
          </w:tcPr>
          <w:p w:rsidR="00B44A61" w:rsidRPr="002D3263" w:rsidP="00EF4CBB" w14:paraId="37E8596C" w14:textId="0B1DBE2D">
            <w:pPr>
              <w:keepNext/>
              <w:widowControl/>
              <w:jc w:val="center"/>
              <w:rPr>
                <w:rFonts w:ascii="Calibri" w:hAnsi="Calibri"/>
                <w:color w:val="000000"/>
              </w:rPr>
            </w:pPr>
            <w:r w:rsidRPr="002D3263">
              <w:rPr>
                <w:rFonts w:ascii="Calibri" w:hAnsi="Calibri" w:cs="Calibri"/>
                <w:color w:val="000000"/>
              </w:rPr>
              <w:t>2029</w:t>
            </w:r>
          </w:p>
        </w:tc>
        <w:tc>
          <w:tcPr>
            <w:tcW w:w="1582" w:type="dxa"/>
            <w:shd w:val="clear" w:color="auto" w:fill="auto"/>
            <w:noWrap/>
            <w:vAlign w:val="bottom"/>
          </w:tcPr>
          <w:p w:rsidR="00B44A61" w:rsidRPr="002D3263" w:rsidP="00EF4CBB" w14:paraId="67BB5C93" w14:textId="0FA95213">
            <w:pPr>
              <w:keepNext/>
              <w:widowControl/>
              <w:jc w:val="center"/>
              <w:rPr>
                <w:color w:val="000000"/>
              </w:rPr>
            </w:pPr>
            <w:r w:rsidRPr="002D3263">
              <w:rPr>
                <w:rFonts w:ascii="Calibri" w:hAnsi="Calibri" w:cs="Calibri"/>
                <w:color w:val="000000"/>
              </w:rPr>
              <w:t>$28,120</w:t>
            </w:r>
          </w:p>
        </w:tc>
        <w:tc>
          <w:tcPr>
            <w:tcW w:w="1350" w:type="dxa"/>
            <w:shd w:val="clear" w:color="auto" w:fill="auto"/>
            <w:noWrap/>
            <w:vAlign w:val="bottom"/>
          </w:tcPr>
          <w:p w:rsidR="00B44A61" w:rsidRPr="002D3263" w:rsidP="00EF4CBB" w14:paraId="19DB532A" w14:textId="3863CBAA">
            <w:pPr>
              <w:keepNext/>
              <w:widowControl/>
              <w:jc w:val="center"/>
              <w:rPr>
                <w:color w:val="000000"/>
              </w:rPr>
            </w:pPr>
            <w:r w:rsidRPr="002D3263">
              <w:rPr>
                <w:rFonts w:ascii="Calibri" w:hAnsi="Calibri" w:cs="Calibri"/>
                <w:color w:val="000000"/>
              </w:rPr>
              <w:t>$16,366</w:t>
            </w:r>
          </w:p>
        </w:tc>
        <w:tc>
          <w:tcPr>
            <w:tcW w:w="1289" w:type="dxa"/>
            <w:shd w:val="clear" w:color="auto" w:fill="auto"/>
            <w:noWrap/>
            <w:vAlign w:val="bottom"/>
          </w:tcPr>
          <w:p w:rsidR="00B44A61" w:rsidRPr="002D3263" w:rsidP="00EF4CBB" w14:paraId="0E122AFB" w14:textId="0E1D25F8">
            <w:pPr>
              <w:keepNext/>
              <w:widowControl/>
              <w:jc w:val="center"/>
              <w:rPr>
                <w:color w:val="000000"/>
              </w:rPr>
            </w:pPr>
            <w:r w:rsidRPr="002D3263">
              <w:rPr>
                <w:rFonts w:ascii="Calibri" w:hAnsi="Calibri" w:cs="Calibri"/>
                <w:color w:val="000000"/>
              </w:rPr>
              <w:t>$22,198</w:t>
            </w:r>
          </w:p>
        </w:tc>
      </w:tr>
      <w:tr w14:paraId="5C9A026A" w14:textId="77777777" w:rsidTr="00B44A61">
        <w:tblPrEx>
          <w:tblW w:w="5031" w:type="dxa"/>
          <w:jc w:val="center"/>
          <w:tblLayout w:type="fixed"/>
          <w:tblLook w:val="04A0"/>
        </w:tblPrEx>
        <w:trPr>
          <w:trHeight w:val="20"/>
          <w:jc w:val="center"/>
        </w:trPr>
        <w:tc>
          <w:tcPr>
            <w:tcW w:w="810" w:type="dxa"/>
            <w:shd w:val="clear" w:color="auto" w:fill="auto"/>
            <w:noWrap/>
            <w:vAlign w:val="bottom"/>
          </w:tcPr>
          <w:p w:rsidR="00B44A61" w:rsidRPr="002D3263" w:rsidP="00EF4CBB" w14:paraId="4274EDD4" w14:textId="43E23F80">
            <w:pPr>
              <w:keepNext/>
              <w:widowControl/>
              <w:jc w:val="center"/>
              <w:rPr>
                <w:rFonts w:ascii="Calibri" w:hAnsi="Calibri"/>
                <w:color w:val="000000"/>
              </w:rPr>
            </w:pPr>
            <w:r w:rsidRPr="002D3263">
              <w:rPr>
                <w:rFonts w:ascii="Calibri" w:hAnsi="Calibri" w:cs="Calibri"/>
                <w:color w:val="000000"/>
              </w:rPr>
              <w:t>2030</w:t>
            </w:r>
          </w:p>
        </w:tc>
        <w:tc>
          <w:tcPr>
            <w:tcW w:w="1582" w:type="dxa"/>
            <w:shd w:val="clear" w:color="auto" w:fill="auto"/>
            <w:noWrap/>
            <w:vAlign w:val="bottom"/>
          </w:tcPr>
          <w:p w:rsidR="00B44A61" w:rsidRPr="002D3263" w:rsidP="00EF4CBB" w14:paraId="1AD4C678" w14:textId="164F9394">
            <w:pPr>
              <w:keepNext/>
              <w:widowControl/>
              <w:jc w:val="center"/>
              <w:rPr>
                <w:color w:val="000000"/>
              </w:rPr>
            </w:pPr>
            <w:r w:rsidRPr="002D3263">
              <w:rPr>
                <w:rFonts w:ascii="Calibri" w:hAnsi="Calibri" w:cs="Calibri"/>
                <w:color w:val="000000"/>
              </w:rPr>
              <w:t>$28,120</w:t>
            </w:r>
          </w:p>
        </w:tc>
        <w:tc>
          <w:tcPr>
            <w:tcW w:w="1350" w:type="dxa"/>
            <w:shd w:val="clear" w:color="auto" w:fill="auto"/>
            <w:noWrap/>
            <w:vAlign w:val="bottom"/>
          </w:tcPr>
          <w:p w:rsidR="00B44A61" w:rsidRPr="002D3263" w:rsidP="00EF4CBB" w14:paraId="6FCEA502" w14:textId="153A836C">
            <w:pPr>
              <w:keepNext/>
              <w:widowControl/>
              <w:jc w:val="center"/>
              <w:rPr>
                <w:color w:val="000000"/>
              </w:rPr>
            </w:pPr>
            <w:r w:rsidRPr="002D3263">
              <w:rPr>
                <w:rFonts w:ascii="Calibri" w:hAnsi="Calibri" w:cs="Calibri"/>
                <w:color w:val="000000"/>
              </w:rPr>
              <w:t>$15,295</w:t>
            </w:r>
          </w:p>
        </w:tc>
        <w:tc>
          <w:tcPr>
            <w:tcW w:w="1289" w:type="dxa"/>
            <w:shd w:val="clear" w:color="auto" w:fill="auto"/>
            <w:noWrap/>
            <w:vAlign w:val="bottom"/>
          </w:tcPr>
          <w:p w:rsidR="00B44A61" w:rsidRPr="002D3263" w:rsidP="00EF4CBB" w14:paraId="659D3F80" w14:textId="5AD3F607">
            <w:pPr>
              <w:keepNext/>
              <w:widowControl/>
              <w:jc w:val="center"/>
              <w:rPr>
                <w:color w:val="000000"/>
              </w:rPr>
            </w:pPr>
            <w:r w:rsidRPr="002D3263">
              <w:rPr>
                <w:rFonts w:ascii="Calibri" w:hAnsi="Calibri" w:cs="Calibri"/>
                <w:color w:val="000000"/>
              </w:rPr>
              <w:t>$21,552</w:t>
            </w:r>
          </w:p>
        </w:tc>
      </w:tr>
      <w:tr w14:paraId="47D937BB" w14:textId="77777777" w:rsidTr="00B44A61">
        <w:tblPrEx>
          <w:tblW w:w="5031" w:type="dxa"/>
          <w:jc w:val="center"/>
          <w:tblLayout w:type="fixed"/>
          <w:tblLook w:val="04A0"/>
        </w:tblPrEx>
        <w:trPr>
          <w:trHeight w:val="20"/>
          <w:jc w:val="center"/>
        </w:trPr>
        <w:tc>
          <w:tcPr>
            <w:tcW w:w="810" w:type="dxa"/>
            <w:shd w:val="clear" w:color="auto" w:fill="auto"/>
            <w:noWrap/>
            <w:vAlign w:val="bottom"/>
          </w:tcPr>
          <w:p w:rsidR="00B44A61" w:rsidRPr="002D3263" w:rsidP="00EF4CBB" w14:paraId="1B5B9273" w14:textId="0B9D8B18">
            <w:pPr>
              <w:keepNext/>
              <w:widowControl/>
              <w:jc w:val="center"/>
              <w:rPr>
                <w:rFonts w:ascii="Calibri" w:hAnsi="Calibri"/>
                <w:color w:val="000000"/>
              </w:rPr>
            </w:pPr>
            <w:r w:rsidRPr="002D3263">
              <w:rPr>
                <w:rFonts w:ascii="Calibri" w:hAnsi="Calibri" w:cs="Calibri"/>
                <w:color w:val="000000"/>
              </w:rPr>
              <w:t>2031</w:t>
            </w:r>
          </w:p>
        </w:tc>
        <w:tc>
          <w:tcPr>
            <w:tcW w:w="1582" w:type="dxa"/>
            <w:shd w:val="clear" w:color="auto" w:fill="auto"/>
            <w:noWrap/>
            <w:vAlign w:val="bottom"/>
          </w:tcPr>
          <w:p w:rsidR="00B44A61" w:rsidRPr="002D3263" w:rsidP="00EF4CBB" w14:paraId="230DF582" w14:textId="56CEFB4E">
            <w:pPr>
              <w:keepNext/>
              <w:widowControl/>
              <w:jc w:val="center"/>
              <w:rPr>
                <w:color w:val="000000"/>
              </w:rPr>
            </w:pPr>
            <w:r w:rsidRPr="002D3263">
              <w:rPr>
                <w:rFonts w:ascii="Calibri" w:hAnsi="Calibri" w:cs="Calibri"/>
                <w:color w:val="000000"/>
              </w:rPr>
              <w:t>$28,120</w:t>
            </w:r>
          </w:p>
        </w:tc>
        <w:tc>
          <w:tcPr>
            <w:tcW w:w="1350" w:type="dxa"/>
            <w:shd w:val="clear" w:color="auto" w:fill="auto"/>
            <w:noWrap/>
            <w:vAlign w:val="bottom"/>
          </w:tcPr>
          <w:p w:rsidR="00B44A61" w:rsidRPr="002D3263" w:rsidP="00EF4CBB" w14:paraId="69904AC0" w14:textId="55D5934D">
            <w:pPr>
              <w:keepNext/>
              <w:widowControl/>
              <w:jc w:val="center"/>
              <w:rPr>
                <w:color w:val="000000"/>
              </w:rPr>
            </w:pPr>
            <w:r w:rsidRPr="002D3263">
              <w:rPr>
                <w:rFonts w:ascii="Calibri" w:hAnsi="Calibri" w:cs="Calibri"/>
                <w:color w:val="000000"/>
              </w:rPr>
              <w:t>$14,295</w:t>
            </w:r>
          </w:p>
        </w:tc>
        <w:tc>
          <w:tcPr>
            <w:tcW w:w="1289" w:type="dxa"/>
            <w:shd w:val="clear" w:color="auto" w:fill="auto"/>
            <w:noWrap/>
            <w:vAlign w:val="bottom"/>
          </w:tcPr>
          <w:p w:rsidR="00B44A61" w:rsidRPr="002D3263" w:rsidP="00EF4CBB" w14:paraId="5F908F60" w14:textId="5280ED42">
            <w:pPr>
              <w:keepNext/>
              <w:widowControl/>
              <w:jc w:val="center"/>
              <w:rPr>
                <w:color w:val="000000"/>
              </w:rPr>
            </w:pPr>
            <w:r w:rsidRPr="002D3263">
              <w:rPr>
                <w:rFonts w:ascii="Calibri" w:hAnsi="Calibri" w:cs="Calibri"/>
                <w:color w:val="000000"/>
              </w:rPr>
              <w:t>$20,924</w:t>
            </w:r>
          </w:p>
        </w:tc>
      </w:tr>
      <w:tr w14:paraId="08977C6A" w14:textId="77777777" w:rsidTr="00B44A61">
        <w:tblPrEx>
          <w:tblW w:w="5031" w:type="dxa"/>
          <w:jc w:val="center"/>
          <w:tblLayout w:type="fixed"/>
          <w:tblLook w:val="04A0"/>
        </w:tblPrEx>
        <w:trPr>
          <w:trHeight w:val="20"/>
          <w:jc w:val="center"/>
        </w:trPr>
        <w:tc>
          <w:tcPr>
            <w:tcW w:w="810" w:type="dxa"/>
            <w:shd w:val="clear" w:color="auto" w:fill="auto"/>
            <w:noWrap/>
            <w:vAlign w:val="bottom"/>
          </w:tcPr>
          <w:p w:rsidR="00B44A61" w:rsidRPr="002D3263" w:rsidP="00EF4CBB" w14:paraId="733BE350" w14:textId="7E5411F0">
            <w:pPr>
              <w:keepNext/>
              <w:widowControl/>
              <w:jc w:val="center"/>
              <w:rPr>
                <w:rFonts w:ascii="Calibri" w:hAnsi="Calibri"/>
                <w:color w:val="000000"/>
              </w:rPr>
            </w:pPr>
            <w:r w:rsidRPr="002D3263">
              <w:rPr>
                <w:rFonts w:ascii="Calibri" w:hAnsi="Calibri" w:cs="Calibri"/>
                <w:color w:val="000000"/>
              </w:rPr>
              <w:t>2032</w:t>
            </w:r>
          </w:p>
        </w:tc>
        <w:tc>
          <w:tcPr>
            <w:tcW w:w="1582" w:type="dxa"/>
            <w:shd w:val="clear" w:color="auto" w:fill="auto"/>
            <w:noWrap/>
            <w:vAlign w:val="bottom"/>
          </w:tcPr>
          <w:p w:rsidR="00B44A61" w:rsidRPr="002D3263" w:rsidP="00EF4CBB" w14:paraId="5B8C60DB" w14:textId="1C061DB8">
            <w:pPr>
              <w:keepNext/>
              <w:widowControl/>
              <w:jc w:val="center"/>
              <w:rPr>
                <w:color w:val="000000"/>
              </w:rPr>
            </w:pPr>
            <w:r w:rsidRPr="002D3263">
              <w:rPr>
                <w:rFonts w:ascii="Calibri" w:hAnsi="Calibri" w:cs="Calibri"/>
                <w:color w:val="000000"/>
              </w:rPr>
              <w:t>$28,120</w:t>
            </w:r>
          </w:p>
        </w:tc>
        <w:tc>
          <w:tcPr>
            <w:tcW w:w="1350" w:type="dxa"/>
            <w:shd w:val="clear" w:color="auto" w:fill="auto"/>
            <w:noWrap/>
            <w:vAlign w:val="bottom"/>
          </w:tcPr>
          <w:p w:rsidR="00B44A61" w:rsidRPr="002D3263" w:rsidP="00EF4CBB" w14:paraId="336CA7DF" w14:textId="1EBB1BC4">
            <w:pPr>
              <w:keepNext/>
              <w:widowControl/>
              <w:jc w:val="center"/>
              <w:rPr>
                <w:color w:val="000000"/>
              </w:rPr>
            </w:pPr>
            <w:r w:rsidRPr="002D3263">
              <w:rPr>
                <w:rFonts w:ascii="Calibri" w:hAnsi="Calibri" w:cs="Calibri"/>
                <w:color w:val="000000"/>
              </w:rPr>
              <w:t>$13,360</w:t>
            </w:r>
          </w:p>
        </w:tc>
        <w:tc>
          <w:tcPr>
            <w:tcW w:w="1289" w:type="dxa"/>
            <w:shd w:val="clear" w:color="auto" w:fill="auto"/>
            <w:noWrap/>
            <w:vAlign w:val="bottom"/>
          </w:tcPr>
          <w:p w:rsidR="00B44A61" w:rsidRPr="002D3263" w:rsidP="00EF4CBB" w14:paraId="6A70E895" w14:textId="260027B0">
            <w:pPr>
              <w:keepNext/>
              <w:widowControl/>
              <w:jc w:val="center"/>
              <w:rPr>
                <w:color w:val="000000"/>
              </w:rPr>
            </w:pPr>
            <w:r w:rsidRPr="002D3263">
              <w:rPr>
                <w:rFonts w:ascii="Calibri" w:hAnsi="Calibri" w:cs="Calibri"/>
                <w:color w:val="000000"/>
              </w:rPr>
              <w:t>$20,314</w:t>
            </w:r>
          </w:p>
        </w:tc>
      </w:tr>
      <w:tr w14:paraId="0520C58E" w14:textId="77777777" w:rsidTr="00B44A61">
        <w:tblPrEx>
          <w:tblW w:w="5031" w:type="dxa"/>
          <w:jc w:val="center"/>
          <w:tblLayout w:type="fixed"/>
          <w:tblLook w:val="04A0"/>
        </w:tblPrEx>
        <w:trPr>
          <w:trHeight w:val="297"/>
          <w:jc w:val="center"/>
        </w:trPr>
        <w:tc>
          <w:tcPr>
            <w:tcW w:w="810" w:type="dxa"/>
            <w:tcBorders>
              <w:bottom w:val="single" w:sz="12" w:space="0" w:color="auto"/>
            </w:tcBorders>
            <w:shd w:val="clear" w:color="auto" w:fill="auto"/>
            <w:noWrap/>
            <w:vAlign w:val="bottom"/>
          </w:tcPr>
          <w:p w:rsidR="00B44A61" w:rsidRPr="002D3263" w:rsidP="00B44A61" w14:paraId="368CB1A5" w14:textId="2EAE65E4">
            <w:pPr>
              <w:keepNext/>
              <w:widowControl/>
              <w:spacing w:line="240" w:lineRule="auto"/>
              <w:jc w:val="center"/>
              <w:rPr>
                <w:b/>
                <w:color w:val="000000"/>
              </w:rPr>
            </w:pPr>
            <w:r w:rsidRPr="002D3263">
              <w:rPr>
                <w:rFonts w:ascii="Calibri" w:hAnsi="Calibri" w:cs="Calibri"/>
                <w:b/>
                <w:bCs/>
                <w:color w:val="000000"/>
              </w:rPr>
              <w:t>Total*</w:t>
            </w:r>
          </w:p>
        </w:tc>
        <w:tc>
          <w:tcPr>
            <w:tcW w:w="1582" w:type="dxa"/>
            <w:tcBorders>
              <w:bottom w:val="single" w:sz="12" w:space="0" w:color="auto"/>
            </w:tcBorders>
            <w:shd w:val="clear" w:color="auto" w:fill="auto"/>
            <w:noWrap/>
            <w:vAlign w:val="bottom"/>
          </w:tcPr>
          <w:p w:rsidR="00B44A61" w:rsidRPr="002D3263" w:rsidP="00EF4CBB" w14:paraId="4E87D730" w14:textId="54C48F3E">
            <w:pPr>
              <w:keepNext/>
              <w:widowControl/>
              <w:jc w:val="center"/>
              <w:rPr>
                <w:b/>
                <w:color w:val="000000"/>
              </w:rPr>
            </w:pPr>
            <w:r w:rsidRPr="002D3263">
              <w:rPr>
                <w:rFonts w:ascii="Calibri" w:hAnsi="Calibri" w:cs="Calibri"/>
                <w:b/>
                <w:bCs/>
                <w:color w:val="000000"/>
              </w:rPr>
              <w:t>$281,200</w:t>
            </w:r>
          </w:p>
        </w:tc>
        <w:tc>
          <w:tcPr>
            <w:tcW w:w="1350" w:type="dxa"/>
            <w:tcBorders>
              <w:bottom w:val="single" w:sz="12" w:space="0" w:color="auto"/>
            </w:tcBorders>
            <w:shd w:val="clear" w:color="auto" w:fill="auto"/>
            <w:noWrap/>
            <w:vAlign w:val="bottom"/>
          </w:tcPr>
          <w:p w:rsidR="00B44A61" w:rsidRPr="002D3263" w:rsidP="00EF4CBB" w14:paraId="4C573AE2" w14:textId="1A4806BC">
            <w:pPr>
              <w:keepNext/>
              <w:widowControl/>
              <w:jc w:val="center"/>
              <w:rPr>
                <w:b/>
                <w:color w:val="000000"/>
              </w:rPr>
            </w:pPr>
            <w:r w:rsidRPr="002D3263">
              <w:rPr>
                <w:rFonts w:ascii="Calibri" w:hAnsi="Calibri" w:cs="Calibri"/>
                <w:b/>
                <w:bCs/>
                <w:color w:val="000000"/>
              </w:rPr>
              <w:t>$184,582</w:t>
            </w:r>
          </w:p>
        </w:tc>
        <w:tc>
          <w:tcPr>
            <w:tcW w:w="1289" w:type="dxa"/>
            <w:tcBorders>
              <w:bottom w:val="single" w:sz="12" w:space="0" w:color="auto"/>
            </w:tcBorders>
            <w:shd w:val="clear" w:color="auto" w:fill="auto"/>
            <w:noWrap/>
            <w:vAlign w:val="bottom"/>
          </w:tcPr>
          <w:p w:rsidR="00B44A61" w:rsidRPr="002D3263" w:rsidP="00EF4CBB" w14:paraId="497ABFE6" w14:textId="52C1FA7B">
            <w:pPr>
              <w:keepNext/>
              <w:widowControl/>
              <w:jc w:val="center"/>
              <w:rPr>
                <w:b/>
                <w:color w:val="000000"/>
              </w:rPr>
            </w:pPr>
            <w:r w:rsidRPr="002D3263">
              <w:rPr>
                <w:rFonts w:ascii="Calibri" w:hAnsi="Calibri" w:cs="Calibri"/>
                <w:b/>
                <w:bCs/>
                <w:color w:val="000000"/>
              </w:rPr>
              <w:t>$232,883</w:t>
            </w:r>
          </w:p>
        </w:tc>
      </w:tr>
      <w:tr w14:paraId="37087A23" w14:textId="77777777" w:rsidTr="00B44A61">
        <w:tblPrEx>
          <w:tblW w:w="5031" w:type="dxa"/>
          <w:jc w:val="center"/>
          <w:tblLayout w:type="fixed"/>
          <w:tblLook w:val="04A0"/>
        </w:tblPrEx>
        <w:trPr>
          <w:trHeight w:val="297"/>
          <w:jc w:val="center"/>
        </w:trPr>
        <w:tc>
          <w:tcPr>
            <w:tcW w:w="5031" w:type="dxa"/>
            <w:gridSpan w:val="4"/>
            <w:tcBorders>
              <w:top w:val="single" w:sz="12" w:space="0" w:color="auto"/>
            </w:tcBorders>
            <w:shd w:val="clear" w:color="auto" w:fill="auto"/>
            <w:noWrap/>
            <w:vAlign w:val="bottom"/>
          </w:tcPr>
          <w:p w:rsidR="00973CCE" w:rsidRPr="002D3263" w:rsidP="00EF4CBB" w14:paraId="55479ABF" w14:textId="77777777">
            <w:pPr>
              <w:widowControl/>
              <w:rPr>
                <w:b/>
                <w:color w:val="000000"/>
              </w:rPr>
            </w:pPr>
            <w:r w:rsidRPr="002D3263">
              <w:rPr>
                <w:rFonts w:ascii="Calibri" w:hAnsi="Calibri"/>
                <w:color w:val="000000"/>
              </w:rPr>
              <w:t>*Totals may not match sums due to rounding</w:t>
            </w:r>
          </w:p>
        </w:tc>
      </w:tr>
    </w:tbl>
    <w:p w:rsidR="00835097" w:rsidRPr="002D3263" w:rsidP="00EF4CBB" w14:paraId="5B426801" w14:textId="77777777">
      <w:pPr>
        <w:widowControl/>
      </w:pPr>
    </w:p>
    <w:p w:rsidR="00835097" w:rsidRPr="002D3263" w:rsidP="00BD26C9" w14:paraId="0D766C5D" w14:textId="38314999">
      <w:pPr>
        <w:pStyle w:val="Heading1"/>
      </w:pPr>
      <w:bookmarkStart w:id="184" w:name="_Toc68008841"/>
      <w:bookmarkStart w:id="185" w:name="_Toc68009007"/>
      <w:bookmarkStart w:id="186" w:name="_Toc68008842"/>
      <w:bookmarkStart w:id="187" w:name="_Toc68009008"/>
      <w:bookmarkStart w:id="188" w:name="_Toc68008843"/>
      <w:bookmarkStart w:id="189" w:name="_Toc68009009"/>
      <w:bookmarkStart w:id="190" w:name="_Toc68008844"/>
      <w:bookmarkStart w:id="191" w:name="_Toc68009010"/>
      <w:bookmarkStart w:id="192" w:name="_Toc68008845"/>
      <w:bookmarkStart w:id="193" w:name="_Toc68009011"/>
      <w:bookmarkStart w:id="194" w:name="_Toc68008846"/>
      <w:bookmarkStart w:id="195" w:name="_Toc68009012"/>
      <w:bookmarkStart w:id="196" w:name="_Toc68008847"/>
      <w:bookmarkStart w:id="197" w:name="_Toc68009013"/>
      <w:bookmarkStart w:id="198" w:name="_Toc68008848"/>
      <w:bookmarkStart w:id="199" w:name="_Toc68009014"/>
      <w:bookmarkStart w:id="200" w:name="_Toc68008849"/>
      <w:bookmarkStart w:id="201" w:name="_Toc68009015"/>
      <w:bookmarkStart w:id="202" w:name="_Toc68008850"/>
      <w:bookmarkStart w:id="203" w:name="_Toc68009016"/>
      <w:bookmarkStart w:id="204" w:name="_Toc68008851"/>
      <w:bookmarkStart w:id="205" w:name="_Toc68009017"/>
      <w:bookmarkStart w:id="206" w:name="_Toc68008852"/>
      <w:bookmarkStart w:id="207" w:name="_Toc68009018"/>
      <w:bookmarkStart w:id="208" w:name="_Toc68008853"/>
      <w:bookmarkStart w:id="209" w:name="_Toc68009019"/>
      <w:bookmarkStart w:id="210" w:name="_Toc68008854"/>
      <w:bookmarkStart w:id="211" w:name="_Toc68009020"/>
      <w:bookmarkStart w:id="212" w:name="_Toc68008855"/>
      <w:bookmarkStart w:id="213" w:name="_Toc68009021"/>
      <w:bookmarkStart w:id="214" w:name="_Toc68008856"/>
      <w:bookmarkStart w:id="215" w:name="_Toc68009022"/>
      <w:bookmarkStart w:id="216" w:name="_Toc68008857"/>
      <w:bookmarkStart w:id="217" w:name="_Toc68009023"/>
      <w:bookmarkStart w:id="218" w:name="_Toc68008858"/>
      <w:bookmarkStart w:id="219" w:name="_Toc68009024"/>
      <w:bookmarkStart w:id="220" w:name="_Toc68008897"/>
      <w:bookmarkStart w:id="221" w:name="_Toc68009063"/>
      <w:bookmarkStart w:id="222" w:name="_Toc68008901"/>
      <w:bookmarkStart w:id="223" w:name="_Toc68009067"/>
      <w:bookmarkStart w:id="224" w:name="_Toc68008902"/>
      <w:bookmarkStart w:id="225" w:name="_Toc68009068"/>
      <w:bookmarkStart w:id="226" w:name="_Toc209504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Pr="002D3263">
        <w:t xml:space="preserve"> </w:t>
      </w:r>
      <w:bookmarkStart w:id="227" w:name="_Toc127438081"/>
      <w:r w:rsidRPr="002D3263">
        <w:t>Summary</w:t>
      </w:r>
      <w:bookmarkEnd w:id="226"/>
      <w:bookmarkEnd w:id="227"/>
    </w:p>
    <w:p w:rsidR="00162E96" w:rsidRPr="002D3263" w:rsidP="00EF4CBB" w14:paraId="1327D333" w14:textId="4F55C8E9">
      <w:pPr>
        <w:pStyle w:val="Body"/>
        <w:widowControl/>
        <w:rPr>
          <w:color w:val="000000" w:themeColor="text1"/>
        </w:rPr>
      </w:pPr>
      <w:r w:rsidRPr="002D3263">
        <w:t xml:space="preserve">The Uniform Relocation Assistance and Real Property Acquisition Policies Act of 1970 (Uniform Act) provides important protections and assistance for people affected by </w:t>
      </w:r>
      <w:r w:rsidRPr="002D3263" w:rsidR="002F6403">
        <w:t xml:space="preserve">federally </w:t>
      </w:r>
      <w:r w:rsidRPr="002D3263">
        <w:t xml:space="preserve">funded projects. </w:t>
      </w:r>
      <w:r w:rsidR="000923B7">
        <w:t xml:space="preserve"> </w:t>
      </w:r>
      <w:r w:rsidRPr="002D3263">
        <w:t xml:space="preserve">Congress passed the law to safeguard people whose real property is acquired or who move from their homes, businesses, nonprofit organizations, or farms </w:t>
      </w:r>
      <w:r w:rsidRPr="002D3263">
        <w:t>as a result of</w:t>
      </w:r>
      <w:r w:rsidRPr="002D3263">
        <w:t xml:space="preserve"> projects receiving Federal funds. </w:t>
      </w:r>
      <w:r w:rsidR="000923B7">
        <w:t xml:space="preserve"> </w:t>
      </w:r>
      <w:r w:rsidRPr="002D3263">
        <w:t xml:space="preserve">The Moving Ahead for Progress in the 21st Century Act </w:t>
      </w:r>
      <w:r w:rsidRPr="002D3263">
        <w:rPr>
          <w:color w:val="000000" w:themeColor="text1"/>
        </w:rPr>
        <w:t>(MAP-21) modified the statutory payment levels for which displaced persons may be eligible under the Uniform Act’s implementing regulations</w:t>
      </w:r>
      <w:r w:rsidRPr="002D3263">
        <w:t>, necessitating the current rulemaking.</w:t>
      </w:r>
      <w:r w:rsidR="000923B7">
        <w:t xml:space="preserve"> </w:t>
      </w:r>
      <w:r w:rsidRPr="002D3263">
        <w:rPr>
          <w:color w:val="000000" w:themeColor="text1"/>
        </w:rPr>
        <w:t xml:space="preserve"> </w:t>
      </w:r>
      <w:r w:rsidR="007D41B2">
        <w:rPr>
          <w:color w:val="000000" w:themeColor="text1"/>
        </w:rPr>
        <w:t>In addition</w:t>
      </w:r>
      <w:r w:rsidRPr="002D3263">
        <w:rPr>
          <w:color w:val="000000" w:themeColor="text1"/>
        </w:rPr>
        <w:t xml:space="preserve">, the Federal Highway Administration </w:t>
      </w:r>
      <w:r w:rsidRPr="002D3263" w:rsidR="00736255">
        <w:rPr>
          <w:color w:val="000000" w:themeColor="text1"/>
        </w:rPr>
        <w:t xml:space="preserve">made </w:t>
      </w:r>
      <w:r w:rsidRPr="002D3263">
        <w:t xml:space="preserve">changes to wording and section organization </w:t>
      </w:r>
      <w:r w:rsidRPr="002D3263">
        <w:rPr>
          <w:color w:val="000000" w:themeColor="text1"/>
        </w:rPr>
        <w:t xml:space="preserve">to better reflect the Federal experience implementing Uniform Act </w:t>
      </w:r>
      <w:r w:rsidR="00C774F2">
        <w:rPr>
          <w:color w:val="000000" w:themeColor="text1"/>
        </w:rPr>
        <w:t>P</w:t>
      </w:r>
      <w:r w:rsidRPr="002D3263">
        <w:rPr>
          <w:color w:val="000000" w:themeColor="text1"/>
        </w:rPr>
        <w:t>rograms since the last comprehensive rulemaking for 49 CFR 24, which occurred in 2005. At the Federal level, 14</w:t>
      </w:r>
      <w:r w:rsidRPr="002D3263">
        <w:rPr>
          <w:color w:val="000000"/>
          <w:shd w:val="clear" w:color="auto" w:fill="FFFFFF"/>
        </w:rPr>
        <w:t xml:space="preserve"> departments and 5 independent </w:t>
      </w:r>
      <w:r w:rsidR="0059129A">
        <w:rPr>
          <w:color w:val="000000"/>
          <w:shd w:val="clear" w:color="auto" w:fill="FFFFFF"/>
        </w:rPr>
        <w:t>Agencies</w:t>
      </w:r>
      <w:r w:rsidRPr="002D3263">
        <w:rPr>
          <w:color w:val="000000"/>
          <w:shd w:val="clear" w:color="auto" w:fill="FFFFFF"/>
        </w:rPr>
        <w:t xml:space="preserve"> are subject to the Uniform Act,</w:t>
      </w:r>
      <w:r w:rsidRPr="002D3263">
        <w:rPr>
          <w:color w:val="000000" w:themeColor="text1"/>
        </w:rPr>
        <w:t xml:space="preserve"> and their input is reflected in the </w:t>
      </w:r>
      <w:r w:rsidRPr="002D3263" w:rsidR="009A2048">
        <w:rPr>
          <w:color w:val="000000" w:themeColor="text1"/>
        </w:rPr>
        <w:t>final rule</w:t>
      </w:r>
      <w:r w:rsidRPr="002D3263">
        <w:rPr>
          <w:color w:val="000000" w:themeColor="text1"/>
        </w:rPr>
        <w:t>.</w:t>
      </w:r>
    </w:p>
    <w:p w:rsidR="00162E96" w:rsidRPr="002D3263" w:rsidP="00EF4CBB" w14:paraId="79DE13D4" w14:textId="755DA478">
      <w:pPr>
        <w:pStyle w:val="Body"/>
        <w:widowControl/>
      </w:pPr>
      <w:r w:rsidRPr="002D3263">
        <w:t xml:space="preserve">The costs of the </w:t>
      </w:r>
      <w:r w:rsidRPr="002D3263" w:rsidR="00736255">
        <w:t xml:space="preserve">final </w:t>
      </w:r>
      <w:r w:rsidRPr="002D3263">
        <w:t xml:space="preserve">rule for all Uniform Act </w:t>
      </w:r>
      <w:r w:rsidR="0059129A">
        <w:t>Agencies</w:t>
      </w:r>
      <w:r w:rsidRPr="002D3263">
        <w:t xml:space="preserve"> are estimated to be $</w:t>
      </w:r>
      <w:r w:rsidRPr="002D3263" w:rsidR="00B44A61">
        <w:t>2.</w:t>
      </w:r>
      <w:r w:rsidRPr="002D3263" w:rsidR="009976D0">
        <w:t>2</w:t>
      </w:r>
      <w:r w:rsidRPr="002D3263">
        <w:t xml:space="preserve"> million when discounted at 7 percent and $</w:t>
      </w:r>
      <w:r w:rsidRPr="002D3263" w:rsidR="00BA64D1">
        <w:t>2</w:t>
      </w:r>
      <w:r w:rsidRPr="002D3263">
        <w:t>.</w:t>
      </w:r>
      <w:r w:rsidRPr="002D3263" w:rsidR="009976D0">
        <w:t>4</w:t>
      </w:r>
      <w:r w:rsidRPr="002D3263">
        <w:t xml:space="preserve"> million when discounted at 3 percent. </w:t>
      </w:r>
      <w:r w:rsidR="000923B7">
        <w:t xml:space="preserve"> </w:t>
      </w:r>
      <w:r w:rsidRPr="002D3263">
        <w:t>The 10-year annualized costs are estimated to be:</w:t>
      </w:r>
      <w:r w:rsidR="00842585">
        <w:t xml:space="preserve"> </w:t>
      </w:r>
      <w:r w:rsidRPr="002D3263">
        <w:t xml:space="preserve"> $</w:t>
      </w:r>
      <w:r w:rsidRPr="002D3263" w:rsidR="00B44A61">
        <w:t>3</w:t>
      </w:r>
      <w:r w:rsidRPr="002D3263" w:rsidR="009976D0">
        <w:t>1</w:t>
      </w:r>
      <w:r w:rsidR="004C4EEB">
        <w:t>1</w:t>
      </w:r>
      <w:r w:rsidRPr="002D3263" w:rsidR="00677604">
        <w:t>,000</w:t>
      </w:r>
      <w:r w:rsidRPr="002D3263">
        <w:t xml:space="preserve"> per year when discounted at 7 percent and $</w:t>
      </w:r>
      <w:r w:rsidRPr="002D3263" w:rsidR="00677604">
        <w:t>2</w:t>
      </w:r>
      <w:r w:rsidRPr="002D3263" w:rsidR="009976D0">
        <w:t>8</w:t>
      </w:r>
      <w:r w:rsidR="004C4EEB">
        <w:t>3</w:t>
      </w:r>
      <w:r w:rsidRPr="002D3263" w:rsidR="00677604">
        <w:t>,000</w:t>
      </w:r>
      <w:r w:rsidRPr="002D3263">
        <w:t xml:space="preserve"> per year when discounted at 3 percent. </w:t>
      </w:r>
      <w:r w:rsidR="000923B7">
        <w:t xml:space="preserve"> </w:t>
      </w:r>
      <w:r w:rsidRPr="002D3263">
        <w:t>The larger impact of this rule is in the form of transfers from the government to property owners whose real estate is acquired for Federal projects.</w:t>
      </w:r>
      <w:r w:rsidRPr="002D3263" w:rsidR="004410C8">
        <w:t xml:space="preserve"> </w:t>
      </w:r>
      <w:r w:rsidR="000923B7">
        <w:t xml:space="preserve"> </w:t>
      </w:r>
      <w:r w:rsidRPr="002D3263">
        <w:t xml:space="preserve">The estimated </w:t>
      </w:r>
      <w:r w:rsidRPr="002D3263">
        <w:t>amount</w:t>
      </w:r>
      <w:r w:rsidRPr="002D3263">
        <w:t xml:space="preserve"> of transfers </w:t>
      </w:r>
      <w:r w:rsidRPr="002D3263" w:rsidR="00B74BF4">
        <w:t xml:space="preserve">over the 10-year analysis period </w:t>
      </w:r>
      <w:r w:rsidRPr="002D3263">
        <w:t>resulting from this rule are $</w:t>
      </w:r>
      <w:r w:rsidR="004C4EEB">
        <w:t>16</w:t>
      </w:r>
      <w:r w:rsidR="00E711E2">
        <w:t>9.</w:t>
      </w:r>
      <w:r w:rsidR="004C4EEB">
        <w:t>5</w:t>
      </w:r>
      <w:r w:rsidRPr="002D3263">
        <w:t xml:space="preserve"> million when discounted at 7 percent and $</w:t>
      </w:r>
      <w:r w:rsidR="004C4EEB">
        <w:t>2</w:t>
      </w:r>
      <w:r w:rsidR="00E711E2">
        <w:t>14.6</w:t>
      </w:r>
      <w:r w:rsidRPr="002D3263">
        <w:t xml:space="preserve"> million when discounted at </w:t>
      </w:r>
      <w:r w:rsidRPr="002D3263" w:rsidR="00690E44">
        <w:t xml:space="preserve">3 </w:t>
      </w:r>
      <w:r w:rsidRPr="002D3263">
        <w:t>percent</w:t>
      </w:r>
      <w:r w:rsidRPr="002D3263" w:rsidR="009976D0">
        <w:t xml:space="preserve"> or roughly $</w:t>
      </w:r>
      <w:r w:rsidR="004C4EEB">
        <w:t>2</w:t>
      </w:r>
      <w:r w:rsidR="00E711E2">
        <w:t>4.1</w:t>
      </w:r>
      <w:r w:rsidRPr="002D3263" w:rsidR="009976D0">
        <w:t xml:space="preserve"> million per year when annualized at 7 percent or $</w:t>
      </w:r>
      <w:r w:rsidR="004C4EEB">
        <w:t>2</w:t>
      </w:r>
      <w:r w:rsidR="00E711E2">
        <w:t>5.2</w:t>
      </w:r>
      <w:r w:rsidRPr="002D3263" w:rsidR="009976D0">
        <w:t xml:space="preserve"> million per year when annualized at 3 percent</w:t>
      </w:r>
      <w:r w:rsidRPr="002D3263">
        <w:t xml:space="preserve">. </w:t>
      </w:r>
      <w:r w:rsidR="000923B7">
        <w:t xml:space="preserve"> </w:t>
      </w:r>
      <w:r w:rsidRPr="002D3263">
        <w:t xml:space="preserve">This rule can therefore be thought of as predominantly a transfer rule, as the estimated costs are significantly smaller than the estimated transfers. </w:t>
      </w:r>
      <w:r w:rsidR="000923B7">
        <w:t xml:space="preserve"> </w:t>
      </w:r>
      <w:r w:rsidRPr="002D3263">
        <w:t xml:space="preserve">The FHWA was the only </w:t>
      </w:r>
      <w:r w:rsidR="007D41B2">
        <w:t>A</w:t>
      </w:r>
      <w:r w:rsidRPr="002D3263">
        <w:t xml:space="preserve">gency that provided data upon which to base estimates of the </w:t>
      </w:r>
      <w:r w:rsidRPr="002D3263">
        <w:t>transfers.</w:t>
      </w:r>
      <w:r w:rsidR="000923B7">
        <w:t xml:space="preserve"> </w:t>
      </w:r>
      <w:r w:rsidRPr="002D3263">
        <w:t xml:space="preserve"> Therefore, the magnitude of the change in transfers for all Federal </w:t>
      </w:r>
      <w:r w:rsidR="0059129A">
        <w:t>Agencies</w:t>
      </w:r>
      <w:r w:rsidRPr="002D3263">
        <w:t xml:space="preserve"> may be larger than is reported here.</w:t>
      </w:r>
    </w:p>
    <w:p w:rsidR="00162E96" w:rsidRPr="002D3263" w:rsidP="00EF4CBB" w14:paraId="719B7F43" w14:textId="0B6CED4A">
      <w:pPr>
        <w:pStyle w:val="Body"/>
        <w:widowControl/>
      </w:pPr>
      <w:r w:rsidRPr="002D3263">
        <w:t xml:space="preserve">The bulk of the estimated costs are related to updating program materials to reflect the changes in the </w:t>
      </w:r>
      <w:r w:rsidRPr="002D3263" w:rsidR="00736255">
        <w:t xml:space="preserve">final </w:t>
      </w:r>
      <w:r w:rsidRPr="002D3263">
        <w:t>rule.</w:t>
      </w:r>
      <w:r w:rsidRPr="002D3263" w:rsidR="004410C8">
        <w:t xml:space="preserve"> </w:t>
      </w:r>
      <w:r w:rsidR="000923B7">
        <w:t xml:space="preserve"> </w:t>
      </w:r>
      <w:r w:rsidRPr="002D3263">
        <w:t>In addition, some minor</w:t>
      </w:r>
      <w:r w:rsidRPr="002D3263" w:rsidR="00E72757">
        <w:t xml:space="preserve"> </w:t>
      </w:r>
      <w:r w:rsidRPr="002D3263" w:rsidR="001E44DA">
        <w:t xml:space="preserve">recipient and Federal </w:t>
      </w:r>
      <w:r w:rsidR="007D41B2">
        <w:t>A</w:t>
      </w:r>
      <w:r w:rsidRPr="002D3263" w:rsidR="001E44DA">
        <w:t>gency</w:t>
      </w:r>
      <w:r w:rsidRPr="002D3263">
        <w:t xml:space="preserve"> administrative cost savings have been estimated. </w:t>
      </w:r>
      <w:r w:rsidR="000923B7">
        <w:t xml:space="preserve"> </w:t>
      </w:r>
      <w:r w:rsidRPr="002D3263">
        <w:t xml:space="preserve">Again, FHWA was the only </w:t>
      </w:r>
      <w:r w:rsidR="007D41B2">
        <w:t>A</w:t>
      </w:r>
      <w:r w:rsidRPr="002D3263">
        <w:t xml:space="preserve">gency that had a detailed data set available for its Uniform Act </w:t>
      </w:r>
      <w:r w:rsidR="00E127F3">
        <w:t>P</w:t>
      </w:r>
      <w:r w:rsidRPr="002D3263">
        <w:t xml:space="preserve">rogram, and therefore only the administrative cost savings to FHWA have been estimated here. </w:t>
      </w:r>
      <w:r w:rsidR="000923B7">
        <w:t xml:space="preserve"> </w:t>
      </w:r>
      <w:r w:rsidRPr="002D3263">
        <w:t xml:space="preserve">Based on communications with other Uniform Act </w:t>
      </w:r>
      <w:r w:rsidR="0059129A">
        <w:t>Agencies</w:t>
      </w:r>
      <w:r w:rsidRPr="002D3263">
        <w:t xml:space="preserve">, FHWA analysts believe that FHWA has the largest Uniform Act </w:t>
      </w:r>
      <w:r w:rsidR="002464DA">
        <w:t>P</w:t>
      </w:r>
      <w:r w:rsidRPr="002D3263">
        <w:t xml:space="preserve">rogram; however, other </w:t>
      </w:r>
      <w:r w:rsidR="0059129A">
        <w:t>Agencies</w:t>
      </w:r>
      <w:r w:rsidRPr="002D3263">
        <w:t xml:space="preserve"> have sizable programs as well. </w:t>
      </w:r>
      <w:r w:rsidR="000923B7">
        <w:t xml:space="preserve"> </w:t>
      </w:r>
      <w:r w:rsidRPr="002D3263">
        <w:t xml:space="preserve">Therefore, the total cost savings across all </w:t>
      </w:r>
      <w:r w:rsidR="0059129A">
        <w:t>Agencies</w:t>
      </w:r>
      <w:r w:rsidRPr="002D3263">
        <w:t xml:space="preserve"> will likely be larger.</w:t>
      </w:r>
      <w:r w:rsidRPr="002D3263" w:rsidR="004410C8">
        <w:t xml:space="preserve"> </w:t>
      </w:r>
    </w:p>
    <w:p w:rsidR="00162E96" w:rsidRPr="002D3263" w:rsidP="00EF4CBB" w14:paraId="1B74C63F" w14:textId="713EE7F9">
      <w:pPr>
        <w:pStyle w:val="Body"/>
        <w:widowControl/>
      </w:pPr>
      <w:r w:rsidRPr="002D3263">
        <w:t xml:space="preserve">The benefits of the </w:t>
      </w:r>
      <w:r w:rsidRPr="002D3263" w:rsidR="00736255">
        <w:t>final</w:t>
      </w:r>
      <w:r w:rsidRPr="002D3263">
        <w:t xml:space="preserve"> rule primarily relate to improved equity and fairness to entities that are displaced from their properties or that move </w:t>
      </w:r>
      <w:r w:rsidRPr="002D3263">
        <w:t>as a result of</w:t>
      </w:r>
      <w:r w:rsidRPr="002D3263">
        <w:t xml:space="preserve"> projects receiving Federal funds. </w:t>
      </w:r>
      <w:r w:rsidR="000923B7">
        <w:t xml:space="preserve"> </w:t>
      </w:r>
      <w:r w:rsidRPr="002D3263">
        <w:t xml:space="preserve">For example, the </w:t>
      </w:r>
      <w:r w:rsidRPr="002D3263" w:rsidR="00736255">
        <w:t>final</w:t>
      </w:r>
      <w:r w:rsidRPr="002D3263">
        <w:t xml:space="preserve"> rule raises the statutory maximums for payments to displaced entities to assist with the re</w:t>
      </w:r>
      <w:r w:rsidR="00732A88">
        <w:t>-</w:t>
      </w:r>
      <w:r w:rsidRPr="002D3263">
        <w:t xml:space="preserve">establishment of the business, farm, or nonprofit organization. </w:t>
      </w:r>
      <w:r w:rsidR="000923B7">
        <w:t xml:space="preserve"> </w:t>
      </w:r>
      <w:r w:rsidRPr="002D3263">
        <w:t>There is strong evidence that entities experience re</w:t>
      </w:r>
      <w:r w:rsidR="00732A88">
        <w:t>-</w:t>
      </w:r>
      <w:r w:rsidRPr="002D3263">
        <w:t>establishment costs well above the current maximum amount.</w:t>
      </w:r>
      <w:r w:rsidR="000923B7">
        <w:t xml:space="preserve"> </w:t>
      </w:r>
      <w:r w:rsidRPr="002D3263">
        <w:t xml:space="preserve"> Raising the maximum payment levels will compensate those entities more fairly and equitably for the negative impacts they experience </w:t>
      </w:r>
      <w:r w:rsidRPr="002D3263">
        <w:t>as a result of</w:t>
      </w:r>
      <w:r w:rsidRPr="002D3263">
        <w:t xml:space="preserve"> a Federal or </w:t>
      </w:r>
      <w:r w:rsidRPr="002D3263" w:rsidR="002F6403">
        <w:t xml:space="preserve">federally </w:t>
      </w:r>
      <w:r w:rsidRPr="002D3263">
        <w:t xml:space="preserve">assisted project. </w:t>
      </w:r>
      <w:r w:rsidR="000923B7">
        <w:t xml:space="preserve"> </w:t>
      </w:r>
      <w:r w:rsidRPr="002D3263">
        <w:t xml:space="preserve">However, the fairness and equity benefits of the </w:t>
      </w:r>
      <w:r w:rsidRPr="002D3263" w:rsidR="00736255">
        <w:t>final</w:t>
      </w:r>
      <w:r w:rsidRPr="002D3263">
        <w:t xml:space="preserve"> rule cannot be quantified or monetized. </w:t>
      </w:r>
      <w:r w:rsidR="000923B7">
        <w:t xml:space="preserve"> </w:t>
      </w:r>
      <w:r w:rsidRPr="002D3263">
        <w:t>The higher level of payments may also contribute to more entities being able to successfully re</w:t>
      </w:r>
      <w:r w:rsidR="00732A88">
        <w:t>-</w:t>
      </w:r>
      <w:r w:rsidRPr="002D3263">
        <w:t>establish after displacement.</w:t>
      </w:r>
    </w:p>
    <w:p w:rsidR="00162E96" w:rsidRPr="002D3263" w:rsidP="00EF4CBB" w14:paraId="3E4F1DEF" w14:textId="10B20E2C">
      <w:pPr>
        <w:pStyle w:val="Body"/>
        <w:widowControl/>
      </w:pPr>
      <w:r w:rsidRPr="002D3263">
        <w:t xml:space="preserve">The </w:t>
      </w:r>
      <w:r w:rsidRPr="002D3263" w:rsidR="00736255">
        <w:t>final</w:t>
      </w:r>
      <w:r w:rsidRPr="002D3263">
        <w:t xml:space="preserve"> rule contains changes, such as a requirement for annual reporting, that can be expected to improve transparency, and, therefore, oversight of the program. </w:t>
      </w:r>
      <w:r w:rsidR="000923B7">
        <w:t xml:space="preserve"> </w:t>
      </w:r>
      <w:r w:rsidRPr="002D3263">
        <w:t xml:space="preserve">Again, that benefit cannot be quantified or monetized. </w:t>
      </w:r>
    </w:p>
    <w:p w:rsidR="00162E96" w:rsidRPr="002D3263" w:rsidP="00EF4CBB" w14:paraId="2D9986CB" w14:textId="604E5458">
      <w:pPr>
        <w:pStyle w:val="Body"/>
        <w:widowControl/>
      </w:pPr>
      <w:r w:rsidRPr="002D3263">
        <w:t xml:space="preserve">The table below offers a summary of the costs and benefits of the </w:t>
      </w:r>
      <w:r w:rsidRPr="002D3263" w:rsidR="00736255">
        <w:t>final</w:t>
      </w:r>
      <w:r w:rsidRPr="002D3263">
        <w:t xml:space="preserve"> rule over the 10-year analysis period.</w:t>
      </w:r>
      <w:r w:rsidR="000923B7">
        <w:t xml:space="preserve"> </w:t>
      </w:r>
      <w:r w:rsidRPr="002D3263">
        <w:t xml:space="preserve"> Given that</w:t>
      </w:r>
      <w:r w:rsidRPr="002D3263" w:rsidR="00671F03">
        <w:t xml:space="preserve"> </w:t>
      </w:r>
      <w:r w:rsidRPr="002D3263">
        <w:t xml:space="preserve">the benefits of the rule related to equity and fairness have not been quantified, it would be misleading to report a calculation of net benefits for this </w:t>
      </w:r>
      <w:r w:rsidRPr="002D3263" w:rsidR="00736255">
        <w:t>final</w:t>
      </w:r>
      <w:r w:rsidRPr="002D3263">
        <w:t xml:space="preserve"> rule. </w:t>
      </w:r>
      <w:r w:rsidR="000923B7">
        <w:t xml:space="preserve"> </w:t>
      </w:r>
      <w:r w:rsidRPr="002D3263">
        <w:t>Nonetheless, the benefits related to equity and fairness are believed to be sufficient t</w:t>
      </w:r>
      <w:r w:rsidRPr="002D3263" w:rsidR="00DD4F27">
        <w:t>o justify the cost of the rule.</w:t>
      </w:r>
    </w:p>
    <w:p w:rsidR="00BA64D1" w:rsidRPr="002D3263" w:rsidP="00D6005F" w14:paraId="3E9E0A42" w14:textId="61241CCF">
      <w:pPr>
        <w:pStyle w:val="Caption"/>
      </w:pPr>
      <w:r w:rsidRPr="002D3263">
        <w:t>Summary of Costs and Benefits for Analysis Period 202</w:t>
      </w:r>
      <w:r w:rsidRPr="002D3263" w:rsidR="00B44A61">
        <w:t>3</w:t>
      </w:r>
      <w:r w:rsidRPr="002D3263">
        <w:t>-203</w:t>
      </w:r>
      <w:r w:rsidRPr="002D3263" w:rsidR="00B44A61">
        <w:t>2</w:t>
      </w:r>
    </w:p>
    <w:tbl>
      <w:tblPr>
        <w:tblW w:w="9450" w:type="dxa"/>
        <w:tblLayout w:type="fixed"/>
        <w:tblLook w:val="04A0"/>
      </w:tblPr>
      <w:tblGrid>
        <w:gridCol w:w="2970"/>
        <w:gridCol w:w="1620"/>
        <w:gridCol w:w="1620"/>
        <w:gridCol w:w="1620"/>
        <w:gridCol w:w="1620"/>
      </w:tblGrid>
      <w:tr w14:paraId="56374872" w14:textId="77777777" w:rsidTr="002B6909">
        <w:tblPrEx>
          <w:tblW w:w="9450" w:type="dxa"/>
          <w:tblLayout w:type="fixed"/>
          <w:tblLook w:val="04A0"/>
        </w:tblPrEx>
        <w:trPr>
          <w:trHeight w:val="80"/>
        </w:trPr>
        <w:tc>
          <w:tcPr>
            <w:tcW w:w="2970" w:type="dxa"/>
            <w:tcBorders>
              <w:bottom w:val="single" w:sz="4" w:space="0" w:color="auto"/>
              <w:right w:val="nil"/>
            </w:tcBorders>
            <w:shd w:val="clear" w:color="auto" w:fill="auto"/>
            <w:noWrap/>
            <w:vAlign w:val="bottom"/>
            <w:hideMark/>
          </w:tcPr>
          <w:p w:rsidR="00BA64D1" w:rsidRPr="002D3263" w:rsidP="0002327A" w14:paraId="4FFC60B7" w14:textId="77777777">
            <w:pPr>
              <w:keepNext/>
              <w:widowControl/>
              <w:spacing w:line="240" w:lineRule="auto"/>
              <w:jc w:val="center"/>
              <w:rPr>
                <w:rFonts w:eastAsia="Times New Roman" w:cs="Times New Roman"/>
                <w:b/>
                <w:bCs/>
                <w:color w:val="000000"/>
              </w:rPr>
            </w:pPr>
            <w:r w:rsidRPr="002D3263">
              <w:rPr>
                <w:rFonts w:ascii="Calibri" w:hAnsi="Calibri"/>
                <w:b/>
                <w:bCs/>
                <w:color w:val="000000"/>
              </w:rPr>
              <w:t>Item</w:t>
            </w:r>
          </w:p>
        </w:tc>
        <w:tc>
          <w:tcPr>
            <w:tcW w:w="1620" w:type="dxa"/>
            <w:tcBorders>
              <w:left w:val="nil"/>
              <w:bottom w:val="single" w:sz="4" w:space="0" w:color="auto"/>
              <w:right w:val="nil"/>
            </w:tcBorders>
            <w:shd w:val="clear" w:color="auto" w:fill="auto"/>
            <w:noWrap/>
            <w:vAlign w:val="bottom"/>
            <w:hideMark/>
          </w:tcPr>
          <w:p w:rsidR="00BA64D1" w:rsidRPr="002D3263" w:rsidP="00093828" w14:paraId="2017250C" w14:textId="77777777">
            <w:pPr>
              <w:keepNext/>
              <w:widowControl/>
              <w:spacing w:line="240" w:lineRule="auto"/>
              <w:jc w:val="center"/>
              <w:rPr>
                <w:rFonts w:eastAsia="Times New Roman" w:cs="Times New Roman"/>
                <w:b/>
                <w:bCs/>
                <w:color w:val="000000"/>
              </w:rPr>
            </w:pPr>
            <w:r w:rsidRPr="002D3263">
              <w:rPr>
                <w:rFonts w:ascii="Calibri" w:hAnsi="Calibri"/>
                <w:b/>
                <w:bCs/>
                <w:color w:val="000000"/>
              </w:rPr>
              <w:t>Discounted 7%</w:t>
            </w:r>
          </w:p>
        </w:tc>
        <w:tc>
          <w:tcPr>
            <w:tcW w:w="1620" w:type="dxa"/>
            <w:tcBorders>
              <w:left w:val="nil"/>
              <w:bottom w:val="single" w:sz="4" w:space="0" w:color="auto"/>
              <w:right w:val="nil"/>
            </w:tcBorders>
            <w:shd w:val="clear" w:color="auto" w:fill="auto"/>
            <w:noWrap/>
            <w:vAlign w:val="bottom"/>
            <w:hideMark/>
          </w:tcPr>
          <w:p w:rsidR="00BA64D1" w:rsidRPr="002D3263" w:rsidP="00D2312D" w14:paraId="32F50BA9" w14:textId="77777777">
            <w:pPr>
              <w:keepNext/>
              <w:widowControl/>
              <w:spacing w:line="240" w:lineRule="auto"/>
              <w:jc w:val="center"/>
              <w:rPr>
                <w:rFonts w:eastAsia="Times New Roman" w:cs="Times New Roman"/>
                <w:b/>
                <w:bCs/>
                <w:color w:val="000000"/>
              </w:rPr>
            </w:pPr>
            <w:r w:rsidRPr="002D3263">
              <w:rPr>
                <w:rFonts w:ascii="Calibri" w:hAnsi="Calibri"/>
                <w:b/>
                <w:bCs/>
                <w:color w:val="000000"/>
              </w:rPr>
              <w:t>Discounted 3%</w:t>
            </w:r>
          </w:p>
        </w:tc>
        <w:tc>
          <w:tcPr>
            <w:tcW w:w="1620" w:type="dxa"/>
            <w:tcBorders>
              <w:left w:val="nil"/>
              <w:bottom w:val="single" w:sz="4" w:space="0" w:color="auto"/>
            </w:tcBorders>
            <w:shd w:val="clear" w:color="auto" w:fill="auto"/>
            <w:noWrap/>
            <w:vAlign w:val="bottom"/>
            <w:hideMark/>
          </w:tcPr>
          <w:p w:rsidR="00BA64D1" w:rsidRPr="002D3263" w:rsidP="001E7137" w14:paraId="7DCD251D" w14:textId="77777777">
            <w:pPr>
              <w:keepNext/>
              <w:widowControl/>
              <w:spacing w:line="240" w:lineRule="auto"/>
              <w:jc w:val="center"/>
              <w:rPr>
                <w:rFonts w:eastAsia="Times New Roman" w:cs="Times New Roman"/>
                <w:b/>
                <w:bCs/>
                <w:color w:val="000000"/>
              </w:rPr>
            </w:pPr>
            <w:r w:rsidRPr="002D3263">
              <w:rPr>
                <w:rFonts w:ascii="Calibri" w:hAnsi="Calibri"/>
                <w:b/>
                <w:bCs/>
                <w:color w:val="000000"/>
              </w:rPr>
              <w:t>Annualized 7%</w:t>
            </w:r>
          </w:p>
        </w:tc>
        <w:tc>
          <w:tcPr>
            <w:tcW w:w="1620" w:type="dxa"/>
            <w:tcBorders>
              <w:left w:val="nil"/>
              <w:bottom w:val="single" w:sz="4" w:space="0" w:color="auto"/>
            </w:tcBorders>
            <w:vAlign w:val="bottom"/>
          </w:tcPr>
          <w:p w:rsidR="00BA64D1" w:rsidRPr="002D3263" w:rsidP="00EF4CBB" w14:paraId="4215B7C1" w14:textId="77777777">
            <w:pPr>
              <w:keepNext/>
              <w:widowControl/>
              <w:spacing w:line="240" w:lineRule="auto"/>
              <w:jc w:val="center"/>
              <w:rPr>
                <w:rFonts w:eastAsia="Times New Roman" w:cs="Times New Roman"/>
                <w:b/>
                <w:bCs/>
                <w:color w:val="000000"/>
              </w:rPr>
            </w:pPr>
            <w:r w:rsidRPr="002D3263">
              <w:rPr>
                <w:rFonts w:ascii="Calibri" w:hAnsi="Calibri"/>
                <w:b/>
                <w:bCs/>
                <w:color w:val="000000"/>
              </w:rPr>
              <w:t>Annualized 3%</w:t>
            </w:r>
          </w:p>
        </w:tc>
      </w:tr>
      <w:tr w14:paraId="3EE08F64" w14:textId="77777777" w:rsidTr="002B6909">
        <w:tblPrEx>
          <w:tblW w:w="9450" w:type="dxa"/>
          <w:tblLayout w:type="fixed"/>
          <w:tblLook w:val="04A0"/>
        </w:tblPrEx>
        <w:trPr>
          <w:trHeight w:val="174"/>
        </w:trPr>
        <w:tc>
          <w:tcPr>
            <w:tcW w:w="2970" w:type="dxa"/>
            <w:tcBorders>
              <w:top w:val="nil"/>
              <w:bottom w:val="nil"/>
              <w:right w:val="nil"/>
            </w:tcBorders>
            <w:shd w:val="clear" w:color="auto" w:fill="auto"/>
            <w:noWrap/>
            <w:hideMark/>
          </w:tcPr>
          <w:p w:rsidR="00BA64D1" w:rsidRPr="002D3263" w:rsidP="0002327A" w14:paraId="21E31562" w14:textId="77777777">
            <w:pPr>
              <w:keepNext/>
              <w:widowControl/>
              <w:spacing w:line="240" w:lineRule="auto"/>
              <w:rPr>
                <w:rFonts w:eastAsia="Times New Roman" w:cs="Times New Roman"/>
                <w:b/>
                <w:bCs/>
                <w:color w:val="000000"/>
              </w:rPr>
            </w:pPr>
            <w:r w:rsidRPr="002D3263">
              <w:rPr>
                <w:rFonts w:ascii="Calibri" w:hAnsi="Calibri"/>
                <w:b/>
                <w:bCs/>
                <w:color w:val="000000"/>
              </w:rPr>
              <w:t>Costs</w:t>
            </w:r>
          </w:p>
        </w:tc>
        <w:tc>
          <w:tcPr>
            <w:tcW w:w="1620" w:type="dxa"/>
            <w:tcBorders>
              <w:top w:val="nil"/>
              <w:left w:val="nil"/>
              <w:bottom w:val="nil"/>
              <w:right w:val="nil"/>
            </w:tcBorders>
            <w:shd w:val="clear" w:color="auto" w:fill="auto"/>
            <w:noWrap/>
            <w:vAlign w:val="bottom"/>
            <w:hideMark/>
          </w:tcPr>
          <w:p w:rsidR="00BA64D1" w:rsidRPr="002D3263" w:rsidP="0002327A" w14:paraId="1FB80D85" w14:textId="77777777">
            <w:pPr>
              <w:keepNext/>
              <w:widowControl/>
              <w:spacing w:line="240" w:lineRule="auto"/>
              <w:rPr>
                <w:rFonts w:eastAsia="Times New Roman" w:cs="Times New Roman"/>
                <w:color w:val="000000"/>
              </w:rPr>
            </w:pPr>
            <w:r w:rsidRPr="002D3263">
              <w:rPr>
                <w:rFonts w:ascii="Calibri" w:hAnsi="Calibri"/>
                <w:color w:val="000000"/>
              </w:rPr>
              <w:t> </w:t>
            </w:r>
          </w:p>
        </w:tc>
        <w:tc>
          <w:tcPr>
            <w:tcW w:w="1620" w:type="dxa"/>
            <w:tcBorders>
              <w:top w:val="nil"/>
              <w:left w:val="nil"/>
              <w:bottom w:val="nil"/>
              <w:right w:val="nil"/>
            </w:tcBorders>
            <w:shd w:val="clear" w:color="auto" w:fill="auto"/>
            <w:noWrap/>
            <w:vAlign w:val="bottom"/>
            <w:hideMark/>
          </w:tcPr>
          <w:p w:rsidR="00BA64D1" w:rsidRPr="002D3263" w:rsidP="00093828" w14:paraId="72EB74A4" w14:textId="77777777">
            <w:pPr>
              <w:keepNext/>
              <w:widowControl/>
              <w:spacing w:line="240" w:lineRule="auto"/>
              <w:rPr>
                <w:rFonts w:eastAsia="Times New Roman" w:cs="Times New Roman"/>
                <w:color w:val="000000"/>
              </w:rPr>
            </w:pPr>
            <w:r w:rsidRPr="002D3263">
              <w:rPr>
                <w:rFonts w:ascii="Calibri" w:hAnsi="Calibri"/>
                <w:color w:val="000000"/>
              </w:rPr>
              <w:t> </w:t>
            </w:r>
          </w:p>
        </w:tc>
        <w:tc>
          <w:tcPr>
            <w:tcW w:w="1620" w:type="dxa"/>
            <w:tcBorders>
              <w:top w:val="nil"/>
              <w:left w:val="nil"/>
              <w:bottom w:val="nil"/>
            </w:tcBorders>
            <w:shd w:val="clear" w:color="auto" w:fill="auto"/>
            <w:noWrap/>
            <w:vAlign w:val="bottom"/>
            <w:hideMark/>
          </w:tcPr>
          <w:p w:rsidR="00BA64D1" w:rsidRPr="002D3263" w:rsidP="00D2312D" w14:paraId="4DE6A2CD" w14:textId="77777777">
            <w:pPr>
              <w:keepNext/>
              <w:widowControl/>
              <w:spacing w:line="240" w:lineRule="auto"/>
              <w:rPr>
                <w:rFonts w:eastAsia="Times New Roman" w:cs="Times New Roman"/>
                <w:color w:val="000000"/>
              </w:rPr>
            </w:pPr>
          </w:p>
        </w:tc>
        <w:tc>
          <w:tcPr>
            <w:tcW w:w="1620" w:type="dxa"/>
            <w:tcBorders>
              <w:top w:val="nil"/>
              <w:left w:val="nil"/>
              <w:bottom w:val="nil"/>
            </w:tcBorders>
            <w:vAlign w:val="bottom"/>
          </w:tcPr>
          <w:p w:rsidR="00BA64D1" w:rsidRPr="002D3263" w:rsidP="001E7137" w14:paraId="2400699E" w14:textId="77777777">
            <w:pPr>
              <w:keepNext/>
              <w:widowControl/>
              <w:spacing w:line="240" w:lineRule="auto"/>
              <w:rPr>
                <w:rFonts w:eastAsia="Times New Roman" w:cs="Times New Roman"/>
                <w:color w:val="000000"/>
              </w:rPr>
            </w:pPr>
            <w:r w:rsidRPr="002D3263">
              <w:rPr>
                <w:rFonts w:ascii="Calibri" w:hAnsi="Calibri"/>
                <w:color w:val="000000"/>
              </w:rPr>
              <w:t> </w:t>
            </w:r>
          </w:p>
        </w:tc>
      </w:tr>
      <w:tr w14:paraId="477AB87F" w14:textId="77777777" w:rsidTr="00BC5A99">
        <w:tblPrEx>
          <w:tblW w:w="9450" w:type="dxa"/>
          <w:tblLayout w:type="fixed"/>
          <w:tblLook w:val="04A0"/>
        </w:tblPrEx>
        <w:trPr>
          <w:trHeight w:val="181"/>
        </w:trPr>
        <w:tc>
          <w:tcPr>
            <w:tcW w:w="2970" w:type="dxa"/>
            <w:tcBorders>
              <w:top w:val="nil"/>
              <w:bottom w:val="nil"/>
              <w:right w:val="nil"/>
            </w:tcBorders>
            <w:shd w:val="clear" w:color="auto" w:fill="auto"/>
            <w:noWrap/>
            <w:hideMark/>
          </w:tcPr>
          <w:p w:rsidR="00B44A61" w:rsidRPr="002D3263" w:rsidP="00B44A61" w14:paraId="47E9C39F" w14:textId="77777777">
            <w:pPr>
              <w:keepNext/>
              <w:widowControl/>
              <w:spacing w:line="240" w:lineRule="auto"/>
              <w:ind w:left="288"/>
              <w:rPr>
                <w:rFonts w:eastAsia="Times New Roman" w:cs="Times New Roman"/>
                <w:color w:val="000000"/>
              </w:rPr>
            </w:pPr>
            <w:r w:rsidRPr="002D3263">
              <w:rPr>
                <w:rFonts w:ascii="Calibri" w:hAnsi="Calibri" w:cs="Calibri"/>
                <w:color w:val="000000"/>
              </w:rPr>
              <w:t>Reverse Mortgages</w:t>
            </w:r>
          </w:p>
        </w:tc>
        <w:tc>
          <w:tcPr>
            <w:tcW w:w="1620" w:type="dxa"/>
            <w:tcBorders>
              <w:top w:val="nil"/>
              <w:left w:val="nil"/>
              <w:bottom w:val="nil"/>
              <w:right w:val="nil"/>
            </w:tcBorders>
            <w:shd w:val="clear" w:color="auto" w:fill="auto"/>
            <w:noWrap/>
            <w:vAlign w:val="center"/>
          </w:tcPr>
          <w:p w:rsidR="00B44A61" w:rsidRPr="002D3263" w:rsidP="009976D0" w14:paraId="6E0291DC" w14:textId="4A2C9E27">
            <w:pPr>
              <w:widowControl/>
              <w:jc w:val="right"/>
              <w:rPr>
                <w:rFonts w:ascii="Calibri" w:hAnsi="Calibri"/>
              </w:rPr>
            </w:pPr>
            <w:r w:rsidRPr="002D3263">
              <w:rPr>
                <w:rFonts w:ascii="Calibri" w:hAnsi="Calibri" w:cs="Calibri"/>
              </w:rPr>
              <w:t xml:space="preserve">$29,046 </w:t>
            </w:r>
          </w:p>
        </w:tc>
        <w:tc>
          <w:tcPr>
            <w:tcW w:w="1620" w:type="dxa"/>
            <w:tcBorders>
              <w:top w:val="nil"/>
              <w:left w:val="nil"/>
              <w:bottom w:val="nil"/>
              <w:right w:val="nil"/>
            </w:tcBorders>
            <w:shd w:val="clear" w:color="auto" w:fill="auto"/>
            <w:noWrap/>
            <w:vAlign w:val="center"/>
          </w:tcPr>
          <w:p w:rsidR="00B44A61" w:rsidRPr="002D3263" w:rsidP="009976D0" w14:paraId="73A2A2B9" w14:textId="4861C5D8">
            <w:pPr>
              <w:widowControl/>
              <w:jc w:val="right"/>
              <w:rPr>
                <w:rFonts w:ascii="Calibri" w:hAnsi="Calibri"/>
              </w:rPr>
            </w:pPr>
            <w:r w:rsidRPr="002D3263">
              <w:rPr>
                <w:rFonts w:ascii="Calibri" w:hAnsi="Calibri" w:cs="Calibri"/>
              </w:rPr>
              <w:t xml:space="preserve">$36,647 </w:t>
            </w:r>
          </w:p>
        </w:tc>
        <w:tc>
          <w:tcPr>
            <w:tcW w:w="1620" w:type="dxa"/>
            <w:tcBorders>
              <w:top w:val="nil"/>
              <w:left w:val="nil"/>
              <w:bottom w:val="nil"/>
            </w:tcBorders>
            <w:shd w:val="clear" w:color="auto" w:fill="auto"/>
            <w:noWrap/>
            <w:vAlign w:val="center"/>
          </w:tcPr>
          <w:p w:rsidR="00B44A61" w:rsidRPr="002D3263" w:rsidP="009976D0" w14:paraId="41499283" w14:textId="30695D98">
            <w:pPr>
              <w:widowControl/>
              <w:jc w:val="right"/>
              <w:rPr>
                <w:rFonts w:ascii="Calibri" w:hAnsi="Calibri"/>
              </w:rPr>
            </w:pPr>
            <w:r w:rsidRPr="002D3263">
              <w:rPr>
                <w:rFonts w:ascii="Calibri" w:hAnsi="Calibri" w:cs="Calibri"/>
              </w:rPr>
              <w:t xml:space="preserve">$4,136 </w:t>
            </w:r>
          </w:p>
        </w:tc>
        <w:tc>
          <w:tcPr>
            <w:tcW w:w="1620" w:type="dxa"/>
            <w:tcBorders>
              <w:top w:val="nil"/>
              <w:left w:val="nil"/>
              <w:bottom w:val="nil"/>
            </w:tcBorders>
            <w:vAlign w:val="center"/>
          </w:tcPr>
          <w:p w:rsidR="00B44A61" w:rsidRPr="002D3263" w:rsidP="009976D0" w14:paraId="3E867672" w14:textId="6F9D1AE1">
            <w:pPr>
              <w:widowControl/>
              <w:jc w:val="right"/>
              <w:rPr>
                <w:rFonts w:ascii="Calibri" w:hAnsi="Calibri"/>
              </w:rPr>
            </w:pPr>
            <w:r w:rsidRPr="002D3263">
              <w:rPr>
                <w:rFonts w:ascii="Calibri" w:hAnsi="Calibri" w:cs="Calibri"/>
              </w:rPr>
              <w:t xml:space="preserve">$4,296 </w:t>
            </w:r>
          </w:p>
        </w:tc>
      </w:tr>
      <w:tr w14:paraId="2EE6F8CF" w14:textId="77777777" w:rsidTr="00BC5A99">
        <w:tblPrEx>
          <w:tblW w:w="9450" w:type="dxa"/>
          <w:tblLayout w:type="fixed"/>
          <w:tblLook w:val="04A0"/>
        </w:tblPrEx>
        <w:trPr>
          <w:trHeight w:val="181"/>
        </w:trPr>
        <w:tc>
          <w:tcPr>
            <w:tcW w:w="2970" w:type="dxa"/>
            <w:tcBorders>
              <w:top w:val="nil"/>
              <w:bottom w:val="nil"/>
              <w:right w:val="nil"/>
            </w:tcBorders>
            <w:shd w:val="clear" w:color="auto" w:fill="auto"/>
            <w:noWrap/>
            <w:hideMark/>
          </w:tcPr>
          <w:p w:rsidR="009976D0" w:rsidRPr="002D3263" w:rsidP="009976D0" w14:paraId="4A04CC1C" w14:textId="77777777">
            <w:pPr>
              <w:keepNext/>
              <w:widowControl/>
              <w:spacing w:line="240" w:lineRule="auto"/>
              <w:ind w:left="288"/>
              <w:rPr>
                <w:rFonts w:eastAsia="Times New Roman" w:cs="Times New Roman"/>
                <w:color w:val="000000"/>
              </w:rPr>
            </w:pPr>
            <w:r w:rsidRPr="002D3263">
              <w:rPr>
                <w:rFonts w:ascii="Calibri" w:hAnsi="Calibri"/>
                <w:color w:val="000000"/>
              </w:rPr>
              <w:t>Revising Program Materials</w:t>
            </w:r>
          </w:p>
        </w:tc>
        <w:tc>
          <w:tcPr>
            <w:tcW w:w="1620" w:type="dxa"/>
            <w:tcBorders>
              <w:top w:val="nil"/>
              <w:left w:val="nil"/>
              <w:bottom w:val="nil"/>
              <w:right w:val="nil"/>
            </w:tcBorders>
            <w:shd w:val="clear" w:color="auto" w:fill="auto"/>
            <w:noWrap/>
            <w:vAlign w:val="center"/>
          </w:tcPr>
          <w:p w:rsidR="009976D0" w:rsidRPr="002D3263" w:rsidP="009976D0" w14:paraId="35171E32" w14:textId="1EE3B2C0">
            <w:pPr>
              <w:widowControl/>
              <w:jc w:val="right"/>
              <w:rPr>
                <w:rFonts w:ascii="Calibri" w:hAnsi="Calibri"/>
              </w:rPr>
            </w:pPr>
            <w:r w:rsidRPr="002D3263">
              <w:rPr>
                <w:rFonts w:ascii="Calibri" w:hAnsi="Calibri" w:cs="Calibri"/>
                <w:color w:val="000000"/>
              </w:rPr>
              <w:t xml:space="preserve">$2,216,271 </w:t>
            </w:r>
          </w:p>
        </w:tc>
        <w:tc>
          <w:tcPr>
            <w:tcW w:w="1620" w:type="dxa"/>
            <w:tcBorders>
              <w:top w:val="nil"/>
              <w:left w:val="nil"/>
              <w:bottom w:val="nil"/>
              <w:right w:val="nil"/>
            </w:tcBorders>
            <w:shd w:val="clear" w:color="auto" w:fill="auto"/>
            <w:noWrap/>
            <w:vAlign w:val="center"/>
          </w:tcPr>
          <w:p w:rsidR="009976D0" w:rsidRPr="002D3263" w:rsidP="009976D0" w14:paraId="52EE3DB4" w14:textId="204D2DF1">
            <w:pPr>
              <w:widowControl/>
              <w:jc w:val="right"/>
              <w:rPr>
                <w:rFonts w:ascii="Calibri" w:hAnsi="Calibri"/>
              </w:rPr>
            </w:pPr>
            <w:r w:rsidRPr="002D3263">
              <w:rPr>
                <w:rFonts w:ascii="Calibri" w:hAnsi="Calibri" w:cs="Calibri"/>
                <w:color w:val="000000"/>
              </w:rPr>
              <w:t xml:space="preserve">$2,451,123 </w:t>
            </w:r>
          </w:p>
        </w:tc>
        <w:tc>
          <w:tcPr>
            <w:tcW w:w="1620" w:type="dxa"/>
            <w:tcBorders>
              <w:top w:val="nil"/>
              <w:left w:val="nil"/>
              <w:bottom w:val="nil"/>
            </w:tcBorders>
            <w:shd w:val="clear" w:color="auto" w:fill="auto"/>
            <w:noWrap/>
            <w:vAlign w:val="center"/>
          </w:tcPr>
          <w:p w:rsidR="009976D0" w:rsidRPr="002D3263" w:rsidP="009976D0" w14:paraId="18C1FE8E" w14:textId="4BE84740">
            <w:pPr>
              <w:widowControl/>
              <w:jc w:val="right"/>
              <w:rPr>
                <w:rFonts w:ascii="Calibri" w:hAnsi="Calibri"/>
              </w:rPr>
            </w:pPr>
            <w:r w:rsidRPr="002D3263">
              <w:rPr>
                <w:rFonts w:ascii="Calibri" w:hAnsi="Calibri" w:cs="Calibri"/>
                <w:color w:val="000000"/>
              </w:rPr>
              <w:t xml:space="preserve">$315,547 </w:t>
            </w:r>
          </w:p>
        </w:tc>
        <w:tc>
          <w:tcPr>
            <w:tcW w:w="1620" w:type="dxa"/>
            <w:tcBorders>
              <w:top w:val="nil"/>
              <w:left w:val="nil"/>
              <w:bottom w:val="nil"/>
            </w:tcBorders>
            <w:vAlign w:val="center"/>
          </w:tcPr>
          <w:p w:rsidR="009976D0" w:rsidRPr="002D3263" w:rsidP="009976D0" w14:paraId="654F5118" w14:textId="29022DC8">
            <w:pPr>
              <w:widowControl/>
              <w:jc w:val="right"/>
              <w:rPr>
                <w:rFonts w:ascii="Calibri" w:hAnsi="Calibri"/>
              </w:rPr>
            </w:pPr>
            <w:r w:rsidRPr="002D3263">
              <w:rPr>
                <w:rFonts w:ascii="Calibri" w:hAnsi="Calibri" w:cs="Calibri"/>
                <w:color w:val="000000"/>
              </w:rPr>
              <w:t xml:space="preserve">$287,346 </w:t>
            </w:r>
          </w:p>
        </w:tc>
      </w:tr>
      <w:tr w14:paraId="7C3D6168" w14:textId="77777777" w:rsidTr="00BC5A99">
        <w:tblPrEx>
          <w:tblW w:w="9450" w:type="dxa"/>
          <w:tblLayout w:type="fixed"/>
          <w:tblLook w:val="04A0"/>
        </w:tblPrEx>
        <w:trPr>
          <w:trHeight w:val="196"/>
        </w:trPr>
        <w:tc>
          <w:tcPr>
            <w:tcW w:w="2970" w:type="dxa"/>
            <w:tcBorders>
              <w:top w:val="nil"/>
              <w:bottom w:val="single" w:sz="4" w:space="0" w:color="auto"/>
              <w:right w:val="nil"/>
            </w:tcBorders>
            <w:shd w:val="clear" w:color="auto" w:fill="auto"/>
            <w:noWrap/>
            <w:hideMark/>
          </w:tcPr>
          <w:p w:rsidR="00B44A61" w:rsidRPr="002D3263" w:rsidP="00B44A61" w14:paraId="6DE3F709" w14:textId="77777777">
            <w:pPr>
              <w:keepNext/>
              <w:widowControl/>
              <w:spacing w:line="240" w:lineRule="auto"/>
              <w:ind w:left="288"/>
              <w:rPr>
                <w:rFonts w:eastAsia="Times New Roman" w:cs="Times New Roman"/>
                <w:color w:val="000000"/>
              </w:rPr>
            </w:pPr>
            <w:r w:rsidRPr="002D3263">
              <w:rPr>
                <w:rFonts w:ascii="Calibri" w:hAnsi="Calibri"/>
                <w:color w:val="000000"/>
              </w:rPr>
              <w:t>Federal Agency Reporting Requirement</w:t>
            </w:r>
          </w:p>
        </w:tc>
        <w:tc>
          <w:tcPr>
            <w:tcW w:w="1620" w:type="dxa"/>
            <w:tcBorders>
              <w:top w:val="nil"/>
              <w:left w:val="nil"/>
              <w:bottom w:val="single" w:sz="4" w:space="0" w:color="auto"/>
              <w:right w:val="nil"/>
            </w:tcBorders>
            <w:shd w:val="clear" w:color="auto" w:fill="auto"/>
            <w:noWrap/>
            <w:vAlign w:val="center"/>
          </w:tcPr>
          <w:p w:rsidR="00B44A61" w:rsidRPr="002D3263" w:rsidP="009976D0" w14:paraId="5D890C4E" w14:textId="5033A84D">
            <w:pPr>
              <w:widowControl/>
              <w:jc w:val="right"/>
              <w:rPr>
                <w:rFonts w:ascii="Calibri" w:hAnsi="Calibri"/>
              </w:rPr>
            </w:pPr>
            <w:r w:rsidRPr="002D3263">
              <w:rPr>
                <w:rFonts w:ascii="Calibri" w:hAnsi="Calibri" w:cs="Calibri"/>
              </w:rPr>
              <w:t xml:space="preserve">$184,582 </w:t>
            </w:r>
          </w:p>
        </w:tc>
        <w:tc>
          <w:tcPr>
            <w:tcW w:w="1620" w:type="dxa"/>
            <w:tcBorders>
              <w:top w:val="nil"/>
              <w:left w:val="nil"/>
              <w:bottom w:val="single" w:sz="4" w:space="0" w:color="auto"/>
              <w:right w:val="nil"/>
            </w:tcBorders>
            <w:shd w:val="clear" w:color="auto" w:fill="auto"/>
            <w:noWrap/>
            <w:vAlign w:val="center"/>
          </w:tcPr>
          <w:p w:rsidR="00B44A61" w:rsidRPr="002D3263" w:rsidP="009976D0" w14:paraId="6DA9E5DF" w14:textId="072E06C5">
            <w:pPr>
              <w:widowControl/>
              <w:jc w:val="right"/>
              <w:rPr>
                <w:rFonts w:ascii="Calibri" w:hAnsi="Calibri"/>
              </w:rPr>
            </w:pPr>
            <w:r w:rsidRPr="002D3263">
              <w:rPr>
                <w:rFonts w:ascii="Calibri" w:hAnsi="Calibri" w:cs="Calibri"/>
              </w:rPr>
              <w:t xml:space="preserve">$232,883 </w:t>
            </w:r>
          </w:p>
        </w:tc>
        <w:tc>
          <w:tcPr>
            <w:tcW w:w="1620" w:type="dxa"/>
            <w:tcBorders>
              <w:top w:val="nil"/>
              <w:left w:val="nil"/>
              <w:bottom w:val="single" w:sz="4" w:space="0" w:color="auto"/>
            </w:tcBorders>
            <w:shd w:val="clear" w:color="auto" w:fill="auto"/>
            <w:noWrap/>
            <w:vAlign w:val="center"/>
          </w:tcPr>
          <w:p w:rsidR="00B44A61" w:rsidRPr="002D3263" w:rsidP="009976D0" w14:paraId="29E49E8A" w14:textId="5651D852">
            <w:pPr>
              <w:widowControl/>
              <w:jc w:val="right"/>
              <w:rPr>
                <w:rFonts w:ascii="Calibri" w:hAnsi="Calibri"/>
              </w:rPr>
            </w:pPr>
            <w:r w:rsidRPr="002D3263">
              <w:rPr>
                <w:rFonts w:ascii="Calibri" w:hAnsi="Calibri" w:cs="Calibri"/>
              </w:rPr>
              <w:t xml:space="preserve">$26,280 </w:t>
            </w:r>
          </w:p>
        </w:tc>
        <w:tc>
          <w:tcPr>
            <w:tcW w:w="1620" w:type="dxa"/>
            <w:tcBorders>
              <w:top w:val="nil"/>
              <w:left w:val="nil"/>
              <w:bottom w:val="single" w:sz="4" w:space="0" w:color="auto"/>
            </w:tcBorders>
            <w:vAlign w:val="center"/>
          </w:tcPr>
          <w:p w:rsidR="00B44A61" w:rsidRPr="002D3263" w:rsidP="009976D0" w14:paraId="42A2D7CB" w14:textId="0B77E70A">
            <w:pPr>
              <w:widowControl/>
              <w:jc w:val="right"/>
              <w:rPr>
                <w:rFonts w:ascii="Calibri" w:hAnsi="Calibri"/>
              </w:rPr>
            </w:pPr>
            <w:r w:rsidRPr="002D3263">
              <w:rPr>
                <w:rFonts w:ascii="Calibri" w:hAnsi="Calibri" w:cs="Calibri"/>
              </w:rPr>
              <w:t xml:space="preserve">$27,301 </w:t>
            </w:r>
          </w:p>
        </w:tc>
      </w:tr>
      <w:tr w14:paraId="32C14FD5" w14:textId="77777777" w:rsidTr="00B44A61">
        <w:tblPrEx>
          <w:tblW w:w="9450" w:type="dxa"/>
          <w:tblLayout w:type="fixed"/>
          <w:tblLook w:val="04A0"/>
        </w:tblPrEx>
        <w:trPr>
          <w:trHeight w:val="196"/>
        </w:trPr>
        <w:tc>
          <w:tcPr>
            <w:tcW w:w="2970" w:type="dxa"/>
            <w:tcBorders>
              <w:top w:val="single" w:sz="4" w:space="0" w:color="auto"/>
              <w:bottom w:val="nil"/>
              <w:right w:val="nil"/>
            </w:tcBorders>
            <w:shd w:val="clear" w:color="auto" w:fill="auto"/>
            <w:noWrap/>
          </w:tcPr>
          <w:p w:rsidR="00B44A61" w:rsidRPr="002D3263" w:rsidP="00B44A61" w14:paraId="59CECABD" w14:textId="77777777">
            <w:pPr>
              <w:keepNext/>
              <w:widowControl/>
              <w:spacing w:line="240" w:lineRule="auto"/>
              <w:rPr>
                <w:rFonts w:ascii="Calibri" w:hAnsi="Calibri"/>
                <w:b/>
                <w:color w:val="000000"/>
              </w:rPr>
            </w:pPr>
            <w:r w:rsidRPr="002D3263">
              <w:rPr>
                <w:rFonts w:ascii="Calibri" w:hAnsi="Calibri"/>
                <w:b/>
                <w:color w:val="000000"/>
              </w:rPr>
              <w:t>Cost Savings</w:t>
            </w:r>
          </w:p>
        </w:tc>
        <w:tc>
          <w:tcPr>
            <w:tcW w:w="1620" w:type="dxa"/>
            <w:tcBorders>
              <w:top w:val="single" w:sz="4" w:space="0" w:color="auto"/>
              <w:left w:val="nil"/>
              <w:bottom w:val="nil"/>
              <w:right w:val="nil"/>
            </w:tcBorders>
            <w:shd w:val="clear" w:color="auto" w:fill="auto"/>
            <w:noWrap/>
            <w:vAlign w:val="center"/>
          </w:tcPr>
          <w:p w:rsidR="00B44A61" w:rsidRPr="002D3263" w:rsidP="00EF4CBB" w14:paraId="6D44AD84" w14:textId="11E72933">
            <w:pPr>
              <w:widowControl/>
              <w:jc w:val="right"/>
              <w:rPr>
                <w:rFonts w:ascii="Calibri" w:hAnsi="Calibri"/>
              </w:rPr>
            </w:pPr>
            <w:r w:rsidRPr="002D3263">
              <w:rPr>
                <w:rFonts w:ascii="Calibri" w:hAnsi="Calibri" w:cs="Calibri"/>
              </w:rPr>
              <w:t> </w:t>
            </w:r>
          </w:p>
        </w:tc>
        <w:tc>
          <w:tcPr>
            <w:tcW w:w="1620" w:type="dxa"/>
            <w:tcBorders>
              <w:top w:val="single" w:sz="4" w:space="0" w:color="auto"/>
              <w:left w:val="nil"/>
              <w:bottom w:val="nil"/>
              <w:right w:val="nil"/>
            </w:tcBorders>
            <w:shd w:val="clear" w:color="auto" w:fill="auto"/>
            <w:noWrap/>
            <w:vAlign w:val="center"/>
          </w:tcPr>
          <w:p w:rsidR="00B44A61" w:rsidRPr="002D3263" w:rsidP="00EF4CBB" w14:paraId="7EC1A0A1" w14:textId="6C2456B3">
            <w:pPr>
              <w:widowControl/>
              <w:jc w:val="right"/>
              <w:rPr>
                <w:rFonts w:ascii="Calibri" w:hAnsi="Calibri"/>
              </w:rPr>
            </w:pPr>
            <w:r w:rsidRPr="002D3263">
              <w:rPr>
                <w:rFonts w:ascii="Calibri" w:hAnsi="Calibri" w:cs="Calibri"/>
              </w:rPr>
              <w:t> </w:t>
            </w:r>
          </w:p>
        </w:tc>
        <w:tc>
          <w:tcPr>
            <w:tcW w:w="1620" w:type="dxa"/>
            <w:tcBorders>
              <w:top w:val="single" w:sz="4" w:space="0" w:color="auto"/>
              <w:left w:val="nil"/>
              <w:bottom w:val="nil"/>
            </w:tcBorders>
            <w:shd w:val="clear" w:color="auto" w:fill="auto"/>
            <w:noWrap/>
            <w:vAlign w:val="center"/>
          </w:tcPr>
          <w:p w:rsidR="00B44A61" w:rsidRPr="002D3263" w:rsidP="00EF4CBB" w14:paraId="653C2E1B" w14:textId="491F14AD">
            <w:pPr>
              <w:widowControl/>
              <w:jc w:val="right"/>
              <w:rPr>
                <w:rFonts w:ascii="Calibri" w:hAnsi="Calibri"/>
              </w:rPr>
            </w:pPr>
            <w:r w:rsidRPr="002D3263">
              <w:rPr>
                <w:rFonts w:ascii="Calibri" w:hAnsi="Calibri" w:cs="Calibri"/>
              </w:rPr>
              <w:t> </w:t>
            </w:r>
          </w:p>
        </w:tc>
        <w:tc>
          <w:tcPr>
            <w:tcW w:w="1620" w:type="dxa"/>
            <w:tcBorders>
              <w:top w:val="single" w:sz="4" w:space="0" w:color="auto"/>
              <w:left w:val="nil"/>
              <w:bottom w:val="nil"/>
            </w:tcBorders>
            <w:vAlign w:val="center"/>
          </w:tcPr>
          <w:p w:rsidR="00B44A61" w:rsidRPr="002D3263" w:rsidP="00EF4CBB" w14:paraId="50C1B81F" w14:textId="4869103B">
            <w:pPr>
              <w:widowControl/>
              <w:jc w:val="right"/>
              <w:rPr>
                <w:rFonts w:ascii="Calibri" w:hAnsi="Calibri"/>
              </w:rPr>
            </w:pPr>
            <w:r w:rsidRPr="002D3263">
              <w:rPr>
                <w:rFonts w:ascii="Calibri" w:hAnsi="Calibri" w:cs="Calibri"/>
              </w:rPr>
              <w:t> </w:t>
            </w:r>
          </w:p>
        </w:tc>
      </w:tr>
      <w:tr w14:paraId="0D1EDACE" w14:textId="77777777" w:rsidTr="006D5D1A">
        <w:tblPrEx>
          <w:tblW w:w="9450" w:type="dxa"/>
          <w:tblLayout w:type="fixed"/>
          <w:tblLook w:val="04A0"/>
        </w:tblPrEx>
        <w:trPr>
          <w:trHeight w:val="196"/>
        </w:trPr>
        <w:tc>
          <w:tcPr>
            <w:tcW w:w="2970" w:type="dxa"/>
            <w:tcBorders>
              <w:top w:val="nil"/>
              <w:bottom w:val="nil"/>
              <w:right w:val="nil"/>
            </w:tcBorders>
            <w:shd w:val="clear" w:color="auto" w:fill="auto"/>
            <w:noWrap/>
          </w:tcPr>
          <w:p w:rsidR="004C4EEB" w:rsidRPr="002D3263" w:rsidP="004C4EEB" w14:paraId="3D207EAA" w14:textId="77777777">
            <w:pPr>
              <w:keepNext/>
              <w:widowControl/>
              <w:spacing w:line="240" w:lineRule="auto"/>
              <w:ind w:left="288"/>
              <w:rPr>
                <w:rFonts w:eastAsia="Times New Roman" w:cs="Times New Roman"/>
                <w:color w:val="000000"/>
              </w:rPr>
            </w:pPr>
            <w:r w:rsidRPr="002D3263">
              <w:rPr>
                <w:rFonts w:ascii="Calibri" w:hAnsi="Calibri"/>
                <w:color w:val="000000"/>
              </w:rPr>
              <w:t>Revising Max. RHP/RAP (FHWA Only)</w:t>
            </w:r>
          </w:p>
        </w:tc>
        <w:tc>
          <w:tcPr>
            <w:tcW w:w="1620" w:type="dxa"/>
            <w:tcBorders>
              <w:top w:val="nil"/>
              <w:left w:val="nil"/>
              <w:bottom w:val="nil"/>
              <w:right w:val="nil"/>
            </w:tcBorders>
            <w:shd w:val="clear" w:color="auto" w:fill="auto"/>
            <w:noWrap/>
            <w:vAlign w:val="bottom"/>
          </w:tcPr>
          <w:p w:rsidR="004C4EEB" w:rsidRPr="00FD47CC" w:rsidP="004C4EEB" w14:paraId="22A802E5" w14:textId="1CF5F906">
            <w:pPr>
              <w:widowControl/>
              <w:jc w:val="right"/>
              <w:rPr>
                <w:rFonts w:ascii="Calibri" w:hAnsi="Calibri"/>
              </w:rPr>
            </w:pPr>
            <w:r w:rsidRPr="006D5D1A">
              <w:rPr>
                <w:rFonts w:ascii="Calibri" w:hAnsi="Calibri" w:cs="Calibri"/>
              </w:rPr>
              <w:t>($235,772)</w:t>
            </w:r>
          </w:p>
        </w:tc>
        <w:tc>
          <w:tcPr>
            <w:tcW w:w="1620" w:type="dxa"/>
            <w:tcBorders>
              <w:top w:val="nil"/>
              <w:left w:val="nil"/>
              <w:bottom w:val="nil"/>
              <w:right w:val="nil"/>
            </w:tcBorders>
            <w:shd w:val="clear" w:color="auto" w:fill="auto"/>
            <w:noWrap/>
            <w:vAlign w:val="bottom"/>
          </w:tcPr>
          <w:p w:rsidR="004C4EEB" w:rsidRPr="00FD47CC" w:rsidP="004C4EEB" w14:paraId="2283DB71" w14:textId="235F2775">
            <w:pPr>
              <w:widowControl/>
              <w:jc w:val="right"/>
              <w:rPr>
                <w:rFonts w:ascii="Calibri" w:hAnsi="Calibri"/>
              </w:rPr>
            </w:pPr>
            <w:r w:rsidRPr="006D5D1A">
              <w:rPr>
                <w:rFonts w:ascii="Calibri" w:hAnsi="Calibri" w:cs="Calibri"/>
              </w:rPr>
              <w:t>($300,627)</w:t>
            </w:r>
          </w:p>
        </w:tc>
        <w:tc>
          <w:tcPr>
            <w:tcW w:w="1620" w:type="dxa"/>
            <w:tcBorders>
              <w:top w:val="nil"/>
              <w:left w:val="nil"/>
              <w:bottom w:val="nil"/>
            </w:tcBorders>
            <w:shd w:val="clear" w:color="auto" w:fill="auto"/>
            <w:noWrap/>
            <w:vAlign w:val="bottom"/>
          </w:tcPr>
          <w:p w:rsidR="004C4EEB" w:rsidRPr="00FD47CC" w:rsidP="004C4EEB" w14:paraId="37864622" w14:textId="147989E6">
            <w:pPr>
              <w:widowControl/>
              <w:jc w:val="right"/>
              <w:rPr>
                <w:rFonts w:ascii="Calibri" w:hAnsi="Calibri"/>
              </w:rPr>
            </w:pPr>
            <w:r w:rsidRPr="006D5D1A">
              <w:rPr>
                <w:rFonts w:ascii="Calibri" w:hAnsi="Calibri" w:cs="Calibri"/>
              </w:rPr>
              <w:t>($33,569)</w:t>
            </w:r>
          </w:p>
        </w:tc>
        <w:tc>
          <w:tcPr>
            <w:tcW w:w="1620" w:type="dxa"/>
            <w:tcBorders>
              <w:top w:val="nil"/>
              <w:left w:val="nil"/>
              <w:bottom w:val="nil"/>
            </w:tcBorders>
            <w:vAlign w:val="bottom"/>
          </w:tcPr>
          <w:p w:rsidR="004C4EEB" w:rsidRPr="00FD47CC" w:rsidP="004C4EEB" w14:paraId="353D5627" w14:textId="15AC0098">
            <w:pPr>
              <w:widowControl/>
              <w:jc w:val="right"/>
              <w:rPr>
                <w:rFonts w:ascii="Calibri" w:hAnsi="Calibri"/>
              </w:rPr>
            </w:pPr>
            <w:r w:rsidRPr="006D5D1A">
              <w:rPr>
                <w:rFonts w:ascii="Calibri" w:hAnsi="Calibri" w:cs="Calibri"/>
              </w:rPr>
              <w:t>($35,243)</w:t>
            </w:r>
          </w:p>
        </w:tc>
      </w:tr>
      <w:tr w14:paraId="568C4D22" w14:textId="77777777" w:rsidTr="00BC5A99">
        <w:tblPrEx>
          <w:tblW w:w="9450" w:type="dxa"/>
          <w:tblLayout w:type="fixed"/>
          <w:tblLook w:val="04A0"/>
        </w:tblPrEx>
        <w:trPr>
          <w:trHeight w:val="196"/>
        </w:trPr>
        <w:tc>
          <w:tcPr>
            <w:tcW w:w="2970" w:type="dxa"/>
            <w:tcBorders>
              <w:top w:val="nil"/>
              <w:right w:val="nil"/>
            </w:tcBorders>
            <w:shd w:val="clear" w:color="auto" w:fill="auto"/>
            <w:noWrap/>
          </w:tcPr>
          <w:p w:rsidR="00B44A61" w:rsidRPr="002D3263" w:rsidP="00B44A61" w14:paraId="73BCD2FF" w14:textId="77777777">
            <w:pPr>
              <w:keepNext/>
              <w:widowControl/>
              <w:spacing w:line="240" w:lineRule="auto"/>
              <w:ind w:left="288"/>
              <w:rPr>
                <w:rFonts w:eastAsia="Times New Roman" w:cs="Times New Roman"/>
                <w:color w:val="000000"/>
              </w:rPr>
            </w:pPr>
            <w:r w:rsidRPr="002D3263">
              <w:rPr>
                <w:rFonts w:ascii="Calibri" w:hAnsi="Calibri"/>
                <w:color w:val="000000"/>
              </w:rPr>
              <w:t>Homeowner 90 Day Eligibility (FHWA Only)</w:t>
            </w:r>
          </w:p>
        </w:tc>
        <w:tc>
          <w:tcPr>
            <w:tcW w:w="1620" w:type="dxa"/>
            <w:tcBorders>
              <w:top w:val="nil"/>
              <w:left w:val="nil"/>
              <w:right w:val="nil"/>
            </w:tcBorders>
            <w:shd w:val="clear" w:color="auto" w:fill="auto"/>
            <w:noWrap/>
            <w:vAlign w:val="center"/>
          </w:tcPr>
          <w:p w:rsidR="00B44A61" w:rsidRPr="002D3263" w:rsidP="009976D0" w14:paraId="2DF76963" w14:textId="36A620D8">
            <w:pPr>
              <w:widowControl/>
              <w:jc w:val="right"/>
              <w:rPr>
                <w:rFonts w:ascii="Calibri" w:hAnsi="Calibri"/>
              </w:rPr>
            </w:pPr>
            <w:r w:rsidRPr="002D3263">
              <w:rPr>
                <w:rFonts w:ascii="Calibri" w:hAnsi="Calibri" w:cs="Calibri"/>
              </w:rPr>
              <w:t>($7,286)</w:t>
            </w:r>
          </w:p>
        </w:tc>
        <w:tc>
          <w:tcPr>
            <w:tcW w:w="1620" w:type="dxa"/>
            <w:tcBorders>
              <w:top w:val="nil"/>
              <w:left w:val="nil"/>
              <w:right w:val="nil"/>
            </w:tcBorders>
            <w:shd w:val="clear" w:color="auto" w:fill="auto"/>
            <w:noWrap/>
            <w:vAlign w:val="center"/>
          </w:tcPr>
          <w:p w:rsidR="00B44A61" w:rsidRPr="002D3263" w:rsidP="009976D0" w14:paraId="0792D269" w14:textId="1EC2A1ED">
            <w:pPr>
              <w:widowControl/>
              <w:jc w:val="right"/>
              <w:rPr>
                <w:rFonts w:ascii="Calibri" w:hAnsi="Calibri"/>
              </w:rPr>
            </w:pPr>
            <w:r w:rsidRPr="002D3263">
              <w:rPr>
                <w:rFonts w:ascii="Calibri" w:hAnsi="Calibri" w:cs="Calibri"/>
              </w:rPr>
              <w:t>($9,193)</w:t>
            </w:r>
          </w:p>
        </w:tc>
        <w:tc>
          <w:tcPr>
            <w:tcW w:w="1620" w:type="dxa"/>
            <w:tcBorders>
              <w:top w:val="nil"/>
              <w:left w:val="nil"/>
            </w:tcBorders>
            <w:shd w:val="clear" w:color="auto" w:fill="auto"/>
            <w:noWrap/>
            <w:vAlign w:val="center"/>
          </w:tcPr>
          <w:p w:rsidR="00B44A61" w:rsidRPr="002D3263" w:rsidP="009976D0" w14:paraId="269EB8A6" w14:textId="1C166AB6">
            <w:pPr>
              <w:widowControl/>
              <w:jc w:val="right"/>
              <w:rPr>
                <w:rFonts w:ascii="Calibri" w:hAnsi="Calibri"/>
              </w:rPr>
            </w:pPr>
            <w:r w:rsidRPr="002D3263">
              <w:rPr>
                <w:rFonts w:ascii="Calibri" w:hAnsi="Calibri" w:cs="Calibri"/>
              </w:rPr>
              <w:t>($1,037)</w:t>
            </w:r>
          </w:p>
        </w:tc>
        <w:tc>
          <w:tcPr>
            <w:tcW w:w="1620" w:type="dxa"/>
            <w:tcBorders>
              <w:top w:val="nil"/>
              <w:left w:val="nil"/>
            </w:tcBorders>
            <w:vAlign w:val="center"/>
          </w:tcPr>
          <w:p w:rsidR="00B44A61" w:rsidRPr="002D3263" w:rsidP="009976D0" w14:paraId="321E7C1E" w14:textId="1BB31744">
            <w:pPr>
              <w:widowControl/>
              <w:jc w:val="right"/>
              <w:rPr>
                <w:rFonts w:ascii="Calibri" w:hAnsi="Calibri"/>
              </w:rPr>
            </w:pPr>
            <w:r w:rsidRPr="002D3263">
              <w:rPr>
                <w:rFonts w:ascii="Calibri" w:hAnsi="Calibri" w:cs="Calibri"/>
              </w:rPr>
              <w:t>($1,078)</w:t>
            </w:r>
          </w:p>
        </w:tc>
      </w:tr>
      <w:tr w14:paraId="310AFE0D" w14:textId="77777777" w:rsidTr="002B6909">
        <w:tblPrEx>
          <w:tblW w:w="9450" w:type="dxa"/>
          <w:tblLayout w:type="fixed"/>
          <w:tblLook w:val="04A0"/>
        </w:tblPrEx>
        <w:trPr>
          <w:trHeight w:val="196"/>
        </w:trPr>
        <w:tc>
          <w:tcPr>
            <w:tcW w:w="2970" w:type="dxa"/>
            <w:tcBorders>
              <w:top w:val="nil"/>
              <w:right w:val="nil"/>
            </w:tcBorders>
            <w:shd w:val="clear" w:color="auto" w:fill="auto"/>
            <w:noWrap/>
          </w:tcPr>
          <w:p w:rsidR="00BA64D1" w:rsidRPr="002D3263" w:rsidP="0002327A" w14:paraId="5F780111" w14:textId="77777777">
            <w:pPr>
              <w:keepNext/>
              <w:widowControl/>
              <w:spacing w:line="240" w:lineRule="auto"/>
              <w:ind w:left="288"/>
              <w:rPr>
                <w:rFonts w:ascii="Calibri" w:hAnsi="Calibri"/>
                <w:b/>
                <w:bCs/>
                <w:color w:val="000000"/>
              </w:rPr>
            </w:pPr>
            <w:r w:rsidRPr="002D3263">
              <w:rPr>
                <w:rFonts w:ascii="Calibri" w:hAnsi="Calibri"/>
                <w:color w:val="000000"/>
              </w:rPr>
              <w:t>Appraisal Waivers</w:t>
            </w:r>
          </w:p>
        </w:tc>
        <w:tc>
          <w:tcPr>
            <w:tcW w:w="1620" w:type="dxa"/>
            <w:tcBorders>
              <w:top w:val="nil"/>
              <w:left w:val="nil"/>
              <w:right w:val="nil"/>
            </w:tcBorders>
            <w:shd w:val="clear" w:color="auto" w:fill="auto"/>
            <w:noWrap/>
          </w:tcPr>
          <w:p w:rsidR="00BA64D1" w:rsidRPr="002D3263" w:rsidP="00EF4CBB" w14:paraId="19CDE2B6" w14:textId="77777777">
            <w:pPr>
              <w:widowControl/>
              <w:jc w:val="right"/>
              <w:rPr>
                <w:rFonts w:ascii="Calibri" w:hAnsi="Calibri"/>
                <w:b/>
                <w:bCs/>
                <w:color w:val="000000"/>
              </w:rPr>
            </w:pPr>
            <w:r w:rsidRPr="002D3263">
              <w:rPr>
                <w:rFonts w:ascii="Calibri" w:hAnsi="Calibri"/>
                <w:color w:val="000000"/>
              </w:rPr>
              <w:t>Not Quantified</w:t>
            </w:r>
          </w:p>
        </w:tc>
        <w:tc>
          <w:tcPr>
            <w:tcW w:w="1620" w:type="dxa"/>
            <w:tcBorders>
              <w:top w:val="nil"/>
              <w:left w:val="nil"/>
              <w:right w:val="nil"/>
            </w:tcBorders>
            <w:shd w:val="clear" w:color="auto" w:fill="auto"/>
            <w:noWrap/>
          </w:tcPr>
          <w:p w:rsidR="00BA64D1" w:rsidRPr="002D3263" w:rsidP="00EF4CBB" w14:paraId="0A7F2B6C" w14:textId="77777777">
            <w:pPr>
              <w:widowControl/>
              <w:jc w:val="right"/>
              <w:rPr>
                <w:rFonts w:ascii="Calibri" w:hAnsi="Calibri"/>
                <w:b/>
                <w:bCs/>
                <w:color w:val="000000"/>
              </w:rPr>
            </w:pPr>
            <w:r w:rsidRPr="002D3263">
              <w:rPr>
                <w:rFonts w:ascii="Calibri" w:hAnsi="Calibri"/>
                <w:color w:val="000000"/>
              </w:rPr>
              <w:t>Not Quantified</w:t>
            </w:r>
          </w:p>
        </w:tc>
        <w:tc>
          <w:tcPr>
            <w:tcW w:w="1620" w:type="dxa"/>
            <w:tcBorders>
              <w:top w:val="nil"/>
              <w:left w:val="nil"/>
            </w:tcBorders>
            <w:shd w:val="clear" w:color="auto" w:fill="auto"/>
            <w:noWrap/>
          </w:tcPr>
          <w:p w:rsidR="00BA64D1" w:rsidRPr="002D3263" w:rsidP="00EF4CBB" w14:paraId="4BB196C4" w14:textId="77777777">
            <w:pPr>
              <w:widowControl/>
              <w:jc w:val="right"/>
              <w:rPr>
                <w:rFonts w:ascii="Calibri" w:hAnsi="Calibri"/>
                <w:b/>
                <w:bCs/>
                <w:color w:val="000000"/>
              </w:rPr>
            </w:pPr>
            <w:r w:rsidRPr="002D3263">
              <w:rPr>
                <w:rFonts w:ascii="Calibri" w:hAnsi="Calibri"/>
                <w:color w:val="000000"/>
              </w:rPr>
              <w:t>Not Quantified</w:t>
            </w:r>
          </w:p>
        </w:tc>
        <w:tc>
          <w:tcPr>
            <w:tcW w:w="1620" w:type="dxa"/>
            <w:tcBorders>
              <w:top w:val="nil"/>
              <w:left w:val="nil"/>
            </w:tcBorders>
          </w:tcPr>
          <w:p w:rsidR="00BA64D1" w:rsidRPr="002D3263" w:rsidP="00EF4CBB" w14:paraId="76F1B072" w14:textId="77777777">
            <w:pPr>
              <w:widowControl/>
              <w:jc w:val="right"/>
              <w:rPr>
                <w:rFonts w:ascii="Calibri" w:hAnsi="Calibri"/>
                <w:b/>
                <w:bCs/>
                <w:color w:val="000000"/>
              </w:rPr>
            </w:pPr>
            <w:r w:rsidRPr="002D3263">
              <w:rPr>
                <w:rFonts w:ascii="Calibri" w:hAnsi="Calibri"/>
                <w:color w:val="000000"/>
              </w:rPr>
              <w:t>Not Quantified</w:t>
            </w:r>
          </w:p>
        </w:tc>
      </w:tr>
      <w:tr w14:paraId="3F29B65A" w14:textId="77777777" w:rsidTr="002B6909">
        <w:tblPrEx>
          <w:tblW w:w="9450" w:type="dxa"/>
          <w:tblLayout w:type="fixed"/>
          <w:tblLook w:val="04A0"/>
        </w:tblPrEx>
        <w:trPr>
          <w:trHeight w:val="196"/>
        </w:trPr>
        <w:tc>
          <w:tcPr>
            <w:tcW w:w="2970" w:type="dxa"/>
            <w:tcBorders>
              <w:right w:val="nil"/>
            </w:tcBorders>
            <w:shd w:val="clear" w:color="auto" w:fill="auto"/>
            <w:noWrap/>
          </w:tcPr>
          <w:p w:rsidR="00BA64D1" w:rsidRPr="002D3263" w:rsidP="0002327A" w14:paraId="0DC0FD49" w14:textId="77777777">
            <w:pPr>
              <w:keepNext/>
              <w:widowControl/>
              <w:spacing w:line="240" w:lineRule="auto"/>
              <w:ind w:left="288"/>
              <w:rPr>
                <w:rFonts w:ascii="Calibri" w:hAnsi="Calibri"/>
                <w:b/>
                <w:bCs/>
                <w:color w:val="000000"/>
              </w:rPr>
            </w:pPr>
            <w:r w:rsidRPr="002D3263">
              <w:rPr>
                <w:rFonts w:ascii="Calibri" w:hAnsi="Calibri"/>
                <w:color w:val="000000"/>
              </w:rPr>
              <w:t>Third Tier of Waiver Valuations</w:t>
            </w:r>
          </w:p>
        </w:tc>
        <w:tc>
          <w:tcPr>
            <w:tcW w:w="1620" w:type="dxa"/>
            <w:tcBorders>
              <w:left w:val="nil"/>
              <w:right w:val="nil"/>
            </w:tcBorders>
            <w:shd w:val="clear" w:color="auto" w:fill="auto"/>
            <w:noWrap/>
          </w:tcPr>
          <w:p w:rsidR="00BA64D1" w:rsidRPr="002D3263" w:rsidP="00EF4CBB" w14:paraId="3FC194B7" w14:textId="77777777">
            <w:pPr>
              <w:widowControl/>
              <w:jc w:val="right"/>
              <w:rPr>
                <w:rFonts w:ascii="Calibri" w:hAnsi="Calibri"/>
                <w:b/>
                <w:bCs/>
                <w:color w:val="000000"/>
              </w:rPr>
            </w:pPr>
            <w:r w:rsidRPr="002D3263">
              <w:rPr>
                <w:rFonts w:ascii="Calibri" w:hAnsi="Calibri"/>
                <w:color w:val="000000"/>
              </w:rPr>
              <w:t>Not Quantified</w:t>
            </w:r>
          </w:p>
        </w:tc>
        <w:tc>
          <w:tcPr>
            <w:tcW w:w="1620" w:type="dxa"/>
            <w:tcBorders>
              <w:left w:val="nil"/>
              <w:right w:val="nil"/>
            </w:tcBorders>
            <w:shd w:val="clear" w:color="auto" w:fill="auto"/>
            <w:noWrap/>
          </w:tcPr>
          <w:p w:rsidR="00BA64D1" w:rsidRPr="002D3263" w:rsidP="00EF4CBB" w14:paraId="0072F6FE" w14:textId="77777777">
            <w:pPr>
              <w:widowControl/>
              <w:jc w:val="right"/>
              <w:rPr>
                <w:rFonts w:ascii="Calibri" w:hAnsi="Calibri"/>
                <w:b/>
                <w:bCs/>
                <w:color w:val="000000"/>
              </w:rPr>
            </w:pPr>
            <w:r w:rsidRPr="002D3263">
              <w:rPr>
                <w:rFonts w:ascii="Calibri" w:hAnsi="Calibri"/>
                <w:color w:val="000000"/>
              </w:rPr>
              <w:t>Not Quantified</w:t>
            </w:r>
          </w:p>
        </w:tc>
        <w:tc>
          <w:tcPr>
            <w:tcW w:w="1620" w:type="dxa"/>
            <w:tcBorders>
              <w:left w:val="nil"/>
            </w:tcBorders>
            <w:shd w:val="clear" w:color="auto" w:fill="auto"/>
            <w:noWrap/>
          </w:tcPr>
          <w:p w:rsidR="00BA64D1" w:rsidRPr="002D3263" w:rsidP="00EF4CBB" w14:paraId="557A1ED3" w14:textId="77777777">
            <w:pPr>
              <w:widowControl/>
              <w:jc w:val="right"/>
              <w:rPr>
                <w:rFonts w:ascii="Calibri" w:hAnsi="Calibri"/>
                <w:b/>
                <w:bCs/>
                <w:color w:val="000000"/>
              </w:rPr>
            </w:pPr>
            <w:r w:rsidRPr="002D3263">
              <w:rPr>
                <w:rFonts w:ascii="Calibri" w:hAnsi="Calibri"/>
                <w:color w:val="000000"/>
              </w:rPr>
              <w:t>Not Quantified</w:t>
            </w:r>
          </w:p>
        </w:tc>
        <w:tc>
          <w:tcPr>
            <w:tcW w:w="1620" w:type="dxa"/>
            <w:tcBorders>
              <w:left w:val="nil"/>
            </w:tcBorders>
          </w:tcPr>
          <w:p w:rsidR="00BA64D1" w:rsidRPr="002D3263" w:rsidP="00EF4CBB" w14:paraId="48FD7977" w14:textId="77777777">
            <w:pPr>
              <w:widowControl/>
              <w:jc w:val="right"/>
              <w:rPr>
                <w:rFonts w:ascii="Calibri" w:hAnsi="Calibri"/>
                <w:b/>
                <w:bCs/>
                <w:color w:val="000000"/>
              </w:rPr>
            </w:pPr>
            <w:r w:rsidRPr="002D3263">
              <w:rPr>
                <w:rFonts w:ascii="Calibri" w:hAnsi="Calibri"/>
                <w:color w:val="000000"/>
              </w:rPr>
              <w:t>Not Quantified</w:t>
            </w:r>
          </w:p>
        </w:tc>
      </w:tr>
      <w:tr w14:paraId="1153D3D8" w14:textId="77777777" w:rsidTr="002B6909">
        <w:tblPrEx>
          <w:tblW w:w="9450" w:type="dxa"/>
          <w:tblLayout w:type="fixed"/>
          <w:tblLook w:val="04A0"/>
        </w:tblPrEx>
        <w:trPr>
          <w:trHeight w:val="196"/>
        </w:trPr>
        <w:tc>
          <w:tcPr>
            <w:tcW w:w="2970" w:type="dxa"/>
            <w:tcBorders>
              <w:right w:val="nil"/>
            </w:tcBorders>
            <w:shd w:val="clear" w:color="auto" w:fill="auto"/>
            <w:noWrap/>
          </w:tcPr>
          <w:p w:rsidR="00BA64D1" w:rsidRPr="002D3263" w:rsidP="0002327A" w14:paraId="3E4578A8" w14:textId="77777777">
            <w:pPr>
              <w:keepNext/>
              <w:widowControl/>
              <w:spacing w:line="240" w:lineRule="auto"/>
              <w:ind w:left="288"/>
              <w:rPr>
                <w:rFonts w:ascii="Calibri" w:hAnsi="Calibri"/>
                <w:b/>
                <w:bCs/>
                <w:color w:val="000000"/>
              </w:rPr>
            </w:pPr>
            <w:r w:rsidRPr="002D3263">
              <w:rPr>
                <w:rFonts w:ascii="Calibri" w:hAnsi="Calibri"/>
                <w:color w:val="000000"/>
              </w:rPr>
              <w:t>Use of Single Agents</w:t>
            </w:r>
          </w:p>
        </w:tc>
        <w:tc>
          <w:tcPr>
            <w:tcW w:w="1620" w:type="dxa"/>
            <w:tcBorders>
              <w:left w:val="nil"/>
              <w:right w:val="nil"/>
            </w:tcBorders>
            <w:shd w:val="clear" w:color="auto" w:fill="auto"/>
            <w:noWrap/>
          </w:tcPr>
          <w:p w:rsidR="00BA64D1" w:rsidRPr="002D3263" w:rsidP="00EF4CBB" w14:paraId="0A329655" w14:textId="77777777">
            <w:pPr>
              <w:widowControl/>
              <w:jc w:val="right"/>
              <w:rPr>
                <w:rFonts w:ascii="Calibri" w:hAnsi="Calibri"/>
                <w:b/>
                <w:bCs/>
                <w:color w:val="000000"/>
              </w:rPr>
            </w:pPr>
            <w:r w:rsidRPr="002D3263">
              <w:rPr>
                <w:rFonts w:ascii="Calibri" w:hAnsi="Calibri"/>
                <w:color w:val="000000"/>
              </w:rPr>
              <w:t>Not Quantified</w:t>
            </w:r>
          </w:p>
        </w:tc>
        <w:tc>
          <w:tcPr>
            <w:tcW w:w="1620" w:type="dxa"/>
            <w:tcBorders>
              <w:left w:val="nil"/>
              <w:right w:val="nil"/>
            </w:tcBorders>
            <w:shd w:val="clear" w:color="auto" w:fill="auto"/>
            <w:noWrap/>
          </w:tcPr>
          <w:p w:rsidR="00BA64D1" w:rsidRPr="002D3263" w:rsidP="00EF4CBB" w14:paraId="51BDF16D" w14:textId="77777777">
            <w:pPr>
              <w:widowControl/>
              <w:jc w:val="right"/>
              <w:rPr>
                <w:rFonts w:ascii="Calibri" w:hAnsi="Calibri"/>
                <w:b/>
                <w:bCs/>
                <w:color w:val="000000"/>
              </w:rPr>
            </w:pPr>
            <w:r w:rsidRPr="002D3263">
              <w:rPr>
                <w:rFonts w:ascii="Calibri" w:hAnsi="Calibri"/>
                <w:color w:val="000000"/>
              </w:rPr>
              <w:t>Not Quantified</w:t>
            </w:r>
          </w:p>
        </w:tc>
        <w:tc>
          <w:tcPr>
            <w:tcW w:w="1620" w:type="dxa"/>
            <w:tcBorders>
              <w:left w:val="nil"/>
            </w:tcBorders>
            <w:shd w:val="clear" w:color="auto" w:fill="auto"/>
            <w:noWrap/>
          </w:tcPr>
          <w:p w:rsidR="00BA64D1" w:rsidRPr="002D3263" w:rsidP="00EF4CBB" w14:paraId="7EE3C56D" w14:textId="77777777">
            <w:pPr>
              <w:widowControl/>
              <w:jc w:val="right"/>
              <w:rPr>
                <w:rFonts w:ascii="Calibri" w:hAnsi="Calibri"/>
                <w:b/>
                <w:bCs/>
                <w:color w:val="000000"/>
              </w:rPr>
            </w:pPr>
            <w:r w:rsidRPr="002D3263">
              <w:rPr>
                <w:rFonts w:ascii="Calibri" w:hAnsi="Calibri"/>
                <w:color w:val="000000"/>
              </w:rPr>
              <w:t>Not Quantified</w:t>
            </w:r>
          </w:p>
        </w:tc>
        <w:tc>
          <w:tcPr>
            <w:tcW w:w="1620" w:type="dxa"/>
            <w:tcBorders>
              <w:left w:val="nil"/>
            </w:tcBorders>
          </w:tcPr>
          <w:p w:rsidR="00BA64D1" w:rsidRPr="002D3263" w:rsidP="00EF4CBB" w14:paraId="0319D6D8" w14:textId="77777777">
            <w:pPr>
              <w:widowControl/>
              <w:jc w:val="right"/>
              <w:rPr>
                <w:rFonts w:ascii="Calibri" w:hAnsi="Calibri"/>
                <w:b/>
                <w:bCs/>
                <w:color w:val="000000"/>
              </w:rPr>
            </w:pPr>
            <w:r w:rsidRPr="002D3263">
              <w:rPr>
                <w:rFonts w:ascii="Calibri" w:hAnsi="Calibri"/>
                <w:color w:val="000000"/>
              </w:rPr>
              <w:t>Not Quantified</w:t>
            </w:r>
          </w:p>
        </w:tc>
      </w:tr>
      <w:tr w14:paraId="49CA4531" w14:textId="77777777" w:rsidTr="002B6909">
        <w:tblPrEx>
          <w:tblW w:w="9450" w:type="dxa"/>
          <w:tblLayout w:type="fixed"/>
          <w:tblLook w:val="04A0"/>
        </w:tblPrEx>
        <w:trPr>
          <w:trHeight w:val="196"/>
        </w:trPr>
        <w:tc>
          <w:tcPr>
            <w:tcW w:w="2970" w:type="dxa"/>
            <w:tcBorders>
              <w:right w:val="nil"/>
            </w:tcBorders>
            <w:shd w:val="clear" w:color="auto" w:fill="auto"/>
            <w:noWrap/>
          </w:tcPr>
          <w:p w:rsidR="00BA64D1" w:rsidRPr="002D3263" w:rsidP="0002327A" w14:paraId="57F2C1DD" w14:textId="77777777">
            <w:pPr>
              <w:keepNext/>
              <w:widowControl/>
              <w:spacing w:line="240" w:lineRule="auto"/>
              <w:ind w:left="288"/>
              <w:rPr>
                <w:rFonts w:ascii="Calibri" w:hAnsi="Calibri"/>
                <w:b/>
                <w:bCs/>
                <w:color w:val="000000"/>
              </w:rPr>
            </w:pPr>
            <w:r w:rsidRPr="002D3263">
              <w:rPr>
                <w:rFonts w:ascii="Calibri" w:hAnsi="Calibri"/>
                <w:color w:val="000000"/>
              </w:rPr>
              <w:t>Inspection of Comparable Housing</w:t>
            </w:r>
          </w:p>
        </w:tc>
        <w:tc>
          <w:tcPr>
            <w:tcW w:w="1620" w:type="dxa"/>
            <w:tcBorders>
              <w:left w:val="nil"/>
              <w:right w:val="nil"/>
            </w:tcBorders>
            <w:shd w:val="clear" w:color="auto" w:fill="auto"/>
            <w:noWrap/>
          </w:tcPr>
          <w:p w:rsidR="00BA64D1" w:rsidRPr="002D3263" w:rsidP="00EF4CBB" w14:paraId="17041534" w14:textId="77777777">
            <w:pPr>
              <w:widowControl/>
              <w:jc w:val="right"/>
              <w:rPr>
                <w:rFonts w:ascii="Calibri" w:hAnsi="Calibri"/>
                <w:b/>
                <w:bCs/>
                <w:color w:val="000000"/>
              </w:rPr>
            </w:pPr>
            <w:r w:rsidRPr="002D3263">
              <w:rPr>
                <w:rFonts w:ascii="Calibri" w:hAnsi="Calibri"/>
                <w:color w:val="000000"/>
              </w:rPr>
              <w:t>Not Quantified</w:t>
            </w:r>
          </w:p>
        </w:tc>
        <w:tc>
          <w:tcPr>
            <w:tcW w:w="1620" w:type="dxa"/>
            <w:tcBorders>
              <w:left w:val="nil"/>
              <w:right w:val="nil"/>
            </w:tcBorders>
            <w:shd w:val="clear" w:color="auto" w:fill="auto"/>
            <w:noWrap/>
          </w:tcPr>
          <w:p w:rsidR="00BA64D1" w:rsidRPr="002D3263" w:rsidP="00EF4CBB" w14:paraId="12AE1E2C" w14:textId="77777777">
            <w:pPr>
              <w:widowControl/>
              <w:jc w:val="right"/>
              <w:rPr>
                <w:rFonts w:ascii="Calibri" w:hAnsi="Calibri"/>
                <w:b/>
                <w:bCs/>
                <w:color w:val="000000"/>
              </w:rPr>
            </w:pPr>
            <w:r w:rsidRPr="002D3263">
              <w:rPr>
                <w:rFonts w:ascii="Calibri" w:hAnsi="Calibri"/>
                <w:color w:val="000000"/>
              </w:rPr>
              <w:t>Not Quantified</w:t>
            </w:r>
          </w:p>
        </w:tc>
        <w:tc>
          <w:tcPr>
            <w:tcW w:w="1620" w:type="dxa"/>
            <w:tcBorders>
              <w:left w:val="nil"/>
            </w:tcBorders>
            <w:shd w:val="clear" w:color="auto" w:fill="auto"/>
            <w:noWrap/>
          </w:tcPr>
          <w:p w:rsidR="00BA64D1" w:rsidRPr="002D3263" w:rsidP="00EF4CBB" w14:paraId="3CC82CE4" w14:textId="77777777">
            <w:pPr>
              <w:widowControl/>
              <w:jc w:val="right"/>
              <w:rPr>
                <w:rFonts w:ascii="Calibri" w:hAnsi="Calibri"/>
                <w:b/>
                <w:bCs/>
                <w:color w:val="000000"/>
              </w:rPr>
            </w:pPr>
            <w:r w:rsidRPr="002D3263">
              <w:rPr>
                <w:rFonts w:ascii="Calibri" w:hAnsi="Calibri"/>
                <w:color w:val="000000"/>
              </w:rPr>
              <w:t>Not Quantified</w:t>
            </w:r>
          </w:p>
        </w:tc>
        <w:tc>
          <w:tcPr>
            <w:tcW w:w="1620" w:type="dxa"/>
            <w:tcBorders>
              <w:left w:val="nil"/>
            </w:tcBorders>
          </w:tcPr>
          <w:p w:rsidR="00BA64D1" w:rsidRPr="002D3263" w:rsidP="00EF4CBB" w14:paraId="666EF56D" w14:textId="77777777">
            <w:pPr>
              <w:widowControl/>
              <w:jc w:val="right"/>
              <w:rPr>
                <w:rFonts w:ascii="Calibri" w:hAnsi="Calibri"/>
                <w:b/>
                <w:bCs/>
                <w:color w:val="000000"/>
              </w:rPr>
            </w:pPr>
            <w:r w:rsidRPr="002D3263">
              <w:rPr>
                <w:rFonts w:ascii="Calibri" w:hAnsi="Calibri"/>
                <w:color w:val="000000"/>
              </w:rPr>
              <w:t>Not Quantified</w:t>
            </w:r>
          </w:p>
        </w:tc>
      </w:tr>
      <w:tr w14:paraId="462F0E1D" w14:textId="77777777" w:rsidTr="002B6909">
        <w:tblPrEx>
          <w:tblW w:w="9450" w:type="dxa"/>
          <w:tblLayout w:type="fixed"/>
          <w:tblLook w:val="04A0"/>
        </w:tblPrEx>
        <w:trPr>
          <w:trHeight w:val="196"/>
        </w:trPr>
        <w:tc>
          <w:tcPr>
            <w:tcW w:w="2970" w:type="dxa"/>
            <w:tcBorders>
              <w:right w:val="nil"/>
            </w:tcBorders>
            <w:shd w:val="clear" w:color="auto" w:fill="auto"/>
            <w:noWrap/>
          </w:tcPr>
          <w:p w:rsidR="00BA64D1" w:rsidRPr="002D3263" w:rsidP="0002327A" w14:paraId="6FCD4689" w14:textId="77777777">
            <w:pPr>
              <w:keepNext/>
              <w:widowControl/>
              <w:spacing w:line="240" w:lineRule="auto"/>
              <w:ind w:left="288"/>
              <w:rPr>
                <w:rFonts w:ascii="Calibri" w:hAnsi="Calibri"/>
                <w:b/>
                <w:bCs/>
                <w:color w:val="000000"/>
              </w:rPr>
            </w:pPr>
            <w:r w:rsidRPr="002D3263">
              <w:rPr>
                <w:rFonts w:ascii="Calibri" w:hAnsi="Calibri"/>
                <w:color w:val="000000"/>
              </w:rPr>
              <w:t>Other Clarity &amp; Streamlining Changes</w:t>
            </w:r>
          </w:p>
        </w:tc>
        <w:tc>
          <w:tcPr>
            <w:tcW w:w="1620" w:type="dxa"/>
            <w:tcBorders>
              <w:left w:val="nil"/>
              <w:right w:val="nil"/>
            </w:tcBorders>
            <w:shd w:val="clear" w:color="auto" w:fill="auto"/>
            <w:noWrap/>
          </w:tcPr>
          <w:p w:rsidR="00BA64D1" w:rsidRPr="002D3263" w:rsidP="00EF4CBB" w14:paraId="3117D887" w14:textId="77777777">
            <w:pPr>
              <w:widowControl/>
              <w:jc w:val="right"/>
              <w:rPr>
                <w:rFonts w:ascii="Calibri" w:hAnsi="Calibri"/>
                <w:b/>
                <w:bCs/>
                <w:color w:val="000000"/>
              </w:rPr>
            </w:pPr>
            <w:r w:rsidRPr="002D3263">
              <w:rPr>
                <w:rFonts w:ascii="Calibri" w:hAnsi="Calibri"/>
                <w:color w:val="000000"/>
              </w:rPr>
              <w:t>Not Quantified</w:t>
            </w:r>
          </w:p>
        </w:tc>
        <w:tc>
          <w:tcPr>
            <w:tcW w:w="1620" w:type="dxa"/>
            <w:tcBorders>
              <w:left w:val="nil"/>
              <w:right w:val="nil"/>
            </w:tcBorders>
            <w:shd w:val="clear" w:color="auto" w:fill="auto"/>
            <w:noWrap/>
          </w:tcPr>
          <w:p w:rsidR="00BA64D1" w:rsidRPr="002D3263" w:rsidP="00EF4CBB" w14:paraId="7ADA761A" w14:textId="77777777">
            <w:pPr>
              <w:widowControl/>
              <w:jc w:val="right"/>
              <w:rPr>
                <w:rFonts w:ascii="Calibri" w:hAnsi="Calibri"/>
                <w:b/>
                <w:bCs/>
                <w:color w:val="000000"/>
              </w:rPr>
            </w:pPr>
            <w:r w:rsidRPr="002D3263">
              <w:rPr>
                <w:rFonts w:ascii="Calibri" w:hAnsi="Calibri"/>
                <w:color w:val="000000"/>
              </w:rPr>
              <w:t>Not Quantified</w:t>
            </w:r>
          </w:p>
        </w:tc>
        <w:tc>
          <w:tcPr>
            <w:tcW w:w="1620" w:type="dxa"/>
            <w:tcBorders>
              <w:left w:val="nil"/>
            </w:tcBorders>
            <w:shd w:val="clear" w:color="auto" w:fill="auto"/>
            <w:noWrap/>
          </w:tcPr>
          <w:p w:rsidR="00BA64D1" w:rsidRPr="002D3263" w:rsidP="00EF4CBB" w14:paraId="29F1B317" w14:textId="77777777">
            <w:pPr>
              <w:widowControl/>
              <w:jc w:val="right"/>
              <w:rPr>
                <w:rFonts w:ascii="Calibri" w:hAnsi="Calibri"/>
                <w:b/>
                <w:bCs/>
                <w:color w:val="000000"/>
              </w:rPr>
            </w:pPr>
            <w:r w:rsidRPr="002D3263">
              <w:rPr>
                <w:rFonts w:ascii="Calibri" w:hAnsi="Calibri"/>
                <w:color w:val="000000"/>
              </w:rPr>
              <w:t>Not Quantified</w:t>
            </w:r>
          </w:p>
        </w:tc>
        <w:tc>
          <w:tcPr>
            <w:tcW w:w="1620" w:type="dxa"/>
            <w:tcBorders>
              <w:left w:val="nil"/>
            </w:tcBorders>
          </w:tcPr>
          <w:p w:rsidR="00BA64D1" w:rsidRPr="002D3263" w:rsidP="00EF4CBB" w14:paraId="387045B5" w14:textId="77777777">
            <w:pPr>
              <w:widowControl/>
              <w:jc w:val="right"/>
              <w:rPr>
                <w:rFonts w:ascii="Calibri" w:hAnsi="Calibri"/>
                <w:b/>
                <w:bCs/>
                <w:color w:val="000000"/>
              </w:rPr>
            </w:pPr>
            <w:r w:rsidRPr="002D3263">
              <w:rPr>
                <w:rFonts w:ascii="Calibri" w:hAnsi="Calibri"/>
                <w:color w:val="000000"/>
              </w:rPr>
              <w:t>Not Quantified</w:t>
            </w:r>
          </w:p>
        </w:tc>
      </w:tr>
      <w:tr w14:paraId="78D39829" w14:textId="77777777" w:rsidTr="00902EA1">
        <w:tblPrEx>
          <w:tblW w:w="9450" w:type="dxa"/>
          <w:tblLayout w:type="fixed"/>
          <w:tblLook w:val="04A0"/>
        </w:tblPrEx>
        <w:trPr>
          <w:trHeight w:val="196"/>
        </w:trPr>
        <w:tc>
          <w:tcPr>
            <w:tcW w:w="2970" w:type="dxa"/>
            <w:tcBorders>
              <w:bottom w:val="single" w:sz="4" w:space="0" w:color="auto"/>
              <w:right w:val="nil"/>
            </w:tcBorders>
            <w:shd w:val="clear" w:color="auto" w:fill="auto"/>
            <w:noWrap/>
            <w:hideMark/>
          </w:tcPr>
          <w:p w:rsidR="004C4EEB" w:rsidRPr="002D3263" w:rsidP="004C4EEB" w14:paraId="163D54D1" w14:textId="77777777">
            <w:pPr>
              <w:keepNext/>
              <w:widowControl/>
              <w:spacing w:line="240" w:lineRule="auto"/>
              <w:ind w:firstLine="220" w:firstLineChars="100"/>
              <w:rPr>
                <w:rFonts w:eastAsia="Times New Roman" w:cs="Times New Roman"/>
                <w:b/>
                <w:bCs/>
                <w:color w:val="000000"/>
              </w:rPr>
            </w:pPr>
            <w:r w:rsidRPr="002D3263">
              <w:rPr>
                <w:rFonts w:ascii="Calibri" w:hAnsi="Calibri"/>
                <w:b/>
                <w:bCs/>
                <w:color w:val="000000"/>
              </w:rPr>
              <w:t>Total Costs*</w:t>
            </w:r>
          </w:p>
        </w:tc>
        <w:tc>
          <w:tcPr>
            <w:tcW w:w="1620" w:type="dxa"/>
            <w:tcBorders>
              <w:left w:val="nil"/>
              <w:bottom w:val="single" w:sz="4" w:space="0" w:color="auto"/>
              <w:right w:val="nil"/>
            </w:tcBorders>
            <w:shd w:val="clear" w:color="auto" w:fill="auto"/>
            <w:noWrap/>
            <w:vAlign w:val="bottom"/>
          </w:tcPr>
          <w:p w:rsidR="004C4EEB" w:rsidRPr="002D3263" w:rsidP="004C4EEB" w14:paraId="49EB8714" w14:textId="029F7800">
            <w:pPr>
              <w:widowControl/>
              <w:jc w:val="right"/>
              <w:rPr>
                <w:rFonts w:ascii="Calibri" w:hAnsi="Calibri"/>
                <w:b/>
                <w:bCs/>
                <w:color w:val="000000"/>
              </w:rPr>
            </w:pPr>
            <w:r>
              <w:rPr>
                <w:rFonts w:ascii="Calibri" w:hAnsi="Calibri" w:cs="Calibri"/>
                <w:b/>
                <w:bCs/>
                <w:color w:val="000000"/>
              </w:rPr>
              <w:t xml:space="preserve">$2,186,841 </w:t>
            </w:r>
          </w:p>
        </w:tc>
        <w:tc>
          <w:tcPr>
            <w:tcW w:w="1620" w:type="dxa"/>
            <w:tcBorders>
              <w:left w:val="nil"/>
              <w:bottom w:val="single" w:sz="4" w:space="0" w:color="auto"/>
              <w:right w:val="nil"/>
            </w:tcBorders>
            <w:shd w:val="clear" w:color="auto" w:fill="auto"/>
            <w:noWrap/>
            <w:vAlign w:val="bottom"/>
          </w:tcPr>
          <w:p w:rsidR="004C4EEB" w:rsidRPr="002D3263" w:rsidP="004C4EEB" w14:paraId="6BA9EA19" w14:textId="3ACB54FE">
            <w:pPr>
              <w:widowControl/>
              <w:jc w:val="right"/>
              <w:rPr>
                <w:rFonts w:ascii="Calibri" w:hAnsi="Calibri"/>
                <w:b/>
                <w:bCs/>
                <w:color w:val="000000"/>
              </w:rPr>
            </w:pPr>
            <w:r>
              <w:rPr>
                <w:rFonts w:ascii="Calibri" w:hAnsi="Calibri" w:cs="Calibri"/>
                <w:b/>
                <w:bCs/>
                <w:color w:val="000000"/>
              </w:rPr>
              <w:t xml:space="preserve">$2,410,833 </w:t>
            </w:r>
          </w:p>
        </w:tc>
        <w:tc>
          <w:tcPr>
            <w:tcW w:w="1620" w:type="dxa"/>
            <w:tcBorders>
              <w:left w:val="nil"/>
              <w:bottom w:val="single" w:sz="4" w:space="0" w:color="auto"/>
            </w:tcBorders>
            <w:shd w:val="clear" w:color="auto" w:fill="auto"/>
            <w:noWrap/>
            <w:vAlign w:val="bottom"/>
          </w:tcPr>
          <w:p w:rsidR="004C4EEB" w:rsidRPr="002D3263" w:rsidP="004C4EEB" w14:paraId="7086A722" w14:textId="25886892">
            <w:pPr>
              <w:widowControl/>
              <w:jc w:val="right"/>
              <w:rPr>
                <w:rFonts w:ascii="Calibri" w:hAnsi="Calibri"/>
                <w:b/>
                <w:bCs/>
                <w:color w:val="000000"/>
              </w:rPr>
            </w:pPr>
            <w:r>
              <w:rPr>
                <w:rFonts w:ascii="Calibri" w:hAnsi="Calibri" w:cs="Calibri"/>
                <w:b/>
                <w:bCs/>
                <w:color w:val="000000"/>
              </w:rPr>
              <w:t xml:space="preserve">$311,357 </w:t>
            </w:r>
          </w:p>
        </w:tc>
        <w:tc>
          <w:tcPr>
            <w:tcW w:w="1620" w:type="dxa"/>
            <w:tcBorders>
              <w:left w:val="nil"/>
              <w:bottom w:val="single" w:sz="4" w:space="0" w:color="auto"/>
            </w:tcBorders>
            <w:vAlign w:val="bottom"/>
          </w:tcPr>
          <w:p w:rsidR="004C4EEB" w:rsidRPr="002D3263" w:rsidP="004C4EEB" w14:paraId="78C6AC79" w14:textId="7D2080C7">
            <w:pPr>
              <w:widowControl/>
              <w:jc w:val="right"/>
              <w:rPr>
                <w:rFonts w:ascii="Calibri" w:hAnsi="Calibri"/>
                <w:b/>
                <w:bCs/>
                <w:color w:val="000000"/>
              </w:rPr>
            </w:pPr>
            <w:r>
              <w:rPr>
                <w:rFonts w:ascii="Calibri" w:hAnsi="Calibri" w:cs="Calibri"/>
                <w:b/>
                <w:bCs/>
                <w:color w:val="000000"/>
              </w:rPr>
              <w:t xml:space="preserve">$282,623 </w:t>
            </w:r>
          </w:p>
        </w:tc>
      </w:tr>
      <w:tr w14:paraId="18D6D82C" w14:textId="77777777" w:rsidTr="002B6909">
        <w:tblPrEx>
          <w:tblW w:w="9450" w:type="dxa"/>
          <w:tblLayout w:type="fixed"/>
          <w:tblLook w:val="04A0"/>
        </w:tblPrEx>
        <w:trPr>
          <w:trHeight w:val="174"/>
        </w:trPr>
        <w:tc>
          <w:tcPr>
            <w:tcW w:w="2970" w:type="dxa"/>
            <w:tcBorders>
              <w:top w:val="nil"/>
              <w:bottom w:val="nil"/>
              <w:right w:val="nil"/>
            </w:tcBorders>
            <w:shd w:val="clear" w:color="auto" w:fill="auto"/>
            <w:noWrap/>
            <w:hideMark/>
          </w:tcPr>
          <w:p w:rsidR="00BA64D1" w:rsidRPr="002D3263" w:rsidP="0002327A" w14:paraId="688166FC" w14:textId="77777777">
            <w:pPr>
              <w:keepNext/>
              <w:widowControl/>
              <w:spacing w:line="240" w:lineRule="auto"/>
              <w:rPr>
                <w:rFonts w:eastAsia="Times New Roman" w:cs="Times New Roman"/>
                <w:b/>
                <w:bCs/>
                <w:color w:val="000000"/>
              </w:rPr>
            </w:pPr>
            <w:r w:rsidRPr="002D3263">
              <w:rPr>
                <w:rFonts w:eastAsia="Times New Roman" w:cs="Times New Roman"/>
                <w:b/>
                <w:bCs/>
                <w:color w:val="000000"/>
              </w:rPr>
              <w:t>Benefits</w:t>
            </w:r>
          </w:p>
        </w:tc>
        <w:tc>
          <w:tcPr>
            <w:tcW w:w="1620" w:type="dxa"/>
            <w:tcBorders>
              <w:top w:val="nil"/>
              <w:left w:val="nil"/>
              <w:bottom w:val="nil"/>
              <w:right w:val="nil"/>
            </w:tcBorders>
            <w:shd w:val="clear" w:color="auto" w:fill="auto"/>
            <w:noWrap/>
          </w:tcPr>
          <w:p w:rsidR="00BA64D1" w:rsidRPr="002D3263" w:rsidP="0002327A" w14:paraId="4758C8C2" w14:textId="77777777">
            <w:pPr>
              <w:keepNext/>
              <w:widowControl/>
              <w:spacing w:line="240" w:lineRule="auto"/>
              <w:jc w:val="right"/>
              <w:rPr>
                <w:rFonts w:eastAsia="Times New Roman" w:cs="Times New Roman"/>
                <w:color w:val="000000"/>
              </w:rPr>
            </w:pPr>
          </w:p>
        </w:tc>
        <w:tc>
          <w:tcPr>
            <w:tcW w:w="1620" w:type="dxa"/>
            <w:tcBorders>
              <w:top w:val="nil"/>
              <w:left w:val="nil"/>
              <w:bottom w:val="nil"/>
              <w:right w:val="nil"/>
            </w:tcBorders>
            <w:shd w:val="clear" w:color="auto" w:fill="auto"/>
            <w:noWrap/>
          </w:tcPr>
          <w:p w:rsidR="00BA64D1" w:rsidRPr="002D3263" w:rsidP="00093828" w14:paraId="341A93F1" w14:textId="77777777">
            <w:pPr>
              <w:keepNext/>
              <w:widowControl/>
              <w:spacing w:line="240" w:lineRule="auto"/>
              <w:jc w:val="right"/>
              <w:rPr>
                <w:rFonts w:eastAsia="Times New Roman" w:cs="Times New Roman"/>
                <w:color w:val="000000"/>
              </w:rPr>
            </w:pPr>
          </w:p>
        </w:tc>
        <w:tc>
          <w:tcPr>
            <w:tcW w:w="1620" w:type="dxa"/>
            <w:tcBorders>
              <w:top w:val="nil"/>
              <w:left w:val="nil"/>
              <w:bottom w:val="nil"/>
            </w:tcBorders>
            <w:shd w:val="clear" w:color="auto" w:fill="auto"/>
            <w:noWrap/>
          </w:tcPr>
          <w:p w:rsidR="00BA64D1" w:rsidRPr="002D3263" w:rsidP="00D2312D" w14:paraId="7AAA59BE" w14:textId="77777777">
            <w:pPr>
              <w:keepNext/>
              <w:widowControl/>
              <w:spacing w:line="240" w:lineRule="auto"/>
              <w:jc w:val="right"/>
              <w:rPr>
                <w:rFonts w:eastAsia="Times New Roman" w:cs="Times New Roman"/>
                <w:color w:val="000000"/>
              </w:rPr>
            </w:pPr>
          </w:p>
        </w:tc>
        <w:tc>
          <w:tcPr>
            <w:tcW w:w="1620" w:type="dxa"/>
            <w:tcBorders>
              <w:top w:val="nil"/>
              <w:left w:val="nil"/>
              <w:bottom w:val="nil"/>
            </w:tcBorders>
          </w:tcPr>
          <w:p w:rsidR="00BA64D1" w:rsidRPr="002D3263" w:rsidP="001E7137" w14:paraId="7441BC04" w14:textId="77777777">
            <w:pPr>
              <w:keepNext/>
              <w:widowControl/>
              <w:spacing w:line="240" w:lineRule="auto"/>
              <w:jc w:val="right"/>
              <w:rPr>
                <w:rFonts w:eastAsia="Times New Roman" w:cs="Times New Roman"/>
                <w:color w:val="000000"/>
              </w:rPr>
            </w:pPr>
          </w:p>
        </w:tc>
      </w:tr>
      <w:tr w14:paraId="217F1CC2" w14:textId="77777777" w:rsidTr="002B6909">
        <w:tblPrEx>
          <w:tblW w:w="9450" w:type="dxa"/>
          <w:tblLayout w:type="fixed"/>
          <w:tblLook w:val="04A0"/>
        </w:tblPrEx>
        <w:trPr>
          <w:trHeight w:val="196"/>
        </w:trPr>
        <w:tc>
          <w:tcPr>
            <w:tcW w:w="2970" w:type="dxa"/>
            <w:tcBorders>
              <w:top w:val="nil"/>
              <w:bottom w:val="nil"/>
              <w:right w:val="nil"/>
            </w:tcBorders>
            <w:shd w:val="clear" w:color="auto" w:fill="auto"/>
            <w:noWrap/>
            <w:hideMark/>
          </w:tcPr>
          <w:p w:rsidR="00BA64D1" w:rsidRPr="002D3263" w:rsidP="00EF4CBB" w14:paraId="052FC710" w14:textId="77777777">
            <w:pPr>
              <w:widowControl/>
              <w:ind w:firstLine="220" w:firstLineChars="100"/>
              <w:rPr>
                <w:rFonts w:ascii="Calibri" w:hAnsi="Calibri"/>
                <w:color w:val="000000"/>
              </w:rPr>
            </w:pPr>
            <w:r w:rsidRPr="002D3263">
              <w:rPr>
                <w:rFonts w:ascii="Calibri" w:hAnsi="Calibri"/>
                <w:color w:val="000000"/>
              </w:rPr>
              <w:t>Equity &amp; Fairness</w:t>
            </w:r>
          </w:p>
        </w:tc>
        <w:tc>
          <w:tcPr>
            <w:tcW w:w="1620" w:type="dxa"/>
            <w:tcBorders>
              <w:top w:val="nil"/>
              <w:left w:val="nil"/>
              <w:bottom w:val="nil"/>
              <w:right w:val="nil"/>
            </w:tcBorders>
            <w:shd w:val="clear" w:color="auto" w:fill="auto"/>
            <w:noWrap/>
          </w:tcPr>
          <w:p w:rsidR="00BA64D1" w:rsidRPr="002D3263" w:rsidP="00EF4CBB" w14:paraId="14F45156" w14:textId="77777777">
            <w:pPr>
              <w:widowControl/>
              <w:jc w:val="right"/>
              <w:rPr>
                <w:rFonts w:ascii="Calibri" w:hAnsi="Calibri"/>
                <w:color w:val="000000"/>
              </w:rPr>
            </w:pPr>
            <w:r w:rsidRPr="002D3263">
              <w:rPr>
                <w:rFonts w:ascii="Calibri" w:hAnsi="Calibri"/>
                <w:color w:val="000000"/>
              </w:rPr>
              <w:t>Not Quantified</w:t>
            </w:r>
          </w:p>
        </w:tc>
        <w:tc>
          <w:tcPr>
            <w:tcW w:w="1620" w:type="dxa"/>
            <w:tcBorders>
              <w:top w:val="nil"/>
              <w:left w:val="nil"/>
              <w:bottom w:val="nil"/>
              <w:right w:val="nil"/>
            </w:tcBorders>
            <w:shd w:val="clear" w:color="auto" w:fill="auto"/>
            <w:noWrap/>
          </w:tcPr>
          <w:p w:rsidR="00BA64D1" w:rsidRPr="002D3263" w:rsidP="00EF4CBB" w14:paraId="7BE0FD45" w14:textId="77777777">
            <w:pPr>
              <w:widowControl/>
              <w:jc w:val="right"/>
              <w:rPr>
                <w:rFonts w:ascii="Calibri" w:hAnsi="Calibri"/>
                <w:color w:val="000000"/>
              </w:rPr>
            </w:pPr>
            <w:r w:rsidRPr="002D3263">
              <w:rPr>
                <w:rFonts w:ascii="Calibri" w:hAnsi="Calibri"/>
                <w:color w:val="000000"/>
              </w:rPr>
              <w:t>Not Quantified</w:t>
            </w:r>
          </w:p>
        </w:tc>
        <w:tc>
          <w:tcPr>
            <w:tcW w:w="1620" w:type="dxa"/>
            <w:tcBorders>
              <w:top w:val="nil"/>
              <w:left w:val="nil"/>
              <w:bottom w:val="nil"/>
            </w:tcBorders>
            <w:shd w:val="clear" w:color="auto" w:fill="auto"/>
            <w:noWrap/>
          </w:tcPr>
          <w:p w:rsidR="00BA64D1" w:rsidRPr="002D3263" w:rsidP="00EF4CBB" w14:paraId="016146A4" w14:textId="77777777">
            <w:pPr>
              <w:widowControl/>
              <w:jc w:val="right"/>
              <w:rPr>
                <w:rFonts w:ascii="Calibri" w:hAnsi="Calibri"/>
                <w:color w:val="000000"/>
              </w:rPr>
            </w:pPr>
            <w:r w:rsidRPr="002D3263">
              <w:rPr>
                <w:rFonts w:ascii="Calibri" w:hAnsi="Calibri"/>
                <w:color w:val="000000"/>
              </w:rPr>
              <w:t>Not Quantified</w:t>
            </w:r>
          </w:p>
        </w:tc>
        <w:tc>
          <w:tcPr>
            <w:tcW w:w="1620" w:type="dxa"/>
            <w:tcBorders>
              <w:top w:val="nil"/>
              <w:left w:val="nil"/>
              <w:bottom w:val="nil"/>
            </w:tcBorders>
          </w:tcPr>
          <w:p w:rsidR="00BA64D1" w:rsidRPr="002D3263" w:rsidP="00EF4CBB" w14:paraId="0BDFBDC0" w14:textId="77777777">
            <w:pPr>
              <w:widowControl/>
              <w:jc w:val="right"/>
              <w:rPr>
                <w:rFonts w:ascii="Calibri" w:hAnsi="Calibri"/>
                <w:color w:val="000000"/>
              </w:rPr>
            </w:pPr>
            <w:r w:rsidRPr="002D3263">
              <w:rPr>
                <w:rFonts w:ascii="Calibri" w:hAnsi="Calibri"/>
                <w:color w:val="000000"/>
              </w:rPr>
              <w:t>Not Quantified</w:t>
            </w:r>
          </w:p>
        </w:tc>
      </w:tr>
      <w:tr w14:paraId="44BDC776" w14:textId="77777777" w:rsidTr="002B6909">
        <w:tblPrEx>
          <w:tblW w:w="9450" w:type="dxa"/>
          <w:tblLayout w:type="fixed"/>
          <w:tblLook w:val="04A0"/>
        </w:tblPrEx>
        <w:trPr>
          <w:trHeight w:val="196"/>
        </w:trPr>
        <w:tc>
          <w:tcPr>
            <w:tcW w:w="2970" w:type="dxa"/>
            <w:tcBorders>
              <w:top w:val="nil"/>
              <w:right w:val="nil"/>
            </w:tcBorders>
            <w:shd w:val="clear" w:color="auto" w:fill="auto"/>
            <w:noWrap/>
            <w:hideMark/>
          </w:tcPr>
          <w:p w:rsidR="00BA64D1" w:rsidRPr="002D3263" w:rsidP="00EF4CBB" w14:paraId="247F11B0" w14:textId="77777777">
            <w:pPr>
              <w:widowControl/>
              <w:ind w:firstLine="220" w:firstLineChars="100"/>
              <w:rPr>
                <w:rFonts w:ascii="Calibri" w:hAnsi="Calibri"/>
                <w:color w:val="000000"/>
              </w:rPr>
            </w:pPr>
            <w:r w:rsidRPr="002D3263">
              <w:rPr>
                <w:rFonts w:ascii="Calibri" w:hAnsi="Calibri"/>
                <w:color w:val="000000"/>
              </w:rPr>
              <w:t>Program Oversight</w:t>
            </w:r>
          </w:p>
        </w:tc>
        <w:tc>
          <w:tcPr>
            <w:tcW w:w="1620" w:type="dxa"/>
            <w:tcBorders>
              <w:top w:val="nil"/>
              <w:left w:val="nil"/>
              <w:right w:val="nil"/>
            </w:tcBorders>
            <w:shd w:val="clear" w:color="auto" w:fill="auto"/>
            <w:noWrap/>
          </w:tcPr>
          <w:p w:rsidR="00BA64D1" w:rsidRPr="002D3263" w:rsidP="00EF4CBB" w14:paraId="39D6488B" w14:textId="77777777">
            <w:pPr>
              <w:widowControl/>
              <w:jc w:val="right"/>
              <w:rPr>
                <w:rFonts w:ascii="Calibri" w:hAnsi="Calibri"/>
                <w:color w:val="000000"/>
              </w:rPr>
            </w:pPr>
            <w:r w:rsidRPr="002D3263">
              <w:rPr>
                <w:rFonts w:ascii="Calibri" w:hAnsi="Calibri"/>
                <w:color w:val="000000"/>
              </w:rPr>
              <w:t>Not Quantified</w:t>
            </w:r>
          </w:p>
        </w:tc>
        <w:tc>
          <w:tcPr>
            <w:tcW w:w="1620" w:type="dxa"/>
            <w:tcBorders>
              <w:top w:val="nil"/>
              <w:left w:val="nil"/>
              <w:right w:val="nil"/>
            </w:tcBorders>
            <w:shd w:val="clear" w:color="auto" w:fill="auto"/>
            <w:noWrap/>
          </w:tcPr>
          <w:p w:rsidR="00BA64D1" w:rsidRPr="002D3263" w:rsidP="00EF4CBB" w14:paraId="6CA9D625" w14:textId="77777777">
            <w:pPr>
              <w:widowControl/>
              <w:jc w:val="right"/>
              <w:rPr>
                <w:rFonts w:ascii="Calibri" w:hAnsi="Calibri"/>
                <w:b/>
                <w:color w:val="000000"/>
              </w:rPr>
            </w:pPr>
            <w:r w:rsidRPr="002D3263">
              <w:rPr>
                <w:rFonts w:ascii="Calibri" w:hAnsi="Calibri"/>
                <w:color w:val="000000"/>
              </w:rPr>
              <w:t>Not Quantified</w:t>
            </w:r>
          </w:p>
        </w:tc>
        <w:tc>
          <w:tcPr>
            <w:tcW w:w="1620" w:type="dxa"/>
            <w:tcBorders>
              <w:top w:val="nil"/>
              <w:left w:val="nil"/>
            </w:tcBorders>
            <w:shd w:val="clear" w:color="auto" w:fill="auto"/>
            <w:noWrap/>
          </w:tcPr>
          <w:p w:rsidR="00BA64D1" w:rsidRPr="002D3263" w:rsidP="00EF4CBB" w14:paraId="4A894346" w14:textId="77777777">
            <w:pPr>
              <w:widowControl/>
              <w:jc w:val="right"/>
              <w:rPr>
                <w:rFonts w:ascii="Calibri" w:hAnsi="Calibri"/>
                <w:color w:val="000000"/>
              </w:rPr>
            </w:pPr>
            <w:r w:rsidRPr="002D3263">
              <w:rPr>
                <w:rFonts w:ascii="Calibri" w:hAnsi="Calibri"/>
                <w:color w:val="000000"/>
              </w:rPr>
              <w:t>Not Quantified</w:t>
            </w:r>
          </w:p>
        </w:tc>
        <w:tc>
          <w:tcPr>
            <w:tcW w:w="1620" w:type="dxa"/>
            <w:tcBorders>
              <w:top w:val="nil"/>
              <w:left w:val="nil"/>
            </w:tcBorders>
          </w:tcPr>
          <w:p w:rsidR="00BA64D1" w:rsidRPr="002D3263" w:rsidP="00EF4CBB" w14:paraId="0EE6BBC2" w14:textId="77777777">
            <w:pPr>
              <w:widowControl/>
              <w:jc w:val="right"/>
              <w:rPr>
                <w:rFonts w:ascii="Calibri" w:hAnsi="Calibri"/>
                <w:color w:val="000000"/>
              </w:rPr>
            </w:pPr>
            <w:r w:rsidRPr="002D3263">
              <w:rPr>
                <w:rFonts w:ascii="Calibri" w:hAnsi="Calibri"/>
                <w:color w:val="000000"/>
              </w:rPr>
              <w:t>Not Quantified</w:t>
            </w:r>
          </w:p>
        </w:tc>
      </w:tr>
    </w:tbl>
    <w:p w:rsidR="00162E96" w:rsidRPr="002D3263" w:rsidP="00EF4CBB" w14:paraId="1591E087" w14:textId="77777777">
      <w:pPr>
        <w:widowControl/>
      </w:pPr>
    </w:p>
    <w:p w:rsidR="00DD4F27" w:rsidRPr="002D3263" w:rsidP="00D6005F" w14:paraId="185F46E1" w14:textId="77777777">
      <w:pPr>
        <w:pStyle w:val="Caption"/>
      </w:pPr>
    </w:p>
    <w:p w:rsidR="00BA64D1" w:rsidRPr="002D3263" w:rsidP="00D6005F" w14:paraId="27696035" w14:textId="7A2ED074">
      <w:pPr>
        <w:pStyle w:val="Caption"/>
      </w:pPr>
      <w:r w:rsidRPr="002D3263">
        <w:t>Transfers to Displaced Persons for Analysis Period 202</w:t>
      </w:r>
      <w:r w:rsidRPr="002D3263" w:rsidR="00B44A61">
        <w:t>3</w:t>
      </w:r>
      <w:r w:rsidRPr="002D3263">
        <w:t>—203</w:t>
      </w:r>
      <w:r w:rsidRPr="002D3263" w:rsidR="00B44A61">
        <w:t>2</w:t>
      </w:r>
      <w:r w:rsidRPr="002D3263">
        <w:t xml:space="preserve"> (FHWA)</w:t>
      </w:r>
    </w:p>
    <w:tbl>
      <w:tblPr>
        <w:tblW w:w="9630" w:type="dxa"/>
        <w:tblLayout w:type="fixed"/>
        <w:tblLook w:val="04A0"/>
      </w:tblPr>
      <w:tblGrid>
        <w:gridCol w:w="3155"/>
        <w:gridCol w:w="1598"/>
        <w:gridCol w:w="1598"/>
        <w:gridCol w:w="1659"/>
        <w:gridCol w:w="1620"/>
      </w:tblGrid>
      <w:tr w14:paraId="6752181A" w14:textId="77777777" w:rsidTr="002B6909">
        <w:tblPrEx>
          <w:tblW w:w="9630" w:type="dxa"/>
          <w:tblLayout w:type="fixed"/>
          <w:tblLook w:val="04A0"/>
        </w:tblPrEx>
        <w:trPr>
          <w:trHeight w:val="391"/>
        </w:trPr>
        <w:tc>
          <w:tcPr>
            <w:tcW w:w="3155" w:type="dxa"/>
            <w:tcBorders>
              <w:bottom w:val="single" w:sz="4" w:space="0" w:color="auto"/>
              <w:right w:val="nil"/>
            </w:tcBorders>
            <w:shd w:val="clear" w:color="auto" w:fill="auto"/>
            <w:noWrap/>
            <w:vAlign w:val="center"/>
            <w:hideMark/>
          </w:tcPr>
          <w:p w:rsidR="00BA64D1" w:rsidRPr="002D3263" w:rsidP="00093828" w14:paraId="109C94C4" w14:textId="77777777">
            <w:pPr>
              <w:keepNext/>
              <w:widowControl/>
              <w:spacing w:line="240" w:lineRule="auto"/>
              <w:jc w:val="center"/>
              <w:rPr>
                <w:rFonts w:ascii="Calibri" w:eastAsia="Times New Roman" w:hAnsi="Calibri" w:cs="Times New Roman"/>
                <w:b/>
                <w:bCs/>
                <w:color w:val="000000"/>
              </w:rPr>
            </w:pPr>
            <w:r w:rsidRPr="002D3263">
              <w:rPr>
                <w:rFonts w:ascii="Calibri" w:hAnsi="Calibri"/>
                <w:b/>
                <w:bCs/>
                <w:color w:val="000000"/>
              </w:rPr>
              <w:t>Item</w:t>
            </w:r>
          </w:p>
        </w:tc>
        <w:tc>
          <w:tcPr>
            <w:tcW w:w="1598" w:type="dxa"/>
            <w:tcBorders>
              <w:left w:val="nil"/>
              <w:bottom w:val="single" w:sz="4" w:space="0" w:color="auto"/>
              <w:right w:val="nil"/>
            </w:tcBorders>
            <w:shd w:val="clear" w:color="auto" w:fill="auto"/>
            <w:noWrap/>
            <w:vAlign w:val="center"/>
            <w:hideMark/>
          </w:tcPr>
          <w:p w:rsidR="00BA64D1" w:rsidRPr="002D3263" w:rsidP="00D2312D" w14:paraId="6203EFEE" w14:textId="77777777">
            <w:pPr>
              <w:keepNext/>
              <w:widowControl/>
              <w:spacing w:line="240" w:lineRule="auto"/>
              <w:jc w:val="right"/>
              <w:rPr>
                <w:rFonts w:ascii="Calibri" w:eastAsia="Times New Roman" w:hAnsi="Calibri" w:cs="Times New Roman"/>
                <w:b/>
                <w:bCs/>
                <w:color w:val="000000"/>
              </w:rPr>
            </w:pPr>
            <w:r w:rsidRPr="002D3263">
              <w:rPr>
                <w:rFonts w:ascii="Calibri" w:hAnsi="Calibri"/>
                <w:b/>
                <w:bCs/>
                <w:color w:val="000000"/>
              </w:rPr>
              <w:t>Discounted 7%</w:t>
            </w:r>
          </w:p>
        </w:tc>
        <w:tc>
          <w:tcPr>
            <w:tcW w:w="1598" w:type="dxa"/>
            <w:tcBorders>
              <w:left w:val="nil"/>
              <w:bottom w:val="single" w:sz="4" w:space="0" w:color="auto"/>
              <w:right w:val="nil"/>
            </w:tcBorders>
            <w:shd w:val="clear" w:color="auto" w:fill="auto"/>
            <w:noWrap/>
            <w:vAlign w:val="center"/>
            <w:hideMark/>
          </w:tcPr>
          <w:p w:rsidR="00BA64D1" w:rsidRPr="002D3263" w:rsidP="001E7137" w14:paraId="4C18574D" w14:textId="77777777">
            <w:pPr>
              <w:keepNext/>
              <w:widowControl/>
              <w:spacing w:line="240" w:lineRule="auto"/>
              <w:jc w:val="center"/>
              <w:rPr>
                <w:rFonts w:ascii="Calibri" w:eastAsia="Times New Roman" w:hAnsi="Calibri" w:cs="Times New Roman"/>
                <w:b/>
                <w:bCs/>
                <w:color w:val="000000"/>
              </w:rPr>
            </w:pPr>
            <w:r w:rsidRPr="002D3263">
              <w:rPr>
                <w:rFonts w:ascii="Calibri" w:hAnsi="Calibri"/>
                <w:b/>
                <w:bCs/>
                <w:color w:val="000000"/>
              </w:rPr>
              <w:t>Discounted 3%</w:t>
            </w:r>
          </w:p>
        </w:tc>
        <w:tc>
          <w:tcPr>
            <w:tcW w:w="1659" w:type="dxa"/>
            <w:tcBorders>
              <w:left w:val="nil"/>
              <w:bottom w:val="single" w:sz="4" w:space="0" w:color="auto"/>
            </w:tcBorders>
            <w:shd w:val="clear" w:color="auto" w:fill="auto"/>
            <w:noWrap/>
            <w:vAlign w:val="center"/>
            <w:hideMark/>
          </w:tcPr>
          <w:p w:rsidR="00BA64D1" w:rsidRPr="002D3263" w:rsidP="00EF4CBB" w14:paraId="5CD9F6A5" w14:textId="77777777">
            <w:pPr>
              <w:keepNext/>
              <w:widowControl/>
              <w:spacing w:line="240" w:lineRule="auto"/>
              <w:jc w:val="center"/>
              <w:rPr>
                <w:rFonts w:ascii="Calibri" w:eastAsia="Times New Roman" w:hAnsi="Calibri" w:cs="Times New Roman"/>
                <w:b/>
                <w:bCs/>
                <w:color w:val="000000"/>
              </w:rPr>
            </w:pPr>
            <w:r w:rsidRPr="002D3263">
              <w:rPr>
                <w:rFonts w:ascii="Calibri" w:hAnsi="Calibri"/>
                <w:b/>
                <w:bCs/>
                <w:color w:val="000000"/>
              </w:rPr>
              <w:t>Annualized 7%</w:t>
            </w:r>
          </w:p>
        </w:tc>
        <w:tc>
          <w:tcPr>
            <w:tcW w:w="1620" w:type="dxa"/>
            <w:tcBorders>
              <w:left w:val="nil"/>
              <w:bottom w:val="single" w:sz="4" w:space="0" w:color="auto"/>
            </w:tcBorders>
            <w:vAlign w:val="center"/>
          </w:tcPr>
          <w:p w:rsidR="00BA64D1" w:rsidRPr="002D3263" w:rsidP="00EF4CBB" w14:paraId="30D7F155" w14:textId="77777777">
            <w:pPr>
              <w:keepNext/>
              <w:widowControl/>
              <w:spacing w:line="240" w:lineRule="auto"/>
              <w:jc w:val="center"/>
              <w:rPr>
                <w:rFonts w:ascii="Calibri" w:eastAsia="Times New Roman" w:hAnsi="Calibri" w:cs="Times New Roman"/>
                <w:b/>
                <w:bCs/>
                <w:color w:val="000000"/>
              </w:rPr>
            </w:pPr>
            <w:r w:rsidRPr="002D3263">
              <w:rPr>
                <w:rFonts w:ascii="Calibri" w:hAnsi="Calibri"/>
                <w:b/>
                <w:bCs/>
                <w:color w:val="000000"/>
              </w:rPr>
              <w:t>Annualized 3%</w:t>
            </w:r>
          </w:p>
        </w:tc>
      </w:tr>
      <w:tr w14:paraId="28E5AD46" w14:textId="77777777" w:rsidTr="006D5D1A">
        <w:tblPrEx>
          <w:tblW w:w="9630" w:type="dxa"/>
          <w:tblLayout w:type="fixed"/>
          <w:tblLook w:val="04A0"/>
        </w:tblPrEx>
        <w:trPr>
          <w:trHeight w:val="303"/>
        </w:trPr>
        <w:tc>
          <w:tcPr>
            <w:tcW w:w="3155" w:type="dxa"/>
            <w:tcBorders>
              <w:top w:val="nil"/>
              <w:bottom w:val="nil"/>
              <w:right w:val="nil"/>
            </w:tcBorders>
            <w:shd w:val="clear" w:color="auto" w:fill="auto"/>
            <w:noWrap/>
          </w:tcPr>
          <w:p w:rsidR="00BA64D1" w:rsidRPr="002D3263" w:rsidP="0002327A" w14:paraId="53738F8F" w14:textId="648D4EC3">
            <w:pPr>
              <w:keepNext/>
              <w:widowControl/>
              <w:spacing w:line="240" w:lineRule="auto"/>
              <w:rPr>
                <w:rFonts w:eastAsia="Times New Roman" w:cs="Times New Roman"/>
                <w:b/>
                <w:color w:val="000000"/>
              </w:rPr>
            </w:pPr>
            <w:r w:rsidRPr="002D3263">
              <w:rPr>
                <w:rFonts w:ascii="Calibri" w:hAnsi="Calibri"/>
                <w:b/>
                <w:bCs/>
                <w:color w:val="000000"/>
              </w:rPr>
              <w:t>Resident</w:t>
            </w:r>
            <w:r w:rsidRPr="002D3263" w:rsidR="00280B72">
              <w:rPr>
                <w:rFonts w:ascii="Calibri" w:hAnsi="Calibri"/>
                <w:b/>
                <w:bCs/>
                <w:color w:val="000000"/>
              </w:rPr>
              <w:t>ial displaced person</w:t>
            </w:r>
            <w:r w:rsidRPr="002D3263">
              <w:rPr>
                <w:rFonts w:ascii="Calibri" w:hAnsi="Calibri"/>
                <w:b/>
                <w:bCs/>
                <w:color w:val="000000"/>
              </w:rPr>
              <w:t>s</w:t>
            </w:r>
          </w:p>
        </w:tc>
        <w:tc>
          <w:tcPr>
            <w:tcW w:w="1598" w:type="dxa"/>
            <w:tcBorders>
              <w:top w:val="nil"/>
              <w:left w:val="nil"/>
              <w:bottom w:val="nil"/>
              <w:right w:val="nil"/>
            </w:tcBorders>
            <w:shd w:val="clear" w:color="auto" w:fill="auto"/>
            <w:noWrap/>
            <w:vAlign w:val="center"/>
          </w:tcPr>
          <w:p w:rsidR="00BA64D1" w:rsidRPr="002D3263" w:rsidP="00E711E2" w14:paraId="1357534B" w14:textId="77777777">
            <w:pPr>
              <w:keepNext/>
              <w:widowControl/>
              <w:spacing w:line="240" w:lineRule="auto"/>
              <w:jc w:val="right"/>
              <w:rPr>
                <w:rFonts w:ascii="Calibri" w:eastAsia="Times New Roman" w:hAnsi="Calibri" w:cs="Times New Roman"/>
                <w:color w:val="000000"/>
              </w:rPr>
            </w:pPr>
          </w:p>
        </w:tc>
        <w:tc>
          <w:tcPr>
            <w:tcW w:w="1598" w:type="dxa"/>
            <w:tcBorders>
              <w:top w:val="nil"/>
              <w:left w:val="nil"/>
              <w:bottom w:val="nil"/>
              <w:right w:val="nil"/>
            </w:tcBorders>
            <w:shd w:val="clear" w:color="auto" w:fill="auto"/>
            <w:noWrap/>
            <w:vAlign w:val="center"/>
          </w:tcPr>
          <w:p w:rsidR="00BA64D1" w:rsidRPr="002D3263" w:rsidP="00E711E2" w14:paraId="18231EC5" w14:textId="77777777">
            <w:pPr>
              <w:keepNext/>
              <w:widowControl/>
              <w:spacing w:line="240" w:lineRule="auto"/>
              <w:jc w:val="right"/>
              <w:rPr>
                <w:rFonts w:ascii="Calibri" w:eastAsia="Times New Roman" w:hAnsi="Calibri" w:cs="Times New Roman"/>
                <w:color w:val="000000"/>
              </w:rPr>
            </w:pPr>
          </w:p>
        </w:tc>
        <w:tc>
          <w:tcPr>
            <w:tcW w:w="1659" w:type="dxa"/>
            <w:tcBorders>
              <w:top w:val="nil"/>
              <w:left w:val="nil"/>
              <w:bottom w:val="nil"/>
            </w:tcBorders>
            <w:shd w:val="clear" w:color="auto" w:fill="auto"/>
            <w:noWrap/>
            <w:vAlign w:val="center"/>
          </w:tcPr>
          <w:p w:rsidR="00BA64D1" w:rsidRPr="002D3263" w:rsidP="00E711E2" w14:paraId="166019BA" w14:textId="77777777">
            <w:pPr>
              <w:keepNext/>
              <w:widowControl/>
              <w:spacing w:line="240" w:lineRule="auto"/>
              <w:jc w:val="right"/>
              <w:rPr>
                <w:rFonts w:ascii="Calibri" w:eastAsia="Times New Roman" w:hAnsi="Calibri" w:cs="Times New Roman"/>
                <w:color w:val="000000"/>
              </w:rPr>
            </w:pPr>
          </w:p>
        </w:tc>
        <w:tc>
          <w:tcPr>
            <w:tcW w:w="1620" w:type="dxa"/>
            <w:tcBorders>
              <w:top w:val="nil"/>
              <w:left w:val="nil"/>
              <w:bottom w:val="nil"/>
            </w:tcBorders>
            <w:vAlign w:val="center"/>
          </w:tcPr>
          <w:p w:rsidR="00BA64D1" w:rsidRPr="002D3263" w:rsidP="00E711E2" w14:paraId="7FC7A3D9" w14:textId="77777777">
            <w:pPr>
              <w:keepNext/>
              <w:widowControl/>
              <w:spacing w:line="240" w:lineRule="auto"/>
              <w:jc w:val="right"/>
              <w:rPr>
                <w:rFonts w:ascii="Calibri" w:eastAsia="Times New Roman" w:hAnsi="Calibri" w:cs="Times New Roman"/>
                <w:color w:val="000000"/>
              </w:rPr>
            </w:pPr>
          </w:p>
        </w:tc>
      </w:tr>
      <w:tr w14:paraId="098B5C83" w14:textId="77777777" w:rsidTr="006D5D1A">
        <w:tblPrEx>
          <w:tblW w:w="9630" w:type="dxa"/>
          <w:tblLayout w:type="fixed"/>
          <w:tblLook w:val="04A0"/>
        </w:tblPrEx>
        <w:trPr>
          <w:trHeight w:val="303"/>
        </w:trPr>
        <w:tc>
          <w:tcPr>
            <w:tcW w:w="3155" w:type="dxa"/>
            <w:tcBorders>
              <w:top w:val="nil"/>
              <w:bottom w:val="nil"/>
              <w:right w:val="nil"/>
            </w:tcBorders>
            <w:shd w:val="clear" w:color="auto" w:fill="auto"/>
            <w:noWrap/>
          </w:tcPr>
          <w:p w:rsidR="00902EA1" w:rsidRPr="002D3263" w:rsidP="0002327A" w14:paraId="0E353092" w14:textId="77777777">
            <w:pPr>
              <w:keepNext/>
              <w:widowControl/>
              <w:spacing w:line="240" w:lineRule="auto"/>
              <w:ind w:left="288"/>
              <w:rPr>
                <w:rFonts w:ascii="Calibri" w:hAnsi="Calibri"/>
                <w:color w:val="000000"/>
              </w:rPr>
            </w:pPr>
            <w:r w:rsidRPr="002D3263">
              <w:rPr>
                <w:rFonts w:ascii="Calibri" w:hAnsi="Calibri"/>
                <w:color w:val="000000"/>
              </w:rPr>
              <w:t>Revising Max. RHP/RAP</w:t>
            </w:r>
          </w:p>
        </w:tc>
        <w:tc>
          <w:tcPr>
            <w:tcW w:w="1598" w:type="dxa"/>
            <w:tcBorders>
              <w:top w:val="nil"/>
              <w:left w:val="nil"/>
              <w:bottom w:val="nil"/>
              <w:right w:val="nil"/>
            </w:tcBorders>
            <w:shd w:val="clear" w:color="auto" w:fill="auto"/>
            <w:noWrap/>
            <w:vAlign w:val="center"/>
          </w:tcPr>
          <w:p w:rsidR="00902EA1" w:rsidRPr="002D3263" w:rsidP="00E711E2" w14:paraId="29951839" w14:textId="0132711C">
            <w:pPr>
              <w:keepNext/>
              <w:widowControl/>
              <w:spacing w:line="240" w:lineRule="auto"/>
              <w:jc w:val="right"/>
              <w:rPr>
                <w:rFonts w:ascii="Calibri" w:hAnsi="Calibri"/>
                <w:color w:val="000000"/>
              </w:rPr>
            </w:pPr>
            <w:r w:rsidRPr="002D3263">
              <w:rPr>
                <w:rFonts w:ascii="Calibri" w:hAnsi="Calibri" w:cs="Calibri"/>
                <w:color w:val="000000"/>
              </w:rPr>
              <w:t xml:space="preserve">$0 </w:t>
            </w:r>
          </w:p>
        </w:tc>
        <w:tc>
          <w:tcPr>
            <w:tcW w:w="1598" w:type="dxa"/>
            <w:tcBorders>
              <w:top w:val="nil"/>
              <w:left w:val="nil"/>
              <w:bottom w:val="nil"/>
              <w:right w:val="nil"/>
            </w:tcBorders>
            <w:shd w:val="clear" w:color="auto" w:fill="auto"/>
            <w:noWrap/>
            <w:vAlign w:val="center"/>
          </w:tcPr>
          <w:p w:rsidR="00902EA1" w:rsidRPr="002D3263" w:rsidP="00E711E2" w14:paraId="57CF0B9C" w14:textId="0E0AF39A">
            <w:pPr>
              <w:keepNext/>
              <w:widowControl/>
              <w:spacing w:line="240" w:lineRule="auto"/>
              <w:jc w:val="right"/>
              <w:rPr>
                <w:rFonts w:ascii="Calibri" w:hAnsi="Calibri"/>
                <w:color w:val="000000"/>
              </w:rPr>
            </w:pPr>
            <w:r w:rsidRPr="002D3263">
              <w:rPr>
                <w:rFonts w:ascii="Calibri" w:hAnsi="Calibri" w:cs="Calibri"/>
                <w:color w:val="000000"/>
              </w:rPr>
              <w:t xml:space="preserve">$0 </w:t>
            </w:r>
          </w:p>
        </w:tc>
        <w:tc>
          <w:tcPr>
            <w:tcW w:w="1659" w:type="dxa"/>
            <w:tcBorders>
              <w:top w:val="nil"/>
              <w:left w:val="nil"/>
              <w:bottom w:val="nil"/>
            </w:tcBorders>
            <w:shd w:val="clear" w:color="auto" w:fill="auto"/>
            <w:noWrap/>
            <w:vAlign w:val="center"/>
          </w:tcPr>
          <w:p w:rsidR="00902EA1" w:rsidRPr="002D3263" w:rsidP="00E711E2" w14:paraId="3CFD55C2" w14:textId="0EBFE55F">
            <w:pPr>
              <w:keepNext/>
              <w:widowControl/>
              <w:spacing w:line="240" w:lineRule="auto"/>
              <w:jc w:val="right"/>
              <w:rPr>
                <w:rFonts w:ascii="Calibri" w:hAnsi="Calibri"/>
                <w:color w:val="000000"/>
              </w:rPr>
            </w:pPr>
            <w:r w:rsidRPr="002D3263">
              <w:rPr>
                <w:rFonts w:ascii="Calibri" w:hAnsi="Calibri" w:cs="Calibri"/>
                <w:color w:val="000000"/>
              </w:rPr>
              <w:t xml:space="preserve">$0 </w:t>
            </w:r>
          </w:p>
        </w:tc>
        <w:tc>
          <w:tcPr>
            <w:tcW w:w="1620" w:type="dxa"/>
            <w:tcBorders>
              <w:top w:val="nil"/>
              <w:left w:val="nil"/>
              <w:bottom w:val="nil"/>
            </w:tcBorders>
            <w:vAlign w:val="center"/>
          </w:tcPr>
          <w:p w:rsidR="00902EA1" w:rsidRPr="002D3263" w:rsidP="00E711E2" w14:paraId="5DCFD781" w14:textId="29D4A771">
            <w:pPr>
              <w:keepNext/>
              <w:widowControl/>
              <w:spacing w:line="240" w:lineRule="auto"/>
              <w:jc w:val="right"/>
              <w:rPr>
                <w:rFonts w:ascii="Calibri" w:hAnsi="Calibri"/>
                <w:color w:val="000000"/>
              </w:rPr>
            </w:pPr>
            <w:r w:rsidRPr="002D3263">
              <w:rPr>
                <w:rFonts w:ascii="Calibri" w:hAnsi="Calibri" w:cs="Calibri"/>
                <w:color w:val="000000"/>
              </w:rPr>
              <w:t xml:space="preserve">$0 </w:t>
            </w:r>
          </w:p>
        </w:tc>
      </w:tr>
      <w:tr w14:paraId="2E2BE198" w14:textId="77777777" w:rsidTr="006D5D1A">
        <w:tblPrEx>
          <w:tblW w:w="9630" w:type="dxa"/>
          <w:tblLayout w:type="fixed"/>
          <w:tblLook w:val="04A0"/>
        </w:tblPrEx>
        <w:trPr>
          <w:trHeight w:val="303"/>
        </w:trPr>
        <w:tc>
          <w:tcPr>
            <w:tcW w:w="3155" w:type="dxa"/>
            <w:tcBorders>
              <w:top w:val="nil"/>
              <w:right w:val="nil"/>
            </w:tcBorders>
            <w:shd w:val="clear" w:color="auto" w:fill="auto"/>
            <w:noWrap/>
          </w:tcPr>
          <w:p w:rsidR="004C4EEB" w:rsidRPr="002D3263" w:rsidP="004C4EEB" w14:paraId="4268CF9A" w14:textId="77777777">
            <w:pPr>
              <w:keepNext/>
              <w:widowControl/>
              <w:spacing w:line="240" w:lineRule="auto"/>
              <w:ind w:left="288"/>
              <w:rPr>
                <w:rFonts w:ascii="Calibri" w:eastAsia="Times New Roman" w:hAnsi="Calibri" w:cs="Times New Roman"/>
                <w:color w:val="000000"/>
              </w:rPr>
            </w:pPr>
            <w:r w:rsidRPr="002D3263">
              <w:rPr>
                <w:rFonts w:ascii="Calibri" w:hAnsi="Calibri"/>
                <w:color w:val="000000"/>
              </w:rPr>
              <w:t>Homeowner 90-day Eligibility</w:t>
            </w:r>
            <w:r>
              <w:rPr>
                <w:rStyle w:val="FootnoteReference"/>
                <w:rFonts w:ascii="Calibri" w:hAnsi="Calibri"/>
                <w:color w:val="000000"/>
              </w:rPr>
              <w:footnoteReference w:id="37"/>
            </w:r>
          </w:p>
        </w:tc>
        <w:tc>
          <w:tcPr>
            <w:tcW w:w="1598" w:type="dxa"/>
            <w:tcBorders>
              <w:top w:val="nil"/>
              <w:left w:val="nil"/>
              <w:right w:val="nil"/>
            </w:tcBorders>
            <w:shd w:val="clear" w:color="auto" w:fill="auto"/>
            <w:noWrap/>
            <w:vAlign w:val="center"/>
          </w:tcPr>
          <w:p w:rsidR="004C4EEB" w:rsidRPr="002D3263" w:rsidP="00E711E2" w14:paraId="49F121C2" w14:textId="62F94708">
            <w:pPr>
              <w:keepNext/>
              <w:widowControl/>
              <w:spacing w:line="240" w:lineRule="auto"/>
              <w:jc w:val="right"/>
              <w:rPr>
                <w:rFonts w:ascii="Calibri" w:eastAsia="Times New Roman" w:hAnsi="Calibri" w:cs="Times New Roman"/>
                <w:color w:val="000000"/>
              </w:rPr>
            </w:pPr>
            <w:r>
              <w:rPr>
                <w:rFonts w:ascii="Calibri" w:hAnsi="Calibri" w:cs="Calibri"/>
                <w:color w:val="000000"/>
              </w:rPr>
              <w:t xml:space="preserve">$1,770,513 </w:t>
            </w:r>
          </w:p>
        </w:tc>
        <w:tc>
          <w:tcPr>
            <w:tcW w:w="1598" w:type="dxa"/>
            <w:tcBorders>
              <w:top w:val="nil"/>
              <w:left w:val="nil"/>
              <w:right w:val="nil"/>
            </w:tcBorders>
            <w:shd w:val="clear" w:color="auto" w:fill="auto"/>
            <w:noWrap/>
            <w:vAlign w:val="center"/>
          </w:tcPr>
          <w:p w:rsidR="004C4EEB" w:rsidRPr="002D3263" w:rsidP="00E711E2" w14:paraId="42A8EF03" w14:textId="1026D7C0">
            <w:pPr>
              <w:keepNext/>
              <w:widowControl/>
              <w:spacing w:line="240" w:lineRule="auto"/>
              <w:jc w:val="right"/>
              <w:rPr>
                <w:rFonts w:ascii="Calibri" w:eastAsia="Times New Roman" w:hAnsi="Calibri" w:cs="Times New Roman"/>
                <w:color w:val="000000"/>
              </w:rPr>
            </w:pPr>
            <w:r>
              <w:rPr>
                <w:rFonts w:ascii="Calibri" w:hAnsi="Calibri" w:cs="Calibri"/>
                <w:color w:val="000000"/>
              </w:rPr>
              <w:t xml:space="preserve">$2,231,474 </w:t>
            </w:r>
          </w:p>
        </w:tc>
        <w:tc>
          <w:tcPr>
            <w:tcW w:w="1659" w:type="dxa"/>
            <w:tcBorders>
              <w:top w:val="nil"/>
              <w:left w:val="nil"/>
            </w:tcBorders>
            <w:shd w:val="clear" w:color="auto" w:fill="auto"/>
            <w:noWrap/>
            <w:vAlign w:val="center"/>
          </w:tcPr>
          <w:p w:rsidR="004C4EEB" w:rsidRPr="002D3263" w:rsidP="00E711E2" w14:paraId="65E61044" w14:textId="3D2F8C0F">
            <w:pPr>
              <w:keepNext/>
              <w:widowControl/>
              <w:spacing w:line="240" w:lineRule="auto"/>
              <w:jc w:val="right"/>
              <w:rPr>
                <w:rFonts w:ascii="Calibri" w:eastAsia="Times New Roman" w:hAnsi="Calibri" w:cs="Times New Roman"/>
                <w:color w:val="000000"/>
              </w:rPr>
            </w:pPr>
            <w:r>
              <w:rPr>
                <w:rFonts w:ascii="Calibri" w:hAnsi="Calibri" w:cs="Calibri"/>
                <w:color w:val="000000"/>
              </w:rPr>
              <w:t>$252,081</w:t>
            </w:r>
          </w:p>
        </w:tc>
        <w:tc>
          <w:tcPr>
            <w:tcW w:w="1620" w:type="dxa"/>
            <w:tcBorders>
              <w:top w:val="nil"/>
              <w:left w:val="nil"/>
            </w:tcBorders>
            <w:vAlign w:val="center"/>
          </w:tcPr>
          <w:p w:rsidR="004C4EEB" w:rsidRPr="002D3263" w:rsidP="00E711E2" w14:paraId="460AFA29" w14:textId="641CF4D6">
            <w:pPr>
              <w:keepNext/>
              <w:widowControl/>
              <w:spacing w:line="240" w:lineRule="auto"/>
              <w:jc w:val="right"/>
              <w:rPr>
                <w:rFonts w:ascii="Calibri" w:eastAsia="Times New Roman" w:hAnsi="Calibri" w:cs="Times New Roman"/>
                <w:color w:val="000000"/>
              </w:rPr>
            </w:pPr>
            <w:r>
              <w:rPr>
                <w:rFonts w:ascii="Calibri" w:hAnsi="Calibri" w:cs="Calibri"/>
                <w:color w:val="000000"/>
              </w:rPr>
              <w:t>$261,597</w:t>
            </w:r>
          </w:p>
        </w:tc>
      </w:tr>
      <w:tr w14:paraId="369C0D5C" w14:textId="77777777" w:rsidTr="006D5D1A">
        <w:tblPrEx>
          <w:tblW w:w="9630" w:type="dxa"/>
          <w:tblLayout w:type="fixed"/>
          <w:tblLook w:val="04A0"/>
        </w:tblPrEx>
        <w:trPr>
          <w:trHeight w:val="303"/>
        </w:trPr>
        <w:tc>
          <w:tcPr>
            <w:tcW w:w="3155" w:type="dxa"/>
            <w:tcBorders>
              <w:top w:val="nil"/>
              <w:right w:val="nil"/>
            </w:tcBorders>
            <w:shd w:val="clear" w:color="auto" w:fill="auto"/>
            <w:noWrap/>
          </w:tcPr>
          <w:p w:rsidR="00BA64D1" w:rsidRPr="002D3263" w:rsidP="0002327A" w14:paraId="647A50DE" w14:textId="77777777">
            <w:pPr>
              <w:keepNext/>
              <w:widowControl/>
              <w:spacing w:line="240" w:lineRule="auto"/>
              <w:ind w:left="288"/>
              <w:rPr>
                <w:rFonts w:eastAsia="Times New Roman" w:cs="Times New Roman"/>
                <w:color w:val="000000"/>
              </w:rPr>
            </w:pPr>
            <w:r w:rsidRPr="002D3263">
              <w:rPr>
                <w:rFonts w:ascii="Calibri" w:hAnsi="Calibri" w:cs="Calibri"/>
                <w:color w:val="000000"/>
              </w:rPr>
              <w:t>Reverse Mortgages</w:t>
            </w:r>
          </w:p>
        </w:tc>
        <w:tc>
          <w:tcPr>
            <w:tcW w:w="1598" w:type="dxa"/>
            <w:tcBorders>
              <w:top w:val="nil"/>
              <w:left w:val="nil"/>
              <w:right w:val="nil"/>
            </w:tcBorders>
            <w:shd w:val="clear" w:color="auto" w:fill="auto"/>
            <w:noWrap/>
            <w:vAlign w:val="center"/>
          </w:tcPr>
          <w:p w:rsidR="00BA64D1" w:rsidRPr="002D3263" w:rsidP="00E711E2" w14:paraId="437D4DE2" w14:textId="77777777">
            <w:pPr>
              <w:keepNext/>
              <w:widowControl/>
              <w:spacing w:line="240" w:lineRule="auto"/>
              <w:jc w:val="right"/>
              <w:rPr>
                <w:rFonts w:ascii="Calibri" w:eastAsia="Times New Roman" w:hAnsi="Calibri" w:cs="Times New Roman"/>
                <w:color w:val="000000"/>
              </w:rPr>
            </w:pPr>
            <w:r w:rsidRPr="002D3263">
              <w:rPr>
                <w:rFonts w:ascii="Calibri" w:hAnsi="Calibri"/>
                <w:color w:val="000000"/>
              </w:rPr>
              <w:t>Not Quantified</w:t>
            </w:r>
          </w:p>
        </w:tc>
        <w:tc>
          <w:tcPr>
            <w:tcW w:w="1598" w:type="dxa"/>
            <w:tcBorders>
              <w:top w:val="nil"/>
              <w:left w:val="nil"/>
              <w:right w:val="nil"/>
            </w:tcBorders>
            <w:shd w:val="clear" w:color="auto" w:fill="auto"/>
            <w:noWrap/>
            <w:vAlign w:val="center"/>
          </w:tcPr>
          <w:p w:rsidR="00BA64D1" w:rsidRPr="002D3263" w:rsidP="00E711E2" w14:paraId="3921ACE5" w14:textId="77777777">
            <w:pPr>
              <w:keepNext/>
              <w:widowControl/>
              <w:spacing w:line="240" w:lineRule="auto"/>
              <w:jc w:val="right"/>
              <w:rPr>
                <w:rFonts w:ascii="Calibri" w:eastAsia="Times New Roman" w:hAnsi="Calibri" w:cs="Times New Roman"/>
                <w:color w:val="000000"/>
              </w:rPr>
            </w:pPr>
            <w:r w:rsidRPr="002D3263">
              <w:rPr>
                <w:rFonts w:ascii="Calibri" w:hAnsi="Calibri"/>
                <w:color w:val="000000"/>
              </w:rPr>
              <w:t>Not Quantified</w:t>
            </w:r>
          </w:p>
        </w:tc>
        <w:tc>
          <w:tcPr>
            <w:tcW w:w="1659" w:type="dxa"/>
            <w:tcBorders>
              <w:top w:val="nil"/>
              <w:left w:val="nil"/>
            </w:tcBorders>
            <w:shd w:val="clear" w:color="auto" w:fill="auto"/>
            <w:noWrap/>
            <w:vAlign w:val="center"/>
          </w:tcPr>
          <w:p w:rsidR="00BA64D1" w:rsidRPr="002D3263" w:rsidP="00E711E2" w14:paraId="5BF2A634" w14:textId="77777777">
            <w:pPr>
              <w:keepNext/>
              <w:widowControl/>
              <w:spacing w:line="240" w:lineRule="auto"/>
              <w:jc w:val="right"/>
              <w:rPr>
                <w:rFonts w:ascii="Calibri" w:eastAsia="Times New Roman" w:hAnsi="Calibri" w:cs="Times New Roman"/>
                <w:color w:val="000000"/>
              </w:rPr>
            </w:pPr>
            <w:r w:rsidRPr="002D3263">
              <w:rPr>
                <w:rFonts w:ascii="Calibri" w:hAnsi="Calibri"/>
                <w:color w:val="000000"/>
              </w:rPr>
              <w:t>Not Quantified</w:t>
            </w:r>
          </w:p>
        </w:tc>
        <w:tc>
          <w:tcPr>
            <w:tcW w:w="1620" w:type="dxa"/>
            <w:tcBorders>
              <w:top w:val="nil"/>
              <w:left w:val="nil"/>
            </w:tcBorders>
            <w:vAlign w:val="center"/>
          </w:tcPr>
          <w:p w:rsidR="00BA64D1" w:rsidRPr="002D3263" w:rsidP="00E711E2" w14:paraId="06DF1101" w14:textId="77777777">
            <w:pPr>
              <w:keepNext/>
              <w:widowControl/>
              <w:spacing w:line="240" w:lineRule="auto"/>
              <w:jc w:val="right"/>
              <w:rPr>
                <w:rFonts w:ascii="Calibri" w:eastAsia="Times New Roman" w:hAnsi="Calibri" w:cs="Times New Roman"/>
                <w:color w:val="000000"/>
              </w:rPr>
            </w:pPr>
            <w:r w:rsidRPr="002D3263">
              <w:rPr>
                <w:rFonts w:ascii="Calibri" w:hAnsi="Calibri"/>
                <w:color w:val="000000"/>
              </w:rPr>
              <w:t>Not Quantified</w:t>
            </w:r>
          </w:p>
        </w:tc>
      </w:tr>
      <w:tr w14:paraId="7C5EB0AD" w14:textId="77777777" w:rsidTr="006D5D1A">
        <w:tblPrEx>
          <w:tblW w:w="9630" w:type="dxa"/>
          <w:tblLayout w:type="fixed"/>
          <w:tblLook w:val="04A0"/>
        </w:tblPrEx>
        <w:trPr>
          <w:trHeight w:val="303"/>
        </w:trPr>
        <w:tc>
          <w:tcPr>
            <w:tcW w:w="3155" w:type="dxa"/>
            <w:tcBorders>
              <w:bottom w:val="single" w:sz="4" w:space="0" w:color="auto"/>
              <w:right w:val="nil"/>
            </w:tcBorders>
            <w:shd w:val="clear" w:color="auto" w:fill="auto"/>
            <w:noWrap/>
          </w:tcPr>
          <w:p w:rsidR="00B44A61" w:rsidRPr="002D3263" w:rsidP="00B44A61" w14:paraId="1BB94C87" w14:textId="77777777">
            <w:pPr>
              <w:keepNext/>
              <w:widowControl/>
              <w:spacing w:line="240" w:lineRule="auto"/>
              <w:ind w:left="288"/>
              <w:rPr>
                <w:rFonts w:ascii="Calibri" w:hAnsi="Calibri"/>
                <w:color w:val="000000"/>
              </w:rPr>
            </w:pPr>
            <w:r w:rsidRPr="002D3263">
              <w:rPr>
                <w:rFonts w:ascii="Calibri" w:hAnsi="Calibri" w:cs="Calibri"/>
                <w:color w:val="000000"/>
              </w:rPr>
              <w:t>Rental Application and Credit Check Fees</w:t>
            </w:r>
          </w:p>
        </w:tc>
        <w:tc>
          <w:tcPr>
            <w:tcW w:w="1598" w:type="dxa"/>
            <w:tcBorders>
              <w:left w:val="nil"/>
              <w:bottom w:val="single" w:sz="4" w:space="0" w:color="auto"/>
              <w:right w:val="nil"/>
            </w:tcBorders>
            <w:shd w:val="clear" w:color="auto" w:fill="auto"/>
            <w:noWrap/>
            <w:vAlign w:val="center"/>
          </w:tcPr>
          <w:p w:rsidR="00B44A61" w:rsidRPr="002D3263" w:rsidP="00E711E2" w14:paraId="2EB9A32C" w14:textId="47D9A9AB">
            <w:pPr>
              <w:keepNext/>
              <w:widowControl/>
              <w:spacing w:line="240" w:lineRule="auto"/>
              <w:jc w:val="right"/>
              <w:rPr>
                <w:rFonts w:ascii="Calibri" w:hAnsi="Calibri"/>
                <w:color w:val="000000"/>
              </w:rPr>
            </w:pPr>
            <w:r w:rsidRPr="002D3263">
              <w:rPr>
                <w:rFonts w:ascii="Calibri" w:hAnsi="Calibri" w:cs="Calibri"/>
                <w:color w:val="000000"/>
              </w:rPr>
              <w:t xml:space="preserve">$2,239,669 </w:t>
            </w:r>
          </w:p>
        </w:tc>
        <w:tc>
          <w:tcPr>
            <w:tcW w:w="1598" w:type="dxa"/>
            <w:tcBorders>
              <w:left w:val="nil"/>
              <w:bottom w:val="single" w:sz="4" w:space="0" w:color="auto"/>
              <w:right w:val="nil"/>
            </w:tcBorders>
            <w:shd w:val="clear" w:color="auto" w:fill="auto"/>
            <w:noWrap/>
            <w:vAlign w:val="center"/>
          </w:tcPr>
          <w:p w:rsidR="00B44A61" w:rsidRPr="002D3263" w:rsidP="00E711E2" w14:paraId="22B59771" w14:textId="62956079">
            <w:pPr>
              <w:keepNext/>
              <w:widowControl/>
              <w:spacing w:line="240" w:lineRule="auto"/>
              <w:jc w:val="right"/>
              <w:rPr>
                <w:rFonts w:ascii="Calibri" w:hAnsi="Calibri"/>
                <w:color w:val="000000"/>
              </w:rPr>
            </w:pPr>
            <w:r w:rsidRPr="002D3263">
              <w:rPr>
                <w:rFonts w:ascii="Calibri" w:hAnsi="Calibri" w:cs="Calibri"/>
                <w:color w:val="000000"/>
              </w:rPr>
              <w:t xml:space="preserve">$2,825,733 </w:t>
            </w:r>
          </w:p>
        </w:tc>
        <w:tc>
          <w:tcPr>
            <w:tcW w:w="1659" w:type="dxa"/>
            <w:tcBorders>
              <w:left w:val="nil"/>
              <w:bottom w:val="single" w:sz="4" w:space="0" w:color="auto"/>
            </w:tcBorders>
            <w:shd w:val="clear" w:color="auto" w:fill="auto"/>
            <w:noWrap/>
            <w:vAlign w:val="center"/>
          </w:tcPr>
          <w:p w:rsidR="00B44A61" w:rsidRPr="002D3263" w:rsidP="00E711E2" w14:paraId="2B7F9654" w14:textId="630F96A5">
            <w:pPr>
              <w:keepNext/>
              <w:widowControl/>
              <w:spacing w:line="240" w:lineRule="auto"/>
              <w:jc w:val="right"/>
              <w:rPr>
                <w:rFonts w:ascii="Calibri" w:hAnsi="Calibri"/>
                <w:color w:val="000000"/>
              </w:rPr>
            </w:pPr>
            <w:r w:rsidRPr="002D3263">
              <w:rPr>
                <w:rFonts w:ascii="Calibri" w:hAnsi="Calibri" w:cs="Calibri"/>
                <w:color w:val="000000"/>
              </w:rPr>
              <w:t>$318,879</w:t>
            </w:r>
          </w:p>
        </w:tc>
        <w:tc>
          <w:tcPr>
            <w:tcW w:w="1620" w:type="dxa"/>
            <w:tcBorders>
              <w:left w:val="nil"/>
              <w:bottom w:val="single" w:sz="4" w:space="0" w:color="auto"/>
            </w:tcBorders>
            <w:vAlign w:val="center"/>
          </w:tcPr>
          <w:p w:rsidR="00B44A61" w:rsidRPr="002D3263" w:rsidP="00E711E2" w14:paraId="58B6EAE8" w14:textId="3ED494DF">
            <w:pPr>
              <w:keepNext/>
              <w:widowControl/>
              <w:spacing w:line="240" w:lineRule="auto"/>
              <w:jc w:val="right"/>
              <w:rPr>
                <w:rFonts w:ascii="Calibri" w:hAnsi="Calibri"/>
                <w:color w:val="000000"/>
              </w:rPr>
            </w:pPr>
            <w:r w:rsidRPr="002D3263">
              <w:rPr>
                <w:rFonts w:ascii="Calibri" w:hAnsi="Calibri" w:cs="Calibri"/>
                <w:color w:val="000000"/>
              </w:rPr>
              <w:t>$331,262</w:t>
            </w:r>
          </w:p>
        </w:tc>
      </w:tr>
      <w:tr w14:paraId="5ED274A5" w14:textId="77777777" w:rsidTr="006D5D1A">
        <w:tblPrEx>
          <w:tblW w:w="9630" w:type="dxa"/>
          <w:tblLayout w:type="fixed"/>
          <w:tblLook w:val="04A0"/>
        </w:tblPrEx>
        <w:trPr>
          <w:trHeight w:val="303"/>
        </w:trPr>
        <w:tc>
          <w:tcPr>
            <w:tcW w:w="3155" w:type="dxa"/>
            <w:tcBorders>
              <w:top w:val="single" w:sz="4" w:space="0" w:color="auto"/>
              <w:right w:val="nil"/>
            </w:tcBorders>
            <w:shd w:val="clear" w:color="auto" w:fill="auto"/>
            <w:noWrap/>
          </w:tcPr>
          <w:p w:rsidR="00BA64D1" w:rsidRPr="002D3263" w:rsidP="0002327A" w14:paraId="57ACDA5A" w14:textId="77777777">
            <w:pPr>
              <w:keepNext/>
              <w:widowControl/>
              <w:spacing w:line="240" w:lineRule="auto"/>
              <w:rPr>
                <w:rFonts w:ascii="Calibri" w:eastAsia="Times New Roman" w:hAnsi="Calibri" w:cs="Times New Roman"/>
                <w:b/>
                <w:color w:val="000000"/>
              </w:rPr>
            </w:pPr>
            <w:r w:rsidRPr="002D3263">
              <w:rPr>
                <w:rFonts w:ascii="Calibri" w:hAnsi="Calibri"/>
                <w:b/>
                <w:bCs/>
                <w:color w:val="000000"/>
              </w:rPr>
              <w:t>Non-residential displaced persons</w:t>
            </w:r>
          </w:p>
        </w:tc>
        <w:tc>
          <w:tcPr>
            <w:tcW w:w="1598" w:type="dxa"/>
            <w:tcBorders>
              <w:top w:val="single" w:sz="4" w:space="0" w:color="auto"/>
              <w:left w:val="nil"/>
              <w:right w:val="nil"/>
            </w:tcBorders>
            <w:shd w:val="clear" w:color="auto" w:fill="auto"/>
            <w:noWrap/>
            <w:vAlign w:val="center"/>
          </w:tcPr>
          <w:p w:rsidR="00BA64D1" w:rsidRPr="002D3263" w:rsidP="00E711E2" w14:paraId="1D419221" w14:textId="77777777">
            <w:pPr>
              <w:keepNext/>
              <w:widowControl/>
              <w:spacing w:line="240" w:lineRule="auto"/>
              <w:jc w:val="right"/>
              <w:rPr>
                <w:rFonts w:ascii="Calibri" w:eastAsia="Times New Roman" w:hAnsi="Calibri" w:cs="Times New Roman"/>
                <w:color w:val="000000"/>
              </w:rPr>
            </w:pPr>
          </w:p>
        </w:tc>
        <w:tc>
          <w:tcPr>
            <w:tcW w:w="1598" w:type="dxa"/>
            <w:tcBorders>
              <w:top w:val="single" w:sz="4" w:space="0" w:color="auto"/>
              <w:left w:val="nil"/>
              <w:right w:val="nil"/>
            </w:tcBorders>
            <w:shd w:val="clear" w:color="auto" w:fill="auto"/>
            <w:noWrap/>
            <w:vAlign w:val="center"/>
          </w:tcPr>
          <w:p w:rsidR="00BA64D1" w:rsidRPr="002D3263" w:rsidP="00E711E2" w14:paraId="778FB0E2" w14:textId="77777777">
            <w:pPr>
              <w:keepNext/>
              <w:widowControl/>
              <w:spacing w:line="240" w:lineRule="auto"/>
              <w:jc w:val="right"/>
              <w:rPr>
                <w:rFonts w:ascii="Calibri" w:eastAsia="Times New Roman" w:hAnsi="Calibri" w:cs="Times New Roman"/>
                <w:color w:val="000000"/>
              </w:rPr>
            </w:pPr>
          </w:p>
        </w:tc>
        <w:tc>
          <w:tcPr>
            <w:tcW w:w="1659" w:type="dxa"/>
            <w:tcBorders>
              <w:top w:val="single" w:sz="4" w:space="0" w:color="auto"/>
              <w:left w:val="nil"/>
            </w:tcBorders>
            <w:shd w:val="clear" w:color="auto" w:fill="auto"/>
            <w:noWrap/>
            <w:vAlign w:val="center"/>
          </w:tcPr>
          <w:p w:rsidR="00BA64D1" w:rsidRPr="002D3263" w:rsidP="00E711E2" w14:paraId="5E81D772" w14:textId="77777777">
            <w:pPr>
              <w:keepNext/>
              <w:widowControl/>
              <w:spacing w:line="240" w:lineRule="auto"/>
              <w:jc w:val="right"/>
              <w:rPr>
                <w:rFonts w:ascii="Calibri" w:eastAsia="Times New Roman" w:hAnsi="Calibri" w:cs="Times New Roman"/>
                <w:color w:val="000000"/>
              </w:rPr>
            </w:pPr>
          </w:p>
        </w:tc>
        <w:tc>
          <w:tcPr>
            <w:tcW w:w="1620" w:type="dxa"/>
            <w:tcBorders>
              <w:top w:val="single" w:sz="4" w:space="0" w:color="auto"/>
              <w:left w:val="nil"/>
            </w:tcBorders>
            <w:vAlign w:val="center"/>
          </w:tcPr>
          <w:p w:rsidR="00BA64D1" w:rsidRPr="002D3263" w:rsidP="00E711E2" w14:paraId="3633084E" w14:textId="77777777">
            <w:pPr>
              <w:keepNext/>
              <w:widowControl/>
              <w:spacing w:line="240" w:lineRule="auto"/>
              <w:jc w:val="right"/>
              <w:rPr>
                <w:rFonts w:ascii="Calibri" w:eastAsia="Times New Roman" w:hAnsi="Calibri" w:cs="Times New Roman"/>
                <w:color w:val="000000"/>
              </w:rPr>
            </w:pPr>
          </w:p>
        </w:tc>
      </w:tr>
      <w:tr w14:paraId="6478EDA0" w14:textId="77777777" w:rsidTr="006D5D1A">
        <w:tblPrEx>
          <w:tblW w:w="9630" w:type="dxa"/>
          <w:tblLayout w:type="fixed"/>
          <w:tblLook w:val="04A0"/>
        </w:tblPrEx>
        <w:trPr>
          <w:trHeight w:val="303"/>
        </w:trPr>
        <w:tc>
          <w:tcPr>
            <w:tcW w:w="3155" w:type="dxa"/>
            <w:tcBorders>
              <w:bottom w:val="nil"/>
              <w:right w:val="nil"/>
            </w:tcBorders>
            <w:shd w:val="clear" w:color="auto" w:fill="auto"/>
            <w:noWrap/>
            <w:hideMark/>
          </w:tcPr>
          <w:p w:rsidR="00BA64D1" w:rsidRPr="002D3263" w:rsidP="0002327A" w14:paraId="4AD1D5C0" w14:textId="77777777">
            <w:pPr>
              <w:keepNext/>
              <w:widowControl/>
              <w:spacing w:line="240" w:lineRule="auto"/>
              <w:ind w:left="288"/>
              <w:rPr>
                <w:rFonts w:ascii="Calibri" w:eastAsia="Times New Roman" w:hAnsi="Calibri" w:cs="Times New Roman"/>
                <w:color w:val="000000"/>
              </w:rPr>
            </w:pPr>
            <w:r w:rsidRPr="002D3263">
              <w:rPr>
                <w:rFonts w:ascii="Calibri" w:hAnsi="Calibri"/>
                <w:color w:val="000000"/>
              </w:rPr>
              <w:t>Reimbursement for Updating Other Media</w:t>
            </w:r>
          </w:p>
        </w:tc>
        <w:tc>
          <w:tcPr>
            <w:tcW w:w="1598" w:type="dxa"/>
            <w:tcBorders>
              <w:left w:val="nil"/>
              <w:bottom w:val="nil"/>
              <w:right w:val="nil"/>
            </w:tcBorders>
            <w:shd w:val="clear" w:color="auto" w:fill="auto"/>
            <w:noWrap/>
            <w:vAlign w:val="center"/>
            <w:hideMark/>
          </w:tcPr>
          <w:p w:rsidR="00BA64D1" w:rsidRPr="002D3263" w:rsidP="00E711E2" w14:paraId="6F021198" w14:textId="77777777">
            <w:pPr>
              <w:keepNext/>
              <w:widowControl/>
              <w:spacing w:line="240" w:lineRule="auto"/>
              <w:jc w:val="right"/>
              <w:rPr>
                <w:rFonts w:ascii="Calibri" w:eastAsia="Times New Roman" w:hAnsi="Calibri" w:cs="Times New Roman"/>
                <w:color w:val="000000"/>
              </w:rPr>
            </w:pPr>
            <w:r w:rsidRPr="002D3263">
              <w:rPr>
                <w:rFonts w:ascii="Calibri" w:hAnsi="Calibri"/>
                <w:color w:val="000000"/>
              </w:rPr>
              <w:t>Not Quantified</w:t>
            </w:r>
          </w:p>
        </w:tc>
        <w:tc>
          <w:tcPr>
            <w:tcW w:w="1598" w:type="dxa"/>
            <w:tcBorders>
              <w:left w:val="nil"/>
              <w:bottom w:val="nil"/>
              <w:right w:val="nil"/>
            </w:tcBorders>
            <w:shd w:val="clear" w:color="auto" w:fill="auto"/>
            <w:noWrap/>
            <w:vAlign w:val="center"/>
            <w:hideMark/>
          </w:tcPr>
          <w:p w:rsidR="00BA64D1" w:rsidRPr="002D3263" w:rsidP="00E711E2" w14:paraId="3D69F52C" w14:textId="77777777">
            <w:pPr>
              <w:keepNext/>
              <w:widowControl/>
              <w:spacing w:line="240" w:lineRule="auto"/>
              <w:jc w:val="right"/>
              <w:rPr>
                <w:rFonts w:ascii="Calibri" w:eastAsia="Times New Roman" w:hAnsi="Calibri" w:cs="Times New Roman"/>
                <w:color w:val="000000"/>
              </w:rPr>
            </w:pPr>
            <w:r w:rsidRPr="002D3263">
              <w:rPr>
                <w:rFonts w:ascii="Calibri" w:hAnsi="Calibri"/>
                <w:color w:val="000000"/>
              </w:rPr>
              <w:t>Not Quantified</w:t>
            </w:r>
          </w:p>
        </w:tc>
        <w:tc>
          <w:tcPr>
            <w:tcW w:w="1659" w:type="dxa"/>
            <w:tcBorders>
              <w:left w:val="nil"/>
              <w:bottom w:val="nil"/>
            </w:tcBorders>
            <w:shd w:val="clear" w:color="auto" w:fill="auto"/>
            <w:noWrap/>
            <w:vAlign w:val="center"/>
            <w:hideMark/>
          </w:tcPr>
          <w:p w:rsidR="00BA64D1" w:rsidRPr="002D3263" w:rsidP="00E711E2" w14:paraId="24EF63B1" w14:textId="77777777">
            <w:pPr>
              <w:keepNext/>
              <w:widowControl/>
              <w:spacing w:line="240" w:lineRule="auto"/>
              <w:jc w:val="right"/>
              <w:rPr>
                <w:rFonts w:ascii="Calibri" w:eastAsia="Times New Roman" w:hAnsi="Calibri" w:cs="Times New Roman"/>
                <w:color w:val="000000"/>
              </w:rPr>
            </w:pPr>
            <w:r w:rsidRPr="002D3263">
              <w:rPr>
                <w:rFonts w:ascii="Calibri" w:hAnsi="Calibri"/>
                <w:color w:val="000000"/>
              </w:rPr>
              <w:t>Not Quantified</w:t>
            </w:r>
          </w:p>
        </w:tc>
        <w:tc>
          <w:tcPr>
            <w:tcW w:w="1620" w:type="dxa"/>
            <w:tcBorders>
              <w:left w:val="nil"/>
              <w:bottom w:val="nil"/>
            </w:tcBorders>
            <w:vAlign w:val="center"/>
          </w:tcPr>
          <w:p w:rsidR="00BA64D1" w:rsidRPr="002D3263" w:rsidP="00E711E2" w14:paraId="0ED03474" w14:textId="77777777">
            <w:pPr>
              <w:keepNext/>
              <w:widowControl/>
              <w:spacing w:line="240" w:lineRule="auto"/>
              <w:jc w:val="right"/>
              <w:rPr>
                <w:rFonts w:ascii="Calibri" w:eastAsia="Times New Roman" w:hAnsi="Calibri" w:cs="Times New Roman"/>
                <w:color w:val="000000"/>
              </w:rPr>
            </w:pPr>
            <w:r w:rsidRPr="002D3263">
              <w:rPr>
                <w:rFonts w:ascii="Calibri" w:hAnsi="Calibri"/>
                <w:color w:val="000000"/>
              </w:rPr>
              <w:t>Not Quantified</w:t>
            </w:r>
          </w:p>
        </w:tc>
      </w:tr>
      <w:tr w14:paraId="7091AFF6" w14:textId="77777777" w:rsidTr="006D5D1A">
        <w:tblPrEx>
          <w:tblW w:w="9630" w:type="dxa"/>
          <w:tblLayout w:type="fixed"/>
          <w:tblLook w:val="04A0"/>
        </w:tblPrEx>
        <w:trPr>
          <w:trHeight w:val="175"/>
        </w:trPr>
        <w:tc>
          <w:tcPr>
            <w:tcW w:w="3155" w:type="dxa"/>
            <w:tcBorders>
              <w:top w:val="nil"/>
              <w:bottom w:val="nil"/>
              <w:right w:val="nil"/>
            </w:tcBorders>
            <w:shd w:val="clear" w:color="auto" w:fill="auto"/>
            <w:noWrap/>
            <w:hideMark/>
          </w:tcPr>
          <w:p w:rsidR="004C4EEB" w:rsidRPr="002D3263" w:rsidP="004C4EEB" w14:paraId="0E4108C4" w14:textId="77777777">
            <w:pPr>
              <w:keepNext/>
              <w:widowControl/>
              <w:spacing w:line="240" w:lineRule="auto"/>
              <w:ind w:left="288"/>
              <w:rPr>
                <w:rFonts w:ascii="Calibri" w:eastAsia="Times New Roman" w:hAnsi="Calibri" w:cs="Times New Roman"/>
                <w:color w:val="000000"/>
              </w:rPr>
            </w:pPr>
            <w:r w:rsidRPr="002D3263">
              <w:rPr>
                <w:rFonts w:ascii="Calibri" w:hAnsi="Calibri"/>
                <w:color w:val="000000"/>
              </w:rPr>
              <w:t>Search Expenses</w:t>
            </w:r>
            <w:r>
              <w:rPr>
                <w:rStyle w:val="FootnoteReference"/>
                <w:rFonts w:ascii="Calibri" w:hAnsi="Calibri"/>
                <w:color w:val="000000"/>
              </w:rPr>
              <w:footnoteReference w:id="38"/>
            </w:r>
          </w:p>
        </w:tc>
        <w:tc>
          <w:tcPr>
            <w:tcW w:w="1598" w:type="dxa"/>
            <w:tcBorders>
              <w:top w:val="nil"/>
              <w:left w:val="nil"/>
              <w:bottom w:val="nil"/>
              <w:right w:val="nil"/>
            </w:tcBorders>
            <w:shd w:val="clear" w:color="auto" w:fill="auto"/>
            <w:noWrap/>
            <w:vAlign w:val="center"/>
          </w:tcPr>
          <w:p w:rsidR="004C4EEB" w:rsidRPr="002D3263" w:rsidP="00E711E2" w14:paraId="6FFA016B" w14:textId="45E9AA55">
            <w:pPr>
              <w:widowControl/>
              <w:jc w:val="right"/>
              <w:rPr>
                <w:rFonts w:ascii="Calibri" w:hAnsi="Calibri"/>
                <w:color w:val="000000"/>
              </w:rPr>
            </w:pPr>
            <w:r>
              <w:rPr>
                <w:rFonts w:ascii="Calibri" w:hAnsi="Calibri" w:cs="Calibri"/>
                <w:color w:val="000000"/>
              </w:rPr>
              <w:t xml:space="preserve">$8,072,686 </w:t>
            </w:r>
          </w:p>
        </w:tc>
        <w:tc>
          <w:tcPr>
            <w:tcW w:w="1598" w:type="dxa"/>
            <w:tcBorders>
              <w:top w:val="nil"/>
              <w:left w:val="nil"/>
              <w:bottom w:val="nil"/>
              <w:right w:val="nil"/>
            </w:tcBorders>
            <w:shd w:val="clear" w:color="auto" w:fill="auto"/>
            <w:noWrap/>
            <w:vAlign w:val="center"/>
          </w:tcPr>
          <w:p w:rsidR="004C4EEB" w:rsidRPr="002D3263" w:rsidP="00E711E2" w14:paraId="65156B3E" w14:textId="30384AA2">
            <w:pPr>
              <w:widowControl/>
              <w:jc w:val="right"/>
              <w:rPr>
                <w:rFonts w:ascii="Calibri" w:hAnsi="Calibri"/>
                <w:color w:val="000000"/>
              </w:rPr>
            </w:pPr>
            <w:r>
              <w:rPr>
                <w:rFonts w:ascii="Calibri" w:hAnsi="Calibri" w:cs="Calibri"/>
                <w:color w:val="000000"/>
              </w:rPr>
              <w:t xml:space="preserve">$10,257,668 </w:t>
            </w:r>
          </w:p>
        </w:tc>
        <w:tc>
          <w:tcPr>
            <w:tcW w:w="1659" w:type="dxa"/>
            <w:tcBorders>
              <w:top w:val="nil"/>
              <w:left w:val="nil"/>
              <w:bottom w:val="nil"/>
            </w:tcBorders>
            <w:shd w:val="clear" w:color="auto" w:fill="auto"/>
            <w:noWrap/>
            <w:vAlign w:val="center"/>
          </w:tcPr>
          <w:p w:rsidR="004C4EEB" w:rsidRPr="002D3263" w:rsidP="00E711E2" w14:paraId="01C00FA8" w14:textId="7A93F4D3">
            <w:pPr>
              <w:widowControl/>
              <w:jc w:val="right"/>
              <w:rPr>
                <w:rFonts w:ascii="Calibri" w:hAnsi="Calibri"/>
                <w:color w:val="000000"/>
              </w:rPr>
            </w:pPr>
            <w:r>
              <w:rPr>
                <w:rFonts w:ascii="Calibri" w:hAnsi="Calibri" w:cs="Calibri"/>
                <w:color w:val="000000"/>
              </w:rPr>
              <w:t>$1,149,369</w:t>
            </w:r>
          </w:p>
        </w:tc>
        <w:tc>
          <w:tcPr>
            <w:tcW w:w="1620" w:type="dxa"/>
            <w:tcBorders>
              <w:top w:val="nil"/>
              <w:left w:val="nil"/>
              <w:bottom w:val="nil"/>
            </w:tcBorders>
            <w:vAlign w:val="center"/>
          </w:tcPr>
          <w:p w:rsidR="004C4EEB" w:rsidRPr="002D3263" w:rsidP="00E711E2" w14:paraId="4025433F" w14:textId="192449E7">
            <w:pPr>
              <w:widowControl/>
              <w:jc w:val="right"/>
              <w:rPr>
                <w:rFonts w:ascii="Calibri" w:hAnsi="Calibri"/>
                <w:color w:val="000000"/>
              </w:rPr>
            </w:pPr>
            <w:r>
              <w:rPr>
                <w:rFonts w:ascii="Calibri" w:hAnsi="Calibri" w:cs="Calibri"/>
                <w:color w:val="000000"/>
              </w:rPr>
              <w:t>$1,202,512</w:t>
            </w:r>
          </w:p>
        </w:tc>
      </w:tr>
      <w:tr w14:paraId="6DBEA466" w14:textId="77777777" w:rsidTr="006D5D1A">
        <w:tblPrEx>
          <w:tblW w:w="9630" w:type="dxa"/>
          <w:tblLayout w:type="fixed"/>
          <w:tblLook w:val="04A0"/>
        </w:tblPrEx>
        <w:trPr>
          <w:trHeight w:val="113"/>
        </w:trPr>
        <w:tc>
          <w:tcPr>
            <w:tcW w:w="3155" w:type="dxa"/>
            <w:tcBorders>
              <w:top w:val="nil"/>
              <w:bottom w:val="nil"/>
              <w:right w:val="nil"/>
            </w:tcBorders>
            <w:shd w:val="clear" w:color="auto" w:fill="auto"/>
            <w:noWrap/>
            <w:hideMark/>
          </w:tcPr>
          <w:p w:rsidR="004C4EEB" w:rsidRPr="002D3263" w:rsidP="004C4EEB" w14:paraId="20186CAD" w14:textId="77777777">
            <w:pPr>
              <w:keepNext/>
              <w:widowControl/>
              <w:spacing w:line="240" w:lineRule="auto"/>
              <w:ind w:left="288"/>
              <w:rPr>
                <w:rFonts w:ascii="Calibri" w:eastAsia="Times New Roman" w:hAnsi="Calibri" w:cs="Times New Roman"/>
                <w:color w:val="000000"/>
              </w:rPr>
            </w:pPr>
            <w:r w:rsidRPr="002D3263">
              <w:rPr>
                <w:rFonts w:ascii="Calibri" w:hAnsi="Calibri"/>
                <w:color w:val="000000"/>
              </w:rPr>
              <w:t>Re-Establishment Expenses</w:t>
            </w:r>
          </w:p>
        </w:tc>
        <w:tc>
          <w:tcPr>
            <w:tcW w:w="1598" w:type="dxa"/>
            <w:tcBorders>
              <w:top w:val="nil"/>
              <w:left w:val="nil"/>
              <w:bottom w:val="nil"/>
              <w:right w:val="nil"/>
            </w:tcBorders>
            <w:shd w:val="clear" w:color="auto" w:fill="auto"/>
            <w:noWrap/>
            <w:vAlign w:val="center"/>
          </w:tcPr>
          <w:p w:rsidR="004C4EEB" w:rsidRPr="002D3263" w:rsidP="00E711E2" w14:paraId="640DE982" w14:textId="2033D127">
            <w:pPr>
              <w:widowControl/>
              <w:jc w:val="right"/>
              <w:rPr>
                <w:rFonts w:ascii="Calibri" w:hAnsi="Calibri"/>
                <w:color w:val="000000"/>
              </w:rPr>
            </w:pPr>
            <w:r>
              <w:rPr>
                <w:rFonts w:ascii="Calibri" w:hAnsi="Calibri" w:cs="Calibri"/>
                <w:color w:val="000000"/>
              </w:rPr>
              <w:t xml:space="preserve">$125,461,485 </w:t>
            </w:r>
          </w:p>
        </w:tc>
        <w:tc>
          <w:tcPr>
            <w:tcW w:w="1598" w:type="dxa"/>
            <w:tcBorders>
              <w:top w:val="nil"/>
              <w:left w:val="nil"/>
              <w:bottom w:val="nil"/>
              <w:right w:val="nil"/>
            </w:tcBorders>
            <w:shd w:val="clear" w:color="auto" w:fill="auto"/>
            <w:noWrap/>
            <w:vAlign w:val="center"/>
          </w:tcPr>
          <w:p w:rsidR="004C4EEB" w:rsidRPr="002D3263" w:rsidP="00E711E2" w14:paraId="04C41711" w14:textId="7EEB7B6A">
            <w:pPr>
              <w:widowControl/>
              <w:jc w:val="right"/>
              <w:rPr>
                <w:rFonts w:ascii="Calibri" w:hAnsi="Calibri"/>
                <w:color w:val="000000"/>
              </w:rPr>
            </w:pPr>
            <w:r>
              <w:rPr>
                <w:rFonts w:ascii="Calibri" w:hAnsi="Calibri" w:cs="Calibri"/>
                <w:color w:val="000000"/>
              </w:rPr>
              <w:t xml:space="preserve">$158,817,606 </w:t>
            </w:r>
          </w:p>
        </w:tc>
        <w:tc>
          <w:tcPr>
            <w:tcW w:w="1659" w:type="dxa"/>
            <w:tcBorders>
              <w:top w:val="nil"/>
              <w:left w:val="nil"/>
              <w:bottom w:val="nil"/>
            </w:tcBorders>
            <w:shd w:val="clear" w:color="auto" w:fill="auto"/>
            <w:noWrap/>
            <w:vAlign w:val="center"/>
          </w:tcPr>
          <w:p w:rsidR="004C4EEB" w:rsidRPr="002D3263" w:rsidP="00E711E2" w14:paraId="71B59DCC" w14:textId="2AEA7ED4">
            <w:pPr>
              <w:widowControl/>
              <w:jc w:val="right"/>
              <w:rPr>
                <w:rFonts w:ascii="Calibri" w:hAnsi="Calibri"/>
                <w:color w:val="000000"/>
              </w:rPr>
            </w:pPr>
            <w:r>
              <w:rPr>
                <w:rFonts w:ascii="Calibri" w:hAnsi="Calibri" w:cs="Calibri"/>
                <w:color w:val="000000"/>
              </w:rPr>
              <w:t>$17,862,893</w:t>
            </w:r>
          </w:p>
        </w:tc>
        <w:tc>
          <w:tcPr>
            <w:tcW w:w="1620" w:type="dxa"/>
            <w:tcBorders>
              <w:top w:val="nil"/>
              <w:left w:val="nil"/>
              <w:bottom w:val="nil"/>
            </w:tcBorders>
            <w:vAlign w:val="center"/>
          </w:tcPr>
          <w:p w:rsidR="004C4EEB" w:rsidRPr="002D3263" w:rsidP="00E711E2" w14:paraId="5F7384E8" w14:textId="01106575">
            <w:pPr>
              <w:widowControl/>
              <w:jc w:val="right"/>
              <w:rPr>
                <w:rFonts w:ascii="Calibri" w:hAnsi="Calibri"/>
                <w:color w:val="000000"/>
              </w:rPr>
            </w:pPr>
            <w:r>
              <w:rPr>
                <w:rFonts w:ascii="Calibri" w:hAnsi="Calibri" w:cs="Calibri"/>
                <w:color w:val="000000"/>
              </w:rPr>
              <w:t>$18,618,268</w:t>
            </w:r>
          </w:p>
        </w:tc>
      </w:tr>
      <w:tr w14:paraId="11D9257C" w14:textId="77777777" w:rsidTr="006D5D1A">
        <w:tblPrEx>
          <w:tblW w:w="9630" w:type="dxa"/>
          <w:tblLayout w:type="fixed"/>
          <w:tblLook w:val="04A0"/>
        </w:tblPrEx>
        <w:trPr>
          <w:trHeight w:val="113"/>
        </w:trPr>
        <w:tc>
          <w:tcPr>
            <w:tcW w:w="3155" w:type="dxa"/>
            <w:tcBorders>
              <w:top w:val="nil"/>
              <w:right w:val="nil"/>
            </w:tcBorders>
            <w:shd w:val="clear" w:color="auto" w:fill="auto"/>
            <w:noWrap/>
            <w:hideMark/>
          </w:tcPr>
          <w:p w:rsidR="00E711E2" w:rsidRPr="002D3263" w:rsidP="00E711E2" w14:paraId="45B5E161" w14:textId="77777777">
            <w:pPr>
              <w:keepNext/>
              <w:widowControl/>
              <w:spacing w:line="240" w:lineRule="auto"/>
              <w:ind w:left="288"/>
              <w:rPr>
                <w:rFonts w:ascii="Calibri" w:eastAsia="Times New Roman" w:hAnsi="Calibri" w:cs="Times New Roman"/>
                <w:color w:val="000000"/>
              </w:rPr>
            </w:pPr>
            <w:r w:rsidRPr="002D3263">
              <w:rPr>
                <w:rFonts w:ascii="Calibri" w:hAnsi="Calibri"/>
                <w:color w:val="000000"/>
              </w:rPr>
              <w:t>Fixed Payments In-Lieu-Of Moving Expenses</w:t>
            </w:r>
          </w:p>
        </w:tc>
        <w:tc>
          <w:tcPr>
            <w:tcW w:w="1598" w:type="dxa"/>
            <w:tcBorders>
              <w:top w:val="nil"/>
              <w:left w:val="nil"/>
              <w:right w:val="nil"/>
            </w:tcBorders>
            <w:shd w:val="clear" w:color="auto" w:fill="auto"/>
            <w:noWrap/>
            <w:vAlign w:val="center"/>
          </w:tcPr>
          <w:p w:rsidR="00E711E2" w:rsidRPr="002D3263" w:rsidP="00E711E2" w14:paraId="6D9417AF" w14:textId="6D10F632">
            <w:pPr>
              <w:widowControl/>
              <w:jc w:val="right"/>
              <w:rPr>
                <w:rFonts w:ascii="Calibri" w:hAnsi="Calibri"/>
                <w:color w:val="000000"/>
              </w:rPr>
            </w:pPr>
            <w:r>
              <w:rPr>
                <w:rFonts w:ascii="Calibri" w:hAnsi="Calibri" w:cs="Calibri"/>
                <w:color w:val="000000"/>
              </w:rPr>
              <w:t xml:space="preserve">$31,997,535 </w:t>
            </w:r>
          </w:p>
        </w:tc>
        <w:tc>
          <w:tcPr>
            <w:tcW w:w="1598" w:type="dxa"/>
            <w:tcBorders>
              <w:top w:val="nil"/>
              <w:left w:val="nil"/>
              <w:right w:val="nil"/>
            </w:tcBorders>
            <w:shd w:val="clear" w:color="auto" w:fill="auto"/>
            <w:noWrap/>
            <w:vAlign w:val="center"/>
          </w:tcPr>
          <w:p w:rsidR="00E711E2" w:rsidRPr="002D3263" w:rsidP="00E711E2" w14:paraId="655D7F6C" w14:textId="3EC1BAF3">
            <w:pPr>
              <w:widowControl/>
              <w:jc w:val="right"/>
              <w:rPr>
                <w:rFonts w:ascii="Calibri" w:hAnsi="Calibri"/>
                <w:color w:val="000000"/>
              </w:rPr>
            </w:pPr>
            <w:r>
              <w:rPr>
                <w:rFonts w:ascii="Calibri" w:hAnsi="Calibri" w:cs="Calibri"/>
                <w:color w:val="000000"/>
              </w:rPr>
              <w:t xml:space="preserve">$40,514,920 </w:t>
            </w:r>
          </w:p>
        </w:tc>
        <w:tc>
          <w:tcPr>
            <w:tcW w:w="1659" w:type="dxa"/>
            <w:tcBorders>
              <w:top w:val="nil"/>
              <w:left w:val="nil"/>
            </w:tcBorders>
            <w:shd w:val="clear" w:color="auto" w:fill="auto"/>
            <w:noWrap/>
            <w:vAlign w:val="center"/>
          </w:tcPr>
          <w:p w:rsidR="00E711E2" w:rsidRPr="002D3263" w:rsidP="00E711E2" w14:paraId="4EEE2CF9" w14:textId="292DD91D">
            <w:pPr>
              <w:widowControl/>
              <w:jc w:val="right"/>
              <w:rPr>
                <w:rFonts w:ascii="Calibri" w:hAnsi="Calibri"/>
                <w:color w:val="000000"/>
              </w:rPr>
            </w:pPr>
            <w:r>
              <w:rPr>
                <w:rFonts w:ascii="Calibri" w:hAnsi="Calibri" w:cs="Calibri"/>
                <w:color w:val="000000"/>
              </w:rPr>
              <w:t>$4,555,729</w:t>
            </w:r>
          </w:p>
        </w:tc>
        <w:tc>
          <w:tcPr>
            <w:tcW w:w="1620" w:type="dxa"/>
            <w:tcBorders>
              <w:top w:val="nil"/>
              <w:left w:val="nil"/>
            </w:tcBorders>
            <w:vAlign w:val="center"/>
          </w:tcPr>
          <w:p w:rsidR="00E711E2" w:rsidRPr="002D3263" w:rsidP="00E711E2" w14:paraId="22402506" w14:textId="5EEF0965">
            <w:pPr>
              <w:widowControl/>
              <w:jc w:val="right"/>
              <w:rPr>
                <w:rFonts w:ascii="Calibri" w:hAnsi="Calibri"/>
                <w:color w:val="000000"/>
              </w:rPr>
            </w:pPr>
            <w:r>
              <w:rPr>
                <w:rFonts w:ascii="Calibri" w:hAnsi="Calibri" w:cs="Calibri"/>
                <w:color w:val="000000"/>
              </w:rPr>
              <w:t>$4,749,585</w:t>
            </w:r>
          </w:p>
        </w:tc>
      </w:tr>
      <w:tr w14:paraId="4AFA49F2" w14:textId="77777777" w:rsidTr="006D5D1A">
        <w:tblPrEx>
          <w:tblW w:w="9630" w:type="dxa"/>
          <w:tblLayout w:type="fixed"/>
          <w:tblLook w:val="04A0"/>
        </w:tblPrEx>
        <w:trPr>
          <w:trHeight w:val="104"/>
        </w:trPr>
        <w:tc>
          <w:tcPr>
            <w:tcW w:w="3155" w:type="dxa"/>
            <w:tcBorders>
              <w:top w:val="nil"/>
              <w:bottom w:val="single" w:sz="4" w:space="0" w:color="auto"/>
              <w:right w:val="nil"/>
            </w:tcBorders>
            <w:shd w:val="clear" w:color="auto" w:fill="auto"/>
            <w:noWrap/>
            <w:hideMark/>
          </w:tcPr>
          <w:p w:rsidR="00E711E2" w:rsidRPr="002D3263" w:rsidP="00E711E2" w14:paraId="527FB267" w14:textId="77777777">
            <w:pPr>
              <w:widowControl/>
              <w:spacing w:line="240" w:lineRule="auto"/>
              <w:rPr>
                <w:rFonts w:ascii="Calibri" w:eastAsia="Times New Roman" w:hAnsi="Calibri" w:cs="Times New Roman"/>
                <w:b/>
                <w:bCs/>
                <w:color w:val="000000"/>
              </w:rPr>
            </w:pPr>
            <w:r w:rsidRPr="002D3263">
              <w:rPr>
                <w:rFonts w:ascii="Calibri" w:hAnsi="Calibri"/>
                <w:b/>
                <w:bCs/>
                <w:color w:val="000000"/>
              </w:rPr>
              <w:t>Total</w:t>
            </w:r>
          </w:p>
        </w:tc>
        <w:tc>
          <w:tcPr>
            <w:tcW w:w="1598" w:type="dxa"/>
            <w:tcBorders>
              <w:top w:val="nil"/>
              <w:left w:val="nil"/>
              <w:bottom w:val="single" w:sz="4" w:space="0" w:color="auto"/>
              <w:right w:val="nil"/>
            </w:tcBorders>
            <w:shd w:val="clear" w:color="auto" w:fill="auto"/>
            <w:noWrap/>
            <w:vAlign w:val="center"/>
          </w:tcPr>
          <w:p w:rsidR="00E711E2" w:rsidRPr="002D3263" w:rsidP="00E711E2" w14:paraId="07EC07A4" w14:textId="13485C0F">
            <w:pPr>
              <w:widowControl/>
              <w:jc w:val="right"/>
              <w:rPr>
                <w:rFonts w:ascii="Calibri" w:hAnsi="Calibri"/>
                <w:b/>
                <w:bCs/>
                <w:color w:val="000000"/>
              </w:rPr>
            </w:pPr>
            <w:r>
              <w:rPr>
                <w:rFonts w:ascii="Calibri" w:hAnsi="Calibri" w:cs="Calibri"/>
                <w:b/>
                <w:bCs/>
                <w:color w:val="000000"/>
              </w:rPr>
              <w:t xml:space="preserve">$169,541,889 </w:t>
            </w:r>
          </w:p>
        </w:tc>
        <w:tc>
          <w:tcPr>
            <w:tcW w:w="1598" w:type="dxa"/>
            <w:tcBorders>
              <w:top w:val="nil"/>
              <w:left w:val="nil"/>
              <w:bottom w:val="single" w:sz="4" w:space="0" w:color="auto"/>
              <w:right w:val="nil"/>
            </w:tcBorders>
            <w:shd w:val="clear" w:color="auto" w:fill="auto"/>
            <w:noWrap/>
            <w:vAlign w:val="center"/>
          </w:tcPr>
          <w:p w:rsidR="00E711E2" w:rsidRPr="002D3263" w:rsidP="00E711E2" w14:paraId="04EDD97A" w14:textId="5A00624C">
            <w:pPr>
              <w:widowControl/>
              <w:jc w:val="right"/>
              <w:rPr>
                <w:rFonts w:ascii="Calibri" w:hAnsi="Calibri"/>
                <w:b/>
                <w:bCs/>
                <w:color w:val="000000"/>
              </w:rPr>
            </w:pPr>
            <w:r>
              <w:rPr>
                <w:rFonts w:ascii="Calibri" w:hAnsi="Calibri" w:cs="Calibri"/>
                <w:b/>
                <w:bCs/>
                <w:color w:val="000000"/>
              </w:rPr>
              <w:t xml:space="preserve">$214,647,402 </w:t>
            </w:r>
          </w:p>
        </w:tc>
        <w:tc>
          <w:tcPr>
            <w:tcW w:w="1659" w:type="dxa"/>
            <w:tcBorders>
              <w:top w:val="nil"/>
              <w:left w:val="nil"/>
              <w:bottom w:val="single" w:sz="4" w:space="0" w:color="auto"/>
            </w:tcBorders>
            <w:shd w:val="clear" w:color="auto" w:fill="auto"/>
            <w:noWrap/>
            <w:vAlign w:val="center"/>
          </w:tcPr>
          <w:p w:rsidR="00E711E2" w:rsidRPr="002D3263" w:rsidP="00E711E2" w14:paraId="33BCC7F5" w14:textId="5BC7D5F3">
            <w:pPr>
              <w:widowControl/>
              <w:jc w:val="right"/>
              <w:rPr>
                <w:rFonts w:ascii="Calibri" w:hAnsi="Calibri"/>
                <w:b/>
                <w:bCs/>
                <w:color w:val="000000"/>
              </w:rPr>
            </w:pPr>
            <w:r>
              <w:rPr>
                <w:rFonts w:ascii="Calibri" w:hAnsi="Calibri" w:cs="Calibri"/>
                <w:b/>
                <w:bCs/>
                <w:color w:val="000000"/>
              </w:rPr>
              <w:t>$24,138,951</w:t>
            </w:r>
          </w:p>
        </w:tc>
        <w:tc>
          <w:tcPr>
            <w:tcW w:w="1620" w:type="dxa"/>
            <w:tcBorders>
              <w:top w:val="nil"/>
              <w:left w:val="nil"/>
              <w:bottom w:val="single" w:sz="4" w:space="0" w:color="auto"/>
            </w:tcBorders>
            <w:vAlign w:val="center"/>
          </w:tcPr>
          <w:p w:rsidR="00E711E2" w:rsidRPr="002D3263" w:rsidP="00E711E2" w14:paraId="6C4FC30A" w14:textId="1C67AB0A">
            <w:pPr>
              <w:widowControl/>
              <w:jc w:val="right"/>
              <w:rPr>
                <w:rFonts w:ascii="Calibri" w:hAnsi="Calibri"/>
                <w:b/>
                <w:bCs/>
                <w:color w:val="000000"/>
              </w:rPr>
            </w:pPr>
            <w:r>
              <w:rPr>
                <w:rFonts w:ascii="Calibri" w:hAnsi="Calibri" w:cs="Calibri"/>
                <w:b/>
                <w:bCs/>
                <w:color w:val="000000"/>
              </w:rPr>
              <w:t>$25,163,224</w:t>
            </w:r>
          </w:p>
        </w:tc>
      </w:tr>
      <w:tr w14:paraId="270F2BF7" w14:textId="77777777" w:rsidTr="002B6909">
        <w:tblPrEx>
          <w:tblW w:w="9630" w:type="dxa"/>
          <w:tblLayout w:type="fixed"/>
          <w:tblLook w:val="04A0"/>
        </w:tblPrEx>
        <w:trPr>
          <w:trHeight w:val="104"/>
        </w:trPr>
        <w:tc>
          <w:tcPr>
            <w:tcW w:w="3155" w:type="dxa"/>
            <w:tcBorders>
              <w:top w:val="single" w:sz="4" w:space="0" w:color="auto"/>
              <w:right w:val="nil"/>
            </w:tcBorders>
            <w:shd w:val="clear" w:color="auto" w:fill="auto"/>
            <w:noWrap/>
            <w:vAlign w:val="center"/>
          </w:tcPr>
          <w:p w:rsidR="00BA64D1" w:rsidRPr="002D3263" w:rsidP="0002327A" w14:paraId="7EF3B7BB" w14:textId="77777777">
            <w:pPr>
              <w:widowControl/>
              <w:spacing w:line="240" w:lineRule="auto"/>
              <w:rPr>
                <w:rFonts w:ascii="Calibri" w:eastAsia="Times New Roman" w:hAnsi="Calibri" w:cs="Times New Roman"/>
                <w:b/>
                <w:bCs/>
                <w:color w:val="000000"/>
              </w:rPr>
            </w:pPr>
            <w:r w:rsidRPr="002D3263">
              <w:rPr>
                <w:rFonts w:ascii="Calibri" w:hAnsi="Calibri"/>
                <w:color w:val="000000"/>
              </w:rPr>
              <w:t>*Totals may not match sums due to rounding</w:t>
            </w:r>
          </w:p>
        </w:tc>
        <w:tc>
          <w:tcPr>
            <w:tcW w:w="1598" w:type="dxa"/>
            <w:tcBorders>
              <w:top w:val="single" w:sz="4" w:space="0" w:color="auto"/>
              <w:left w:val="nil"/>
              <w:right w:val="nil"/>
            </w:tcBorders>
            <w:shd w:val="clear" w:color="auto" w:fill="auto"/>
            <w:noWrap/>
            <w:vAlign w:val="center"/>
          </w:tcPr>
          <w:p w:rsidR="00BA64D1" w:rsidRPr="002D3263" w:rsidP="00EF4CBB" w14:paraId="66DC7392" w14:textId="77777777">
            <w:pPr>
              <w:widowControl/>
              <w:jc w:val="center"/>
              <w:rPr>
                <w:rFonts w:ascii="Calibri" w:hAnsi="Calibri"/>
                <w:b/>
                <w:bCs/>
                <w:color w:val="000000"/>
              </w:rPr>
            </w:pPr>
          </w:p>
        </w:tc>
        <w:tc>
          <w:tcPr>
            <w:tcW w:w="1598" w:type="dxa"/>
            <w:tcBorders>
              <w:top w:val="single" w:sz="4" w:space="0" w:color="auto"/>
              <w:left w:val="nil"/>
              <w:right w:val="nil"/>
            </w:tcBorders>
            <w:shd w:val="clear" w:color="auto" w:fill="auto"/>
            <w:noWrap/>
            <w:vAlign w:val="center"/>
          </w:tcPr>
          <w:p w:rsidR="00BA64D1" w:rsidRPr="002D3263" w:rsidP="00EF4CBB" w14:paraId="324AA4F2" w14:textId="77777777">
            <w:pPr>
              <w:widowControl/>
              <w:jc w:val="center"/>
              <w:rPr>
                <w:rFonts w:ascii="Calibri" w:hAnsi="Calibri"/>
                <w:b/>
                <w:bCs/>
                <w:color w:val="000000"/>
              </w:rPr>
            </w:pPr>
          </w:p>
        </w:tc>
        <w:tc>
          <w:tcPr>
            <w:tcW w:w="1659" w:type="dxa"/>
            <w:tcBorders>
              <w:top w:val="single" w:sz="4" w:space="0" w:color="auto"/>
              <w:left w:val="nil"/>
            </w:tcBorders>
            <w:shd w:val="clear" w:color="auto" w:fill="auto"/>
            <w:noWrap/>
            <w:vAlign w:val="center"/>
          </w:tcPr>
          <w:p w:rsidR="00BA64D1" w:rsidRPr="002D3263" w:rsidP="00EF4CBB" w14:paraId="74A6A9E2" w14:textId="77777777">
            <w:pPr>
              <w:widowControl/>
              <w:jc w:val="center"/>
              <w:rPr>
                <w:rFonts w:ascii="Calibri" w:hAnsi="Calibri"/>
                <w:b/>
                <w:bCs/>
                <w:color w:val="000000"/>
              </w:rPr>
            </w:pPr>
          </w:p>
        </w:tc>
        <w:tc>
          <w:tcPr>
            <w:tcW w:w="1620" w:type="dxa"/>
            <w:tcBorders>
              <w:top w:val="single" w:sz="4" w:space="0" w:color="auto"/>
              <w:left w:val="nil"/>
            </w:tcBorders>
            <w:vAlign w:val="center"/>
          </w:tcPr>
          <w:p w:rsidR="00BA64D1" w:rsidRPr="002D3263" w:rsidP="00EF4CBB" w14:paraId="38D0385D" w14:textId="77777777">
            <w:pPr>
              <w:widowControl/>
              <w:jc w:val="center"/>
              <w:rPr>
                <w:rFonts w:ascii="Calibri" w:hAnsi="Calibri"/>
                <w:b/>
                <w:bCs/>
                <w:color w:val="000000"/>
              </w:rPr>
            </w:pPr>
          </w:p>
        </w:tc>
      </w:tr>
    </w:tbl>
    <w:p w:rsidR="00162E96" w:rsidRPr="002D3263" w:rsidP="00EF4CBB" w14:paraId="0F99BD9E" w14:textId="77777777">
      <w:pPr>
        <w:widowControl/>
        <w:rPr>
          <w:rFonts w:ascii="Arial" w:hAnsi="Arial"/>
          <w:color w:val="004483"/>
        </w:rPr>
      </w:pPr>
    </w:p>
    <w:p w:rsidR="00162E96" w:rsidRPr="002D3263" w:rsidP="00EF4CBB" w14:paraId="180C0BFA" w14:textId="77777777">
      <w:pPr>
        <w:pStyle w:val="Body"/>
        <w:widowControl/>
      </w:pPr>
      <w:r w:rsidRPr="002D3263">
        <w:t xml:space="preserve"> </w:t>
      </w:r>
    </w:p>
    <w:p w:rsidR="00835097" w:rsidRPr="002D3263" w:rsidP="00EF4CBB" w14:paraId="2134246E" w14:textId="77777777">
      <w:pPr>
        <w:widowControl/>
        <w:rPr>
          <w:rFonts w:eastAsia="Arial" w:cs="Arial"/>
          <w:sz w:val="48"/>
          <w:szCs w:val="48"/>
        </w:rPr>
      </w:pPr>
      <w:r w:rsidRPr="002D3263">
        <w:br w:type="page"/>
      </w:r>
    </w:p>
    <w:p w:rsidR="00D46CA3" w:rsidRPr="002D3263" w:rsidP="00BD26C9" w14:paraId="686642AF" w14:textId="7E216FA4">
      <w:pPr>
        <w:pStyle w:val="Heading1"/>
      </w:pPr>
      <w:bookmarkStart w:id="228" w:name="_Toc2168883"/>
      <w:bookmarkStart w:id="229" w:name="_Toc2169137"/>
      <w:bookmarkStart w:id="230" w:name="_Toc2177440"/>
      <w:bookmarkEnd w:id="228"/>
      <w:bookmarkEnd w:id="229"/>
      <w:bookmarkEnd w:id="230"/>
      <w:r w:rsidRPr="002D3263">
        <w:t xml:space="preserve"> </w:t>
      </w:r>
      <w:bookmarkStart w:id="231" w:name="_Toc127438082"/>
      <w:r w:rsidRPr="002D3263" w:rsidR="009E54F5">
        <w:t>Appendix</w:t>
      </w:r>
      <w:bookmarkEnd w:id="231"/>
    </w:p>
    <w:p w:rsidR="007E7FD3" w:rsidRPr="002D3263" w:rsidP="0002327A" w14:paraId="361932A7" w14:textId="77777777">
      <w:pPr>
        <w:widowControl/>
        <w:spacing w:after="200"/>
        <w:rPr>
          <w:rFonts w:ascii="Calibri" w:eastAsia="Arial" w:hAnsi="Calibri" w:cs="Arial"/>
          <w:spacing w:val="-6"/>
        </w:rPr>
      </w:pPr>
    </w:p>
    <w:p w:rsidR="007E7FD3" w:rsidRPr="002D3263" w:rsidP="00EF4CBB" w14:paraId="7FB90CE7" w14:textId="37F3E325">
      <w:pPr>
        <w:widowControl/>
      </w:pPr>
      <w:r w:rsidRPr="002D3263">
        <w:rPr>
          <w:noProof/>
        </w:rPr>
        <w:drawing>
          <wp:inline distT="0" distB="0" distL="0" distR="0">
            <wp:extent cx="5943600" cy="39656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5943600" cy="3965688"/>
                    </a:xfrm>
                    <a:prstGeom prst="rect">
                      <a:avLst/>
                    </a:prstGeom>
                  </pic:spPr>
                </pic:pic>
              </a:graphicData>
            </a:graphic>
          </wp:inline>
        </w:drawing>
      </w:r>
      <w:r w:rsidRPr="002D3263">
        <w:t xml:space="preserve"> </w:t>
      </w:r>
      <w:r w:rsidRPr="002D3263">
        <w:br w:type="page"/>
      </w:r>
    </w:p>
    <w:p w:rsidR="007E7FD3" w:rsidRPr="002D3263" w:rsidP="0002327A" w14:paraId="7930EAC2" w14:textId="6DB59E45">
      <w:pPr>
        <w:widowControl/>
        <w:spacing w:after="200"/>
        <w:rPr>
          <w:rFonts w:ascii="Calibri" w:eastAsia="Arial" w:hAnsi="Calibri" w:cs="Arial"/>
          <w:spacing w:val="-6"/>
        </w:rPr>
      </w:pPr>
      <w:r w:rsidRPr="002D3263">
        <w:rPr>
          <w:noProof/>
        </w:rPr>
        <w:t xml:space="preserve"> </w:t>
      </w:r>
      <w:r w:rsidRPr="002D3263" w:rsidR="00940670">
        <w:rPr>
          <w:noProof/>
        </w:rPr>
        <w:t xml:space="preserve"> </w:t>
      </w:r>
      <w:r w:rsidRPr="002D3263" w:rsidR="00940670">
        <w:rPr>
          <w:noProof/>
        </w:rPr>
        <w:drawing>
          <wp:inline distT="0" distB="0" distL="0" distR="0">
            <wp:extent cx="5943600" cy="2491662"/>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5943600" cy="2491662"/>
                    </a:xfrm>
                    <a:prstGeom prst="rect">
                      <a:avLst/>
                    </a:prstGeom>
                  </pic:spPr>
                </pic:pic>
              </a:graphicData>
            </a:graphic>
          </wp:inline>
        </w:drawing>
      </w:r>
    </w:p>
    <w:p w:rsidR="007E7FD3" w:rsidRPr="002D3263" w:rsidP="00EF4CBB" w14:paraId="64AB0398" w14:textId="77777777">
      <w:pPr>
        <w:widowControl/>
      </w:pPr>
    </w:p>
    <w:p w:rsidR="007E7FD3" w:rsidRPr="002D3263" w:rsidP="0002327A" w14:paraId="0FB5C673" w14:textId="77777777">
      <w:pPr>
        <w:widowControl/>
        <w:spacing w:after="200"/>
        <w:rPr>
          <w:rFonts w:ascii="Calibri" w:eastAsia="Arial" w:hAnsi="Calibri" w:cs="Arial"/>
          <w:spacing w:val="-6"/>
        </w:rPr>
      </w:pPr>
    </w:p>
    <w:p w:rsidR="007E7FD3" w:rsidRPr="002D3263" w:rsidP="00EF4CBB" w14:paraId="4B8AD04A" w14:textId="77777777">
      <w:pPr>
        <w:widowControl/>
        <w:rPr>
          <w:rFonts w:ascii="Calibri" w:eastAsia="Arial" w:hAnsi="Calibri" w:cs="Arial"/>
          <w:spacing w:val="-6"/>
        </w:rPr>
      </w:pPr>
    </w:p>
    <w:p w:rsidR="007E7FD3" w:rsidRPr="002D3263" w:rsidP="00EF4CBB" w14:paraId="27658EA9" w14:textId="77777777">
      <w:pPr>
        <w:widowControl/>
        <w:rPr>
          <w:rFonts w:ascii="Calibri" w:eastAsia="Arial" w:hAnsi="Calibri" w:cs="Arial"/>
          <w:spacing w:val="-6"/>
        </w:rPr>
      </w:pPr>
    </w:p>
    <w:p w:rsidR="007E7FD3" w:rsidRPr="002D3263" w:rsidP="00EF4CBB" w14:paraId="7E1EB2D2" w14:textId="77777777">
      <w:pPr>
        <w:widowControl/>
      </w:pPr>
      <w:r w:rsidRPr="002D3263">
        <w:br w:type="page"/>
      </w:r>
    </w:p>
    <w:p w:rsidR="007E7FD3" w:rsidRPr="002D3263" w:rsidP="0002327A" w14:paraId="7ABF22CA" w14:textId="77777777">
      <w:pPr>
        <w:widowControl/>
        <w:spacing w:after="200"/>
      </w:pPr>
    </w:p>
    <w:p w:rsidR="007E7FD3" w:rsidRPr="002D3263" w:rsidP="0002327A" w14:paraId="11A68D02" w14:textId="7F45F39A">
      <w:pPr>
        <w:widowControl/>
        <w:spacing w:after="200"/>
        <w:rPr>
          <w:rFonts w:ascii="Calibri" w:eastAsia="Arial" w:hAnsi="Calibri" w:cs="Arial"/>
          <w:spacing w:val="-6"/>
        </w:rPr>
      </w:pPr>
      <w:r w:rsidRPr="002D3263">
        <w:rPr>
          <w:noProof/>
        </w:rPr>
        <w:t xml:space="preserve"> </w:t>
      </w:r>
      <w:r w:rsidRPr="002D3263" w:rsidR="00940670">
        <w:rPr>
          <w:noProof/>
        </w:rPr>
        <w:t xml:space="preserve"> </w:t>
      </w:r>
      <w:r w:rsidRPr="002D3263" w:rsidR="00940670">
        <w:rPr>
          <w:noProof/>
        </w:rPr>
        <w:drawing>
          <wp:inline distT="0" distB="0" distL="0" distR="0">
            <wp:extent cx="5870935" cy="4231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5870935" cy="4231842"/>
                    </a:xfrm>
                    <a:prstGeom prst="rect">
                      <a:avLst/>
                    </a:prstGeom>
                  </pic:spPr>
                </pic:pic>
              </a:graphicData>
            </a:graphic>
          </wp:inline>
        </w:drawing>
      </w:r>
    </w:p>
    <w:p w:rsidR="007E7FD3" w:rsidRPr="002D3263" w:rsidP="00093828" w14:paraId="3D7C2F50" w14:textId="77777777">
      <w:pPr>
        <w:widowControl/>
        <w:spacing w:after="200"/>
        <w:rPr>
          <w:rFonts w:ascii="Calibri" w:eastAsia="Arial" w:hAnsi="Calibri" w:cs="Arial"/>
          <w:spacing w:val="-6"/>
        </w:rPr>
      </w:pPr>
    </w:p>
    <w:p w:rsidR="007E7FD3" w:rsidRPr="002D3263" w:rsidP="00EF4CBB" w14:paraId="602FE2A2" w14:textId="77777777">
      <w:pPr>
        <w:widowControl/>
      </w:pPr>
    </w:p>
    <w:p w:rsidR="00D46CA3" w:rsidRPr="002D3263" w:rsidP="00EF4CBB" w14:paraId="28164123" w14:textId="77777777">
      <w:pPr>
        <w:widowControl/>
      </w:pPr>
      <w:r w:rsidRPr="002D3263">
        <w:br w:type="page"/>
      </w:r>
    </w:p>
    <w:p w:rsidR="00D46CA3" w:rsidRPr="002D3263" w:rsidP="00EF4CBB" w14:paraId="78CD9ED9" w14:textId="1FBD9518">
      <w:pPr>
        <w:widowControl/>
      </w:pPr>
      <w:r w:rsidRPr="002D3263">
        <w:rPr>
          <w:noProof/>
        </w:rPr>
        <w:drawing>
          <wp:inline distT="0" distB="0" distL="0" distR="0">
            <wp:extent cx="5913124" cy="258669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5913124" cy="2586697"/>
                    </a:xfrm>
                    <a:prstGeom prst="rect">
                      <a:avLst/>
                    </a:prstGeom>
                  </pic:spPr>
                </pic:pic>
              </a:graphicData>
            </a:graphic>
          </wp:inline>
        </w:drawing>
      </w:r>
      <w:r w:rsidRPr="002D3263">
        <w:t xml:space="preserve"> </w:t>
      </w:r>
      <w:r w:rsidRPr="002D3263">
        <w:br w:type="page"/>
      </w:r>
    </w:p>
    <w:p w:rsidR="007E7FD3" w:rsidRPr="002D3263" w:rsidP="00EF4CBB" w14:paraId="0353E173" w14:textId="77777777">
      <w:pPr>
        <w:widowControl/>
      </w:pPr>
    </w:p>
    <w:p w:rsidR="007E7FD3" w:rsidRPr="002D3263" w:rsidP="0002327A" w14:paraId="43FC9A92" w14:textId="1809BEC2">
      <w:pPr>
        <w:widowControl/>
        <w:spacing w:after="200"/>
        <w:rPr>
          <w:rFonts w:ascii="Calibri" w:eastAsia="Arial" w:hAnsi="Calibri" w:cs="Arial"/>
          <w:spacing w:val="-6"/>
        </w:rPr>
      </w:pPr>
      <w:r w:rsidRPr="002D3263">
        <w:rPr>
          <w:noProof/>
        </w:rPr>
        <w:t xml:space="preserve"> </w:t>
      </w:r>
      <w:r w:rsidRPr="002D3263" w:rsidR="00940670">
        <w:rPr>
          <w:noProof/>
        </w:rPr>
        <w:t xml:space="preserve"> </w:t>
      </w:r>
      <w:r w:rsidRPr="002D3263" w:rsidR="00940670">
        <w:rPr>
          <w:noProof/>
        </w:rPr>
        <w:drawing>
          <wp:inline distT="0" distB="0" distL="0" distR="0">
            <wp:extent cx="5875416" cy="41643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5875416" cy="4164330"/>
                    </a:xfrm>
                    <a:prstGeom prst="rect">
                      <a:avLst/>
                    </a:prstGeom>
                  </pic:spPr>
                </pic:pic>
              </a:graphicData>
            </a:graphic>
          </wp:inline>
        </w:drawing>
      </w:r>
    </w:p>
    <w:p w:rsidR="007E7FD3" w:rsidRPr="002D3263" w:rsidP="00F62B83" w14:paraId="4CC2A9CF" w14:textId="77777777">
      <w:pPr>
        <w:widowControl/>
      </w:pPr>
      <w:r w:rsidRPr="002D3263">
        <w:br w:type="page"/>
      </w:r>
    </w:p>
    <w:p w:rsidR="007E7FD3" w:rsidRPr="002D3263" w:rsidP="0002327A" w14:paraId="62F941B7" w14:textId="57E29DD9">
      <w:pPr>
        <w:widowControl/>
        <w:spacing w:after="200"/>
        <w:rPr>
          <w:rFonts w:ascii="Calibri" w:eastAsia="Arial" w:hAnsi="Calibri" w:cs="Arial"/>
          <w:spacing w:val="-6"/>
        </w:rPr>
      </w:pPr>
      <w:r w:rsidRPr="002D3263">
        <w:rPr>
          <w:noProof/>
        </w:rPr>
        <w:t xml:space="preserve"> </w:t>
      </w:r>
      <w:r w:rsidRPr="002D3263">
        <w:rPr>
          <w:rFonts w:ascii="Calibri" w:eastAsia="Arial" w:hAnsi="Calibri" w:cs="Arial"/>
          <w:noProof/>
          <w:spacing w:val="-6"/>
        </w:rPr>
        <w:drawing>
          <wp:inline distT="0" distB="0" distL="0" distR="0">
            <wp:extent cx="5849958" cy="24581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5849958" cy="2458155"/>
                    </a:xfrm>
                    <a:prstGeom prst="rect">
                      <a:avLst/>
                    </a:prstGeom>
                  </pic:spPr>
                </pic:pic>
              </a:graphicData>
            </a:graphic>
          </wp:inline>
        </w:drawing>
      </w:r>
    </w:p>
    <w:p w:rsidR="007E7FD3" w:rsidRPr="002D3263" w:rsidP="00F62B83" w14:paraId="0F5AE951" w14:textId="77777777">
      <w:pPr>
        <w:widowControl/>
      </w:pPr>
      <w:r w:rsidRPr="002D3263">
        <w:br w:type="page"/>
      </w:r>
    </w:p>
    <w:p w:rsidR="007E7FD3" w:rsidRPr="002D3263" w:rsidP="0002327A" w14:paraId="2DB5881E" w14:textId="220D38D5">
      <w:pPr>
        <w:widowControl/>
        <w:spacing w:after="200"/>
        <w:rPr>
          <w:rFonts w:ascii="Calibri" w:eastAsia="Arial" w:hAnsi="Calibri" w:cs="Arial"/>
          <w:spacing w:val="-6"/>
        </w:rPr>
      </w:pPr>
      <w:r w:rsidRPr="002D3263">
        <w:rPr>
          <w:noProof/>
        </w:rPr>
        <w:t xml:space="preserve"> </w:t>
      </w:r>
      <w:r w:rsidRPr="002D3263" w:rsidR="00563DF6">
        <w:rPr>
          <w:noProof/>
        </w:rPr>
        <w:t xml:space="preserve"> </w:t>
      </w:r>
      <w:r w:rsidRPr="002D3263" w:rsidR="00563DF6">
        <w:rPr>
          <w:noProof/>
        </w:rPr>
        <w:drawing>
          <wp:inline distT="0" distB="0" distL="0" distR="0">
            <wp:extent cx="5943600" cy="42740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5943600" cy="4274049"/>
                    </a:xfrm>
                    <a:prstGeom prst="rect">
                      <a:avLst/>
                    </a:prstGeom>
                  </pic:spPr>
                </pic:pic>
              </a:graphicData>
            </a:graphic>
          </wp:inline>
        </w:drawing>
      </w:r>
    </w:p>
    <w:p w:rsidR="007E7FD3" w:rsidRPr="002D3263" w:rsidP="00F62B83" w14:paraId="2833A983" w14:textId="77777777">
      <w:pPr>
        <w:widowControl/>
      </w:pPr>
      <w:r w:rsidRPr="002D3263">
        <w:br w:type="page"/>
      </w:r>
    </w:p>
    <w:p w:rsidR="007E7FD3" w:rsidRPr="002D3263" w:rsidP="0002327A" w14:paraId="60FACC6C" w14:textId="41037BD1">
      <w:pPr>
        <w:widowControl/>
        <w:spacing w:after="200"/>
      </w:pPr>
      <w:r w:rsidRPr="002D3263">
        <w:rPr>
          <w:noProof/>
        </w:rPr>
        <w:t xml:space="preserve"> </w:t>
      </w:r>
      <w:r w:rsidRPr="002D3263" w:rsidR="00563DF6">
        <w:rPr>
          <w:noProof/>
        </w:rPr>
        <w:t xml:space="preserve"> </w:t>
      </w:r>
      <w:r w:rsidRPr="002D3263" w:rsidR="00563DF6">
        <w:rPr>
          <w:noProof/>
        </w:rPr>
        <w:drawing>
          <wp:inline distT="0" distB="0" distL="0" distR="0">
            <wp:extent cx="5808421" cy="362712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5808421" cy="3627120"/>
                    </a:xfrm>
                    <a:prstGeom prst="rect">
                      <a:avLst/>
                    </a:prstGeom>
                  </pic:spPr>
                </pic:pic>
              </a:graphicData>
            </a:graphic>
          </wp:inline>
        </w:drawing>
      </w:r>
    </w:p>
    <w:p w:rsidR="00C469E7" w:rsidRPr="002D3263" w:rsidP="0002327A" w14:paraId="1081302A" w14:textId="77777777">
      <w:pPr>
        <w:widowControl/>
        <w:spacing w:after="200"/>
      </w:pPr>
    </w:p>
    <w:p w:rsidR="007E7FD3" w:rsidRPr="002D3263" w:rsidP="00093828" w14:paraId="4721886F" w14:textId="77777777">
      <w:pPr>
        <w:widowControl/>
        <w:spacing w:after="200"/>
        <w:rPr>
          <w:rFonts w:ascii="Calibri" w:eastAsia="Arial" w:hAnsi="Calibri" w:cs="Arial"/>
          <w:spacing w:val="-6"/>
        </w:rPr>
      </w:pPr>
    </w:p>
    <w:p w:rsidR="007E7FD3" w:rsidRPr="002D3263" w:rsidP="00F62B83" w14:paraId="6C7BE79C" w14:textId="77777777">
      <w:pPr>
        <w:widowControl/>
      </w:pPr>
      <w:r w:rsidRPr="002D3263">
        <w:br w:type="page"/>
      </w:r>
    </w:p>
    <w:p w:rsidR="007E7FD3" w:rsidRPr="002D3263" w:rsidP="0002327A" w14:paraId="68712AFB" w14:textId="20C139CB">
      <w:pPr>
        <w:widowControl/>
        <w:spacing w:after="200"/>
        <w:rPr>
          <w:rFonts w:ascii="Calibri" w:eastAsia="Arial" w:hAnsi="Calibri" w:cs="Arial"/>
          <w:spacing w:val="-6"/>
        </w:rPr>
      </w:pPr>
      <w:r w:rsidRPr="002D3263">
        <w:rPr>
          <w:noProof/>
        </w:rPr>
        <w:t xml:space="preserve"> </w:t>
      </w:r>
      <w:r w:rsidRPr="002D3263" w:rsidR="00563DF6">
        <w:rPr>
          <w:noProof/>
        </w:rPr>
        <w:t xml:space="preserve"> </w:t>
      </w:r>
      <w:r w:rsidRPr="002D3263" w:rsidR="00563DF6">
        <w:rPr>
          <w:noProof/>
        </w:rPr>
        <w:drawing>
          <wp:inline distT="0" distB="0" distL="0" distR="0">
            <wp:extent cx="5879807" cy="278453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879807" cy="2784535"/>
                    </a:xfrm>
                    <a:prstGeom prst="rect">
                      <a:avLst/>
                    </a:prstGeom>
                  </pic:spPr>
                </pic:pic>
              </a:graphicData>
            </a:graphic>
          </wp:inline>
        </w:drawing>
      </w:r>
    </w:p>
    <w:p w:rsidR="007E7FD3" w:rsidRPr="002D3263" w:rsidP="00F62B83" w14:paraId="588ABAD2" w14:textId="77777777">
      <w:pPr>
        <w:widowControl/>
      </w:pPr>
      <w:r w:rsidRPr="002D3263">
        <w:br w:type="page"/>
      </w:r>
    </w:p>
    <w:p w:rsidR="007E7FD3" w:rsidRPr="002D3263" w:rsidP="0002327A" w14:paraId="5D2DE9BF" w14:textId="30877683">
      <w:pPr>
        <w:widowControl/>
        <w:spacing w:after="200"/>
        <w:rPr>
          <w:rFonts w:ascii="Calibri" w:eastAsia="Arial" w:hAnsi="Calibri" w:cs="Arial"/>
          <w:spacing w:val="-6"/>
        </w:rPr>
      </w:pPr>
      <w:r w:rsidRPr="002D3263">
        <w:rPr>
          <w:noProof/>
        </w:rPr>
        <w:t xml:space="preserve"> </w:t>
      </w:r>
      <w:r w:rsidRPr="002D3263" w:rsidR="00563DF6">
        <w:rPr>
          <w:noProof/>
        </w:rPr>
        <w:t xml:space="preserve"> </w:t>
      </w:r>
      <w:r w:rsidRPr="002D3263" w:rsidR="00563DF6">
        <w:rPr>
          <w:noProof/>
        </w:rPr>
        <w:drawing>
          <wp:inline distT="0" distB="0" distL="0" distR="0">
            <wp:extent cx="4925219" cy="5424055"/>
            <wp:effectExtent l="0" t="0" r="889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27"/>
                    <a:stretch>
                      <a:fillRect/>
                    </a:stretch>
                  </pic:blipFill>
                  <pic:spPr>
                    <a:xfrm>
                      <a:off x="0" y="0"/>
                      <a:ext cx="4935939" cy="5435861"/>
                    </a:xfrm>
                    <a:prstGeom prst="rect">
                      <a:avLst/>
                    </a:prstGeom>
                  </pic:spPr>
                </pic:pic>
              </a:graphicData>
            </a:graphic>
          </wp:inline>
        </w:drawing>
      </w:r>
    </w:p>
    <w:p w:rsidR="007E7FD3" w:rsidRPr="002D3263" w:rsidP="00F878C8" w14:paraId="456D2DF6" w14:textId="345649EA">
      <w:pPr>
        <w:widowControl/>
      </w:pPr>
      <w:r w:rsidRPr="002D3263">
        <w:rPr>
          <w:noProof/>
        </w:rPr>
        <w:drawing>
          <wp:inline distT="0" distB="0" distL="0" distR="0">
            <wp:extent cx="5943600" cy="41427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28"/>
                    <a:stretch>
                      <a:fillRect/>
                    </a:stretch>
                  </pic:blipFill>
                  <pic:spPr>
                    <a:xfrm>
                      <a:off x="0" y="0"/>
                      <a:ext cx="5943600" cy="4142740"/>
                    </a:xfrm>
                    <a:prstGeom prst="rect">
                      <a:avLst/>
                    </a:prstGeom>
                  </pic:spPr>
                </pic:pic>
              </a:graphicData>
            </a:graphic>
          </wp:inline>
        </w:drawing>
      </w:r>
      <w:r w:rsidRPr="002D3263">
        <w:t xml:space="preserve"> </w:t>
      </w:r>
      <w:r w:rsidRPr="002D3263">
        <w:br w:type="page"/>
      </w:r>
    </w:p>
    <w:p w:rsidR="007E7FD3" w:rsidRPr="002D3263" w:rsidP="0002327A" w14:paraId="08890D96" w14:textId="4EB9312E">
      <w:pPr>
        <w:widowControl/>
        <w:spacing w:after="200"/>
        <w:rPr>
          <w:rFonts w:ascii="Calibri" w:eastAsia="Arial" w:hAnsi="Calibri" w:cs="Arial"/>
          <w:spacing w:val="-6"/>
        </w:rPr>
      </w:pPr>
      <w:r w:rsidRPr="002D3263">
        <w:rPr>
          <w:noProof/>
        </w:rPr>
        <w:t xml:space="preserve"> </w:t>
      </w:r>
      <w:r w:rsidRPr="002D3263" w:rsidR="00563DF6">
        <w:rPr>
          <w:noProof/>
        </w:rPr>
        <w:t xml:space="preserve"> </w:t>
      </w:r>
      <w:r w:rsidRPr="002D3263" w:rsidR="00563DF6">
        <w:rPr>
          <w:noProof/>
        </w:rPr>
        <w:drawing>
          <wp:inline distT="0" distB="0" distL="0" distR="0">
            <wp:extent cx="5943600" cy="33420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29"/>
                    <a:stretch>
                      <a:fillRect/>
                    </a:stretch>
                  </pic:blipFill>
                  <pic:spPr>
                    <a:xfrm>
                      <a:off x="0" y="0"/>
                      <a:ext cx="5943600" cy="3342005"/>
                    </a:xfrm>
                    <a:prstGeom prst="rect">
                      <a:avLst/>
                    </a:prstGeom>
                  </pic:spPr>
                </pic:pic>
              </a:graphicData>
            </a:graphic>
          </wp:inline>
        </w:drawing>
      </w:r>
    </w:p>
    <w:p w:rsidR="007E7FD3" w:rsidRPr="002D3263" w:rsidP="00F62B83" w14:paraId="0CDAF775" w14:textId="77777777">
      <w:pPr>
        <w:widowControl/>
      </w:pPr>
      <w:r w:rsidRPr="002D3263">
        <w:br w:type="page"/>
      </w:r>
    </w:p>
    <w:p w:rsidR="0070256C" w:rsidRPr="002D3263" w:rsidP="0002327A" w14:paraId="1D5A4430" w14:textId="38EC0DB5">
      <w:pPr>
        <w:widowControl/>
        <w:spacing w:after="200"/>
        <w:rPr>
          <w:rFonts w:ascii="Calibri" w:eastAsia="Arial" w:hAnsi="Calibri" w:cs="Arial"/>
          <w:spacing w:val="-6"/>
        </w:rPr>
      </w:pPr>
      <w:r w:rsidRPr="002D3263">
        <w:rPr>
          <w:rFonts w:ascii="Calibri" w:eastAsia="Arial" w:hAnsi="Calibri" w:cs="Arial"/>
          <w:noProof/>
        </w:rPr>
        <w:drawing>
          <wp:inline distT="0" distB="0" distL="0" distR="0">
            <wp:extent cx="5943600" cy="52470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30"/>
                    <a:stretch>
                      <a:fillRect/>
                    </a:stretch>
                  </pic:blipFill>
                  <pic:spPr>
                    <a:xfrm>
                      <a:off x="0" y="0"/>
                      <a:ext cx="5943600" cy="5247005"/>
                    </a:xfrm>
                    <a:prstGeom prst="rect">
                      <a:avLst/>
                    </a:prstGeom>
                  </pic:spPr>
                </pic:pic>
              </a:graphicData>
            </a:graphic>
          </wp:inline>
        </w:drawing>
      </w:r>
      <w:r w:rsidRPr="002D3263">
        <w:rPr>
          <w:rFonts w:ascii="Calibri" w:eastAsia="Arial" w:hAnsi="Calibri" w:cs="Arial"/>
        </w:rPr>
        <w:t xml:space="preserve"> </w:t>
      </w:r>
      <w:r w:rsidRPr="002D3263">
        <w:rPr>
          <w:rFonts w:ascii="Calibri" w:eastAsia="Arial" w:hAnsi="Calibri" w:cs="Arial"/>
        </w:rPr>
        <w:br w:type="page"/>
      </w:r>
    </w:p>
    <w:p w:rsidR="00563DF6" w:rsidRPr="002D3263" w:rsidP="0002327A" w14:paraId="7938DA1E" w14:textId="2BF78CD9">
      <w:pPr>
        <w:widowControl/>
        <w:spacing w:after="200"/>
        <w:rPr>
          <w:rFonts w:ascii="Calibri" w:eastAsia="Arial" w:hAnsi="Calibri" w:cs="Arial"/>
        </w:rPr>
      </w:pPr>
      <w:r w:rsidRPr="002D3263">
        <w:rPr>
          <w:rFonts w:ascii="Calibri" w:eastAsia="Arial" w:hAnsi="Calibri" w:cs="Arial"/>
          <w:noProof/>
        </w:rPr>
        <w:drawing>
          <wp:inline distT="0" distB="0" distL="0" distR="0">
            <wp:extent cx="5943600" cy="39452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31"/>
                    <a:stretch>
                      <a:fillRect/>
                    </a:stretch>
                  </pic:blipFill>
                  <pic:spPr>
                    <a:xfrm>
                      <a:off x="0" y="0"/>
                      <a:ext cx="5943600" cy="3945255"/>
                    </a:xfrm>
                    <a:prstGeom prst="rect">
                      <a:avLst/>
                    </a:prstGeom>
                  </pic:spPr>
                </pic:pic>
              </a:graphicData>
            </a:graphic>
          </wp:inline>
        </w:drawing>
      </w:r>
      <w:r w:rsidRPr="002D3263">
        <w:rPr>
          <w:rFonts w:ascii="Calibri" w:eastAsia="Arial" w:hAnsi="Calibri" w:cs="Arial"/>
        </w:rPr>
        <w:t xml:space="preserve"> </w:t>
      </w:r>
    </w:p>
    <w:p w:rsidR="00563DF6" w:rsidRPr="002D3263" w14:paraId="0155D85E" w14:textId="77777777">
      <w:pPr>
        <w:widowControl/>
        <w:spacing w:after="200"/>
        <w:rPr>
          <w:rFonts w:ascii="Calibri" w:eastAsia="Arial" w:hAnsi="Calibri" w:cs="Arial"/>
        </w:rPr>
      </w:pPr>
      <w:r w:rsidRPr="002D3263">
        <w:rPr>
          <w:rFonts w:ascii="Calibri" w:eastAsia="Arial" w:hAnsi="Calibri" w:cs="Arial"/>
        </w:rPr>
        <w:br w:type="page"/>
      </w:r>
    </w:p>
    <w:p w:rsidR="00BC5A99" w:rsidP="0002327A" w14:paraId="4E48B29E" w14:textId="77777777">
      <w:pPr>
        <w:widowControl/>
        <w:spacing w:after="200"/>
        <w:rPr>
          <w:rFonts w:ascii="Calibri" w:eastAsia="Arial" w:hAnsi="Calibri" w:cs="Arial"/>
        </w:rPr>
      </w:pPr>
      <w:r w:rsidRPr="002D3263">
        <w:rPr>
          <w:rFonts w:ascii="Calibri" w:eastAsia="Arial" w:hAnsi="Calibri" w:cs="Arial"/>
          <w:noProof/>
        </w:rPr>
        <w:drawing>
          <wp:inline distT="0" distB="0" distL="0" distR="0">
            <wp:extent cx="6401145" cy="497744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6407041" cy="4982026"/>
                    </a:xfrm>
                    <a:prstGeom prst="rect">
                      <a:avLst/>
                    </a:prstGeom>
                  </pic:spPr>
                </pic:pic>
              </a:graphicData>
            </a:graphic>
          </wp:inline>
        </w:drawing>
      </w:r>
    </w:p>
    <w:p w:rsidR="0070256C" w:rsidP="0002327A" w14:paraId="63E107E5" w14:textId="41462401">
      <w:pPr>
        <w:widowControl/>
        <w:spacing w:after="200"/>
        <w:rPr>
          <w:rFonts w:ascii="Calibri" w:eastAsia="Arial" w:hAnsi="Calibri" w:cs="Arial"/>
        </w:rPr>
      </w:pPr>
      <w:r w:rsidRPr="002D3263">
        <w:rPr>
          <w:rFonts w:ascii="Calibri" w:eastAsia="Arial" w:hAnsi="Calibri" w:cs="Arial"/>
        </w:rPr>
        <w:t xml:space="preserve"> </w:t>
      </w:r>
    </w:p>
    <w:p w:rsidR="00BC5A99" w:rsidRPr="002D3263" w:rsidP="0002327A" w14:paraId="53F6E1ED" w14:textId="77777777">
      <w:pPr>
        <w:widowControl/>
        <w:spacing w:after="200"/>
        <w:rPr>
          <w:rFonts w:ascii="Calibri" w:eastAsia="Arial" w:hAnsi="Calibri" w:cs="Arial"/>
        </w:rPr>
      </w:pPr>
    </w:p>
    <w:p w:rsidR="002B6909" w:rsidRPr="002D3263" w:rsidP="00F62B83" w14:paraId="02626E11" w14:textId="77777777">
      <w:pPr>
        <w:widowControl/>
        <w:rPr>
          <w:rFonts w:ascii="Calibri" w:eastAsia="Arial" w:hAnsi="Calibri" w:cs="Arial"/>
        </w:rPr>
        <w:sectPr w:rsidSect="00E85518">
          <w:type w:val="continuous"/>
          <w:pgSz w:w="12240" w:h="15840" w:code="1"/>
          <w:pgMar w:top="1440" w:right="1440" w:bottom="1440" w:left="1440" w:header="720" w:footer="749" w:gutter="0"/>
          <w:cols w:space="720"/>
          <w:titlePg/>
          <w:docGrid w:linePitch="360"/>
        </w:sectPr>
      </w:pPr>
    </w:p>
    <w:p w:rsidR="009E54F5" w:rsidRPr="002D3263" w:rsidP="0002327A" w14:paraId="79C3FD89" w14:textId="77777777">
      <w:pPr>
        <w:widowControl/>
        <w:spacing w:after="200"/>
        <w:rPr>
          <w:rFonts w:ascii="Calibri" w:eastAsia="Arial" w:hAnsi="Calibri" w:cs="Arial"/>
          <w:spacing w:val="-6"/>
        </w:rPr>
      </w:pPr>
    </w:p>
    <w:p w:rsidR="0093231E" w:rsidRPr="002D3263" w:rsidP="00F878C8" w14:paraId="6EE26B0D" w14:textId="77777777">
      <w:pPr>
        <w:widowControl/>
        <w:spacing w:before="32" w:line="240" w:lineRule="auto"/>
        <w:rPr>
          <w:rFonts w:ascii="Calibri" w:eastAsia="Arial" w:hAnsi="Calibri" w:cs="Arial"/>
          <w:spacing w:val="-6"/>
        </w:rPr>
      </w:pPr>
    </w:p>
    <w:p w:rsidR="0093231E" w:rsidRPr="002D3263" w:rsidP="00F878C8" w14:paraId="7F31BC58" w14:textId="77777777">
      <w:pPr>
        <w:widowControl/>
        <w:tabs>
          <w:tab w:val="left" w:pos="5500"/>
        </w:tabs>
        <w:spacing w:before="32" w:line="240" w:lineRule="auto"/>
        <w:rPr>
          <w:rFonts w:ascii="Calibri" w:eastAsia="Arial" w:hAnsi="Calibri" w:cs="Arial"/>
          <w:spacing w:val="-6"/>
        </w:rPr>
      </w:pPr>
    </w:p>
    <w:p w:rsidR="0093231E" w:rsidRPr="002D3263" w:rsidP="00F878C8" w14:paraId="32136817" w14:textId="77777777">
      <w:pPr>
        <w:widowControl/>
        <w:spacing w:before="32" w:line="240" w:lineRule="auto"/>
        <w:rPr>
          <w:rFonts w:ascii="Calibri" w:eastAsia="Arial" w:hAnsi="Calibri" w:cs="Arial"/>
          <w:spacing w:val="-6"/>
        </w:rPr>
      </w:pPr>
    </w:p>
    <w:p w:rsidR="0093231E" w:rsidRPr="002D3263" w:rsidP="00F878C8" w14:paraId="2D8D1864" w14:textId="77777777">
      <w:pPr>
        <w:widowControl/>
        <w:spacing w:before="32" w:line="240" w:lineRule="auto"/>
        <w:rPr>
          <w:rFonts w:ascii="Calibri" w:eastAsia="Arial" w:hAnsi="Calibri" w:cs="Arial"/>
          <w:spacing w:val="-6"/>
        </w:rPr>
      </w:pPr>
    </w:p>
    <w:p w:rsidR="0093231E" w:rsidRPr="002D3263" w:rsidP="00F878C8" w14:paraId="18ED8C99" w14:textId="77777777">
      <w:pPr>
        <w:widowControl/>
        <w:spacing w:before="32" w:line="240" w:lineRule="auto"/>
        <w:rPr>
          <w:rFonts w:ascii="Calibri" w:eastAsia="Arial" w:hAnsi="Calibri" w:cs="Arial"/>
          <w:spacing w:val="-6"/>
        </w:rPr>
      </w:pPr>
    </w:p>
    <w:p w:rsidR="0093231E" w:rsidRPr="002D3263" w:rsidP="00F878C8" w14:paraId="6C377C02" w14:textId="77777777">
      <w:pPr>
        <w:widowControl/>
        <w:spacing w:before="32" w:line="240" w:lineRule="auto"/>
        <w:rPr>
          <w:rFonts w:ascii="Calibri" w:eastAsia="Arial" w:hAnsi="Calibri" w:cs="Arial"/>
          <w:spacing w:val="-6"/>
        </w:rPr>
      </w:pPr>
    </w:p>
    <w:p w:rsidR="0093231E" w:rsidRPr="002D3263" w:rsidP="00F878C8" w14:paraId="279D3BEF" w14:textId="77777777">
      <w:pPr>
        <w:widowControl/>
        <w:spacing w:before="32" w:line="240" w:lineRule="auto"/>
        <w:rPr>
          <w:rFonts w:ascii="Calibri" w:eastAsia="Arial" w:hAnsi="Calibri" w:cs="Arial"/>
          <w:spacing w:val="-6"/>
        </w:rPr>
      </w:pPr>
    </w:p>
    <w:p w:rsidR="0093231E" w:rsidRPr="002D3263" w:rsidP="00F878C8" w14:paraId="5611062E" w14:textId="77777777">
      <w:pPr>
        <w:widowControl/>
        <w:spacing w:before="32" w:line="240" w:lineRule="auto"/>
        <w:rPr>
          <w:rFonts w:ascii="Calibri" w:eastAsia="Arial" w:hAnsi="Calibri" w:cs="Arial"/>
          <w:spacing w:val="-6"/>
        </w:rPr>
      </w:pPr>
    </w:p>
    <w:p w:rsidR="0093231E" w:rsidRPr="002D3263" w:rsidP="00F878C8" w14:paraId="6627020D" w14:textId="77777777">
      <w:pPr>
        <w:widowControl/>
        <w:spacing w:before="32" w:line="240" w:lineRule="auto"/>
        <w:rPr>
          <w:rFonts w:ascii="Calibri" w:eastAsia="Arial" w:hAnsi="Calibri" w:cs="Arial"/>
          <w:spacing w:val="-6"/>
        </w:rPr>
      </w:pPr>
    </w:p>
    <w:p w:rsidR="0093231E" w:rsidRPr="002D3263" w:rsidP="00F878C8" w14:paraId="0186A9C8" w14:textId="78FBCA4A">
      <w:pPr>
        <w:widowControl/>
        <w:spacing w:before="32" w:line="240" w:lineRule="auto"/>
        <w:rPr>
          <w:rFonts w:ascii="Calibri" w:eastAsia="Arial" w:hAnsi="Calibri" w:cs="Arial"/>
          <w:spacing w:val="-6"/>
        </w:rPr>
      </w:pPr>
    </w:p>
    <w:p w:rsidR="00F878C8" w:rsidRPr="002D3263" w:rsidP="00F878C8" w14:paraId="6E8C82C0" w14:textId="023ED75D">
      <w:pPr>
        <w:widowControl/>
        <w:spacing w:before="32" w:line="240" w:lineRule="auto"/>
        <w:rPr>
          <w:rFonts w:ascii="Calibri" w:eastAsia="Arial" w:hAnsi="Calibri" w:cs="Arial"/>
          <w:spacing w:val="-6"/>
        </w:rPr>
      </w:pPr>
    </w:p>
    <w:p w:rsidR="00F878C8" w:rsidRPr="002D3263" w:rsidP="00F878C8" w14:paraId="3FD8C0A9" w14:textId="3D586B36">
      <w:pPr>
        <w:widowControl/>
        <w:spacing w:before="32" w:line="240" w:lineRule="auto"/>
        <w:rPr>
          <w:rFonts w:ascii="Calibri" w:eastAsia="Arial" w:hAnsi="Calibri" w:cs="Arial"/>
          <w:spacing w:val="-6"/>
        </w:rPr>
      </w:pPr>
    </w:p>
    <w:p w:rsidR="00F878C8" w:rsidRPr="002D3263" w:rsidP="00F878C8" w14:paraId="0415BB55" w14:textId="044C4BE6">
      <w:pPr>
        <w:widowControl/>
        <w:spacing w:before="32" w:line="240" w:lineRule="auto"/>
        <w:rPr>
          <w:rFonts w:ascii="Calibri" w:eastAsia="Arial" w:hAnsi="Calibri" w:cs="Arial"/>
          <w:spacing w:val="-6"/>
        </w:rPr>
      </w:pPr>
    </w:p>
    <w:p w:rsidR="00F878C8" w:rsidRPr="002D3263" w:rsidP="00F878C8" w14:paraId="7E0868AE" w14:textId="57785DE1">
      <w:pPr>
        <w:widowControl/>
        <w:spacing w:before="32" w:line="240" w:lineRule="auto"/>
        <w:rPr>
          <w:rFonts w:ascii="Calibri" w:eastAsia="Arial" w:hAnsi="Calibri" w:cs="Arial"/>
          <w:spacing w:val="-6"/>
        </w:rPr>
      </w:pPr>
    </w:p>
    <w:p w:rsidR="00F878C8" w:rsidRPr="002D3263" w:rsidP="00F878C8" w14:paraId="3FB6769A" w14:textId="16C08773">
      <w:pPr>
        <w:widowControl/>
        <w:spacing w:before="32" w:line="240" w:lineRule="auto"/>
        <w:rPr>
          <w:rFonts w:ascii="Calibri" w:eastAsia="Arial" w:hAnsi="Calibri" w:cs="Arial"/>
          <w:spacing w:val="-6"/>
        </w:rPr>
      </w:pPr>
    </w:p>
    <w:p w:rsidR="00F878C8" w:rsidRPr="002D3263" w:rsidP="00F878C8" w14:paraId="73191753" w14:textId="0F34C7DA">
      <w:pPr>
        <w:widowControl/>
        <w:spacing w:before="32" w:line="240" w:lineRule="auto"/>
        <w:rPr>
          <w:rFonts w:ascii="Calibri" w:eastAsia="Arial" w:hAnsi="Calibri" w:cs="Arial"/>
          <w:spacing w:val="-6"/>
        </w:rPr>
      </w:pPr>
    </w:p>
    <w:p w:rsidR="00F878C8" w:rsidRPr="002D3263" w:rsidP="00F878C8" w14:paraId="76E3A4B9" w14:textId="79530E8C">
      <w:pPr>
        <w:widowControl/>
        <w:spacing w:before="32" w:line="240" w:lineRule="auto"/>
        <w:rPr>
          <w:rFonts w:ascii="Calibri" w:eastAsia="Arial" w:hAnsi="Calibri" w:cs="Arial"/>
          <w:spacing w:val="-6"/>
        </w:rPr>
      </w:pPr>
    </w:p>
    <w:p w:rsidR="00F878C8" w:rsidRPr="002D3263" w:rsidP="00F878C8" w14:paraId="0261FE1C" w14:textId="752332B4">
      <w:pPr>
        <w:widowControl/>
        <w:spacing w:before="32" w:line="240" w:lineRule="auto"/>
        <w:rPr>
          <w:rFonts w:ascii="Calibri" w:eastAsia="Arial" w:hAnsi="Calibri" w:cs="Arial"/>
          <w:spacing w:val="-6"/>
        </w:rPr>
      </w:pPr>
    </w:p>
    <w:p w:rsidR="00F878C8" w:rsidRPr="002D3263" w:rsidP="00F878C8" w14:paraId="625D1847" w14:textId="7F0D6D97">
      <w:pPr>
        <w:widowControl/>
        <w:spacing w:before="32" w:line="240" w:lineRule="auto"/>
        <w:rPr>
          <w:rFonts w:ascii="Calibri" w:eastAsia="Arial" w:hAnsi="Calibri" w:cs="Arial"/>
          <w:spacing w:val="-6"/>
        </w:rPr>
      </w:pPr>
    </w:p>
    <w:p w:rsidR="00F878C8" w:rsidRPr="002D3263" w:rsidP="00F878C8" w14:paraId="41324513" w14:textId="27A26212">
      <w:pPr>
        <w:widowControl/>
        <w:spacing w:before="32" w:line="240" w:lineRule="auto"/>
        <w:rPr>
          <w:rFonts w:ascii="Calibri" w:eastAsia="Arial" w:hAnsi="Calibri" w:cs="Arial"/>
          <w:spacing w:val="-6"/>
        </w:rPr>
      </w:pPr>
    </w:p>
    <w:p w:rsidR="00F878C8" w:rsidRPr="002D3263" w:rsidP="00F878C8" w14:paraId="1B9904F6" w14:textId="5E0AE0CA">
      <w:pPr>
        <w:widowControl/>
        <w:spacing w:before="32" w:line="240" w:lineRule="auto"/>
        <w:rPr>
          <w:rFonts w:ascii="Calibri" w:eastAsia="Arial" w:hAnsi="Calibri" w:cs="Arial"/>
          <w:spacing w:val="-6"/>
        </w:rPr>
      </w:pPr>
    </w:p>
    <w:p w:rsidR="00F878C8" w:rsidRPr="002D3263" w:rsidP="00F878C8" w14:paraId="625E9FD0" w14:textId="64D10865">
      <w:pPr>
        <w:widowControl/>
        <w:spacing w:before="32" w:line="240" w:lineRule="auto"/>
        <w:rPr>
          <w:rFonts w:ascii="Calibri" w:eastAsia="Arial" w:hAnsi="Calibri" w:cs="Arial"/>
          <w:spacing w:val="-6"/>
        </w:rPr>
      </w:pPr>
    </w:p>
    <w:p w:rsidR="00F878C8" w:rsidRPr="002D3263" w:rsidP="00F878C8" w14:paraId="423BEB80" w14:textId="77777777">
      <w:pPr>
        <w:widowControl/>
        <w:spacing w:before="32" w:line="240" w:lineRule="auto"/>
        <w:rPr>
          <w:rFonts w:ascii="Calibri" w:eastAsia="Arial" w:hAnsi="Calibri" w:cs="Arial"/>
          <w:spacing w:val="-6"/>
        </w:rPr>
      </w:pPr>
    </w:p>
    <w:p w:rsidR="00A46440" w:rsidRPr="002D3263" w:rsidP="00F878C8" w14:paraId="262C1734" w14:textId="77777777">
      <w:pPr>
        <w:widowControl/>
        <w:spacing w:before="32" w:line="240" w:lineRule="auto"/>
        <w:rPr>
          <w:rFonts w:ascii="Calibri" w:eastAsia="Arial" w:hAnsi="Calibri" w:cs="Arial"/>
          <w:spacing w:val="-6"/>
        </w:rPr>
      </w:pPr>
    </w:p>
    <w:p w:rsidR="00A46440" w:rsidRPr="002D3263" w:rsidP="00F878C8" w14:paraId="0482EC8E" w14:textId="77777777">
      <w:pPr>
        <w:widowControl/>
        <w:spacing w:before="32" w:line="240" w:lineRule="auto"/>
        <w:rPr>
          <w:rFonts w:ascii="Calibri" w:eastAsia="Arial" w:hAnsi="Calibri" w:cs="Arial"/>
          <w:spacing w:val="-6"/>
        </w:rPr>
      </w:pPr>
    </w:p>
    <w:p w:rsidR="005B611D" w:rsidRPr="002D3263" w:rsidP="00F878C8" w14:paraId="2DB9A737" w14:textId="77777777">
      <w:pPr>
        <w:widowControl/>
        <w:spacing w:before="32" w:line="240" w:lineRule="auto"/>
        <w:rPr>
          <w:rFonts w:ascii="Calibri" w:eastAsia="Arial" w:hAnsi="Calibri" w:cs="Arial"/>
          <w:spacing w:val="-6"/>
        </w:rPr>
      </w:pPr>
    </w:p>
    <w:p w:rsidR="005B611D" w:rsidRPr="002D3263" w:rsidP="00F878C8" w14:paraId="4650BDD6" w14:textId="77777777">
      <w:pPr>
        <w:widowControl/>
        <w:spacing w:before="32" w:line="240" w:lineRule="auto"/>
        <w:rPr>
          <w:rFonts w:ascii="Calibri" w:eastAsia="Arial" w:hAnsi="Calibri" w:cs="Arial"/>
          <w:spacing w:val="-6"/>
        </w:rPr>
      </w:pPr>
    </w:p>
    <w:p w:rsidR="005B611D" w:rsidRPr="002D3263" w:rsidP="00F878C8" w14:paraId="228F9C90" w14:textId="77777777">
      <w:pPr>
        <w:widowControl/>
        <w:spacing w:before="32" w:line="240" w:lineRule="auto"/>
        <w:rPr>
          <w:rFonts w:ascii="Calibri" w:eastAsia="Arial" w:hAnsi="Calibri" w:cs="Arial"/>
          <w:spacing w:val="-6"/>
        </w:rPr>
      </w:pPr>
    </w:p>
    <w:p w:rsidR="0093231E" w:rsidRPr="002D3263" w:rsidP="00F878C8" w14:paraId="7A760BFD" w14:textId="77777777">
      <w:pPr>
        <w:widowControl/>
        <w:spacing w:before="32" w:line="240" w:lineRule="auto"/>
        <w:jc w:val="right"/>
        <w:rPr>
          <w:rFonts w:ascii="Calibri" w:eastAsia="Arial" w:hAnsi="Calibri" w:cs="Arial"/>
        </w:rPr>
      </w:pPr>
      <w:r w:rsidRPr="002D3263">
        <w:rPr>
          <w:rFonts w:ascii="Calibri" w:eastAsia="Arial" w:hAnsi="Calibri" w:cs="Arial"/>
          <w:spacing w:val="-6"/>
        </w:rPr>
        <w:t>U</w:t>
      </w:r>
      <w:r w:rsidRPr="002D3263">
        <w:rPr>
          <w:rFonts w:ascii="Calibri" w:eastAsia="Arial" w:hAnsi="Calibri" w:cs="Arial"/>
          <w:spacing w:val="-4"/>
        </w:rPr>
        <w:t>.</w:t>
      </w:r>
      <w:r w:rsidRPr="002D3263">
        <w:rPr>
          <w:rFonts w:ascii="Calibri" w:eastAsia="Arial" w:hAnsi="Calibri" w:cs="Arial"/>
          <w:spacing w:val="-3"/>
        </w:rPr>
        <w:t>S</w:t>
      </w:r>
      <w:r w:rsidRPr="002D3263">
        <w:rPr>
          <w:rFonts w:ascii="Calibri" w:eastAsia="Arial" w:hAnsi="Calibri" w:cs="Arial"/>
        </w:rPr>
        <w:t>.</w:t>
      </w:r>
      <w:r w:rsidRPr="002D3263">
        <w:rPr>
          <w:rFonts w:ascii="Calibri" w:eastAsia="Arial" w:hAnsi="Calibri" w:cs="Arial"/>
          <w:spacing w:val="-7"/>
        </w:rPr>
        <w:t xml:space="preserve"> </w:t>
      </w:r>
      <w:r w:rsidRPr="002D3263">
        <w:rPr>
          <w:rFonts w:ascii="Calibri" w:eastAsia="Arial" w:hAnsi="Calibri" w:cs="Arial"/>
          <w:spacing w:val="-6"/>
        </w:rPr>
        <w:t>D</w:t>
      </w:r>
      <w:r w:rsidRPr="002D3263">
        <w:rPr>
          <w:rFonts w:ascii="Calibri" w:eastAsia="Arial" w:hAnsi="Calibri" w:cs="Arial"/>
          <w:spacing w:val="-3"/>
        </w:rPr>
        <w:t>epa</w:t>
      </w:r>
      <w:r w:rsidRPr="002D3263">
        <w:rPr>
          <w:rFonts w:ascii="Calibri" w:eastAsia="Arial" w:hAnsi="Calibri" w:cs="Arial"/>
          <w:spacing w:val="-6"/>
        </w:rPr>
        <w:t>r</w:t>
      </w:r>
      <w:r w:rsidRPr="002D3263">
        <w:rPr>
          <w:rFonts w:ascii="Calibri" w:eastAsia="Arial" w:hAnsi="Calibri" w:cs="Arial"/>
          <w:spacing w:val="-4"/>
        </w:rPr>
        <w:t>t</w:t>
      </w:r>
      <w:r w:rsidRPr="002D3263">
        <w:rPr>
          <w:rFonts w:ascii="Calibri" w:eastAsia="Arial" w:hAnsi="Calibri" w:cs="Arial"/>
          <w:spacing w:val="-6"/>
        </w:rPr>
        <w:t>m</w:t>
      </w:r>
      <w:r w:rsidRPr="002D3263">
        <w:rPr>
          <w:rFonts w:ascii="Calibri" w:eastAsia="Arial" w:hAnsi="Calibri" w:cs="Arial"/>
          <w:spacing w:val="-3"/>
        </w:rPr>
        <w:t>en</w:t>
      </w:r>
      <w:r w:rsidRPr="002D3263">
        <w:rPr>
          <w:rFonts w:ascii="Calibri" w:eastAsia="Arial" w:hAnsi="Calibri" w:cs="Arial"/>
        </w:rPr>
        <w:t>t</w:t>
      </w:r>
      <w:r w:rsidRPr="002D3263">
        <w:rPr>
          <w:rFonts w:ascii="Calibri" w:eastAsia="Arial" w:hAnsi="Calibri" w:cs="Arial"/>
          <w:spacing w:val="-12"/>
        </w:rPr>
        <w:t xml:space="preserve"> </w:t>
      </w:r>
      <w:r w:rsidRPr="002D3263">
        <w:rPr>
          <w:rFonts w:ascii="Calibri" w:eastAsia="Arial" w:hAnsi="Calibri" w:cs="Arial"/>
          <w:spacing w:val="-8"/>
        </w:rPr>
        <w:t>o</w:t>
      </w:r>
      <w:r w:rsidRPr="002D3263">
        <w:rPr>
          <w:rFonts w:ascii="Calibri" w:eastAsia="Arial" w:hAnsi="Calibri" w:cs="Arial"/>
        </w:rPr>
        <w:t>f</w:t>
      </w:r>
      <w:r w:rsidRPr="002D3263">
        <w:rPr>
          <w:rFonts w:ascii="Calibri" w:eastAsia="Arial" w:hAnsi="Calibri" w:cs="Arial"/>
          <w:spacing w:val="-7"/>
        </w:rPr>
        <w:t xml:space="preserve"> </w:t>
      </w:r>
      <w:r w:rsidRPr="002D3263">
        <w:rPr>
          <w:rFonts w:ascii="Calibri" w:eastAsia="Arial" w:hAnsi="Calibri" w:cs="Arial"/>
          <w:spacing w:val="-15"/>
        </w:rPr>
        <w:t>T</w:t>
      </w:r>
      <w:r w:rsidRPr="002D3263">
        <w:rPr>
          <w:rFonts w:ascii="Calibri" w:eastAsia="Arial" w:hAnsi="Calibri" w:cs="Arial"/>
          <w:spacing w:val="-6"/>
        </w:rPr>
        <w:t>r</w:t>
      </w:r>
      <w:r w:rsidRPr="002D3263">
        <w:rPr>
          <w:rFonts w:ascii="Calibri" w:eastAsia="Arial" w:hAnsi="Calibri" w:cs="Arial"/>
          <w:spacing w:val="-3"/>
        </w:rPr>
        <w:t>an</w:t>
      </w:r>
      <w:r w:rsidRPr="002D3263">
        <w:rPr>
          <w:rFonts w:ascii="Calibri" w:eastAsia="Arial" w:hAnsi="Calibri" w:cs="Arial"/>
          <w:spacing w:val="-5"/>
        </w:rPr>
        <w:t>s</w:t>
      </w:r>
      <w:r w:rsidRPr="002D3263">
        <w:rPr>
          <w:rFonts w:ascii="Calibri" w:eastAsia="Arial" w:hAnsi="Calibri" w:cs="Arial"/>
          <w:spacing w:val="-3"/>
        </w:rPr>
        <w:t>po</w:t>
      </w:r>
      <w:r w:rsidRPr="002D3263">
        <w:rPr>
          <w:rFonts w:ascii="Calibri" w:eastAsia="Arial" w:hAnsi="Calibri" w:cs="Arial"/>
          <w:spacing w:val="-6"/>
        </w:rPr>
        <w:t>r</w:t>
      </w:r>
      <w:r w:rsidRPr="002D3263">
        <w:rPr>
          <w:rFonts w:ascii="Calibri" w:eastAsia="Arial" w:hAnsi="Calibri" w:cs="Arial"/>
          <w:spacing w:val="-4"/>
        </w:rPr>
        <w:t>t</w:t>
      </w:r>
      <w:r w:rsidRPr="002D3263">
        <w:rPr>
          <w:rFonts w:ascii="Calibri" w:eastAsia="Arial" w:hAnsi="Calibri" w:cs="Arial"/>
          <w:spacing w:val="-3"/>
        </w:rPr>
        <w:t>a</w:t>
      </w:r>
      <w:r w:rsidRPr="002D3263">
        <w:rPr>
          <w:rFonts w:ascii="Calibri" w:eastAsia="Arial" w:hAnsi="Calibri" w:cs="Arial"/>
          <w:spacing w:val="-4"/>
        </w:rPr>
        <w:t>t</w:t>
      </w:r>
      <w:r w:rsidRPr="002D3263">
        <w:rPr>
          <w:rFonts w:ascii="Calibri" w:eastAsia="Arial" w:hAnsi="Calibri" w:cs="Arial"/>
          <w:spacing w:val="-6"/>
        </w:rPr>
        <w:t>i</w:t>
      </w:r>
      <w:r w:rsidRPr="002D3263">
        <w:rPr>
          <w:rFonts w:ascii="Calibri" w:eastAsia="Arial" w:hAnsi="Calibri" w:cs="Arial"/>
          <w:spacing w:val="-8"/>
        </w:rPr>
        <w:t>o</w:t>
      </w:r>
      <w:r w:rsidRPr="002D3263">
        <w:rPr>
          <w:rFonts w:ascii="Calibri" w:eastAsia="Arial" w:hAnsi="Calibri" w:cs="Arial"/>
        </w:rPr>
        <w:t>n</w:t>
      </w:r>
    </w:p>
    <w:p w:rsidR="00A46440" w:rsidRPr="002D3263" w:rsidP="00F878C8" w14:paraId="1DB6D449" w14:textId="77777777">
      <w:pPr>
        <w:widowControl/>
        <w:spacing w:before="25" w:line="240" w:lineRule="auto"/>
        <w:jc w:val="right"/>
        <w:rPr>
          <w:rFonts w:ascii="Calibri" w:eastAsia="Arial" w:hAnsi="Calibri" w:cs="Arial"/>
          <w:spacing w:val="-9"/>
        </w:rPr>
      </w:pPr>
      <w:r w:rsidRPr="002D3263">
        <w:rPr>
          <w:rFonts w:ascii="Calibri" w:eastAsia="Arial" w:hAnsi="Calibri" w:cs="Arial"/>
          <w:spacing w:val="-9"/>
        </w:rPr>
        <w:t>John A. Volpe National Transportation Systems Center</w:t>
      </w:r>
    </w:p>
    <w:p w:rsidR="00A46440" w:rsidRPr="002D3263" w:rsidP="00F878C8" w14:paraId="09FAB33D" w14:textId="77777777">
      <w:pPr>
        <w:widowControl/>
        <w:spacing w:before="25" w:line="240" w:lineRule="auto"/>
        <w:jc w:val="right"/>
        <w:rPr>
          <w:rFonts w:ascii="Calibri" w:hAnsi="Calibri" w:cs="Arial"/>
          <w:color w:val="000000"/>
        </w:rPr>
      </w:pPr>
      <w:r w:rsidRPr="002D3263">
        <w:rPr>
          <w:rFonts w:ascii="Calibri" w:hAnsi="Calibri" w:cs="Arial"/>
          <w:color w:val="000000"/>
        </w:rPr>
        <w:t>55 Broadway</w:t>
      </w:r>
    </w:p>
    <w:p w:rsidR="0093231E" w:rsidRPr="002D3263" w:rsidP="00F878C8" w14:paraId="71BADFE8" w14:textId="77777777">
      <w:pPr>
        <w:widowControl/>
        <w:spacing w:before="25" w:line="240" w:lineRule="auto"/>
        <w:jc w:val="right"/>
        <w:rPr>
          <w:rFonts w:ascii="Calibri" w:eastAsia="Arial" w:hAnsi="Calibri" w:cs="Arial"/>
        </w:rPr>
      </w:pPr>
      <w:r w:rsidRPr="002D3263">
        <w:rPr>
          <w:rFonts w:ascii="Calibri" w:hAnsi="Calibri" w:cs="Arial"/>
          <w:color w:val="000000"/>
        </w:rPr>
        <w:t>Cambridge, MA 02142-1093</w:t>
      </w:r>
    </w:p>
    <w:p w:rsidR="00A46440" w:rsidRPr="002D3263" w:rsidP="0002327A" w14:paraId="292CC2B1" w14:textId="77777777">
      <w:pPr>
        <w:pStyle w:val="NormalWeb"/>
        <w:shd w:val="clear" w:color="auto" w:fill="FFFFFF"/>
        <w:spacing w:after="0"/>
        <w:jc w:val="right"/>
        <w:rPr>
          <w:rFonts w:ascii="Calibri" w:hAnsi="Calibri" w:cs="Arial"/>
          <w:color w:val="000000"/>
          <w:sz w:val="22"/>
        </w:rPr>
      </w:pPr>
    </w:p>
    <w:p w:rsidR="0093231E" w:rsidRPr="002D3263" w:rsidP="00F878C8" w14:paraId="3535BA12" w14:textId="77777777">
      <w:pPr>
        <w:pStyle w:val="NoSpacing"/>
        <w:widowControl/>
        <w:jc w:val="right"/>
      </w:pPr>
      <w:r w:rsidRPr="002D3263">
        <w:t>617-</w:t>
      </w:r>
      <w:r w:rsidRPr="002D3263">
        <w:t>494-2000</w:t>
      </w:r>
    </w:p>
    <w:p w:rsidR="0093231E" w:rsidRPr="009F7C78" w:rsidP="00F878C8" w14:paraId="69302019" w14:textId="77777777">
      <w:pPr>
        <w:widowControl/>
        <w:spacing w:line="248" w:lineRule="exact"/>
        <w:jc w:val="right"/>
        <w:rPr>
          <w:rFonts w:ascii="Calibri" w:eastAsia="Arial" w:hAnsi="Calibri" w:cs="Arial"/>
        </w:rPr>
      </w:pPr>
      <w:hyperlink r:id="rId33" w:tooltip="Volpe Center website" w:history="1">
        <w:r w:rsidRPr="002D3263">
          <w:rPr>
            <w:rStyle w:val="Hyperlink"/>
            <w:rFonts w:ascii="Calibri" w:eastAsia="Arial" w:hAnsi="Calibri" w:cs="Arial"/>
          </w:rPr>
          <w:t>www.volpe.dot.gov</w:t>
        </w:r>
      </w:hyperlink>
    </w:p>
    <w:sectPr w:rsidSect="00F40C25">
      <w:footerReference w:type="first" r:id="rId34"/>
      <w:pgSz w:w="12240" w:h="15840" w:code="1"/>
      <w:pgMar w:top="1080" w:right="1440" w:bottom="720" w:left="1440" w:header="720" w:footer="75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FF4131" w:rsidRPr="00C74374" w:rsidP="0038655D" w14:paraId="15B17EAE" w14:textId="77777777">
    <w:pPr>
      <w:pStyle w:val="Footer"/>
      <w:ind w:left="-630"/>
      <w:jc w:val="center"/>
    </w:pPr>
    <w:r>
      <w:rPr>
        <w:noProof/>
      </w:rPr>
      <w:drawing>
        <wp:inline distT="0" distB="0" distL="0" distR="0">
          <wp:extent cx="6020790" cy="863238"/>
          <wp:effectExtent l="0" t="0" r="0" b="0"/>
          <wp:docPr id="18" name="Picture 18" descr="Volpe, The National Transportation Systems Center, part of the U.S. Department of Transportation" title="Vol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uebar.jpg"/>
                  <pic:cNvPicPr/>
                </pic:nvPicPr>
                <pic:blipFill>
                  <a:blip xmlns:r="http://schemas.openxmlformats.org/officeDocument/2006/relationships" r:embed="rId1"/>
                  <a:stretch>
                    <a:fillRect/>
                  </a:stretch>
                </pic:blipFill>
                <pic:spPr>
                  <a:xfrm>
                    <a:off x="0" y="0"/>
                    <a:ext cx="6100129" cy="874613"/>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FF4131" w:rsidP="006E1AB3" w14:paraId="4D9B9244" w14:textId="1DA23EF3">
    <w:pPr>
      <w:spacing w:line="240" w:lineRule="auto"/>
      <w:ind w:left="20" w:right="-360"/>
    </w:pPr>
    <w:r w:rsidRPr="006F081B">
      <w:rPr>
        <w:rFonts w:ascii="Calibri" w:eastAsia="Calibri" w:hAnsi="Calibri" w:cs="Calibri"/>
        <w:noProof/>
        <w:spacing w:val="-7"/>
        <w:sz w:val="18"/>
        <w:szCs w:val="18"/>
      </w:rPr>
      <w:drawing>
        <wp:inline distT="0" distB="0" distL="0" distR="0">
          <wp:extent cx="952500" cy="254000"/>
          <wp:effectExtent l="0" t="0" r="0" b="0"/>
          <wp:docPr id="19" name="Picture 19" descr="Volpe Center logo in page foo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olpeAndMeatball_LittleBlue.gif"/>
                  <pic:cNvPicPr/>
                </pic:nvPicPr>
                <pic:blipFill>
                  <a:blip xmlns:r="http://schemas.openxmlformats.org/officeDocument/2006/relationships" r:embed="rId1"/>
                  <a:stretch>
                    <a:fillRect/>
                  </a:stretch>
                </pic:blipFill>
                <pic:spPr>
                  <a:xfrm>
                    <a:off x="0" y="0"/>
                    <a:ext cx="952195" cy="253919"/>
                  </a:xfrm>
                  <a:prstGeom prst="rect">
                    <a:avLst/>
                  </a:prstGeom>
                </pic:spPr>
              </pic:pic>
            </a:graphicData>
          </a:graphic>
        </wp:inline>
      </w:drawing>
    </w:r>
    <w:r>
      <w:rPr>
        <w:rFonts w:ascii="Calibri" w:eastAsia="Calibri" w:hAnsi="Calibri" w:cs="Calibri"/>
        <w:spacing w:val="-7"/>
        <w:sz w:val="18"/>
        <w:szCs w:val="18"/>
      </w:rPr>
      <w:tab/>
    </w:r>
    <w:r>
      <w:rPr>
        <w:rFonts w:ascii="Calibri" w:eastAsia="Calibri" w:hAnsi="Calibri" w:cs="Calibri"/>
        <w:spacing w:val="-7"/>
        <w:sz w:val="18"/>
        <w:szCs w:val="18"/>
      </w:rPr>
      <w:tab/>
    </w:r>
    <w:r>
      <w:rPr>
        <w:rFonts w:ascii="Calibri" w:eastAsia="Calibri" w:hAnsi="Calibri" w:cs="Calibri"/>
        <w:spacing w:val="-7"/>
        <w:sz w:val="18"/>
        <w:szCs w:val="18"/>
      </w:rPr>
      <w:tab/>
    </w:r>
    <w:r>
      <w:rPr>
        <w:rFonts w:ascii="Calibri" w:eastAsia="Calibri" w:hAnsi="Calibri" w:cs="Calibri"/>
        <w:spacing w:val="-7"/>
        <w:sz w:val="18"/>
        <w:szCs w:val="18"/>
      </w:rPr>
      <w:tab/>
    </w:r>
    <w:r>
      <w:rPr>
        <w:rFonts w:ascii="Calibri" w:eastAsia="Calibri" w:hAnsi="Calibri" w:cs="Calibri"/>
        <w:spacing w:val="-7"/>
        <w:sz w:val="18"/>
        <w:szCs w:val="18"/>
      </w:rPr>
      <w:tab/>
    </w:r>
    <w:r>
      <w:rPr>
        <w:rFonts w:ascii="Calibri" w:eastAsia="Calibri" w:hAnsi="Calibri" w:cs="Calibri"/>
        <w:spacing w:val="-7"/>
        <w:sz w:val="18"/>
        <w:szCs w:val="18"/>
      </w:rPr>
      <w:tab/>
    </w:r>
    <w:r>
      <w:rPr>
        <w:rFonts w:ascii="Calibri" w:eastAsia="Calibri" w:hAnsi="Calibri" w:cs="Calibri"/>
        <w:spacing w:val="-7"/>
        <w:sz w:val="18"/>
        <w:szCs w:val="18"/>
      </w:rPr>
      <w:tab/>
    </w:r>
    <w:r>
      <w:rPr>
        <w:rFonts w:ascii="Calibri" w:eastAsia="Calibri" w:hAnsi="Calibri" w:cs="Calibri"/>
        <w:spacing w:val="-7"/>
        <w:sz w:val="18"/>
        <w:szCs w:val="18"/>
      </w:rPr>
      <w:tab/>
    </w:r>
    <w:r>
      <w:rPr>
        <w:rFonts w:ascii="Calibri" w:eastAsia="Calibri" w:hAnsi="Calibri" w:cs="Calibri"/>
        <w:spacing w:val="-7"/>
        <w:sz w:val="18"/>
        <w:szCs w:val="18"/>
      </w:rPr>
      <w:tab/>
    </w:r>
    <w:r w:rsidRPr="0043527C">
      <w:rPr>
        <w:rFonts w:ascii="Calibri" w:eastAsia="Calibri" w:hAnsi="Calibri" w:cs="Calibri"/>
        <w:spacing w:val="-7"/>
        <w:sz w:val="18"/>
        <w:szCs w:val="18"/>
      </w:rPr>
      <w:t>Document Title</w:t>
    </w:r>
    <w:r>
      <w:rPr>
        <w:rFonts w:ascii="Calibri" w:eastAsia="Calibri" w:hAnsi="Calibri" w:cs="Calibri"/>
        <w:spacing w:val="-7"/>
        <w:sz w:val="20"/>
        <w:szCs w:val="18"/>
      </w:rPr>
      <w:t xml:space="preserve"> </w:t>
    </w:r>
    <w:r w:rsidRPr="0043527C">
      <w:rPr>
        <w:rFonts w:ascii="Calibri" w:hAnsi="Calibri" w:cs="Arial"/>
        <w:b/>
        <w:color w:val="345C9C"/>
      </w:rPr>
      <w:fldChar w:fldCharType="begin"/>
    </w:r>
    <w:r w:rsidRPr="0043527C">
      <w:rPr>
        <w:rFonts w:ascii="Calibri" w:eastAsia="Arial" w:hAnsi="Calibri" w:cs="Arial"/>
        <w:b/>
        <w:bCs/>
        <w:color w:val="345C9C"/>
      </w:rPr>
      <w:instrText xml:space="preserve"> PAGE </w:instrText>
    </w:r>
    <w:r w:rsidRPr="0043527C">
      <w:rPr>
        <w:rFonts w:ascii="Calibri" w:hAnsi="Calibri" w:cs="Arial"/>
        <w:b/>
        <w:color w:val="345C9C"/>
      </w:rPr>
      <w:fldChar w:fldCharType="separate"/>
    </w:r>
    <w:r>
      <w:rPr>
        <w:rFonts w:ascii="Calibri" w:eastAsia="Arial" w:hAnsi="Calibri" w:cs="Arial"/>
        <w:b/>
        <w:bCs/>
        <w:noProof/>
        <w:color w:val="345C9C"/>
      </w:rPr>
      <w:t>32</w:t>
    </w:r>
    <w:r w:rsidRPr="0043527C">
      <w:rPr>
        <w:rFonts w:ascii="Calibri" w:hAnsi="Calibri" w:cs="Arial"/>
        <w:b/>
        <w:color w:val="345C9C"/>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id w:val="1615322770"/>
      <w:docPartObj>
        <w:docPartGallery w:val="Page Numbers (Bottom of Page)"/>
        <w:docPartUnique/>
      </w:docPartObj>
    </w:sdtPr>
    <w:sdtEndPr>
      <w:rPr>
        <w:noProof/>
      </w:rPr>
    </w:sdtEndPr>
    <w:sdtContent>
      <w:p w:rsidR="00FF4131" w14:paraId="151733BE" w14:textId="39E2283A">
        <w:pPr>
          <w:pStyle w:val="Footer"/>
          <w:jc w:val="right"/>
        </w:pPr>
        <w:r>
          <w:fldChar w:fldCharType="begin"/>
        </w:r>
        <w:r>
          <w:instrText xml:space="preserve"> PAGE   \* MERGEFORMAT </w:instrText>
        </w:r>
        <w:r>
          <w:fldChar w:fldCharType="separate"/>
        </w:r>
        <w:r w:rsidR="00557905">
          <w:rPr>
            <w:noProof/>
          </w:rPr>
          <w:t>54</w:t>
        </w:r>
        <w:r>
          <w:rPr>
            <w:noProof/>
          </w:rPr>
          <w:fldChar w:fldCharType="end"/>
        </w:r>
      </w:p>
    </w:sdtContent>
  </w:sdt>
  <w:p w:rsidR="00FF4131" w:rsidRPr="005C5E61" w:rsidP="005C5E61" w14:paraId="3628B11A"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id w:val="-292906795"/>
      <w:docPartObj>
        <w:docPartGallery w:val="Page Numbers (Bottom of Page)"/>
        <w:docPartUnique/>
      </w:docPartObj>
    </w:sdtPr>
    <w:sdtEndPr>
      <w:rPr>
        <w:noProof/>
      </w:rPr>
    </w:sdtEndPr>
    <w:sdtContent>
      <w:p w:rsidR="00FF4131" w14:paraId="0C01BFE0" w14:textId="40AADE54">
        <w:pPr>
          <w:pStyle w:val="Footer"/>
          <w:jc w:val="right"/>
        </w:pPr>
        <w:r>
          <w:fldChar w:fldCharType="begin"/>
        </w:r>
        <w:r>
          <w:instrText xml:space="preserve"> PAGE   \* MERGEFORMAT </w:instrText>
        </w:r>
        <w:r>
          <w:fldChar w:fldCharType="separate"/>
        </w:r>
        <w:r w:rsidR="00557905">
          <w:rPr>
            <w:noProof/>
          </w:rPr>
          <w:t>9</w:t>
        </w:r>
        <w:r>
          <w:rPr>
            <w:noProof/>
          </w:rPr>
          <w:fldChar w:fldCharType="end"/>
        </w:r>
      </w:p>
    </w:sdtContent>
  </w:sdt>
  <w:p w:rsidR="00FF4131" w:rsidP="004740C6" w14:paraId="3A2AB69D" w14:textId="77777777">
    <w:pPr>
      <w:pStyle w:val="Footer"/>
      <w:ind w:left="-7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FF4131" w:rsidP="007636CC" w14:paraId="5913C57F" w14:textId="77777777">
    <w:pPr>
      <w:pStyle w:val="Footer"/>
      <w:ind w:left="-720"/>
      <w:jc w:val="center"/>
    </w:pPr>
    <w:r>
      <w:rPr>
        <w:noProof/>
      </w:rPr>
      <w:drawing>
        <wp:inline distT="0" distB="0" distL="0" distR="0">
          <wp:extent cx="5943600" cy="851952"/>
          <wp:effectExtent l="0" t="0" r="0" b="5715"/>
          <wp:docPr id="14" name="Picture 1" descr="Volpe, The National Transportation Systems Center, part of the U.S. Department of Transportation" title="Vol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luebar.jpg"/>
                  <pic:cNvPicPr/>
                </pic:nvPicPr>
                <pic:blipFill>
                  <a:blip xmlns:r="http://schemas.openxmlformats.org/officeDocument/2006/relationships" r:embed="rId1"/>
                  <a:stretch>
                    <a:fillRect/>
                  </a:stretch>
                </pic:blipFill>
                <pic:spPr>
                  <a:xfrm>
                    <a:off x="0" y="0"/>
                    <a:ext cx="5943600" cy="85195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footnote w:type="separator" w:id="0">
    <w:p w:rsidR="00007BEC" w:rsidP="00A240B4" w14:paraId="53A55FAF" w14:textId="77777777">
      <w:pPr>
        <w:spacing w:line="240" w:lineRule="auto"/>
      </w:pPr>
      <w:r>
        <w:separator/>
      </w:r>
    </w:p>
  </w:footnote>
  <w:footnote w:type="continuationSeparator" w:id="1">
    <w:p w:rsidR="00007BEC" w:rsidP="00A240B4" w14:paraId="6B4624BA" w14:textId="77777777">
      <w:pPr>
        <w:spacing w:line="240" w:lineRule="auto"/>
      </w:pPr>
      <w:r>
        <w:continuationSeparator/>
      </w:r>
    </w:p>
  </w:footnote>
  <w:footnote w:type="continuationNotice" w:id="2">
    <w:p w:rsidR="00007BEC" w14:paraId="67B590D5" w14:textId="77777777">
      <w:pPr>
        <w:spacing w:line="240" w:lineRule="auto"/>
      </w:pPr>
    </w:p>
  </w:footnote>
  <w:footnote w:id="3">
    <w:p w:rsidR="00FF4131" w:rsidRPr="00BA004C" w:rsidP="001E44DA" w14:paraId="6FB182DC" w14:textId="76F427A8">
      <w:pPr>
        <w:pStyle w:val="FootnoteText"/>
        <w:rPr>
          <w:i/>
        </w:rPr>
      </w:pPr>
      <w:r>
        <w:rPr>
          <w:rStyle w:val="FootnoteReference"/>
        </w:rPr>
        <w:footnoteRef/>
      </w:r>
      <w:r>
        <w:t xml:space="preserve"> </w:t>
      </w:r>
      <w:r w:rsidRPr="00BA004C">
        <w:rPr>
          <w:i/>
        </w:rPr>
        <w:t xml:space="preserve">Recipient </w:t>
      </w:r>
      <w:r w:rsidRPr="00BA004C">
        <w:t xml:space="preserve">is the direct recipient of Federal program funds, is not a Federal </w:t>
      </w:r>
      <w:r w:rsidR="00B403C7">
        <w:t>A</w:t>
      </w:r>
      <w:r w:rsidRPr="00BA004C">
        <w:t>gency and is accountable to the Federal funding Agency for the use of the funds and for compliance with applicable Federal requirements.</w:t>
      </w:r>
      <w:r>
        <w:t xml:space="preserve"> </w:t>
      </w:r>
    </w:p>
    <w:p w:rsidR="00FF4131" w14:paraId="07F6241E" w14:textId="77777777">
      <w:pPr>
        <w:pStyle w:val="FootnoteText"/>
      </w:pPr>
    </w:p>
  </w:footnote>
  <w:footnote w:id="4">
    <w:p w:rsidR="00FA2677" w:rsidP="00B239D7" w14:paraId="08D43F7C" w14:textId="77777777">
      <w:pPr>
        <w:pStyle w:val="FootnoteText"/>
      </w:pPr>
      <w:r>
        <w:rPr>
          <w:rStyle w:val="FootnoteReference"/>
        </w:rPr>
        <w:footnoteRef/>
      </w:r>
      <w:r>
        <w:t xml:space="preserve"> These estimates are an upper bound estimate, based on the maximum amount that program expenditures could increase based on the proposed changes in maximum reimbursement amounts.</w:t>
      </w:r>
    </w:p>
  </w:footnote>
  <w:footnote w:id="5">
    <w:p w:rsidR="00FA2677" w14:paraId="51942E72" w14:textId="77777777">
      <w:pPr>
        <w:pStyle w:val="FootnoteText"/>
      </w:pPr>
      <w:r>
        <w:rPr>
          <w:rStyle w:val="FootnoteReference"/>
        </w:rPr>
        <w:footnoteRef/>
      </w:r>
      <w:r>
        <w:t xml:space="preserve"> </w:t>
      </w:r>
      <w:r w:rsidRPr="00EF4CBB">
        <w:t>There may be additional increases in search expense due to the proposed inclusion of attorney’s fees as a category of reimbursement</w:t>
      </w:r>
      <w:r w:rsidRPr="00E41944">
        <w:t>.</w:t>
      </w:r>
      <w:r>
        <w:t xml:space="preserve"> </w:t>
      </w:r>
    </w:p>
  </w:footnote>
  <w:footnote w:id="6">
    <w:p w:rsidR="00FF4131" w14:paraId="3CC6A04F" w14:textId="0FA24FC5">
      <w:pPr>
        <w:pStyle w:val="FootnoteText"/>
      </w:pPr>
      <w:r>
        <w:rPr>
          <w:rStyle w:val="FootnoteReference"/>
        </w:rPr>
        <w:footnoteRef/>
      </w:r>
      <w:r>
        <w:t xml:space="preserve"> As defined in MAP-21, the new Uniform Act payment levels became effective </w:t>
      </w:r>
      <w:r w:rsidR="00315569">
        <w:t>2</w:t>
      </w:r>
      <w:r>
        <w:t xml:space="preserve"> years after the date of enactment of MAP-21. </w:t>
      </w:r>
      <w:r w:rsidR="00315569">
        <w:t xml:space="preserve"> </w:t>
      </w:r>
      <w:r>
        <w:t>This date was October 1, 2014.</w:t>
      </w:r>
    </w:p>
  </w:footnote>
  <w:footnote w:id="7">
    <w:p w:rsidR="00FF4131" w:rsidP="003C2276" w14:paraId="2B00C8D2" w14:textId="60DAF63B">
      <w:pPr>
        <w:pStyle w:val="FootnoteText"/>
      </w:pPr>
      <w:r w:rsidRPr="000E0391">
        <w:rPr>
          <w:rStyle w:val="FootnoteReference"/>
          <w:color w:val="000000" w:themeColor="text1"/>
        </w:rPr>
        <w:footnoteRef/>
      </w:r>
      <w:r w:rsidRPr="000E0391">
        <w:rPr>
          <w:color w:val="000000" w:themeColor="text1"/>
        </w:rPr>
        <w:t xml:space="preserve"> </w:t>
      </w:r>
      <w:r w:rsidRPr="000E0391">
        <w:rPr>
          <w:color w:val="000000" w:themeColor="text1"/>
          <w:shd w:val="clear" w:color="auto" w:fill="FFFFFF"/>
        </w:rPr>
        <w:t>A</w:t>
      </w:r>
      <w:r w:rsidRPr="000E0391">
        <w:rPr>
          <w:color w:val="000000"/>
          <w:shd w:val="clear" w:color="auto" w:fill="FFFFFF"/>
        </w:rPr>
        <w:t xml:space="preserve">ll acquiring </w:t>
      </w:r>
      <w:r w:rsidR="0059129A">
        <w:rPr>
          <w:color w:val="000000"/>
          <w:shd w:val="clear" w:color="auto" w:fill="FFFFFF"/>
        </w:rPr>
        <w:t>Agencies</w:t>
      </w:r>
      <w:r w:rsidRPr="000E0391">
        <w:rPr>
          <w:color w:val="000000"/>
          <w:shd w:val="clear" w:color="auto" w:fill="FFFFFF"/>
        </w:rPr>
        <w:t xml:space="preserve"> meeting the definition set out in Section (§)</w:t>
      </w:r>
      <w:r w:rsidRPr="000E0391">
        <w:rPr>
          <w:rStyle w:val="apple-converted-space"/>
          <w:color w:val="000000"/>
          <w:shd w:val="clear" w:color="auto" w:fill="FFFFFF"/>
        </w:rPr>
        <w:t> </w:t>
      </w:r>
      <w:r w:rsidRPr="000E0391">
        <w:rPr>
          <w:shd w:val="clear" w:color="auto" w:fill="FFFFFF"/>
        </w:rPr>
        <w:t>24.2</w:t>
      </w:r>
      <w:r w:rsidRPr="000E0391">
        <w:rPr>
          <w:color w:val="000000"/>
          <w:shd w:val="clear" w:color="auto" w:fill="FFFFFF"/>
        </w:rPr>
        <w:t xml:space="preserve">(a)(1)(i) are required to comply with the Uniform Act and the implementing regulation, </w:t>
      </w:r>
      <w:r>
        <w:t>49 CFR 24</w:t>
      </w:r>
      <w:r w:rsidRPr="000E0391">
        <w:rPr>
          <w:color w:val="000000"/>
          <w:shd w:val="clear" w:color="auto" w:fill="FFFFFF"/>
        </w:rPr>
        <w:t>.</w:t>
      </w:r>
    </w:p>
  </w:footnote>
  <w:footnote w:id="8">
    <w:p w:rsidR="00FF4131" w:rsidRPr="00672B40" w:rsidP="00463416" w14:paraId="5824FD20" w14:textId="4B4CA1C5">
      <w:pPr>
        <w:pStyle w:val="FootnoteText"/>
      </w:pPr>
      <w:r w:rsidRPr="00672B40">
        <w:rPr>
          <w:rStyle w:val="FootnoteReference"/>
        </w:rPr>
        <w:footnoteRef/>
      </w:r>
      <w:r w:rsidRPr="00672B40">
        <w:t xml:space="preserve"> GAO, 2006. E</w:t>
      </w:r>
      <w:r w:rsidRPr="00672B40">
        <w:rPr>
          <w:rFonts w:cs="Arial"/>
        </w:rPr>
        <w:t>minent Domain:</w:t>
      </w:r>
      <w:r w:rsidR="00CF2D8C">
        <w:rPr>
          <w:rFonts w:cs="Arial"/>
        </w:rPr>
        <w:t xml:space="preserve"> </w:t>
      </w:r>
      <w:r w:rsidRPr="00672B40">
        <w:rPr>
          <w:rFonts w:cs="Arial"/>
        </w:rPr>
        <w:t xml:space="preserve"> Information about its Uses and Effect on Communities and Property Owners Is Limited (GAO-07-78). </w:t>
      </w:r>
      <w:hyperlink r:id="rId1" w:history="1">
        <w:r w:rsidRPr="00672B40">
          <w:rPr>
            <w:rStyle w:val="Hyperlink"/>
          </w:rPr>
          <w:t>www.gao.gov/products/GAO-07-28</w:t>
        </w:r>
      </w:hyperlink>
      <w:r w:rsidRPr="00672B40">
        <w:t xml:space="preserve"> </w:t>
      </w:r>
    </w:p>
  </w:footnote>
  <w:footnote w:id="9">
    <w:p w:rsidR="00FF4131" w14:paraId="1E0F907D" w14:textId="77777777">
      <w:pPr>
        <w:pStyle w:val="FootnoteText"/>
      </w:pPr>
      <w:r>
        <w:rPr>
          <w:rStyle w:val="FootnoteReference"/>
        </w:rPr>
        <w:footnoteRef/>
      </w:r>
      <w:r>
        <w:t xml:space="preserve"> Notices and Offers by Electronic Methods: Process Streamlining</w:t>
      </w:r>
    </w:p>
    <w:p w:rsidR="00FF4131" w14:paraId="5626D969" w14:textId="77777777">
      <w:pPr>
        <w:pStyle w:val="FootnoteText"/>
      </w:pPr>
      <w:r>
        <w:t>FHWA-HEP-16-008; https://www.fhwa.dot.gov/real_estate/publications/e_methods/index.cfm</w:t>
      </w:r>
    </w:p>
  </w:footnote>
  <w:footnote w:id="10">
    <w:p w:rsidR="00FF4131" w:rsidRPr="00271676" w:rsidP="00896F36" w14:paraId="2B6F6E5B" w14:textId="77777777">
      <w:pPr>
        <w:pStyle w:val="footnote"/>
        <w:rPr>
          <w:rFonts w:asciiTheme="minorHAnsi" w:hAnsiTheme="minorHAnsi"/>
        </w:rPr>
      </w:pPr>
      <w:r w:rsidRPr="00271676">
        <w:rPr>
          <w:rStyle w:val="FootnoteReference"/>
          <w:rFonts w:asciiTheme="minorHAnsi" w:hAnsiTheme="minorHAnsi"/>
        </w:rPr>
        <w:footnoteRef/>
      </w:r>
      <w:r w:rsidRPr="00271676">
        <w:rPr>
          <w:rFonts w:asciiTheme="minorHAnsi" w:hAnsiTheme="minorHAnsi"/>
        </w:rPr>
        <w:t xml:space="preserve"> Office of Management and Budget, OMB Circular No. A-4, </w:t>
      </w:r>
      <w:r w:rsidRPr="00271676">
        <w:rPr>
          <w:rFonts w:asciiTheme="minorHAnsi" w:hAnsiTheme="minorHAnsi"/>
          <w:u w:val="single"/>
        </w:rPr>
        <w:t>New Guidelines for the Conduct of Regulatory Analysis</w:t>
      </w:r>
      <w:r w:rsidRPr="00271676">
        <w:rPr>
          <w:rFonts w:asciiTheme="minorHAnsi" w:hAnsiTheme="minorHAnsi"/>
        </w:rPr>
        <w:t>, Mar. 2, 2004.</w:t>
      </w:r>
    </w:p>
  </w:footnote>
  <w:footnote w:id="11">
    <w:p w:rsidR="007F2085" w14:paraId="34F210F2" w14:textId="7D51DF4D">
      <w:pPr>
        <w:pStyle w:val="FootnoteText"/>
      </w:pPr>
      <w:r>
        <w:rPr>
          <w:rStyle w:val="FootnoteReference"/>
        </w:rPr>
        <w:footnoteRef/>
      </w:r>
      <w:r>
        <w:t xml:space="preserve"> See Table S-9 Economic Assumptions. Office of Management and Budget, Budget of the U.S Government Fiscal Year 2023. </w:t>
      </w:r>
      <w:r w:rsidRPr="007F2085">
        <w:t>https://www.whitehouse.gov/wp-content/uploads/2022/03/ap_2_assumptions_fy2023.pdf</w:t>
      </w:r>
    </w:p>
  </w:footnote>
  <w:footnote w:id="12">
    <w:p w:rsidR="00FF4131" w14:paraId="4D0D4BCC" w14:textId="77777777">
      <w:pPr>
        <w:pStyle w:val="FootnoteText"/>
      </w:pPr>
      <w:r>
        <w:rPr>
          <w:rStyle w:val="FootnoteReference"/>
        </w:rPr>
        <w:footnoteRef/>
      </w:r>
      <w:r>
        <w:t xml:space="preserve"> Data accessed at </w:t>
      </w:r>
      <w:r w:rsidRPr="00656B36">
        <w:t>https://www.fhwa.dot.gov/real_estat</w:t>
      </w:r>
      <w:r>
        <w:t xml:space="preserve">e/uniform_act/stats/index.cfm. Data from the earlier period (2004 to 2012) is substantially incomplete because not all states reported data during that period. The data from prior to 2004 is more complete but is not illustrative of current conditions. </w:t>
      </w:r>
    </w:p>
  </w:footnote>
  <w:footnote w:id="13">
    <w:p w:rsidR="00FF4131" w:rsidP="00A268E9" w14:paraId="283791C0" w14:textId="77777777">
      <w:pPr>
        <w:pStyle w:val="FootnoteText"/>
      </w:pPr>
      <w:r>
        <w:rPr>
          <w:rStyle w:val="FootnoteReference"/>
        </w:rPr>
        <w:footnoteRef/>
      </w:r>
      <w:r>
        <w:t xml:space="preserve"> Although FHWA data for the period 2004 through 2012 is not complete in terms of total relocation activity, it is sufficient as a source for calculating percentage relocations that require a last resort payment.</w:t>
      </w:r>
    </w:p>
  </w:footnote>
  <w:footnote w:id="14">
    <w:p w:rsidR="00FF4131" w:rsidP="00A268E9" w14:paraId="76DF2C5E" w14:textId="32B37D51">
      <w:pPr>
        <w:pStyle w:val="FootnoteText"/>
      </w:pPr>
      <w:r>
        <w:rPr>
          <w:rStyle w:val="FootnoteReference"/>
        </w:rPr>
        <w:footnoteRef/>
      </w:r>
      <w:r>
        <w:t xml:space="preserve"> BLS Occupational Employment Statistics, </w:t>
      </w:r>
      <w:r w:rsidRPr="00C9337E">
        <w:t xml:space="preserve">May </w:t>
      </w:r>
      <w:r w:rsidRPr="00C80FAA">
        <w:t>20</w:t>
      </w:r>
      <w:r w:rsidRPr="00C80FAA" w:rsidR="00C9337E">
        <w:t>21</w:t>
      </w:r>
      <w:r w:rsidRPr="00C80FAA">
        <w:t>,</w:t>
      </w:r>
      <w:r>
        <w:t xml:space="preserve"> Occupation Code 11-000, NAICS 999200.</w:t>
      </w:r>
      <w:r w:rsidRPr="008655A8">
        <w:t xml:space="preserve"> </w:t>
      </w:r>
      <w:r w:rsidRPr="00C9337E" w:rsidR="00C9337E">
        <w:t>https://www.bls.gov/oes/2021/may/naics4_999200.htm#11-0000</w:t>
      </w:r>
    </w:p>
  </w:footnote>
  <w:footnote w:id="15">
    <w:p w:rsidR="00FF4131" w:rsidP="00A268E9" w14:paraId="6AB60623" w14:textId="3B628DBC">
      <w:pPr>
        <w:pStyle w:val="FootnoteText"/>
      </w:pPr>
      <w:r>
        <w:rPr>
          <w:rStyle w:val="FootnoteReference"/>
        </w:rPr>
        <w:footnoteRef/>
      </w:r>
      <w:r>
        <w:t xml:space="preserve"> BLS Employer Costs for Employee Compensation, Historical Listing, Table 5 State and Local Government, Management, Professional, and Related Occupations. For this group, </w:t>
      </w:r>
      <w:r w:rsidR="00AA4CB8">
        <w:t xml:space="preserve">roughly </w:t>
      </w:r>
      <w:r>
        <w:t xml:space="preserve">64 percent of employee compensation is </w:t>
      </w:r>
      <w:r>
        <w:t>wages</w:t>
      </w:r>
      <w:r>
        <w:t xml:space="preserve"> and the remainder is the cost of benefits which suggests that one should factor wages by 1.56 (100%/64%) to estimate the total cost of compensation.</w:t>
      </w:r>
    </w:p>
  </w:footnote>
  <w:footnote w:id="16">
    <w:p w:rsidR="00195CA8" w14:paraId="4B424ED9" w14:textId="193B201B">
      <w:pPr>
        <w:pStyle w:val="FootnoteText"/>
      </w:pPr>
      <w:r>
        <w:rPr>
          <w:rStyle w:val="FootnoteReference"/>
        </w:rPr>
        <w:footnoteRef/>
      </w:r>
      <w:r>
        <w:t xml:space="preserve"> Because both the RHP and RRHP payment levels are increased by roughly </w:t>
      </w:r>
      <w:r w:rsidR="00170A8F">
        <w:t>83</w:t>
      </w:r>
      <w:r>
        <w:t xml:space="preserve"> percent in the final rule, this method will produce the same result for both payment types. We focus on RHP in this discussion for simplicity.</w:t>
      </w:r>
    </w:p>
  </w:footnote>
  <w:footnote w:id="17">
    <w:p w:rsidR="00294452" w14:paraId="55770E3D" w14:textId="20792FF0">
      <w:pPr>
        <w:pStyle w:val="FootnoteText"/>
      </w:pPr>
      <w:r>
        <w:rPr>
          <w:rStyle w:val="FootnoteReference"/>
        </w:rPr>
        <w:footnoteRef/>
      </w:r>
      <w:r>
        <w:t xml:space="preserve"> </w:t>
      </w:r>
      <w:r w:rsidRPr="00294452">
        <w:t>https://www.whitehouse.gov/wp-content/uploads/2022/03/ap_2_assumptions_fy2023.pdf</w:t>
      </w:r>
    </w:p>
  </w:footnote>
  <w:footnote w:id="18">
    <w:p w:rsidR="00FF4131" w14:paraId="651ACC5A" w14:textId="77777777">
      <w:pPr>
        <w:pStyle w:val="FootnoteText"/>
      </w:pPr>
      <w:r>
        <w:rPr>
          <w:rStyle w:val="FootnoteReference"/>
        </w:rPr>
        <w:footnoteRef/>
      </w:r>
      <w:r>
        <w:t xml:space="preserve"> U.S. Census Bureau, American Housing Survey. 2013 National – Household Demographics accessed at </w:t>
      </w:r>
      <w:hyperlink r:id="rId2" w:history="1">
        <w:r>
          <w:rPr>
            <w:rStyle w:val="Hyperlink"/>
          </w:rPr>
          <w:t>https://www.census.gov/programs-surveys/ahs/data.2013.html</w:t>
        </w:r>
      </w:hyperlink>
    </w:p>
  </w:footnote>
  <w:footnote w:id="19">
    <w:p w:rsidR="00143CD3" w:rsidP="00143CD3" w14:paraId="373D6C88" w14:textId="77777777">
      <w:pPr>
        <w:pStyle w:val="FootnoteText"/>
      </w:pPr>
      <w:r>
        <w:rPr>
          <w:rStyle w:val="FootnoteReference"/>
        </w:rPr>
        <w:footnoteRef/>
      </w:r>
      <w:r>
        <w:t xml:space="preserve"> </w:t>
      </w:r>
      <w:r w:rsidRPr="00294452">
        <w:t>https://www.whitehouse.gov/wp-content/uploads/2022/03/ap_2_assumptions_fy2023.pdf</w:t>
      </w:r>
    </w:p>
  </w:footnote>
  <w:footnote w:id="20">
    <w:p w:rsidR="00FF4131" w14:paraId="01EFC937" w14:textId="4D792F73">
      <w:pPr>
        <w:pStyle w:val="FootnoteText"/>
      </w:pPr>
      <w:r w:rsidRPr="0002327A">
        <w:rPr>
          <w:rStyle w:val="FootnoteReference"/>
        </w:rPr>
        <w:footnoteRef/>
      </w:r>
      <w:r w:rsidRPr="0002327A">
        <w:t xml:space="preserve"> </w:t>
      </w:r>
      <w:r w:rsidRPr="00093828" w:rsidR="003E596F">
        <w:t>1,474,000/8</w:t>
      </w:r>
      <w:r w:rsidRPr="00EF4CBB" w:rsidR="003E596F">
        <w:t>2,513,000 = 1.8%</w:t>
      </w:r>
      <w:r w:rsidRPr="00EF4CBB">
        <w:t xml:space="preserve">. American Housing Survey, </w:t>
      </w:r>
      <w:r w:rsidRPr="00EF4CBB" w:rsidR="003E596F">
        <w:t>2021</w:t>
      </w:r>
      <w:r w:rsidRPr="00EF4CBB">
        <w:t xml:space="preserve">, Mortgage Characteristics. </w:t>
      </w:r>
      <w:hyperlink r:id="rId3" w:history="1">
        <w:r w:rsidRPr="00093828">
          <w:rPr>
            <w:rStyle w:val="Hyperlink"/>
          </w:rPr>
          <w:t>https://www.census.gov/programs-surveys/ahs/data/interactive/ahsta</w:t>
        </w:r>
        <w:r w:rsidRPr="00EF4CBB">
          <w:rPr>
            <w:rStyle w:val="Hyperlink"/>
          </w:rPr>
          <w:t>blecreator.html</w:t>
        </w:r>
      </w:hyperlink>
      <w:r>
        <w:t xml:space="preserve"> </w:t>
      </w:r>
    </w:p>
  </w:footnote>
  <w:footnote w:id="21">
    <w:p w:rsidR="00FF4131" w14:paraId="6706E4D9" w14:textId="4C44E1D3">
      <w:pPr>
        <w:pStyle w:val="FootnoteText"/>
      </w:pPr>
      <w:r>
        <w:rPr>
          <w:rStyle w:val="FootnoteReference"/>
        </w:rPr>
        <w:footnoteRef/>
      </w:r>
      <w:r>
        <w:t xml:space="preserve"> BLS Occupational Employment Statistics, May 20</w:t>
      </w:r>
      <w:r w:rsidR="00093828">
        <w:t>21</w:t>
      </w:r>
      <w:r>
        <w:t xml:space="preserve">, Occupation Code </w:t>
      </w:r>
      <w:r w:rsidRPr="005871DF">
        <w:t>11-9141</w:t>
      </w:r>
      <w:r>
        <w:t xml:space="preserve">, NAICS 999200. </w:t>
      </w:r>
      <w:r w:rsidRPr="00093828" w:rsidR="00093828">
        <w:t>https://www.bls.gov/oes/2021/may/naics4_999200.htm#11-0000</w:t>
      </w:r>
    </w:p>
  </w:footnote>
  <w:footnote w:id="22">
    <w:p w:rsidR="00FF4131" w14:paraId="6E76C490" w14:textId="5B6B7330">
      <w:pPr>
        <w:pStyle w:val="FootnoteText"/>
      </w:pPr>
      <w:r>
        <w:rPr>
          <w:rStyle w:val="FootnoteReference"/>
        </w:rPr>
        <w:footnoteRef/>
      </w:r>
      <w:r>
        <w:t xml:space="preserve"> This item is presented here, in Section 2 “Residential Displacements,” since </w:t>
      </w:r>
      <w:r>
        <w:t>the majority of</w:t>
      </w:r>
      <w:r>
        <w:t xml:space="preserve"> such displacements are residential. </w:t>
      </w:r>
    </w:p>
  </w:footnote>
  <w:footnote w:id="23">
    <w:p w:rsidR="00FF4131" w14:paraId="66598EAC" w14:textId="71397BB0">
      <w:pPr>
        <w:pStyle w:val="FootnoteText"/>
      </w:pPr>
      <w:r>
        <w:rPr>
          <w:rStyle w:val="FootnoteReference"/>
        </w:rPr>
        <w:footnoteRef/>
      </w:r>
      <w:r>
        <w:t xml:space="preserve"> Data on non-residential re</w:t>
      </w:r>
      <w:r w:rsidR="00732A88">
        <w:t>-</w:t>
      </w:r>
      <w:r>
        <w:t>establishment claims and residential re</w:t>
      </w:r>
      <w:r w:rsidR="00732A88">
        <w:t>-</w:t>
      </w:r>
      <w:r>
        <w:t xml:space="preserve">establishment claims were provided by FHWA </w:t>
      </w:r>
    </w:p>
  </w:footnote>
  <w:footnote w:id="24">
    <w:p w:rsidR="00FF4131" w:rsidP="00131687" w14:paraId="735D95FF" w14:textId="77777777">
      <w:pPr>
        <w:pStyle w:val="FootnoteText"/>
      </w:pPr>
      <w:r>
        <w:rPr>
          <w:rStyle w:val="FootnoteReference"/>
        </w:rPr>
        <w:footnoteRef/>
      </w:r>
      <w:r>
        <w:t xml:space="preserve"> Zillow link: </w:t>
      </w:r>
      <w:hyperlink r:id="rId4" w:history="1">
        <w:r w:rsidRPr="00C937D1">
          <w:rPr>
            <w:rStyle w:val="Hyperlink"/>
          </w:rPr>
          <w:t>https://www.zillow.com/rental-manager/resources/rental-application-form/</w:t>
        </w:r>
      </w:hyperlink>
      <w:r w:rsidRPr="00A4068F">
        <w:t xml:space="preserve"> </w:t>
      </w:r>
    </w:p>
  </w:footnote>
  <w:footnote w:id="25">
    <w:p w:rsidR="00FF4131" w14:paraId="0E863693" w14:textId="77777777">
      <w:pPr>
        <w:pStyle w:val="FootnoteText"/>
      </w:pPr>
      <w:r>
        <w:rPr>
          <w:rStyle w:val="FootnoteReference"/>
        </w:rPr>
        <w:footnoteRef/>
      </w:r>
      <w:r>
        <w:t xml:space="preserve"> Non-residential displacements include displacements of businesses, farms, and non-profit organizations. The term “displaced business” is also used in this document to refer to a business, farm, or non-profit organization that has been displaced under the Uniform Act. </w:t>
      </w:r>
    </w:p>
  </w:footnote>
  <w:footnote w:id="26">
    <w:p w:rsidR="00FF4131" w:rsidP="009249C9" w14:paraId="4DE8526F" w14:textId="4B252214">
      <w:pPr>
        <w:pStyle w:val="FootnoteText"/>
      </w:pPr>
      <w:r>
        <w:rPr>
          <w:rStyle w:val="FootnoteReference"/>
        </w:rPr>
        <w:footnoteRef/>
      </w:r>
      <w:r>
        <w:t xml:space="preserve"> Data accessed at </w:t>
      </w:r>
      <w:r w:rsidRPr="00656B36">
        <w:t>https://www.fhwa.dot.gov/real_estat</w:t>
      </w:r>
      <w:r>
        <w:t xml:space="preserve">e/uniform_act/stats/index.cfm. Data from the earlier period (2004 to 2012) is substantially incomplete because not all </w:t>
      </w:r>
      <w:r w:rsidR="00DE2509">
        <w:t>S</w:t>
      </w:r>
      <w:r>
        <w:t xml:space="preserve">tates reported data during that period. The data from prior to 2004 is more complete but is not illustrative of current conditions. </w:t>
      </w:r>
    </w:p>
  </w:footnote>
  <w:footnote w:id="27">
    <w:p w:rsidR="00FF4131" w14:paraId="64AF4C88" w14:textId="77777777">
      <w:pPr>
        <w:pStyle w:val="FootnoteText"/>
      </w:pPr>
      <w:r>
        <w:rPr>
          <w:rStyle w:val="FootnoteReference"/>
        </w:rPr>
        <w:footnoteRef/>
      </w:r>
      <w:r>
        <w:t xml:space="preserve"> </w:t>
      </w:r>
      <w:r w:rsidRPr="009E7939">
        <w:t>https://www.fhwa.dot.gov/real_estate/publications/business_relocation_assistance/index.cfm</w:t>
      </w:r>
    </w:p>
  </w:footnote>
  <w:footnote w:id="28">
    <w:p w:rsidR="00F62B83" w:rsidP="00F62B83" w14:paraId="184D7109" w14:textId="77777777">
      <w:pPr>
        <w:pStyle w:val="FootnoteText"/>
      </w:pPr>
      <w:r>
        <w:rPr>
          <w:rStyle w:val="FootnoteReference"/>
        </w:rPr>
        <w:footnoteRef/>
      </w:r>
      <w:r>
        <w:t xml:space="preserve"> </w:t>
      </w:r>
      <w:r w:rsidRPr="00294452">
        <w:t>https://www.whitehouse.gov/wp-content/uploads/2022/03/ap_2_assumptions_fy2023.pdf</w:t>
      </w:r>
    </w:p>
  </w:footnote>
  <w:footnote w:id="29">
    <w:p w:rsidR="00FF4131" w14:paraId="3417DFF0" w14:textId="77777777">
      <w:pPr>
        <w:pStyle w:val="FootnoteText"/>
      </w:pPr>
      <w:r>
        <w:rPr>
          <w:rStyle w:val="FootnoteReference"/>
        </w:rPr>
        <w:footnoteRef/>
      </w:r>
      <w:r>
        <w:t xml:space="preserve"> FHWA Non-Residential Displacements. Annual Right-of-Way Statistics. </w:t>
      </w:r>
      <w:hyperlink r:id="rId5" w:history="1">
        <w:r>
          <w:rPr>
            <w:rStyle w:val="Hyperlink"/>
          </w:rPr>
          <w:t>https://www.fhwa.dot.gov/real_estate/uniform_act/stats/index.cfm</w:t>
        </w:r>
      </w:hyperlink>
      <w:r>
        <w:t xml:space="preserve"> </w:t>
      </w:r>
    </w:p>
  </w:footnote>
  <w:footnote w:id="30">
    <w:p w:rsidR="00B6275C" w:rsidP="00B6275C" w14:paraId="5ED61C6F" w14:textId="77777777">
      <w:pPr>
        <w:pStyle w:val="FootnoteText"/>
      </w:pPr>
      <w:r>
        <w:rPr>
          <w:rStyle w:val="FootnoteReference"/>
        </w:rPr>
        <w:footnoteRef/>
      </w:r>
      <w:r>
        <w:t xml:space="preserve"> </w:t>
      </w:r>
      <w:r w:rsidRPr="00294452">
        <w:t>https://www.whitehouse.gov/wp-content/uploads/2022/03/ap_2_assumptions_fy2023.pdf</w:t>
      </w:r>
    </w:p>
  </w:footnote>
  <w:footnote w:id="31">
    <w:p w:rsidR="00FF4131" w14:paraId="12F6CE8F" w14:textId="77777777">
      <w:pPr>
        <w:pStyle w:val="FootnoteText"/>
      </w:pPr>
      <w:r>
        <w:rPr>
          <w:rStyle w:val="FootnoteReference"/>
        </w:rPr>
        <w:footnoteRef/>
      </w:r>
      <w:r>
        <w:t xml:space="preserve"> FHWA Non-Residential Displacements. Annual Right-of-Way Statistics. </w:t>
      </w:r>
      <w:hyperlink r:id="rId5" w:history="1">
        <w:r>
          <w:rPr>
            <w:rStyle w:val="Hyperlink"/>
          </w:rPr>
          <w:t>https://www.fhwa.dot.gov/real_estate/uniform_act/stats/index.cfm</w:t>
        </w:r>
      </w:hyperlink>
    </w:p>
  </w:footnote>
  <w:footnote w:id="32">
    <w:p w:rsidR="005C2B26" w:rsidP="005C2B26" w14:paraId="0BAB84C5" w14:textId="77777777">
      <w:pPr>
        <w:pStyle w:val="FootnoteText"/>
      </w:pPr>
      <w:r>
        <w:rPr>
          <w:rStyle w:val="FootnoteReference"/>
        </w:rPr>
        <w:footnoteRef/>
      </w:r>
      <w:r>
        <w:t xml:space="preserve"> </w:t>
      </w:r>
      <w:r w:rsidRPr="00294452">
        <w:t>https://www.whitehouse.gov/wp-content/uploads/2022/03/ap_2_assumptions_fy2023.pdf</w:t>
      </w:r>
    </w:p>
  </w:footnote>
  <w:footnote w:id="33">
    <w:p w:rsidR="00FF4131" w:rsidP="00C22AA8" w14:paraId="215F0BA8" w14:textId="5AFEB664">
      <w:pPr>
        <w:pStyle w:val="FootnoteText"/>
      </w:pPr>
      <w:r>
        <w:rPr>
          <w:rStyle w:val="FootnoteReference"/>
        </w:rPr>
        <w:footnoteRef/>
      </w:r>
      <w:r>
        <w:t xml:space="preserve"> BLS Occupational Employment Statistics, May 20</w:t>
      </w:r>
      <w:r w:rsidR="00B44A61">
        <w:t>21</w:t>
      </w:r>
      <w:r>
        <w:t xml:space="preserve">, Occupation Code </w:t>
      </w:r>
      <w:r w:rsidRPr="005871DF">
        <w:t>11-9141</w:t>
      </w:r>
      <w:r>
        <w:t xml:space="preserve">, NAICS 999200. </w:t>
      </w:r>
      <w:r w:rsidRPr="00B44A61" w:rsidR="00B44A61">
        <w:t>https://www.bls.gov/oes/2021/may/naics4_999200.htm#11-0000</w:t>
      </w:r>
      <w:r w:rsidR="00B44A61">
        <w:t xml:space="preserve"> </w:t>
      </w:r>
    </w:p>
  </w:footnote>
  <w:footnote w:id="34">
    <w:p w:rsidR="00FF4131" w14:paraId="564EFF5A" w14:textId="6A9941A3">
      <w:pPr>
        <w:pStyle w:val="FootnoteText"/>
      </w:pPr>
      <w:r>
        <w:rPr>
          <w:rStyle w:val="FootnoteReference"/>
        </w:rPr>
        <w:footnoteRef/>
      </w:r>
      <w:r>
        <w:t xml:space="preserve"> This assumed 30-hour estimate is based on the information that currently half of </w:t>
      </w:r>
      <w:r w:rsidR="0059129A">
        <w:t>Agencies</w:t>
      </w:r>
      <w:r>
        <w:t xml:space="preserve"> use the narrative format while the other half use the spreadsheet format and an assumption that the narrative format would require 20 hours of labor hours while the spreadsheet format would require 40 hours of labor. </w:t>
      </w:r>
    </w:p>
  </w:footnote>
  <w:footnote w:id="35">
    <w:p w:rsidR="00FF4131" w14:paraId="2FA6F8F0" w14:textId="2FAC1CB6">
      <w:pPr>
        <w:pStyle w:val="FootnoteText"/>
      </w:pPr>
      <w:r>
        <w:rPr>
          <w:rStyle w:val="FootnoteReference"/>
        </w:rPr>
        <w:footnoteRef/>
      </w:r>
      <w:r>
        <w:t xml:space="preserve"> </w:t>
      </w:r>
      <w:hyperlink r:id="rId6" w:history="1">
        <w:r w:rsidRPr="00B25190" w:rsidR="00B25190">
          <w:rPr>
            <w:rStyle w:val="Hyperlink"/>
          </w:rPr>
          <w:t>https://www.opm.gov/policy-data-oversight/pay-leave/salaries-wages/salary-table</w:t>
        </w:r>
        <w:r w:rsidRPr="00A701B2" w:rsidR="00B25190">
          <w:rPr>
            <w:rStyle w:val="Hyperlink"/>
          </w:rPr>
          <w:t>s/21Tables/html/DCB_h.aspx</w:t>
        </w:r>
      </w:hyperlink>
      <w:r>
        <w:t>. Note that Washington, DC</w:t>
      </w:r>
      <w:r w:rsidR="00462672">
        <w:t>,</w:t>
      </w:r>
      <w:r>
        <w:t xml:space="preserve"> locality pay is likely higher than most other locations, is therefore a conservative estimate. </w:t>
      </w:r>
    </w:p>
  </w:footnote>
  <w:footnote w:id="36">
    <w:p w:rsidR="00FF4131" w14:paraId="33A8CF7A" w14:textId="77777777">
      <w:pPr>
        <w:pStyle w:val="FootnoteText"/>
      </w:pPr>
      <w:r>
        <w:rPr>
          <w:rStyle w:val="FootnoteReference"/>
        </w:rPr>
        <w:footnoteRef/>
      </w:r>
      <w:r>
        <w:t xml:space="preserve"> See </w:t>
      </w:r>
      <w:r w:rsidRPr="00B111B9">
        <w:t>49 CFR 24.9</w:t>
      </w:r>
      <w:r>
        <w:t>(c)</w:t>
      </w:r>
    </w:p>
  </w:footnote>
  <w:footnote w:id="37">
    <w:p w:rsidR="004C4EEB" w:rsidP="00626615" w14:paraId="54DE2869" w14:textId="79B82590">
      <w:pPr>
        <w:pStyle w:val="FootnoteText"/>
      </w:pPr>
      <w:r>
        <w:rPr>
          <w:rStyle w:val="FootnoteReference"/>
        </w:rPr>
        <w:footnoteRef/>
      </w:r>
      <w:r>
        <w:t xml:space="preserve"> These estimates are an upper bound estimate, based on the maximum amount that program expenditures could increase based on the final rule’s changes in maximum reimbursement amounts.</w:t>
      </w:r>
    </w:p>
  </w:footnote>
  <w:footnote w:id="38">
    <w:p w:rsidR="004C4EEB" w:rsidP="00BA64D1" w14:paraId="69C11FB4" w14:textId="38240F90">
      <w:pPr>
        <w:pStyle w:val="FootnoteText"/>
      </w:pPr>
      <w:r>
        <w:rPr>
          <w:rStyle w:val="FootnoteReference"/>
        </w:rPr>
        <w:footnoteRef/>
      </w:r>
      <w:r>
        <w:t xml:space="preserve"> There may be additional increases in search expense due to the final rule’s inclusion of attorney’s fees as a category of reimbursement.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abstractNum w:abstractNumId="0">
    <w:nsid w:val="00B671DD"/>
    <w:multiLevelType w:val="hybridMultilevel"/>
    <w:tmpl w:val="4C2CAF4A"/>
    <w:lvl w:ilvl="0">
      <w:start w:val="0"/>
      <w:numFmt w:val="bullet"/>
      <w:lvlText w:val="•"/>
      <w:lvlJc w:val="left"/>
      <w:pPr>
        <w:ind w:left="831" w:hanging="360"/>
      </w:pPr>
      <w:rPr>
        <w:rFonts w:ascii="Times New Roman" w:eastAsia="Times New Roman" w:hAnsi="Times New Roman" w:cs="Times New Roman" w:hint="default"/>
        <w:w w:val="131"/>
      </w:rPr>
    </w:lvl>
    <w:lvl w:ilvl="1">
      <w:start w:val="1"/>
      <w:numFmt w:val="bullet"/>
      <w:pStyle w:val="Sub-bullets"/>
      <w:lvlText w:val="–"/>
      <w:lvlJc w:val="left"/>
      <w:pPr>
        <w:ind w:left="1551" w:hanging="360"/>
      </w:pPr>
      <w:rPr>
        <w:rFonts w:ascii="Calibri" w:hAnsi="Calibri" w:hint="default"/>
      </w:rPr>
    </w:lvl>
    <w:lvl w:ilvl="2" w:tentative="1">
      <w:start w:val="1"/>
      <w:numFmt w:val="bullet"/>
      <w:lvlText w:val=""/>
      <w:lvlJc w:val="left"/>
      <w:pPr>
        <w:ind w:left="2271" w:hanging="360"/>
      </w:pPr>
      <w:rPr>
        <w:rFonts w:ascii="Wingdings" w:hAnsi="Wingdings" w:hint="default"/>
      </w:rPr>
    </w:lvl>
    <w:lvl w:ilvl="3" w:tentative="1">
      <w:start w:val="1"/>
      <w:numFmt w:val="bullet"/>
      <w:lvlText w:val=""/>
      <w:lvlJc w:val="left"/>
      <w:pPr>
        <w:ind w:left="2991" w:hanging="360"/>
      </w:pPr>
      <w:rPr>
        <w:rFonts w:ascii="Symbol" w:hAnsi="Symbol" w:hint="default"/>
      </w:rPr>
    </w:lvl>
    <w:lvl w:ilvl="4" w:tentative="1">
      <w:start w:val="1"/>
      <w:numFmt w:val="bullet"/>
      <w:lvlText w:val="o"/>
      <w:lvlJc w:val="left"/>
      <w:pPr>
        <w:ind w:left="3711" w:hanging="360"/>
      </w:pPr>
      <w:rPr>
        <w:rFonts w:ascii="Courier New" w:hAnsi="Courier New" w:cs="Courier New" w:hint="default"/>
      </w:rPr>
    </w:lvl>
    <w:lvl w:ilvl="5" w:tentative="1">
      <w:start w:val="1"/>
      <w:numFmt w:val="bullet"/>
      <w:lvlText w:val=""/>
      <w:lvlJc w:val="left"/>
      <w:pPr>
        <w:ind w:left="4431" w:hanging="360"/>
      </w:pPr>
      <w:rPr>
        <w:rFonts w:ascii="Wingdings" w:hAnsi="Wingdings" w:hint="default"/>
      </w:rPr>
    </w:lvl>
    <w:lvl w:ilvl="6" w:tentative="1">
      <w:start w:val="1"/>
      <w:numFmt w:val="bullet"/>
      <w:lvlText w:val=""/>
      <w:lvlJc w:val="left"/>
      <w:pPr>
        <w:ind w:left="5151" w:hanging="360"/>
      </w:pPr>
      <w:rPr>
        <w:rFonts w:ascii="Symbol" w:hAnsi="Symbol" w:hint="default"/>
      </w:rPr>
    </w:lvl>
    <w:lvl w:ilvl="7" w:tentative="1">
      <w:start w:val="1"/>
      <w:numFmt w:val="bullet"/>
      <w:lvlText w:val="o"/>
      <w:lvlJc w:val="left"/>
      <w:pPr>
        <w:ind w:left="5871" w:hanging="360"/>
      </w:pPr>
      <w:rPr>
        <w:rFonts w:ascii="Courier New" w:hAnsi="Courier New" w:cs="Courier New" w:hint="default"/>
      </w:rPr>
    </w:lvl>
    <w:lvl w:ilvl="8" w:tentative="1">
      <w:start w:val="1"/>
      <w:numFmt w:val="bullet"/>
      <w:lvlText w:val=""/>
      <w:lvlJc w:val="left"/>
      <w:pPr>
        <w:ind w:left="6591" w:hanging="360"/>
      </w:pPr>
      <w:rPr>
        <w:rFonts w:ascii="Wingdings" w:hAnsi="Wingdings" w:hint="default"/>
      </w:rPr>
    </w:lvl>
  </w:abstractNum>
  <w:abstractNum w:abstractNumId="1">
    <w:nsid w:val="00EF0B81"/>
    <w:multiLevelType w:val="multilevel"/>
    <w:tmpl w:val="11C2A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201935"/>
    <w:multiLevelType w:val="multilevel"/>
    <w:tmpl w:val="7A3CEE56"/>
    <w:styleLink w:val="Multi-levelBullets"/>
    <w:lvl w:ilvl="0">
      <w:start w:val="0"/>
      <w:numFmt w:val="bullet"/>
      <w:lvlText w:val="•"/>
      <w:lvlJc w:val="left"/>
      <w:pPr>
        <w:ind w:left="831" w:hanging="360"/>
      </w:pPr>
      <w:rPr>
        <w:rFonts w:eastAsia="Times New Roman" w:asciiTheme="minorHAnsi" w:hAnsiTheme="minorHAnsi" w:cs="Times New Roman" w:hint="default"/>
        <w:w w:val="131"/>
        <w:sz w:val="22"/>
      </w:rPr>
    </w:lvl>
    <w:lvl w:ilvl="1">
      <w:start w:val="1"/>
      <w:numFmt w:val="bullet"/>
      <w:lvlText w:val="o"/>
      <w:lvlJc w:val="left"/>
      <w:pPr>
        <w:ind w:left="1551" w:hanging="360"/>
      </w:pPr>
      <w:rPr>
        <w:rFonts w:ascii="Courier New" w:hAnsi="Courier New" w:cs="Courier New" w:hint="default"/>
      </w:rPr>
    </w:lvl>
    <w:lvl w:ilvl="2">
      <w:start w:val="1"/>
      <w:numFmt w:val="bullet"/>
      <w:lvlText w:val=""/>
      <w:lvlJc w:val="left"/>
      <w:pPr>
        <w:ind w:left="2271" w:hanging="360"/>
      </w:pPr>
      <w:rPr>
        <w:rFonts w:ascii="Wingdings" w:hAnsi="Wingdings" w:hint="default"/>
      </w:rPr>
    </w:lvl>
    <w:lvl w:ilvl="3">
      <w:start w:val="1"/>
      <w:numFmt w:val="bullet"/>
      <w:lvlText w:val=""/>
      <w:lvlJc w:val="left"/>
      <w:pPr>
        <w:ind w:left="2991" w:hanging="360"/>
      </w:pPr>
      <w:rPr>
        <w:rFonts w:ascii="Symbol" w:hAnsi="Symbol" w:hint="default"/>
      </w:rPr>
    </w:lvl>
    <w:lvl w:ilvl="4">
      <w:start w:val="1"/>
      <w:numFmt w:val="bullet"/>
      <w:lvlText w:val="o"/>
      <w:lvlJc w:val="left"/>
      <w:pPr>
        <w:ind w:left="3711" w:hanging="360"/>
      </w:pPr>
      <w:rPr>
        <w:rFonts w:ascii="Courier New" w:hAnsi="Courier New" w:cs="Courier New" w:hint="default"/>
      </w:rPr>
    </w:lvl>
    <w:lvl w:ilvl="5">
      <w:start w:val="1"/>
      <w:numFmt w:val="bullet"/>
      <w:lvlText w:val=""/>
      <w:lvlJc w:val="left"/>
      <w:pPr>
        <w:ind w:left="4431" w:hanging="360"/>
      </w:pPr>
      <w:rPr>
        <w:rFonts w:ascii="Wingdings" w:hAnsi="Wingdings" w:hint="default"/>
      </w:rPr>
    </w:lvl>
    <w:lvl w:ilvl="6">
      <w:start w:val="1"/>
      <w:numFmt w:val="bullet"/>
      <w:lvlText w:val=""/>
      <w:lvlJc w:val="left"/>
      <w:pPr>
        <w:ind w:left="5151" w:hanging="360"/>
      </w:pPr>
      <w:rPr>
        <w:rFonts w:ascii="Symbol" w:hAnsi="Symbol" w:hint="default"/>
      </w:rPr>
    </w:lvl>
    <w:lvl w:ilvl="7">
      <w:start w:val="1"/>
      <w:numFmt w:val="bullet"/>
      <w:lvlText w:val="o"/>
      <w:lvlJc w:val="left"/>
      <w:pPr>
        <w:ind w:left="5871" w:hanging="360"/>
      </w:pPr>
      <w:rPr>
        <w:rFonts w:ascii="Courier New" w:hAnsi="Courier New" w:cs="Courier New" w:hint="default"/>
      </w:rPr>
    </w:lvl>
    <w:lvl w:ilvl="8">
      <w:start w:val="1"/>
      <w:numFmt w:val="bullet"/>
      <w:lvlText w:val=""/>
      <w:lvlJc w:val="left"/>
      <w:pPr>
        <w:ind w:left="6591" w:hanging="360"/>
      </w:pPr>
      <w:rPr>
        <w:rFonts w:ascii="Wingdings" w:hAnsi="Wingdings" w:hint="default"/>
      </w:rPr>
    </w:lvl>
  </w:abstractNum>
  <w:abstractNum w:abstractNumId="3">
    <w:nsid w:val="038400F6"/>
    <w:multiLevelType w:val="hybridMultilevel"/>
    <w:tmpl w:val="399450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3C838AF"/>
    <w:multiLevelType w:val="multilevel"/>
    <w:tmpl w:val="E45C590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69706DB"/>
    <w:multiLevelType w:val="hybridMultilevel"/>
    <w:tmpl w:val="C1C2A1C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6D305C2"/>
    <w:multiLevelType w:val="hybridMultilevel"/>
    <w:tmpl w:val="1F6E142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0CA3D0D"/>
    <w:multiLevelType w:val="hybridMultilevel"/>
    <w:tmpl w:val="D2EC29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13C606C"/>
    <w:multiLevelType w:val="multilevel"/>
    <w:tmpl w:val="99DAD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845AD6"/>
    <w:multiLevelType w:val="hybridMultilevel"/>
    <w:tmpl w:val="FFCE0C86"/>
    <w:lvl w:ilvl="0">
      <w:start w:val="0"/>
      <w:numFmt w:val="bullet"/>
      <w:lvlText w:val="•"/>
      <w:lvlJc w:val="left"/>
      <w:pPr>
        <w:ind w:left="831" w:hanging="360"/>
      </w:pPr>
      <w:rPr>
        <w:rFonts w:ascii="Times New Roman" w:eastAsia="Times New Roman" w:hAnsi="Times New Roman" w:cs="Times New Roman" w:hint="default"/>
        <w:w w:val="131"/>
      </w:rPr>
    </w:lvl>
    <w:lvl w:ilvl="1">
      <w:start w:val="1"/>
      <w:numFmt w:val="bullet"/>
      <w:lvlText w:val="o"/>
      <w:lvlJc w:val="left"/>
      <w:pPr>
        <w:ind w:left="1551" w:hanging="360"/>
      </w:pPr>
      <w:rPr>
        <w:rFonts w:ascii="Courier New" w:hAnsi="Courier New" w:cs="Courier New" w:hint="default"/>
      </w:rPr>
    </w:lvl>
    <w:lvl w:ilvl="2" w:tentative="1">
      <w:start w:val="1"/>
      <w:numFmt w:val="bullet"/>
      <w:lvlText w:val=""/>
      <w:lvlJc w:val="left"/>
      <w:pPr>
        <w:ind w:left="2271" w:hanging="360"/>
      </w:pPr>
      <w:rPr>
        <w:rFonts w:ascii="Wingdings" w:hAnsi="Wingdings" w:hint="default"/>
      </w:rPr>
    </w:lvl>
    <w:lvl w:ilvl="3" w:tentative="1">
      <w:start w:val="1"/>
      <w:numFmt w:val="bullet"/>
      <w:lvlText w:val=""/>
      <w:lvlJc w:val="left"/>
      <w:pPr>
        <w:ind w:left="2991" w:hanging="360"/>
      </w:pPr>
      <w:rPr>
        <w:rFonts w:ascii="Symbol" w:hAnsi="Symbol" w:hint="default"/>
      </w:rPr>
    </w:lvl>
    <w:lvl w:ilvl="4" w:tentative="1">
      <w:start w:val="1"/>
      <w:numFmt w:val="bullet"/>
      <w:lvlText w:val="o"/>
      <w:lvlJc w:val="left"/>
      <w:pPr>
        <w:ind w:left="3711" w:hanging="360"/>
      </w:pPr>
      <w:rPr>
        <w:rFonts w:ascii="Courier New" w:hAnsi="Courier New" w:cs="Courier New" w:hint="default"/>
      </w:rPr>
    </w:lvl>
    <w:lvl w:ilvl="5" w:tentative="1">
      <w:start w:val="1"/>
      <w:numFmt w:val="bullet"/>
      <w:lvlText w:val=""/>
      <w:lvlJc w:val="left"/>
      <w:pPr>
        <w:ind w:left="4431" w:hanging="360"/>
      </w:pPr>
      <w:rPr>
        <w:rFonts w:ascii="Wingdings" w:hAnsi="Wingdings" w:hint="default"/>
      </w:rPr>
    </w:lvl>
    <w:lvl w:ilvl="6" w:tentative="1">
      <w:start w:val="1"/>
      <w:numFmt w:val="bullet"/>
      <w:lvlText w:val=""/>
      <w:lvlJc w:val="left"/>
      <w:pPr>
        <w:ind w:left="5151" w:hanging="360"/>
      </w:pPr>
      <w:rPr>
        <w:rFonts w:ascii="Symbol" w:hAnsi="Symbol" w:hint="default"/>
      </w:rPr>
    </w:lvl>
    <w:lvl w:ilvl="7" w:tentative="1">
      <w:start w:val="1"/>
      <w:numFmt w:val="bullet"/>
      <w:lvlText w:val="o"/>
      <w:lvlJc w:val="left"/>
      <w:pPr>
        <w:ind w:left="5871" w:hanging="360"/>
      </w:pPr>
      <w:rPr>
        <w:rFonts w:ascii="Courier New" w:hAnsi="Courier New" w:cs="Courier New" w:hint="default"/>
      </w:rPr>
    </w:lvl>
    <w:lvl w:ilvl="8" w:tentative="1">
      <w:start w:val="1"/>
      <w:numFmt w:val="bullet"/>
      <w:lvlText w:val=""/>
      <w:lvlJc w:val="left"/>
      <w:pPr>
        <w:ind w:left="6591" w:hanging="360"/>
      </w:pPr>
      <w:rPr>
        <w:rFonts w:ascii="Wingdings" w:hAnsi="Wingdings" w:hint="default"/>
      </w:rPr>
    </w:lvl>
  </w:abstractNum>
  <w:abstractNum w:abstractNumId="10">
    <w:nsid w:val="195A5425"/>
    <w:multiLevelType w:val="hybridMultilevel"/>
    <w:tmpl w:val="A916607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A04427F"/>
    <w:multiLevelType w:val="hybridMultilevel"/>
    <w:tmpl w:val="6E702B32"/>
    <w:lvl w:ilvl="0">
      <w:start w:val="1"/>
      <w:numFmt w:val="bullet"/>
      <w:lvlText w:val=""/>
      <w:lvlJc w:val="left"/>
      <w:pPr>
        <w:ind w:left="1191" w:hanging="360"/>
      </w:pPr>
      <w:rPr>
        <w:rFonts w:ascii="Symbol" w:hAnsi="Symbol" w:hint="default"/>
      </w:rPr>
    </w:lvl>
    <w:lvl w:ilvl="1" w:tentative="1">
      <w:start w:val="1"/>
      <w:numFmt w:val="bullet"/>
      <w:lvlText w:val="o"/>
      <w:lvlJc w:val="left"/>
      <w:pPr>
        <w:ind w:left="1911" w:hanging="360"/>
      </w:pPr>
      <w:rPr>
        <w:rFonts w:ascii="Courier New" w:hAnsi="Courier New" w:cs="Courier New" w:hint="default"/>
      </w:rPr>
    </w:lvl>
    <w:lvl w:ilvl="2" w:tentative="1">
      <w:start w:val="1"/>
      <w:numFmt w:val="bullet"/>
      <w:lvlText w:val=""/>
      <w:lvlJc w:val="left"/>
      <w:pPr>
        <w:ind w:left="2631" w:hanging="360"/>
      </w:pPr>
      <w:rPr>
        <w:rFonts w:ascii="Wingdings" w:hAnsi="Wingdings" w:hint="default"/>
      </w:rPr>
    </w:lvl>
    <w:lvl w:ilvl="3" w:tentative="1">
      <w:start w:val="1"/>
      <w:numFmt w:val="bullet"/>
      <w:lvlText w:val=""/>
      <w:lvlJc w:val="left"/>
      <w:pPr>
        <w:ind w:left="3351" w:hanging="360"/>
      </w:pPr>
      <w:rPr>
        <w:rFonts w:ascii="Symbol" w:hAnsi="Symbol" w:hint="default"/>
      </w:rPr>
    </w:lvl>
    <w:lvl w:ilvl="4" w:tentative="1">
      <w:start w:val="1"/>
      <w:numFmt w:val="bullet"/>
      <w:lvlText w:val="o"/>
      <w:lvlJc w:val="left"/>
      <w:pPr>
        <w:ind w:left="4071" w:hanging="360"/>
      </w:pPr>
      <w:rPr>
        <w:rFonts w:ascii="Courier New" w:hAnsi="Courier New" w:cs="Courier New" w:hint="default"/>
      </w:rPr>
    </w:lvl>
    <w:lvl w:ilvl="5" w:tentative="1">
      <w:start w:val="1"/>
      <w:numFmt w:val="bullet"/>
      <w:lvlText w:val=""/>
      <w:lvlJc w:val="left"/>
      <w:pPr>
        <w:ind w:left="4791" w:hanging="360"/>
      </w:pPr>
      <w:rPr>
        <w:rFonts w:ascii="Wingdings" w:hAnsi="Wingdings" w:hint="default"/>
      </w:rPr>
    </w:lvl>
    <w:lvl w:ilvl="6" w:tentative="1">
      <w:start w:val="1"/>
      <w:numFmt w:val="bullet"/>
      <w:lvlText w:val=""/>
      <w:lvlJc w:val="left"/>
      <w:pPr>
        <w:ind w:left="5511" w:hanging="360"/>
      </w:pPr>
      <w:rPr>
        <w:rFonts w:ascii="Symbol" w:hAnsi="Symbol" w:hint="default"/>
      </w:rPr>
    </w:lvl>
    <w:lvl w:ilvl="7" w:tentative="1">
      <w:start w:val="1"/>
      <w:numFmt w:val="bullet"/>
      <w:lvlText w:val="o"/>
      <w:lvlJc w:val="left"/>
      <w:pPr>
        <w:ind w:left="6231" w:hanging="360"/>
      </w:pPr>
      <w:rPr>
        <w:rFonts w:ascii="Courier New" w:hAnsi="Courier New" w:cs="Courier New" w:hint="default"/>
      </w:rPr>
    </w:lvl>
    <w:lvl w:ilvl="8" w:tentative="1">
      <w:start w:val="1"/>
      <w:numFmt w:val="bullet"/>
      <w:lvlText w:val=""/>
      <w:lvlJc w:val="left"/>
      <w:pPr>
        <w:ind w:left="6951" w:hanging="360"/>
      </w:pPr>
      <w:rPr>
        <w:rFonts w:ascii="Wingdings" w:hAnsi="Wingdings" w:hint="default"/>
      </w:rPr>
    </w:lvl>
  </w:abstractNum>
  <w:abstractNum w:abstractNumId="12">
    <w:nsid w:val="1C9F37E2"/>
    <w:multiLevelType w:val="hybridMultilevel"/>
    <w:tmpl w:val="566242B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FC462D4"/>
    <w:multiLevelType w:val="hybridMultilevel"/>
    <w:tmpl w:val="4D82D31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0010FBB"/>
    <w:multiLevelType w:val="multilevel"/>
    <w:tmpl w:val="3F6A4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05345C6"/>
    <w:multiLevelType w:val="multilevel"/>
    <w:tmpl w:val="44CA55C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Calibri" w:hAnsi="Calibri"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22140E74"/>
    <w:multiLevelType w:val="hybridMultilevel"/>
    <w:tmpl w:val="6F2C87F0"/>
    <w:lvl w:ilvl="0">
      <w:start w:val="1"/>
      <w:numFmt w:val="decimal"/>
      <w:lvlText w:val="%1."/>
      <w:lvlJc w:val="left"/>
      <w:pPr>
        <w:ind w:left="1440" w:hanging="360"/>
      </w:pPr>
      <w:rPr>
        <w:rFonts w:hint="default"/>
        <w:b/>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7">
    <w:nsid w:val="28852676"/>
    <w:multiLevelType w:val="hybridMultilevel"/>
    <w:tmpl w:val="5E4AA828"/>
    <w:lvl w:ilvl="0">
      <w:start w:val="1"/>
      <w:numFmt w:val="bullet"/>
      <w:lvlText w:val=""/>
      <w:lvlJc w:val="left"/>
      <w:pPr>
        <w:ind w:left="1191" w:hanging="360"/>
      </w:pPr>
      <w:rPr>
        <w:rFonts w:ascii="Symbol" w:hAnsi="Symbol" w:hint="default"/>
      </w:rPr>
    </w:lvl>
    <w:lvl w:ilvl="1" w:tentative="1">
      <w:start w:val="1"/>
      <w:numFmt w:val="bullet"/>
      <w:lvlText w:val="o"/>
      <w:lvlJc w:val="left"/>
      <w:pPr>
        <w:ind w:left="1911" w:hanging="360"/>
      </w:pPr>
      <w:rPr>
        <w:rFonts w:ascii="Courier New" w:hAnsi="Courier New" w:cs="Courier New" w:hint="default"/>
      </w:rPr>
    </w:lvl>
    <w:lvl w:ilvl="2" w:tentative="1">
      <w:start w:val="1"/>
      <w:numFmt w:val="bullet"/>
      <w:lvlText w:val=""/>
      <w:lvlJc w:val="left"/>
      <w:pPr>
        <w:ind w:left="2631" w:hanging="360"/>
      </w:pPr>
      <w:rPr>
        <w:rFonts w:ascii="Wingdings" w:hAnsi="Wingdings" w:hint="default"/>
      </w:rPr>
    </w:lvl>
    <w:lvl w:ilvl="3" w:tentative="1">
      <w:start w:val="1"/>
      <w:numFmt w:val="bullet"/>
      <w:lvlText w:val=""/>
      <w:lvlJc w:val="left"/>
      <w:pPr>
        <w:ind w:left="3351" w:hanging="360"/>
      </w:pPr>
      <w:rPr>
        <w:rFonts w:ascii="Symbol" w:hAnsi="Symbol" w:hint="default"/>
      </w:rPr>
    </w:lvl>
    <w:lvl w:ilvl="4" w:tentative="1">
      <w:start w:val="1"/>
      <w:numFmt w:val="bullet"/>
      <w:lvlText w:val="o"/>
      <w:lvlJc w:val="left"/>
      <w:pPr>
        <w:ind w:left="4071" w:hanging="360"/>
      </w:pPr>
      <w:rPr>
        <w:rFonts w:ascii="Courier New" w:hAnsi="Courier New" w:cs="Courier New" w:hint="default"/>
      </w:rPr>
    </w:lvl>
    <w:lvl w:ilvl="5" w:tentative="1">
      <w:start w:val="1"/>
      <w:numFmt w:val="bullet"/>
      <w:lvlText w:val=""/>
      <w:lvlJc w:val="left"/>
      <w:pPr>
        <w:ind w:left="4791" w:hanging="360"/>
      </w:pPr>
      <w:rPr>
        <w:rFonts w:ascii="Wingdings" w:hAnsi="Wingdings" w:hint="default"/>
      </w:rPr>
    </w:lvl>
    <w:lvl w:ilvl="6" w:tentative="1">
      <w:start w:val="1"/>
      <w:numFmt w:val="bullet"/>
      <w:lvlText w:val=""/>
      <w:lvlJc w:val="left"/>
      <w:pPr>
        <w:ind w:left="5511" w:hanging="360"/>
      </w:pPr>
      <w:rPr>
        <w:rFonts w:ascii="Symbol" w:hAnsi="Symbol" w:hint="default"/>
      </w:rPr>
    </w:lvl>
    <w:lvl w:ilvl="7" w:tentative="1">
      <w:start w:val="1"/>
      <w:numFmt w:val="bullet"/>
      <w:lvlText w:val="o"/>
      <w:lvlJc w:val="left"/>
      <w:pPr>
        <w:ind w:left="6231" w:hanging="360"/>
      </w:pPr>
      <w:rPr>
        <w:rFonts w:ascii="Courier New" w:hAnsi="Courier New" w:cs="Courier New" w:hint="default"/>
      </w:rPr>
    </w:lvl>
    <w:lvl w:ilvl="8" w:tentative="1">
      <w:start w:val="1"/>
      <w:numFmt w:val="bullet"/>
      <w:lvlText w:val=""/>
      <w:lvlJc w:val="left"/>
      <w:pPr>
        <w:ind w:left="6951" w:hanging="360"/>
      </w:pPr>
      <w:rPr>
        <w:rFonts w:ascii="Wingdings" w:hAnsi="Wingdings" w:hint="default"/>
      </w:rPr>
    </w:lvl>
  </w:abstractNum>
  <w:abstractNum w:abstractNumId="18">
    <w:nsid w:val="28F7443C"/>
    <w:multiLevelType w:val="multilevel"/>
    <w:tmpl w:val="DC6239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DFA115A"/>
    <w:multiLevelType w:val="hybridMultilevel"/>
    <w:tmpl w:val="AC12E03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31E44322"/>
    <w:multiLevelType w:val="multilevel"/>
    <w:tmpl w:val="3FAE7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2384757"/>
    <w:multiLevelType w:val="hybridMultilevel"/>
    <w:tmpl w:val="2626CC18"/>
    <w:lvl w:ilvl="0">
      <w:start w:val="1"/>
      <w:numFmt w:val="bullet"/>
      <w:lvlText w:val=""/>
      <w:lvlJc w:val="left"/>
      <w:pPr>
        <w:ind w:left="1191" w:hanging="360"/>
      </w:pPr>
      <w:rPr>
        <w:rFonts w:ascii="Symbol" w:hAnsi="Symbol" w:hint="default"/>
      </w:rPr>
    </w:lvl>
    <w:lvl w:ilvl="1" w:tentative="1">
      <w:start w:val="1"/>
      <w:numFmt w:val="bullet"/>
      <w:lvlText w:val="o"/>
      <w:lvlJc w:val="left"/>
      <w:pPr>
        <w:ind w:left="1911" w:hanging="360"/>
      </w:pPr>
      <w:rPr>
        <w:rFonts w:ascii="Courier New" w:hAnsi="Courier New" w:cs="Courier New" w:hint="default"/>
      </w:rPr>
    </w:lvl>
    <w:lvl w:ilvl="2" w:tentative="1">
      <w:start w:val="1"/>
      <w:numFmt w:val="bullet"/>
      <w:lvlText w:val=""/>
      <w:lvlJc w:val="left"/>
      <w:pPr>
        <w:ind w:left="2631" w:hanging="360"/>
      </w:pPr>
      <w:rPr>
        <w:rFonts w:ascii="Wingdings" w:hAnsi="Wingdings" w:hint="default"/>
      </w:rPr>
    </w:lvl>
    <w:lvl w:ilvl="3" w:tentative="1">
      <w:start w:val="1"/>
      <w:numFmt w:val="bullet"/>
      <w:lvlText w:val=""/>
      <w:lvlJc w:val="left"/>
      <w:pPr>
        <w:ind w:left="3351" w:hanging="360"/>
      </w:pPr>
      <w:rPr>
        <w:rFonts w:ascii="Symbol" w:hAnsi="Symbol" w:hint="default"/>
      </w:rPr>
    </w:lvl>
    <w:lvl w:ilvl="4" w:tentative="1">
      <w:start w:val="1"/>
      <w:numFmt w:val="bullet"/>
      <w:lvlText w:val="o"/>
      <w:lvlJc w:val="left"/>
      <w:pPr>
        <w:ind w:left="4071" w:hanging="360"/>
      </w:pPr>
      <w:rPr>
        <w:rFonts w:ascii="Courier New" w:hAnsi="Courier New" w:cs="Courier New" w:hint="default"/>
      </w:rPr>
    </w:lvl>
    <w:lvl w:ilvl="5" w:tentative="1">
      <w:start w:val="1"/>
      <w:numFmt w:val="bullet"/>
      <w:lvlText w:val=""/>
      <w:lvlJc w:val="left"/>
      <w:pPr>
        <w:ind w:left="4791" w:hanging="360"/>
      </w:pPr>
      <w:rPr>
        <w:rFonts w:ascii="Wingdings" w:hAnsi="Wingdings" w:hint="default"/>
      </w:rPr>
    </w:lvl>
    <w:lvl w:ilvl="6" w:tentative="1">
      <w:start w:val="1"/>
      <w:numFmt w:val="bullet"/>
      <w:lvlText w:val=""/>
      <w:lvlJc w:val="left"/>
      <w:pPr>
        <w:ind w:left="5511" w:hanging="360"/>
      </w:pPr>
      <w:rPr>
        <w:rFonts w:ascii="Symbol" w:hAnsi="Symbol" w:hint="default"/>
      </w:rPr>
    </w:lvl>
    <w:lvl w:ilvl="7" w:tentative="1">
      <w:start w:val="1"/>
      <w:numFmt w:val="bullet"/>
      <w:lvlText w:val="o"/>
      <w:lvlJc w:val="left"/>
      <w:pPr>
        <w:ind w:left="6231" w:hanging="360"/>
      </w:pPr>
      <w:rPr>
        <w:rFonts w:ascii="Courier New" w:hAnsi="Courier New" w:cs="Courier New" w:hint="default"/>
      </w:rPr>
    </w:lvl>
    <w:lvl w:ilvl="8" w:tentative="1">
      <w:start w:val="1"/>
      <w:numFmt w:val="bullet"/>
      <w:lvlText w:val=""/>
      <w:lvlJc w:val="left"/>
      <w:pPr>
        <w:ind w:left="6951" w:hanging="360"/>
      </w:pPr>
      <w:rPr>
        <w:rFonts w:ascii="Wingdings" w:hAnsi="Wingdings" w:hint="default"/>
      </w:rPr>
    </w:lvl>
  </w:abstractNum>
  <w:abstractNum w:abstractNumId="22">
    <w:nsid w:val="324B15CC"/>
    <w:multiLevelType w:val="hybridMultilevel"/>
    <w:tmpl w:val="CF709E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331020D7"/>
    <w:multiLevelType w:val="hybridMultilevel"/>
    <w:tmpl w:val="7E90E856"/>
    <w:lvl w:ilvl="0">
      <w:start w:val="1"/>
      <w:numFmt w:val="decimal"/>
      <w:pStyle w:val="NumberedList"/>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34FE23CA"/>
    <w:multiLevelType w:val="hybridMultilevel"/>
    <w:tmpl w:val="7FC87E74"/>
    <w:lvl w:ilvl="0">
      <w:start w:val="0"/>
      <w:numFmt w:val="bullet"/>
      <w:lvlText w:val="•"/>
      <w:lvlJc w:val="left"/>
      <w:pPr>
        <w:ind w:left="831" w:hanging="360"/>
      </w:pPr>
      <w:rPr>
        <w:rFonts w:ascii="Times New Roman" w:eastAsia="Times New Roman" w:hAnsi="Times New Roman" w:cs="Times New Roman" w:hint="default"/>
        <w:w w:val="131"/>
      </w:rPr>
    </w:lvl>
    <w:lvl w:ilvl="1">
      <w:start w:val="1"/>
      <w:numFmt w:val="bullet"/>
      <w:lvlText w:val="o"/>
      <w:lvlJc w:val="left"/>
      <w:pPr>
        <w:ind w:left="1551" w:hanging="360"/>
      </w:pPr>
      <w:rPr>
        <w:rFonts w:ascii="Courier New" w:hAnsi="Courier New" w:cs="Courier New" w:hint="default"/>
      </w:rPr>
    </w:lvl>
    <w:lvl w:ilvl="2" w:tentative="1">
      <w:start w:val="1"/>
      <w:numFmt w:val="bullet"/>
      <w:lvlText w:val=""/>
      <w:lvlJc w:val="left"/>
      <w:pPr>
        <w:ind w:left="2271" w:hanging="360"/>
      </w:pPr>
      <w:rPr>
        <w:rFonts w:ascii="Wingdings" w:hAnsi="Wingdings" w:hint="default"/>
      </w:rPr>
    </w:lvl>
    <w:lvl w:ilvl="3" w:tentative="1">
      <w:start w:val="1"/>
      <w:numFmt w:val="bullet"/>
      <w:lvlText w:val=""/>
      <w:lvlJc w:val="left"/>
      <w:pPr>
        <w:ind w:left="2991" w:hanging="360"/>
      </w:pPr>
      <w:rPr>
        <w:rFonts w:ascii="Symbol" w:hAnsi="Symbol" w:hint="default"/>
      </w:rPr>
    </w:lvl>
    <w:lvl w:ilvl="4" w:tentative="1">
      <w:start w:val="1"/>
      <w:numFmt w:val="bullet"/>
      <w:lvlText w:val="o"/>
      <w:lvlJc w:val="left"/>
      <w:pPr>
        <w:ind w:left="3711" w:hanging="360"/>
      </w:pPr>
      <w:rPr>
        <w:rFonts w:ascii="Courier New" w:hAnsi="Courier New" w:cs="Courier New" w:hint="default"/>
      </w:rPr>
    </w:lvl>
    <w:lvl w:ilvl="5" w:tentative="1">
      <w:start w:val="1"/>
      <w:numFmt w:val="bullet"/>
      <w:lvlText w:val=""/>
      <w:lvlJc w:val="left"/>
      <w:pPr>
        <w:ind w:left="4431" w:hanging="360"/>
      </w:pPr>
      <w:rPr>
        <w:rFonts w:ascii="Wingdings" w:hAnsi="Wingdings" w:hint="default"/>
      </w:rPr>
    </w:lvl>
    <w:lvl w:ilvl="6" w:tentative="1">
      <w:start w:val="1"/>
      <w:numFmt w:val="bullet"/>
      <w:lvlText w:val=""/>
      <w:lvlJc w:val="left"/>
      <w:pPr>
        <w:ind w:left="5151" w:hanging="360"/>
      </w:pPr>
      <w:rPr>
        <w:rFonts w:ascii="Symbol" w:hAnsi="Symbol" w:hint="default"/>
      </w:rPr>
    </w:lvl>
    <w:lvl w:ilvl="7" w:tentative="1">
      <w:start w:val="1"/>
      <w:numFmt w:val="bullet"/>
      <w:lvlText w:val="o"/>
      <w:lvlJc w:val="left"/>
      <w:pPr>
        <w:ind w:left="5871" w:hanging="360"/>
      </w:pPr>
      <w:rPr>
        <w:rFonts w:ascii="Courier New" w:hAnsi="Courier New" w:cs="Courier New" w:hint="default"/>
      </w:rPr>
    </w:lvl>
    <w:lvl w:ilvl="8" w:tentative="1">
      <w:start w:val="1"/>
      <w:numFmt w:val="bullet"/>
      <w:lvlText w:val=""/>
      <w:lvlJc w:val="left"/>
      <w:pPr>
        <w:ind w:left="6591" w:hanging="360"/>
      </w:pPr>
      <w:rPr>
        <w:rFonts w:ascii="Wingdings" w:hAnsi="Wingdings" w:hint="default"/>
      </w:rPr>
    </w:lvl>
  </w:abstractNum>
  <w:abstractNum w:abstractNumId="25">
    <w:nsid w:val="35374B29"/>
    <w:multiLevelType w:val="hybridMultilevel"/>
    <w:tmpl w:val="73283F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37A72FDD"/>
    <w:multiLevelType w:val="hybridMultilevel"/>
    <w:tmpl w:val="F61C4F0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3845625C"/>
    <w:multiLevelType w:val="hybridMultilevel"/>
    <w:tmpl w:val="7D5824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39954E67"/>
    <w:multiLevelType w:val="hybridMultilevel"/>
    <w:tmpl w:val="21669B9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3BDA670D"/>
    <w:multiLevelType w:val="hybridMultilevel"/>
    <w:tmpl w:val="40742DEA"/>
    <w:lvl w:ilvl="0">
      <w:start w:val="0"/>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441359E2"/>
    <w:multiLevelType w:val="hybridMultilevel"/>
    <w:tmpl w:val="EB3020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485952CB"/>
    <w:multiLevelType w:val="hybridMultilevel"/>
    <w:tmpl w:val="7E60A25E"/>
    <w:lvl w:ilvl="0">
      <w:start w:val="1"/>
      <w:numFmt w:val="bullet"/>
      <w:pStyle w:val="Bullets"/>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2">
    <w:nsid w:val="4B5A72D4"/>
    <w:multiLevelType w:val="hybridMultilevel"/>
    <w:tmpl w:val="D9B6BA1A"/>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5163158D"/>
    <w:multiLevelType w:val="hybridMultilevel"/>
    <w:tmpl w:val="E2FED1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59B82BA6"/>
    <w:multiLevelType w:val="hybridMultilevel"/>
    <w:tmpl w:val="5F2CB888"/>
    <w:lvl w:ilvl="0">
      <w:start w:val="0"/>
      <w:numFmt w:val="bullet"/>
      <w:lvlText w:val="•"/>
      <w:lvlJc w:val="left"/>
      <w:pPr>
        <w:ind w:left="1440" w:hanging="360"/>
      </w:pPr>
      <w:rPr>
        <w:rFonts w:ascii="Calibri" w:eastAsia="Times New Roman" w:hAnsi="Calibr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642775E6"/>
    <w:multiLevelType w:val="hybridMultilevel"/>
    <w:tmpl w:val="8B26B15E"/>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36">
    <w:nsid w:val="67817A55"/>
    <w:multiLevelType w:val="multilevel"/>
    <w:tmpl w:val="D6E83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7F02494"/>
    <w:multiLevelType w:val="hybridMultilevel"/>
    <w:tmpl w:val="196C93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68957A9F"/>
    <w:multiLevelType w:val="hybridMultilevel"/>
    <w:tmpl w:val="F00204F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6AA33C37"/>
    <w:multiLevelType w:val="hybridMultilevel"/>
    <w:tmpl w:val="8580F6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6C6955DD"/>
    <w:multiLevelType w:val="multilevel"/>
    <w:tmpl w:val="C322A34E"/>
    <w:lvl w:ilvl="0">
      <w:start w:val="1"/>
      <w:numFmt w:val="decimal"/>
      <w:pStyle w:val="Heading1"/>
      <w:lvlText w:val="%1."/>
      <w:lvlJc w:val="left"/>
      <w:pPr>
        <w:ind w:left="432" w:hanging="432"/>
      </w:pPr>
      <w:rPr>
        <w:rFonts w:hint="default"/>
        <w:b/>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decimal"/>
      <w:pStyle w:val="Heading2"/>
      <w:lvlText w:val="%1.%2"/>
      <w:lvlJc w:val="left"/>
      <w:pPr>
        <w:ind w:left="576" w:hanging="576"/>
      </w:pPr>
      <w:rPr>
        <w:rFonts w:hint="default"/>
        <w:color w:val="auto"/>
      </w:rPr>
    </w:lvl>
    <w:lvl w:ilvl="2">
      <w:start w:val="1"/>
      <w:numFmt w:val="decimal"/>
      <w:pStyle w:val="Heading3"/>
      <w:lvlText w:val="%1.%2.%3"/>
      <w:lvlJc w:val="left"/>
      <w:pPr>
        <w:ind w:left="1620" w:hanging="720"/>
      </w:pPr>
      <w:rPr>
        <w:rFonts w:hint="default"/>
        <w:b/>
        <w:color w:val="auto"/>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1">
    <w:nsid w:val="70B8061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75200C4B"/>
    <w:multiLevelType w:val="hybridMultilevel"/>
    <w:tmpl w:val="9990A090"/>
    <w:lvl w:ilvl="0">
      <w:start w:val="0"/>
      <w:numFmt w:val="bullet"/>
      <w:lvlText w:val="•"/>
      <w:lvlJc w:val="left"/>
      <w:pPr>
        <w:ind w:left="831" w:hanging="360"/>
      </w:pPr>
      <w:rPr>
        <w:rFonts w:ascii="Times New Roman" w:eastAsia="Times New Roman" w:hAnsi="Times New Roman" w:cs="Times New Roman" w:hint="default"/>
        <w:w w:val="131"/>
      </w:rPr>
    </w:lvl>
    <w:lvl w:ilvl="1">
      <w:start w:val="1"/>
      <w:numFmt w:val="bullet"/>
      <w:lvlText w:val="o"/>
      <w:lvlJc w:val="left"/>
      <w:pPr>
        <w:ind w:left="1551" w:hanging="360"/>
      </w:pPr>
      <w:rPr>
        <w:rFonts w:ascii="Courier New" w:hAnsi="Courier New" w:cs="Courier New" w:hint="default"/>
      </w:rPr>
    </w:lvl>
    <w:lvl w:ilvl="2" w:tentative="1">
      <w:start w:val="1"/>
      <w:numFmt w:val="bullet"/>
      <w:lvlText w:val=""/>
      <w:lvlJc w:val="left"/>
      <w:pPr>
        <w:ind w:left="2271" w:hanging="360"/>
      </w:pPr>
      <w:rPr>
        <w:rFonts w:ascii="Wingdings" w:hAnsi="Wingdings" w:hint="default"/>
      </w:rPr>
    </w:lvl>
    <w:lvl w:ilvl="3" w:tentative="1">
      <w:start w:val="1"/>
      <w:numFmt w:val="bullet"/>
      <w:lvlText w:val=""/>
      <w:lvlJc w:val="left"/>
      <w:pPr>
        <w:ind w:left="2991" w:hanging="360"/>
      </w:pPr>
      <w:rPr>
        <w:rFonts w:ascii="Symbol" w:hAnsi="Symbol" w:hint="default"/>
      </w:rPr>
    </w:lvl>
    <w:lvl w:ilvl="4" w:tentative="1">
      <w:start w:val="1"/>
      <w:numFmt w:val="bullet"/>
      <w:lvlText w:val="o"/>
      <w:lvlJc w:val="left"/>
      <w:pPr>
        <w:ind w:left="3711" w:hanging="360"/>
      </w:pPr>
      <w:rPr>
        <w:rFonts w:ascii="Courier New" w:hAnsi="Courier New" w:cs="Courier New" w:hint="default"/>
      </w:rPr>
    </w:lvl>
    <w:lvl w:ilvl="5" w:tentative="1">
      <w:start w:val="1"/>
      <w:numFmt w:val="bullet"/>
      <w:lvlText w:val=""/>
      <w:lvlJc w:val="left"/>
      <w:pPr>
        <w:ind w:left="4431" w:hanging="360"/>
      </w:pPr>
      <w:rPr>
        <w:rFonts w:ascii="Wingdings" w:hAnsi="Wingdings" w:hint="default"/>
      </w:rPr>
    </w:lvl>
    <w:lvl w:ilvl="6" w:tentative="1">
      <w:start w:val="1"/>
      <w:numFmt w:val="bullet"/>
      <w:lvlText w:val=""/>
      <w:lvlJc w:val="left"/>
      <w:pPr>
        <w:ind w:left="5151" w:hanging="360"/>
      </w:pPr>
      <w:rPr>
        <w:rFonts w:ascii="Symbol" w:hAnsi="Symbol" w:hint="default"/>
      </w:rPr>
    </w:lvl>
    <w:lvl w:ilvl="7" w:tentative="1">
      <w:start w:val="1"/>
      <w:numFmt w:val="bullet"/>
      <w:lvlText w:val="o"/>
      <w:lvlJc w:val="left"/>
      <w:pPr>
        <w:ind w:left="5871" w:hanging="360"/>
      </w:pPr>
      <w:rPr>
        <w:rFonts w:ascii="Courier New" w:hAnsi="Courier New" w:cs="Courier New" w:hint="default"/>
      </w:rPr>
    </w:lvl>
    <w:lvl w:ilvl="8" w:tentative="1">
      <w:start w:val="1"/>
      <w:numFmt w:val="bullet"/>
      <w:lvlText w:val=""/>
      <w:lvlJc w:val="left"/>
      <w:pPr>
        <w:ind w:left="6591" w:hanging="360"/>
      </w:pPr>
      <w:rPr>
        <w:rFonts w:ascii="Wingdings" w:hAnsi="Wingdings" w:hint="default"/>
      </w:rPr>
    </w:lvl>
  </w:abstractNum>
  <w:abstractNum w:abstractNumId="43">
    <w:nsid w:val="7C4A720A"/>
    <w:multiLevelType w:val="hybridMultilevel"/>
    <w:tmpl w:val="6DB666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7D0C0E72"/>
    <w:multiLevelType w:val="hybridMultilevel"/>
    <w:tmpl w:val="B2FAA1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485928991">
    <w:abstractNumId w:val="0"/>
  </w:num>
  <w:num w:numId="2" w16cid:durableId="2115857352">
    <w:abstractNumId w:val="2"/>
  </w:num>
  <w:num w:numId="3" w16cid:durableId="1169439737">
    <w:abstractNumId w:val="42"/>
  </w:num>
  <w:num w:numId="4" w16cid:durableId="1819149698">
    <w:abstractNumId w:val="0"/>
  </w:num>
  <w:num w:numId="5" w16cid:durableId="2114208461">
    <w:abstractNumId w:val="40"/>
  </w:num>
  <w:num w:numId="6" w16cid:durableId="666901246">
    <w:abstractNumId w:val="15"/>
  </w:num>
  <w:num w:numId="7" w16cid:durableId="1238134321">
    <w:abstractNumId w:val="21"/>
  </w:num>
  <w:num w:numId="8" w16cid:durableId="1847862883">
    <w:abstractNumId w:val="9"/>
  </w:num>
  <w:num w:numId="9" w16cid:durableId="719205213">
    <w:abstractNumId w:val="11"/>
  </w:num>
  <w:num w:numId="10" w16cid:durableId="104085950">
    <w:abstractNumId w:val="1"/>
  </w:num>
  <w:num w:numId="11" w16cid:durableId="898707934">
    <w:abstractNumId w:val="17"/>
  </w:num>
  <w:num w:numId="12" w16cid:durableId="1187134040">
    <w:abstractNumId w:val="6"/>
  </w:num>
  <w:num w:numId="13" w16cid:durableId="495345859">
    <w:abstractNumId w:val="16"/>
  </w:num>
  <w:num w:numId="14" w16cid:durableId="675117033">
    <w:abstractNumId w:val="34"/>
  </w:num>
  <w:num w:numId="15" w16cid:durableId="622154508">
    <w:abstractNumId w:val="12"/>
  </w:num>
  <w:num w:numId="16" w16cid:durableId="1748576558">
    <w:abstractNumId w:val="37"/>
  </w:num>
  <w:num w:numId="17" w16cid:durableId="1790274444">
    <w:abstractNumId w:val="31"/>
  </w:num>
  <w:num w:numId="18" w16cid:durableId="685595261">
    <w:abstractNumId w:val="23"/>
  </w:num>
  <w:num w:numId="19" w16cid:durableId="1362630656">
    <w:abstractNumId w:val="44"/>
  </w:num>
  <w:num w:numId="20" w16cid:durableId="179662906">
    <w:abstractNumId w:val="23"/>
    <w:lvlOverride w:ilvl="0">
      <w:startOverride w:val="1"/>
    </w:lvlOverride>
  </w:num>
  <w:num w:numId="21" w16cid:durableId="1228414091">
    <w:abstractNumId w:val="23"/>
    <w:lvlOverride w:ilvl="0">
      <w:startOverride w:val="1"/>
    </w:lvlOverride>
  </w:num>
  <w:num w:numId="22" w16cid:durableId="1870216807">
    <w:abstractNumId w:val="36"/>
  </w:num>
  <w:num w:numId="23" w16cid:durableId="1215315120">
    <w:abstractNumId w:val="14"/>
  </w:num>
  <w:num w:numId="24" w16cid:durableId="1554804369">
    <w:abstractNumId w:val="8"/>
  </w:num>
  <w:num w:numId="25" w16cid:durableId="427043807">
    <w:abstractNumId w:val="20"/>
  </w:num>
  <w:num w:numId="26" w16cid:durableId="514466449">
    <w:abstractNumId w:val="23"/>
    <w:lvlOverride w:ilvl="0">
      <w:startOverride w:val="1"/>
    </w:lvlOverride>
  </w:num>
  <w:num w:numId="27" w16cid:durableId="786436971">
    <w:abstractNumId w:val="23"/>
    <w:lvlOverride w:ilvl="0">
      <w:startOverride w:val="1"/>
    </w:lvlOverride>
  </w:num>
  <w:num w:numId="28" w16cid:durableId="896547731">
    <w:abstractNumId w:val="23"/>
    <w:lvlOverride w:ilvl="0">
      <w:startOverride w:val="1"/>
    </w:lvlOverride>
  </w:num>
  <w:num w:numId="29" w16cid:durableId="1147673978">
    <w:abstractNumId w:val="39"/>
  </w:num>
  <w:num w:numId="30" w16cid:durableId="1535267317">
    <w:abstractNumId w:val="4"/>
  </w:num>
  <w:num w:numId="31" w16cid:durableId="1862206508">
    <w:abstractNumId w:val="22"/>
  </w:num>
  <w:num w:numId="32" w16cid:durableId="638877050">
    <w:abstractNumId w:val="18"/>
  </w:num>
  <w:num w:numId="33" w16cid:durableId="1141649867">
    <w:abstractNumId w:val="38"/>
  </w:num>
  <w:num w:numId="34" w16cid:durableId="1956405184">
    <w:abstractNumId w:val="10"/>
  </w:num>
  <w:num w:numId="35" w16cid:durableId="1191261522">
    <w:abstractNumId w:val="35"/>
  </w:num>
  <w:num w:numId="36" w16cid:durableId="253440450">
    <w:abstractNumId w:val="40"/>
  </w:num>
  <w:num w:numId="37" w16cid:durableId="532808231">
    <w:abstractNumId w:val="41"/>
  </w:num>
  <w:num w:numId="38" w16cid:durableId="625502582">
    <w:abstractNumId w:val="27"/>
  </w:num>
  <w:num w:numId="39" w16cid:durableId="1723167026">
    <w:abstractNumId w:val="43"/>
  </w:num>
  <w:num w:numId="40" w16cid:durableId="658316158">
    <w:abstractNumId w:val="32"/>
  </w:num>
  <w:num w:numId="41" w16cid:durableId="641278694">
    <w:abstractNumId w:val="40"/>
  </w:num>
  <w:num w:numId="42" w16cid:durableId="1627464102">
    <w:abstractNumId w:val="33"/>
  </w:num>
  <w:num w:numId="43" w16cid:durableId="1625892931">
    <w:abstractNumId w:val="40"/>
    <w:lvlOverride w:ilvl="0">
      <w:startOverride w:val="2"/>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80672897">
    <w:abstractNumId w:val="40"/>
  </w:num>
  <w:num w:numId="45" w16cid:durableId="1189837370">
    <w:abstractNumId w:val="40"/>
  </w:num>
  <w:num w:numId="46" w16cid:durableId="1093933593">
    <w:abstractNumId w:val="40"/>
  </w:num>
  <w:num w:numId="47" w16cid:durableId="123744352">
    <w:abstractNumId w:val="5"/>
  </w:num>
  <w:num w:numId="48" w16cid:durableId="401099121">
    <w:abstractNumId w:val="19"/>
  </w:num>
  <w:num w:numId="49" w16cid:durableId="299001360">
    <w:abstractNumId w:val="13"/>
  </w:num>
  <w:num w:numId="50" w16cid:durableId="529877719">
    <w:abstractNumId w:val="29"/>
  </w:num>
  <w:num w:numId="51" w16cid:durableId="2029410872">
    <w:abstractNumId w:val="25"/>
  </w:num>
  <w:num w:numId="52" w16cid:durableId="1329164529">
    <w:abstractNumId w:val="28"/>
  </w:num>
  <w:num w:numId="53" w16cid:durableId="2011373594">
    <w:abstractNumId w:val="3"/>
  </w:num>
  <w:num w:numId="54" w16cid:durableId="1617716935">
    <w:abstractNumId w:val="30"/>
  </w:num>
  <w:num w:numId="55" w16cid:durableId="414328637">
    <w:abstractNumId w:val="7"/>
  </w:num>
  <w:num w:numId="56" w16cid:durableId="438526059">
    <w:abstractNumId w:val="40"/>
  </w:num>
  <w:num w:numId="57" w16cid:durableId="41102954">
    <w:abstractNumId w:val="40"/>
  </w:num>
  <w:num w:numId="58" w16cid:durableId="1657996486">
    <w:abstractNumId w:val="26"/>
  </w:num>
  <w:num w:numId="59" w16cid:durableId="751315234">
    <w:abstractNumId w:val="24"/>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5:person w15:author="Timothy, Darren (OST)">
    <w15:presenceInfo w15:providerId="AD" w15:userId="S::Darren.Timothy@ad.dot.gov::ab5d738f-8be7-4f53-b805-1783414a0a51"/>
  </w15:person>
  <w15:person w15:author="Taylor, Catherine (Volpe)">
    <w15:presenceInfo w15:providerId="AD" w15:userId="S::Catherine.Taylor@ad.dot.gov::c7c51855-f9be-46b9-8776-093905bd7c26"/>
  </w15:person>
  <w15:person w15:author="Thornton, Nicholas (FHWA)">
    <w15:presenceInfo w15:providerId="AD" w15:userId="S::nicholas.thornton@ad.dot.gov::5da40619-69a6-45ef-80b9-0a65ecce04f3"/>
  </w15:person>
  <w15:person w15:author="Riesenberg, Jordan (OST)">
    <w15:presenceInfo w15:providerId="AD" w15:userId="S::jordan.riesenberg@ad.dot.gov::2d1c63eb-3718-4ee6-855f-3fd792c85da0"/>
  </w15:person>
  <w15:person w15:author="Feldman, Arnold (FHWA)">
    <w15:presenceInfo w15:providerId="AD" w15:userId="S::Arnold.Feldman@ad.dot.gov::8caac8a3-92e5-4c85-a792-7506f62b42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zoom w:percent="100"/>
  <w:proofState w:spelling="clean" w:grammar="clean"/>
  <w:stylePaneFormatFilter w:val="1008" w:allStyles="0" w:alternateStyleNames="0" w:clearFormatting="1" w:customStyles="0" w:directFormattingOnNumbering="0" w:directFormattingOnParagraphs="0" w:directFormattingOnRuns="0" w:directFormattingOnTables="0" w:headingStyles="0" w:latentStyles="0" w:numberingStyles="0" w:stylesInUse="1" w:tableStyles="0" w:top3HeadingStyles="0" w:visibleStyles="0"/>
  <w:defaultTabStop w:val="720"/>
  <w:drawingGridHorizontalSpacing w:val="110"/>
  <w:displayHorizontalDrawingGridEvery w:val="2"/>
  <w:displayVerticalDrawingGridEvery w:val="2"/>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204"/>
    <w:rsid w:val="00000006"/>
    <w:rsid w:val="00000363"/>
    <w:rsid w:val="00000400"/>
    <w:rsid w:val="00003606"/>
    <w:rsid w:val="00003F13"/>
    <w:rsid w:val="00004B0E"/>
    <w:rsid w:val="00004B92"/>
    <w:rsid w:val="00006076"/>
    <w:rsid w:val="00007BEC"/>
    <w:rsid w:val="0001078F"/>
    <w:rsid w:val="00011C64"/>
    <w:rsid w:val="00012627"/>
    <w:rsid w:val="00013675"/>
    <w:rsid w:val="000136FA"/>
    <w:rsid w:val="00013EE8"/>
    <w:rsid w:val="00014047"/>
    <w:rsid w:val="0001416F"/>
    <w:rsid w:val="00014CCE"/>
    <w:rsid w:val="00015022"/>
    <w:rsid w:val="000160D1"/>
    <w:rsid w:val="00017F03"/>
    <w:rsid w:val="00020AB4"/>
    <w:rsid w:val="000230D3"/>
    <w:rsid w:val="0002327A"/>
    <w:rsid w:val="000260BC"/>
    <w:rsid w:val="000276CB"/>
    <w:rsid w:val="00027AD6"/>
    <w:rsid w:val="000300E8"/>
    <w:rsid w:val="000303CD"/>
    <w:rsid w:val="0003043D"/>
    <w:rsid w:val="00031493"/>
    <w:rsid w:val="00031C56"/>
    <w:rsid w:val="0003284C"/>
    <w:rsid w:val="000329C2"/>
    <w:rsid w:val="000331E5"/>
    <w:rsid w:val="000339DF"/>
    <w:rsid w:val="00033A14"/>
    <w:rsid w:val="00034DA8"/>
    <w:rsid w:val="0003538E"/>
    <w:rsid w:val="00035854"/>
    <w:rsid w:val="0004161F"/>
    <w:rsid w:val="00041A7B"/>
    <w:rsid w:val="00041D95"/>
    <w:rsid w:val="00041EFF"/>
    <w:rsid w:val="00043610"/>
    <w:rsid w:val="00044105"/>
    <w:rsid w:val="00044D6D"/>
    <w:rsid w:val="00045167"/>
    <w:rsid w:val="00045D81"/>
    <w:rsid w:val="000468DA"/>
    <w:rsid w:val="00047053"/>
    <w:rsid w:val="00047F73"/>
    <w:rsid w:val="000506BF"/>
    <w:rsid w:val="00050947"/>
    <w:rsid w:val="00050C7C"/>
    <w:rsid w:val="00051205"/>
    <w:rsid w:val="000519EF"/>
    <w:rsid w:val="00053850"/>
    <w:rsid w:val="000541FD"/>
    <w:rsid w:val="00055FFC"/>
    <w:rsid w:val="000564A9"/>
    <w:rsid w:val="0006196B"/>
    <w:rsid w:val="00061EB1"/>
    <w:rsid w:val="00062973"/>
    <w:rsid w:val="000636C0"/>
    <w:rsid w:val="00063EBF"/>
    <w:rsid w:val="0006535C"/>
    <w:rsid w:val="00065D1A"/>
    <w:rsid w:val="0006697B"/>
    <w:rsid w:val="00066D0E"/>
    <w:rsid w:val="00066EBB"/>
    <w:rsid w:val="00072244"/>
    <w:rsid w:val="00072B82"/>
    <w:rsid w:val="00072E65"/>
    <w:rsid w:val="000742AE"/>
    <w:rsid w:val="000753A3"/>
    <w:rsid w:val="00075F59"/>
    <w:rsid w:val="000805D9"/>
    <w:rsid w:val="00080B16"/>
    <w:rsid w:val="000814BB"/>
    <w:rsid w:val="00081EA4"/>
    <w:rsid w:val="0008218A"/>
    <w:rsid w:val="00083490"/>
    <w:rsid w:val="000836AF"/>
    <w:rsid w:val="00084263"/>
    <w:rsid w:val="000845A9"/>
    <w:rsid w:val="000923B7"/>
    <w:rsid w:val="00093268"/>
    <w:rsid w:val="00093828"/>
    <w:rsid w:val="0009411F"/>
    <w:rsid w:val="00094D75"/>
    <w:rsid w:val="00095555"/>
    <w:rsid w:val="00096015"/>
    <w:rsid w:val="0009788F"/>
    <w:rsid w:val="000A09A7"/>
    <w:rsid w:val="000A245A"/>
    <w:rsid w:val="000A7187"/>
    <w:rsid w:val="000A7A9A"/>
    <w:rsid w:val="000A7B36"/>
    <w:rsid w:val="000B13B4"/>
    <w:rsid w:val="000B361C"/>
    <w:rsid w:val="000B4647"/>
    <w:rsid w:val="000B569A"/>
    <w:rsid w:val="000B60BD"/>
    <w:rsid w:val="000B68E1"/>
    <w:rsid w:val="000B786E"/>
    <w:rsid w:val="000C10EE"/>
    <w:rsid w:val="000C19D2"/>
    <w:rsid w:val="000C221C"/>
    <w:rsid w:val="000C22A5"/>
    <w:rsid w:val="000C22CD"/>
    <w:rsid w:val="000C36C7"/>
    <w:rsid w:val="000C44C1"/>
    <w:rsid w:val="000C4D8A"/>
    <w:rsid w:val="000C6EF8"/>
    <w:rsid w:val="000D0589"/>
    <w:rsid w:val="000D06C9"/>
    <w:rsid w:val="000D0780"/>
    <w:rsid w:val="000D3F84"/>
    <w:rsid w:val="000D605F"/>
    <w:rsid w:val="000D6228"/>
    <w:rsid w:val="000D67A7"/>
    <w:rsid w:val="000D6CDC"/>
    <w:rsid w:val="000E0033"/>
    <w:rsid w:val="000E0315"/>
    <w:rsid w:val="000E0391"/>
    <w:rsid w:val="000E0F62"/>
    <w:rsid w:val="000E12F9"/>
    <w:rsid w:val="000E1CA6"/>
    <w:rsid w:val="000E2C92"/>
    <w:rsid w:val="000E4B25"/>
    <w:rsid w:val="000E5087"/>
    <w:rsid w:val="000E7902"/>
    <w:rsid w:val="000F0F53"/>
    <w:rsid w:val="000F10F9"/>
    <w:rsid w:val="000F2D8B"/>
    <w:rsid w:val="000F3133"/>
    <w:rsid w:val="000F338D"/>
    <w:rsid w:val="000F3981"/>
    <w:rsid w:val="000F4F29"/>
    <w:rsid w:val="000F517A"/>
    <w:rsid w:val="000F6E69"/>
    <w:rsid w:val="000F76CC"/>
    <w:rsid w:val="000F7848"/>
    <w:rsid w:val="00101977"/>
    <w:rsid w:val="001025BE"/>
    <w:rsid w:val="0010395B"/>
    <w:rsid w:val="00104D19"/>
    <w:rsid w:val="00107DB6"/>
    <w:rsid w:val="00110A42"/>
    <w:rsid w:val="00111308"/>
    <w:rsid w:val="00111FC8"/>
    <w:rsid w:val="0011326A"/>
    <w:rsid w:val="001139FC"/>
    <w:rsid w:val="00114862"/>
    <w:rsid w:val="00114E12"/>
    <w:rsid w:val="00115A57"/>
    <w:rsid w:val="00116739"/>
    <w:rsid w:val="00116D88"/>
    <w:rsid w:val="00116F5E"/>
    <w:rsid w:val="001205D4"/>
    <w:rsid w:val="001217F3"/>
    <w:rsid w:val="00123BF3"/>
    <w:rsid w:val="0012718E"/>
    <w:rsid w:val="001271D8"/>
    <w:rsid w:val="001307AA"/>
    <w:rsid w:val="00131687"/>
    <w:rsid w:val="00132579"/>
    <w:rsid w:val="00134360"/>
    <w:rsid w:val="00136071"/>
    <w:rsid w:val="001417EC"/>
    <w:rsid w:val="00141993"/>
    <w:rsid w:val="00143047"/>
    <w:rsid w:val="00143CD3"/>
    <w:rsid w:val="00144675"/>
    <w:rsid w:val="00146C54"/>
    <w:rsid w:val="001475CA"/>
    <w:rsid w:val="00150372"/>
    <w:rsid w:val="00151297"/>
    <w:rsid w:val="0015274A"/>
    <w:rsid w:val="00152E09"/>
    <w:rsid w:val="00154121"/>
    <w:rsid w:val="00154A0B"/>
    <w:rsid w:val="00155350"/>
    <w:rsid w:val="00155930"/>
    <w:rsid w:val="00160081"/>
    <w:rsid w:val="00161935"/>
    <w:rsid w:val="00162350"/>
    <w:rsid w:val="00162E96"/>
    <w:rsid w:val="00162F0A"/>
    <w:rsid w:val="001632A7"/>
    <w:rsid w:val="00163A75"/>
    <w:rsid w:val="00163D7A"/>
    <w:rsid w:val="00163ED8"/>
    <w:rsid w:val="001646F4"/>
    <w:rsid w:val="00166277"/>
    <w:rsid w:val="0016731B"/>
    <w:rsid w:val="00167A32"/>
    <w:rsid w:val="00170A8F"/>
    <w:rsid w:val="00171096"/>
    <w:rsid w:val="00171C58"/>
    <w:rsid w:val="00171CAD"/>
    <w:rsid w:val="001731FB"/>
    <w:rsid w:val="00173A04"/>
    <w:rsid w:val="00173A25"/>
    <w:rsid w:val="00173E8E"/>
    <w:rsid w:val="001749D0"/>
    <w:rsid w:val="001759C8"/>
    <w:rsid w:val="00176DF5"/>
    <w:rsid w:val="00176EC5"/>
    <w:rsid w:val="00180816"/>
    <w:rsid w:val="00181651"/>
    <w:rsid w:val="0018219C"/>
    <w:rsid w:val="001829EF"/>
    <w:rsid w:val="00182E30"/>
    <w:rsid w:val="00184090"/>
    <w:rsid w:val="0018494F"/>
    <w:rsid w:val="00185370"/>
    <w:rsid w:val="001856F2"/>
    <w:rsid w:val="00186B59"/>
    <w:rsid w:val="00187622"/>
    <w:rsid w:val="001876DF"/>
    <w:rsid w:val="00190647"/>
    <w:rsid w:val="00190F53"/>
    <w:rsid w:val="0019451D"/>
    <w:rsid w:val="00195CA8"/>
    <w:rsid w:val="001A0FB7"/>
    <w:rsid w:val="001A3305"/>
    <w:rsid w:val="001A3832"/>
    <w:rsid w:val="001A41CE"/>
    <w:rsid w:val="001A52CE"/>
    <w:rsid w:val="001A60D8"/>
    <w:rsid w:val="001A6280"/>
    <w:rsid w:val="001A70B2"/>
    <w:rsid w:val="001A71D9"/>
    <w:rsid w:val="001A739F"/>
    <w:rsid w:val="001A75AA"/>
    <w:rsid w:val="001B0A97"/>
    <w:rsid w:val="001B1BA9"/>
    <w:rsid w:val="001B288F"/>
    <w:rsid w:val="001B338E"/>
    <w:rsid w:val="001B3424"/>
    <w:rsid w:val="001B40A0"/>
    <w:rsid w:val="001B4407"/>
    <w:rsid w:val="001B46D8"/>
    <w:rsid w:val="001B4B62"/>
    <w:rsid w:val="001B5807"/>
    <w:rsid w:val="001B61A0"/>
    <w:rsid w:val="001B78BF"/>
    <w:rsid w:val="001C02C4"/>
    <w:rsid w:val="001C1445"/>
    <w:rsid w:val="001C1878"/>
    <w:rsid w:val="001C392D"/>
    <w:rsid w:val="001C4A43"/>
    <w:rsid w:val="001C4EB4"/>
    <w:rsid w:val="001C5329"/>
    <w:rsid w:val="001C5355"/>
    <w:rsid w:val="001C53A8"/>
    <w:rsid w:val="001C7A48"/>
    <w:rsid w:val="001C7DFA"/>
    <w:rsid w:val="001D0C02"/>
    <w:rsid w:val="001D1AA9"/>
    <w:rsid w:val="001D1E5D"/>
    <w:rsid w:val="001D22F8"/>
    <w:rsid w:val="001D4E76"/>
    <w:rsid w:val="001D5A53"/>
    <w:rsid w:val="001D60F4"/>
    <w:rsid w:val="001D711D"/>
    <w:rsid w:val="001E02FC"/>
    <w:rsid w:val="001E1D52"/>
    <w:rsid w:val="001E44DA"/>
    <w:rsid w:val="001E4606"/>
    <w:rsid w:val="001E4BA0"/>
    <w:rsid w:val="001E512B"/>
    <w:rsid w:val="001E66A2"/>
    <w:rsid w:val="001E6B59"/>
    <w:rsid w:val="001E7137"/>
    <w:rsid w:val="001E7841"/>
    <w:rsid w:val="001E7E8C"/>
    <w:rsid w:val="001F09B5"/>
    <w:rsid w:val="001F0A3A"/>
    <w:rsid w:val="001F2905"/>
    <w:rsid w:val="001F3A21"/>
    <w:rsid w:val="001F3A3A"/>
    <w:rsid w:val="001F4034"/>
    <w:rsid w:val="001F4628"/>
    <w:rsid w:val="001F768D"/>
    <w:rsid w:val="001F7B56"/>
    <w:rsid w:val="00200474"/>
    <w:rsid w:val="0020155E"/>
    <w:rsid w:val="0020287D"/>
    <w:rsid w:val="00204B83"/>
    <w:rsid w:val="002078AE"/>
    <w:rsid w:val="00207BB5"/>
    <w:rsid w:val="00210B55"/>
    <w:rsid w:val="0021353C"/>
    <w:rsid w:val="00214A40"/>
    <w:rsid w:val="00214C87"/>
    <w:rsid w:val="00221250"/>
    <w:rsid w:val="002213A4"/>
    <w:rsid w:val="002218A4"/>
    <w:rsid w:val="00221B85"/>
    <w:rsid w:val="00226793"/>
    <w:rsid w:val="00226CDC"/>
    <w:rsid w:val="00226CE9"/>
    <w:rsid w:val="00227638"/>
    <w:rsid w:val="00230EFC"/>
    <w:rsid w:val="00234335"/>
    <w:rsid w:val="00234D86"/>
    <w:rsid w:val="002375BF"/>
    <w:rsid w:val="00237CDF"/>
    <w:rsid w:val="00240EAD"/>
    <w:rsid w:val="00241947"/>
    <w:rsid w:val="00241CF1"/>
    <w:rsid w:val="00242043"/>
    <w:rsid w:val="0024213A"/>
    <w:rsid w:val="002429E9"/>
    <w:rsid w:val="00243D7D"/>
    <w:rsid w:val="00244687"/>
    <w:rsid w:val="00245169"/>
    <w:rsid w:val="002453CC"/>
    <w:rsid w:val="00246328"/>
    <w:rsid w:val="002464DA"/>
    <w:rsid w:val="0024753D"/>
    <w:rsid w:val="0025028D"/>
    <w:rsid w:val="002512C0"/>
    <w:rsid w:val="0025387D"/>
    <w:rsid w:val="002538F7"/>
    <w:rsid w:val="0025500F"/>
    <w:rsid w:val="00255DA8"/>
    <w:rsid w:val="002560F2"/>
    <w:rsid w:val="00257A5E"/>
    <w:rsid w:val="002610F9"/>
    <w:rsid w:val="002611E2"/>
    <w:rsid w:val="0026387C"/>
    <w:rsid w:val="0026516D"/>
    <w:rsid w:val="00265825"/>
    <w:rsid w:val="00265C6C"/>
    <w:rsid w:val="00267730"/>
    <w:rsid w:val="00267AB0"/>
    <w:rsid w:val="00270376"/>
    <w:rsid w:val="00270F9F"/>
    <w:rsid w:val="002710F9"/>
    <w:rsid w:val="00271676"/>
    <w:rsid w:val="00271CD0"/>
    <w:rsid w:val="00272C2C"/>
    <w:rsid w:val="002730FE"/>
    <w:rsid w:val="00273380"/>
    <w:rsid w:val="0027387E"/>
    <w:rsid w:val="00273ADD"/>
    <w:rsid w:val="00273F89"/>
    <w:rsid w:val="0027479A"/>
    <w:rsid w:val="00274923"/>
    <w:rsid w:val="00274E69"/>
    <w:rsid w:val="00275B90"/>
    <w:rsid w:val="002760A4"/>
    <w:rsid w:val="0027650C"/>
    <w:rsid w:val="00276E2A"/>
    <w:rsid w:val="00280B72"/>
    <w:rsid w:val="00280C50"/>
    <w:rsid w:val="00281B49"/>
    <w:rsid w:val="00281D77"/>
    <w:rsid w:val="00282784"/>
    <w:rsid w:val="00282826"/>
    <w:rsid w:val="00283205"/>
    <w:rsid w:val="002851BB"/>
    <w:rsid w:val="00285E66"/>
    <w:rsid w:val="002865B1"/>
    <w:rsid w:val="0029028D"/>
    <w:rsid w:val="002917B8"/>
    <w:rsid w:val="00292EC0"/>
    <w:rsid w:val="00292FD4"/>
    <w:rsid w:val="002930C9"/>
    <w:rsid w:val="00294452"/>
    <w:rsid w:val="002969FC"/>
    <w:rsid w:val="00297759"/>
    <w:rsid w:val="00297FE9"/>
    <w:rsid w:val="002A0CCD"/>
    <w:rsid w:val="002A0E31"/>
    <w:rsid w:val="002A1864"/>
    <w:rsid w:val="002A2A89"/>
    <w:rsid w:val="002A3523"/>
    <w:rsid w:val="002A3FE5"/>
    <w:rsid w:val="002A4E95"/>
    <w:rsid w:val="002A5391"/>
    <w:rsid w:val="002A55D2"/>
    <w:rsid w:val="002A55F6"/>
    <w:rsid w:val="002A5A80"/>
    <w:rsid w:val="002A616F"/>
    <w:rsid w:val="002A6CE8"/>
    <w:rsid w:val="002B1C66"/>
    <w:rsid w:val="002B37CF"/>
    <w:rsid w:val="002B5C1C"/>
    <w:rsid w:val="002B6909"/>
    <w:rsid w:val="002B6BA5"/>
    <w:rsid w:val="002B6CBE"/>
    <w:rsid w:val="002B7BA2"/>
    <w:rsid w:val="002C07CA"/>
    <w:rsid w:val="002C14A9"/>
    <w:rsid w:val="002C1892"/>
    <w:rsid w:val="002C3CE0"/>
    <w:rsid w:val="002C66CB"/>
    <w:rsid w:val="002C7A0A"/>
    <w:rsid w:val="002C7B02"/>
    <w:rsid w:val="002D00B9"/>
    <w:rsid w:val="002D0DAD"/>
    <w:rsid w:val="002D0FA1"/>
    <w:rsid w:val="002D185C"/>
    <w:rsid w:val="002D1CCD"/>
    <w:rsid w:val="002D238C"/>
    <w:rsid w:val="002D3263"/>
    <w:rsid w:val="002D326F"/>
    <w:rsid w:val="002D399D"/>
    <w:rsid w:val="002D4017"/>
    <w:rsid w:val="002D4535"/>
    <w:rsid w:val="002D48A5"/>
    <w:rsid w:val="002D4D0F"/>
    <w:rsid w:val="002D6763"/>
    <w:rsid w:val="002D6779"/>
    <w:rsid w:val="002D7B4C"/>
    <w:rsid w:val="002E1EEC"/>
    <w:rsid w:val="002E1F86"/>
    <w:rsid w:val="002E3A11"/>
    <w:rsid w:val="002E5E5D"/>
    <w:rsid w:val="002E5FDC"/>
    <w:rsid w:val="002E64E4"/>
    <w:rsid w:val="002E6A62"/>
    <w:rsid w:val="002E7965"/>
    <w:rsid w:val="002F033F"/>
    <w:rsid w:val="002F07D8"/>
    <w:rsid w:val="002F1433"/>
    <w:rsid w:val="002F1720"/>
    <w:rsid w:val="002F1F8B"/>
    <w:rsid w:val="002F2ED3"/>
    <w:rsid w:val="002F3729"/>
    <w:rsid w:val="002F3EA1"/>
    <w:rsid w:val="002F4397"/>
    <w:rsid w:val="002F4BD4"/>
    <w:rsid w:val="002F610D"/>
    <w:rsid w:val="002F6403"/>
    <w:rsid w:val="002F65E8"/>
    <w:rsid w:val="002F6FA1"/>
    <w:rsid w:val="002F7F6F"/>
    <w:rsid w:val="002F7F84"/>
    <w:rsid w:val="00300118"/>
    <w:rsid w:val="00300607"/>
    <w:rsid w:val="00301770"/>
    <w:rsid w:val="00301EF7"/>
    <w:rsid w:val="0030448C"/>
    <w:rsid w:val="0030541F"/>
    <w:rsid w:val="003059AB"/>
    <w:rsid w:val="00305D57"/>
    <w:rsid w:val="00306252"/>
    <w:rsid w:val="00306DC0"/>
    <w:rsid w:val="00307520"/>
    <w:rsid w:val="00310158"/>
    <w:rsid w:val="0031050B"/>
    <w:rsid w:val="00311A69"/>
    <w:rsid w:val="003121FE"/>
    <w:rsid w:val="003123BA"/>
    <w:rsid w:val="00312CC7"/>
    <w:rsid w:val="00315569"/>
    <w:rsid w:val="0031628A"/>
    <w:rsid w:val="00322177"/>
    <w:rsid w:val="003229AF"/>
    <w:rsid w:val="00322AF7"/>
    <w:rsid w:val="0032397C"/>
    <w:rsid w:val="00323A1F"/>
    <w:rsid w:val="00323FBD"/>
    <w:rsid w:val="00324169"/>
    <w:rsid w:val="0032517A"/>
    <w:rsid w:val="00325F9F"/>
    <w:rsid w:val="00326A86"/>
    <w:rsid w:val="00330EC1"/>
    <w:rsid w:val="00332244"/>
    <w:rsid w:val="0033294A"/>
    <w:rsid w:val="00332BD1"/>
    <w:rsid w:val="00333488"/>
    <w:rsid w:val="0033418A"/>
    <w:rsid w:val="00334E00"/>
    <w:rsid w:val="003354EC"/>
    <w:rsid w:val="00335593"/>
    <w:rsid w:val="003361C6"/>
    <w:rsid w:val="0033675D"/>
    <w:rsid w:val="00336B0E"/>
    <w:rsid w:val="0034048E"/>
    <w:rsid w:val="00343A37"/>
    <w:rsid w:val="00343C23"/>
    <w:rsid w:val="00344AD5"/>
    <w:rsid w:val="003461A1"/>
    <w:rsid w:val="003468B6"/>
    <w:rsid w:val="00347409"/>
    <w:rsid w:val="0035027D"/>
    <w:rsid w:val="00350396"/>
    <w:rsid w:val="00350C9D"/>
    <w:rsid w:val="0035160E"/>
    <w:rsid w:val="003519DB"/>
    <w:rsid w:val="0035285F"/>
    <w:rsid w:val="00352D54"/>
    <w:rsid w:val="00353244"/>
    <w:rsid w:val="0035336C"/>
    <w:rsid w:val="00354B35"/>
    <w:rsid w:val="00355FC7"/>
    <w:rsid w:val="003566E4"/>
    <w:rsid w:val="00357395"/>
    <w:rsid w:val="00357CE6"/>
    <w:rsid w:val="003608AC"/>
    <w:rsid w:val="003608E7"/>
    <w:rsid w:val="00360DCB"/>
    <w:rsid w:val="00361AF3"/>
    <w:rsid w:val="00362281"/>
    <w:rsid w:val="003629A4"/>
    <w:rsid w:val="00362CFF"/>
    <w:rsid w:val="00363212"/>
    <w:rsid w:val="00364013"/>
    <w:rsid w:val="00364CAE"/>
    <w:rsid w:val="003653FD"/>
    <w:rsid w:val="00365B07"/>
    <w:rsid w:val="0036606C"/>
    <w:rsid w:val="0036667D"/>
    <w:rsid w:val="00367AC6"/>
    <w:rsid w:val="00371782"/>
    <w:rsid w:val="00371DD6"/>
    <w:rsid w:val="00375F7C"/>
    <w:rsid w:val="00375FDC"/>
    <w:rsid w:val="00376001"/>
    <w:rsid w:val="003760BC"/>
    <w:rsid w:val="003768A7"/>
    <w:rsid w:val="0037741A"/>
    <w:rsid w:val="00380F83"/>
    <w:rsid w:val="003829AF"/>
    <w:rsid w:val="00382AB1"/>
    <w:rsid w:val="00382EF4"/>
    <w:rsid w:val="00383D22"/>
    <w:rsid w:val="003842D9"/>
    <w:rsid w:val="00384C4B"/>
    <w:rsid w:val="00385324"/>
    <w:rsid w:val="00385D69"/>
    <w:rsid w:val="0038617A"/>
    <w:rsid w:val="0038655D"/>
    <w:rsid w:val="00386C6E"/>
    <w:rsid w:val="003874D4"/>
    <w:rsid w:val="00390D28"/>
    <w:rsid w:val="003910F6"/>
    <w:rsid w:val="003914E8"/>
    <w:rsid w:val="00391537"/>
    <w:rsid w:val="00391B28"/>
    <w:rsid w:val="00391E0C"/>
    <w:rsid w:val="003921D4"/>
    <w:rsid w:val="00392828"/>
    <w:rsid w:val="00392843"/>
    <w:rsid w:val="003949BB"/>
    <w:rsid w:val="00395203"/>
    <w:rsid w:val="003955D2"/>
    <w:rsid w:val="00395EF9"/>
    <w:rsid w:val="00396375"/>
    <w:rsid w:val="00396DEE"/>
    <w:rsid w:val="003976D0"/>
    <w:rsid w:val="003A0273"/>
    <w:rsid w:val="003A0A1C"/>
    <w:rsid w:val="003A15BC"/>
    <w:rsid w:val="003A16F6"/>
    <w:rsid w:val="003A1A6F"/>
    <w:rsid w:val="003A20F3"/>
    <w:rsid w:val="003A3BFD"/>
    <w:rsid w:val="003A4A64"/>
    <w:rsid w:val="003A4E98"/>
    <w:rsid w:val="003A5064"/>
    <w:rsid w:val="003A63DA"/>
    <w:rsid w:val="003A6447"/>
    <w:rsid w:val="003A673E"/>
    <w:rsid w:val="003A6F29"/>
    <w:rsid w:val="003A718D"/>
    <w:rsid w:val="003A7C93"/>
    <w:rsid w:val="003A7D76"/>
    <w:rsid w:val="003B00FD"/>
    <w:rsid w:val="003B0250"/>
    <w:rsid w:val="003B098A"/>
    <w:rsid w:val="003B16DA"/>
    <w:rsid w:val="003B18F0"/>
    <w:rsid w:val="003B389D"/>
    <w:rsid w:val="003B3AA8"/>
    <w:rsid w:val="003B50BC"/>
    <w:rsid w:val="003B534C"/>
    <w:rsid w:val="003B54FE"/>
    <w:rsid w:val="003B59C4"/>
    <w:rsid w:val="003B6288"/>
    <w:rsid w:val="003B6FF9"/>
    <w:rsid w:val="003C0537"/>
    <w:rsid w:val="003C2276"/>
    <w:rsid w:val="003C25A8"/>
    <w:rsid w:val="003C3997"/>
    <w:rsid w:val="003C581F"/>
    <w:rsid w:val="003C590D"/>
    <w:rsid w:val="003C6646"/>
    <w:rsid w:val="003C6C51"/>
    <w:rsid w:val="003D0235"/>
    <w:rsid w:val="003D05B4"/>
    <w:rsid w:val="003D23FD"/>
    <w:rsid w:val="003D2EB1"/>
    <w:rsid w:val="003D2EF0"/>
    <w:rsid w:val="003D350F"/>
    <w:rsid w:val="003D3999"/>
    <w:rsid w:val="003D408A"/>
    <w:rsid w:val="003D43F6"/>
    <w:rsid w:val="003D478C"/>
    <w:rsid w:val="003D4B00"/>
    <w:rsid w:val="003E0156"/>
    <w:rsid w:val="003E1CFE"/>
    <w:rsid w:val="003E2CA9"/>
    <w:rsid w:val="003E319F"/>
    <w:rsid w:val="003E43A7"/>
    <w:rsid w:val="003E460F"/>
    <w:rsid w:val="003E53AE"/>
    <w:rsid w:val="003E5470"/>
    <w:rsid w:val="003E596F"/>
    <w:rsid w:val="003E5CA6"/>
    <w:rsid w:val="003E5CE7"/>
    <w:rsid w:val="003E6C4F"/>
    <w:rsid w:val="003F0D71"/>
    <w:rsid w:val="003F0E6D"/>
    <w:rsid w:val="003F1273"/>
    <w:rsid w:val="003F1F2B"/>
    <w:rsid w:val="003F3305"/>
    <w:rsid w:val="003F48CE"/>
    <w:rsid w:val="003F751E"/>
    <w:rsid w:val="003F77BD"/>
    <w:rsid w:val="004003F7"/>
    <w:rsid w:val="004005F4"/>
    <w:rsid w:val="00400F49"/>
    <w:rsid w:val="0040112B"/>
    <w:rsid w:val="00403B61"/>
    <w:rsid w:val="00403FE1"/>
    <w:rsid w:val="00405AAA"/>
    <w:rsid w:val="004071B9"/>
    <w:rsid w:val="00407B6B"/>
    <w:rsid w:val="00410149"/>
    <w:rsid w:val="00410312"/>
    <w:rsid w:val="004109EA"/>
    <w:rsid w:val="00412F96"/>
    <w:rsid w:val="00413B34"/>
    <w:rsid w:val="00415DE0"/>
    <w:rsid w:val="00417212"/>
    <w:rsid w:val="004216E8"/>
    <w:rsid w:val="0042422E"/>
    <w:rsid w:val="0042455E"/>
    <w:rsid w:val="00425717"/>
    <w:rsid w:val="0042589B"/>
    <w:rsid w:val="00425DAD"/>
    <w:rsid w:val="00431830"/>
    <w:rsid w:val="00431AC4"/>
    <w:rsid w:val="00431DDA"/>
    <w:rsid w:val="00431F6F"/>
    <w:rsid w:val="004323B7"/>
    <w:rsid w:val="00432FC0"/>
    <w:rsid w:val="004346F9"/>
    <w:rsid w:val="0043527C"/>
    <w:rsid w:val="00436863"/>
    <w:rsid w:val="004379F5"/>
    <w:rsid w:val="00437CDC"/>
    <w:rsid w:val="004400C2"/>
    <w:rsid w:val="0044068D"/>
    <w:rsid w:val="00440ECD"/>
    <w:rsid w:val="00440F2B"/>
    <w:rsid w:val="004410C8"/>
    <w:rsid w:val="00441E38"/>
    <w:rsid w:val="004438B1"/>
    <w:rsid w:val="0044416A"/>
    <w:rsid w:val="0044569C"/>
    <w:rsid w:val="004456DD"/>
    <w:rsid w:val="00445F3C"/>
    <w:rsid w:val="00446E01"/>
    <w:rsid w:val="00447228"/>
    <w:rsid w:val="004503A5"/>
    <w:rsid w:val="00450920"/>
    <w:rsid w:val="00453809"/>
    <w:rsid w:val="004553CE"/>
    <w:rsid w:val="00455938"/>
    <w:rsid w:val="00455B13"/>
    <w:rsid w:val="00456321"/>
    <w:rsid w:val="00457308"/>
    <w:rsid w:val="00457909"/>
    <w:rsid w:val="00462672"/>
    <w:rsid w:val="00462A46"/>
    <w:rsid w:val="0046300C"/>
    <w:rsid w:val="00463416"/>
    <w:rsid w:val="00463D1A"/>
    <w:rsid w:val="004649B4"/>
    <w:rsid w:val="004668EF"/>
    <w:rsid w:val="00470BC2"/>
    <w:rsid w:val="00470FBC"/>
    <w:rsid w:val="004710CF"/>
    <w:rsid w:val="0047277A"/>
    <w:rsid w:val="00472971"/>
    <w:rsid w:val="004732B6"/>
    <w:rsid w:val="00473AD4"/>
    <w:rsid w:val="004740C6"/>
    <w:rsid w:val="00475D8E"/>
    <w:rsid w:val="004777B4"/>
    <w:rsid w:val="004802BF"/>
    <w:rsid w:val="00480BCA"/>
    <w:rsid w:val="0048102A"/>
    <w:rsid w:val="0048109C"/>
    <w:rsid w:val="004812E6"/>
    <w:rsid w:val="00481411"/>
    <w:rsid w:val="00487466"/>
    <w:rsid w:val="00487D06"/>
    <w:rsid w:val="00490F23"/>
    <w:rsid w:val="00494055"/>
    <w:rsid w:val="00494DB0"/>
    <w:rsid w:val="00495123"/>
    <w:rsid w:val="00495849"/>
    <w:rsid w:val="00495BA0"/>
    <w:rsid w:val="00497A6C"/>
    <w:rsid w:val="004A046B"/>
    <w:rsid w:val="004A0FE7"/>
    <w:rsid w:val="004A12A5"/>
    <w:rsid w:val="004A2DD4"/>
    <w:rsid w:val="004A2EB8"/>
    <w:rsid w:val="004A469E"/>
    <w:rsid w:val="004A63FC"/>
    <w:rsid w:val="004A6459"/>
    <w:rsid w:val="004A675E"/>
    <w:rsid w:val="004B0C35"/>
    <w:rsid w:val="004B301A"/>
    <w:rsid w:val="004B471B"/>
    <w:rsid w:val="004B4FB1"/>
    <w:rsid w:val="004B66EF"/>
    <w:rsid w:val="004B725F"/>
    <w:rsid w:val="004B7690"/>
    <w:rsid w:val="004B76F1"/>
    <w:rsid w:val="004C15DD"/>
    <w:rsid w:val="004C181D"/>
    <w:rsid w:val="004C18C7"/>
    <w:rsid w:val="004C19FC"/>
    <w:rsid w:val="004C4EEB"/>
    <w:rsid w:val="004C7C3F"/>
    <w:rsid w:val="004D142A"/>
    <w:rsid w:val="004D317D"/>
    <w:rsid w:val="004D3548"/>
    <w:rsid w:val="004D5C69"/>
    <w:rsid w:val="004D5E90"/>
    <w:rsid w:val="004D7642"/>
    <w:rsid w:val="004E09F4"/>
    <w:rsid w:val="004E0B79"/>
    <w:rsid w:val="004E2112"/>
    <w:rsid w:val="004E28AD"/>
    <w:rsid w:val="004E296B"/>
    <w:rsid w:val="004E2BAB"/>
    <w:rsid w:val="004E3166"/>
    <w:rsid w:val="004E44C2"/>
    <w:rsid w:val="004E5347"/>
    <w:rsid w:val="004E6438"/>
    <w:rsid w:val="004E6FD9"/>
    <w:rsid w:val="004E7152"/>
    <w:rsid w:val="004F05D1"/>
    <w:rsid w:val="004F1698"/>
    <w:rsid w:val="004F3B9A"/>
    <w:rsid w:val="004F4851"/>
    <w:rsid w:val="004F5286"/>
    <w:rsid w:val="004F53E6"/>
    <w:rsid w:val="004F6698"/>
    <w:rsid w:val="004F6BE3"/>
    <w:rsid w:val="0050034F"/>
    <w:rsid w:val="00501ECC"/>
    <w:rsid w:val="005024AF"/>
    <w:rsid w:val="0050486C"/>
    <w:rsid w:val="005057FC"/>
    <w:rsid w:val="00507637"/>
    <w:rsid w:val="00507949"/>
    <w:rsid w:val="0051030B"/>
    <w:rsid w:val="00510AD1"/>
    <w:rsid w:val="00510BE7"/>
    <w:rsid w:val="00512CEA"/>
    <w:rsid w:val="005132B9"/>
    <w:rsid w:val="00513AED"/>
    <w:rsid w:val="0051416B"/>
    <w:rsid w:val="00514AB7"/>
    <w:rsid w:val="00516BAE"/>
    <w:rsid w:val="00521BE8"/>
    <w:rsid w:val="00522ACF"/>
    <w:rsid w:val="00523083"/>
    <w:rsid w:val="00523CC8"/>
    <w:rsid w:val="00523DBF"/>
    <w:rsid w:val="005242E3"/>
    <w:rsid w:val="005248ED"/>
    <w:rsid w:val="005252BB"/>
    <w:rsid w:val="00530BA6"/>
    <w:rsid w:val="00530F69"/>
    <w:rsid w:val="005312F0"/>
    <w:rsid w:val="00531787"/>
    <w:rsid w:val="005327D0"/>
    <w:rsid w:val="0053392D"/>
    <w:rsid w:val="005358C9"/>
    <w:rsid w:val="0053649A"/>
    <w:rsid w:val="005371E1"/>
    <w:rsid w:val="00537A73"/>
    <w:rsid w:val="00540B44"/>
    <w:rsid w:val="00541EAF"/>
    <w:rsid w:val="00543B99"/>
    <w:rsid w:val="00544011"/>
    <w:rsid w:val="0054404D"/>
    <w:rsid w:val="00544E9F"/>
    <w:rsid w:val="005458C5"/>
    <w:rsid w:val="00545E83"/>
    <w:rsid w:val="0054758F"/>
    <w:rsid w:val="00547DBF"/>
    <w:rsid w:val="005516B8"/>
    <w:rsid w:val="0055174B"/>
    <w:rsid w:val="00551E08"/>
    <w:rsid w:val="00552D2F"/>
    <w:rsid w:val="00553536"/>
    <w:rsid w:val="00553776"/>
    <w:rsid w:val="005538C3"/>
    <w:rsid w:val="00553D69"/>
    <w:rsid w:val="00553DA4"/>
    <w:rsid w:val="005543AB"/>
    <w:rsid w:val="005557F4"/>
    <w:rsid w:val="00557782"/>
    <w:rsid w:val="00557905"/>
    <w:rsid w:val="00560551"/>
    <w:rsid w:val="00561F6F"/>
    <w:rsid w:val="005626ED"/>
    <w:rsid w:val="00562B61"/>
    <w:rsid w:val="005638A8"/>
    <w:rsid w:val="00563DF6"/>
    <w:rsid w:val="0056632F"/>
    <w:rsid w:val="005668C2"/>
    <w:rsid w:val="0056735A"/>
    <w:rsid w:val="00567FE7"/>
    <w:rsid w:val="00570525"/>
    <w:rsid w:val="00570AAD"/>
    <w:rsid w:val="00570C60"/>
    <w:rsid w:val="0057125C"/>
    <w:rsid w:val="00572A74"/>
    <w:rsid w:val="00572A82"/>
    <w:rsid w:val="00572DC7"/>
    <w:rsid w:val="005749F8"/>
    <w:rsid w:val="00574C73"/>
    <w:rsid w:val="005752DD"/>
    <w:rsid w:val="00576316"/>
    <w:rsid w:val="0057660F"/>
    <w:rsid w:val="00580446"/>
    <w:rsid w:val="0058074C"/>
    <w:rsid w:val="00582E9D"/>
    <w:rsid w:val="005832BE"/>
    <w:rsid w:val="00583D11"/>
    <w:rsid w:val="00583DF8"/>
    <w:rsid w:val="0058476D"/>
    <w:rsid w:val="00584F4E"/>
    <w:rsid w:val="005867C7"/>
    <w:rsid w:val="005871DF"/>
    <w:rsid w:val="0058772E"/>
    <w:rsid w:val="00590519"/>
    <w:rsid w:val="00590F08"/>
    <w:rsid w:val="0059129A"/>
    <w:rsid w:val="005916E9"/>
    <w:rsid w:val="00593734"/>
    <w:rsid w:val="00593ADB"/>
    <w:rsid w:val="0059407B"/>
    <w:rsid w:val="005940D5"/>
    <w:rsid w:val="00595013"/>
    <w:rsid w:val="00595CEE"/>
    <w:rsid w:val="00597B6B"/>
    <w:rsid w:val="00597F86"/>
    <w:rsid w:val="005A34C7"/>
    <w:rsid w:val="005A3B09"/>
    <w:rsid w:val="005A45BC"/>
    <w:rsid w:val="005A587F"/>
    <w:rsid w:val="005A5D5D"/>
    <w:rsid w:val="005A6DD3"/>
    <w:rsid w:val="005A6DF9"/>
    <w:rsid w:val="005A6EF7"/>
    <w:rsid w:val="005A7423"/>
    <w:rsid w:val="005B0359"/>
    <w:rsid w:val="005B08E9"/>
    <w:rsid w:val="005B15C4"/>
    <w:rsid w:val="005B4E24"/>
    <w:rsid w:val="005B611D"/>
    <w:rsid w:val="005B7A12"/>
    <w:rsid w:val="005B7A8A"/>
    <w:rsid w:val="005B7D66"/>
    <w:rsid w:val="005C2B26"/>
    <w:rsid w:val="005C31A0"/>
    <w:rsid w:val="005C3272"/>
    <w:rsid w:val="005C348F"/>
    <w:rsid w:val="005C3A34"/>
    <w:rsid w:val="005C5D39"/>
    <w:rsid w:val="005C5E61"/>
    <w:rsid w:val="005C61B5"/>
    <w:rsid w:val="005C6DC8"/>
    <w:rsid w:val="005D04B9"/>
    <w:rsid w:val="005D0F44"/>
    <w:rsid w:val="005D0F5A"/>
    <w:rsid w:val="005D2097"/>
    <w:rsid w:val="005D2CD7"/>
    <w:rsid w:val="005D5D7E"/>
    <w:rsid w:val="005D71B1"/>
    <w:rsid w:val="005D772C"/>
    <w:rsid w:val="005E0685"/>
    <w:rsid w:val="005E36EC"/>
    <w:rsid w:val="005E442B"/>
    <w:rsid w:val="005E44F5"/>
    <w:rsid w:val="005E66C1"/>
    <w:rsid w:val="005E795B"/>
    <w:rsid w:val="005E7FA4"/>
    <w:rsid w:val="005F01A5"/>
    <w:rsid w:val="005F0864"/>
    <w:rsid w:val="005F2400"/>
    <w:rsid w:val="005F2F78"/>
    <w:rsid w:val="005F3133"/>
    <w:rsid w:val="005F3920"/>
    <w:rsid w:val="005F462B"/>
    <w:rsid w:val="005F5024"/>
    <w:rsid w:val="005F5C35"/>
    <w:rsid w:val="005F6016"/>
    <w:rsid w:val="005F712F"/>
    <w:rsid w:val="005F7A07"/>
    <w:rsid w:val="006001CA"/>
    <w:rsid w:val="00600C9D"/>
    <w:rsid w:val="006036C7"/>
    <w:rsid w:val="006047BA"/>
    <w:rsid w:val="00606748"/>
    <w:rsid w:val="00606A2A"/>
    <w:rsid w:val="00610397"/>
    <w:rsid w:val="00610BC4"/>
    <w:rsid w:val="00610CD8"/>
    <w:rsid w:val="00611018"/>
    <w:rsid w:val="00613D65"/>
    <w:rsid w:val="006143BA"/>
    <w:rsid w:val="00614C27"/>
    <w:rsid w:val="006158D6"/>
    <w:rsid w:val="00615DE6"/>
    <w:rsid w:val="00617076"/>
    <w:rsid w:val="006234C5"/>
    <w:rsid w:val="00624DA8"/>
    <w:rsid w:val="00624F0F"/>
    <w:rsid w:val="006250CA"/>
    <w:rsid w:val="00625248"/>
    <w:rsid w:val="00626615"/>
    <w:rsid w:val="00626B10"/>
    <w:rsid w:val="00626F74"/>
    <w:rsid w:val="006308DB"/>
    <w:rsid w:val="00630D9C"/>
    <w:rsid w:val="006311AC"/>
    <w:rsid w:val="00631E26"/>
    <w:rsid w:val="00632D4D"/>
    <w:rsid w:val="00634AAC"/>
    <w:rsid w:val="00634C0E"/>
    <w:rsid w:val="00635E7B"/>
    <w:rsid w:val="00636183"/>
    <w:rsid w:val="0063674B"/>
    <w:rsid w:val="00636DFA"/>
    <w:rsid w:val="00641B30"/>
    <w:rsid w:val="006433B4"/>
    <w:rsid w:val="00643A27"/>
    <w:rsid w:val="00643B46"/>
    <w:rsid w:val="006455F4"/>
    <w:rsid w:val="006467E7"/>
    <w:rsid w:val="00647386"/>
    <w:rsid w:val="00647910"/>
    <w:rsid w:val="006479F4"/>
    <w:rsid w:val="006506D3"/>
    <w:rsid w:val="00652514"/>
    <w:rsid w:val="00653D61"/>
    <w:rsid w:val="00656B36"/>
    <w:rsid w:val="006614BC"/>
    <w:rsid w:val="00661E06"/>
    <w:rsid w:val="00662DAB"/>
    <w:rsid w:val="0066437B"/>
    <w:rsid w:val="00664382"/>
    <w:rsid w:val="006648C6"/>
    <w:rsid w:val="00666217"/>
    <w:rsid w:val="006662E5"/>
    <w:rsid w:val="0066657D"/>
    <w:rsid w:val="006667D2"/>
    <w:rsid w:val="006671FF"/>
    <w:rsid w:val="006707E5"/>
    <w:rsid w:val="0067128A"/>
    <w:rsid w:val="006719A6"/>
    <w:rsid w:val="00671E15"/>
    <w:rsid w:val="00671F03"/>
    <w:rsid w:val="006722A2"/>
    <w:rsid w:val="00672B40"/>
    <w:rsid w:val="00672BDA"/>
    <w:rsid w:val="00673608"/>
    <w:rsid w:val="006736BD"/>
    <w:rsid w:val="00673A40"/>
    <w:rsid w:val="00674A09"/>
    <w:rsid w:val="00675710"/>
    <w:rsid w:val="006768EF"/>
    <w:rsid w:val="00676B34"/>
    <w:rsid w:val="00677604"/>
    <w:rsid w:val="0067786F"/>
    <w:rsid w:val="00677A81"/>
    <w:rsid w:val="0068043E"/>
    <w:rsid w:val="00680483"/>
    <w:rsid w:val="00681334"/>
    <w:rsid w:val="00681DB3"/>
    <w:rsid w:val="00682BBD"/>
    <w:rsid w:val="00682CD1"/>
    <w:rsid w:val="00683496"/>
    <w:rsid w:val="00683841"/>
    <w:rsid w:val="0068454C"/>
    <w:rsid w:val="00684BFB"/>
    <w:rsid w:val="00684E14"/>
    <w:rsid w:val="00690E44"/>
    <w:rsid w:val="00691448"/>
    <w:rsid w:val="0069231D"/>
    <w:rsid w:val="00696305"/>
    <w:rsid w:val="006A0DDD"/>
    <w:rsid w:val="006A0EB1"/>
    <w:rsid w:val="006A1579"/>
    <w:rsid w:val="006A1AFE"/>
    <w:rsid w:val="006A2EA9"/>
    <w:rsid w:val="006A464C"/>
    <w:rsid w:val="006A47CA"/>
    <w:rsid w:val="006A4CE9"/>
    <w:rsid w:val="006A55F1"/>
    <w:rsid w:val="006A5C27"/>
    <w:rsid w:val="006A6063"/>
    <w:rsid w:val="006A700B"/>
    <w:rsid w:val="006B02E2"/>
    <w:rsid w:val="006B086A"/>
    <w:rsid w:val="006B0879"/>
    <w:rsid w:val="006B0B4D"/>
    <w:rsid w:val="006B11BC"/>
    <w:rsid w:val="006B4466"/>
    <w:rsid w:val="006B543D"/>
    <w:rsid w:val="006B617C"/>
    <w:rsid w:val="006C14C3"/>
    <w:rsid w:val="006C1931"/>
    <w:rsid w:val="006C2358"/>
    <w:rsid w:val="006C27DD"/>
    <w:rsid w:val="006C2CEC"/>
    <w:rsid w:val="006C2D83"/>
    <w:rsid w:val="006C453D"/>
    <w:rsid w:val="006C54A9"/>
    <w:rsid w:val="006C5E76"/>
    <w:rsid w:val="006C62EB"/>
    <w:rsid w:val="006C68AC"/>
    <w:rsid w:val="006C6DEC"/>
    <w:rsid w:val="006C6E34"/>
    <w:rsid w:val="006C6FB4"/>
    <w:rsid w:val="006C7182"/>
    <w:rsid w:val="006D0981"/>
    <w:rsid w:val="006D14F5"/>
    <w:rsid w:val="006D1EAB"/>
    <w:rsid w:val="006D2FD5"/>
    <w:rsid w:val="006D528C"/>
    <w:rsid w:val="006D5D1A"/>
    <w:rsid w:val="006D65A3"/>
    <w:rsid w:val="006D7050"/>
    <w:rsid w:val="006E0DCC"/>
    <w:rsid w:val="006E12D4"/>
    <w:rsid w:val="006E1AB3"/>
    <w:rsid w:val="006E1C85"/>
    <w:rsid w:val="006E22DD"/>
    <w:rsid w:val="006E2D21"/>
    <w:rsid w:val="006E2FE2"/>
    <w:rsid w:val="006E52FB"/>
    <w:rsid w:val="006E6890"/>
    <w:rsid w:val="006E6C71"/>
    <w:rsid w:val="006E7754"/>
    <w:rsid w:val="006E7A7C"/>
    <w:rsid w:val="006E7D2A"/>
    <w:rsid w:val="006F081B"/>
    <w:rsid w:val="006F205F"/>
    <w:rsid w:val="006F206A"/>
    <w:rsid w:val="006F33F3"/>
    <w:rsid w:val="006F4295"/>
    <w:rsid w:val="006F5885"/>
    <w:rsid w:val="006F59B9"/>
    <w:rsid w:val="006F6C75"/>
    <w:rsid w:val="006F725F"/>
    <w:rsid w:val="00700497"/>
    <w:rsid w:val="00700FBB"/>
    <w:rsid w:val="0070256C"/>
    <w:rsid w:val="007046D7"/>
    <w:rsid w:val="007052BC"/>
    <w:rsid w:val="007062AD"/>
    <w:rsid w:val="00707B5A"/>
    <w:rsid w:val="00710631"/>
    <w:rsid w:val="0071217E"/>
    <w:rsid w:val="00712EA7"/>
    <w:rsid w:val="00713E98"/>
    <w:rsid w:val="00714DD7"/>
    <w:rsid w:val="007150D4"/>
    <w:rsid w:val="007152AE"/>
    <w:rsid w:val="007173B1"/>
    <w:rsid w:val="00720335"/>
    <w:rsid w:val="0072121C"/>
    <w:rsid w:val="007219C3"/>
    <w:rsid w:val="00722F64"/>
    <w:rsid w:val="00723D1C"/>
    <w:rsid w:val="00725950"/>
    <w:rsid w:val="00726575"/>
    <w:rsid w:val="007270F7"/>
    <w:rsid w:val="00727249"/>
    <w:rsid w:val="007273DD"/>
    <w:rsid w:val="00727D3E"/>
    <w:rsid w:val="00727EFF"/>
    <w:rsid w:val="007306AD"/>
    <w:rsid w:val="007313AD"/>
    <w:rsid w:val="0073267D"/>
    <w:rsid w:val="00732A88"/>
    <w:rsid w:val="00732DEF"/>
    <w:rsid w:val="00734F3E"/>
    <w:rsid w:val="00736255"/>
    <w:rsid w:val="00736286"/>
    <w:rsid w:val="00736A19"/>
    <w:rsid w:val="0073726C"/>
    <w:rsid w:val="007378B1"/>
    <w:rsid w:val="007404C8"/>
    <w:rsid w:val="00740A48"/>
    <w:rsid w:val="00740C28"/>
    <w:rsid w:val="00740D51"/>
    <w:rsid w:val="00743744"/>
    <w:rsid w:val="0074552B"/>
    <w:rsid w:val="00745F78"/>
    <w:rsid w:val="00746467"/>
    <w:rsid w:val="00746D98"/>
    <w:rsid w:val="007472C4"/>
    <w:rsid w:val="00747CCD"/>
    <w:rsid w:val="007504A2"/>
    <w:rsid w:val="00750E8C"/>
    <w:rsid w:val="00753CEC"/>
    <w:rsid w:val="00755EC7"/>
    <w:rsid w:val="007636CC"/>
    <w:rsid w:val="00765384"/>
    <w:rsid w:val="007663B4"/>
    <w:rsid w:val="00766956"/>
    <w:rsid w:val="00767315"/>
    <w:rsid w:val="007705E4"/>
    <w:rsid w:val="00773594"/>
    <w:rsid w:val="007738BC"/>
    <w:rsid w:val="0077413E"/>
    <w:rsid w:val="00777D18"/>
    <w:rsid w:val="007809D2"/>
    <w:rsid w:val="00780B03"/>
    <w:rsid w:val="007822B1"/>
    <w:rsid w:val="007828E4"/>
    <w:rsid w:val="00785AC8"/>
    <w:rsid w:val="00786001"/>
    <w:rsid w:val="0078610F"/>
    <w:rsid w:val="00786148"/>
    <w:rsid w:val="0079085A"/>
    <w:rsid w:val="00790895"/>
    <w:rsid w:val="00794610"/>
    <w:rsid w:val="00796787"/>
    <w:rsid w:val="00796C58"/>
    <w:rsid w:val="00796F36"/>
    <w:rsid w:val="007972C8"/>
    <w:rsid w:val="00797CF8"/>
    <w:rsid w:val="00797E43"/>
    <w:rsid w:val="007A0678"/>
    <w:rsid w:val="007A2086"/>
    <w:rsid w:val="007A24F2"/>
    <w:rsid w:val="007A32B8"/>
    <w:rsid w:val="007A44CE"/>
    <w:rsid w:val="007A4FBB"/>
    <w:rsid w:val="007A5BF3"/>
    <w:rsid w:val="007A5FD2"/>
    <w:rsid w:val="007A69FB"/>
    <w:rsid w:val="007A6C1A"/>
    <w:rsid w:val="007A7919"/>
    <w:rsid w:val="007B1602"/>
    <w:rsid w:val="007B1800"/>
    <w:rsid w:val="007B1849"/>
    <w:rsid w:val="007B2745"/>
    <w:rsid w:val="007B3518"/>
    <w:rsid w:val="007B5636"/>
    <w:rsid w:val="007B77FE"/>
    <w:rsid w:val="007C081D"/>
    <w:rsid w:val="007C0D8C"/>
    <w:rsid w:val="007C137B"/>
    <w:rsid w:val="007C1C1D"/>
    <w:rsid w:val="007C234D"/>
    <w:rsid w:val="007C2BC5"/>
    <w:rsid w:val="007C2E13"/>
    <w:rsid w:val="007C43E4"/>
    <w:rsid w:val="007C49F6"/>
    <w:rsid w:val="007C4B90"/>
    <w:rsid w:val="007C6177"/>
    <w:rsid w:val="007C624B"/>
    <w:rsid w:val="007C656C"/>
    <w:rsid w:val="007C6905"/>
    <w:rsid w:val="007C7A3B"/>
    <w:rsid w:val="007D0093"/>
    <w:rsid w:val="007D0790"/>
    <w:rsid w:val="007D0AED"/>
    <w:rsid w:val="007D36BE"/>
    <w:rsid w:val="007D41B2"/>
    <w:rsid w:val="007D4569"/>
    <w:rsid w:val="007D4AE4"/>
    <w:rsid w:val="007D61C5"/>
    <w:rsid w:val="007D6781"/>
    <w:rsid w:val="007D6E23"/>
    <w:rsid w:val="007D72E4"/>
    <w:rsid w:val="007D791E"/>
    <w:rsid w:val="007E0310"/>
    <w:rsid w:val="007E0B0C"/>
    <w:rsid w:val="007E11F4"/>
    <w:rsid w:val="007E2C7F"/>
    <w:rsid w:val="007E32A4"/>
    <w:rsid w:val="007E50D3"/>
    <w:rsid w:val="007E5420"/>
    <w:rsid w:val="007E561F"/>
    <w:rsid w:val="007E6EF6"/>
    <w:rsid w:val="007E7368"/>
    <w:rsid w:val="007E7938"/>
    <w:rsid w:val="007E7FD3"/>
    <w:rsid w:val="007F0E39"/>
    <w:rsid w:val="007F2085"/>
    <w:rsid w:val="007F280F"/>
    <w:rsid w:val="007F378A"/>
    <w:rsid w:val="007F3B5A"/>
    <w:rsid w:val="007F58BA"/>
    <w:rsid w:val="007F5A64"/>
    <w:rsid w:val="007F6496"/>
    <w:rsid w:val="007F70F5"/>
    <w:rsid w:val="007F7DA9"/>
    <w:rsid w:val="00800C71"/>
    <w:rsid w:val="00801E50"/>
    <w:rsid w:val="008026E1"/>
    <w:rsid w:val="00803102"/>
    <w:rsid w:val="0080567F"/>
    <w:rsid w:val="008079CB"/>
    <w:rsid w:val="0081070B"/>
    <w:rsid w:val="00811F01"/>
    <w:rsid w:val="00814923"/>
    <w:rsid w:val="0081506E"/>
    <w:rsid w:val="008208BE"/>
    <w:rsid w:val="00820E38"/>
    <w:rsid w:val="0082257F"/>
    <w:rsid w:val="008242DA"/>
    <w:rsid w:val="00824B67"/>
    <w:rsid w:val="00825BA1"/>
    <w:rsid w:val="00826BED"/>
    <w:rsid w:val="0082794F"/>
    <w:rsid w:val="00831BB8"/>
    <w:rsid w:val="00832A34"/>
    <w:rsid w:val="00832F53"/>
    <w:rsid w:val="00834434"/>
    <w:rsid w:val="0083502E"/>
    <w:rsid w:val="00835097"/>
    <w:rsid w:val="008411F4"/>
    <w:rsid w:val="00842585"/>
    <w:rsid w:val="0084282C"/>
    <w:rsid w:val="00843F37"/>
    <w:rsid w:val="008442DA"/>
    <w:rsid w:val="008445BF"/>
    <w:rsid w:val="008447F9"/>
    <w:rsid w:val="00844C77"/>
    <w:rsid w:val="00844DE9"/>
    <w:rsid w:val="008455B7"/>
    <w:rsid w:val="00845D08"/>
    <w:rsid w:val="00846736"/>
    <w:rsid w:val="00846DDE"/>
    <w:rsid w:val="00847428"/>
    <w:rsid w:val="00850F9C"/>
    <w:rsid w:val="008516C9"/>
    <w:rsid w:val="00851BB7"/>
    <w:rsid w:val="00852126"/>
    <w:rsid w:val="00852C46"/>
    <w:rsid w:val="00852CF6"/>
    <w:rsid w:val="00853D11"/>
    <w:rsid w:val="00853D3B"/>
    <w:rsid w:val="008543BB"/>
    <w:rsid w:val="008543FE"/>
    <w:rsid w:val="008547A6"/>
    <w:rsid w:val="008561C0"/>
    <w:rsid w:val="00856E6F"/>
    <w:rsid w:val="00857048"/>
    <w:rsid w:val="00857725"/>
    <w:rsid w:val="00857811"/>
    <w:rsid w:val="0085783A"/>
    <w:rsid w:val="00861AAC"/>
    <w:rsid w:val="00862135"/>
    <w:rsid w:val="00862CC7"/>
    <w:rsid w:val="00862E06"/>
    <w:rsid w:val="008655A8"/>
    <w:rsid w:val="008663C9"/>
    <w:rsid w:val="00866D1E"/>
    <w:rsid w:val="008675B7"/>
    <w:rsid w:val="00870B28"/>
    <w:rsid w:val="00875C31"/>
    <w:rsid w:val="00876078"/>
    <w:rsid w:val="008760A0"/>
    <w:rsid w:val="00876F9F"/>
    <w:rsid w:val="00880D12"/>
    <w:rsid w:val="00881D85"/>
    <w:rsid w:val="00882F71"/>
    <w:rsid w:val="008841EB"/>
    <w:rsid w:val="00885334"/>
    <w:rsid w:val="008856B1"/>
    <w:rsid w:val="00885BD4"/>
    <w:rsid w:val="00886942"/>
    <w:rsid w:val="00886AF3"/>
    <w:rsid w:val="00886D6C"/>
    <w:rsid w:val="00887B90"/>
    <w:rsid w:val="00887C0F"/>
    <w:rsid w:val="00890B65"/>
    <w:rsid w:val="00890CFA"/>
    <w:rsid w:val="008914B3"/>
    <w:rsid w:val="00891ECB"/>
    <w:rsid w:val="0089527A"/>
    <w:rsid w:val="00895855"/>
    <w:rsid w:val="00896F36"/>
    <w:rsid w:val="008977B6"/>
    <w:rsid w:val="008979E9"/>
    <w:rsid w:val="008A09AE"/>
    <w:rsid w:val="008A23CE"/>
    <w:rsid w:val="008A4DC9"/>
    <w:rsid w:val="008A583C"/>
    <w:rsid w:val="008A781A"/>
    <w:rsid w:val="008A7F08"/>
    <w:rsid w:val="008B0C89"/>
    <w:rsid w:val="008B1B42"/>
    <w:rsid w:val="008B5D5A"/>
    <w:rsid w:val="008B6AFD"/>
    <w:rsid w:val="008B6C40"/>
    <w:rsid w:val="008C11CB"/>
    <w:rsid w:val="008C1B1C"/>
    <w:rsid w:val="008C247B"/>
    <w:rsid w:val="008C24A0"/>
    <w:rsid w:val="008C28B2"/>
    <w:rsid w:val="008C2CF0"/>
    <w:rsid w:val="008C2F44"/>
    <w:rsid w:val="008C3A8D"/>
    <w:rsid w:val="008C489F"/>
    <w:rsid w:val="008C5371"/>
    <w:rsid w:val="008C5465"/>
    <w:rsid w:val="008C5E57"/>
    <w:rsid w:val="008C67D7"/>
    <w:rsid w:val="008C7B9B"/>
    <w:rsid w:val="008D3201"/>
    <w:rsid w:val="008D36EB"/>
    <w:rsid w:val="008D3773"/>
    <w:rsid w:val="008D4626"/>
    <w:rsid w:val="008D59D1"/>
    <w:rsid w:val="008D769E"/>
    <w:rsid w:val="008D76E2"/>
    <w:rsid w:val="008D79CB"/>
    <w:rsid w:val="008E1470"/>
    <w:rsid w:val="008E1872"/>
    <w:rsid w:val="008E5F37"/>
    <w:rsid w:val="008E6D21"/>
    <w:rsid w:val="008E6E2B"/>
    <w:rsid w:val="008F1704"/>
    <w:rsid w:val="008F2102"/>
    <w:rsid w:val="008F2538"/>
    <w:rsid w:val="008F2AB1"/>
    <w:rsid w:val="008F2FFC"/>
    <w:rsid w:val="008F3C2C"/>
    <w:rsid w:val="008F4110"/>
    <w:rsid w:val="008F4477"/>
    <w:rsid w:val="008F482F"/>
    <w:rsid w:val="008F590B"/>
    <w:rsid w:val="00902072"/>
    <w:rsid w:val="00902EA1"/>
    <w:rsid w:val="00904A40"/>
    <w:rsid w:val="00904FDF"/>
    <w:rsid w:val="0090501F"/>
    <w:rsid w:val="00905F98"/>
    <w:rsid w:val="00906C97"/>
    <w:rsid w:val="00911859"/>
    <w:rsid w:val="00911DB0"/>
    <w:rsid w:val="00911E2B"/>
    <w:rsid w:val="00912C7F"/>
    <w:rsid w:val="00912E1F"/>
    <w:rsid w:val="0091417E"/>
    <w:rsid w:val="0091427A"/>
    <w:rsid w:val="00915556"/>
    <w:rsid w:val="009155A4"/>
    <w:rsid w:val="00915898"/>
    <w:rsid w:val="00915AA7"/>
    <w:rsid w:val="009165B8"/>
    <w:rsid w:val="00916BEA"/>
    <w:rsid w:val="00920372"/>
    <w:rsid w:val="00920BC7"/>
    <w:rsid w:val="00921331"/>
    <w:rsid w:val="009214F4"/>
    <w:rsid w:val="009219C8"/>
    <w:rsid w:val="00922E33"/>
    <w:rsid w:val="009230EE"/>
    <w:rsid w:val="009237FC"/>
    <w:rsid w:val="009249C9"/>
    <w:rsid w:val="00924E74"/>
    <w:rsid w:val="009252AF"/>
    <w:rsid w:val="00925559"/>
    <w:rsid w:val="00927713"/>
    <w:rsid w:val="00927FF1"/>
    <w:rsid w:val="009307D0"/>
    <w:rsid w:val="009316D9"/>
    <w:rsid w:val="0093231E"/>
    <w:rsid w:val="00934AF8"/>
    <w:rsid w:val="00936221"/>
    <w:rsid w:val="009363FE"/>
    <w:rsid w:val="00936FFE"/>
    <w:rsid w:val="00940637"/>
    <w:rsid w:val="00940670"/>
    <w:rsid w:val="00940705"/>
    <w:rsid w:val="00941136"/>
    <w:rsid w:val="00941450"/>
    <w:rsid w:val="0094319E"/>
    <w:rsid w:val="009444B7"/>
    <w:rsid w:val="009456BC"/>
    <w:rsid w:val="009456EE"/>
    <w:rsid w:val="0094665F"/>
    <w:rsid w:val="009471D7"/>
    <w:rsid w:val="00950157"/>
    <w:rsid w:val="009512B4"/>
    <w:rsid w:val="009516F7"/>
    <w:rsid w:val="00952FB9"/>
    <w:rsid w:val="00955766"/>
    <w:rsid w:val="0095798C"/>
    <w:rsid w:val="009601EF"/>
    <w:rsid w:val="0096105D"/>
    <w:rsid w:val="0096226A"/>
    <w:rsid w:val="0096371F"/>
    <w:rsid w:val="00963C07"/>
    <w:rsid w:val="00964870"/>
    <w:rsid w:val="00967148"/>
    <w:rsid w:val="009721F3"/>
    <w:rsid w:val="009727DB"/>
    <w:rsid w:val="00972803"/>
    <w:rsid w:val="00973CCE"/>
    <w:rsid w:val="00974106"/>
    <w:rsid w:val="009743E8"/>
    <w:rsid w:val="00974CDE"/>
    <w:rsid w:val="0098091D"/>
    <w:rsid w:val="00980CA3"/>
    <w:rsid w:val="0098184F"/>
    <w:rsid w:val="009821F1"/>
    <w:rsid w:val="00982847"/>
    <w:rsid w:val="00983418"/>
    <w:rsid w:val="00984601"/>
    <w:rsid w:val="009858CB"/>
    <w:rsid w:val="009864EE"/>
    <w:rsid w:val="00986A86"/>
    <w:rsid w:val="00986E56"/>
    <w:rsid w:val="009876D1"/>
    <w:rsid w:val="00990921"/>
    <w:rsid w:val="00991121"/>
    <w:rsid w:val="0099205D"/>
    <w:rsid w:val="0099586E"/>
    <w:rsid w:val="00995F39"/>
    <w:rsid w:val="0099693B"/>
    <w:rsid w:val="00996D05"/>
    <w:rsid w:val="00997544"/>
    <w:rsid w:val="009976D0"/>
    <w:rsid w:val="009A07E5"/>
    <w:rsid w:val="009A2048"/>
    <w:rsid w:val="009A2B3C"/>
    <w:rsid w:val="009A3971"/>
    <w:rsid w:val="009A4405"/>
    <w:rsid w:val="009A60AE"/>
    <w:rsid w:val="009A67F5"/>
    <w:rsid w:val="009A7626"/>
    <w:rsid w:val="009A79F1"/>
    <w:rsid w:val="009A7B03"/>
    <w:rsid w:val="009A7B22"/>
    <w:rsid w:val="009A7C76"/>
    <w:rsid w:val="009B0210"/>
    <w:rsid w:val="009B0448"/>
    <w:rsid w:val="009B08EF"/>
    <w:rsid w:val="009B0BEE"/>
    <w:rsid w:val="009B1667"/>
    <w:rsid w:val="009B27BF"/>
    <w:rsid w:val="009B2C61"/>
    <w:rsid w:val="009B2D76"/>
    <w:rsid w:val="009B31E0"/>
    <w:rsid w:val="009B457F"/>
    <w:rsid w:val="009B4AE8"/>
    <w:rsid w:val="009B4BCB"/>
    <w:rsid w:val="009B560F"/>
    <w:rsid w:val="009B622F"/>
    <w:rsid w:val="009B65D2"/>
    <w:rsid w:val="009B69B1"/>
    <w:rsid w:val="009B7874"/>
    <w:rsid w:val="009C0549"/>
    <w:rsid w:val="009C06BE"/>
    <w:rsid w:val="009C0BD7"/>
    <w:rsid w:val="009C1445"/>
    <w:rsid w:val="009C2364"/>
    <w:rsid w:val="009C3282"/>
    <w:rsid w:val="009C3EA9"/>
    <w:rsid w:val="009C4239"/>
    <w:rsid w:val="009C4F31"/>
    <w:rsid w:val="009C65C3"/>
    <w:rsid w:val="009D0406"/>
    <w:rsid w:val="009D2785"/>
    <w:rsid w:val="009D279C"/>
    <w:rsid w:val="009D443E"/>
    <w:rsid w:val="009D44CC"/>
    <w:rsid w:val="009D5BCA"/>
    <w:rsid w:val="009D71AF"/>
    <w:rsid w:val="009D7FBF"/>
    <w:rsid w:val="009E051B"/>
    <w:rsid w:val="009E08BB"/>
    <w:rsid w:val="009E321B"/>
    <w:rsid w:val="009E3685"/>
    <w:rsid w:val="009E3BA4"/>
    <w:rsid w:val="009E54F5"/>
    <w:rsid w:val="009E55BA"/>
    <w:rsid w:val="009E5B5E"/>
    <w:rsid w:val="009E6537"/>
    <w:rsid w:val="009E7939"/>
    <w:rsid w:val="009F06AF"/>
    <w:rsid w:val="009F0E5D"/>
    <w:rsid w:val="009F60C7"/>
    <w:rsid w:val="009F6104"/>
    <w:rsid w:val="009F663E"/>
    <w:rsid w:val="009F6718"/>
    <w:rsid w:val="009F6B6F"/>
    <w:rsid w:val="009F6D78"/>
    <w:rsid w:val="009F72C3"/>
    <w:rsid w:val="009F7C78"/>
    <w:rsid w:val="009F7DB4"/>
    <w:rsid w:val="00A000B0"/>
    <w:rsid w:val="00A00528"/>
    <w:rsid w:val="00A0112A"/>
    <w:rsid w:val="00A01318"/>
    <w:rsid w:val="00A0184D"/>
    <w:rsid w:val="00A019B4"/>
    <w:rsid w:val="00A020F8"/>
    <w:rsid w:val="00A02261"/>
    <w:rsid w:val="00A06245"/>
    <w:rsid w:val="00A07F11"/>
    <w:rsid w:val="00A12FCF"/>
    <w:rsid w:val="00A14265"/>
    <w:rsid w:val="00A15204"/>
    <w:rsid w:val="00A15818"/>
    <w:rsid w:val="00A15BAC"/>
    <w:rsid w:val="00A220FC"/>
    <w:rsid w:val="00A22F98"/>
    <w:rsid w:val="00A2404F"/>
    <w:rsid w:val="00A240B4"/>
    <w:rsid w:val="00A2485D"/>
    <w:rsid w:val="00A268E9"/>
    <w:rsid w:val="00A3043D"/>
    <w:rsid w:val="00A31A4A"/>
    <w:rsid w:val="00A326A0"/>
    <w:rsid w:val="00A33FC8"/>
    <w:rsid w:val="00A34386"/>
    <w:rsid w:val="00A35141"/>
    <w:rsid w:val="00A35AD5"/>
    <w:rsid w:val="00A35D2A"/>
    <w:rsid w:val="00A3656C"/>
    <w:rsid w:val="00A4050C"/>
    <w:rsid w:val="00A4068F"/>
    <w:rsid w:val="00A42F6D"/>
    <w:rsid w:val="00A43123"/>
    <w:rsid w:val="00A4358F"/>
    <w:rsid w:val="00A43CA5"/>
    <w:rsid w:val="00A44DC8"/>
    <w:rsid w:val="00A45BE3"/>
    <w:rsid w:val="00A4640C"/>
    <w:rsid w:val="00A46440"/>
    <w:rsid w:val="00A468EA"/>
    <w:rsid w:val="00A4761B"/>
    <w:rsid w:val="00A47D9A"/>
    <w:rsid w:val="00A52424"/>
    <w:rsid w:val="00A54D7F"/>
    <w:rsid w:val="00A5562F"/>
    <w:rsid w:val="00A5569D"/>
    <w:rsid w:val="00A55CE0"/>
    <w:rsid w:val="00A56262"/>
    <w:rsid w:val="00A56305"/>
    <w:rsid w:val="00A563F2"/>
    <w:rsid w:val="00A57913"/>
    <w:rsid w:val="00A601D9"/>
    <w:rsid w:val="00A606AA"/>
    <w:rsid w:val="00A61E98"/>
    <w:rsid w:val="00A629C6"/>
    <w:rsid w:val="00A6356B"/>
    <w:rsid w:val="00A638C5"/>
    <w:rsid w:val="00A64369"/>
    <w:rsid w:val="00A6554D"/>
    <w:rsid w:val="00A65802"/>
    <w:rsid w:val="00A65C30"/>
    <w:rsid w:val="00A66406"/>
    <w:rsid w:val="00A701B2"/>
    <w:rsid w:val="00A70A61"/>
    <w:rsid w:val="00A71421"/>
    <w:rsid w:val="00A71637"/>
    <w:rsid w:val="00A71891"/>
    <w:rsid w:val="00A72927"/>
    <w:rsid w:val="00A731F8"/>
    <w:rsid w:val="00A73CB4"/>
    <w:rsid w:val="00A741C4"/>
    <w:rsid w:val="00A752AC"/>
    <w:rsid w:val="00A756CA"/>
    <w:rsid w:val="00A76255"/>
    <w:rsid w:val="00A76902"/>
    <w:rsid w:val="00A82101"/>
    <w:rsid w:val="00A83BB3"/>
    <w:rsid w:val="00A83C13"/>
    <w:rsid w:val="00A83DED"/>
    <w:rsid w:val="00A84DB9"/>
    <w:rsid w:val="00A84E25"/>
    <w:rsid w:val="00A85683"/>
    <w:rsid w:val="00A872F7"/>
    <w:rsid w:val="00A903EB"/>
    <w:rsid w:val="00A9049F"/>
    <w:rsid w:val="00A9156F"/>
    <w:rsid w:val="00A91F5F"/>
    <w:rsid w:val="00A92938"/>
    <w:rsid w:val="00A92F35"/>
    <w:rsid w:val="00A9445F"/>
    <w:rsid w:val="00A94DB4"/>
    <w:rsid w:val="00A95A02"/>
    <w:rsid w:val="00A96358"/>
    <w:rsid w:val="00A96DEF"/>
    <w:rsid w:val="00A96E56"/>
    <w:rsid w:val="00A97B98"/>
    <w:rsid w:val="00AA123A"/>
    <w:rsid w:val="00AA1C96"/>
    <w:rsid w:val="00AA209B"/>
    <w:rsid w:val="00AA3343"/>
    <w:rsid w:val="00AA4CB8"/>
    <w:rsid w:val="00AA61C8"/>
    <w:rsid w:val="00AA6279"/>
    <w:rsid w:val="00AB0359"/>
    <w:rsid w:val="00AB1773"/>
    <w:rsid w:val="00AB2FA4"/>
    <w:rsid w:val="00AB4B42"/>
    <w:rsid w:val="00AB67D5"/>
    <w:rsid w:val="00AB6C2F"/>
    <w:rsid w:val="00AC1FFB"/>
    <w:rsid w:val="00AC2DC8"/>
    <w:rsid w:val="00AC30F3"/>
    <w:rsid w:val="00AC720A"/>
    <w:rsid w:val="00AC740D"/>
    <w:rsid w:val="00AC7FD0"/>
    <w:rsid w:val="00AD2159"/>
    <w:rsid w:val="00AD26A9"/>
    <w:rsid w:val="00AD3191"/>
    <w:rsid w:val="00AD4C0D"/>
    <w:rsid w:val="00AD578D"/>
    <w:rsid w:val="00AD597A"/>
    <w:rsid w:val="00AD67D4"/>
    <w:rsid w:val="00AD7775"/>
    <w:rsid w:val="00AD7A4D"/>
    <w:rsid w:val="00AE146E"/>
    <w:rsid w:val="00AE1FC9"/>
    <w:rsid w:val="00AE3245"/>
    <w:rsid w:val="00AE3F8C"/>
    <w:rsid w:val="00AE46B8"/>
    <w:rsid w:val="00AF0DDC"/>
    <w:rsid w:val="00AF27E1"/>
    <w:rsid w:val="00AF54A3"/>
    <w:rsid w:val="00AF5F61"/>
    <w:rsid w:val="00AF733E"/>
    <w:rsid w:val="00AF7ADC"/>
    <w:rsid w:val="00AF7C00"/>
    <w:rsid w:val="00B000D6"/>
    <w:rsid w:val="00B006BF"/>
    <w:rsid w:val="00B010BB"/>
    <w:rsid w:val="00B01ADB"/>
    <w:rsid w:val="00B022E5"/>
    <w:rsid w:val="00B025B8"/>
    <w:rsid w:val="00B02C1E"/>
    <w:rsid w:val="00B03584"/>
    <w:rsid w:val="00B05414"/>
    <w:rsid w:val="00B07743"/>
    <w:rsid w:val="00B10A75"/>
    <w:rsid w:val="00B10E0C"/>
    <w:rsid w:val="00B10FA2"/>
    <w:rsid w:val="00B11061"/>
    <w:rsid w:val="00B111B9"/>
    <w:rsid w:val="00B1225F"/>
    <w:rsid w:val="00B128E1"/>
    <w:rsid w:val="00B12930"/>
    <w:rsid w:val="00B12EB4"/>
    <w:rsid w:val="00B210CA"/>
    <w:rsid w:val="00B21671"/>
    <w:rsid w:val="00B21D01"/>
    <w:rsid w:val="00B22D42"/>
    <w:rsid w:val="00B23857"/>
    <w:rsid w:val="00B239D7"/>
    <w:rsid w:val="00B24F59"/>
    <w:rsid w:val="00B25190"/>
    <w:rsid w:val="00B25DF1"/>
    <w:rsid w:val="00B25F94"/>
    <w:rsid w:val="00B265CA"/>
    <w:rsid w:val="00B26A79"/>
    <w:rsid w:val="00B30A63"/>
    <w:rsid w:val="00B31C91"/>
    <w:rsid w:val="00B338E0"/>
    <w:rsid w:val="00B339A6"/>
    <w:rsid w:val="00B3553C"/>
    <w:rsid w:val="00B35A7E"/>
    <w:rsid w:val="00B35C98"/>
    <w:rsid w:val="00B3610F"/>
    <w:rsid w:val="00B36911"/>
    <w:rsid w:val="00B3694C"/>
    <w:rsid w:val="00B373E5"/>
    <w:rsid w:val="00B3784C"/>
    <w:rsid w:val="00B403C7"/>
    <w:rsid w:val="00B40A64"/>
    <w:rsid w:val="00B41F89"/>
    <w:rsid w:val="00B43674"/>
    <w:rsid w:val="00B43D7D"/>
    <w:rsid w:val="00B43EA5"/>
    <w:rsid w:val="00B44A61"/>
    <w:rsid w:val="00B44F8C"/>
    <w:rsid w:val="00B460F9"/>
    <w:rsid w:val="00B4658A"/>
    <w:rsid w:val="00B46BE1"/>
    <w:rsid w:val="00B504FC"/>
    <w:rsid w:val="00B50657"/>
    <w:rsid w:val="00B51D41"/>
    <w:rsid w:val="00B5410B"/>
    <w:rsid w:val="00B547F3"/>
    <w:rsid w:val="00B54ED3"/>
    <w:rsid w:val="00B552C8"/>
    <w:rsid w:val="00B56222"/>
    <w:rsid w:val="00B5744D"/>
    <w:rsid w:val="00B60B1C"/>
    <w:rsid w:val="00B60E22"/>
    <w:rsid w:val="00B6155C"/>
    <w:rsid w:val="00B6275C"/>
    <w:rsid w:val="00B62B7B"/>
    <w:rsid w:val="00B6589E"/>
    <w:rsid w:val="00B65D26"/>
    <w:rsid w:val="00B66488"/>
    <w:rsid w:val="00B664FC"/>
    <w:rsid w:val="00B66E58"/>
    <w:rsid w:val="00B67BC5"/>
    <w:rsid w:val="00B67E02"/>
    <w:rsid w:val="00B714E4"/>
    <w:rsid w:val="00B71BBA"/>
    <w:rsid w:val="00B71DDF"/>
    <w:rsid w:val="00B72AFC"/>
    <w:rsid w:val="00B73C4D"/>
    <w:rsid w:val="00B7448C"/>
    <w:rsid w:val="00B74BF4"/>
    <w:rsid w:val="00B756D8"/>
    <w:rsid w:val="00B75AD9"/>
    <w:rsid w:val="00B75ECE"/>
    <w:rsid w:val="00B76491"/>
    <w:rsid w:val="00B767EC"/>
    <w:rsid w:val="00B76F04"/>
    <w:rsid w:val="00B82E66"/>
    <w:rsid w:val="00B83F65"/>
    <w:rsid w:val="00B8491C"/>
    <w:rsid w:val="00B85328"/>
    <w:rsid w:val="00B859CA"/>
    <w:rsid w:val="00B85F5C"/>
    <w:rsid w:val="00B90D12"/>
    <w:rsid w:val="00B90FE9"/>
    <w:rsid w:val="00B92A68"/>
    <w:rsid w:val="00B93208"/>
    <w:rsid w:val="00B935E7"/>
    <w:rsid w:val="00B93626"/>
    <w:rsid w:val="00B93E8A"/>
    <w:rsid w:val="00B945C8"/>
    <w:rsid w:val="00B94A08"/>
    <w:rsid w:val="00B94B32"/>
    <w:rsid w:val="00B95220"/>
    <w:rsid w:val="00B956F0"/>
    <w:rsid w:val="00B95B46"/>
    <w:rsid w:val="00B97215"/>
    <w:rsid w:val="00BA004C"/>
    <w:rsid w:val="00BA00D2"/>
    <w:rsid w:val="00BA13E7"/>
    <w:rsid w:val="00BA25A3"/>
    <w:rsid w:val="00BA2875"/>
    <w:rsid w:val="00BA3A10"/>
    <w:rsid w:val="00BA423F"/>
    <w:rsid w:val="00BA49FA"/>
    <w:rsid w:val="00BA5147"/>
    <w:rsid w:val="00BA59CB"/>
    <w:rsid w:val="00BA64D1"/>
    <w:rsid w:val="00BB0E39"/>
    <w:rsid w:val="00BB0F21"/>
    <w:rsid w:val="00BB1743"/>
    <w:rsid w:val="00BB2376"/>
    <w:rsid w:val="00BB27FD"/>
    <w:rsid w:val="00BB3804"/>
    <w:rsid w:val="00BB4328"/>
    <w:rsid w:val="00BB49F8"/>
    <w:rsid w:val="00BB4DD9"/>
    <w:rsid w:val="00BB5B30"/>
    <w:rsid w:val="00BB6410"/>
    <w:rsid w:val="00BB6967"/>
    <w:rsid w:val="00BB76E7"/>
    <w:rsid w:val="00BB7C5A"/>
    <w:rsid w:val="00BB7D61"/>
    <w:rsid w:val="00BC14CF"/>
    <w:rsid w:val="00BC1B16"/>
    <w:rsid w:val="00BC2A5F"/>
    <w:rsid w:val="00BC2D8F"/>
    <w:rsid w:val="00BC31E7"/>
    <w:rsid w:val="00BC3F75"/>
    <w:rsid w:val="00BC421E"/>
    <w:rsid w:val="00BC4862"/>
    <w:rsid w:val="00BC5A99"/>
    <w:rsid w:val="00BC6FFD"/>
    <w:rsid w:val="00BC7A02"/>
    <w:rsid w:val="00BD081B"/>
    <w:rsid w:val="00BD15A3"/>
    <w:rsid w:val="00BD1658"/>
    <w:rsid w:val="00BD26C9"/>
    <w:rsid w:val="00BD36EF"/>
    <w:rsid w:val="00BD3A92"/>
    <w:rsid w:val="00BD52D3"/>
    <w:rsid w:val="00BD7103"/>
    <w:rsid w:val="00BE0300"/>
    <w:rsid w:val="00BE0F9E"/>
    <w:rsid w:val="00BE1519"/>
    <w:rsid w:val="00BE2887"/>
    <w:rsid w:val="00BE4352"/>
    <w:rsid w:val="00BE4B1A"/>
    <w:rsid w:val="00BE5D25"/>
    <w:rsid w:val="00BE7551"/>
    <w:rsid w:val="00BE797F"/>
    <w:rsid w:val="00BF034A"/>
    <w:rsid w:val="00BF0B9B"/>
    <w:rsid w:val="00BF2373"/>
    <w:rsid w:val="00BF3213"/>
    <w:rsid w:val="00BF3EDF"/>
    <w:rsid w:val="00BF4BA6"/>
    <w:rsid w:val="00BF4ECE"/>
    <w:rsid w:val="00BF714A"/>
    <w:rsid w:val="00C00333"/>
    <w:rsid w:val="00C00342"/>
    <w:rsid w:val="00C00D41"/>
    <w:rsid w:val="00C016E4"/>
    <w:rsid w:val="00C023E6"/>
    <w:rsid w:val="00C028E6"/>
    <w:rsid w:val="00C0291F"/>
    <w:rsid w:val="00C03D85"/>
    <w:rsid w:val="00C042C1"/>
    <w:rsid w:val="00C04D91"/>
    <w:rsid w:val="00C05717"/>
    <w:rsid w:val="00C058C3"/>
    <w:rsid w:val="00C06396"/>
    <w:rsid w:val="00C07E9B"/>
    <w:rsid w:val="00C1015F"/>
    <w:rsid w:val="00C111B6"/>
    <w:rsid w:val="00C12083"/>
    <w:rsid w:val="00C122CB"/>
    <w:rsid w:val="00C12594"/>
    <w:rsid w:val="00C158C8"/>
    <w:rsid w:val="00C17545"/>
    <w:rsid w:val="00C22172"/>
    <w:rsid w:val="00C22AA8"/>
    <w:rsid w:val="00C22AAF"/>
    <w:rsid w:val="00C23156"/>
    <w:rsid w:val="00C23C4E"/>
    <w:rsid w:val="00C240F9"/>
    <w:rsid w:val="00C24E94"/>
    <w:rsid w:val="00C26A1E"/>
    <w:rsid w:val="00C26BC6"/>
    <w:rsid w:val="00C3075C"/>
    <w:rsid w:val="00C30A79"/>
    <w:rsid w:val="00C31CCA"/>
    <w:rsid w:val="00C32D81"/>
    <w:rsid w:val="00C331B9"/>
    <w:rsid w:val="00C33B2D"/>
    <w:rsid w:val="00C34DB4"/>
    <w:rsid w:val="00C35416"/>
    <w:rsid w:val="00C35B58"/>
    <w:rsid w:val="00C369FC"/>
    <w:rsid w:val="00C37494"/>
    <w:rsid w:val="00C4173B"/>
    <w:rsid w:val="00C41749"/>
    <w:rsid w:val="00C4252E"/>
    <w:rsid w:val="00C42B58"/>
    <w:rsid w:val="00C43CA8"/>
    <w:rsid w:val="00C45A30"/>
    <w:rsid w:val="00C45ECC"/>
    <w:rsid w:val="00C45ED0"/>
    <w:rsid w:val="00C469E7"/>
    <w:rsid w:val="00C4768C"/>
    <w:rsid w:val="00C513AD"/>
    <w:rsid w:val="00C51671"/>
    <w:rsid w:val="00C51866"/>
    <w:rsid w:val="00C52E05"/>
    <w:rsid w:val="00C53C33"/>
    <w:rsid w:val="00C564D2"/>
    <w:rsid w:val="00C56BAF"/>
    <w:rsid w:val="00C6027A"/>
    <w:rsid w:val="00C607FD"/>
    <w:rsid w:val="00C608BF"/>
    <w:rsid w:val="00C611C0"/>
    <w:rsid w:val="00C62177"/>
    <w:rsid w:val="00C621FA"/>
    <w:rsid w:val="00C62E8D"/>
    <w:rsid w:val="00C64D2A"/>
    <w:rsid w:val="00C65001"/>
    <w:rsid w:val="00C65522"/>
    <w:rsid w:val="00C71A07"/>
    <w:rsid w:val="00C73545"/>
    <w:rsid w:val="00C74374"/>
    <w:rsid w:val="00C763D9"/>
    <w:rsid w:val="00C768B7"/>
    <w:rsid w:val="00C774F2"/>
    <w:rsid w:val="00C77A14"/>
    <w:rsid w:val="00C77B1C"/>
    <w:rsid w:val="00C80FAA"/>
    <w:rsid w:val="00C810FF"/>
    <w:rsid w:val="00C81F20"/>
    <w:rsid w:val="00C839BF"/>
    <w:rsid w:val="00C84557"/>
    <w:rsid w:val="00C853C4"/>
    <w:rsid w:val="00C85505"/>
    <w:rsid w:val="00C85A17"/>
    <w:rsid w:val="00C85BFB"/>
    <w:rsid w:val="00C85E78"/>
    <w:rsid w:val="00C8727F"/>
    <w:rsid w:val="00C912B1"/>
    <w:rsid w:val="00C91B58"/>
    <w:rsid w:val="00C9337E"/>
    <w:rsid w:val="00C937D1"/>
    <w:rsid w:val="00C93C06"/>
    <w:rsid w:val="00C95A4E"/>
    <w:rsid w:val="00C95DAC"/>
    <w:rsid w:val="00C96004"/>
    <w:rsid w:val="00CA0DD6"/>
    <w:rsid w:val="00CA3632"/>
    <w:rsid w:val="00CA3F3F"/>
    <w:rsid w:val="00CA5685"/>
    <w:rsid w:val="00CA72DC"/>
    <w:rsid w:val="00CA7C29"/>
    <w:rsid w:val="00CB05CA"/>
    <w:rsid w:val="00CB09FC"/>
    <w:rsid w:val="00CB1E5D"/>
    <w:rsid w:val="00CB1EB5"/>
    <w:rsid w:val="00CB29A1"/>
    <w:rsid w:val="00CB2C09"/>
    <w:rsid w:val="00CB2E3F"/>
    <w:rsid w:val="00CB316C"/>
    <w:rsid w:val="00CB4625"/>
    <w:rsid w:val="00CB4D63"/>
    <w:rsid w:val="00CB72F4"/>
    <w:rsid w:val="00CC0775"/>
    <w:rsid w:val="00CC0A54"/>
    <w:rsid w:val="00CC0C74"/>
    <w:rsid w:val="00CC1080"/>
    <w:rsid w:val="00CC2035"/>
    <w:rsid w:val="00CC30F3"/>
    <w:rsid w:val="00CC4118"/>
    <w:rsid w:val="00CC4302"/>
    <w:rsid w:val="00CC697B"/>
    <w:rsid w:val="00CD0F90"/>
    <w:rsid w:val="00CD2458"/>
    <w:rsid w:val="00CD4080"/>
    <w:rsid w:val="00CD58DD"/>
    <w:rsid w:val="00CD6161"/>
    <w:rsid w:val="00CE0154"/>
    <w:rsid w:val="00CE1AC2"/>
    <w:rsid w:val="00CE645E"/>
    <w:rsid w:val="00CE6855"/>
    <w:rsid w:val="00CF0B98"/>
    <w:rsid w:val="00CF1801"/>
    <w:rsid w:val="00CF1B31"/>
    <w:rsid w:val="00CF1DC1"/>
    <w:rsid w:val="00CF2311"/>
    <w:rsid w:val="00CF24BE"/>
    <w:rsid w:val="00CF2D8C"/>
    <w:rsid w:val="00CF3112"/>
    <w:rsid w:val="00CF39E2"/>
    <w:rsid w:val="00CF3CD5"/>
    <w:rsid w:val="00CF4AE0"/>
    <w:rsid w:val="00CF4F06"/>
    <w:rsid w:val="00CF4FED"/>
    <w:rsid w:val="00CF58F3"/>
    <w:rsid w:val="00D028F2"/>
    <w:rsid w:val="00D02D54"/>
    <w:rsid w:val="00D030DA"/>
    <w:rsid w:val="00D038D3"/>
    <w:rsid w:val="00D03E03"/>
    <w:rsid w:val="00D06EC8"/>
    <w:rsid w:val="00D07875"/>
    <w:rsid w:val="00D10F4B"/>
    <w:rsid w:val="00D11685"/>
    <w:rsid w:val="00D1223C"/>
    <w:rsid w:val="00D12B3F"/>
    <w:rsid w:val="00D1456C"/>
    <w:rsid w:val="00D156BE"/>
    <w:rsid w:val="00D15FF7"/>
    <w:rsid w:val="00D1676C"/>
    <w:rsid w:val="00D171D2"/>
    <w:rsid w:val="00D1728A"/>
    <w:rsid w:val="00D207D7"/>
    <w:rsid w:val="00D20C9A"/>
    <w:rsid w:val="00D21D85"/>
    <w:rsid w:val="00D21F68"/>
    <w:rsid w:val="00D22B86"/>
    <w:rsid w:val="00D2312D"/>
    <w:rsid w:val="00D231A0"/>
    <w:rsid w:val="00D2661A"/>
    <w:rsid w:val="00D27EA6"/>
    <w:rsid w:val="00D31759"/>
    <w:rsid w:val="00D32544"/>
    <w:rsid w:val="00D337D5"/>
    <w:rsid w:val="00D3404A"/>
    <w:rsid w:val="00D341BA"/>
    <w:rsid w:val="00D34303"/>
    <w:rsid w:val="00D35F7D"/>
    <w:rsid w:val="00D3633F"/>
    <w:rsid w:val="00D36998"/>
    <w:rsid w:val="00D37DC0"/>
    <w:rsid w:val="00D400B6"/>
    <w:rsid w:val="00D433BF"/>
    <w:rsid w:val="00D433CA"/>
    <w:rsid w:val="00D46CA3"/>
    <w:rsid w:val="00D47E63"/>
    <w:rsid w:val="00D47FFD"/>
    <w:rsid w:val="00D50452"/>
    <w:rsid w:val="00D50DEB"/>
    <w:rsid w:val="00D51029"/>
    <w:rsid w:val="00D51110"/>
    <w:rsid w:val="00D51DCC"/>
    <w:rsid w:val="00D523D0"/>
    <w:rsid w:val="00D53A35"/>
    <w:rsid w:val="00D549EC"/>
    <w:rsid w:val="00D5701F"/>
    <w:rsid w:val="00D6005F"/>
    <w:rsid w:val="00D61834"/>
    <w:rsid w:val="00D61CE1"/>
    <w:rsid w:val="00D62C7A"/>
    <w:rsid w:val="00D634EC"/>
    <w:rsid w:val="00D661D5"/>
    <w:rsid w:val="00D6631D"/>
    <w:rsid w:val="00D667A6"/>
    <w:rsid w:val="00D66879"/>
    <w:rsid w:val="00D66DB5"/>
    <w:rsid w:val="00D67677"/>
    <w:rsid w:val="00D703BC"/>
    <w:rsid w:val="00D70496"/>
    <w:rsid w:val="00D70FDC"/>
    <w:rsid w:val="00D72013"/>
    <w:rsid w:val="00D73CD1"/>
    <w:rsid w:val="00D74AAA"/>
    <w:rsid w:val="00D75E4D"/>
    <w:rsid w:val="00D76A42"/>
    <w:rsid w:val="00D77B11"/>
    <w:rsid w:val="00D77CF8"/>
    <w:rsid w:val="00D800DB"/>
    <w:rsid w:val="00D8094B"/>
    <w:rsid w:val="00D81B1E"/>
    <w:rsid w:val="00D81B93"/>
    <w:rsid w:val="00D8280E"/>
    <w:rsid w:val="00D837EE"/>
    <w:rsid w:val="00D852FF"/>
    <w:rsid w:val="00D8536D"/>
    <w:rsid w:val="00D858D4"/>
    <w:rsid w:val="00D8708B"/>
    <w:rsid w:val="00D9147A"/>
    <w:rsid w:val="00D92D14"/>
    <w:rsid w:val="00D95B77"/>
    <w:rsid w:val="00D964B2"/>
    <w:rsid w:val="00D96AA6"/>
    <w:rsid w:val="00D97E56"/>
    <w:rsid w:val="00DA117E"/>
    <w:rsid w:val="00DA1F72"/>
    <w:rsid w:val="00DA20AA"/>
    <w:rsid w:val="00DA20C7"/>
    <w:rsid w:val="00DA3A9F"/>
    <w:rsid w:val="00DA4D10"/>
    <w:rsid w:val="00DA6071"/>
    <w:rsid w:val="00DA6722"/>
    <w:rsid w:val="00DA74A3"/>
    <w:rsid w:val="00DA7BE6"/>
    <w:rsid w:val="00DB1457"/>
    <w:rsid w:val="00DB1623"/>
    <w:rsid w:val="00DB208D"/>
    <w:rsid w:val="00DB2A37"/>
    <w:rsid w:val="00DB33AE"/>
    <w:rsid w:val="00DB6789"/>
    <w:rsid w:val="00DB6E6F"/>
    <w:rsid w:val="00DB7978"/>
    <w:rsid w:val="00DC1889"/>
    <w:rsid w:val="00DC2829"/>
    <w:rsid w:val="00DC3510"/>
    <w:rsid w:val="00DC36F2"/>
    <w:rsid w:val="00DC42E4"/>
    <w:rsid w:val="00DC4575"/>
    <w:rsid w:val="00DC47C3"/>
    <w:rsid w:val="00DC4AD6"/>
    <w:rsid w:val="00DC544A"/>
    <w:rsid w:val="00DC5513"/>
    <w:rsid w:val="00DC5F39"/>
    <w:rsid w:val="00DC68D4"/>
    <w:rsid w:val="00DC698E"/>
    <w:rsid w:val="00DC72F4"/>
    <w:rsid w:val="00DC758D"/>
    <w:rsid w:val="00DD04C4"/>
    <w:rsid w:val="00DD3442"/>
    <w:rsid w:val="00DD40A2"/>
    <w:rsid w:val="00DD449A"/>
    <w:rsid w:val="00DD4F27"/>
    <w:rsid w:val="00DD57E9"/>
    <w:rsid w:val="00DD5A7C"/>
    <w:rsid w:val="00DD5DE5"/>
    <w:rsid w:val="00DE059F"/>
    <w:rsid w:val="00DE0C22"/>
    <w:rsid w:val="00DE0E07"/>
    <w:rsid w:val="00DE2509"/>
    <w:rsid w:val="00DE2A32"/>
    <w:rsid w:val="00DE338A"/>
    <w:rsid w:val="00DE40EC"/>
    <w:rsid w:val="00DE5278"/>
    <w:rsid w:val="00DF12EF"/>
    <w:rsid w:val="00DF22D5"/>
    <w:rsid w:val="00DF260E"/>
    <w:rsid w:val="00DF26E1"/>
    <w:rsid w:val="00DF2A5D"/>
    <w:rsid w:val="00DF6335"/>
    <w:rsid w:val="00DF66E3"/>
    <w:rsid w:val="00E017F4"/>
    <w:rsid w:val="00E02107"/>
    <w:rsid w:val="00E02AFF"/>
    <w:rsid w:val="00E02F28"/>
    <w:rsid w:val="00E03C9D"/>
    <w:rsid w:val="00E04CD7"/>
    <w:rsid w:val="00E059D1"/>
    <w:rsid w:val="00E05A37"/>
    <w:rsid w:val="00E05ADE"/>
    <w:rsid w:val="00E0650A"/>
    <w:rsid w:val="00E06B32"/>
    <w:rsid w:val="00E06E2C"/>
    <w:rsid w:val="00E06EBF"/>
    <w:rsid w:val="00E07AAD"/>
    <w:rsid w:val="00E10CFD"/>
    <w:rsid w:val="00E11822"/>
    <w:rsid w:val="00E11BA0"/>
    <w:rsid w:val="00E127F3"/>
    <w:rsid w:val="00E12DAF"/>
    <w:rsid w:val="00E14EAF"/>
    <w:rsid w:val="00E1560F"/>
    <w:rsid w:val="00E16D76"/>
    <w:rsid w:val="00E16E59"/>
    <w:rsid w:val="00E16F18"/>
    <w:rsid w:val="00E21046"/>
    <w:rsid w:val="00E213A4"/>
    <w:rsid w:val="00E22C5D"/>
    <w:rsid w:val="00E22E80"/>
    <w:rsid w:val="00E2341A"/>
    <w:rsid w:val="00E24BBA"/>
    <w:rsid w:val="00E260E3"/>
    <w:rsid w:val="00E26736"/>
    <w:rsid w:val="00E26DE9"/>
    <w:rsid w:val="00E27392"/>
    <w:rsid w:val="00E27759"/>
    <w:rsid w:val="00E277AA"/>
    <w:rsid w:val="00E30008"/>
    <w:rsid w:val="00E300AE"/>
    <w:rsid w:val="00E32BA1"/>
    <w:rsid w:val="00E33E7F"/>
    <w:rsid w:val="00E356D5"/>
    <w:rsid w:val="00E378C2"/>
    <w:rsid w:val="00E40B5D"/>
    <w:rsid w:val="00E40D40"/>
    <w:rsid w:val="00E41944"/>
    <w:rsid w:val="00E438B4"/>
    <w:rsid w:val="00E464EB"/>
    <w:rsid w:val="00E468CC"/>
    <w:rsid w:val="00E5137F"/>
    <w:rsid w:val="00E5188D"/>
    <w:rsid w:val="00E51B05"/>
    <w:rsid w:val="00E5229B"/>
    <w:rsid w:val="00E53342"/>
    <w:rsid w:val="00E53C7B"/>
    <w:rsid w:val="00E5540D"/>
    <w:rsid w:val="00E57ED3"/>
    <w:rsid w:val="00E600D3"/>
    <w:rsid w:val="00E60DFF"/>
    <w:rsid w:val="00E610A7"/>
    <w:rsid w:val="00E62575"/>
    <w:rsid w:val="00E62B96"/>
    <w:rsid w:val="00E64C40"/>
    <w:rsid w:val="00E64D92"/>
    <w:rsid w:val="00E66268"/>
    <w:rsid w:val="00E66809"/>
    <w:rsid w:val="00E6750A"/>
    <w:rsid w:val="00E711E2"/>
    <w:rsid w:val="00E718F7"/>
    <w:rsid w:val="00E71FEE"/>
    <w:rsid w:val="00E72757"/>
    <w:rsid w:val="00E72E85"/>
    <w:rsid w:val="00E73407"/>
    <w:rsid w:val="00E743D7"/>
    <w:rsid w:val="00E74C78"/>
    <w:rsid w:val="00E74DD0"/>
    <w:rsid w:val="00E75A28"/>
    <w:rsid w:val="00E762F5"/>
    <w:rsid w:val="00E76B70"/>
    <w:rsid w:val="00E7792A"/>
    <w:rsid w:val="00E77D78"/>
    <w:rsid w:val="00E80168"/>
    <w:rsid w:val="00E811CE"/>
    <w:rsid w:val="00E82672"/>
    <w:rsid w:val="00E82CCB"/>
    <w:rsid w:val="00E84890"/>
    <w:rsid w:val="00E85518"/>
    <w:rsid w:val="00E87A84"/>
    <w:rsid w:val="00E91924"/>
    <w:rsid w:val="00E91EE4"/>
    <w:rsid w:val="00E92EE6"/>
    <w:rsid w:val="00E94136"/>
    <w:rsid w:val="00E9476E"/>
    <w:rsid w:val="00E951BF"/>
    <w:rsid w:val="00EA0310"/>
    <w:rsid w:val="00EA0383"/>
    <w:rsid w:val="00EA1A1B"/>
    <w:rsid w:val="00EA1D76"/>
    <w:rsid w:val="00EA3415"/>
    <w:rsid w:val="00EA53B8"/>
    <w:rsid w:val="00EA6620"/>
    <w:rsid w:val="00EB1611"/>
    <w:rsid w:val="00EB2A61"/>
    <w:rsid w:val="00EB4A78"/>
    <w:rsid w:val="00EB58CE"/>
    <w:rsid w:val="00EB6576"/>
    <w:rsid w:val="00EB690F"/>
    <w:rsid w:val="00EC1B5D"/>
    <w:rsid w:val="00EC2780"/>
    <w:rsid w:val="00EC294E"/>
    <w:rsid w:val="00EC2FE5"/>
    <w:rsid w:val="00EC4209"/>
    <w:rsid w:val="00EC4B6D"/>
    <w:rsid w:val="00EC5D26"/>
    <w:rsid w:val="00EC6006"/>
    <w:rsid w:val="00EC6E74"/>
    <w:rsid w:val="00EC7CE1"/>
    <w:rsid w:val="00ED13D3"/>
    <w:rsid w:val="00ED1530"/>
    <w:rsid w:val="00ED3C74"/>
    <w:rsid w:val="00ED4347"/>
    <w:rsid w:val="00ED4B17"/>
    <w:rsid w:val="00EE1F09"/>
    <w:rsid w:val="00EE45E9"/>
    <w:rsid w:val="00EE5271"/>
    <w:rsid w:val="00EE62E4"/>
    <w:rsid w:val="00EF0B93"/>
    <w:rsid w:val="00EF35D5"/>
    <w:rsid w:val="00EF3F31"/>
    <w:rsid w:val="00EF45A5"/>
    <w:rsid w:val="00EF4CBB"/>
    <w:rsid w:val="00EF52EA"/>
    <w:rsid w:val="00EF66CD"/>
    <w:rsid w:val="00EF6928"/>
    <w:rsid w:val="00EF6A23"/>
    <w:rsid w:val="00EF6D47"/>
    <w:rsid w:val="00EF6E75"/>
    <w:rsid w:val="00EF7C44"/>
    <w:rsid w:val="00EF7D53"/>
    <w:rsid w:val="00EF7FA5"/>
    <w:rsid w:val="00F004A0"/>
    <w:rsid w:val="00F00FBC"/>
    <w:rsid w:val="00F01A41"/>
    <w:rsid w:val="00F02084"/>
    <w:rsid w:val="00F02A3A"/>
    <w:rsid w:val="00F04A14"/>
    <w:rsid w:val="00F04FC6"/>
    <w:rsid w:val="00F065CA"/>
    <w:rsid w:val="00F06678"/>
    <w:rsid w:val="00F06A36"/>
    <w:rsid w:val="00F06D68"/>
    <w:rsid w:val="00F10157"/>
    <w:rsid w:val="00F109E5"/>
    <w:rsid w:val="00F1179F"/>
    <w:rsid w:val="00F12DCA"/>
    <w:rsid w:val="00F13AD0"/>
    <w:rsid w:val="00F13C27"/>
    <w:rsid w:val="00F15C29"/>
    <w:rsid w:val="00F16725"/>
    <w:rsid w:val="00F16D20"/>
    <w:rsid w:val="00F16F81"/>
    <w:rsid w:val="00F20E02"/>
    <w:rsid w:val="00F22CA8"/>
    <w:rsid w:val="00F23010"/>
    <w:rsid w:val="00F237E8"/>
    <w:rsid w:val="00F23AF1"/>
    <w:rsid w:val="00F24BE0"/>
    <w:rsid w:val="00F25283"/>
    <w:rsid w:val="00F26190"/>
    <w:rsid w:val="00F26826"/>
    <w:rsid w:val="00F274FF"/>
    <w:rsid w:val="00F307B4"/>
    <w:rsid w:val="00F324A1"/>
    <w:rsid w:val="00F33C96"/>
    <w:rsid w:val="00F3499F"/>
    <w:rsid w:val="00F34C11"/>
    <w:rsid w:val="00F40434"/>
    <w:rsid w:val="00F40C25"/>
    <w:rsid w:val="00F40F35"/>
    <w:rsid w:val="00F4479F"/>
    <w:rsid w:val="00F44A6A"/>
    <w:rsid w:val="00F45678"/>
    <w:rsid w:val="00F461A9"/>
    <w:rsid w:val="00F47493"/>
    <w:rsid w:val="00F50782"/>
    <w:rsid w:val="00F531B4"/>
    <w:rsid w:val="00F53B91"/>
    <w:rsid w:val="00F56358"/>
    <w:rsid w:val="00F570C9"/>
    <w:rsid w:val="00F60886"/>
    <w:rsid w:val="00F612E1"/>
    <w:rsid w:val="00F62B83"/>
    <w:rsid w:val="00F63B6F"/>
    <w:rsid w:val="00F63B7C"/>
    <w:rsid w:val="00F647FC"/>
    <w:rsid w:val="00F64BCD"/>
    <w:rsid w:val="00F64E33"/>
    <w:rsid w:val="00F650C5"/>
    <w:rsid w:val="00F66D2B"/>
    <w:rsid w:val="00F67065"/>
    <w:rsid w:val="00F6710D"/>
    <w:rsid w:val="00F6796C"/>
    <w:rsid w:val="00F67ACA"/>
    <w:rsid w:val="00F71887"/>
    <w:rsid w:val="00F72506"/>
    <w:rsid w:val="00F726E0"/>
    <w:rsid w:val="00F73743"/>
    <w:rsid w:val="00F73D90"/>
    <w:rsid w:val="00F759C2"/>
    <w:rsid w:val="00F7706F"/>
    <w:rsid w:val="00F770D0"/>
    <w:rsid w:val="00F77A9B"/>
    <w:rsid w:val="00F8074D"/>
    <w:rsid w:val="00F80EAF"/>
    <w:rsid w:val="00F80ED6"/>
    <w:rsid w:val="00F8118A"/>
    <w:rsid w:val="00F821C5"/>
    <w:rsid w:val="00F82237"/>
    <w:rsid w:val="00F835D5"/>
    <w:rsid w:val="00F85A1E"/>
    <w:rsid w:val="00F86520"/>
    <w:rsid w:val="00F86742"/>
    <w:rsid w:val="00F878C8"/>
    <w:rsid w:val="00F9025C"/>
    <w:rsid w:val="00F903AF"/>
    <w:rsid w:val="00F90625"/>
    <w:rsid w:val="00F907E9"/>
    <w:rsid w:val="00F92065"/>
    <w:rsid w:val="00F925ED"/>
    <w:rsid w:val="00F9477B"/>
    <w:rsid w:val="00F94E40"/>
    <w:rsid w:val="00F95CBF"/>
    <w:rsid w:val="00F97119"/>
    <w:rsid w:val="00FA04F7"/>
    <w:rsid w:val="00FA106F"/>
    <w:rsid w:val="00FA1658"/>
    <w:rsid w:val="00FA25E7"/>
    <w:rsid w:val="00FA2677"/>
    <w:rsid w:val="00FA3FE6"/>
    <w:rsid w:val="00FA407D"/>
    <w:rsid w:val="00FA4EB5"/>
    <w:rsid w:val="00FA5BEA"/>
    <w:rsid w:val="00FA632D"/>
    <w:rsid w:val="00FA6514"/>
    <w:rsid w:val="00FA6964"/>
    <w:rsid w:val="00FA6DE2"/>
    <w:rsid w:val="00FA7994"/>
    <w:rsid w:val="00FB1722"/>
    <w:rsid w:val="00FB2EA9"/>
    <w:rsid w:val="00FB3ACF"/>
    <w:rsid w:val="00FB6353"/>
    <w:rsid w:val="00FB7862"/>
    <w:rsid w:val="00FC11DB"/>
    <w:rsid w:val="00FC2206"/>
    <w:rsid w:val="00FC26DB"/>
    <w:rsid w:val="00FC2EC1"/>
    <w:rsid w:val="00FC355F"/>
    <w:rsid w:val="00FD19C0"/>
    <w:rsid w:val="00FD1F1E"/>
    <w:rsid w:val="00FD2978"/>
    <w:rsid w:val="00FD2CE1"/>
    <w:rsid w:val="00FD47CC"/>
    <w:rsid w:val="00FD5504"/>
    <w:rsid w:val="00FD7CB2"/>
    <w:rsid w:val="00FE0306"/>
    <w:rsid w:val="00FE0FAC"/>
    <w:rsid w:val="00FE1771"/>
    <w:rsid w:val="00FE3E64"/>
    <w:rsid w:val="00FE43EF"/>
    <w:rsid w:val="00FE7A18"/>
    <w:rsid w:val="00FF0702"/>
    <w:rsid w:val="00FF0E8C"/>
    <w:rsid w:val="00FF228A"/>
    <w:rsid w:val="00FF4131"/>
    <w:rsid w:val="00FF7F7F"/>
  </w:rsids>
  <m:mathPr>
    <m:mathFont m:val="Cambria Math"/>
    <m:smallFrac/>
  </m:mathPr>
  <w:themeFontLang w:val="en-US"/>
  <w:clrSchemeMapping w:bg1="light1" w:t1="dark1" w:bg2="light2" w:t2="dark2" w:accent1="accent1" w:accent2="accent2" w:accent3="accent3" w:accent4="accent4" w:accent5="accent5" w:accent6="accent6" w:hyperlink="hyperlink" w:followedHyperlink="followedHyperlink"/>
  <w14:docId w14:val="6F1CC70C"/>
  <w15:docId w15:val="{48B4A5DA-5C8D-428F-8D5A-9FA19ED95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506E"/>
    <w:pPr>
      <w:widowControl w:val="0"/>
      <w:spacing w:after="0"/>
    </w:pPr>
  </w:style>
  <w:style w:type="paragraph" w:styleId="Heading1">
    <w:name w:val="heading 1"/>
    <w:basedOn w:val="Normal"/>
    <w:next w:val="Normal"/>
    <w:link w:val="Heading1Char"/>
    <w:autoRedefine/>
    <w:uiPriority w:val="1"/>
    <w:qFormat/>
    <w:rsid w:val="00BD26C9"/>
    <w:pPr>
      <w:widowControl/>
      <w:numPr>
        <w:numId w:val="5"/>
      </w:numPr>
      <w:spacing w:before="31" w:after="220" w:line="240" w:lineRule="auto"/>
      <w:ind w:right="-14"/>
      <w:outlineLvl w:val="0"/>
    </w:pPr>
    <w:rPr>
      <w:rFonts w:ascii="Gill Sans MT" w:eastAsia="Arial" w:hAnsi="Gill Sans MT" w:cs="Arial"/>
      <w:b/>
      <w:bCs/>
      <w:sz w:val="48"/>
      <w:szCs w:val="48"/>
    </w:rPr>
  </w:style>
  <w:style w:type="paragraph" w:styleId="Heading2">
    <w:name w:val="heading 2"/>
    <w:next w:val="Normal"/>
    <w:link w:val="Heading2Char"/>
    <w:autoRedefine/>
    <w:uiPriority w:val="1"/>
    <w:unhideWhenUsed/>
    <w:qFormat/>
    <w:rsid w:val="00C53C33"/>
    <w:pPr>
      <w:numPr>
        <w:ilvl w:val="1"/>
        <w:numId w:val="5"/>
      </w:numPr>
      <w:tabs>
        <w:tab w:val="left" w:pos="1440"/>
      </w:tabs>
      <w:spacing w:after="240"/>
      <w:outlineLvl w:val="1"/>
    </w:pPr>
    <w:rPr>
      <w:rFonts w:ascii="Gill Sans MT" w:hAnsi="Gill Sans MT" w:cs="Arial"/>
      <w:b/>
      <w:spacing w:val="-6"/>
      <w:sz w:val="32"/>
      <w:szCs w:val="32"/>
    </w:rPr>
  </w:style>
  <w:style w:type="paragraph" w:styleId="Heading3">
    <w:name w:val="heading 3"/>
    <w:basedOn w:val="Normal"/>
    <w:next w:val="Normal"/>
    <w:link w:val="Heading3Char"/>
    <w:uiPriority w:val="1"/>
    <w:unhideWhenUsed/>
    <w:qFormat/>
    <w:rsid w:val="00B12EB4"/>
    <w:pPr>
      <w:numPr>
        <w:ilvl w:val="2"/>
        <w:numId w:val="5"/>
      </w:numPr>
      <w:spacing w:before="480" w:after="220" w:line="271" w:lineRule="exact"/>
      <w:ind w:left="720" w:right="-14"/>
      <w:outlineLvl w:val="2"/>
    </w:pPr>
    <w:rPr>
      <w:rFonts w:ascii="Gill Sans MT" w:eastAsia="Arial" w:hAnsi="Gill Sans MT" w:cs="Arial"/>
      <w:b/>
      <w:bCs/>
      <w:spacing w:val="-4"/>
      <w:position w:val="-1"/>
      <w:sz w:val="24"/>
      <w:szCs w:val="24"/>
    </w:rPr>
  </w:style>
  <w:style w:type="paragraph" w:styleId="Heading4">
    <w:name w:val="heading 4"/>
    <w:basedOn w:val="Normal"/>
    <w:next w:val="Normal"/>
    <w:link w:val="Heading4Char"/>
    <w:uiPriority w:val="1"/>
    <w:unhideWhenUsed/>
    <w:qFormat/>
    <w:rsid w:val="00A6554D"/>
    <w:pPr>
      <w:numPr>
        <w:ilvl w:val="3"/>
        <w:numId w:val="5"/>
      </w:numPr>
      <w:tabs>
        <w:tab w:val="left" w:pos="1980"/>
      </w:tabs>
      <w:spacing w:before="360" w:after="220" w:line="240" w:lineRule="auto"/>
      <w:ind w:right="-14"/>
      <w:outlineLvl w:val="3"/>
    </w:pPr>
    <w:rPr>
      <w:rFonts w:ascii="Gill Sans MT" w:eastAsia="Arial" w:hAnsi="Gill Sans MT" w:cs="Arial"/>
      <w:b/>
      <w:bCs/>
      <w:i/>
      <w:spacing w:val="-4"/>
    </w:rPr>
  </w:style>
  <w:style w:type="paragraph" w:styleId="Heading5">
    <w:name w:val="heading 5"/>
    <w:basedOn w:val="Normal"/>
    <w:next w:val="Normal"/>
    <w:link w:val="Heading5Char"/>
    <w:uiPriority w:val="9"/>
    <w:unhideWhenUsed/>
    <w:qFormat/>
    <w:rsid w:val="00B547F3"/>
    <w:pPr>
      <w:keepNext/>
      <w:keepLines/>
      <w:numPr>
        <w:ilvl w:val="4"/>
        <w:numId w:val="5"/>
      </w:numPr>
      <w:spacing w:before="360" w:after="200"/>
      <w:outlineLvl w:val="4"/>
    </w:pPr>
    <w:rPr>
      <w:rFonts w:ascii="Gill Sans MT" w:hAnsi="Gill Sans MT"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B547F3"/>
    <w:pPr>
      <w:keepNext/>
      <w:keepLines/>
      <w:numPr>
        <w:ilvl w:val="5"/>
        <w:numId w:val="5"/>
      </w:numPr>
      <w:spacing w:before="280" w:after="200"/>
      <w:outlineLvl w:val="5"/>
    </w:pPr>
    <w:rPr>
      <w:rFonts w:ascii="Gill Sans MT" w:hAnsi="Gill Sans MT" w:eastAsiaTheme="majorEastAsia" w:cstheme="majorBidi"/>
      <w:i/>
      <w:iCs/>
      <w:color w:val="243F60" w:themeColor="accent1" w:themeShade="7F"/>
    </w:rPr>
  </w:style>
  <w:style w:type="paragraph" w:styleId="Heading7">
    <w:name w:val="heading 7"/>
    <w:basedOn w:val="Normal"/>
    <w:next w:val="Normal"/>
    <w:link w:val="Heading7Char"/>
    <w:uiPriority w:val="9"/>
    <w:unhideWhenUsed/>
    <w:qFormat/>
    <w:rsid w:val="00B547F3"/>
    <w:pPr>
      <w:keepNext/>
      <w:keepLines/>
      <w:numPr>
        <w:ilvl w:val="6"/>
        <w:numId w:val="5"/>
      </w:numPr>
      <w:spacing w:before="280" w:after="200"/>
      <w:outlineLvl w:val="6"/>
    </w:pPr>
    <w:rPr>
      <w:rFonts w:ascii="Gill Sans MT" w:hAnsi="Gill Sans MT"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B547F3"/>
    <w:pPr>
      <w:keepNext/>
      <w:keepLines/>
      <w:numPr>
        <w:ilvl w:val="7"/>
        <w:numId w:val="5"/>
      </w:numPr>
      <w:spacing w:before="240" w:after="200"/>
      <w:outlineLvl w:val="7"/>
    </w:pPr>
    <w:rPr>
      <w:rFonts w:ascii="Gill Sans MT" w:hAnsi="Gill Sans MT"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15204"/>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Titles">
    <w:name w:val="Figure Titles"/>
    <w:link w:val="FigureTitlesChar"/>
    <w:uiPriority w:val="3"/>
    <w:qFormat/>
    <w:rsid w:val="00634C0E"/>
    <w:pPr>
      <w:widowControl w:val="0"/>
      <w:spacing w:before="70" w:after="0" w:line="226" w:lineRule="exact"/>
      <w:ind w:left="180" w:right="-20"/>
      <w:jc w:val="center"/>
    </w:pPr>
    <w:rPr>
      <w:rFonts w:ascii="Arial" w:hAnsi="Arial"/>
      <w:b/>
      <w:sz w:val="18"/>
      <w:szCs w:val="18"/>
    </w:rPr>
  </w:style>
  <w:style w:type="character" w:customStyle="1" w:styleId="FigureTitlesChar">
    <w:name w:val="Figure Titles Char"/>
    <w:basedOn w:val="DefaultParagraphFont"/>
    <w:link w:val="FigureTitles"/>
    <w:uiPriority w:val="3"/>
    <w:rsid w:val="00634C0E"/>
    <w:rPr>
      <w:rFonts w:ascii="Arial" w:hAnsi="Arial"/>
      <w:b/>
      <w:sz w:val="18"/>
      <w:szCs w:val="18"/>
    </w:rPr>
  </w:style>
  <w:style w:type="paragraph" w:customStyle="1" w:styleId="Callouts">
    <w:name w:val="Callouts"/>
    <w:basedOn w:val="Normal"/>
    <w:link w:val="CalloutsChar"/>
    <w:qFormat/>
    <w:rsid w:val="00936221"/>
    <w:pPr>
      <w:spacing w:before="16" w:line="240" w:lineRule="auto"/>
      <w:ind w:left="630" w:right="-20"/>
    </w:pPr>
    <w:rPr>
      <w:color w:val="1F497D" w:themeColor="text2"/>
    </w:rPr>
  </w:style>
  <w:style w:type="character" w:customStyle="1" w:styleId="CalloutsChar">
    <w:name w:val="Callouts Char"/>
    <w:basedOn w:val="DefaultParagraphFont"/>
    <w:link w:val="Callouts"/>
    <w:rsid w:val="00936221"/>
    <w:rPr>
      <w:color w:val="1F497D" w:themeColor="text2"/>
    </w:rPr>
  </w:style>
  <w:style w:type="paragraph" w:customStyle="1" w:styleId="TableTitles">
    <w:name w:val="Table Titles"/>
    <w:link w:val="TableTitlesChar"/>
    <w:autoRedefine/>
    <w:uiPriority w:val="3"/>
    <w:qFormat/>
    <w:rsid w:val="00CF39E2"/>
    <w:pPr>
      <w:widowControl w:val="0"/>
      <w:spacing w:before="70" w:after="0" w:line="240" w:lineRule="auto"/>
      <w:ind w:right="-20"/>
      <w:jc w:val="center"/>
    </w:pPr>
    <w:rPr>
      <w:rFonts w:ascii="Arial" w:hAnsi="Arial"/>
      <w:b/>
      <w:sz w:val="18"/>
      <w:szCs w:val="18"/>
    </w:rPr>
  </w:style>
  <w:style w:type="character" w:customStyle="1" w:styleId="TableTitlesChar">
    <w:name w:val="Table Titles Char"/>
    <w:basedOn w:val="DefaultParagraphFont"/>
    <w:link w:val="TableTitles"/>
    <w:uiPriority w:val="3"/>
    <w:rsid w:val="00CF39E2"/>
    <w:rPr>
      <w:rFonts w:ascii="Arial" w:hAnsi="Arial"/>
      <w:b/>
      <w:sz w:val="18"/>
      <w:szCs w:val="18"/>
    </w:rPr>
  </w:style>
  <w:style w:type="paragraph" w:customStyle="1" w:styleId="Callout">
    <w:name w:val="Callout"/>
    <w:link w:val="CalloutChar"/>
    <w:autoRedefine/>
    <w:uiPriority w:val="2"/>
    <w:qFormat/>
    <w:rsid w:val="00936221"/>
    <w:pPr>
      <w:widowControl w:val="0"/>
      <w:pBdr>
        <w:left w:val="single" w:sz="18" w:space="6" w:color="4F81BD" w:themeColor="accent1"/>
      </w:pBdr>
      <w:spacing w:before="16" w:after="0"/>
      <w:ind w:left="630" w:right="-20"/>
    </w:pPr>
    <w:rPr>
      <w:rFonts w:ascii="Calibri" w:eastAsia="Calibri" w:hAnsi="Calibri" w:cs="Calibri"/>
      <w:i/>
      <w:color w:val="4F81BD" w:themeColor="accent1"/>
      <w:spacing w:val="-9"/>
    </w:rPr>
  </w:style>
  <w:style w:type="character" w:customStyle="1" w:styleId="CalloutChar">
    <w:name w:val="Callout Char"/>
    <w:basedOn w:val="DefaultParagraphFont"/>
    <w:link w:val="Callout"/>
    <w:uiPriority w:val="2"/>
    <w:rsid w:val="00936221"/>
    <w:rPr>
      <w:rFonts w:ascii="Calibri" w:eastAsia="Calibri" w:hAnsi="Calibri" w:cs="Calibri"/>
      <w:i/>
      <w:color w:val="4F81BD" w:themeColor="accent1"/>
      <w:spacing w:val="-9"/>
    </w:rPr>
  </w:style>
  <w:style w:type="paragraph" w:styleId="TableofFigures">
    <w:name w:val="table of figures"/>
    <w:basedOn w:val="Normal"/>
    <w:next w:val="Normal"/>
    <w:autoRedefine/>
    <w:uiPriority w:val="99"/>
    <w:unhideWhenUsed/>
    <w:qFormat/>
    <w:rsid w:val="00FA2677"/>
    <w:pPr>
      <w:widowControl/>
      <w:tabs>
        <w:tab w:val="right" w:leader="dot" w:pos="9350"/>
      </w:tabs>
      <w:spacing w:after="240"/>
      <w:ind w:left="720" w:hanging="720"/>
    </w:pPr>
    <w:rPr>
      <w:noProof/>
    </w:rPr>
  </w:style>
  <w:style w:type="paragraph" w:customStyle="1" w:styleId="Sub-bullets">
    <w:name w:val="Sub-bullets"/>
    <w:basedOn w:val="Bullets"/>
    <w:link w:val="Sub-bulletsChar"/>
    <w:autoRedefine/>
    <w:uiPriority w:val="2"/>
    <w:qFormat/>
    <w:rsid w:val="00E40D40"/>
    <w:pPr>
      <w:numPr>
        <w:ilvl w:val="1"/>
        <w:numId w:val="4"/>
      </w:numPr>
      <w:ind w:left="1440"/>
    </w:pPr>
  </w:style>
  <w:style w:type="numbering" w:customStyle="1" w:styleId="Multi-levelBullets">
    <w:name w:val="Multi-level Bullets"/>
    <w:uiPriority w:val="99"/>
    <w:rsid w:val="00936221"/>
    <w:pPr>
      <w:numPr>
        <w:numId w:val="2"/>
      </w:numPr>
    </w:pPr>
  </w:style>
  <w:style w:type="character" w:customStyle="1" w:styleId="Heading1Char">
    <w:name w:val="Heading 1 Char"/>
    <w:basedOn w:val="DefaultParagraphFont"/>
    <w:link w:val="Heading1"/>
    <w:uiPriority w:val="1"/>
    <w:rsid w:val="00BD26C9"/>
    <w:rPr>
      <w:rFonts w:ascii="Gill Sans MT" w:eastAsia="Arial" w:hAnsi="Gill Sans MT" w:cs="Arial"/>
      <w:b/>
      <w:bCs/>
      <w:sz w:val="48"/>
      <w:szCs w:val="48"/>
    </w:rPr>
  </w:style>
  <w:style w:type="character" w:customStyle="1" w:styleId="Heading2Char">
    <w:name w:val="Heading 2 Char"/>
    <w:basedOn w:val="DefaultParagraphFont"/>
    <w:link w:val="Heading2"/>
    <w:uiPriority w:val="1"/>
    <w:rsid w:val="00C53C33"/>
    <w:rPr>
      <w:rFonts w:ascii="Gill Sans MT" w:hAnsi="Gill Sans MT" w:cs="Arial"/>
      <w:b/>
      <w:spacing w:val="-6"/>
      <w:sz w:val="32"/>
      <w:szCs w:val="32"/>
    </w:rPr>
  </w:style>
  <w:style w:type="character" w:customStyle="1" w:styleId="Heading3Char">
    <w:name w:val="Heading 3 Char"/>
    <w:basedOn w:val="DefaultParagraphFont"/>
    <w:link w:val="Heading3"/>
    <w:uiPriority w:val="1"/>
    <w:rsid w:val="00B12EB4"/>
    <w:rPr>
      <w:rFonts w:ascii="Gill Sans MT" w:eastAsia="Arial" w:hAnsi="Gill Sans MT" w:cs="Arial"/>
      <w:b/>
      <w:bCs/>
      <w:spacing w:val="-4"/>
      <w:position w:val="-1"/>
      <w:sz w:val="24"/>
      <w:szCs w:val="24"/>
    </w:rPr>
  </w:style>
  <w:style w:type="character" w:customStyle="1" w:styleId="Heading4Char">
    <w:name w:val="Heading 4 Char"/>
    <w:basedOn w:val="DefaultParagraphFont"/>
    <w:link w:val="Heading4"/>
    <w:uiPriority w:val="1"/>
    <w:rsid w:val="00A6554D"/>
    <w:rPr>
      <w:rFonts w:ascii="Gill Sans MT" w:eastAsia="Arial" w:hAnsi="Gill Sans MT" w:cs="Arial"/>
      <w:b/>
      <w:bCs/>
      <w:i/>
      <w:spacing w:val="-4"/>
    </w:rPr>
  </w:style>
  <w:style w:type="paragraph" w:styleId="TOC1">
    <w:name w:val="toc 1"/>
    <w:basedOn w:val="Normal"/>
    <w:next w:val="Normal"/>
    <w:autoRedefine/>
    <w:uiPriority w:val="39"/>
    <w:unhideWhenUsed/>
    <w:rsid w:val="00FA2677"/>
    <w:pPr>
      <w:widowControl/>
      <w:tabs>
        <w:tab w:val="left" w:pos="440"/>
        <w:tab w:val="right" w:leader="dot" w:pos="9360"/>
      </w:tabs>
      <w:spacing w:line="240" w:lineRule="auto"/>
    </w:pPr>
    <w:rPr>
      <w:b/>
      <w:noProof/>
      <w:sz w:val="24"/>
    </w:rPr>
  </w:style>
  <w:style w:type="paragraph" w:styleId="TOC2">
    <w:name w:val="toc 2"/>
    <w:basedOn w:val="Normal"/>
    <w:next w:val="Normal"/>
    <w:autoRedefine/>
    <w:uiPriority w:val="39"/>
    <w:unhideWhenUsed/>
    <w:rsid w:val="00D67677"/>
    <w:pPr>
      <w:tabs>
        <w:tab w:val="left" w:pos="990"/>
        <w:tab w:val="right" w:leader="dot" w:pos="9360"/>
      </w:tabs>
      <w:spacing w:after="100"/>
      <w:ind w:left="450"/>
    </w:pPr>
    <w:rPr>
      <w:noProof/>
    </w:rPr>
  </w:style>
  <w:style w:type="paragraph" w:styleId="TOC3">
    <w:name w:val="toc 3"/>
    <w:basedOn w:val="Normal"/>
    <w:next w:val="Normal"/>
    <w:autoRedefine/>
    <w:uiPriority w:val="39"/>
    <w:unhideWhenUsed/>
    <w:rsid w:val="00E711E2"/>
    <w:pPr>
      <w:tabs>
        <w:tab w:val="left" w:pos="1710"/>
        <w:tab w:val="right" w:leader="dot" w:pos="9360"/>
      </w:tabs>
      <w:spacing w:after="100"/>
      <w:ind w:left="990"/>
    </w:pPr>
    <w:rPr>
      <w:noProof/>
    </w:rPr>
  </w:style>
  <w:style w:type="paragraph" w:styleId="Header">
    <w:name w:val="header"/>
    <w:basedOn w:val="Normal"/>
    <w:link w:val="HeaderChar"/>
    <w:uiPriority w:val="99"/>
    <w:unhideWhenUsed/>
    <w:rsid w:val="00936221"/>
    <w:pPr>
      <w:tabs>
        <w:tab w:val="center" w:pos="4680"/>
        <w:tab w:val="right" w:pos="9360"/>
      </w:tabs>
      <w:spacing w:line="240" w:lineRule="auto"/>
    </w:pPr>
  </w:style>
  <w:style w:type="character" w:customStyle="1" w:styleId="HeaderChar">
    <w:name w:val="Header Char"/>
    <w:basedOn w:val="DefaultParagraphFont"/>
    <w:link w:val="Header"/>
    <w:uiPriority w:val="99"/>
    <w:rsid w:val="00936221"/>
  </w:style>
  <w:style w:type="paragraph" w:styleId="Footer">
    <w:name w:val="footer"/>
    <w:basedOn w:val="Normal"/>
    <w:link w:val="FooterChar"/>
    <w:uiPriority w:val="99"/>
    <w:unhideWhenUsed/>
    <w:rsid w:val="00936221"/>
    <w:pPr>
      <w:tabs>
        <w:tab w:val="center" w:pos="4680"/>
        <w:tab w:val="right" w:pos="9360"/>
      </w:tabs>
      <w:spacing w:line="240" w:lineRule="auto"/>
    </w:pPr>
  </w:style>
  <w:style w:type="character" w:customStyle="1" w:styleId="FooterChar">
    <w:name w:val="Footer Char"/>
    <w:basedOn w:val="DefaultParagraphFont"/>
    <w:link w:val="Footer"/>
    <w:uiPriority w:val="99"/>
    <w:rsid w:val="00936221"/>
  </w:style>
  <w:style w:type="paragraph" w:styleId="Title">
    <w:name w:val="Title"/>
    <w:basedOn w:val="Normal"/>
    <w:next w:val="Normal"/>
    <w:link w:val="TitleChar"/>
    <w:uiPriority w:val="4"/>
    <w:qFormat/>
    <w:rsid w:val="00EC1B5D"/>
    <w:pPr>
      <w:spacing w:before="7" w:line="552" w:lineRule="exact"/>
      <w:ind w:left="630" w:right="2754"/>
    </w:pPr>
    <w:rPr>
      <w:rFonts w:ascii="Arial" w:eastAsia="Arial" w:hAnsi="Arial" w:cs="Arial"/>
      <w:b/>
      <w:bCs/>
      <w:color w:val="4F81BD"/>
      <w:spacing w:val="-30"/>
      <w:sz w:val="48"/>
      <w:szCs w:val="48"/>
    </w:rPr>
  </w:style>
  <w:style w:type="character" w:customStyle="1" w:styleId="TitleChar">
    <w:name w:val="Title Char"/>
    <w:basedOn w:val="DefaultParagraphFont"/>
    <w:link w:val="Title"/>
    <w:uiPriority w:val="4"/>
    <w:rsid w:val="00EC1B5D"/>
    <w:rPr>
      <w:rFonts w:ascii="Arial" w:eastAsia="Arial" w:hAnsi="Arial" w:cs="Arial"/>
      <w:b/>
      <w:bCs/>
      <w:color w:val="4F81BD"/>
      <w:spacing w:val="-30"/>
      <w:sz w:val="48"/>
      <w:szCs w:val="48"/>
    </w:rPr>
  </w:style>
  <w:style w:type="character" w:styleId="Hyperlink">
    <w:name w:val="Hyperlink"/>
    <w:basedOn w:val="DefaultParagraphFont"/>
    <w:uiPriority w:val="99"/>
    <w:rsid w:val="00936221"/>
    <w:rPr>
      <w:color w:val="0000FF" w:themeColor="hyperlink"/>
      <w:u w:val="single"/>
    </w:rPr>
  </w:style>
  <w:style w:type="paragraph" w:styleId="ListParagraph">
    <w:name w:val="List Paragraph"/>
    <w:basedOn w:val="Normal"/>
    <w:link w:val="ListParagraphChar"/>
    <w:uiPriority w:val="34"/>
    <w:qFormat/>
    <w:rsid w:val="00936221"/>
    <w:pPr>
      <w:ind w:left="720"/>
      <w:contextualSpacing/>
    </w:pPr>
  </w:style>
  <w:style w:type="paragraph" w:customStyle="1" w:styleId="Bullets">
    <w:name w:val="Bullets"/>
    <w:basedOn w:val="ListParagraph"/>
    <w:link w:val="BulletsChar1"/>
    <w:uiPriority w:val="2"/>
    <w:qFormat/>
    <w:rsid w:val="00004B92"/>
    <w:pPr>
      <w:numPr>
        <w:numId w:val="17"/>
      </w:numPr>
      <w:tabs>
        <w:tab w:val="left" w:pos="720"/>
      </w:tabs>
      <w:spacing w:before="120" w:line="240" w:lineRule="auto"/>
      <w:ind w:right="-14"/>
    </w:pPr>
    <w:rPr>
      <w:rFonts w:ascii="Calibri" w:eastAsia="Calibri" w:hAnsi="Calibri" w:cs="Calibri"/>
      <w:spacing w:val="2"/>
    </w:rPr>
  </w:style>
  <w:style w:type="character" w:customStyle="1" w:styleId="Heading5Char">
    <w:name w:val="Heading 5 Char"/>
    <w:basedOn w:val="DefaultParagraphFont"/>
    <w:link w:val="Heading5"/>
    <w:uiPriority w:val="9"/>
    <w:rsid w:val="00B547F3"/>
    <w:rPr>
      <w:rFonts w:ascii="Gill Sans MT" w:hAnsi="Gill Sans MT" w:eastAsiaTheme="majorEastAsia" w:cstheme="majorBidi"/>
      <w:color w:val="243F60" w:themeColor="accent1" w:themeShade="7F"/>
    </w:rPr>
  </w:style>
  <w:style w:type="character" w:customStyle="1" w:styleId="Heading6Char">
    <w:name w:val="Heading 6 Char"/>
    <w:basedOn w:val="DefaultParagraphFont"/>
    <w:link w:val="Heading6"/>
    <w:uiPriority w:val="9"/>
    <w:rsid w:val="00B547F3"/>
    <w:rPr>
      <w:rFonts w:ascii="Gill Sans MT" w:hAnsi="Gill Sans MT" w:eastAsiaTheme="majorEastAsia" w:cstheme="majorBidi"/>
      <w:i/>
      <w:iCs/>
      <w:color w:val="243F60" w:themeColor="accent1" w:themeShade="7F"/>
    </w:rPr>
  </w:style>
  <w:style w:type="character" w:customStyle="1" w:styleId="Heading7Char">
    <w:name w:val="Heading 7 Char"/>
    <w:basedOn w:val="DefaultParagraphFont"/>
    <w:link w:val="Heading7"/>
    <w:uiPriority w:val="9"/>
    <w:rsid w:val="00B547F3"/>
    <w:rPr>
      <w:rFonts w:ascii="Gill Sans MT" w:hAnsi="Gill Sans MT" w:eastAsiaTheme="majorEastAsia" w:cstheme="majorBidi"/>
      <w:i/>
      <w:iCs/>
      <w:color w:val="404040" w:themeColor="text1" w:themeTint="BF"/>
    </w:rPr>
  </w:style>
  <w:style w:type="character" w:customStyle="1" w:styleId="Heading8Char">
    <w:name w:val="Heading 8 Char"/>
    <w:basedOn w:val="DefaultParagraphFont"/>
    <w:link w:val="Heading8"/>
    <w:uiPriority w:val="9"/>
    <w:rsid w:val="00B547F3"/>
    <w:rPr>
      <w:rFonts w:ascii="Gill Sans MT" w:hAnsi="Gill Sans MT" w:eastAsiaTheme="majorEastAsia"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15204"/>
    <w:rPr>
      <w:rFonts w:asciiTheme="majorHAnsi" w:eastAsiaTheme="majorEastAsia" w:hAnsiTheme="majorHAnsi" w:cstheme="majorBidi"/>
      <w:i/>
      <w:iCs/>
      <w:color w:val="404040" w:themeColor="text1" w:themeTint="BF"/>
      <w:sz w:val="20"/>
      <w:szCs w:val="20"/>
    </w:rPr>
  </w:style>
  <w:style w:type="character" w:customStyle="1" w:styleId="BulletsChar1">
    <w:name w:val="Bullets Char1"/>
    <w:basedOn w:val="DefaultParagraphFont"/>
    <w:link w:val="Bullets"/>
    <w:uiPriority w:val="2"/>
    <w:rsid w:val="00004B92"/>
    <w:rPr>
      <w:rFonts w:ascii="Calibri" w:eastAsia="Calibri" w:hAnsi="Calibri" w:cs="Calibri"/>
      <w:spacing w:val="2"/>
    </w:rPr>
  </w:style>
  <w:style w:type="paragraph" w:styleId="NoSpacing">
    <w:name w:val="No Spacing"/>
    <w:uiPriority w:val="1"/>
    <w:qFormat/>
    <w:rsid w:val="007E0310"/>
    <w:pPr>
      <w:widowControl w:val="0"/>
      <w:spacing w:after="0" w:line="240" w:lineRule="auto"/>
    </w:pPr>
  </w:style>
  <w:style w:type="paragraph" w:styleId="BalloonText">
    <w:name w:val="Balloon Text"/>
    <w:basedOn w:val="Normal"/>
    <w:link w:val="BalloonTextChar"/>
    <w:uiPriority w:val="99"/>
    <w:semiHidden/>
    <w:unhideWhenUsed/>
    <w:rsid w:val="007E031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310"/>
    <w:rPr>
      <w:rFonts w:ascii="Tahoma" w:hAnsi="Tahoma" w:cs="Tahoma"/>
      <w:sz w:val="16"/>
      <w:szCs w:val="16"/>
    </w:rPr>
  </w:style>
  <w:style w:type="paragraph" w:styleId="TOCHeading">
    <w:name w:val="TOC Heading"/>
    <w:basedOn w:val="Heading1"/>
    <w:next w:val="Normal"/>
    <w:uiPriority w:val="39"/>
    <w:unhideWhenUsed/>
    <w:qFormat/>
    <w:rsid w:val="00A76902"/>
    <w:pPr>
      <w:keepNext/>
      <w:keepLines/>
      <w:numPr>
        <w:numId w:val="0"/>
      </w:numPr>
      <w:spacing w:before="480" w:line="276" w:lineRule="auto"/>
      <w:ind w:right="0"/>
      <w:outlineLvl w:val="9"/>
    </w:pPr>
    <w:rPr>
      <w:rFonts w:eastAsiaTheme="majorEastAsia" w:cstheme="majorBidi"/>
    </w:rPr>
  </w:style>
  <w:style w:type="character" w:customStyle="1" w:styleId="ListParagraphChar">
    <w:name w:val="List Paragraph Char"/>
    <w:basedOn w:val="DefaultParagraphFont"/>
    <w:link w:val="ListParagraph"/>
    <w:uiPriority w:val="34"/>
    <w:rsid w:val="00A240B4"/>
  </w:style>
  <w:style w:type="character" w:customStyle="1" w:styleId="BulletsChar">
    <w:name w:val="Bullets Char"/>
    <w:basedOn w:val="ListParagraphChar"/>
    <w:rsid w:val="00A240B4"/>
  </w:style>
  <w:style w:type="character" w:customStyle="1" w:styleId="Sub-bulletsChar">
    <w:name w:val="Sub-bullets Char"/>
    <w:basedOn w:val="BulletsChar1"/>
    <w:link w:val="Sub-bullets"/>
    <w:uiPriority w:val="2"/>
    <w:rsid w:val="00E40D40"/>
    <w:rPr>
      <w:rFonts w:ascii="Calibri" w:eastAsia="Calibri" w:hAnsi="Calibri" w:cs="Calibri"/>
      <w:spacing w:val="2"/>
    </w:rPr>
  </w:style>
  <w:style w:type="character" w:styleId="PlaceholderText">
    <w:name w:val="Placeholder Text"/>
    <w:basedOn w:val="DefaultParagraphFont"/>
    <w:uiPriority w:val="99"/>
    <w:semiHidden/>
    <w:rsid w:val="00A240B4"/>
    <w:rPr>
      <w:color w:val="808080"/>
    </w:rPr>
  </w:style>
  <w:style w:type="paragraph" w:styleId="NormalWeb">
    <w:name w:val="Normal (Web)"/>
    <w:basedOn w:val="Normal"/>
    <w:uiPriority w:val="99"/>
    <w:unhideWhenUsed/>
    <w:rsid w:val="00DC5513"/>
    <w:pPr>
      <w:widowControl/>
      <w:spacing w:after="300" w:line="240" w:lineRule="auto"/>
    </w:pPr>
    <w:rPr>
      <w:rFonts w:ascii="Times New Roman" w:eastAsia="Times New Roman" w:hAnsi="Times New Roman" w:cs="Times New Roman"/>
      <w:sz w:val="18"/>
      <w:szCs w:val="18"/>
    </w:rPr>
  </w:style>
  <w:style w:type="character" w:styleId="CommentReference">
    <w:name w:val="annotation reference"/>
    <w:basedOn w:val="DefaultParagraphFont"/>
    <w:uiPriority w:val="99"/>
    <w:rsid w:val="009B08EF"/>
    <w:rPr>
      <w:sz w:val="16"/>
      <w:szCs w:val="16"/>
    </w:rPr>
  </w:style>
  <w:style w:type="paragraph" w:styleId="CommentText">
    <w:name w:val="annotation text"/>
    <w:basedOn w:val="Normal"/>
    <w:link w:val="CommentTextChar"/>
    <w:uiPriority w:val="99"/>
    <w:rsid w:val="009B08EF"/>
    <w:pPr>
      <w:widowControl/>
      <w:spacing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9B08EF"/>
    <w:rPr>
      <w:rFonts w:eastAsia="Times New Roman" w:cs="Times New Roman"/>
      <w:sz w:val="20"/>
      <w:szCs w:val="20"/>
    </w:rPr>
  </w:style>
  <w:style w:type="table" w:styleId="TableGrid">
    <w:name w:val="Table Grid"/>
    <w:basedOn w:val="TableNormal"/>
    <w:uiPriority w:val="59"/>
    <w:rsid w:val="006D5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
    <w:name w:val="Light Grid - Accent 11"/>
    <w:basedOn w:val="TableNormal"/>
    <w:uiPriority w:val="62"/>
    <w:rsid w:val="00383D2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11">
    <w:name w:val="Light List - Accent 11"/>
    <w:basedOn w:val="TableNormal"/>
    <w:uiPriority w:val="61"/>
    <w:rsid w:val="00383D2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ommentSubject">
    <w:name w:val="annotation subject"/>
    <w:basedOn w:val="CommentText"/>
    <w:next w:val="CommentText"/>
    <w:link w:val="CommentSubjectChar"/>
    <w:uiPriority w:val="99"/>
    <w:semiHidden/>
    <w:unhideWhenUsed/>
    <w:rsid w:val="003A6447"/>
    <w:pPr>
      <w:widowControl w:val="0"/>
    </w:pPr>
    <w:rPr>
      <w:rFonts w:eastAsiaTheme="minorHAnsi" w:cstheme="minorBidi"/>
      <w:b/>
      <w:bCs/>
    </w:rPr>
  </w:style>
  <w:style w:type="character" w:customStyle="1" w:styleId="CommentSubjectChar">
    <w:name w:val="Comment Subject Char"/>
    <w:basedOn w:val="CommentTextChar"/>
    <w:link w:val="CommentSubject"/>
    <w:uiPriority w:val="99"/>
    <w:semiHidden/>
    <w:rsid w:val="003A6447"/>
    <w:rPr>
      <w:rFonts w:eastAsia="Times New Roman" w:cs="Times New Roman"/>
      <w:b/>
      <w:bCs/>
      <w:sz w:val="20"/>
      <w:szCs w:val="20"/>
    </w:rPr>
  </w:style>
  <w:style w:type="paragraph" w:customStyle="1" w:styleId="NumberedList">
    <w:name w:val="Numbered List"/>
    <w:basedOn w:val="Bullets"/>
    <w:link w:val="NumberedListChar"/>
    <w:qFormat/>
    <w:rsid w:val="00906C97"/>
    <w:pPr>
      <w:numPr>
        <w:numId w:val="18"/>
      </w:numPr>
    </w:pPr>
  </w:style>
  <w:style w:type="paragraph" w:styleId="Caption">
    <w:name w:val="caption"/>
    <w:basedOn w:val="Normal"/>
    <w:next w:val="Normal"/>
    <w:autoRedefine/>
    <w:uiPriority w:val="35"/>
    <w:unhideWhenUsed/>
    <w:qFormat/>
    <w:rsid w:val="00D6005F"/>
    <w:pPr>
      <w:keepNext/>
      <w:widowControl/>
      <w:spacing w:after="200" w:line="240" w:lineRule="auto"/>
      <w:jc w:val="center"/>
    </w:pPr>
    <w:rPr>
      <w:b/>
      <w:bCs/>
      <w:color w:val="000000" w:themeColor="text1"/>
    </w:rPr>
  </w:style>
  <w:style w:type="character" w:customStyle="1" w:styleId="NumberedListChar">
    <w:name w:val="Numbered List Char"/>
    <w:basedOn w:val="BulletsChar1"/>
    <w:link w:val="NumberedList"/>
    <w:rsid w:val="00906C97"/>
    <w:rPr>
      <w:rFonts w:ascii="Calibri" w:eastAsia="Calibri" w:hAnsi="Calibri" w:cs="Calibri"/>
      <w:spacing w:val="2"/>
    </w:rPr>
  </w:style>
  <w:style w:type="table" w:styleId="LightShading">
    <w:name w:val="Light Shading"/>
    <w:basedOn w:val="TableNormal"/>
    <w:uiPriority w:val="60"/>
    <w:rsid w:val="00425DA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E5229B"/>
    <w:pPr>
      <w:spacing w:after="0" w:line="240" w:lineRule="auto"/>
    </w:pPr>
  </w:style>
  <w:style w:type="paragraph" w:styleId="EndnoteText">
    <w:name w:val="endnote text"/>
    <w:basedOn w:val="Normal"/>
    <w:link w:val="EndnoteTextChar"/>
    <w:semiHidden/>
    <w:rsid w:val="00F759C2"/>
    <w:pPr>
      <w:widowControl/>
      <w:spacing w:before="60" w:line="240" w:lineRule="auto"/>
      <w:ind w:left="216" w:hanging="216"/>
    </w:pPr>
    <w:rPr>
      <w:rFonts w:ascii="Arial" w:eastAsia="Times New Roman" w:hAnsi="Arial" w:cs="Times New Roman"/>
      <w:sz w:val="14"/>
      <w:szCs w:val="20"/>
    </w:rPr>
  </w:style>
  <w:style w:type="character" w:customStyle="1" w:styleId="EndnoteTextChar">
    <w:name w:val="Endnote Text Char"/>
    <w:basedOn w:val="DefaultParagraphFont"/>
    <w:link w:val="EndnoteText"/>
    <w:semiHidden/>
    <w:rsid w:val="00F759C2"/>
    <w:rPr>
      <w:rFonts w:ascii="Arial" w:eastAsia="Times New Roman" w:hAnsi="Arial" w:cs="Times New Roman"/>
      <w:sz w:val="14"/>
      <w:szCs w:val="20"/>
    </w:rPr>
  </w:style>
  <w:style w:type="paragraph" w:styleId="BodyText">
    <w:name w:val="Body Text"/>
    <w:basedOn w:val="Normal"/>
    <w:link w:val="BodyTextChar"/>
    <w:rsid w:val="00F759C2"/>
    <w:pPr>
      <w:widowControl/>
      <w:tabs>
        <w:tab w:val="center" w:pos="1666"/>
      </w:tabs>
      <w:suppressAutoHyphens/>
      <w:spacing w:before="60" w:after="54" w:line="240" w:lineRule="auto"/>
      <w:ind w:left="216" w:hanging="216"/>
      <w:jc w:val="center"/>
    </w:pPr>
    <w:rPr>
      <w:rFonts w:ascii="Arial" w:eastAsia="Times New Roman" w:hAnsi="Arial" w:cs="Times New Roman"/>
      <w:sz w:val="18"/>
      <w:szCs w:val="20"/>
    </w:rPr>
  </w:style>
  <w:style w:type="character" w:customStyle="1" w:styleId="BodyTextChar">
    <w:name w:val="Body Text Char"/>
    <w:basedOn w:val="DefaultParagraphFont"/>
    <w:link w:val="BodyText"/>
    <w:rsid w:val="00F759C2"/>
    <w:rPr>
      <w:rFonts w:ascii="Arial" w:eastAsia="Times New Roman" w:hAnsi="Arial" w:cs="Times New Roman"/>
      <w:sz w:val="18"/>
      <w:szCs w:val="20"/>
    </w:rPr>
  </w:style>
  <w:style w:type="paragraph" w:styleId="BodyText2">
    <w:name w:val="Body Text 2"/>
    <w:basedOn w:val="Normal"/>
    <w:link w:val="BodyText2Char"/>
    <w:rsid w:val="00F759C2"/>
    <w:pPr>
      <w:widowControl/>
      <w:spacing w:before="60" w:line="240" w:lineRule="auto"/>
      <w:ind w:left="216" w:hanging="216"/>
    </w:pPr>
    <w:rPr>
      <w:rFonts w:ascii="Arial" w:eastAsia="Times New Roman" w:hAnsi="Arial" w:cs="Times New Roman"/>
      <w:sz w:val="14"/>
      <w:szCs w:val="20"/>
    </w:rPr>
  </w:style>
  <w:style w:type="character" w:customStyle="1" w:styleId="BodyText2Char">
    <w:name w:val="Body Text 2 Char"/>
    <w:basedOn w:val="DefaultParagraphFont"/>
    <w:link w:val="BodyText2"/>
    <w:rsid w:val="00F759C2"/>
    <w:rPr>
      <w:rFonts w:ascii="Arial" w:eastAsia="Times New Roman" w:hAnsi="Arial" w:cs="Times New Roman"/>
      <w:sz w:val="14"/>
      <w:szCs w:val="20"/>
    </w:rPr>
  </w:style>
  <w:style w:type="paragraph" w:styleId="BodyText3">
    <w:name w:val="Body Text 3"/>
    <w:basedOn w:val="Normal"/>
    <w:link w:val="BodyText3Char"/>
    <w:rsid w:val="00F759C2"/>
    <w:pPr>
      <w:widowControl/>
      <w:autoSpaceDE w:val="0"/>
      <w:autoSpaceDN w:val="0"/>
      <w:adjustRightInd w:val="0"/>
      <w:spacing w:line="240" w:lineRule="auto"/>
    </w:pPr>
    <w:rPr>
      <w:rFonts w:ascii="Times New Roman" w:eastAsia="Times New Roman" w:hAnsi="Times New Roman" w:cs="Arial"/>
      <w:sz w:val="20"/>
      <w:szCs w:val="20"/>
    </w:rPr>
  </w:style>
  <w:style w:type="character" w:customStyle="1" w:styleId="BodyText3Char">
    <w:name w:val="Body Text 3 Char"/>
    <w:basedOn w:val="DefaultParagraphFont"/>
    <w:link w:val="BodyText3"/>
    <w:rsid w:val="00F759C2"/>
    <w:rPr>
      <w:rFonts w:ascii="Times New Roman" w:eastAsia="Times New Roman" w:hAnsi="Times New Roman" w:cs="Arial"/>
      <w:sz w:val="20"/>
      <w:szCs w:val="20"/>
    </w:rPr>
  </w:style>
  <w:style w:type="paragraph" w:styleId="BodyTextIndent">
    <w:name w:val="Body Text Indent"/>
    <w:basedOn w:val="Normal"/>
    <w:link w:val="BodyTextIndentChar"/>
    <w:rsid w:val="00F759C2"/>
    <w:pPr>
      <w:widowControl/>
      <w:tabs>
        <w:tab w:val="left" w:pos="-720"/>
      </w:tabs>
      <w:suppressAutoHyphens/>
      <w:spacing w:after="60" w:line="180" w:lineRule="auto"/>
      <w:ind w:left="-3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F759C2"/>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852CF6"/>
    <w:rPr>
      <w:color w:val="800080" w:themeColor="followedHyperlink"/>
      <w:u w:val="single"/>
    </w:rPr>
  </w:style>
  <w:style w:type="paragraph" w:styleId="FootnoteText">
    <w:name w:val="footnote text"/>
    <w:basedOn w:val="Normal"/>
    <w:link w:val="FootnoteTextChar"/>
    <w:semiHidden/>
    <w:unhideWhenUsed/>
    <w:rsid w:val="003C2276"/>
    <w:pPr>
      <w:widowControl/>
      <w:spacing w:line="240" w:lineRule="auto"/>
    </w:pPr>
    <w:rPr>
      <w:sz w:val="20"/>
      <w:szCs w:val="20"/>
    </w:rPr>
  </w:style>
  <w:style w:type="character" w:customStyle="1" w:styleId="FootnoteTextChar">
    <w:name w:val="Footnote Text Char"/>
    <w:basedOn w:val="DefaultParagraphFont"/>
    <w:link w:val="FootnoteText"/>
    <w:semiHidden/>
    <w:rsid w:val="003C2276"/>
    <w:rPr>
      <w:sz w:val="20"/>
      <w:szCs w:val="20"/>
    </w:rPr>
  </w:style>
  <w:style w:type="character" w:styleId="FootnoteReference">
    <w:name w:val="footnote reference"/>
    <w:basedOn w:val="DefaultParagraphFont"/>
    <w:unhideWhenUsed/>
    <w:rsid w:val="003C2276"/>
    <w:rPr>
      <w:vertAlign w:val="superscript"/>
    </w:rPr>
  </w:style>
  <w:style w:type="character" w:customStyle="1" w:styleId="apple-converted-space">
    <w:name w:val="apple-converted-space"/>
    <w:basedOn w:val="DefaultParagraphFont"/>
    <w:rsid w:val="003C2276"/>
  </w:style>
  <w:style w:type="paragraph" w:customStyle="1" w:styleId="Body">
    <w:name w:val="Body"/>
    <w:basedOn w:val="Normal"/>
    <w:qFormat/>
    <w:rsid w:val="003C2276"/>
    <w:pPr>
      <w:spacing w:after="240"/>
    </w:pPr>
  </w:style>
  <w:style w:type="character" w:styleId="Emphasis">
    <w:name w:val="Emphasis"/>
    <w:basedOn w:val="DefaultParagraphFont"/>
    <w:uiPriority w:val="20"/>
    <w:qFormat/>
    <w:rsid w:val="00463416"/>
    <w:rPr>
      <w:i/>
      <w:iCs/>
    </w:rPr>
  </w:style>
  <w:style w:type="paragraph" w:customStyle="1" w:styleId="footnote">
    <w:name w:val="footnote"/>
    <w:basedOn w:val="FootnoteText"/>
    <w:link w:val="footnoteChar"/>
    <w:qFormat/>
    <w:rsid w:val="005749F8"/>
    <w:pPr>
      <w:jc w:val="both"/>
    </w:pPr>
    <w:rPr>
      <w:rFonts w:ascii="Calibri" w:eastAsia="Calibri" w:hAnsi="Calibri" w:cs="Times New Roman"/>
    </w:rPr>
  </w:style>
  <w:style w:type="character" w:customStyle="1" w:styleId="footnoteChar">
    <w:name w:val="footnote Char"/>
    <w:link w:val="footnote"/>
    <w:rsid w:val="005749F8"/>
    <w:rPr>
      <w:rFonts w:ascii="Calibri" w:eastAsia="Calibri" w:hAnsi="Calibri" w:cs="Times New Roman"/>
      <w:sz w:val="20"/>
      <w:szCs w:val="20"/>
    </w:rPr>
  </w:style>
  <w:style w:type="paragraph" w:customStyle="1" w:styleId="VolpeReport">
    <w:name w:val="VolpeReport"/>
    <w:qFormat/>
    <w:rsid w:val="005749F8"/>
    <w:pPr>
      <w:spacing w:after="0" w:line="480" w:lineRule="auto"/>
    </w:pPr>
    <w:rPr>
      <w:rFonts w:ascii="Times New Roman" w:eastAsia="Calibri" w:hAnsi="Times New Roman" w:cs="Times New Roman"/>
      <w:sz w:val="24"/>
    </w:rPr>
  </w:style>
  <w:style w:type="table" w:styleId="LightShadingAccent1">
    <w:name w:val="Light Shading Accent 1"/>
    <w:basedOn w:val="TableNormal"/>
    <w:uiPriority w:val="60"/>
    <w:rsid w:val="00DF26E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EndnoteReference">
    <w:name w:val="endnote reference"/>
    <w:basedOn w:val="DefaultParagraphFont"/>
    <w:uiPriority w:val="99"/>
    <w:semiHidden/>
    <w:unhideWhenUsed/>
    <w:rsid w:val="002A55F6"/>
    <w:rPr>
      <w:vertAlign w:val="superscript"/>
    </w:rPr>
  </w:style>
  <w:style w:type="character" w:styleId="UnresolvedMention">
    <w:name w:val="Unresolved Mention"/>
    <w:basedOn w:val="DefaultParagraphFont"/>
    <w:uiPriority w:val="99"/>
    <w:semiHidden/>
    <w:unhideWhenUsed/>
    <w:rsid w:val="00330E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footer" Target="footer4.xml" /><Relationship Id="rId14" Type="http://schemas.openxmlformats.org/officeDocument/2006/relationships/chart" Target="charts/chart1.xml" /><Relationship Id="rId15" Type="http://schemas.openxmlformats.org/officeDocument/2006/relationships/chart" Target="charts/chart2.xml" /><Relationship Id="rId16" Type="http://schemas.openxmlformats.org/officeDocument/2006/relationships/chart" Target="charts/chart3.xml" /><Relationship Id="rId17" Type="http://schemas.openxmlformats.org/officeDocument/2006/relationships/chart" Target="charts/chart4.xml" /><Relationship Id="rId18" Type="http://schemas.openxmlformats.org/officeDocument/2006/relationships/image" Target="media/image4.png" /><Relationship Id="rId19" Type="http://schemas.openxmlformats.org/officeDocument/2006/relationships/image" Target="media/image5.png" /><Relationship Id="rId2" Type="http://schemas.openxmlformats.org/officeDocument/2006/relationships/settings" Target="settings.xml" /><Relationship Id="rId20" Type="http://schemas.openxmlformats.org/officeDocument/2006/relationships/image" Target="media/image6.png" /><Relationship Id="rId21" Type="http://schemas.openxmlformats.org/officeDocument/2006/relationships/image" Target="media/image7.png" /><Relationship Id="rId22" Type="http://schemas.openxmlformats.org/officeDocument/2006/relationships/image" Target="media/image8.png" /><Relationship Id="rId23" Type="http://schemas.openxmlformats.org/officeDocument/2006/relationships/image" Target="media/image9.png" /><Relationship Id="rId24" Type="http://schemas.openxmlformats.org/officeDocument/2006/relationships/image" Target="media/image10.png" /><Relationship Id="rId25" Type="http://schemas.openxmlformats.org/officeDocument/2006/relationships/image" Target="media/image11.png" /><Relationship Id="rId26" Type="http://schemas.openxmlformats.org/officeDocument/2006/relationships/image" Target="media/image12.png" /><Relationship Id="rId27" Type="http://schemas.openxmlformats.org/officeDocument/2006/relationships/image" Target="media/image13.png" /><Relationship Id="rId28" Type="http://schemas.openxmlformats.org/officeDocument/2006/relationships/image" Target="media/image14.png" /><Relationship Id="rId29" Type="http://schemas.openxmlformats.org/officeDocument/2006/relationships/image" Target="media/image15.png" /><Relationship Id="rId3" Type="http://schemas.openxmlformats.org/officeDocument/2006/relationships/webSettings" Target="webSettings.xml" /><Relationship Id="rId30" Type="http://schemas.openxmlformats.org/officeDocument/2006/relationships/image" Target="media/image16.png" /><Relationship Id="rId31" Type="http://schemas.openxmlformats.org/officeDocument/2006/relationships/image" Target="media/image17.png" /><Relationship Id="rId32" Type="http://schemas.openxmlformats.org/officeDocument/2006/relationships/image" Target="media/image18.png" /><Relationship Id="rId33" Type="http://schemas.openxmlformats.org/officeDocument/2006/relationships/hyperlink" Target="http://www.volpe.dot.gov/" TargetMode="External" /><Relationship Id="rId34" Type="http://schemas.openxmlformats.org/officeDocument/2006/relationships/footer" Target="footer5.xml" /><Relationship Id="rId35" Type="http://schemas.openxmlformats.org/officeDocument/2006/relationships/theme" Target="theme/theme1.xml" /><Relationship Id="rId36" Type="http://schemas.openxmlformats.org/officeDocument/2006/relationships/numbering" Target="numbering.xml" /><Relationship Id="rId37" Type="http://schemas.openxmlformats.org/officeDocument/2006/relationships/styles" Target="styles.xml" /><Relationship Id="rId38" Type="http://schemas.microsoft.com/office/2011/relationships/people" Target="people.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image" Target="media/image1.png" /></Relationships>
</file>

<file path=word/_rels/footer1.xml.rels><?xml version="1.0" encoding="utf-8" standalone="yes"?><Relationships xmlns="http://schemas.openxmlformats.org/package/2006/relationships"><Relationship Id="rId1" Type="http://schemas.openxmlformats.org/officeDocument/2006/relationships/image" Target="media/image2.jpeg" /></Relationships>
</file>

<file path=word/_rels/footer2.xml.rels><?xml version="1.0" encoding="utf-8" standalone="yes"?><Relationships xmlns="http://schemas.openxmlformats.org/package/2006/relationships"><Relationship Id="rId1" Type="http://schemas.openxmlformats.org/officeDocument/2006/relationships/image" Target="media/image3.gif" /></Relationships>
</file>

<file path=word/_rels/footer5.xml.rels><?xml version="1.0" encoding="utf-8" standalone="yes"?><Relationships xmlns="http://schemas.openxmlformats.org/package/2006/relationships"><Relationship Id="rId1" Type="http://schemas.openxmlformats.org/officeDocument/2006/relationships/image" Target="media/image2.jpeg" /></Relationships>
</file>

<file path=word/_rels/footnotes.xml.rels><?xml version="1.0" encoding="utf-8" standalone="yes"?><Relationships xmlns="http://schemas.openxmlformats.org/package/2006/relationships"><Relationship Id="rId1" Type="http://schemas.openxmlformats.org/officeDocument/2006/relationships/hyperlink" Target="http://www.gao.gov/products/GAO-07-28" TargetMode="External" /><Relationship Id="rId2" Type="http://schemas.openxmlformats.org/officeDocument/2006/relationships/hyperlink" Target="https://www.census.gov/programs-surveys/ahs/data.2013.html" TargetMode="External" /><Relationship Id="rId3" Type="http://schemas.openxmlformats.org/officeDocument/2006/relationships/hyperlink" Target="https://www.census.gov/programs-surveys/ahs/data/interactive/ahstablecreator.html" TargetMode="External" /><Relationship Id="rId4" Type="http://schemas.openxmlformats.org/officeDocument/2006/relationships/hyperlink" Target="https://www.zillow.com/rental-manager/resources/rental-application-form/" TargetMode="External" /><Relationship Id="rId5" Type="http://schemas.openxmlformats.org/officeDocument/2006/relationships/hyperlink" Target="https://www.fhwa.dot.gov/real_estate/uniform_act/stats/index.cfm" TargetMode="External" /><Relationship Id="rId6" Type="http://schemas.openxmlformats.org/officeDocument/2006/relationships/hyperlink" Target="https://www.opm.gov/policy-data-oversight/pay-leave/salaries-wages/salary-tables/21Tables/html/DCB_h.aspx" TargetMode="External" /></Relationships>
</file>

<file path=word/charts/_rels/chart1.xml.rels><?xml version="1.0" encoding="utf-8" standalone="yes"?><Relationships xmlns="http://schemas.openxmlformats.org/package/2006/relationships"><Relationship Id="rId1" Type="http://schemas.openxmlformats.org/officeDocument/2006/relationships/package" Target="../embeddings/Microsoft_Excel_Worksheet1.xlsx" /></Relationships>
</file>

<file path=word/charts/_rels/chart2.xml.rels><?xml version="1.0" encoding="utf-8" standalone="yes"?><Relationships xmlns="http://schemas.openxmlformats.org/package/2006/relationships"><Relationship Id="rId1" Type="http://schemas.openxmlformats.org/officeDocument/2006/relationships/oleObject" Target="file:///\\vntscex.local\DFS\Projects\PROJ-HW31A1\FHWA%20Uniform%20Act\2019July\2019July%20rev%20calcs%20Uniform%20Act%2020190726.xlsx" TargetMode="External" /></Relationships>
</file>

<file path=word/charts/_rels/chart3.xml.rels><?xml version="1.0" encoding="utf-8" standalone="yes"?><Relationships xmlns="http://schemas.openxmlformats.org/package/2006/relationships"><Relationship Id="rId1" Type="http://schemas.openxmlformats.org/officeDocument/2006/relationships/package" Target="../embeddings/Microsoft_Excel_Worksheet2.xlsx" /></Relationships>
</file>

<file path=word/charts/_rels/chart4.xml.rels><?xml version="1.0" encoding="utf-8" standalone="yes"?><Relationships xmlns="http://schemas.openxmlformats.org/package/2006/relationships"><Relationship Id="rId1" Type="http://schemas.openxmlformats.org/officeDocument/2006/relationships/oleObject" Target="file:///\\vntscex.local\DFS\Streamlining_RegEvaluation\data\Copy%20of%20Agency%20program%20expenditures%203%206%202015.xlsx" TargetMode="External"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Residential Displacements</a:t>
            </a:r>
            <a:endParaRPr lang="en-US"/>
          </a:p>
        </c:rich>
      </c:tx>
      <c:layout/>
      <c:overlay val="0"/>
    </c:title>
    <c:autoTitleDeleted val="0"/>
    <c:plotArea>
      <c:layout>
        <c:manualLayout>
          <c:layoutTarget val="inner"/>
          <c:xMode val="edge"/>
          <c:yMode val="edge"/>
          <c:x val="0.12661417322834645"/>
          <c:y val="0.2251070109547034"/>
          <c:w val="0.86406166088028624"/>
          <c:h val="0.68802488712491316"/>
        </c:manualLayout>
      </c:layout>
      <c:lineChart>
        <c:grouping val="standard"/>
        <c:varyColors val="0"/>
        <c:ser>
          <c:idx val="3"/>
          <c:order val="0"/>
          <c:tx>
            <c:strRef>
              <c:f>'F1 F3time trends avg '!$C$1</c:f>
              <c:strCache>
                <c:ptCount val="1"/>
                <c:pt idx="0">
                  <c:v>Residential Displacements</c:v>
                </c:pt>
              </c:strCache>
            </c:strRef>
          </c:tx>
          <c:marker>
            <c:symbol val="square"/>
            <c:size val="5"/>
          </c:marker>
          <c:cat>
            <c:numRef>
              <c:f>'F1 F3time trends avg '!$F$24:$F$32</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'F1 F3time trends avg '!$C$24:$C$32</c:f>
              <c:numCache>
                <c:formatCode>#,##0</c:formatCode>
                <c:ptCount val="9"/>
                <c:pt idx="0">
                  <c:v>1591</c:v>
                </c:pt>
                <c:pt idx="1">
                  <c:v>1723</c:v>
                </c:pt>
                <c:pt idx="2">
                  <c:v>1726</c:v>
                </c:pt>
                <c:pt idx="3">
                  <c:v>2066</c:v>
                </c:pt>
                <c:pt idx="4">
                  <c:v>1084</c:v>
                </c:pt>
                <c:pt idx="5">
                  <c:v>1218</c:v>
                </c:pt>
                <c:pt idx="6">
                  <c:v>1482</c:v>
                </c:pt>
                <c:pt idx="7" formatCode="_(* #,##0_);_(* \(#,##0\);_(* &quot;-&quot;??_);_(@_)">
                  <c:v>1191</c:v>
                </c:pt>
                <c:pt idx="8" formatCode="_(* #,##0_);_(* \(#,##0\);_(* &quot;-&quot;??_);_(@_)">
                  <c:v>1311</c:v>
                </c:pt>
              </c:numCache>
            </c:numRef>
          </c:val>
          <c:smooth val="0"/>
          <c:extLst>
            <c:ext xmlns:c16="http://schemas.microsoft.com/office/drawing/2014/chart" uri="{C3380CC4-5D6E-409C-BE32-E72D297353CC}">
              <c16:uniqueId val="{00000000-F9C6-489A-A25F-9A4653F75131}"/>
            </c:ext>
          </c:extLst>
        </c:ser>
        <c:ser>
          <c:idx val="1"/>
          <c:order val="1"/>
          <c:tx>
            <c:strRef>
              <c:f>'F1 F3time trends avg '!$H$1</c:f>
              <c:strCache>
                <c:ptCount val="1"/>
                <c:pt idx="0">
                  <c:v>Historic Average (2013 to 2021)</c:v>
                </c:pt>
              </c:strCache>
            </c:strRef>
          </c:tx>
          <c:spPr>
            <a:ln>
              <a:prstDash val="dash"/>
            </a:ln>
          </c:spPr>
          <c:marker>
            <c:symbol val="none"/>
          </c:marker>
          <c:cat>
            <c:numRef>
              <c:f>'F1 F3time trends avg '!$F$24:$F$32</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'F1 F3time trends avg '!$H$24:$H$32</c:f>
              <c:numCache>
                <c:formatCode>#,##0</c:formatCode>
                <c:ptCount val="9"/>
                <c:pt idx="0">
                  <c:v>1488</c:v>
                </c:pt>
                <c:pt idx="1">
                  <c:v>1488</c:v>
                </c:pt>
                <c:pt idx="2">
                  <c:v>1488</c:v>
                </c:pt>
                <c:pt idx="3">
                  <c:v>1488</c:v>
                </c:pt>
                <c:pt idx="4">
                  <c:v>1488</c:v>
                </c:pt>
                <c:pt idx="5">
                  <c:v>1488</c:v>
                </c:pt>
                <c:pt idx="6">
                  <c:v>1488</c:v>
                </c:pt>
                <c:pt idx="7">
                  <c:v>1488</c:v>
                </c:pt>
                <c:pt idx="8">
                  <c:v>1488</c:v>
                </c:pt>
              </c:numCache>
            </c:numRef>
          </c:val>
          <c:smooth val="0"/>
          <c:extLst>
            <c:ext xmlns:c16="http://schemas.microsoft.com/office/drawing/2014/chart" uri="{C3380CC4-5D6E-409C-BE32-E72D297353CC}">
              <c16:uniqueId val="{00000001-F9C6-489A-A25F-9A4653F75131}"/>
            </c:ext>
          </c:extLst>
        </c:ser>
        <c:dLbls>
          <c:showLegendKey val="0"/>
          <c:showVal val="0"/>
          <c:showCatName val="0"/>
          <c:showSerName val="0"/>
          <c:showPercent val="0"/>
          <c:showBubbleSize val="0"/>
        </c:dLbls>
        <c:marker val="1"/>
        <c:smooth val="0"/>
        <c:axId val="284969152"/>
        <c:axId val="443318016"/>
      </c:lineChart>
      <c:catAx>
        <c:axId val="284969152"/>
        <c:scaling>
          <c:orientation val="minMax"/>
        </c:scaling>
        <c:delete val="0"/>
        <c:axPos val="b"/>
        <c:numFmt formatCode="General" sourceLinked="1"/>
        <c:majorTickMark val="out"/>
        <c:minorTickMark val="none"/>
        <c:tickLblPos val="nextTo"/>
        <c:crossAx val="443318016"/>
        <c:crosses val="autoZero"/>
        <c:auto val="1"/>
        <c:lblAlgn val="ctr"/>
        <c:lblOffset val="100"/>
        <c:noMultiLvlLbl val="0"/>
      </c:catAx>
      <c:valAx>
        <c:axId val="443318016"/>
        <c:scaling>
          <c:orientation val="minMax"/>
        </c:scaling>
        <c:delete val="0"/>
        <c:axPos val="l"/>
        <c:majorGridlines/>
        <c:title>
          <c:tx>
            <c:rich>
              <a:bodyPr rot="-5400000" vert="horz"/>
              <a:lstStyle/>
              <a:p>
                <a:pPr>
                  <a:defRPr/>
                </a:pPr>
                <a:r>
                  <a:rPr lang="en-US"/>
                  <a:t>Displacements</a:t>
                </a:r>
              </a:p>
            </c:rich>
          </c:tx>
          <c:layout/>
          <c:overlay val="0"/>
        </c:title>
        <c:numFmt formatCode="#,##0" sourceLinked="1"/>
        <c:majorTickMark val="out"/>
        <c:minorTickMark val="none"/>
        <c:tickLblPos val="nextTo"/>
        <c:crossAx val="284969152"/>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pivotFmt>
      <c:pivotFmt>
        <c:idx val="1"/>
      </c:pivotFmt>
      <c:pivotFmt>
        <c:idx val="2"/>
      </c:pivotFmt>
    </c:pivotFmts>
    <c:plotArea>
      <c:layout/>
      <c:lineChart>
        <c:grouping val="standard"/>
        <c:varyColors val="0"/>
        <c:ser>
          <c:idx val="0"/>
          <c:order val="0"/>
          <c:tx>
            <c:strRef>
              <c:f>'F2 NEW % Last Resort'!$D$36:$D$58</c:f>
              <c:strCache>
                <c:ptCount val="23"/>
                <c:pt idx="0">
                  <c:v>29%</c:v>
                </c:pt>
                <c:pt idx="1">
                  <c:v>31%</c:v>
                </c:pt>
                <c:pt idx="2">
                  <c:v>26%</c:v>
                </c:pt>
                <c:pt idx="3">
                  <c:v>24%</c:v>
                </c:pt>
                <c:pt idx="4">
                  <c:v>32%</c:v>
                </c:pt>
                <c:pt idx="5">
                  <c:v>26%</c:v>
                </c:pt>
                <c:pt idx="6">
                  <c:v>30%</c:v>
                </c:pt>
                <c:pt idx="7">
                  <c:v>34%</c:v>
                </c:pt>
                <c:pt idx="8">
                  <c:v>30%</c:v>
                </c:pt>
                <c:pt idx="9">
                  <c:v>29%</c:v>
                </c:pt>
                <c:pt idx="10">
                  <c:v>30%</c:v>
                </c:pt>
                <c:pt idx="11">
                  <c:v>37%</c:v>
                </c:pt>
                <c:pt idx="12">
                  <c:v>36%</c:v>
                </c:pt>
                <c:pt idx="13">
                  <c:v>41%</c:v>
                </c:pt>
                <c:pt idx="14">
                  <c:v>30%</c:v>
                </c:pt>
                <c:pt idx="15">
                  <c:v>44%</c:v>
                </c:pt>
                <c:pt idx="16">
                  <c:v>49%</c:v>
                </c:pt>
                <c:pt idx="17">
                  <c:v>42%</c:v>
                </c:pt>
                <c:pt idx="18">
                  <c:v>45%</c:v>
                </c:pt>
                <c:pt idx="19">
                  <c:v>34%</c:v>
                </c:pt>
                <c:pt idx="20">
                  <c:v>40%</c:v>
                </c:pt>
                <c:pt idx="21">
                  <c:v>39%</c:v>
                </c:pt>
                <c:pt idx="22">
                  <c:v>46%</c:v>
                </c:pt>
              </c:strCache>
            </c:strRef>
          </c:tx>
          <c:spPr>
            <a:ln w="22225"/>
          </c:spPr>
          <c:marker>
            <c:symbol val="diamond"/>
            <c:size val="7"/>
          </c:marker>
          <c:trendline>
            <c:trendlineType val="linear"/>
            <c:dispRSqr val="0"/>
            <c:dispEq val="0"/>
          </c:trendline>
          <c:trendline>
            <c:trendlineType val="linear"/>
            <c:dispRSqr val="0"/>
            <c:dispEq val="0"/>
          </c:trendline>
          <c:cat>
            <c:numRef>
              <c:f>'F2 NEW % Last Resort'!$A$36:$A$58</c:f>
              <c:numCache>
                <c:formatCode>General</c:formatCode>
                <c:ptCount val="23"/>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numCache>
            </c:numRef>
          </c:cat>
          <c:val>
            <c:numRef>
              <c:f>'F2 NEW % Last Resort'!$D$36:$D$58</c:f>
              <c:numCache>
                <c:formatCode>0%</c:formatCode>
                <c:ptCount val="23"/>
                <c:pt idx="0">
                  <c:v>0.29174033846931041</c:v>
                </c:pt>
                <c:pt idx="1">
                  <c:v>0.31448275862068964</c:v>
                </c:pt>
                <c:pt idx="2">
                  <c:v>0.26012373453318333</c:v>
                </c:pt>
                <c:pt idx="3">
                  <c:v>0.24087943947813481</c:v>
                </c:pt>
                <c:pt idx="4">
                  <c:v>0.31777251184834121</c:v>
                </c:pt>
                <c:pt idx="5">
                  <c:v>0.25997521685254027</c:v>
                </c:pt>
                <c:pt idx="6">
                  <c:v>0.30399480350763236</c:v>
                </c:pt>
                <c:pt idx="7">
                  <c:v>0.34007200221545281</c:v>
                </c:pt>
                <c:pt idx="8">
                  <c:v>0.29840656687590533</c:v>
                </c:pt>
                <c:pt idx="9">
                  <c:v>0.29482352941176471</c:v>
                </c:pt>
                <c:pt idx="10">
                  <c:v>0.29828973843058348</c:v>
                </c:pt>
                <c:pt idx="11">
                  <c:v>0.37165489188610573</c:v>
                </c:pt>
                <c:pt idx="12">
                  <c:v>0.359504132231405</c:v>
                </c:pt>
                <c:pt idx="13">
                  <c:v>0.40959767329132329</c:v>
                </c:pt>
                <c:pt idx="14">
                  <c:v>0.30138674884437594</c:v>
                </c:pt>
                <c:pt idx="15">
                  <c:v>0.44204104270660011</c:v>
                </c:pt>
                <c:pt idx="16">
                  <c:v>0.48807251908396948</c:v>
                </c:pt>
                <c:pt idx="17">
                  <c:v>0.422271223814774</c:v>
                </c:pt>
                <c:pt idx="18">
                  <c:v>0.45037220843672454</c:v>
                </c:pt>
                <c:pt idx="19">
                  <c:v>0.34254888739042483</c:v>
                </c:pt>
                <c:pt idx="20">
                  <c:v>0.39761194029850744</c:v>
                </c:pt>
                <c:pt idx="21">
                  <c:v>0.38750661725780838</c:v>
                </c:pt>
                <c:pt idx="22">
                  <c:v>0.45757385292269015</c:v>
                </c:pt>
              </c:numCache>
            </c:numRef>
          </c:val>
          <c:smooth val="0"/>
          <c:extLst>
            <c:ext xmlns:c16="http://schemas.microsoft.com/office/drawing/2014/chart" uri="{C3380CC4-5D6E-409C-BE32-E72D297353CC}">
              <c16:uniqueId val="{00000000-B533-439A-95B4-9866768C9E84}"/>
            </c:ext>
          </c:extLst>
        </c:ser>
        <c:dLbls>
          <c:showLegendKey val="0"/>
          <c:showVal val="0"/>
          <c:showCatName val="0"/>
          <c:showSerName val="0"/>
          <c:showPercent val="0"/>
          <c:showBubbleSize val="0"/>
        </c:dLbls>
        <c:marker val="1"/>
        <c:smooth val="0"/>
        <c:axId val="443547688"/>
        <c:axId val="443548080"/>
      </c:lineChart>
      <c:catAx>
        <c:axId val="443547688"/>
        <c:scaling>
          <c:orientation val="minMax"/>
        </c:scaling>
        <c:delete val="0"/>
        <c:axPos val="b"/>
        <c:numFmt formatCode="General" sourceLinked="0"/>
        <c:majorTickMark val="out"/>
        <c:minorTickMark val="none"/>
        <c:tickLblPos val="nextTo"/>
        <c:crossAx val="443548080"/>
        <c:crosses val="autoZero"/>
        <c:auto val="1"/>
        <c:lblAlgn val="ctr"/>
        <c:lblOffset val="100"/>
        <c:noMultiLvlLbl val="0"/>
      </c:catAx>
      <c:valAx>
        <c:axId val="443548080"/>
        <c:scaling>
          <c:orientation val="minMax"/>
        </c:scaling>
        <c:delete val="0"/>
        <c:axPos val="l"/>
        <c:title>
          <c:tx>
            <c:rich>
              <a:bodyPr rot="-5400000" vert="horz"/>
              <a:lstStyle/>
              <a:p>
                <a:pPr>
                  <a:defRPr sz="1050"/>
                </a:pPr>
                <a:r>
                  <a:rPr lang="en-US" sz="1050"/>
                  <a:t>Last</a:t>
                </a:r>
                <a:r>
                  <a:rPr lang="en-US" sz="1050" baseline="0"/>
                  <a:t> Resort Housing as Percent of All Residential Displacements</a:t>
                </a:r>
                <a:endParaRPr lang="en-US" sz="1050"/>
              </a:p>
            </c:rich>
          </c:tx>
          <c:layout/>
          <c:overlay val="0"/>
        </c:title>
        <c:numFmt formatCode="0%" sourceLinked="1"/>
        <c:majorTickMark val="out"/>
        <c:minorTickMark val="none"/>
        <c:tickLblPos val="nextTo"/>
        <c:crossAx val="443547688"/>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Non-Residential Displacements</a:t>
            </a:r>
            <a:endParaRPr lang="en-US"/>
          </a:p>
        </c:rich>
      </c:tx>
      <c:layout/>
      <c:overlay val="0"/>
    </c:title>
    <c:autoTitleDeleted val="0"/>
    <c:plotArea>
      <c:layout>
        <c:manualLayout>
          <c:layoutTarget val="inner"/>
          <c:xMode val="edge"/>
          <c:yMode val="edge"/>
          <c:x val="0.12661417322834645"/>
          <c:y val="0.2171121166853453"/>
          <c:w val="0.86406166088028624"/>
          <c:h val="0.69602002312245781"/>
        </c:manualLayout>
      </c:layout>
      <c:lineChart>
        <c:grouping val="standard"/>
        <c:varyColors val="0"/>
        <c:ser>
          <c:idx val="3"/>
          <c:order val="0"/>
          <c:tx>
            <c:strRef>
              <c:f>'F1 F3time trends avg '!$D$1</c:f>
              <c:strCache>
                <c:ptCount val="1"/>
                <c:pt idx="0">
                  <c:v>Non-Residential Displacements</c:v>
                </c:pt>
              </c:strCache>
            </c:strRef>
          </c:tx>
          <c:marker>
            <c:symbol val="square"/>
            <c:size val="5"/>
          </c:marker>
          <c:cat>
            <c:numRef>
              <c:f>'F1 F3time trends avg '!$F$24:$F$32</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'F1 F3time trends avg '!$D$24:$D$32</c:f>
              <c:numCache>
                <c:formatCode>#,##0</c:formatCode>
                <c:ptCount val="9"/>
                <c:pt idx="0">
                  <c:v>1438</c:v>
                </c:pt>
                <c:pt idx="1">
                  <c:v>1744</c:v>
                </c:pt>
                <c:pt idx="2">
                  <c:v>1732</c:v>
                </c:pt>
                <c:pt idx="3">
                  <c:v>1351</c:v>
                </c:pt>
                <c:pt idx="4">
                  <c:v>1291</c:v>
                </c:pt>
                <c:pt idx="5">
                  <c:v>1257</c:v>
                </c:pt>
                <c:pt idx="6">
                  <c:v>1418</c:v>
                </c:pt>
                <c:pt idx="7">
                  <c:v>1255</c:v>
                </c:pt>
                <c:pt idx="8">
                  <c:v>1010</c:v>
                </c:pt>
              </c:numCache>
            </c:numRef>
          </c:val>
          <c:smooth val="0"/>
          <c:extLst>
            <c:ext xmlns:c16="http://schemas.microsoft.com/office/drawing/2014/chart" uri="{C3380CC4-5D6E-409C-BE32-E72D297353CC}">
              <c16:uniqueId val="{00000000-2853-46CC-A29D-E95703775ACD}"/>
            </c:ext>
          </c:extLst>
        </c:ser>
        <c:ser>
          <c:idx val="1"/>
          <c:order val="1"/>
          <c:tx>
            <c:strRef>
              <c:f>'F1 F3time trends avg '!$I$1</c:f>
              <c:strCache>
                <c:ptCount val="1"/>
                <c:pt idx="0">
                  <c:v>Historic Average (2013 to 2021)</c:v>
                </c:pt>
              </c:strCache>
            </c:strRef>
          </c:tx>
          <c:spPr>
            <a:ln>
              <a:prstDash val="dash"/>
            </a:ln>
          </c:spPr>
          <c:marker>
            <c:symbol val="none"/>
          </c:marker>
          <c:cat>
            <c:numRef>
              <c:f>'F1 F3time trends avg '!$F$24:$F$32</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'F1 F3time trends avg '!$I$24:$I$32</c:f>
              <c:numCache>
                <c:formatCode>#,##0</c:formatCode>
                <c:ptCount val="9"/>
                <c:pt idx="0">
                  <c:v>1388.4444444444443</c:v>
                </c:pt>
                <c:pt idx="1">
                  <c:v>1388.4444444444443</c:v>
                </c:pt>
                <c:pt idx="2">
                  <c:v>1388.4444444444443</c:v>
                </c:pt>
                <c:pt idx="3">
                  <c:v>1388.4444444444443</c:v>
                </c:pt>
                <c:pt idx="4">
                  <c:v>1388.4444444444443</c:v>
                </c:pt>
                <c:pt idx="5">
                  <c:v>1388.4444444444443</c:v>
                </c:pt>
                <c:pt idx="6">
                  <c:v>1388.4444444444443</c:v>
                </c:pt>
                <c:pt idx="7">
                  <c:v>1388.4444444444443</c:v>
                </c:pt>
                <c:pt idx="8">
                  <c:v>1388.4444444444443</c:v>
                </c:pt>
              </c:numCache>
            </c:numRef>
          </c:val>
          <c:smooth val="0"/>
          <c:extLst>
            <c:ext xmlns:c16="http://schemas.microsoft.com/office/drawing/2014/chart" uri="{C3380CC4-5D6E-409C-BE32-E72D297353CC}">
              <c16:uniqueId val="{00000001-2853-46CC-A29D-E95703775ACD}"/>
            </c:ext>
          </c:extLst>
        </c:ser>
        <c:dLbls>
          <c:showLegendKey val="0"/>
          <c:showVal val="0"/>
          <c:showCatName val="0"/>
          <c:showSerName val="0"/>
          <c:showPercent val="0"/>
          <c:showBubbleSize val="0"/>
        </c:dLbls>
        <c:marker val="1"/>
        <c:smooth val="0"/>
        <c:axId val="446365512"/>
        <c:axId val="446363944"/>
      </c:lineChart>
      <c:catAx>
        <c:axId val="446365512"/>
        <c:scaling>
          <c:orientation val="minMax"/>
        </c:scaling>
        <c:delete val="0"/>
        <c:axPos val="b"/>
        <c:numFmt formatCode="General" sourceLinked="1"/>
        <c:majorTickMark val="out"/>
        <c:minorTickMark val="none"/>
        <c:tickLblPos val="nextTo"/>
        <c:crossAx val="446363944"/>
        <c:crosses val="autoZero"/>
        <c:auto val="1"/>
        <c:lblAlgn val="ctr"/>
        <c:lblOffset val="100"/>
        <c:noMultiLvlLbl val="0"/>
      </c:catAx>
      <c:valAx>
        <c:axId val="446363944"/>
        <c:scaling>
          <c:orientation val="minMax"/>
        </c:scaling>
        <c:delete val="0"/>
        <c:axPos val="l"/>
        <c:majorGridlines/>
        <c:title>
          <c:tx>
            <c:rich>
              <a:bodyPr rot="-5400000" vert="horz"/>
              <a:lstStyle/>
              <a:p>
                <a:pPr>
                  <a:defRPr/>
                </a:pPr>
                <a:r>
                  <a:rPr lang="en-US"/>
                  <a:t>Displacements</a:t>
                </a:r>
              </a:p>
            </c:rich>
          </c:tx>
          <c:layout/>
          <c:overlay val="0"/>
        </c:title>
        <c:numFmt formatCode="#,##0" sourceLinked="1"/>
        <c:majorTickMark val="out"/>
        <c:minorTickMark val="none"/>
        <c:tickLblPos val="nextTo"/>
        <c:crossAx val="446365512"/>
        <c:crosses val="autoZero"/>
        <c:crossBetween val="between"/>
        <c:majorUnit val="400"/>
      </c:valAx>
    </c:plotArea>
    <c:legend>
      <c:legendPos val="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Percent of Non-Residential Displacements Choosing In-Lieu-Of Payment</a:t>
            </a:r>
          </a:p>
        </c:rich>
      </c:tx>
      <c:layout/>
      <c:overlay val="0"/>
    </c:title>
    <c:autoTitleDeleted val="0"/>
    <c:plotArea>
      <c:layout>
        <c:manualLayout>
          <c:layoutTarget val="inner"/>
          <c:xMode val="edge"/>
          <c:yMode val="edge"/>
          <c:x val="0.071583131762014585"/>
          <c:y val="0.16705007874015748"/>
          <c:w val="0.90460332639552976"/>
          <c:h val="0.7172736220472441"/>
        </c:manualLayout>
      </c:layout>
      <c:lineChart>
        <c:grouping val="standard"/>
        <c:varyColors val="0"/>
        <c:ser>
          <c:idx val="1"/>
          <c:order val="0"/>
          <c:tx>
            <c:strRef>
              <c:f>'F2 BUSINESS'!$O$2</c:f>
              <c:strCache>
                <c:ptCount val="1"/>
                <c:pt idx="0">
                  <c:v>% alternative</c:v>
                </c:pt>
              </c:strCache>
            </c:strRef>
          </c:tx>
          <c:dPt>
            <c:idx val="1"/>
            <c:bubble3D val="0"/>
            <c:spPr>
              <a:ln w="19050"/>
            </c:spPr>
            <c:extLst>
              <c:ext xmlns:c16="http://schemas.microsoft.com/office/drawing/2014/chart" uri="{C3380CC4-5D6E-409C-BE32-E72D297353CC}">
                <c16:uniqueId val="{00000001-488F-41FD-AB74-98C185882472}"/>
              </c:ext>
            </c:extLst>
          </c:dPt>
          <c:dPt>
            <c:idx val="2"/>
            <c:bubble3D val="0"/>
            <c:spPr>
              <a:ln w="19050"/>
            </c:spPr>
            <c:extLst>
              <c:ext xmlns:c16="http://schemas.microsoft.com/office/drawing/2014/chart" uri="{C3380CC4-5D6E-409C-BE32-E72D297353CC}">
                <c16:uniqueId val="{00000003-488F-41FD-AB74-98C185882472}"/>
              </c:ext>
            </c:extLst>
          </c:dPt>
          <c:dPt>
            <c:idx val="3"/>
            <c:bubble3D val="0"/>
            <c:spPr>
              <a:ln w="19050"/>
            </c:spPr>
            <c:extLst>
              <c:ext xmlns:c16="http://schemas.microsoft.com/office/drawing/2014/chart" uri="{C3380CC4-5D6E-409C-BE32-E72D297353CC}">
                <c16:uniqueId val="{00000005-488F-41FD-AB74-98C185882472}"/>
              </c:ext>
            </c:extLst>
          </c:dPt>
          <c:dPt>
            <c:idx val="4"/>
            <c:bubble3D val="0"/>
            <c:spPr>
              <a:ln w="19050"/>
            </c:spPr>
            <c:extLst>
              <c:ext xmlns:c16="http://schemas.microsoft.com/office/drawing/2014/chart" uri="{C3380CC4-5D6E-409C-BE32-E72D297353CC}">
                <c16:uniqueId val="{00000007-488F-41FD-AB74-98C185882472}"/>
              </c:ext>
            </c:extLst>
          </c:dPt>
          <c:dPt>
            <c:idx val="5"/>
            <c:bubble3D val="0"/>
            <c:spPr>
              <a:ln w="19050"/>
            </c:spPr>
            <c:extLst>
              <c:ext xmlns:c16="http://schemas.microsoft.com/office/drawing/2014/chart" uri="{C3380CC4-5D6E-409C-BE32-E72D297353CC}">
                <c16:uniqueId val="{00000009-488F-41FD-AB74-98C185882472}"/>
              </c:ext>
            </c:extLst>
          </c:dPt>
          <c:dPt>
            <c:idx val="6"/>
            <c:bubble3D val="0"/>
            <c:spPr>
              <a:ln w="19050"/>
            </c:spPr>
            <c:extLst>
              <c:ext xmlns:c16="http://schemas.microsoft.com/office/drawing/2014/chart" uri="{C3380CC4-5D6E-409C-BE32-E72D297353CC}">
                <c16:uniqueId val="{0000000B-488F-41FD-AB74-98C185882472}"/>
              </c:ext>
            </c:extLst>
          </c:dPt>
          <c:dPt>
            <c:idx val="7"/>
            <c:bubble3D val="0"/>
            <c:spPr>
              <a:ln w="19050"/>
            </c:spPr>
            <c:extLst>
              <c:ext xmlns:c16="http://schemas.microsoft.com/office/drawing/2014/chart" uri="{C3380CC4-5D6E-409C-BE32-E72D297353CC}">
                <c16:uniqueId val="{0000000D-488F-41FD-AB74-98C185882472}"/>
              </c:ext>
            </c:extLst>
          </c:dPt>
          <c:dPt>
            <c:idx val="8"/>
            <c:bubble3D val="0"/>
            <c:spPr>
              <a:ln w="19050"/>
            </c:spPr>
            <c:extLst>
              <c:ext xmlns:c16="http://schemas.microsoft.com/office/drawing/2014/chart" uri="{C3380CC4-5D6E-409C-BE32-E72D297353CC}">
                <c16:uniqueId val="{0000000F-488F-41FD-AB74-98C185882472}"/>
              </c:ext>
            </c:extLst>
          </c:dPt>
          <c:dPt>
            <c:idx val="9"/>
            <c:bubble3D val="0"/>
            <c:spPr>
              <a:ln w="19050"/>
            </c:spPr>
            <c:extLst>
              <c:ext xmlns:c16="http://schemas.microsoft.com/office/drawing/2014/chart" uri="{C3380CC4-5D6E-409C-BE32-E72D297353CC}">
                <c16:uniqueId val="{00000011-488F-41FD-AB74-98C185882472}"/>
              </c:ext>
            </c:extLst>
          </c:dPt>
          <c:dPt>
            <c:idx val="10"/>
            <c:bubble3D val="0"/>
            <c:spPr>
              <a:ln w="19050"/>
            </c:spPr>
            <c:extLst>
              <c:ext xmlns:c16="http://schemas.microsoft.com/office/drawing/2014/chart" uri="{C3380CC4-5D6E-409C-BE32-E72D297353CC}">
                <c16:uniqueId val="{00000013-488F-41FD-AB74-98C185882472}"/>
              </c:ext>
            </c:extLst>
          </c:dPt>
          <c:dPt>
            <c:idx val="11"/>
            <c:bubble3D val="0"/>
            <c:spPr>
              <a:ln w="19050"/>
            </c:spPr>
            <c:extLst>
              <c:ext xmlns:c16="http://schemas.microsoft.com/office/drawing/2014/chart" uri="{C3380CC4-5D6E-409C-BE32-E72D297353CC}">
                <c16:uniqueId val="{00000015-488F-41FD-AB74-98C185882472}"/>
              </c:ext>
            </c:extLst>
          </c:dPt>
          <c:dPt>
            <c:idx val="12"/>
            <c:bubble3D val="0"/>
            <c:spPr>
              <a:ln w="19050"/>
            </c:spPr>
            <c:extLst>
              <c:ext xmlns:c16="http://schemas.microsoft.com/office/drawing/2014/chart" uri="{C3380CC4-5D6E-409C-BE32-E72D297353CC}">
                <c16:uniqueId val="{00000017-488F-41FD-AB74-98C185882472}"/>
              </c:ext>
            </c:extLst>
          </c:dPt>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'F2 BUSINESS'!$A$4:$A$16</c:f>
              <c:numCache>
                <c:formatCode>General</c:formatCode>
                <c:ptCount val="13"/>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numCache>
            </c:numRef>
          </c:cat>
          <c:val>
            <c:numRef>
              <c:f>'F2 BUSINESS'!$O$4:$O$16</c:f>
              <c:numCache>
                <c:formatCode>0%</c:formatCode>
                <c:ptCount val="13"/>
                <c:pt idx="0">
                  <c:v>0.13195129976966108</c:v>
                </c:pt>
                <c:pt idx="1">
                  <c:v>0.14547628537265844</c:v>
                </c:pt>
                <c:pt idx="2">
                  <c:v>0.17102532171025323</c:v>
                </c:pt>
                <c:pt idx="3">
                  <c:v>0.12741312741312741</c:v>
                </c:pt>
                <c:pt idx="4">
                  <c:v>0.14979454613373178</c:v>
                </c:pt>
                <c:pt idx="5">
                  <c:v>0.14136546184738955</c:v>
                </c:pt>
                <c:pt idx="6">
                  <c:v>0.11561609122584732</c:v>
                </c:pt>
                <c:pt idx="7">
                  <c:v>0.12317716413279553</c:v>
                </c:pt>
                <c:pt idx="8">
                  <c:v>0.15695253955037469</c:v>
                </c:pt>
                <c:pt idx="9">
                  <c:v>0.15210792580101182</c:v>
                </c:pt>
                <c:pt idx="10">
                  <c:v>0.1196815811144661</c:v>
                </c:pt>
                <c:pt idx="11">
                  <c:v>0.1334966319657073</c:v>
                </c:pt>
                <c:pt idx="12">
                  <c:v>0.1772901428073842</c:v>
                </c:pt>
              </c:numCache>
            </c:numRef>
          </c:val>
          <c:smooth val="0"/>
          <c:extLst>
            <c:ext xmlns:c16="http://schemas.microsoft.com/office/drawing/2014/chart" uri="{C3380CC4-5D6E-409C-BE32-E72D297353CC}">
              <c16:uniqueId val="{00000018-488F-41FD-AB74-98C185882472}"/>
            </c:ext>
          </c:extLst>
        </c:ser>
        <c:dLbls>
          <c:showLegendKey val="0"/>
          <c:showVal val="0"/>
          <c:showCatName val="0"/>
          <c:showSerName val="0"/>
          <c:showPercent val="0"/>
          <c:showBubbleSize val="0"/>
        </c:dLbls>
        <c:marker val="1"/>
        <c:smooth val="0"/>
        <c:axId val="57483264"/>
        <c:axId val="57484800"/>
      </c:lineChart>
      <c:catAx>
        <c:axId val="57483264"/>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57484800"/>
        <c:crosses val="autoZero"/>
        <c:auto val="1"/>
        <c:lblAlgn val="ctr"/>
        <c:lblOffset val="100"/>
        <c:noMultiLvlLbl val="0"/>
      </c:catAx>
      <c:valAx>
        <c:axId val="57484800"/>
        <c:scaling>
          <c:orientation val="minMax"/>
        </c:scaling>
        <c:delete val="0"/>
        <c:axPos val="l"/>
        <c:majorGridlines>
          <c:spPr>
            <a:ln>
              <a:noFill/>
            </a:ln>
          </c:spPr>
        </c:majorGridlines>
        <c:numFmt formatCode="0%" sourceLinked="1"/>
        <c:majorTickMark val="out"/>
        <c:minorTickMark val="none"/>
        <c:tickLblPos val="nextTo"/>
        <c:crossAx val="57483264"/>
        <c:crosses val="autoZero"/>
        <c:crossBetween val="between"/>
      </c:valAx>
    </c:plotArea>
    <c:plotVisOnly val="1"/>
    <c:dispBlanksAs val="gap"/>
    <c:showDLblsOverMax val="0"/>
  </c:chart>
  <c:spPr>
    <a:ln>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18A1F06386274D860D95B41AD67CF0" ma:contentTypeVersion="12" ma:contentTypeDescription="Create a new document." ma:contentTypeScope="" ma:versionID="c632b5d4f4e38e6e244c601ac68f0e0c">
  <xsd:schema xmlns:xsd="http://www.w3.org/2001/XMLSchema" xmlns:xs="http://www.w3.org/2001/XMLSchema" xmlns:p="http://schemas.microsoft.com/office/2006/metadata/properties" xmlns:ns2="7377d3f7-de02-494b-86f9-67faeddf88cf" xmlns:ns3="a2d580ed-e60b-4601-bd95-212988921ab1" targetNamespace="http://schemas.microsoft.com/office/2006/metadata/properties" ma:root="true" ma:fieldsID="bee7c79837689ea7d06c187fbea22741" ns2:_="" ns3:_="">
    <xsd:import namespace="7377d3f7-de02-494b-86f9-67faeddf88cf"/>
    <xsd:import namespace="a2d580ed-e60b-4601-bd95-212988921ab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77d3f7-de02-494b-86f9-67faeddf88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aa446fb-c4e7-47d1-9e02-aae3431be311"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d580ed-e60b-4601-bd95-212988921ab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ac1ce5a-b7a3-4c49-8e3e-736187549be4}" ma:internalName="TaxCatchAll" ma:showField="CatchAllData" ma:web="a2d580ed-e60b-4601-bd95-212988921a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a2d580ed-e60b-4601-bd95-212988921ab1" xsi:nil="true"/>
    <lcf76f155ced4ddcb4097134ff3c332f xmlns="7377d3f7-de02-494b-86f9-67faeddf88c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D4002DD-7D8F-49B8-A224-3E073E15A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77d3f7-de02-494b-86f9-67faeddf88cf"/>
    <ds:schemaRef ds:uri="a2d580ed-e60b-4601-bd95-212988921a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FD79E1-438B-49A4-9059-4C9DBEE3D4F5}">
  <ds:schemaRefs>
    <ds:schemaRef ds:uri="http://schemas.microsoft.com/sharepoint/v3/contenttype/forms"/>
  </ds:schemaRefs>
</ds:datastoreItem>
</file>

<file path=customXml/itemProps3.xml><?xml version="1.0" encoding="utf-8"?>
<ds:datastoreItem xmlns:ds="http://schemas.openxmlformats.org/officeDocument/2006/customXml" ds:itemID="{CB1EBD47-20D4-45FB-BA37-EC9F79A9AD95}">
  <ds:schemaRefs>
    <ds:schemaRef ds:uri="http://schemas.openxmlformats.org/officeDocument/2006/bibliography"/>
  </ds:schemaRefs>
</ds:datastoreItem>
</file>

<file path=customXml/itemProps4.xml><?xml version="1.0" encoding="utf-8"?>
<ds:datastoreItem xmlns:ds="http://schemas.openxmlformats.org/officeDocument/2006/customXml" ds:itemID="{FB787A89-BFED-4537-BA97-7242ED1AE08E}">
  <ds:schemaRefs>
    <ds:schemaRef ds:uri="http://schemas.microsoft.com/office/2006/metadata/properties"/>
    <ds:schemaRef ds:uri="http://schemas.microsoft.com/office/infopath/2007/PartnerControls"/>
    <ds:schemaRef ds:uri="a2d580ed-e60b-4601-bd95-212988921ab1"/>
    <ds:schemaRef ds:uri="7377d3f7-de02-494b-86f9-67faeddf88cf"/>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82</Pages>
  <Words>23011</Words>
  <Characters>131163</Characters>
  <Application>Microsoft Office Word</Application>
  <DocSecurity>0</DocSecurity>
  <Lines>1093</Lines>
  <Paragraphs>307</Paragraphs>
  <ScaleCrop>false</ScaleCrop>
  <HeadingPairs>
    <vt:vector size="2" baseType="variant">
      <vt:variant>
        <vt:lpstr>Title</vt:lpstr>
      </vt:variant>
      <vt:variant>
        <vt:i4>1</vt:i4>
      </vt:variant>
    </vt:vector>
  </HeadingPairs>
  <TitlesOfParts>
    <vt:vector size="1" baseType="lpstr">
      <vt:lpstr>8.10.23 Exec Sec formatting and edits to report</vt:lpstr>
    </vt:vector>
  </TitlesOfParts>
  <Company/>
  <LinksUpToDate>false</LinksUpToDate>
  <CharactersWithSpaces>153867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8.10.23 Exec Sec formatting and edits to report</dc:title>
  <dc:creator>Corder, Melissa (FHWA)</dc:creator>
  <cp:lastModifiedBy>Thornton, Nicholas (FHWA)</cp:lastModifiedBy>
  <cp:revision>2</cp:revision>
  <dcterms:created xsi:type="dcterms:W3CDTF">2023-10-20T15:25:00Z</dcterms:created>
  <dcterms:modified xsi:type="dcterms:W3CDTF">2023-10-20T15:25:00Z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0x0101009118A1F06386274D860D95B41AD67CF0</vt:lpwstr>
  </property>
  <property fmtid="{D5CDD505-2E9C-101B-9397-08002B2CF9AE}" pid="3" name="GrammarlyDocumentId">
    <vt:lpwstr>265e205614c466adc7235d77bb23bb3dac01f862b1d0a935f2cb0a6301bcd206</vt:lpwstr>
  </property>
  <property fmtid="{D5CDD505-2E9C-101B-9397-08002B2CF9AE}" pid="4" name="MediaServiceImageTags">
    <vt:lpwstr/>
  </property>
</Properties>
</file>