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55F" w:rsidP="000C155F" w14:paraId="414A22AA" w14:textId="1BDC20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Attachment 9 </w:t>
      </w:r>
      <w:r>
        <w:rPr>
          <w:rStyle w:val="eop"/>
          <w:rFonts w:ascii="Arial" w:hAnsi="Arial" w:cs="Arial"/>
        </w:rPr>
        <w:t> </w:t>
      </w:r>
    </w:p>
    <w:p w:rsidR="000C155F" w:rsidRPr="00CE1B66" w:rsidP="65DED1F2" w14:paraId="25DC5663" w14:textId="24D53768">
      <w:pPr>
        <w:pStyle w:val="paragraph"/>
        <w:spacing w:before="0" w:beforeAutospacing="0" w:after="0" w:afterAutospacing="0"/>
        <w:jc w:val="center"/>
        <w:textAlignment w:val="baseline"/>
        <w:rPr>
          <w:rStyle w:val="normaltextrun"/>
          <w:rFonts w:ascii="Segoe UI" w:hAnsi="Segoe UI" w:cs="Segoe UI"/>
          <w:sz w:val="18"/>
          <w:szCs w:val="18"/>
        </w:rPr>
      </w:pPr>
      <w:r w:rsidRPr="65DED1F2">
        <w:rPr>
          <w:rStyle w:val="normaltextrun"/>
          <w:rFonts w:ascii="Arial" w:hAnsi="Arial" w:cs="Arial"/>
          <w:b/>
          <w:bCs/>
        </w:rPr>
        <w:t>Electric Vehicle Inventory Use Survey (</w:t>
      </w:r>
      <w:r w:rsidRPr="65DED1F2">
        <w:rPr>
          <w:rStyle w:val="spellingerror"/>
          <w:rFonts w:ascii="Arial" w:hAnsi="Arial" w:cs="Arial"/>
          <w:b/>
          <w:bCs/>
        </w:rPr>
        <w:t>eVIUS</w:t>
      </w:r>
      <w:r w:rsidRPr="65DED1F2">
        <w:rPr>
          <w:rStyle w:val="normaltextrun"/>
          <w:rFonts w:ascii="Arial" w:hAnsi="Arial" w:cs="Arial"/>
          <w:b/>
          <w:bCs/>
        </w:rPr>
        <w:t>)</w:t>
      </w:r>
      <w:r w:rsidRPr="65DED1F2" w:rsidR="7F8E2F17">
        <w:rPr>
          <w:rStyle w:val="normaltextrun"/>
          <w:rFonts w:ascii="Arial" w:hAnsi="Arial" w:cs="Arial"/>
          <w:b/>
          <w:bCs/>
        </w:rPr>
        <w:t xml:space="preserve"> </w:t>
      </w:r>
      <w:r w:rsidRPr="65DED1F2">
        <w:rPr>
          <w:rStyle w:val="normaltextrun"/>
          <w:rFonts w:ascii="Arial" w:hAnsi="Arial" w:cs="Arial"/>
          <w:b/>
          <w:bCs/>
        </w:rPr>
        <w:t>Question Rationale</w:t>
      </w:r>
    </w:p>
    <w:p w:rsidR="00CE1B66" w:rsidP="0067295C" w14:paraId="361AFF89" w14:textId="77777777"/>
    <w:p w:rsidR="0067295C" w:rsidP="0067295C" w14:paraId="16E16A43" w14:textId="60158EFA">
      <w:r>
        <w:t>This document outlines the questions in the Electric Vehicle and Inventory Use Survey (eVIUS) and indicates the source as well as the rationale for each question. For source, references include:</w:t>
      </w:r>
    </w:p>
    <w:p w:rsidR="0067295C" w:rsidP="0067295C" w14:paraId="60B646B5" w14:textId="0A7C1DF5">
      <w:pPr>
        <w:pStyle w:val="ListParagraph"/>
        <w:numPr>
          <w:ilvl w:val="0"/>
          <w:numId w:val="1"/>
        </w:numPr>
      </w:pPr>
      <w:r>
        <w:t xml:space="preserve">Vehicle Inventory Use Survey (VIUS), sponsored by the Bureau of Transportation Statistics </w:t>
      </w:r>
    </w:p>
    <w:p w:rsidR="0067295C" w:rsidP="0067295C" w14:paraId="4BC37AB3" w14:textId="6B01804C">
      <w:pPr>
        <w:pStyle w:val="ListParagraph"/>
        <w:numPr>
          <w:ilvl w:val="0"/>
          <w:numId w:val="1"/>
        </w:numPr>
      </w:pPr>
      <w:r>
        <w:t>Questions suggested in</w:t>
      </w:r>
      <w:r>
        <w:t xml:space="preserve"> 60 Day Federal Register Notice </w:t>
      </w:r>
      <w:r w:rsidR="6170D4FA">
        <w:t>comments</w:t>
      </w:r>
    </w:p>
    <w:p w:rsidR="009D2794" w:rsidP="0067295C" w14:paraId="6D3AF1CC" w14:textId="483CC315">
      <w:pPr>
        <w:pStyle w:val="ListParagraph"/>
        <w:numPr>
          <w:ilvl w:val="0"/>
          <w:numId w:val="1"/>
        </w:numPr>
      </w:pPr>
      <w:r>
        <w:t xml:space="preserve">Questions suggested by </w:t>
      </w:r>
      <w:r w:rsidR="0067295C">
        <w:t>partner agencies</w:t>
      </w:r>
      <w:r w:rsidR="6D0A6C0D">
        <w:t xml:space="preserve">, including </w:t>
      </w:r>
      <w:r w:rsidR="0067295C">
        <w:t xml:space="preserve">Federal Highway Administration </w:t>
      </w:r>
      <w:r w:rsidR="1F8DB7E7">
        <w:t xml:space="preserve">(FHWA) </w:t>
      </w:r>
      <w:r w:rsidR="0067295C">
        <w:t>and Department of Energy</w:t>
      </w:r>
      <w:r w:rsidR="344466C0">
        <w:t xml:space="preserve"> (DOE</w:t>
      </w:r>
      <w:r w:rsidR="0067295C">
        <w:t xml:space="preserve">) </w:t>
      </w:r>
    </w:p>
    <w:p w:rsidR="00C22E69" w:rsidP="18745D85" w14:paraId="39EAE1B0" w14:textId="15FA0D1E">
      <w:r>
        <w:t>In addition</w:t>
      </w:r>
      <w:r w:rsidR="10E0A3BC">
        <w:t xml:space="preserve">, </w:t>
      </w:r>
      <w:r w:rsidR="2AEA3F51">
        <w:t>partner agencies and stakeholders (</w:t>
      </w:r>
      <w:r w:rsidR="1D5BEE4D">
        <w:t>FHWA, DOE, and the Joint Office of Energy and Transportation (JOET)</w:t>
      </w:r>
      <w:r w:rsidR="5CDE355F">
        <w:t>)</w:t>
      </w:r>
      <w:r w:rsidR="1D5BEE4D">
        <w:t xml:space="preserve"> </w:t>
      </w:r>
      <w:r w:rsidR="50BB66C8">
        <w:t xml:space="preserve">reviewed the questionnaire and provided input to many of the questions.  </w:t>
      </w:r>
      <w:r w:rsidR="49A6A909">
        <w:t xml:space="preserve">For example, </w:t>
      </w:r>
      <w:r w:rsidR="4C0B83A2">
        <w:t xml:space="preserve">feedback from </w:t>
      </w:r>
      <w:r w:rsidR="49A6A909">
        <w:t xml:space="preserve">JOET </w:t>
      </w:r>
      <w:r w:rsidR="41C6C37F">
        <w:t>was incorporated in the design of questions</w:t>
      </w:r>
      <w:r w:rsidR="2E10A77A">
        <w:t xml:space="preserve"> </w:t>
      </w:r>
      <w:r w:rsidR="41C6C37F">
        <w:t xml:space="preserve">on </w:t>
      </w:r>
      <w:r w:rsidR="0086132C">
        <w:t>veh</w:t>
      </w:r>
      <w:r w:rsidR="0084769F">
        <w:t xml:space="preserve">icle </w:t>
      </w:r>
      <w:r w:rsidR="41C6C37F">
        <w:t>dispos</w:t>
      </w:r>
      <w:r w:rsidR="0725BED6">
        <w:t>al</w:t>
      </w:r>
      <w:r w:rsidR="52785E33">
        <w:t xml:space="preserve"> (Q5)</w:t>
      </w:r>
      <w:r w:rsidR="41C6C37F">
        <w:t xml:space="preserve">, factors that are important </w:t>
      </w:r>
      <w:r w:rsidR="28A7C09E">
        <w:t xml:space="preserve">when choosing a </w:t>
      </w:r>
      <w:r w:rsidR="41C6C37F">
        <w:t>charging</w:t>
      </w:r>
      <w:r w:rsidR="0E552855">
        <w:t xml:space="preserve"> station (Q</w:t>
      </w:r>
      <w:r w:rsidR="1FC78A2D">
        <w:t>20)</w:t>
      </w:r>
      <w:r w:rsidR="41C6C37F">
        <w:t>, and co</w:t>
      </w:r>
      <w:r w:rsidR="513F4650">
        <w:t xml:space="preserve">ncerns related to charging </w:t>
      </w:r>
      <w:r w:rsidR="5FAA2CB8">
        <w:t>(Q28).</w:t>
      </w:r>
      <w:r w:rsidR="0067295C">
        <w:t xml:space="preserve">   </w:t>
      </w:r>
    </w:p>
    <w:tbl>
      <w:tblPr>
        <w:tblStyle w:val="TableGrid"/>
        <w:tblpPr w:leftFromText="180" w:rightFromText="180" w:horzAnchor="margin" w:tblpXSpec="center" w:tblpY="1430"/>
        <w:tblW w:w="13900" w:type="dxa"/>
        <w:tblLayout w:type="fixed"/>
        <w:tblLook w:val="04A0"/>
      </w:tblPr>
      <w:tblGrid>
        <w:gridCol w:w="600"/>
        <w:gridCol w:w="4435"/>
        <w:gridCol w:w="1575"/>
        <w:gridCol w:w="7290"/>
      </w:tblGrid>
      <w:tr w14:paraId="6C8B16EF" w14:textId="5163D316" w:rsidTr="009541E6">
        <w:tblPrEx>
          <w:tblW w:w="13900" w:type="dxa"/>
          <w:tblLayout w:type="fixed"/>
          <w:tblLook w:val="04A0"/>
        </w:tblPrEx>
        <w:trPr>
          <w:tblHeader/>
        </w:trPr>
        <w:tc>
          <w:tcPr>
            <w:tcW w:w="600" w:type="dxa"/>
          </w:tcPr>
          <w:p w:rsidR="009541E6" w:rsidRPr="008F1B1A" w:rsidP="004B2999" w14:paraId="757E8CA4" w14:textId="3FDD70F8">
            <w:pPr>
              <w:rPr>
                <w:b/>
                <w:bCs/>
                <w:sz w:val="20"/>
                <w:szCs w:val="20"/>
              </w:rPr>
            </w:pPr>
          </w:p>
        </w:tc>
        <w:tc>
          <w:tcPr>
            <w:tcW w:w="4435" w:type="dxa"/>
          </w:tcPr>
          <w:p w:rsidR="009541E6" w:rsidRPr="008F1B1A" w:rsidP="004B2999" w14:paraId="12E6649F" w14:textId="5F055AB9">
            <w:pPr>
              <w:rPr>
                <w:b/>
                <w:bCs/>
                <w:sz w:val="20"/>
                <w:szCs w:val="20"/>
              </w:rPr>
            </w:pPr>
            <w:r>
              <w:rPr>
                <w:b/>
                <w:bCs/>
                <w:sz w:val="20"/>
                <w:szCs w:val="20"/>
              </w:rPr>
              <w:t>Question Topic</w:t>
            </w:r>
          </w:p>
        </w:tc>
        <w:tc>
          <w:tcPr>
            <w:tcW w:w="1575" w:type="dxa"/>
          </w:tcPr>
          <w:p w:rsidR="009541E6" w:rsidRPr="008F1B1A" w:rsidP="004B2999" w14:paraId="2BAED0C0" w14:textId="53F1A669">
            <w:pPr>
              <w:rPr>
                <w:b/>
                <w:bCs/>
                <w:sz w:val="20"/>
                <w:szCs w:val="20"/>
              </w:rPr>
            </w:pPr>
            <w:r w:rsidRPr="21F77432">
              <w:rPr>
                <w:b/>
                <w:bCs/>
                <w:sz w:val="20"/>
                <w:szCs w:val="20"/>
              </w:rPr>
              <w:t>Question Source</w:t>
            </w:r>
          </w:p>
        </w:tc>
        <w:tc>
          <w:tcPr>
            <w:tcW w:w="7290" w:type="dxa"/>
          </w:tcPr>
          <w:p w:rsidR="009541E6" w:rsidRPr="008F1B1A" w:rsidP="004B2999" w14:paraId="7DA5C1BD" w14:textId="750CFED5">
            <w:pPr>
              <w:rPr>
                <w:b/>
                <w:bCs/>
                <w:sz w:val="20"/>
                <w:szCs w:val="20"/>
              </w:rPr>
            </w:pPr>
            <w:r>
              <w:rPr>
                <w:b/>
                <w:bCs/>
                <w:sz w:val="20"/>
                <w:szCs w:val="20"/>
              </w:rPr>
              <w:t>Rationale</w:t>
            </w:r>
          </w:p>
        </w:tc>
      </w:tr>
      <w:tr w14:paraId="38AC3BC8" w14:textId="5B066C31" w:rsidTr="009541E6">
        <w:tblPrEx>
          <w:tblW w:w="13900" w:type="dxa"/>
          <w:tblLayout w:type="fixed"/>
          <w:tblLook w:val="04A0"/>
        </w:tblPrEx>
        <w:trPr>
          <w:trHeight w:val="818"/>
        </w:trPr>
        <w:tc>
          <w:tcPr>
            <w:tcW w:w="600" w:type="dxa"/>
          </w:tcPr>
          <w:p w:rsidR="009541E6" w:rsidRPr="00E36663" w:rsidP="004B2999" w14:paraId="0D6A4F7C" w14:textId="4CA36334">
            <w:pPr>
              <w:rPr>
                <w:sz w:val="20"/>
                <w:szCs w:val="20"/>
              </w:rPr>
            </w:pPr>
            <w:r w:rsidRPr="00E36663">
              <w:rPr>
                <w:sz w:val="20"/>
                <w:szCs w:val="20"/>
              </w:rPr>
              <w:t>1</w:t>
            </w:r>
          </w:p>
        </w:tc>
        <w:tc>
          <w:tcPr>
            <w:tcW w:w="4435" w:type="dxa"/>
          </w:tcPr>
          <w:p w:rsidR="009541E6" w:rsidRPr="00E36663" w:rsidP="004B2999" w14:paraId="4277EEB6" w14:textId="25F0278A">
            <w:pPr>
              <w:rPr>
                <w:sz w:val="20"/>
                <w:szCs w:val="20"/>
              </w:rPr>
            </w:pPr>
            <w:r w:rsidRPr="00E36663">
              <w:rPr>
                <w:sz w:val="20"/>
                <w:szCs w:val="20"/>
              </w:rPr>
              <w:t xml:space="preserve">When did you or your business </w:t>
            </w:r>
            <w:r>
              <w:rPr>
                <w:sz w:val="20"/>
                <w:szCs w:val="20"/>
              </w:rPr>
              <w:t xml:space="preserve">originally </w:t>
            </w:r>
            <w:r w:rsidRPr="00E36663">
              <w:rPr>
                <w:sz w:val="20"/>
                <w:szCs w:val="20"/>
              </w:rPr>
              <w:t>take possession?  Month/year</w:t>
            </w:r>
          </w:p>
        </w:tc>
        <w:tc>
          <w:tcPr>
            <w:tcW w:w="1575" w:type="dxa"/>
          </w:tcPr>
          <w:p w:rsidR="009541E6" w:rsidRPr="00E36663" w:rsidP="004B2999" w14:paraId="0E0D8B78" w14:textId="3158AF73">
            <w:pPr>
              <w:rPr>
                <w:sz w:val="20"/>
                <w:szCs w:val="20"/>
              </w:rPr>
            </w:pPr>
            <w:r>
              <w:rPr>
                <w:sz w:val="20"/>
                <w:szCs w:val="20"/>
              </w:rPr>
              <w:t>VIUS</w:t>
            </w:r>
          </w:p>
        </w:tc>
        <w:tc>
          <w:tcPr>
            <w:tcW w:w="7290" w:type="dxa"/>
          </w:tcPr>
          <w:p w:rsidR="009541E6" w:rsidP="004B2999" w14:paraId="20716972" w14:textId="757059E1">
            <w:pPr>
              <w:rPr>
                <w:sz w:val="20"/>
                <w:szCs w:val="20"/>
              </w:rPr>
            </w:pPr>
            <w:r>
              <w:rPr>
                <w:sz w:val="20"/>
                <w:szCs w:val="20"/>
              </w:rPr>
              <w:t>Provides an accurate measure of how long the respondent has had the vehicle in their physical possession (the registration date may not accurately reflect physical possession of the vehicle).</w:t>
            </w:r>
          </w:p>
        </w:tc>
      </w:tr>
      <w:tr w14:paraId="69EDB30C" w14:textId="39E7057E" w:rsidTr="009541E6">
        <w:tblPrEx>
          <w:tblW w:w="13900" w:type="dxa"/>
          <w:tblLayout w:type="fixed"/>
          <w:tblLook w:val="04A0"/>
        </w:tblPrEx>
        <w:trPr>
          <w:trHeight w:val="350"/>
        </w:trPr>
        <w:tc>
          <w:tcPr>
            <w:tcW w:w="600" w:type="dxa"/>
            <w:shd w:val="clear" w:color="auto" w:fill="auto"/>
          </w:tcPr>
          <w:p w:rsidR="009541E6" w:rsidRPr="00E36663" w:rsidP="004B2999" w14:paraId="00CBB501" w14:textId="472F5F86">
            <w:pPr>
              <w:rPr>
                <w:sz w:val="20"/>
                <w:szCs w:val="20"/>
              </w:rPr>
            </w:pPr>
            <w:r w:rsidRPr="00E36663">
              <w:rPr>
                <w:sz w:val="20"/>
                <w:szCs w:val="20"/>
              </w:rPr>
              <w:t>2</w:t>
            </w:r>
          </w:p>
        </w:tc>
        <w:tc>
          <w:tcPr>
            <w:tcW w:w="4435" w:type="dxa"/>
            <w:shd w:val="clear" w:color="auto" w:fill="auto"/>
          </w:tcPr>
          <w:p w:rsidR="009541E6" w:rsidRPr="00E36663" w:rsidP="004B2999" w14:paraId="21EB870F" w14:textId="1E0BE954">
            <w:pPr>
              <w:rPr>
                <w:sz w:val="20"/>
                <w:szCs w:val="20"/>
              </w:rPr>
            </w:pPr>
            <w:r w:rsidRPr="00E36663">
              <w:rPr>
                <w:sz w:val="20"/>
                <w:szCs w:val="20"/>
              </w:rPr>
              <w:t>Was this vehicle new or used?</w:t>
            </w:r>
          </w:p>
        </w:tc>
        <w:tc>
          <w:tcPr>
            <w:tcW w:w="1575" w:type="dxa"/>
            <w:shd w:val="clear" w:color="auto" w:fill="auto"/>
          </w:tcPr>
          <w:p w:rsidR="009541E6" w:rsidRPr="00E36663" w:rsidP="004B2999" w14:paraId="63A91DEB" w14:textId="6A83FEC2">
            <w:pPr>
              <w:rPr>
                <w:sz w:val="20"/>
                <w:szCs w:val="20"/>
              </w:rPr>
            </w:pPr>
            <w:r>
              <w:rPr>
                <w:sz w:val="20"/>
                <w:szCs w:val="20"/>
              </w:rPr>
              <w:t>VIUS</w:t>
            </w:r>
          </w:p>
        </w:tc>
        <w:tc>
          <w:tcPr>
            <w:tcW w:w="7290" w:type="dxa"/>
            <w:shd w:val="clear" w:color="auto" w:fill="auto"/>
          </w:tcPr>
          <w:p w:rsidR="009541E6" w:rsidP="004B2999" w14:paraId="6ECA8CC3" w14:textId="34D79ACB">
            <w:pPr>
              <w:rPr>
                <w:sz w:val="20"/>
                <w:szCs w:val="20"/>
              </w:rPr>
            </w:pPr>
            <w:r>
              <w:rPr>
                <w:sz w:val="20"/>
                <w:szCs w:val="20"/>
              </w:rPr>
              <w:t>Provides insight on the market for used EV/PHEVs.</w:t>
            </w:r>
          </w:p>
        </w:tc>
      </w:tr>
      <w:tr w14:paraId="75D3D397" w14:textId="77777777" w:rsidTr="009541E6">
        <w:tblPrEx>
          <w:tblW w:w="13900" w:type="dxa"/>
          <w:tblLayout w:type="fixed"/>
          <w:tblLook w:val="04A0"/>
        </w:tblPrEx>
        <w:trPr>
          <w:trHeight w:val="800"/>
        </w:trPr>
        <w:tc>
          <w:tcPr>
            <w:tcW w:w="600" w:type="dxa"/>
          </w:tcPr>
          <w:p w:rsidR="009541E6" w:rsidRPr="00E36663" w:rsidP="004B2999" w14:paraId="2CDDFFF3" w14:textId="5C26758F">
            <w:pPr>
              <w:rPr>
                <w:sz w:val="20"/>
                <w:szCs w:val="20"/>
              </w:rPr>
            </w:pPr>
            <w:r>
              <w:rPr>
                <w:sz w:val="20"/>
                <w:szCs w:val="20"/>
              </w:rPr>
              <w:t>3</w:t>
            </w:r>
          </w:p>
        </w:tc>
        <w:tc>
          <w:tcPr>
            <w:tcW w:w="4435" w:type="dxa"/>
          </w:tcPr>
          <w:p w:rsidR="009541E6" w:rsidP="004B2999" w14:paraId="5BB0D701" w14:textId="1A37723E">
            <w:pPr>
              <w:rPr>
                <w:sz w:val="20"/>
                <w:szCs w:val="20"/>
              </w:rPr>
            </w:pPr>
            <w:r>
              <w:rPr>
                <w:sz w:val="20"/>
                <w:szCs w:val="20"/>
              </w:rPr>
              <w:t>Is this vehicle currently in your/your businesses’ physical possession.</w:t>
            </w:r>
          </w:p>
        </w:tc>
        <w:tc>
          <w:tcPr>
            <w:tcW w:w="1575" w:type="dxa"/>
          </w:tcPr>
          <w:p w:rsidR="009541E6" w:rsidP="004B2999" w14:paraId="2A353761" w14:textId="13480F72">
            <w:pPr>
              <w:rPr>
                <w:sz w:val="20"/>
                <w:szCs w:val="20"/>
              </w:rPr>
            </w:pPr>
            <w:r>
              <w:rPr>
                <w:sz w:val="20"/>
                <w:szCs w:val="20"/>
              </w:rPr>
              <w:t>VIUS</w:t>
            </w:r>
          </w:p>
        </w:tc>
        <w:tc>
          <w:tcPr>
            <w:tcW w:w="7290" w:type="dxa"/>
          </w:tcPr>
          <w:p w:rsidR="009541E6" w:rsidP="004B2999" w14:paraId="569A3AEF" w14:textId="741C85B9">
            <w:pPr>
              <w:rPr>
                <w:sz w:val="20"/>
                <w:szCs w:val="20"/>
              </w:rPr>
            </w:pPr>
            <w:r>
              <w:rPr>
                <w:sz w:val="20"/>
                <w:szCs w:val="20"/>
              </w:rPr>
              <w:t>Establishes whether the vehicle is still in their possession; acts as a screener for whether it is necessary to ask when the vehicle was disposed.</w:t>
            </w:r>
          </w:p>
        </w:tc>
      </w:tr>
      <w:tr w14:paraId="77265030" w14:textId="05FC4327" w:rsidTr="009541E6">
        <w:tblPrEx>
          <w:tblW w:w="13900" w:type="dxa"/>
          <w:tblLayout w:type="fixed"/>
          <w:tblLook w:val="04A0"/>
        </w:tblPrEx>
        <w:trPr>
          <w:trHeight w:val="530"/>
        </w:trPr>
        <w:tc>
          <w:tcPr>
            <w:tcW w:w="600" w:type="dxa"/>
          </w:tcPr>
          <w:p w:rsidR="009541E6" w:rsidRPr="00E36663" w:rsidP="004B2999" w14:paraId="6E29CEC5" w14:textId="4C88C985">
            <w:pPr>
              <w:rPr>
                <w:sz w:val="20"/>
                <w:szCs w:val="20"/>
              </w:rPr>
            </w:pPr>
            <w:r w:rsidRPr="00E36663">
              <w:rPr>
                <w:sz w:val="20"/>
                <w:szCs w:val="20"/>
              </w:rPr>
              <w:t>4</w:t>
            </w:r>
          </w:p>
        </w:tc>
        <w:tc>
          <w:tcPr>
            <w:tcW w:w="4435" w:type="dxa"/>
          </w:tcPr>
          <w:p w:rsidR="009541E6" w:rsidRPr="00E36663" w:rsidP="004B2999" w14:paraId="54EE4CEF" w14:textId="366E673A">
            <w:pPr>
              <w:rPr>
                <w:sz w:val="20"/>
                <w:szCs w:val="20"/>
              </w:rPr>
            </w:pPr>
            <w:r>
              <w:rPr>
                <w:sz w:val="20"/>
                <w:szCs w:val="20"/>
              </w:rPr>
              <w:t xml:space="preserve">[IF Q3=NO] </w:t>
            </w:r>
            <w:r w:rsidRPr="00E36663">
              <w:rPr>
                <w:sz w:val="20"/>
                <w:szCs w:val="20"/>
              </w:rPr>
              <w:t>When did you dispose of this vehicle? Month/year</w:t>
            </w:r>
          </w:p>
        </w:tc>
        <w:tc>
          <w:tcPr>
            <w:tcW w:w="1575" w:type="dxa"/>
          </w:tcPr>
          <w:p w:rsidR="009541E6" w:rsidRPr="00E36663" w:rsidP="004B2999" w14:paraId="550A3FEB" w14:textId="17B310C0">
            <w:pPr>
              <w:rPr>
                <w:sz w:val="20"/>
                <w:szCs w:val="20"/>
              </w:rPr>
            </w:pPr>
            <w:r>
              <w:rPr>
                <w:sz w:val="20"/>
                <w:szCs w:val="20"/>
              </w:rPr>
              <w:t>VIUS</w:t>
            </w:r>
          </w:p>
        </w:tc>
        <w:tc>
          <w:tcPr>
            <w:tcW w:w="7290" w:type="dxa"/>
          </w:tcPr>
          <w:p w:rsidR="009541E6" w:rsidP="004B2999" w14:paraId="39A8D47C" w14:textId="73191E73">
            <w:pPr>
              <w:rPr>
                <w:sz w:val="20"/>
                <w:szCs w:val="20"/>
              </w:rPr>
            </w:pPr>
            <w:r>
              <w:rPr>
                <w:sz w:val="20"/>
                <w:szCs w:val="20"/>
              </w:rPr>
              <w:t>Enables the screening out of respondents who disposed of their vehicle prior to January 1, 2023.</w:t>
            </w:r>
          </w:p>
        </w:tc>
      </w:tr>
      <w:tr w14:paraId="44138054" w14:textId="1CEC5E0F" w:rsidTr="009541E6">
        <w:tblPrEx>
          <w:tblW w:w="13900" w:type="dxa"/>
          <w:tblLayout w:type="fixed"/>
          <w:tblLook w:val="04A0"/>
        </w:tblPrEx>
        <w:trPr>
          <w:trHeight w:val="800"/>
        </w:trPr>
        <w:tc>
          <w:tcPr>
            <w:tcW w:w="600" w:type="dxa"/>
          </w:tcPr>
          <w:p w:rsidR="009541E6" w:rsidRPr="00E36663" w:rsidP="004B2999" w14:paraId="2D05091E" w14:textId="1DD64A00">
            <w:pPr>
              <w:rPr>
                <w:sz w:val="20"/>
                <w:szCs w:val="20"/>
              </w:rPr>
            </w:pPr>
            <w:r w:rsidRPr="00E36663">
              <w:rPr>
                <w:sz w:val="20"/>
                <w:szCs w:val="20"/>
              </w:rPr>
              <w:t>5</w:t>
            </w:r>
          </w:p>
        </w:tc>
        <w:tc>
          <w:tcPr>
            <w:tcW w:w="4435" w:type="dxa"/>
          </w:tcPr>
          <w:p w:rsidR="009541E6" w:rsidRPr="00E36663" w:rsidP="004B2999" w14:paraId="353B890F" w14:textId="001C4429">
            <w:pPr>
              <w:rPr>
                <w:sz w:val="20"/>
                <w:szCs w:val="20"/>
              </w:rPr>
            </w:pPr>
            <w:r>
              <w:rPr>
                <w:sz w:val="20"/>
                <w:szCs w:val="20"/>
              </w:rPr>
              <w:t>[IF Q3=NO] Why</w:t>
            </w:r>
            <w:r w:rsidRPr="00E36663">
              <w:rPr>
                <w:sz w:val="20"/>
                <w:szCs w:val="20"/>
              </w:rPr>
              <w:t xml:space="preserve"> did you dispose of this vehicle?</w:t>
            </w:r>
          </w:p>
        </w:tc>
        <w:tc>
          <w:tcPr>
            <w:tcW w:w="1575" w:type="dxa"/>
          </w:tcPr>
          <w:p w:rsidR="009541E6" w:rsidRPr="00E36663" w:rsidP="004B2999" w14:paraId="4805D107" w14:textId="1D9D2592">
            <w:pPr>
              <w:rPr>
                <w:sz w:val="20"/>
                <w:szCs w:val="20"/>
              </w:rPr>
            </w:pPr>
          </w:p>
        </w:tc>
        <w:tc>
          <w:tcPr>
            <w:tcW w:w="7290" w:type="dxa"/>
          </w:tcPr>
          <w:p w:rsidR="009541E6" w:rsidP="004B2999" w14:paraId="32E12417" w14:textId="4103494E">
            <w:pPr>
              <w:rPr>
                <w:sz w:val="20"/>
                <w:szCs w:val="20"/>
              </w:rPr>
            </w:pPr>
            <w:r>
              <w:rPr>
                <w:sz w:val="20"/>
                <w:szCs w:val="20"/>
              </w:rPr>
              <w:t>Provides insight on why the driver disposed of their vehicle, including whether charging was a factor.  Findings may inform USDOT policy related to charging infrastructure.</w:t>
            </w:r>
          </w:p>
        </w:tc>
      </w:tr>
      <w:tr w14:paraId="00DCB111" w14:textId="02325A81" w:rsidTr="009541E6">
        <w:tblPrEx>
          <w:tblW w:w="13900" w:type="dxa"/>
          <w:tblLayout w:type="fixed"/>
          <w:tblLook w:val="04A0"/>
        </w:tblPrEx>
        <w:trPr>
          <w:trHeight w:val="1781"/>
        </w:trPr>
        <w:tc>
          <w:tcPr>
            <w:tcW w:w="600" w:type="dxa"/>
          </w:tcPr>
          <w:p w:rsidR="009541E6" w:rsidRPr="00E36663" w:rsidP="004B2999" w14:paraId="48AD6EA9" w14:textId="6716D913">
            <w:pPr>
              <w:rPr>
                <w:sz w:val="20"/>
                <w:szCs w:val="20"/>
              </w:rPr>
            </w:pPr>
            <w:r>
              <w:rPr>
                <w:sz w:val="20"/>
                <w:szCs w:val="20"/>
              </w:rPr>
              <w:t>6</w:t>
            </w:r>
          </w:p>
        </w:tc>
        <w:tc>
          <w:tcPr>
            <w:tcW w:w="4435" w:type="dxa"/>
          </w:tcPr>
          <w:p w:rsidR="009541E6" w:rsidRPr="00E36663" w:rsidP="004B2999" w14:paraId="407B2B1A" w14:textId="765B0241">
            <w:pPr>
              <w:rPr>
                <w:sz w:val="20"/>
                <w:szCs w:val="20"/>
              </w:rPr>
            </w:pPr>
            <w:r w:rsidRPr="00E36663">
              <w:rPr>
                <w:sz w:val="20"/>
                <w:szCs w:val="20"/>
              </w:rPr>
              <w:t>Which of the following best describes the ownership of this vehicle?</w:t>
            </w:r>
            <w:r>
              <w:rPr>
                <w:sz w:val="20"/>
                <w:szCs w:val="20"/>
              </w:rPr>
              <w:t xml:space="preserve"> (Personal vs. Business Own or Lease)</w:t>
            </w:r>
          </w:p>
        </w:tc>
        <w:tc>
          <w:tcPr>
            <w:tcW w:w="1575" w:type="dxa"/>
          </w:tcPr>
          <w:p w:rsidR="009541E6" w:rsidP="004B2999" w14:paraId="7E2B8AA0" w14:textId="3C34B2FD">
            <w:pPr>
              <w:rPr>
                <w:sz w:val="20"/>
                <w:szCs w:val="20"/>
              </w:rPr>
            </w:pPr>
            <w:r>
              <w:rPr>
                <w:sz w:val="20"/>
                <w:szCs w:val="20"/>
              </w:rPr>
              <w:t>Federal Register Notice (FRN) Comments: Alliance for Automotive Innovation (AAI)</w:t>
            </w:r>
          </w:p>
          <w:p w:rsidR="009541E6" w:rsidP="004B2999" w14:paraId="5BE01DA0" w14:textId="77777777">
            <w:pPr>
              <w:rPr>
                <w:sz w:val="20"/>
                <w:szCs w:val="20"/>
              </w:rPr>
            </w:pPr>
          </w:p>
          <w:p w:rsidR="009541E6" w:rsidRPr="00E36663" w:rsidP="004B2999" w14:paraId="503158E4" w14:textId="4FF7435D">
            <w:pPr>
              <w:rPr>
                <w:sz w:val="20"/>
                <w:szCs w:val="20"/>
              </w:rPr>
            </w:pPr>
            <w:r>
              <w:rPr>
                <w:sz w:val="20"/>
                <w:szCs w:val="20"/>
              </w:rPr>
              <w:t>Department of Energy (DOE)</w:t>
            </w:r>
          </w:p>
        </w:tc>
        <w:tc>
          <w:tcPr>
            <w:tcW w:w="7290" w:type="dxa"/>
          </w:tcPr>
          <w:p w:rsidR="009541E6" w:rsidP="004B2999" w14:paraId="59D2ED92" w14:textId="246D4081">
            <w:pPr>
              <w:rPr>
                <w:sz w:val="20"/>
                <w:szCs w:val="20"/>
              </w:rPr>
            </w:pPr>
            <w:r>
              <w:rPr>
                <w:sz w:val="20"/>
                <w:szCs w:val="20"/>
              </w:rPr>
              <w:t xml:space="preserve">Provides data on type of ownership, which is important to the development of a national profile of EVs/PHEVs. </w:t>
            </w:r>
          </w:p>
          <w:p w:rsidR="009541E6" w:rsidP="004B2999" w14:paraId="31227B7A" w14:textId="77777777">
            <w:pPr>
              <w:rPr>
                <w:sz w:val="20"/>
                <w:szCs w:val="20"/>
              </w:rPr>
            </w:pPr>
          </w:p>
          <w:p w:rsidR="009541E6" w:rsidRPr="00E36663" w:rsidP="004B2999" w14:paraId="60C6B9AA" w14:textId="2D33A3DF">
            <w:pPr>
              <w:rPr>
                <w:sz w:val="20"/>
                <w:szCs w:val="20"/>
              </w:rPr>
            </w:pPr>
            <w:r>
              <w:rPr>
                <w:sz w:val="20"/>
                <w:szCs w:val="20"/>
              </w:rPr>
              <w:t>Also, per Department of Energy, the distinction between ownership and leasing “</w:t>
            </w:r>
            <w:r>
              <w:rPr>
                <w:rFonts w:ascii="Segoe UI" w:hAnsi="Segoe UI" w:cs="Segoe UI"/>
                <w:color w:val="333333"/>
                <w:sz w:val="18"/>
                <w:szCs w:val="18"/>
                <w:shd w:val="clear" w:color="auto" w:fill="FFFFFF"/>
              </w:rPr>
              <w:t>will be important as section 45W of the IRA EV tax credits (nominally for "commercial" vehicles) allows for anyone to get the credit via leasing. Leasing has become more popular since passage of the IRA.”</w:t>
            </w:r>
            <w:r>
              <w:rPr>
                <w:sz w:val="20"/>
                <w:szCs w:val="20"/>
              </w:rPr>
              <w:t xml:space="preserve"> </w:t>
            </w:r>
          </w:p>
        </w:tc>
      </w:tr>
      <w:tr w14:paraId="18869712" w14:textId="42CD8E72" w:rsidTr="009541E6">
        <w:tblPrEx>
          <w:tblW w:w="13900" w:type="dxa"/>
          <w:tblLayout w:type="fixed"/>
          <w:tblLook w:val="04A0"/>
        </w:tblPrEx>
        <w:trPr>
          <w:trHeight w:val="1250"/>
        </w:trPr>
        <w:tc>
          <w:tcPr>
            <w:tcW w:w="600" w:type="dxa"/>
          </w:tcPr>
          <w:p w:rsidR="009541E6" w:rsidRPr="00E36663" w:rsidP="004B2999" w14:paraId="4D112F22" w14:textId="20F785C8">
            <w:pPr>
              <w:rPr>
                <w:sz w:val="20"/>
                <w:szCs w:val="20"/>
              </w:rPr>
            </w:pPr>
            <w:r>
              <w:rPr>
                <w:sz w:val="20"/>
                <w:szCs w:val="20"/>
              </w:rPr>
              <w:t>7</w:t>
            </w:r>
          </w:p>
        </w:tc>
        <w:tc>
          <w:tcPr>
            <w:tcW w:w="4435" w:type="dxa"/>
          </w:tcPr>
          <w:p w:rsidR="009541E6" w:rsidP="004B2999" w14:paraId="2F98F7BC" w14:textId="76A3D95D">
            <w:pPr>
              <w:rPr>
                <w:sz w:val="20"/>
                <w:szCs w:val="20"/>
              </w:rPr>
            </w:pPr>
            <w:r w:rsidRPr="2519C072">
              <w:rPr>
                <w:sz w:val="20"/>
                <w:szCs w:val="20"/>
              </w:rPr>
              <w:t>[IF DISPOSED PRIOR TO JANUARY 1, 2023] Do you have any feedback on your experience operating and/or maintaining this vehicle?</w:t>
            </w:r>
          </w:p>
          <w:p w:rsidR="009541E6" w:rsidRPr="00E36663" w:rsidP="004B2999" w14:paraId="274A02CB" w14:textId="16508AB1">
            <w:pPr>
              <w:rPr>
                <w:sz w:val="20"/>
                <w:szCs w:val="20"/>
              </w:rPr>
            </w:pPr>
            <w:r>
              <w:rPr>
                <w:sz w:val="20"/>
                <w:szCs w:val="20"/>
              </w:rPr>
              <w:t>END SURVEY</w:t>
            </w:r>
          </w:p>
        </w:tc>
        <w:tc>
          <w:tcPr>
            <w:tcW w:w="1575" w:type="dxa"/>
          </w:tcPr>
          <w:p w:rsidR="009541E6" w:rsidRPr="00E36663" w:rsidP="004B2999" w14:paraId="5D59FE9C" w14:textId="0839818D">
            <w:pPr>
              <w:rPr>
                <w:sz w:val="20"/>
                <w:szCs w:val="20"/>
              </w:rPr>
            </w:pPr>
          </w:p>
        </w:tc>
        <w:tc>
          <w:tcPr>
            <w:tcW w:w="7290" w:type="dxa"/>
          </w:tcPr>
          <w:p w:rsidR="009541E6" w:rsidRPr="00E36663" w:rsidP="004B2999" w14:paraId="62DE742B" w14:textId="6407F942">
            <w:pPr>
              <w:rPr>
                <w:sz w:val="20"/>
                <w:szCs w:val="20"/>
              </w:rPr>
            </w:pPr>
            <w:r w:rsidRPr="2519C072">
              <w:rPr>
                <w:sz w:val="20"/>
                <w:szCs w:val="20"/>
              </w:rPr>
              <w:t>Provides qualitative feedback from respondents who otherwise completed the survey (i.e., they do not qualify for the remaining questions).</w:t>
            </w:r>
          </w:p>
        </w:tc>
      </w:tr>
      <w:tr w14:paraId="2676DA67" w14:textId="77777777" w:rsidTr="009541E6">
        <w:tblPrEx>
          <w:tblW w:w="13900" w:type="dxa"/>
          <w:tblLayout w:type="fixed"/>
          <w:tblLook w:val="04A0"/>
        </w:tblPrEx>
        <w:trPr>
          <w:trHeight w:val="476"/>
        </w:trPr>
        <w:tc>
          <w:tcPr>
            <w:tcW w:w="13900" w:type="dxa"/>
            <w:gridSpan w:val="4"/>
          </w:tcPr>
          <w:p w:rsidR="009541E6" w:rsidRPr="009541E6" w:rsidP="004B2999" w14:paraId="6F36DADA" w14:textId="3880A934">
            <w:pPr>
              <w:rPr>
                <w:b/>
                <w:bCs/>
                <w:sz w:val="20"/>
                <w:szCs w:val="20"/>
              </w:rPr>
            </w:pPr>
            <w:r w:rsidRPr="009541E6">
              <w:rPr>
                <w:b/>
                <w:bCs/>
                <w:sz w:val="20"/>
                <w:szCs w:val="20"/>
              </w:rPr>
              <w:t>ALL REMAINING QUESTIONS ARE ASKED OF THOSE WHO OWNED THEIR VEHICILE IN 2023</w:t>
            </w:r>
          </w:p>
        </w:tc>
      </w:tr>
      <w:tr w14:paraId="5CC2C770" w14:textId="0B1B7DC6" w:rsidTr="009541E6">
        <w:tblPrEx>
          <w:tblW w:w="13900" w:type="dxa"/>
          <w:tblLayout w:type="fixed"/>
          <w:tblLook w:val="04A0"/>
        </w:tblPrEx>
        <w:trPr>
          <w:trHeight w:val="1259"/>
        </w:trPr>
        <w:tc>
          <w:tcPr>
            <w:tcW w:w="600" w:type="dxa"/>
          </w:tcPr>
          <w:p w:rsidR="009541E6" w:rsidRPr="00E36663" w:rsidP="004B2999" w14:paraId="034DF5C7" w14:textId="067466E5">
            <w:pPr>
              <w:rPr>
                <w:sz w:val="20"/>
                <w:szCs w:val="20"/>
              </w:rPr>
            </w:pPr>
            <w:r>
              <w:rPr>
                <w:sz w:val="20"/>
                <w:szCs w:val="20"/>
              </w:rPr>
              <w:t xml:space="preserve">8 </w:t>
            </w:r>
          </w:p>
        </w:tc>
        <w:tc>
          <w:tcPr>
            <w:tcW w:w="4435" w:type="dxa"/>
          </w:tcPr>
          <w:p w:rsidR="009541E6" w:rsidRPr="00E36663" w:rsidP="004B2999" w14:paraId="60DA7E86" w14:textId="29ADB297">
            <w:pPr>
              <w:rPr>
                <w:sz w:val="20"/>
                <w:szCs w:val="20"/>
              </w:rPr>
            </w:pPr>
            <w:r>
              <w:rPr>
                <w:sz w:val="20"/>
                <w:szCs w:val="20"/>
              </w:rPr>
              <w:t>How many months in 2023 was this vehicle driven?</w:t>
            </w:r>
          </w:p>
        </w:tc>
        <w:tc>
          <w:tcPr>
            <w:tcW w:w="1575" w:type="dxa"/>
          </w:tcPr>
          <w:p w:rsidR="009541E6" w:rsidRPr="00E36663" w:rsidP="004B2999" w14:paraId="3934D378" w14:textId="36547FF1">
            <w:pPr>
              <w:rPr>
                <w:sz w:val="20"/>
                <w:szCs w:val="20"/>
              </w:rPr>
            </w:pPr>
            <w:r>
              <w:rPr>
                <w:sz w:val="20"/>
                <w:szCs w:val="20"/>
              </w:rPr>
              <w:t>VIUS</w:t>
            </w:r>
          </w:p>
        </w:tc>
        <w:tc>
          <w:tcPr>
            <w:tcW w:w="7290" w:type="dxa"/>
          </w:tcPr>
          <w:p w:rsidR="009541E6" w:rsidP="004B2999" w14:paraId="38B4DAD7" w14:textId="1C58FDD3">
            <w:pPr>
              <w:rPr>
                <w:sz w:val="20"/>
                <w:szCs w:val="20"/>
              </w:rPr>
            </w:pPr>
            <w:r>
              <w:rPr>
                <w:sz w:val="20"/>
                <w:szCs w:val="20"/>
              </w:rPr>
              <w:t xml:space="preserve">Enables (in combination with Q16) a more accurate measure of average miles driven per month in 2023.  Also provides insight on the extent to which vehicles are not driven all 12 months of the year (e.g., can assess responses by geography (states with hotter vs. colder climates) to assess whether this is an important consideration). </w:t>
            </w:r>
          </w:p>
        </w:tc>
      </w:tr>
      <w:tr w14:paraId="370D116B" w14:textId="0D3C2FA4" w:rsidTr="009541E6">
        <w:tblPrEx>
          <w:tblW w:w="13900" w:type="dxa"/>
          <w:tblLayout w:type="fixed"/>
          <w:tblLook w:val="04A0"/>
        </w:tblPrEx>
        <w:trPr>
          <w:trHeight w:val="791"/>
        </w:trPr>
        <w:tc>
          <w:tcPr>
            <w:tcW w:w="600" w:type="dxa"/>
            <w:shd w:val="clear" w:color="auto" w:fill="auto"/>
          </w:tcPr>
          <w:p w:rsidR="009541E6" w:rsidRPr="00E36663" w:rsidP="004B2999" w14:paraId="4219864D" w14:textId="6832CE7D">
            <w:pPr>
              <w:rPr>
                <w:sz w:val="20"/>
                <w:szCs w:val="20"/>
              </w:rPr>
            </w:pPr>
            <w:r w:rsidRPr="00E36663">
              <w:rPr>
                <w:sz w:val="20"/>
                <w:szCs w:val="20"/>
              </w:rPr>
              <w:t>9</w:t>
            </w:r>
          </w:p>
        </w:tc>
        <w:tc>
          <w:tcPr>
            <w:tcW w:w="4435" w:type="dxa"/>
            <w:shd w:val="clear" w:color="auto" w:fill="auto"/>
          </w:tcPr>
          <w:p w:rsidR="009541E6" w:rsidRPr="00E36663" w:rsidP="004B2999" w14:paraId="6842109C" w14:textId="26462202">
            <w:pPr>
              <w:rPr>
                <w:sz w:val="20"/>
                <w:szCs w:val="20"/>
              </w:rPr>
            </w:pPr>
            <w:r w:rsidRPr="2519C072">
              <w:rPr>
                <w:sz w:val="20"/>
                <w:szCs w:val="20"/>
              </w:rPr>
              <w:t>Are you the primary driver</w:t>
            </w:r>
            <w:r>
              <w:rPr>
                <w:sz w:val="20"/>
                <w:szCs w:val="20"/>
              </w:rPr>
              <w:t>?</w:t>
            </w:r>
          </w:p>
        </w:tc>
        <w:tc>
          <w:tcPr>
            <w:tcW w:w="1575" w:type="dxa"/>
            <w:shd w:val="clear" w:color="auto" w:fill="auto"/>
          </w:tcPr>
          <w:p w:rsidR="009541E6" w:rsidRPr="00E36663" w:rsidP="004B2999" w14:paraId="49842C4E" w14:textId="3656AC7A">
            <w:pPr>
              <w:rPr>
                <w:sz w:val="20"/>
                <w:szCs w:val="20"/>
              </w:rPr>
            </w:pPr>
          </w:p>
        </w:tc>
        <w:tc>
          <w:tcPr>
            <w:tcW w:w="7290" w:type="dxa"/>
          </w:tcPr>
          <w:p w:rsidR="009541E6" w:rsidP="004B2999" w14:paraId="58FC6FA2" w14:textId="63C82E15">
            <w:pPr>
              <w:rPr>
                <w:sz w:val="20"/>
                <w:szCs w:val="20"/>
              </w:rPr>
            </w:pPr>
            <w:r>
              <w:rPr>
                <w:sz w:val="20"/>
                <w:szCs w:val="20"/>
              </w:rPr>
              <w:t xml:space="preserve">Provides overall information on the extent to which EVs are registered to their primary operators, as well as contextual information for interpreting the data reported in other questions.   </w:t>
            </w:r>
          </w:p>
        </w:tc>
      </w:tr>
      <w:tr w14:paraId="3FB48F3D" w14:textId="67537783" w:rsidTr="009541E6">
        <w:tblPrEx>
          <w:tblW w:w="13900" w:type="dxa"/>
          <w:tblLayout w:type="fixed"/>
          <w:tblLook w:val="04A0"/>
        </w:tblPrEx>
        <w:trPr>
          <w:trHeight w:val="530"/>
        </w:trPr>
        <w:tc>
          <w:tcPr>
            <w:tcW w:w="600" w:type="dxa"/>
          </w:tcPr>
          <w:p w:rsidR="009541E6" w:rsidRPr="00E36663" w:rsidP="004B2999" w14:paraId="26EF790D" w14:textId="5E2330F6">
            <w:pPr>
              <w:rPr>
                <w:sz w:val="20"/>
                <w:szCs w:val="20"/>
              </w:rPr>
            </w:pPr>
            <w:r w:rsidRPr="00E36663">
              <w:rPr>
                <w:sz w:val="20"/>
                <w:szCs w:val="20"/>
              </w:rPr>
              <w:t>10</w:t>
            </w:r>
          </w:p>
        </w:tc>
        <w:tc>
          <w:tcPr>
            <w:tcW w:w="4435" w:type="dxa"/>
          </w:tcPr>
          <w:p w:rsidR="009541E6" w:rsidRPr="00E36663" w:rsidP="004B2999" w14:paraId="4C03C157" w14:textId="3CCA5F2E">
            <w:pPr>
              <w:rPr>
                <w:sz w:val="20"/>
                <w:szCs w:val="20"/>
              </w:rPr>
            </w:pPr>
            <w:r>
              <w:rPr>
                <w:sz w:val="20"/>
                <w:szCs w:val="20"/>
              </w:rPr>
              <w:t>For what purpose is this vehicle used? (Personal/Business/Mix)</w:t>
            </w:r>
          </w:p>
        </w:tc>
        <w:tc>
          <w:tcPr>
            <w:tcW w:w="1575" w:type="dxa"/>
          </w:tcPr>
          <w:p w:rsidR="009541E6" w:rsidRPr="00E36663" w:rsidP="004B2999" w14:paraId="471CFA60" w14:textId="4B0057E9">
            <w:pPr>
              <w:rPr>
                <w:sz w:val="20"/>
                <w:szCs w:val="20"/>
              </w:rPr>
            </w:pPr>
            <w:r>
              <w:rPr>
                <w:sz w:val="20"/>
                <w:szCs w:val="20"/>
              </w:rPr>
              <w:t>VIUS</w:t>
            </w:r>
          </w:p>
        </w:tc>
        <w:tc>
          <w:tcPr>
            <w:tcW w:w="7290" w:type="dxa"/>
          </w:tcPr>
          <w:p w:rsidR="009541E6" w:rsidP="004B2999" w14:paraId="53708040" w14:textId="77777777">
            <w:pPr>
              <w:rPr>
                <w:sz w:val="20"/>
                <w:szCs w:val="20"/>
              </w:rPr>
            </w:pPr>
            <w:r>
              <w:rPr>
                <w:sz w:val="20"/>
                <w:szCs w:val="20"/>
              </w:rPr>
              <w:t xml:space="preserve">Enables the development of a national profile of EV/PHEV use. </w:t>
            </w:r>
          </w:p>
          <w:p w:rsidR="009541E6" w:rsidP="004B2999" w14:paraId="081CB861" w14:textId="2FD8AFA3">
            <w:pPr>
              <w:rPr>
                <w:sz w:val="20"/>
                <w:szCs w:val="20"/>
              </w:rPr>
            </w:pPr>
            <w:r>
              <w:rPr>
                <w:sz w:val="20"/>
                <w:szCs w:val="20"/>
              </w:rPr>
              <w:t xml:space="preserve">Serves as an independent variable for subgroup analysis.  </w:t>
            </w:r>
          </w:p>
        </w:tc>
      </w:tr>
      <w:tr w14:paraId="0FE773B2" w14:textId="50DA2845" w:rsidTr="009541E6">
        <w:tblPrEx>
          <w:tblW w:w="13900" w:type="dxa"/>
          <w:tblLayout w:type="fixed"/>
          <w:tblLook w:val="04A0"/>
        </w:tblPrEx>
        <w:trPr>
          <w:trHeight w:val="800"/>
        </w:trPr>
        <w:tc>
          <w:tcPr>
            <w:tcW w:w="600" w:type="dxa"/>
          </w:tcPr>
          <w:p w:rsidR="009541E6" w:rsidRPr="00E36663" w:rsidP="004B2999" w14:paraId="036589D6" w14:textId="68A4C76E">
            <w:pPr>
              <w:rPr>
                <w:sz w:val="20"/>
                <w:szCs w:val="20"/>
              </w:rPr>
            </w:pPr>
            <w:r w:rsidRPr="00E36663">
              <w:rPr>
                <w:sz w:val="20"/>
                <w:szCs w:val="20"/>
              </w:rPr>
              <w:t>11</w:t>
            </w:r>
          </w:p>
        </w:tc>
        <w:tc>
          <w:tcPr>
            <w:tcW w:w="4435" w:type="dxa"/>
          </w:tcPr>
          <w:p w:rsidR="009541E6" w:rsidRPr="00E36663" w:rsidP="004B2999" w14:paraId="69658618" w14:textId="79487710">
            <w:pPr>
              <w:rPr>
                <w:sz w:val="20"/>
                <w:szCs w:val="20"/>
              </w:rPr>
            </w:pPr>
            <w:r>
              <w:rPr>
                <w:sz w:val="20"/>
                <w:szCs w:val="20"/>
              </w:rPr>
              <w:t xml:space="preserve">[IF Q10=BUSINESS OR MIX] Which of the following best describes the business use of this vehicle? </w:t>
            </w:r>
          </w:p>
        </w:tc>
        <w:tc>
          <w:tcPr>
            <w:tcW w:w="1575" w:type="dxa"/>
          </w:tcPr>
          <w:p w:rsidR="009541E6" w:rsidRPr="00E36663" w:rsidP="004B2999" w14:paraId="76D63F20" w14:textId="6BEB9BEA">
            <w:pPr>
              <w:rPr>
                <w:sz w:val="20"/>
                <w:szCs w:val="20"/>
              </w:rPr>
            </w:pPr>
            <w:r>
              <w:rPr>
                <w:sz w:val="20"/>
                <w:szCs w:val="20"/>
              </w:rPr>
              <w:t>VIUS</w:t>
            </w:r>
          </w:p>
        </w:tc>
        <w:tc>
          <w:tcPr>
            <w:tcW w:w="7290" w:type="dxa"/>
          </w:tcPr>
          <w:p w:rsidR="009541E6" w:rsidRPr="00E36663" w:rsidP="004B2999" w14:paraId="5C47C066" w14:textId="4F0BF2C5">
            <w:pPr>
              <w:rPr>
                <w:sz w:val="20"/>
                <w:szCs w:val="20"/>
              </w:rPr>
            </w:pPr>
            <w:r>
              <w:rPr>
                <w:sz w:val="20"/>
                <w:szCs w:val="20"/>
              </w:rPr>
              <w:t>Provides more specific information on the type of business use, including for transportation related business uses. Helps develop a more detailed national profile of EV/PHEV use.</w:t>
            </w:r>
          </w:p>
        </w:tc>
      </w:tr>
      <w:tr w14:paraId="486CC43E" w14:textId="47ACE105" w:rsidTr="009541E6">
        <w:tblPrEx>
          <w:tblW w:w="13900" w:type="dxa"/>
          <w:tblLayout w:type="fixed"/>
          <w:tblLook w:val="04A0"/>
        </w:tblPrEx>
        <w:trPr>
          <w:trHeight w:val="800"/>
        </w:trPr>
        <w:tc>
          <w:tcPr>
            <w:tcW w:w="600" w:type="dxa"/>
          </w:tcPr>
          <w:p w:rsidR="009541E6" w:rsidRPr="00E36663" w:rsidP="004B2999" w14:paraId="64CBD400" w14:textId="638060D2">
            <w:pPr>
              <w:rPr>
                <w:sz w:val="20"/>
                <w:szCs w:val="20"/>
              </w:rPr>
            </w:pPr>
            <w:r w:rsidRPr="00E36663">
              <w:rPr>
                <w:sz w:val="20"/>
                <w:szCs w:val="20"/>
              </w:rPr>
              <w:t>1</w:t>
            </w:r>
            <w:r>
              <w:rPr>
                <w:sz w:val="20"/>
                <w:szCs w:val="20"/>
              </w:rPr>
              <w:t>1a</w:t>
            </w:r>
          </w:p>
        </w:tc>
        <w:tc>
          <w:tcPr>
            <w:tcW w:w="4435" w:type="dxa"/>
          </w:tcPr>
          <w:p w:rsidR="009541E6" w:rsidRPr="00E36663" w:rsidP="004B2999" w14:paraId="2319CD17" w14:textId="0243F472">
            <w:pPr>
              <w:rPr>
                <w:sz w:val="20"/>
                <w:szCs w:val="20"/>
              </w:rPr>
            </w:pPr>
            <w:r>
              <w:rPr>
                <w:sz w:val="20"/>
                <w:szCs w:val="20"/>
              </w:rPr>
              <w:t>[IF Q11=TRANPORT GOODS/PRODUCTS] Transport goods/products to businesses, residences, or both?</w:t>
            </w:r>
          </w:p>
        </w:tc>
        <w:tc>
          <w:tcPr>
            <w:tcW w:w="1575" w:type="dxa"/>
          </w:tcPr>
          <w:p w:rsidR="009541E6" w:rsidRPr="00E36663" w:rsidP="004B2999" w14:paraId="2FDDA906" w14:textId="1507A636">
            <w:pPr>
              <w:rPr>
                <w:sz w:val="20"/>
                <w:szCs w:val="20"/>
              </w:rPr>
            </w:pPr>
            <w:r>
              <w:rPr>
                <w:sz w:val="20"/>
                <w:szCs w:val="20"/>
              </w:rPr>
              <w:t>FHWA</w:t>
            </w:r>
          </w:p>
        </w:tc>
        <w:tc>
          <w:tcPr>
            <w:tcW w:w="7290" w:type="dxa"/>
          </w:tcPr>
          <w:p w:rsidR="009541E6" w:rsidRPr="00E36663" w:rsidP="004B2999" w14:paraId="4E416019" w14:textId="6C44AB4B">
            <w:pPr>
              <w:rPr>
                <w:sz w:val="20"/>
                <w:szCs w:val="20"/>
              </w:rPr>
            </w:pPr>
            <w:r>
              <w:rPr>
                <w:sz w:val="20"/>
                <w:szCs w:val="20"/>
              </w:rPr>
              <w:t>This question measures the extent to which EVs/PHEVs are involved in e-commerce.  This would inform other research being conducted on the local impacts of e-commerce (e.g., noise, pollution, etc.).</w:t>
            </w:r>
          </w:p>
        </w:tc>
      </w:tr>
      <w:tr w14:paraId="56C9D937" w14:textId="3D106C69" w:rsidTr="009541E6">
        <w:tblPrEx>
          <w:tblW w:w="13900" w:type="dxa"/>
          <w:tblLayout w:type="fixed"/>
          <w:tblLook w:val="04A0"/>
        </w:tblPrEx>
        <w:trPr>
          <w:trHeight w:val="530"/>
        </w:trPr>
        <w:tc>
          <w:tcPr>
            <w:tcW w:w="600" w:type="dxa"/>
          </w:tcPr>
          <w:p w:rsidR="009541E6" w:rsidRPr="00E36663" w:rsidP="004B2999" w14:paraId="0B56F0AD" w14:textId="1564A944">
            <w:pPr>
              <w:rPr>
                <w:sz w:val="20"/>
                <w:szCs w:val="20"/>
              </w:rPr>
            </w:pPr>
            <w:r>
              <w:rPr>
                <w:sz w:val="20"/>
                <w:szCs w:val="20"/>
              </w:rPr>
              <w:t>12</w:t>
            </w:r>
          </w:p>
        </w:tc>
        <w:tc>
          <w:tcPr>
            <w:tcW w:w="4435" w:type="dxa"/>
          </w:tcPr>
          <w:p w:rsidR="009541E6" w:rsidRPr="00E36663" w:rsidP="004B2999" w14:paraId="592EB602" w14:textId="36BBE712">
            <w:pPr>
              <w:rPr>
                <w:sz w:val="20"/>
                <w:szCs w:val="20"/>
              </w:rPr>
            </w:pPr>
            <w:r>
              <w:rPr>
                <w:sz w:val="20"/>
                <w:szCs w:val="20"/>
              </w:rPr>
              <w:t>Confirm if registration address is the primary address home base.</w:t>
            </w:r>
          </w:p>
        </w:tc>
        <w:tc>
          <w:tcPr>
            <w:tcW w:w="1575" w:type="dxa"/>
          </w:tcPr>
          <w:p w:rsidR="009541E6" w:rsidP="004B2999" w14:paraId="70095084" w14:textId="77110E27">
            <w:pPr>
              <w:rPr>
                <w:sz w:val="20"/>
                <w:szCs w:val="20"/>
              </w:rPr>
            </w:pPr>
            <w:r>
              <w:rPr>
                <w:sz w:val="20"/>
                <w:szCs w:val="20"/>
              </w:rPr>
              <w:t>VIUS</w:t>
            </w:r>
          </w:p>
        </w:tc>
        <w:tc>
          <w:tcPr>
            <w:tcW w:w="7290" w:type="dxa"/>
          </w:tcPr>
          <w:p w:rsidR="009541E6" w:rsidP="004B2999" w14:paraId="3A1BBD01" w14:textId="40388590">
            <w:pPr>
              <w:rPr>
                <w:sz w:val="20"/>
                <w:szCs w:val="20"/>
              </w:rPr>
            </w:pPr>
            <w:r>
              <w:rPr>
                <w:sz w:val="20"/>
                <w:szCs w:val="20"/>
              </w:rPr>
              <w:t xml:space="preserve">Confirms the home base of the vehicle, ensuring the accuracy of this measure. </w:t>
            </w:r>
          </w:p>
        </w:tc>
      </w:tr>
      <w:tr w14:paraId="4887EB0D" w14:textId="552EA66E" w:rsidTr="009541E6">
        <w:tblPrEx>
          <w:tblW w:w="13900" w:type="dxa"/>
          <w:tblLayout w:type="fixed"/>
          <w:tblLook w:val="04A0"/>
        </w:tblPrEx>
        <w:trPr>
          <w:trHeight w:val="530"/>
        </w:trPr>
        <w:tc>
          <w:tcPr>
            <w:tcW w:w="600" w:type="dxa"/>
          </w:tcPr>
          <w:p w:rsidR="009541E6" w:rsidP="004B2999" w14:paraId="26052A8C" w14:textId="5C3AACEB">
            <w:pPr>
              <w:rPr>
                <w:sz w:val="20"/>
                <w:szCs w:val="20"/>
              </w:rPr>
            </w:pPr>
            <w:r>
              <w:rPr>
                <w:sz w:val="20"/>
                <w:szCs w:val="20"/>
              </w:rPr>
              <w:t>13</w:t>
            </w:r>
          </w:p>
        </w:tc>
        <w:tc>
          <w:tcPr>
            <w:tcW w:w="4435" w:type="dxa"/>
          </w:tcPr>
          <w:p w:rsidR="009541E6" w:rsidP="004B2999" w14:paraId="78FFE4F8" w14:textId="52380724">
            <w:pPr>
              <w:rPr>
                <w:sz w:val="20"/>
                <w:szCs w:val="20"/>
              </w:rPr>
            </w:pPr>
            <w:r>
              <w:rPr>
                <w:sz w:val="20"/>
                <w:szCs w:val="20"/>
              </w:rPr>
              <w:t>Which of the following describes the home base (Private residence-owned, Private residence - rented, Business/workplace, Other)</w:t>
            </w:r>
          </w:p>
        </w:tc>
        <w:tc>
          <w:tcPr>
            <w:tcW w:w="1575" w:type="dxa"/>
          </w:tcPr>
          <w:p w:rsidR="009541E6" w:rsidP="004B2999" w14:paraId="0BFFE965" w14:textId="31D54E45">
            <w:pPr>
              <w:rPr>
                <w:sz w:val="20"/>
                <w:szCs w:val="20"/>
              </w:rPr>
            </w:pPr>
            <w:r>
              <w:rPr>
                <w:sz w:val="20"/>
                <w:szCs w:val="20"/>
              </w:rPr>
              <w:t>VIUS</w:t>
            </w:r>
          </w:p>
        </w:tc>
        <w:tc>
          <w:tcPr>
            <w:tcW w:w="7290" w:type="dxa"/>
          </w:tcPr>
          <w:p w:rsidR="009541E6" w:rsidP="004B2999" w14:paraId="1A476A78" w14:textId="1516E453">
            <w:pPr>
              <w:rPr>
                <w:sz w:val="20"/>
                <w:szCs w:val="20"/>
              </w:rPr>
            </w:pPr>
            <w:r>
              <w:rPr>
                <w:sz w:val="20"/>
                <w:szCs w:val="20"/>
              </w:rPr>
              <w:t xml:space="preserve">The physical address (Q12) does not provide sufficient information on whether the home base is a private residence, business/workplace, or other. Enables BTS to establish a national profile of home base location types for EVs/PHEVs.  </w:t>
            </w:r>
          </w:p>
          <w:p w:rsidR="009541E6" w:rsidP="004B2999" w14:paraId="79B3A658" w14:textId="2A3449CA">
            <w:pPr>
              <w:rPr>
                <w:sz w:val="20"/>
                <w:szCs w:val="20"/>
              </w:rPr>
            </w:pPr>
            <w:r>
              <w:rPr>
                <w:sz w:val="20"/>
                <w:szCs w:val="20"/>
              </w:rPr>
              <w:t xml:space="preserve">Also serves as an independent variable when analyzing general EV/PHEV use characteristics and charging behaviors. </w:t>
            </w:r>
          </w:p>
        </w:tc>
      </w:tr>
      <w:tr w14:paraId="0ABEF606" w14:textId="7C017CBE" w:rsidTr="009541E6">
        <w:tblPrEx>
          <w:tblW w:w="13900" w:type="dxa"/>
          <w:tblLayout w:type="fixed"/>
          <w:tblLook w:val="04A0"/>
        </w:tblPrEx>
        <w:trPr>
          <w:trHeight w:val="1520"/>
        </w:trPr>
        <w:tc>
          <w:tcPr>
            <w:tcW w:w="600" w:type="dxa"/>
            <w:shd w:val="clear" w:color="auto" w:fill="auto"/>
          </w:tcPr>
          <w:p w:rsidR="009541E6" w:rsidP="004B2999" w14:paraId="647562B1" w14:textId="77777777">
            <w:pPr>
              <w:rPr>
                <w:sz w:val="20"/>
                <w:szCs w:val="20"/>
              </w:rPr>
            </w:pPr>
            <w:r>
              <w:rPr>
                <w:sz w:val="20"/>
                <w:szCs w:val="20"/>
              </w:rPr>
              <w:t>14</w:t>
            </w:r>
          </w:p>
          <w:p w:rsidR="009541E6" w:rsidP="004B2999" w14:paraId="7A49100C" w14:textId="77777777">
            <w:pPr>
              <w:rPr>
                <w:sz w:val="20"/>
                <w:szCs w:val="20"/>
              </w:rPr>
            </w:pPr>
          </w:p>
          <w:p w:rsidR="009541E6" w:rsidP="004B2999" w14:paraId="02ED1509" w14:textId="77777777">
            <w:pPr>
              <w:rPr>
                <w:sz w:val="20"/>
                <w:szCs w:val="20"/>
              </w:rPr>
            </w:pPr>
          </w:p>
          <w:p w:rsidR="009541E6" w:rsidP="004B2999" w14:paraId="0544E378" w14:textId="77777777">
            <w:pPr>
              <w:rPr>
                <w:sz w:val="20"/>
                <w:szCs w:val="20"/>
              </w:rPr>
            </w:pPr>
          </w:p>
          <w:p w:rsidR="009541E6" w:rsidP="004B2999" w14:paraId="09826816" w14:textId="64B1E4E2">
            <w:pPr>
              <w:rPr>
                <w:sz w:val="20"/>
                <w:szCs w:val="20"/>
              </w:rPr>
            </w:pPr>
            <w:r>
              <w:rPr>
                <w:sz w:val="20"/>
                <w:szCs w:val="20"/>
              </w:rPr>
              <w:t>14a</w:t>
            </w:r>
          </w:p>
        </w:tc>
        <w:tc>
          <w:tcPr>
            <w:tcW w:w="4435" w:type="dxa"/>
            <w:shd w:val="clear" w:color="auto" w:fill="auto"/>
          </w:tcPr>
          <w:p w:rsidR="009541E6" w:rsidP="004B2999" w14:paraId="05330FCF" w14:textId="02DF792B">
            <w:pPr>
              <w:rPr>
                <w:sz w:val="20"/>
                <w:szCs w:val="20"/>
              </w:rPr>
            </w:pPr>
            <w:r>
              <w:rPr>
                <w:sz w:val="20"/>
                <w:szCs w:val="20"/>
              </w:rPr>
              <w:t>[IF VEHICLE IN POSSESSION AND PERSONAL OWN/LEASE] How many other personal vehicles (by type) did your household own/lease as of January 1, 2024</w:t>
            </w:r>
          </w:p>
          <w:p w:rsidR="009541E6" w:rsidP="004B2999" w14:paraId="4E950226" w14:textId="341E835B">
            <w:pPr>
              <w:rPr>
                <w:sz w:val="20"/>
                <w:szCs w:val="20"/>
              </w:rPr>
            </w:pPr>
            <w:r>
              <w:rPr>
                <w:sz w:val="20"/>
                <w:szCs w:val="20"/>
              </w:rPr>
              <w:t>OR</w:t>
            </w:r>
          </w:p>
          <w:p w:rsidR="009541E6" w:rsidP="00B367AE" w14:paraId="26B1CFBB" w14:textId="2F2CC1EC">
            <w:pPr>
              <w:rPr>
                <w:sz w:val="20"/>
                <w:szCs w:val="20"/>
              </w:rPr>
            </w:pPr>
            <w:r>
              <w:rPr>
                <w:sz w:val="20"/>
                <w:szCs w:val="20"/>
              </w:rPr>
              <w:t xml:space="preserve">[IF DISPOSED OF VEHICLE]: At the time of disposal, how many other personal vehicles did your household own or lease? </w:t>
            </w:r>
          </w:p>
        </w:tc>
        <w:tc>
          <w:tcPr>
            <w:tcW w:w="1575" w:type="dxa"/>
            <w:shd w:val="clear" w:color="auto" w:fill="auto"/>
          </w:tcPr>
          <w:p w:rsidR="009541E6" w:rsidP="004B2999" w14:paraId="531BBA54" w14:textId="525DD52C">
            <w:pPr>
              <w:rPr>
                <w:sz w:val="20"/>
                <w:szCs w:val="20"/>
              </w:rPr>
            </w:pPr>
            <w:r>
              <w:rPr>
                <w:sz w:val="20"/>
                <w:szCs w:val="20"/>
              </w:rPr>
              <w:t>VIUS</w:t>
            </w:r>
          </w:p>
          <w:p w:rsidR="009541E6" w:rsidP="004B2999" w14:paraId="5368A509" w14:textId="73C9F0AB">
            <w:pPr>
              <w:rPr>
                <w:sz w:val="20"/>
                <w:szCs w:val="20"/>
              </w:rPr>
            </w:pPr>
            <w:r>
              <w:rPr>
                <w:sz w:val="20"/>
                <w:szCs w:val="20"/>
              </w:rPr>
              <w:t xml:space="preserve">FRN Comments: AAI </w:t>
            </w:r>
          </w:p>
          <w:p w:rsidR="009541E6" w:rsidP="004B2999" w14:paraId="0E7B0EE1" w14:textId="0E7D2B8C">
            <w:pPr>
              <w:rPr>
                <w:sz w:val="20"/>
                <w:szCs w:val="20"/>
              </w:rPr>
            </w:pPr>
          </w:p>
        </w:tc>
        <w:tc>
          <w:tcPr>
            <w:tcW w:w="7290" w:type="dxa"/>
          </w:tcPr>
          <w:p w:rsidR="009541E6" w:rsidP="004B2999" w14:paraId="34FF1996" w14:textId="77777777">
            <w:pPr>
              <w:rPr>
                <w:sz w:val="20"/>
                <w:szCs w:val="20"/>
              </w:rPr>
            </w:pPr>
            <w:r>
              <w:rPr>
                <w:sz w:val="20"/>
                <w:szCs w:val="20"/>
              </w:rPr>
              <w:t xml:space="preserve">Provides information on the driver’s transportation options and the extent to which they have a choice on </w:t>
            </w:r>
            <w:r>
              <w:rPr>
                <w:sz w:val="20"/>
                <w:szCs w:val="20"/>
              </w:rPr>
              <w:t>whether or not</w:t>
            </w:r>
            <w:r>
              <w:rPr>
                <w:sz w:val="20"/>
                <w:szCs w:val="20"/>
              </w:rPr>
              <w:t xml:space="preserve"> to use their EV/PHEV.</w:t>
            </w:r>
          </w:p>
          <w:p w:rsidR="009541E6" w:rsidP="004B2999" w14:paraId="601B921D" w14:textId="168D899B">
            <w:pPr>
              <w:rPr>
                <w:sz w:val="20"/>
                <w:szCs w:val="20"/>
              </w:rPr>
            </w:pPr>
            <w:r>
              <w:rPr>
                <w:sz w:val="20"/>
                <w:szCs w:val="20"/>
              </w:rPr>
              <w:t xml:space="preserve">Also serves as an independent variable when analyzing general EV/PHEV use characteristics and charging behaviors (e.g., Q24 and Q26). </w:t>
            </w:r>
          </w:p>
        </w:tc>
      </w:tr>
      <w:tr w14:paraId="685BA367" w14:textId="1CC13D93" w:rsidTr="009541E6">
        <w:tblPrEx>
          <w:tblW w:w="13900" w:type="dxa"/>
          <w:tblLayout w:type="fixed"/>
          <w:tblLook w:val="04A0"/>
        </w:tblPrEx>
        <w:trPr>
          <w:trHeight w:val="800"/>
        </w:trPr>
        <w:tc>
          <w:tcPr>
            <w:tcW w:w="600" w:type="dxa"/>
          </w:tcPr>
          <w:p w:rsidR="009541E6" w:rsidP="004B2999" w14:paraId="0294E328" w14:textId="355805C2">
            <w:pPr>
              <w:rPr>
                <w:sz w:val="20"/>
                <w:szCs w:val="20"/>
              </w:rPr>
            </w:pPr>
            <w:r>
              <w:rPr>
                <w:sz w:val="20"/>
                <w:szCs w:val="20"/>
              </w:rPr>
              <w:t>15</w:t>
            </w:r>
          </w:p>
        </w:tc>
        <w:tc>
          <w:tcPr>
            <w:tcW w:w="4435" w:type="dxa"/>
          </w:tcPr>
          <w:p w:rsidR="009541E6" w:rsidP="004B2999" w14:paraId="04F245E1" w14:textId="5EC3540E">
            <w:pPr>
              <w:rPr>
                <w:sz w:val="20"/>
                <w:szCs w:val="20"/>
              </w:rPr>
            </w:pPr>
            <w:r>
              <w:rPr>
                <w:sz w:val="20"/>
                <w:szCs w:val="20"/>
              </w:rPr>
              <w:t>What is the current odometer reading?</w:t>
            </w:r>
          </w:p>
        </w:tc>
        <w:tc>
          <w:tcPr>
            <w:tcW w:w="1575" w:type="dxa"/>
          </w:tcPr>
          <w:p w:rsidR="009541E6" w:rsidP="004B2999" w14:paraId="5D6F8175" w14:textId="0B8663F9">
            <w:pPr>
              <w:rPr>
                <w:sz w:val="20"/>
                <w:szCs w:val="20"/>
              </w:rPr>
            </w:pPr>
            <w:r>
              <w:rPr>
                <w:sz w:val="20"/>
                <w:szCs w:val="20"/>
              </w:rPr>
              <w:t>VIUS</w:t>
            </w:r>
          </w:p>
        </w:tc>
        <w:tc>
          <w:tcPr>
            <w:tcW w:w="7290" w:type="dxa"/>
          </w:tcPr>
          <w:p w:rsidR="009541E6" w:rsidP="004B2999" w14:paraId="3C63FE7A" w14:textId="7C4E2189">
            <w:pPr>
              <w:rPr>
                <w:sz w:val="20"/>
                <w:szCs w:val="20"/>
              </w:rPr>
            </w:pPr>
            <w:r w:rsidRPr="7F70CA90">
              <w:rPr>
                <w:sz w:val="20"/>
                <w:szCs w:val="20"/>
              </w:rPr>
              <w:t xml:space="preserve">Provides information on the overall use of the vehicle. Coupled with the information on how long the driver has had the vehicle (Q1), enables the calculation of average annual miles driven.   </w:t>
            </w:r>
          </w:p>
        </w:tc>
      </w:tr>
      <w:tr w14:paraId="0DD7866B" w14:textId="6326727F" w:rsidTr="009541E6">
        <w:tblPrEx>
          <w:tblW w:w="13900" w:type="dxa"/>
          <w:tblLayout w:type="fixed"/>
          <w:tblLook w:val="04A0"/>
        </w:tblPrEx>
        <w:trPr>
          <w:trHeight w:val="800"/>
        </w:trPr>
        <w:tc>
          <w:tcPr>
            <w:tcW w:w="600" w:type="dxa"/>
            <w:shd w:val="clear" w:color="auto" w:fill="auto"/>
          </w:tcPr>
          <w:p w:rsidR="009541E6" w:rsidP="004B2999" w14:paraId="4AA89B4A" w14:textId="44BACD92">
            <w:pPr>
              <w:rPr>
                <w:sz w:val="20"/>
                <w:szCs w:val="20"/>
              </w:rPr>
            </w:pPr>
            <w:r>
              <w:rPr>
                <w:sz w:val="20"/>
                <w:szCs w:val="20"/>
              </w:rPr>
              <w:t>16</w:t>
            </w:r>
          </w:p>
        </w:tc>
        <w:tc>
          <w:tcPr>
            <w:tcW w:w="4435" w:type="dxa"/>
            <w:shd w:val="clear" w:color="auto" w:fill="auto"/>
          </w:tcPr>
          <w:p w:rsidR="009541E6" w:rsidP="004B2999" w14:paraId="3D4019E8" w14:textId="5589052C">
            <w:pPr>
              <w:rPr>
                <w:sz w:val="20"/>
                <w:szCs w:val="20"/>
              </w:rPr>
            </w:pPr>
            <w:r>
              <w:rPr>
                <w:sz w:val="20"/>
                <w:szCs w:val="20"/>
              </w:rPr>
              <w:t>Approximately how many miles was this vehicle driven in 2023?</w:t>
            </w:r>
          </w:p>
        </w:tc>
        <w:tc>
          <w:tcPr>
            <w:tcW w:w="1575" w:type="dxa"/>
            <w:shd w:val="clear" w:color="auto" w:fill="auto"/>
          </w:tcPr>
          <w:p w:rsidR="009541E6" w:rsidP="004B2999" w14:paraId="5F2EB24B" w14:textId="306660CC">
            <w:pPr>
              <w:rPr>
                <w:sz w:val="20"/>
                <w:szCs w:val="20"/>
              </w:rPr>
            </w:pPr>
            <w:r>
              <w:rPr>
                <w:sz w:val="20"/>
                <w:szCs w:val="20"/>
              </w:rPr>
              <w:t>VIUS</w:t>
            </w:r>
          </w:p>
        </w:tc>
        <w:tc>
          <w:tcPr>
            <w:tcW w:w="7290" w:type="dxa"/>
          </w:tcPr>
          <w:p w:rsidR="009541E6" w:rsidP="004B2999" w14:paraId="55036CB8" w14:textId="475B9EC8">
            <w:pPr>
              <w:rPr>
                <w:sz w:val="20"/>
                <w:szCs w:val="20"/>
              </w:rPr>
            </w:pPr>
            <w:r>
              <w:rPr>
                <w:sz w:val="20"/>
                <w:szCs w:val="20"/>
              </w:rPr>
              <w:t xml:space="preserve">Provides information on annual use of the vehicle and allows for a point of comparison with average annual miles driven (calculated from Q15 and Q1).  </w:t>
            </w:r>
          </w:p>
        </w:tc>
      </w:tr>
      <w:tr w14:paraId="6F679160" w14:textId="7F6EAEF9" w:rsidTr="009541E6">
        <w:tblPrEx>
          <w:tblW w:w="13900" w:type="dxa"/>
          <w:tblLayout w:type="fixed"/>
          <w:tblLook w:val="04A0"/>
        </w:tblPrEx>
        <w:trPr>
          <w:trHeight w:val="1070"/>
        </w:trPr>
        <w:tc>
          <w:tcPr>
            <w:tcW w:w="600" w:type="dxa"/>
            <w:shd w:val="clear" w:color="auto" w:fill="auto"/>
          </w:tcPr>
          <w:p w:rsidR="009541E6" w:rsidP="004B2999" w14:paraId="35A4DE03" w14:textId="04C2BEC1">
            <w:pPr>
              <w:rPr>
                <w:sz w:val="20"/>
                <w:szCs w:val="20"/>
              </w:rPr>
            </w:pPr>
            <w:r>
              <w:rPr>
                <w:sz w:val="20"/>
                <w:szCs w:val="20"/>
              </w:rPr>
              <w:t>17</w:t>
            </w:r>
          </w:p>
        </w:tc>
        <w:tc>
          <w:tcPr>
            <w:tcW w:w="4435" w:type="dxa"/>
            <w:shd w:val="clear" w:color="auto" w:fill="auto"/>
          </w:tcPr>
          <w:p w:rsidR="009541E6" w:rsidP="004B2999" w14:paraId="594C1D09" w14:textId="39AF24AD">
            <w:pPr>
              <w:rPr>
                <w:sz w:val="20"/>
                <w:szCs w:val="20"/>
              </w:rPr>
            </w:pPr>
            <w:r>
              <w:rPr>
                <w:sz w:val="20"/>
                <w:szCs w:val="20"/>
              </w:rPr>
              <w:t>[IF Q10=MIX OF PERSONAL/BUSINESS]</w:t>
            </w:r>
          </w:p>
          <w:p w:rsidR="009541E6" w:rsidP="004B2999" w14:paraId="5FB6D0DD" w14:textId="60B0C339">
            <w:pPr>
              <w:rPr>
                <w:sz w:val="20"/>
                <w:szCs w:val="20"/>
              </w:rPr>
            </w:pPr>
            <w:r>
              <w:rPr>
                <w:sz w:val="20"/>
                <w:szCs w:val="20"/>
              </w:rPr>
              <w:t>Approximately what percentage of the total 2023 miles driven in this vehicle was for business use?</w:t>
            </w:r>
          </w:p>
        </w:tc>
        <w:tc>
          <w:tcPr>
            <w:tcW w:w="1575" w:type="dxa"/>
            <w:shd w:val="clear" w:color="auto" w:fill="auto"/>
          </w:tcPr>
          <w:p w:rsidR="009541E6" w:rsidP="004B2999" w14:paraId="0377AAD2" w14:textId="066FDB68">
            <w:pPr>
              <w:rPr>
                <w:sz w:val="20"/>
                <w:szCs w:val="20"/>
              </w:rPr>
            </w:pPr>
          </w:p>
        </w:tc>
        <w:tc>
          <w:tcPr>
            <w:tcW w:w="7290" w:type="dxa"/>
          </w:tcPr>
          <w:p w:rsidR="009541E6" w:rsidP="004B2999" w14:paraId="03A67CF3" w14:textId="77777777">
            <w:pPr>
              <w:rPr>
                <w:sz w:val="20"/>
                <w:szCs w:val="20"/>
              </w:rPr>
            </w:pPr>
            <w:r>
              <w:rPr>
                <w:sz w:val="20"/>
                <w:szCs w:val="20"/>
              </w:rPr>
              <w:t>Provides information that helps establish a national use profile for the vehicle.</w:t>
            </w:r>
          </w:p>
          <w:p w:rsidR="009541E6" w:rsidP="004B2999" w14:paraId="543B8862" w14:textId="21BFC781">
            <w:pPr>
              <w:rPr>
                <w:sz w:val="20"/>
                <w:szCs w:val="20"/>
              </w:rPr>
            </w:pPr>
            <w:r>
              <w:rPr>
                <w:sz w:val="20"/>
                <w:szCs w:val="20"/>
              </w:rPr>
              <w:t>Also, may serve as an independent variable when analyzing general EV/PHEV use characteristics and charging behaviors.</w:t>
            </w:r>
          </w:p>
        </w:tc>
      </w:tr>
      <w:tr w14:paraId="161D35A3" w14:textId="0AEBF03F" w:rsidTr="009541E6">
        <w:tblPrEx>
          <w:tblW w:w="13900" w:type="dxa"/>
          <w:tblLayout w:type="fixed"/>
          <w:tblLook w:val="04A0"/>
        </w:tblPrEx>
        <w:trPr>
          <w:trHeight w:val="1070"/>
        </w:trPr>
        <w:tc>
          <w:tcPr>
            <w:tcW w:w="600" w:type="dxa"/>
            <w:shd w:val="clear" w:color="auto" w:fill="auto"/>
          </w:tcPr>
          <w:p w:rsidR="009541E6" w:rsidP="004B2999" w14:paraId="742E7D37" w14:textId="6CC9FADC">
            <w:pPr>
              <w:rPr>
                <w:sz w:val="20"/>
                <w:szCs w:val="20"/>
              </w:rPr>
            </w:pPr>
            <w:r>
              <w:rPr>
                <w:sz w:val="20"/>
                <w:szCs w:val="20"/>
              </w:rPr>
              <w:t>18</w:t>
            </w:r>
          </w:p>
        </w:tc>
        <w:tc>
          <w:tcPr>
            <w:tcW w:w="4435" w:type="dxa"/>
            <w:shd w:val="clear" w:color="auto" w:fill="auto"/>
          </w:tcPr>
          <w:p w:rsidR="009541E6" w:rsidP="004B2999" w14:paraId="65A35503" w14:textId="58890DD6">
            <w:pPr>
              <w:rPr>
                <w:sz w:val="20"/>
                <w:szCs w:val="20"/>
              </w:rPr>
            </w:pPr>
            <w:r>
              <w:rPr>
                <w:sz w:val="20"/>
                <w:szCs w:val="20"/>
              </w:rPr>
              <w:t xml:space="preserve">In a typical 7-day week, how many total miles are driven in this vehicle? </w:t>
            </w:r>
          </w:p>
        </w:tc>
        <w:tc>
          <w:tcPr>
            <w:tcW w:w="1575" w:type="dxa"/>
            <w:shd w:val="clear" w:color="auto" w:fill="auto"/>
          </w:tcPr>
          <w:p w:rsidR="009541E6" w:rsidP="004B2999" w14:paraId="460132CD" w14:textId="2D58BF2D">
            <w:pPr>
              <w:rPr>
                <w:sz w:val="20"/>
                <w:szCs w:val="20"/>
              </w:rPr>
            </w:pPr>
            <w:r>
              <w:rPr>
                <w:sz w:val="20"/>
                <w:szCs w:val="20"/>
              </w:rPr>
              <w:t>FRN Comments: AAI (Daily mileage)</w:t>
            </w:r>
          </w:p>
        </w:tc>
        <w:tc>
          <w:tcPr>
            <w:tcW w:w="7290" w:type="dxa"/>
          </w:tcPr>
          <w:p w:rsidR="009541E6" w:rsidP="004B2999" w14:paraId="186C4FCB" w14:textId="61F2CFC3">
            <w:pPr>
              <w:rPr>
                <w:sz w:val="20"/>
                <w:szCs w:val="20"/>
              </w:rPr>
            </w:pPr>
            <w:r w:rsidRPr="7734FFF0">
              <w:rPr>
                <w:sz w:val="20"/>
                <w:szCs w:val="20"/>
              </w:rPr>
              <w:t xml:space="preserve">Provides more detailed information on typical vehicle use, and in combination with other measures, such as average annual mileage and number of long-distance trips, contributes to a better understanding of EV/PHEV use and needs. </w:t>
            </w:r>
          </w:p>
        </w:tc>
      </w:tr>
      <w:tr w14:paraId="4B231B2A" w14:textId="0E3DED59" w:rsidTr="009541E6">
        <w:tblPrEx>
          <w:tblW w:w="13900" w:type="dxa"/>
          <w:tblLayout w:type="fixed"/>
          <w:tblLook w:val="04A0"/>
        </w:tblPrEx>
        <w:trPr>
          <w:trHeight w:val="800"/>
        </w:trPr>
        <w:tc>
          <w:tcPr>
            <w:tcW w:w="600" w:type="dxa"/>
            <w:shd w:val="clear" w:color="auto" w:fill="auto"/>
          </w:tcPr>
          <w:p w:rsidR="009541E6" w:rsidP="004B2999" w14:paraId="3DC55FFA" w14:textId="5A886D22">
            <w:pPr>
              <w:rPr>
                <w:sz w:val="20"/>
                <w:szCs w:val="20"/>
              </w:rPr>
            </w:pPr>
            <w:r>
              <w:rPr>
                <w:sz w:val="20"/>
                <w:szCs w:val="20"/>
              </w:rPr>
              <w:t>19</w:t>
            </w:r>
          </w:p>
        </w:tc>
        <w:tc>
          <w:tcPr>
            <w:tcW w:w="4435" w:type="dxa"/>
            <w:shd w:val="clear" w:color="auto" w:fill="auto"/>
          </w:tcPr>
          <w:p w:rsidR="009541E6" w:rsidP="004B2999" w14:paraId="0DD1FBC6" w14:textId="49B24CC8">
            <w:pPr>
              <w:rPr>
                <w:sz w:val="20"/>
                <w:szCs w:val="20"/>
              </w:rPr>
            </w:pPr>
            <w:r>
              <w:rPr>
                <w:sz w:val="20"/>
                <w:szCs w:val="20"/>
              </w:rPr>
              <w:t xml:space="preserve">How often is this vehicle charged at each of </w:t>
            </w:r>
            <w:r>
              <w:rPr>
                <w:sz w:val="20"/>
                <w:szCs w:val="20"/>
              </w:rPr>
              <w:t>the  following</w:t>
            </w:r>
            <w:r>
              <w:rPr>
                <w:sz w:val="20"/>
                <w:szCs w:val="20"/>
              </w:rPr>
              <w:t xml:space="preserve"> locations?</w:t>
            </w:r>
          </w:p>
        </w:tc>
        <w:tc>
          <w:tcPr>
            <w:tcW w:w="1575" w:type="dxa"/>
            <w:shd w:val="clear" w:color="auto" w:fill="auto"/>
          </w:tcPr>
          <w:p w:rsidR="009541E6" w:rsidP="004B2999" w14:paraId="11109E1D" w14:textId="079AA534">
            <w:pPr>
              <w:rPr>
                <w:sz w:val="20"/>
                <w:szCs w:val="20"/>
              </w:rPr>
            </w:pPr>
            <w:r>
              <w:rPr>
                <w:sz w:val="20"/>
                <w:szCs w:val="20"/>
              </w:rPr>
              <w:t>FRN Comments: AAI</w:t>
            </w:r>
          </w:p>
          <w:p w:rsidR="009541E6" w:rsidP="004B2999" w14:paraId="4BB49FCA" w14:textId="31FD36F9">
            <w:pPr>
              <w:rPr>
                <w:sz w:val="20"/>
                <w:szCs w:val="20"/>
              </w:rPr>
            </w:pPr>
            <w:r>
              <w:rPr>
                <w:sz w:val="20"/>
                <w:szCs w:val="20"/>
              </w:rPr>
              <w:t xml:space="preserve"> </w:t>
            </w:r>
          </w:p>
        </w:tc>
        <w:tc>
          <w:tcPr>
            <w:tcW w:w="7290" w:type="dxa"/>
            <w:shd w:val="clear" w:color="auto" w:fill="auto"/>
          </w:tcPr>
          <w:p w:rsidR="009541E6" w:rsidP="004B2999" w14:paraId="78C7378F" w14:textId="7D55154F">
            <w:pPr>
              <w:rPr>
                <w:sz w:val="20"/>
                <w:szCs w:val="20"/>
              </w:rPr>
            </w:pPr>
            <w:r>
              <w:rPr>
                <w:sz w:val="20"/>
                <w:szCs w:val="20"/>
              </w:rPr>
              <w:t xml:space="preserve">Provides information on the frequency with which the vehicle is charged at different key locations (residence, workplace, public, etc.) providing insights on charging behavior and needs. </w:t>
            </w:r>
          </w:p>
        </w:tc>
      </w:tr>
      <w:tr w14:paraId="6F30017C" w14:textId="0DAB6D0D" w:rsidTr="009541E6">
        <w:tblPrEx>
          <w:tblW w:w="13900" w:type="dxa"/>
          <w:tblLayout w:type="fixed"/>
          <w:tblLook w:val="04A0"/>
        </w:tblPrEx>
        <w:trPr>
          <w:trHeight w:val="800"/>
        </w:trPr>
        <w:tc>
          <w:tcPr>
            <w:tcW w:w="600" w:type="dxa"/>
            <w:shd w:val="clear" w:color="auto" w:fill="auto"/>
          </w:tcPr>
          <w:p w:rsidR="009541E6" w:rsidP="004B2999" w14:paraId="6EE99ADD" w14:textId="150B2E58">
            <w:pPr>
              <w:rPr>
                <w:sz w:val="20"/>
                <w:szCs w:val="20"/>
              </w:rPr>
            </w:pPr>
            <w:r>
              <w:rPr>
                <w:sz w:val="20"/>
                <w:szCs w:val="20"/>
              </w:rPr>
              <w:t>20</w:t>
            </w:r>
          </w:p>
        </w:tc>
        <w:tc>
          <w:tcPr>
            <w:tcW w:w="4435" w:type="dxa"/>
            <w:shd w:val="clear" w:color="auto" w:fill="auto"/>
          </w:tcPr>
          <w:p w:rsidR="009541E6" w:rsidP="004B2999" w14:paraId="42907E44" w14:textId="7A233B93">
            <w:pPr>
              <w:rPr>
                <w:sz w:val="20"/>
                <w:szCs w:val="20"/>
              </w:rPr>
            </w:pPr>
            <w:r>
              <w:rPr>
                <w:sz w:val="20"/>
                <w:szCs w:val="20"/>
              </w:rPr>
              <w:t>Which of the following factors are important when choosing a public charging station?</w:t>
            </w:r>
          </w:p>
        </w:tc>
        <w:tc>
          <w:tcPr>
            <w:tcW w:w="1575" w:type="dxa"/>
            <w:shd w:val="clear" w:color="auto" w:fill="auto"/>
          </w:tcPr>
          <w:p w:rsidR="009541E6" w:rsidP="004B2999" w14:paraId="3C48C3E1" w14:textId="3EEC1D3F">
            <w:pPr>
              <w:rPr>
                <w:sz w:val="20"/>
                <w:szCs w:val="20"/>
              </w:rPr>
            </w:pPr>
          </w:p>
        </w:tc>
        <w:tc>
          <w:tcPr>
            <w:tcW w:w="7290" w:type="dxa"/>
          </w:tcPr>
          <w:p w:rsidR="009541E6" w:rsidP="004B2999" w14:paraId="04834832" w14:textId="4DDDD4FC">
            <w:pPr>
              <w:rPr>
                <w:sz w:val="20"/>
                <w:szCs w:val="20"/>
              </w:rPr>
            </w:pPr>
            <w:r>
              <w:rPr>
                <w:sz w:val="20"/>
                <w:szCs w:val="20"/>
              </w:rPr>
              <w:t>Enables EV/PHEV drivers to share the factors that are most important to them when considering public charging, providing potential policy direction as the USDOT builds out its charging infrastructure.</w:t>
            </w:r>
          </w:p>
        </w:tc>
      </w:tr>
      <w:tr w14:paraId="0EB99929" w14:textId="77777777" w:rsidTr="009541E6">
        <w:tblPrEx>
          <w:tblW w:w="13900" w:type="dxa"/>
          <w:tblLayout w:type="fixed"/>
          <w:tblLook w:val="04A0"/>
        </w:tblPrEx>
        <w:trPr>
          <w:trHeight w:val="791"/>
        </w:trPr>
        <w:tc>
          <w:tcPr>
            <w:tcW w:w="600" w:type="dxa"/>
            <w:shd w:val="clear" w:color="auto" w:fill="auto"/>
          </w:tcPr>
          <w:p w:rsidR="009541E6" w:rsidP="004B2999" w14:paraId="5028AB5B" w14:textId="393A00B8">
            <w:pPr>
              <w:rPr>
                <w:sz w:val="20"/>
                <w:szCs w:val="20"/>
              </w:rPr>
            </w:pPr>
            <w:r>
              <w:rPr>
                <w:sz w:val="20"/>
                <w:szCs w:val="20"/>
              </w:rPr>
              <w:t>21</w:t>
            </w:r>
          </w:p>
        </w:tc>
        <w:tc>
          <w:tcPr>
            <w:tcW w:w="4435" w:type="dxa"/>
            <w:shd w:val="clear" w:color="auto" w:fill="auto"/>
          </w:tcPr>
          <w:p w:rsidR="009541E6" w:rsidP="004B2999" w14:paraId="434290CF" w14:textId="04BEA97F">
            <w:pPr>
              <w:rPr>
                <w:sz w:val="20"/>
                <w:szCs w:val="20"/>
              </w:rPr>
            </w:pPr>
            <w:r>
              <w:rPr>
                <w:sz w:val="20"/>
                <w:szCs w:val="20"/>
              </w:rPr>
              <w:t>[PHEV] How often is this vehicle typically refueled at a gas station?</w:t>
            </w:r>
          </w:p>
        </w:tc>
        <w:tc>
          <w:tcPr>
            <w:tcW w:w="1575" w:type="dxa"/>
            <w:shd w:val="clear" w:color="auto" w:fill="auto"/>
          </w:tcPr>
          <w:p w:rsidR="009541E6" w:rsidP="004B2999" w14:paraId="6BBA2B5D" w14:textId="4F0C8880">
            <w:pPr>
              <w:rPr>
                <w:sz w:val="20"/>
                <w:szCs w:val="20"/>
              </w:rPr>
            </w:pPr>
          </w:p>
        </w:tc>
        <w:tc>
          <w:tcPr>
            <w:tcW w:w="7290" w:type="dxa"/>
          </w:tcPr>
          <w:p w:rsidR="009541E6" w:rsidP="004B2999" w14:paraId="601E8AA4" w14:textId="10040D3C">
            <w:pPr>
              <w:rPr>
                <w:sz w:val="20"/>
                <w:szCs w:val="20"/>
              </w:rPr>
            </w:pPr>
            <w:r>
              <w:rPr>
                <w:sz w:val="20"/>
                <w:szCs w:val="20"/>
              </w:rPr>
              <w:t xml:space="preserve">In combination with information about annual mileage and frequency of charging, provides information on whether the PHEV is primarily used as an EV or not.  </w:t>
            </w:r>
          </w:p>
        </w:tc>
      </w:tr>
      <w:tr w14:paraId="268F266C" w14:textId="77777777" w:rsidTr="009541E6">
        <w:tblPrEx>
          <w:tblW w:w="13900" w:type="dxa"/>
          <w:tblLayout w:type="fixed"/>
          <w:tblLook w:val="04A0"/>
        </w:tblPrEx>
        <w:trPr>
          <w:trHeight w:val="1070"/>
        </w:trPr>
        <w:tc>
          <w:tcPr>
            <w:tcW w:w="600" w:type="dxa"/>
            <w:shd w:val="clear" w:color="auto" w:fill="auto"/>
          </w:tcPr>
          <w:p w:rsidR="009541E6" w:rsidP="004B2999" w14:paraId="3FE072A2" w14:textId="2AF52D5C">
            <w:pPr>
              <w:rPr>
                <w:sz w:val="20"/>
                <w:szCs w:val="20"/>
              </w:rPr>
            </w:pPr>
            <w:r>
              <w:rPr>
                <w:sz w:val="20"/>
                <w:szCs w:val="20"/>
              </w:rPr>
              <w:t>22</w:t>
            </w:r>
          </w:p>
        </w:tc>
        <w:tc>
          <w:tcPr>
            <w:tcW w:w="4435" w:type="dxa"/>
            <w:shd w:val="clear" w:color="auto" w:fill="auto"/>
          </w:tcPr>
          <w:p w:rsidR="009541E6" w:rsidP="004B2999" w14:paraId="209A89B8" w14:textId="37F8A0F4">
            <w:pPr>
              <w:rPr>
                <w:sz w:val="20"/>
                <w:szCs w:val="20"/>
              </w:rPr>
            </w:pPr>
            <w:r>
              <w:rPr>
                <w:sz w:val="20"/>
                <w:szCs w:val="20"/>
              </w:rPr>
              <w:t>[IF Q19=EVER CHARGE AT PRIVATE RESIDENCE] At your private residence, do you/your household use a private charging space or a shared charging space?</w:t>
            </w:r>
          </w:p>
        </w:tc>
        <w:tc>
          <w:tcPr>
            <w:tcW w:w="1575" w:type="dxa"/>
            <w:shd w:val="clear" w:color="auto" w:fill="auto"/>
          </w:tcPr>
          <w:p w:rsidR="009541E6" w:rsidP="004B2999" w14:paraId="63A21BA7" w14:textId="4F16041F">
            <w:pPr>
              <w:rPr>
                <w:sz w:val="20"/>
                <w:szCs w:val="20"/>
              </w:rPr>
            </w:pPr>
          </w:p>
        </w:tc>
        <w:tc>
          <w:tcPr>
            <w:tcW w:w="7290" w:type="dxa"/>
          </w:tcPr>
          <w:p w:rsidR="009541E6" w:rsidP="004B2999" w14:paraId="5D0BBE44" w14:textId="08A0206B">
            <w:pPr>
              <w:rPr>
                <w:sz w:val="20"/>
                <w:szCs w:val="20"/>
              </w:rPr>
            </w:pPr>
            <w:r>
              <w:rPr>
                <w:sz w:val="20"/>
                <w:szCs w:val="20"/>
              </w:rPr>
              <w:t xml:space="preserve">Provides an understanding of the ease with which drivers </w:t>
            </w:r>
            <w:r>
              <w:rPr>
                <w:sz w:val="20"/>
                <w:szCs w:val="20"/>
              </w:rPr>
              <w:t>are able to</w:t>
            </w:r>
            <w:r>
              <w:rPr>
                <w:sz w:val="20"/>
                <w:szCs w:val="20"/>
              </w:rPr>
              <w:t xml:space="preserve"> charge at their private residence (a factor of EV adoption).  Also serves as an independent variable in understanding/analyzing charging behavior.</w:t>
            </w:r>
          </w:p>
        </w:tc>
      </w:tr>
      <w:tr w14:paraId="7B6EF2AA" w14:textId="77777777" w:rsidTr="009541E6">
        <w:tblPrEx>
          <w:tblW w:w="13900" w:type="dxa"/>
          <w:tblLayout w:type="fixed"/>
          <w:tblLook w:val="04A0"/>
        </w:tblPrEx>
        <w:trPr>
          <w:trHeight w:val="809"/>
        </w:trPr>
        <w:tc>
          <w:tcPr>
            <w:tcW w:w="600" w:type="dxa"/>
            <w:shd w:val="clear" w:color="auto" w:fill="auto"/>
          </w:tcPr>
          <w:p w:rsidR="009541E6" w:rsidP="004B2999" w14:paraId="249728EC" w14:textId="597437D1">
            <w:pPr>
              <w:rPr>
                <w:sz w:val="20"/>
                <w:szCs w:val="20"/>
              </w:rPr>
            </w:pPr>
            <w:r>
              <w:rPr>
                <w:sz w:val="20"/>
                <w:szCs w:val="20"/>
              </w:rPr>
              <w:t>23</w:t>
            </w:r>
          </w:p>
        </w:tc>
        <w:tc>
          <w:tcPr>
            <w:tcW w:w="4435" w:type="dxa"/>
            <w:shd w:val="clear" w:color="auto" w:fill="auto"/>
          </w:tcPr>
          <w:p w:rsidR="009541E6" w:rsidP="004B2999" w14:paraId="5609BA1A" w14:textId="30826DB9">
            <w:pPr>
              <w:rPr>
                <w:sz w:val="20"/>
                <w:szCs w:val="20"/>
              </w:rPr>
            </w:pPr>
            <w:r>
              <w:rPr>
                <w:sz w:val="20"/>
                <w:szCs w:val="20"/>
              </w:rPr>
              <w:t xml:space="preserve">[IF Q19=EVER CHARGE AT PUBLIC CHARGING] For local trips, at what public charging stations is this vehicle typically recharged? </w:t>
            </w:r>
          </w:p>
        </w:tc>
        <w:tc>
          <w:tcPr>
            <w:tcW w:w="1575" w:type="dxa"/>
            <w:shd w:val="clear" w:color="auto" w:fill="auto"/>
          </w:tcPr>
          <w:p w:rsidR="009541E6" w:rsidP="004B2999" w14:paraId="4E356584" w14:textId="16279DBA">
            <w:pPr>
              <w:rPr>
                <w:sz w:val="20"/>
                <w:szCs w:val="20"/>
              </w:rPr>
            </w:pPr>
          </w:p>
        </w:tc>
        <w:tc>
          <w:tcPr>
            <w:tcW w:w="7290" w:type="dxa"/>
          </w:tcPr>
          <w:p w:rsidR="009541E6" w:rsidP="004B2999" w14:paraId="71844C45" w14:textId="0FE622DA">
            <w:pPr>
              <w:rPr>
                <w:sz w:val="20"/>
                <w:szCs w:val="20"/>
              </w:rPr>
            </w:pPr>
            <w:r>
              <w:rPr>
                <w:sz w:val="20"/>
                <w:szCs w:val="20"/>
              </w:rPr>
              <w:t xml:space="preserve">Provides information on current charging locations and can compare to desired locations (Q30). Provides insights for charging infrastructure decisions. </w:t>
            </w:r>
          </w:p>
        </w:tc>
      </w:tr>
      <w:tr w14:paraId="35D27C27" w14:textId="77777777" w:rsidTr="009541E6">
        <w:tblPrEx>
          <w:tblW w:w="13900" w:type="dxa"/>
          <w:tblLayout w:type="fixed"/>
          <w:tblLook w:val="04A0"/>
        </w:tblPrEx>
        <w:trPr>
          <w:trHeight w:val="620"/>
        </w:trPr>
        <w:tc>
          <w:tcPr>
            <w:tcW w:w="600" w:type="dxa"/>
            <w:shd w:val="clear" w:color="auto" w:fill="auto"/>
          </w:tcPr>
          <w:p w:rsidR="009541E6" w:rsidP="004B2999" w14:paraId="4AFEE111" w14:textId="1BB11086">
            <w:pPr>
              <w:rPr>
                <w:sz w:val="20"/>
                <w:szCs w:val="20"/>
              </w:rPr>
            </w:pPr>
            <w:r>
              <w:rPr>
                <w:sz w:val="20"/>
                <w:szCs w:val="20"/>
              </w:rPr>
              <w:t>24</w:t>
            </w:r>
          </w:p>
        </w:tc>
        <w:tc>
          <w:tcPr>
            <w:tcW w:w="4435" w:type="dxa"/>
            <w:shd w:val="clear" w:color="auto" w:fill="auto"/>
          </w:tcPr>
          <w:p w:rsidR="009541E6" w:rsidP="004B2999" w14:paraId="2F0D354C" w14:textId="35323283">
            <w:pPr>
              <w:rPr>
                <w:sz w:val="20"/>
                <w:szCs w:val="20"/>
              </w:rPr>
            </w:pPr>
            <w:r>
              <w:rPr>
                <w:sz w:val="20"/>
                <w:szCs w:val="20"/>
              </w:rPr>
              <w:t xml:space="preserve">During 2023, how many times, if any, was this vehicle driven where the </w:t>
            </w:r>
            <w:r>
              <w:rPr>
                <w:sz w:val="20"/>
                <w:szCs w:val="20"/>
              </w:rPr>
              <w:t>round trip</w:t>
            </w:r>
            <w:r>
              <w:rPr>
                <w:sz w:val="20"/>
                <w:szCs w:val="20"/>
              </w:rPr>
              <w:t xml:space="preserve"> distance exceeded this vehicle’s range?</w:t>
            </w:r>
          </w:p>
        </w:tc>
        <w:tc>
          <w:tcPr>
            <w:tcW w:w="1575" w:type="dxa"/>
            <w:shd w:val="clear" w:color="auto" w:fill="auto"/>
          </w:tcPr>
          <w:p w:rsidR="009541E6" w:rsidP="004B2999" w14:paraId="28C28292" w14:textId="105F3006">
            <w:pPr>
              <w:rPr>
                <w:sz w:val="20"/>
                <w:szCs w:val="20"/>
              </w:rPr>
            </w:pPr>
            <w:r>
              <w:rPr>
                <w:sz w:val="20"/>
                <w:szCs w:val="20"/>
              </w:rPr>
              <w:t>FRN Comments: AAI</w:t>
            </w:r>
          </w:p>
        </w:tc>
        <w:tc>
          <w:tcPr>
            <w:tcW w:w="7290" w:type="dxa"/>
          </w:tcPr>
          <w:p w:rsidR="009541E6" w:rsidP="004B2999" w14:paraId="4917EC56" w14:textId="49F72DE6">
            <w:pPr>
              <w:rPr>
                <w:sz w:val="20"/>
                <w:szCs w:val="20"/>
              </w:rPr>
            </w:pPr>
            <w:r>
              <w:rPr>
                <w:sz w:val="20"/>
                <w:szCs w:val="20"/>
              </w:rPr>
              <w:t xml:space="preserve">Provides a national profile on the extent to which EVs/PHEVs are being used on long distance trips.  </w:t>
            </w:r>
          </w:p>
        </w:tc>
      </w:tr>
      <w:tr w14:paraId="7C51F3D0" w14:textId="77777777" w:rsidTr="009541E6">
        <w:tblPrEx>
          <w:tblW w:w="13900" w:type="dxa"/>
          <w:tblLayout w:type="fixed"/>
          <w:tblLook w:val="04A0"/>
        </w:tblPrEx>
        <w:trPr>
          <w:trHeight w:val="791"/>
        </w:trPr>
        <w:tc>
          <w:tcPr>
            <w:tcW w:w="600" w:type="dxa"/>
            <w:shd w:val="clear" w:color="auto" w:fill="auto"/>
          </w:tcPr>
          <w:p w:rsidR="009541E6" w:rsidP="004B2999" w14:paraId="031B3B45" w14:textId="4190AF49">
            <w:pPr>
              <w:rPr>
                <w:sz w:val="20"/>
                <w:szCs w:val="20"/>
              </w:rPr>
            </w:pPr>
            <w:r>
              <w:rPr>
                <w:sz w:val="20"/>
                <w:szCs w:val="20"/>
              </w:rPr>
              <w:t>25</w:t>
            </w:r>
          </w:p>
        </w:tc>
        <w:tc>
          <w:tcPr>
            <w:tcW w:w="4435" w:type="dxa"/>
            <w:shd w:val="clear" w:color="auto" w:fill="auto"/>
          </w:tcPr>
          <w:p w:rsidR="009541E6" w:rsidP="004B2999" w14:paraId="46BD8275" w14:textId="5E1847EF">
            <w:pPr>
              <w:rPr>
                <w:sz w:val="20"/>
                <w:szCs w:val="20"/>
              </w:rPr>
            </w:pPr>
            <w:r>
              <w:rPr>
                <w:sz w:val="20"/>
                <w:szCs w:val="20"/>
              </w:rPr>
              <w:t xml:space="preserve">[IF Q24&gt;0] Thinking about the round trips taken in 2023 that exceeded this vehicle’s range, at what </w:t>
            </w:r>
            <w:r>
              <w:rPr>
                <w:sz w:val="20"/>
                <w:szCs w:val="20"/>
              </w:rPr>
              <w:t xml:space="preserve">public charging locations was this vehicle charged while en-route? </w:t>
            </w:r>
          </w:p>
        </w:tc>
        <w:tc>
          <w:tcPr>
            <w:tcW w:w="1575" w:type="dxa"/>
            <w:shd w:val="clear" w:color="auto" w:fill="auto"/>
          </w:tcPr>
          <w:p w:rsidR="009541E6" w:rsidP="004B2999" w14:paraId="6F42ABC7" w14:textId="5DD32703">
            <w:pPr>
              <w:rPr>
                <w:sz w:val="20"/>
                <w:szCs w:val="20"/>
              </w:rPr>
            </w:pPr>
          </w:p>
        </w:tc>
        <w:tc>
          <w:tcPr>
            <w:tcW w:w="7290" w:type="dxa"/>
          </w:tcPr>
          <w:p w:rsidR="009541E6" w:rsidP="004B2999" w14:paraId="6BC4EA00" w14:textId="2F318ECF">
            <w:pPr>
              <w:rPr>
                <w:sz w:val="20"/>
                <w:szCs w:val="20"/>
              </w:rPr>
            </w:pPr>
            <w:r>
              <w:rPr>
                <w:sz w:val="20"/>
                <w:szCs w:val="20"/>
              </w:rPr>
              <w:t>Provides information on the types of charging stations that are being used on trips that exceed the vehicle’s range. Provides insights for charging infrastructure decisions.</w:t>
            </w:r>
          </w:p>
        </w:tc>
      </w:tr>
      <w:tr w14:paraId="0CC577C1" w14:textId="3B7549AE" w:rsidTr="009541E6">
        <w:tblPrEx>
          <w:tblW w:w="13900" w:type="dxa"/>
          <w:tblLayout w:type="fixed"/>
          <w:tblLook w:val="04A0"/>
        </w:tblPrEx>
        <w:tc>
          <w:tcPr>
            <w:tcW w:w="600" w:type="dxa"/>
            <w:shd w:val="clear" w:color="auto" w:fill="auto"/>
          </w:tcPr>
          <w:p w:rsidR="009541E6" w:rsidP="004B2999" w14:paraId="7BD3FEF8" w14:textId="595ECEE2">
            <w:pPr>
              <w:rPr>
                <w:sz w:val="20"/>
                <w:szCs w:val="20"/>
              </w:rPr>
            </w:pPr>
            <w:r>
              <w:rPr>
                <w:sz w:val="20"/>
                <w:szCs w:val="20"/>
              </w:rPr>
              <w:t>26</w:t>
            </w:r>
          </w:p>
        </w:tc>
        <w:tc>
          <w:tcPr>
            <w:tcW w:w="4435" w:type="dxa"/>
            <w:shd w:val="clear" w:color="auto" w:fill="auto"/>
          </w:tcPr>
          <w:p w:rsidR="009541E6" w:rsidP="004B2999" w14:paraId="2DD3565B" w14:textId="19CC0816">
            <w:pPr>
              <w:rPr>
                <w:sz w:val="20"/>
                <w:szCs w:val="20"/>
              </w:rPr>
            </w:pPr>
            <w:r>
              <w:rPr>
                <w:sz w:val="20"/>
                <w:szCs w:val="20"/>
              </w:rPr>
              <w:t xml:space="preserve">Thinking about all round trips taken in 2023 (in any vehicle) that exceeded this vehicle’s range, was </w:t>
            </w:r>
            <w:r w:rsidRPr="50E8212A">
              <w:rPr>
                <w:sz w:val="20"/>
                <w:szCs w:val="20"/>
              </w:rPr>
              <w:t>a gasoline</w:t>
            </w:r>
            <w:r>
              <w:rPr>
                <w:sz w:val="20"/>
                <w:szCs w:val="20"/>
              </w:rPr>
              <w:t>/diesel</w:t>
            </w:r>
            <w:r w:rsidRPr="50E8212A">
              <w:rPr>
                <w:sz w:val="20"/>
                <w:szCs w:val="20"/>
              </w:rPr>
              <w:t xml:space="preserve"> powered </w:t>
            </w:r>
            <w:r>
              <w:rPr>
                <w:sz w:val="20"/>
                <w:szCs w:val="20"/>
              </w:rPr>
              <w:t xml:space="preserve">non-plug used </w:t>
            </w:r>
            <w:r w:rsidRPr="50E8212A">
              <w:rPr>
                <w:sz w:val="20"/>
                <w:szCs w:val="20"/>
              </w:rPr>
              <w:t xml:space="preserve">instead of </w:t>
            </w:r>
            <w:r>
              <w:rPr>
                <w:sz w:val="20"/>
                <w:szCs w:val="20"/>
              </w:rPr>
              <w:t xml:space="preserve">this vehicle </w:t>
            </w:r>
            <w:r w:rsidRPr="50E8212A">
              <w:rPr>
                <w:sz w:val="20"/>
                <w:szCs w:val="20"/>
              </w:rPr>
              <w:t>due to charging concerns</w:t>
            </w:r>
            <w:r>
              <w:rPr>
                <w:sz w:val="20"/>
                <w:szCs w:val="20"/>
              </w:rPr>
              <w:t>?</w:t>
            </w:r>
            <w:r w:rsidRPr="50E8212A">
              <w:rPr>
                <w:sz w:val="20"/>
                <w:szCs w:val="20"/>
              </w:rPr>
              <w:t xml:space="preserve"> </w:t>
            </w:r>
          </w:p>
        </w:tc>
        <w:tc>
          <w:tcPr>
            <w:tcW w:w="1575" w:type="dxa"/>
            <w:shd w:val="clear" w:color="auto" w:fill="auto"/>
          </w:tcPr>
          <w:p w:rsidR="009541E6" w:rsidP="004B2999" w14:paraId="195A031F" w14:textId="435D9A08">
            <w:pPr>
              <w:rPr>
                <w:sz w:val="20"/>
                <w:szCs w:val="20"/>
              </w:rPr>
            </w:pPr>
            <w:r>
              <w:rPr>
                <w:sz w:val="20"/>
                <w:szCs w:val="20"/>
              </w:rPr>
              <w:t>FRN Comments: AAI</w:t>
            </w:r>
          </w:p>
          <w:p w:rsidR="009541E6" w:rsidP="004B2999" w14:paraId="7DCAC921" w14:textId="77777777">
            <w:pPr>
              <w:rPr>
                <w:sz w:val="20"/>
                <w:szCs w:val="20"/>
              </w:rPr>
            </w:pPr>
          </w:p>
          <w:p w:rsidR="009541E6" w:rsidP="004B2999" w14:paraId="1FA4AFBC" w14:textId="5A32BFC1">
            <w:pPr>
              <w:rPr>
                <w:sz w:val="20"/>
                <w:szCs w:val="20"/>
              </w:rPr>
            </w:pPr>
          </w:p>
        </w:tc>
        <w:tc>
          <w:tcPr>
            <w:tcW w:w="7290" w:type="dxa"/>
          </w:tcPr>
          <w:p w:rsidR="009541E6" w:rsidP="004B2999" w14:paraId="1D9875CC" w14:textId="5A5A122B">
            <w:pPr>
              <w:rPr>
                <w:sz w:val="20"/>
                <w:szCs w:val="20"/>
              </w:rPr>
            </w:pPr>
            <w:r>
              <w:rPr>
                <w:sz w:val="20"/>
                <w:szCs w:val="20"/>
              </w:rPr>
              <w:t xml:space="preserve">Used as a screener to determine if EV/PHEV drivers are substituting gas powered vehicles for their EVs/PHEVs on trips that exceed the vehicle’s range. </w:t>
            </w:r>
          </w:p>
        </w:tc>
      </w:tr>
      <w:tr w14:paraId="216379A0" w14:textId="7CEBE7ED" w:rsidTr="009541E6">
        <w:tblPrEx>
          <w:tblW w:w="13900" w:type="dxa"/>
          <w:tblLayout w:type="fixed"/>
          <w:tblLook w:val="04A0"/>
        </w:tblPrEx>
        <w:trPr>
          <w:trHeight w:val="1070"/>
        </w:trPr>
        <w:tc>
          <w:tcPr>
            <w:tcW w:w="600" w:type="dxa"/>
            <w:shd w:val="clear" w:color="auto" w:fill="auto"/>
          </w:tcPr>
          <w:p w:rsidR="009541E6" w:rsidP="004B2999" w14:paraId="5E5422D1" w14:textId="6A5537DC">
            <w:pPr>
              <w:rPr>
                <w:sz w:val="20"/>
                <w:szCs w:val="20"/>
              </w:rPr>
            </w:pPr>
            <w:r>
              <w:rPr>
                <w:sz w:val="20"/>
                <w:szCs w:val="20"/>
              </w:rPr>
              <w:t>27</w:t>
            </w:r>
          </w:p>
        </w:tc>
        <w:tc>
          <w:tcPr>
            <w:tcW w:w="4435" w:type="dxa"/>
            <w:shd w:val="clear" w:color="auto" w:fill="auto"/>
          </w:tcPr>
          <w:p w:rsidR="009541E6" w:rsidP="004B2999" w14:paraId="18218F71" w14:textId="57B6304D">
            <w:pPr>
              <w:rPr>
                <w:sz w:val="20"/>
                <w:szCs w:val="20"/>
              </w:rPr>
            </w:pPr>
            <w:r>
              <w:rPr>
                <w:sz w:val="20"/>
                <w:szCs w:val="20"/>
              </w:rPr>
              <w:t>[IF Q26=YES] Approximately how many times was a gasoline/diesel powered non-</w:t>
            </w:r>
            <w:r>
              <w:rPr>
                <w:sz w:val="20"/>
                <w:szCs w:val="20"/>
              </w:rPr>
              <w:t>plug in</w:t>
            </w:r>
            <w:r>
              <w:rPr>
                <w:sz w:val="20"/>
                <w:szCs w:val="20"/>
              </w:rPr>
              <w:t xml:space="preserve"> vehicle used instead of this vehicle due to concerns about charging en-route? </w:t>
            </w:r>
          </w:p>
        </w:tc>
        <w:tc>
          <w:tcPr>
            <w:tcW w:w="1575" w:type="dxa"/>
            <w:shd w:val="clear" w:color="auto" w:fill="auto"/>
          </w:tcPr>
          <w:p w:rsidR="009541E6" w:rsidP="004B2999" w14:paraId="5A88991F" w14:textId="79B350D5">
            <w:pPr>
              <w:rPr>
                <w:sz w:val="20"/>
                <w:szCs w:val="20"/>
              </w:rPr>
            </w:pPr>
          </w:p>
        </w:tc>
        <w:tc>
          <w:tcPr>
            <w:tcW w:w="7290" w:type="dxa"/>
          </w:tcPr>
          <w:p w:rsidR="009541E6" w:rsidP="004B2999" w14:paraId="012D609E" w14:textId="70FBC0FF">
            <w:pPr>
              <w:rPr>
                <w:sz w:val="20"/>
                <w:szCs w:val="20"/>
              </w:rPr>
            </w:pPr>
            <w:r>
              <w:rPr>
                <w:sz w:val="20"/>
                <w:szCs w:val="20"/>
              </w:rPr>
              <w:t>Provides information on the extent to which drivers are substituting gas powered vehicles for their EV/PHEV on long distance trips, thus providing insight on the drivers’ comfort with charging on long distance trips.</w:t>
            </w:r>
          </w:p>
        </w:tc>
      </w:tr>
      <w:tr w14:paraId="4DC416FA" w14:textId="44E04811" w:rsidTr="009541E6">
        <w:tblPrEx>
          <w:tblW w:w="13900" w:type="dxa"/>
          <w:tblLayout w:type="fixed"/>
          <w:tblLook w:val="04A0"/>
        </w:tblPrEx>
        <w:trPr>
          <w:trHeight w:val="800"/>
        </w:trPr>
        <w:tc>
          <w:tcPr>
            <w:tcW w:w="600" w:type="dxa"/>
            <w:shd w:val="clear" w:color="auto" w:fill="auto"/>
          </w:tcPr>
          <w:p w:rsidR="009541E6" w:rsidP="004B2999" w14:paraId="407AF4AC" w14:textId="4B6A9FD1">
            <w:pPr>
              <w:rPr>
                <w:sz w:val="20"/>
                <w:szCs w:val="20"/>
              </w:rPr>
            </w:pPr>
            <w:r>
              <w:rPr>
                <w:sz w:val="20"/>
                <w:szCs w:val="20"/>
              </w:rPr>
              <w:t>28</w:t>
            </w:r>
          </w:p>
        </w:tc>
        <w:tc>
          <w:tcPr>
            <w:tcW w:w="4435" w:type="dxa"/>
            <w:shd w:val="clear" w:color="auto" w:fill="auto"/>
          </w:tcPr>
          <w:p w:rsidR="009541E6" w:rsidP="004B2999" w14:paraId="256E12DC" w14:textId="2740758A">
            <w:pPr>
              <w:rPr>
                <w:sz w:val="20"/>
                <w:szCs w:val="20"/>
              </w:rPr>
            </w:pPr>
            <w:r>
              <w:rPr>
                <w:sz w:val="20"/>
                <w:szCs w:val="20"/>
              </w:rPr>
              <w:t>[IF26=YES] What were the primary charging concerns that led to the use of a gasoline/diesel powered vehicle</w:t>
            </w:r>
          </w:p>
        </w:tc>
        <w:tc>
          <w:tcPr>
            <w:tcW w:w="1575" w:type="dxa"/>
            <w:shd w:val="clear" w:color="auto" w:fill="auto"/>
          </w:tcPr>
          <w:p w:rsidR="009541E6" w:rsidP="004B2999" w14:paraId="5930CDBA" w14:textId="4F17F760">
            <w:pPr>
              <w:rPr>
                <w:sz w:val="20"/>
                <w:szCs w:val="20"/>
              </w:rPr>
            </w:pPr>
            <w:r>
              <w:rPr>
                <w:sz w:val="20"/>
                <w:szCs w:val="20"/>
              </w:rPr>
              <w:t>FRN Comments: AAI</w:t>
            </w:r>
          </w:p>
          <w:p w:rsidR="009541E6" w:rsidP="004B2999" w14:paraId="0B2E729F" w14:textId="77777777">
            <w:pPr>
              <w:rPr>
                <w:sz w:val="20"/>
                <w:szCs w:val="20"/>
              </w:rPr>
            </w:pPr>
          </w:p>
          <w:p w:rsidR="009541E6" w:rsidP="004B2999" w14:paraId="0AD656F8" w14:textId="03A279FC">
            <w:pPr>
              <w:rPr>
                <w:sz w:val="20"/>
                <w:szCs w:val="20"/>
              </w:rPr>
            </w:pPr>
            <w:r>
              <w:rPr>
                <w:sz w:val="20"/>
                <w:szCs w:val="20"/>
              </w:rPr>
              <w:t>JOET (input)</w:t>
            </w:r>
          </w:p>
        </w:tc>
        <w:tc>
          <w:tcPr>
            <w:tcW w:w="7290" w:type="dxa"/>
            <w:shd w:val="clear" w:color="auto" w:fill="auto"/>
          </w:tcPr>
          <w:p w:rsidR="009541E6" w:rsidP="004B2999" w14:paraId="6B3996A1" w14:textId="36F744B8">
            <w:pPr>
              <w:rPr>
                <w:sz w:val="20"/>
                <w:szCs w:val="20"/>
              </w:rPr>
            </w:pPr>
            <w:r>
              <w:rPr>
                <w:sz w:val="20"/>
                <w:szCs w:val="20"/>
              </w:rPr>
              <w:t xml:space="preserve">Provides more detailed information on charging concerns, which can be used to inform policy as charging infrastructure expands across the US. </w:t>
            </w:r>
          </w:p>
        </w:tc>
      </w:tr>
      <w:tr w14:paraId="60DB86E1" w14:textId="05EF3203" w:rsidTr="009541E6">
        <w:tblPrEx>
          <w:tblW w:w="13900" w:type="dxa"/>
          <w:tblLayout w:type="fixed"/>
          <w:tblLook w:val="04A0"/>
        </w:tblPrEx>
        <w:trPr>
          <w:trHeight w:val="800"/>
        </w:trPr>
        <w:tc>
          <w:tcPr>
            <w:tcW w:w="600" w:type="dxa"/>
            <w:shd w:val="clear" w:color="auto" w:fill="auto"/>
          </w:tcPr>
          <w:p w:rsidR="009541E6" w:rsidP="004B2999" w14:paraId="1FCB1E7A" w14:textId="7228E51D">
            <w:pPr>
              <w:rPr>
                <w:sz w:val="20"/>
                <w:szCs w:val="20"/>
              </w:rPr>
            </w:pPr>
            <w:r>
              <w:rPr>
                <w:sz w:val="20"/>
                <w:szCs w:val="20"/>
              </w:rPr>
              <w:t>29</w:t>
            </w:r>
          </w:p>
        </w:tc>
        <w:tc>
          <w:tcPr>
            <w:tcW w:w="4435" w:type="dxa"/>
            <w:shd w:val="clear" w:color="auto" w:fill="auto"/>
          </w:tcPr>
          <w:p w:rsidR="009541E6" w:rsidP="004B2999" w14:paraId="607F508A" w14:textId="3A0D28B0">
            <w:pPr>
              <w:rPr>
                <w:sz w:val="20"/>
                <w:szCs w:val="20"/>
              </w:rPr>
            </w:pPr>
            <w:r>
              <w:rPr>
                <w:sz w:val="20"/>
                <w:szCs w:val="20"/>
              </w:rPr>
              <w:t>Thinking about all your trips (local and long distance), where would you like to see more charging stations?</w:t>
            </w:r>
          </w:p>
        </w:tc>
        <w:tc>
          <w:tcPr>
            <w:tcW w:w="1575" w:type="dxa"/>
            <w:shd w:val="clear" w:color="auto" w:fill="auto"/>
          </w:tcPr>
          <w:p w:rsidR="009541E6" w:rsidP="004B2999" w14:paraId="0F41BB44" w14:textId="6DFA0FD7">
            <w:pPr>
              <w:rPr>
                <w:sz w:val="20"/>
                <w:szCs w:val="20"/>
              </w:rPr>
            </w:pPr>
          </w:p>
        </w:tc>
        <w:tc>
          <w:tcPr>
            <w:tcW w:w="7290" w:type="dxa"/>
          </w:tcPr>
          <w:p w:rsidR="009541E6" w:rsidP="004B2999" w14:paraId="445E5E34" w14:textId="55A73540">
            <w:pPr>
              <w:rPr>
                <w:sz w:val="20"/>
                <w:szCs w:val="20"/>
              </w:rPr>
            </w:pPr>
            <w:r>
              <w:rPr>
                <w:sz w:val="20"/>
                <w:szCs w:val="20"/>
              </w:rPr>
              <w:t xml:space="preserve">Provides information on drivers’ preferences regarding charging stations and can be used to inform decisions related to the deployment of charging infrastructure. </w:t>
            </w:r>
          </w:p>
        </w:tc>
      </w:tr>
      <w:tr w14:paraId="331D5C52" w14:textId="7DA0986E" w:rsidTr="009541E6">
        <w:tblPrEx>
          <w:tblW w:w="13900" w:type="dxa"/>
          <w:tblLayout w:type="fixed"/>
          <w:tblLook w:val="04A0"/>
        </w:tblPrEx>
        <w:trPr>
          <w:trHeight w:val="800"/>
        </w:trPr>
        <w:tc>
          <w:tcPr>
            <w:tcW w:w="600" w:type="dxa"/>
            <w:shd w:val="clear" w:color="auto" w:fill="auto"/>
          </w:tcPr>
          <w:p w:rsidR="009541E6" w:rsidP="004B2999" w14:paraId="2D28F9DA" w14:textId="209C9837">
            <w:pPr>
              <w:rPr>
                <w:sz w:val="20"/>
                <w:szCs w:val="20"/>
              </w:rPr>
            </w:pPr>
            <w:r>
              <w:rPr>
                <w:sz w:val="20"/>
                <w:szCs w:val="20"/>
              </w:rPr>
              <w:t>30</w:t>
            </w:r>
          </w:p>
        </w:tc>
        <w:tc>
          <w:tcPr>
            <w:tcW w:w="4435" w:type="dxa"/>
            <w:shd w:val="clear" w:color="auto" w:fill="auto"/>
          </w:tcPr>
          <w:p w:rsidR="009541E6" w:rsidP="004B2999" w14:paraId="3886DABE" w14:textId="07A71EDE">
            <w:pPr>
              <w:rPr>
                <w:sz w:val="20"/>
                <w:szCs w:val="20"/>
              </w:rPr>
            </w:pPr>
            <w:r>
              <w:rPr>
                <w:sz w:val="20"/>
                <w:szCs w:val="20"/>
              </w:rPr>
              <w:t>Age</w:t>
            </w:r>
          </w:p>
        </w:tc>
        <w:tc>
          <w:tcPr>
            <w:tcW w:w="1575" w:type="dxa"/>
            <w:shd w:val="clear" w:color="auto" w:fill="auto"/>
          </w:tcPr>
          <w:p w:rsidR="009541E6" w:rsidP="004B2999" w14:paraId="28828B15" w14:textId="2D0F3426">
            <w:pPr>
              <w:rPr>
                <w:sz w:val="20"/>
                <w:szCs w:val="20"/>
              </w:rPr>
            </w:pPr>
          </w:p>
        </w:tc>
        <w:tc>
          <w:tcPr>
            <w:tcW w:w="7290" w:type="dxa"/>
            <w:shd w:val="clear" w:color="auto" w:fill="auto"/>
          </w:tcPr>
          <w:p w:rsidR="009541E6" w:rsidP="004B2999" w14:paraId="1504A4E1" w14:textId="082BE3B6">
            <w:pPr>
              <w:rPr>
                <w:sz w:val="20"/>
                <w:szCs w:val="20"/>
              </w:rPr>
            </w:pPr>
            <w:r>
              <w:rPr>
                <w:sz w:val="20"/>
                <w:szCs w:val="20"/>
              </w:rPr>
              <w:t xml:space="preserve">Provides information on the age profile of EV/PHEV registrants and serves as an independent variable when analyzing general EV/PHEV use characteristics and charging behaviors. </w:t>
            </w:r>
          </w:p>
        </w:tc>
      </w:tr>
      <w:tr w14:paraId="1C859B43" w14:textId="6E361B62" w:rsidTr="009541E6">
        <w:tblPrEx>
          <w:tblW w:w="13900" w:type="dxa"/>
          <w:tblLayout w:type="fixed"/>
          <w:tblLook w:val="04A0"/>
        </w:tblPrEx>
        <w:trPr>
          <w:trHeight w:val="809"/>
        </w:trPr>
        <w:tc>
          <w:tcPr>
            <w:tcW w:w="600" w:type="dxa"/>
            <w:shd w:val="clear" w:color="auto" w:fill="auto"/>
          </w:tcPr>
          <w:p w:rsidR="009541E6" w:rsidP="004B2999" w14:paraId="29246059" w14:textId="544E8DC7">
            <w:pPr>
              <w:rPr>
                <w:sz w:val="20"/>
                <w:szCs w:val="20"/>
              </w:rPr>
            </w:pPr>
            <w:r>
              <w:rPr>
                <w:sz w:val="20"/>
                <w:szCs w:val="20"/>
              </w:rPr>
              <w:t>31</w:t>
            </w:r>
          </w:p>
        </w:tc>
        <w:tc>
          <w:tcPr>
            <w:tcW w:w="4435" w:type="dxa"/>
            <w:shd w:val="clear" w:color="auto" w:fill="auto"/>
          </w:tcPr>
          <w:p w:rsidR="009541E6" w:rsidP="004B2999" w14:paraId="1A078245" w14:textId="5CE166B2">
            <w:pPr>
              <w:rPr>
                <w:sz w:val="20"/>
                <w:szCs w:val="20"/>
              </w:rPr>
            </w:pPr>
            <w:r>
              <w:rPr>
                <w:sz w:val="20"/>
                <w:szCs w:val="20"/>
              </w:rPr>
              <w:t>Income</w:t>
            </w:r>
          </w:p>
        </w:tc>
        <w:tc>
          <w:tcPr>
            <w:tcW w:w="1575" w:type="dxa"/>
            <w:shd w:val="clear" w:color="auto" w:fill="auto"/>
          </w:tcPr>
          <w:p w:rsidR="009541E6" w:rsidP="004B2999" w14:paraId="2D1D45BE" w14:textId="0383E1F0">
            <w:pPr>
              <w:rPr>
                <w:sz w:val="20"/>
                <w:szCs w:val="20"/>
              </w:rPr>
            </w:pPr>
          </w:p>
        </w:tc>
        <w:tc>
          <w:tcPr>
            <w:tcW w:w="7290" w:type="dxa"/>
          </w:tcPr>
          <w:p w:rsidR="009541E6" w:rsidP="004B2999" w14:paraId="2CC58207" w14:textId="2F989308">
            <w:pPr>
              <w:rPr>
                <w:sz w:val="20"/>
                <w:szCs w:val="20"/>
              </w:rPr>
            </w:pPr>
            <w:r w:rsidRPr="7734FFF0">
              <w:rPr>
                <w:sz w:val="20"/>
                <w:szCs w:val="20"/>
              </w:rPr>
              <w:t>Provides information on the income profile of EV/PHEV registrants and serves as an independent variable when analyzing general EV/PHEV use characteristics and charging behaviors (including equity analyses).</w:t>
            </w:r>
          </w:p>
        </w:tc>
      </w:tr>
      <w:tr w14:paraId="75AB5993" w14:textId="301A1119" w:rsidTr="009541E6">
        <w:tblPrEx>
          <w:tblW w:w="13900" w:type="dxa"/>
          <w:tblLayout w:type="fixed"/>
          <w:tblLook w:val="04A0"/>
        </w:tblPrEx>
        <w:trPr>
          <w:trHeight w:val="791"/>
        </w:trPr>
        <w:tc>
          <w:tcPr>
            <w:tcW w:w="600" w:type="dxa"/>
            <w:shd w:val="clear" w:color="auto" w:fill="auto"/>
          </w:tcPr>
          <w:p w:rsidR="005C59EC" w:rsidP="004B2999" w14:paraId="4D5D0316" w14:textId="2EB7D96D">
            <w:pPr>
              <w:rPr>
                <w:sz w:val="20"/>
                <w:szCs w:val="20"/>
              </w:rPr>
            </w:pPr>
            <w:r>
              <w:rPr>
                <w:sz w:val="20"/>
                <w:szCs w:val="20"/>
              </w:rPr>
              <w:t>32</w:t>
            </w:r>
          </w:p>
          <w:p w:rsidR="009541E6" w:rsidP="004B2999" w14:paraId="148E28CD" w14:textId="54FB724E">
            <w:pPr>
              <w:rPr>
                <w:sz w:val="20"/>
                <w:szCs w:val="20"/>
              </w:rPr>
            </w:pPr>
            <w:r>
              <w:rPr>
                <w:sz w:val="20"/>
                <w:szCs w:val="20"/>
              </w:rPr>
              <w:t>33</w:t>
            </w:r>
          </w:p>
        </w:tc>
        <w:tc>
          <w:tcPr>
            <w:tcW w:w="4435" w:type="dxa"/>
            <w:shd w:val="clear" w:color="auto" w:fill="auto"/>
          </w:tcPr>
          <w:p w:rsidR="009541E6" w:rsidP="004B2999" w14:paraId="5AEA63DA" w14:textId="0F8C8955">
            <w:pPr>
              <w:rPr>
                <w:sz w:val="20"/>
                <w:szCs w:val="20"/>
              </w:rPr>
            </w:pPr>
            <w:r>
              <w:rPr>
                <w:sz w:val="20"/>
                <w:szCs w:val="20"/>
              </w:rPr>
              <w:t>Race</w:t>
            </w:r>
            <w:r w:rsidR="002507D3">
              <w:rPr>
                <w:sz w:val="20"/>
                <w:szCs w:val="20"/>
              </w:rPr>
              <w:t xml:space="preserve"> and ethnicity</w:t>
            </w:r>
          </w:p>
        </w:tc>
        <w:tc>
          <w:tcPr>
            <w:tcW w:w="1575" w:type="dxa"/>
            <w:shd w:val="clear" w:color="auto" w:fill="auto"/>
          </w:tcPr>
          <w:p w:rsidR="009541E6" w:rsidP="004B2999" w14:paraId="6D05986E" w14:textId="435D1D3D">
            <w:pPr>
              <w:rPr>
                <w:sz w:val="20"/>
                <w:szCs w:val="20"/>
              </w:rPr>
            </w:pPr>
            <w:r>
              <w:rPr>
                <w:sz w:val="20"/>
                <w:szCs w:val="20"/>
              </w:rPr>
              <w:t>FHWA</w:t>
            </w:r>
          </w:p>
        </w:tc>
        <w:tc>
          <w:tcPr>
            <w:tcW w:w="7290" w:type="dxa"/>
          </w:tcPr>
          <w:p w:rsidR="009541E6" w:rsidP="004B2999" w14:paraId="730EBBA7" w14:textId="175A7BA7">
            <w:pPr>
              <w:rPr>
                <w:sz w:val="20"/>
                <w:szCs w:val="20"/>
              </w:rPr>
            </w:pPr>
            <w:r w:rsidRPr="7734FFF0">
              <w:rPr>
                <w:sz w:val="20"/>
                <w:szCs w:val="20"/>
              </w:rPr>
              <w:t xml:space="preserve">Provides information on the race </w:t>
            </w:r>
            <w:r w:rsidR="002507D3">
              <w:rPr>
                <w:sz w:val="20"/>
                <w:szCs w:val="20"/>
              </w:rPr>
              <w:t xml:space="preserve">and ethnicity </w:t>
            </w:r>
            <w:r w:rsidRPr="7734FFF0">
              <w:rPr>
                <w:sz w:val="20"/>
                <w:szCs w:val="20"/>
              </w:rPr>
              <w:t>profile of EV/PHEV registrants and serves as an independent variable when analyzing general EV/PHEV use characteristics and charging behaviors (including equity analyses).</w:t>
            </w:r>
          </w:p>
        </w:tc>
      </w:tr>
      <w:tr w14:paraId="67178A63" w14:textId="1741F220" w:rsidTr="009541E6">
        <w:tblPrEx>
          <w:tblW w:w="13900" w:type="dxa"/>
          <w:tblLayout w:type="fixed"/>
          <w:tblLook w:val="04A0"/>
        </w:tblPrEx>
        <w:tc>
          <w:tcPr>
            <w:tcW w:w="600" w:type="dxa"/>
            <w:shd w:val="clear" w:color="auto" w:fill="auto"/>
          </w:tcPr>
          <w:p w:rsidR="009541E6" w:rsidP="004B2999" w14:paraId="0423D7BB" w14:textId="0CA661F9">
            <w:pPr>
              <w:rPr>
                <w:sz w:val="20"/>
                <w:szCs w:val="20"/>
              </w:rPr>
            </w:pPr>
            <w:r>
              <w:rPr>
                <w:sz w:val="20"/>
                <w:szCs w:val="20"/>
              </w:rPr>
              <w:t>3</w:t>
            </w:r>
            <w:r w:rsidR="008C3F47">
              <w:rPr>
                <w:sz w:val="20"/>
                <w:szCs w:val="20"/>
              </w:rPr>
              <w:t>4</w:t>
            </w:r>
          </w:p>
        </w:tc>
        <w:tc>
          <w:tcPr>
            <w:tcW w:w="4435" w:type="dxa"/>
            <w:shd w:val="clear" w:color="auto" w:fill="auto"/>
          </w:tcPr>
          <w:p w:rsidR="009541E6" w:rsidP="004B2999" w14:paraId="23D20B18" w14:textId="5F77369D">
            <w:pPr>
              <w:rPr>
                <w:sz w:val="20"/>
                <w:szCs w:val="20"/>
              </w:rPr>
            </w:pPr>
            <w:r>
              <w:rPr>
                <w:sz w:val="20"/>
                <w:szCs w:val="20"/>
              </w:rPr>
              <w:t>Disability license plate or placard</w:t>
            </w:r>
          </w:p>
        </w:tc>
        <w:tc>
          <w:tcPr>
            <w:tcW w:w="1575" w:type="dxa"/>
            <w:shd w:val="clear" w:color="auto" w:fill="auto"/>
          </w:tcPr>
          <w:p w:rsidR="009541E6" w:rsidP="004B2999" w14:paraId="4C005AC7" w14:textId="75223E44">
            <w:pPr>
              <w:rPr>
                <w:sz w:val="20"/>
                <w:szCs w:val="20"/>
              </w:rPr>
            </w:pPr>
          </w:p>
        </w:tc>
        <w:tc>
          <w:tcPr>
            <w:tcW w:w="7290" w:type="dxa"/>
          </w:tcPr>
          <w:p w:rsidR="009541E6" w:rsidP="004B2999" w14:paraId="57F28439" w14:textId="5838C7A2">
            <w:pPr>
              <w:rPr>
                <w:sz w:val="20"/>
                <w:szCs w:val="20"/>
              </w:rPr>
            </w:pPr>
            <w:r>
              <w:rPr>
                <w:sz w:val="20"/>
                <w:szCs w:val="20"/>
              </w:rPr>
              <w:t xml:space="preserve">Provides information on the disability profile of EV/PHEV registrants and informs efforts of the </w:t>
            </w:r>
            <w:r w:rsidRPr="008668F3">
              <w:rPr>
                <w:sz w:val="20"/>
                <w:szCs w:val="20"/>
              </w:rPr>
              <w:t>US Access board</w:t>
            </w:r>
            <w:r>
              <w:rPr>
                <w:sz w:val="20"/>
                <w:szCs w:val="20"/>
              </w:rPr>
              <w:t xml:space="preserve">, which </w:t>
            </w:r>
            <w:r w:rsidRPr="008668F3">
              <w:rPr>
                <w:sz w:val="20"/>
                <w:szCs w:val="20"/>
              </w:rPr>
              <w:t>is currently working on a rule making about ensuring the accessibility of EV charging stations to those with disabilities.</w:t>
            </w:r>
            <w:r>
              <w:rPr>
                <w:sz w:val="20"/>
                <w:szCs w:val="20"/>
              </w:rPr>
              <w:t xml:space="preserve"> </w:t>
            </w:r>
          </w:p>
        </w:tc>
      </w:tr>
    </w:tbl>
    <w:p w:rsidR="00A970B1" w:rsidP="00A970B1" w14:paraId="654E470A" w14:textId="77777777"/>
    <w:sectPr w:rsidSect="0067295C">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364039"/>
      <w:docPartObj>
        <w:docPartGallery w:val="Page Numbers (Bottom of Page)"/>
        <w:docPartUnique/>
      </w:docPartObj>
    </w:sdtPr>
    <w:sdtEndPr>
      <w:rPr>
        <w:noProof/>
      </w:rPr>
    </w:sdtEndPr>
    <w:sdtContent>
      <w:p w:rsidR="009541E6" w14:paraId="0C658B69" w14:textId="2B33C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541E6" w14:paraId="129C55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10" w:rsidRPr="008C0E10" w14:paraId="54712092" w14:textId="58C46A19">
    <w:pPr>
      <w:pStyle w:val="Header"/>
      <w:rPr>
        <w:b/>
        <w:bCs/>
      </w:rPr>
    </w:pPr>
    <w:r w:rsidRPr="008C0E10">
      <w:rPr>
        <w:b/>
        <w:bCs/>
      </w:rPr>
      <w:t>Electric Vehicle Inventory and Use Survey (eVIUS) – Question Summary and Rationale</w:t>
    </w:r>
  </w:p>
  <w:p w:rsidR="008C0E10" w14:paraId="0B88BE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0D11BB"/>
    <w:multiLevelType w:val="hybridMultilevel"/>
    <w:tmpl w:val="ADC6198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00277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74"/>
    <w:rsid w:val="000069C9"/>
    <w:rsid w:val="00014037"/>
    <w:rsid w:val="00024963"/>
    <w:rsid w:val="000253D5"/>
    <w:rsid w:val="00040585"/>
    <w:rsid w:val="00047133"/>
    <w:rsid w:val="00052C77"/>
    <w:rsid w:val="00096428"/>
    <w:rsid w:val="000A380A"/>
    <w:rsid w:val="000C155F"/>
    <w:rsid w:val="0010173D"/>
    <w:rsid w:val="001207AC"/>
    <w:rsid w:val="00121C0E"/>
    <w:rsid w:val="0014526B"/>
    <w:rsid w:val="00170AD3"/>
    <w:rsid w:val="00176DD5"/>
    <w:rsid w:val="0017760F"/>
    <w:rsid w:val="001A03DA"/>
    <w:rsid w:val="001A1B63"/>
    <w:rsid w:val="001B738F"/>
    <w:rsid w:val="001C0E29"/>
    <w:rsid w:val="001E06E6"/>
    <w:rsid w:val="001E23F9"/>
    <w:rsid w:val="00217D95"/>
    <w:rsid w:val="00233A41"/>
    <w:rsid w:val="00240624"/>
    <w:rsid w:val="002507D3"/>
    <w:rsid w:val="002667CE"/>
    <w:rsid w:val="0027505B"/>
    <w:rsid w:val="002A2983"/>
    <w:rsid w:val="002B1CD8"/>
    <w:rsid w:val="002B30FE"/>
    <w:rsid w:val="002C407B"/>
    <w:rsid w:val="002D1F46"/>
    <w:rsid w:val="002E0862"/>
    <w:rsid w:val="002F0C77"/>
    <w:rsid w:val="002F187B"/>
    <w:rsid w:val="00300575"/>
    <w:rsid w:val="003144C9"/>
    <w:rsid w:val="00365DA9"/>
    <w:rsid w:val="00383867"/>
    <w:rsid w:val="00395DA4"/>
    <w:rsid w:val="003C18A0"/>
    <w:rsid w:val="003C38AC"/>
    <w:rsid w:val="003C739C"/>
    <w:rsid w:val="003E4D80"/>
    <w:rsid w:val="003E7296"/>
    <w:rsid w:val="003F4340"/>
    <w:rsid w:val="0040280F"/>
    <w:rsid w:val="00425BB3"/>
    <w:rsid w:val="0044646E"/>
    <w:rsid w:val="004468A5"/>
    <w:rsid w:val="004474BF"/>
    <w:rsid w:val="00453F3B"/>
    <w:rsid w:val="004620CF"/>
    <w:rsid w:val="0047087B"/>
    <w:rsid w:val="004B2999"/>
    <w:rsid w:val="004F5E7A"/>
    <w:rsid w:val="00520AFA"/>
    <w:rsid w:val="00543403"/>
    <w:rsid w:val="00546BB3"/>
    <w:rsid w:val="00575064"/>
    <w:rsid w:val="00593D2A"/>
    <w:rsid w:val="00594FBA"/>
    <w:rsid w:val="005B02F3"/>
    <w:rsid w:val="005C1976"/>
    <w:rsid w:val="005C59EC"/>
    <w:rsid w:val="005F7C34"/>
    <w:rsid w:val="00627CBA"/>
    <w:rsid w:val="00640110"/>
    <w:rsid w:val="00646AA5"/>
    <w:rsid w:val="00652433"/>
    <w:rsid w:val="006650AF"/>
    <w:rsid w:val="00672659"/>
    <w:rsid w:val="0067295C"/>
    <w:rsid w:val="006742F8"/>
    <w:rsid w:val="00693DFE"/>
    <w:rsid w:val="006A40FB"/>
    <w:rsid w:val="006B082A"/>
    <w:rsid w:val="006D2EC3"/>
    <w:rsid w:val="006E500D"/>
    <w:rsid w:val="00716E99"/>
    <w:rsid w:val="007176AF"/>
    <w:rsid w:val="00717D59"/>
    <w:rsid w:val="00774074"/>
    <w:rsid w:val="007B7BFA"/>
    <w:rsid w:val="0084769F"/>
    <w:rsid w:val="0086132C"/>
    <w:rsid w:val="008622DD"/>
    <w:rsid w:val="008668F3"/>
    <w:rsid w:val="00880B59"/>
    <w:rsid w:val="00897088"/>
    <w:rsid w:val="008C0E10"/>
    <w:rsid w:val="008C25FE"/>
    <w:rsid w:val="008C3F47"/>
    <w:rsid w:val="008E1D32"/>
    <w:rsid w:val="008F1B1A"/>
    <w:rsid w:val="008F71D4"/>
    <w:rsid w:val="00903FCB"/>
    <w:rsid w:val="009046C9"/>
    <w:rsid w:val="00915B2B"/>
    <w:rsid w:val="00920538"/>
    <w:rsid w:val="009541E6"/>
    <w:rsid w:val="00956301"/>
    <w:rsid w:val="00997259"/>
    <w:rsid w:val="009A6AA1"/>
    <w:rsid w:val="009C71C9"/>
    <w:rsid w:val="009D13E2"/>
    <w:rsid w:val="009D2794"/>
    <w:rsid w:val="00A07FFB"/>
    <w:rsid w:val="00A221F7"/>
    <w:rsid w:val="00A52682"/>
    <w:rsid w:val="00A7259F"/>
    <w:rsid w:val="00A74E58"/>
    <w:rsid w:val="00A765CF"/>
    <w:rsid w:val="00A94881"/>
    <w:rsid w:val="00A970B1"/>
    <w:rsid w:val="00AB3E7A"/>
    <w:rsid w:val="00AB6144"/>
    <w:rsid w:val="00AC433A"/>
    <w:rsid w:val="00AD558D"/>
    <w:rsid w:val="00AF32FE"/>
    <w:rsid w:val="00B12AEA"/>
    <w:rsid w:val="00B14D29"/>
    <w:rsid w:val="00B275BB"/>
    <w:rsid w:val="00B27B9D"/>
    <w:rsid w:val="00B324D3"/>
    <w:rsid w:val="00B3350D"/>
    <w:rsid w:val="00B367AE"/>
    <w:rsid w:val="00B55014"/>
    <w:rsid w:val="00B55CBC"/>
    <w:rsid w:val="00B55DA5"/>
    <w:rsid w:val="00B8082B"/>
    <w:rsid w:val="00BB57AF"/>
    <w:rsid w:val="00C02BF2"/>
    <w:rsid w:val="00C22E69"/>
    <w:rsid w:val="00C36541"/>
    <w:rsid w:val="00C5096F"/>
    <w:rsid w:val="00C67E5F"/>
    <w:rsid w:val="00C922D1"/>
    <w:rsid w:val="00C97204"/>
    <w:rsid w:val="00CA581B"/>
    <w:rsid w:val="00CA6005"/>
    <w:rsid w:val="00CA60CF"/>
    <w:rsid w:val="00CD6678"/>
    <w:rsid w:val="00CE1B66"/>
    <w:rsid w:val="00CE57AA"/>
    <w:rsid w:val="00D25652"/>
    <w:rsid w:val="00D40251"/>
    <w:rsid w:val="00D52C6C"/>
    <w:rsid w:val="00D55BBD"/>
    <w:rsid w:val="00D82F35"/>
    <w:rsid w:val="00D8730E"/>
    <w:rsid w:val="00DA13E1"/>
    <w:rsid w:val="00DA6C6E"/>
    <w:rsid w:val="00DF6CA8"/>
    <w:rsid w:val="00E22350"/>
    <w:rsid w:val="00E31DBF"/>
    <w:rsid w:val="00E36663"/>
    <w:rsid w:val="00E50EB4"/>
    <w:rsid w:val="00E7157C"/>
    <w:rsid w:val="00E72F80"/>
    <w:rsid w:val="00E8012E"/>
    <w:rsid w:val="00ED4BBD"/>
    <w:rsid w:val="00ED5FD5"/>
    <w:rsid w:val="00EE4A0B"/>
    <w:rsid w:val="00EF487A"/>
    <w:rsid w:val="00F2079A"/>
    <w:rsid w:val="00F503D6"/>
    <w:rsid w:val="00F615DE"/>
    <w:rsid w:val="00F64A58"/>
    <w:rsid w:val="00F8574B"/>
    <w:rsid w:val="00F87CE9"/>
    <w:rsid w:val="00FC7487"/>
    <w:rsid w:val="00FE29B3"/>
    <w:rsid w:val="00FE467B"/>
    <w:rsid w:val="03DF4D48"/>
    <w:rsid w:val="06B4F1E5"/>
    <w:rsid w:val="0725BED6"/>
    <w:rsid w:val="0890D59D"/>
    <w:rsid w:val="094FEAF1"/>
    <w:rsid w:val="0E552855"/>
    <w:rsid w:val="10E0A3BC"/>
    <w:rsid w:val="17693998"/>
    <w:rsid w:val="18745D85"/>
    <w:rsid w:val="1A6C2223"/>
    <w:rsid w:val="1D5BEE4D"/>
    <w:rsid w:val="1F744B7D"/>
    <w:rsid w:val="1F8DB7E7"/>
    <w:rsid w:val="1FC78A2D"/>
    <w:rsid w:val="2073E38D"/>
    <w:rsid w:val="21F77432"/>
    <w:rsid w:val="22773408"/>
    <w:rsid w:val="2519C072"/>
    <w:rsid w:val="25765DED"/>
    <w:rsid w:val="28A7C09E"/>
    <w:rsid w:val="2AEA3F51"/>
    <w:rsid w:val="2B409F48"/>
    <w:rsid w:val="2D728C10"/>
    <w:rsid w:val="2D816FD2"/>
    <w:rsid w:val="2E10A77A"/>
    <w:rsid w:val="2F87D468"/>
    <w:rsid w:val="344466C0"/>
    <w:rsid w:val="3717791F"/>
    <w:rsid w:val="381C2D62"/>
    <w:rsid w:val="3DDC6876"/>
    <w:rsid w:val="3E363A3A"/>
    <w:rsid w:val="41C6C37F"/>
    <w:rsid w:val="4575DAD0"/>
    <w:rsid w:val="49A6A909"/>
    <w:rsid w:val="4C0B83A2"/>
    <w:rsid w:val="4C96AD35"/>
    <w:rsid w:val="4D9AEC40"/>
    <w:rsid w:val="50BB66C8"/>
    <w:rsid w:val="50E8212A"/>
    <w:rsid w:val="513F4650"/>
    <w:rsid w:val="522FE041"/>
    <w:rsid w:val="52785E33"/>
    <w:rsid w:val="53837D1E"/>
    <w:rsid w:val="53E9F834"/>
    <w:rsid w:val="5C94CD13"/>
    <w:rsid w:val="5CDE355F"/>
    <w:rsid w:val="5DA16582"/>
    <w:rsid w:val="5E61BBBB"/>
    <w:rsid w:val="5FAA2CB8"/>
    <w:rsid w:val="5FAE3C92"/>
    <w:rsid w:val="6170D4FA"/>
    <w:rsid w:val="65DED1F2"/>
    <w:rsid w:val="6C1C1CBC"/>
    <w:rsid w:val="6D0A6C0D"/>
    <w:rsid w:val="70D466E3"/>
    <w:rsid w:val="7479F1F5"/>
    <w:rsid w:val="7734FFF0"/>
    <w:rsid w:val="7B9EC292"/>
    <w:rsid w:val="7E207CE3"/>
    <w:rsid w:val="7EBC4D8F"/>
    <w:rsid w:val="7F70CA90"/>
    <w:rsid w:val="7F8E2F17"/>
    <w:rsid w:val="7FF6D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9C46F7"/>
  <w15:chartTrackingRefBased/>
  <w15:docId w15:val="{06A42372-D74A-458F-8385-005761D8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1B1A"/>
    <w:rPr>
      <w:sz w:val="16"/>
      <w:szCs w:val="16"/>
    </w:rPr>
  </w:style>
  <w:style w:type="paragraph" w:styleId="CommentText">
    <w:name w:val="annotation text"/>
    <w:basedOn w:val="Normal"/>
    <w:link w:val="CommentTextChar"/>
    <w:uiPriority w:val="99"/>
    <w:unhideWhenUsed/>
    <w:rsid w:val="008F1B1A"/>
    <w:pPr>
      <w:spacing w:line="240" w:lineRule="auto"/>
    </w:pPr>
    <w:rPr>
      <w:sz w:val="20"/>
      <w:szCs w:val="20"/>
    </w:rPr>
  </w:style>
  <w:style w:type="character" w:customStyle="1" w:styleId="CommentTextChar">
    <w:name w:val="Comment Text Char"/>
    <w:basedOn w:val="DefaultParagraphFont"/>
    <w:link w:val="CommentText"/>
    <w:uiPriority w:val="99"/>
    <w:rsid w:val="008F1B1A"/>
    <w:rPr>
      <w:sz w:val="20"/>
      <w:szCs w:val="20"/>
    </w:rPr>
  </w:style>
  <w:style w:type="paragraph" w:styleId="CommentSubject">
    <w:name w:val="annotation subject"/>
    <w:basedOn w:val="CommentText"/>
    <w:next w:val="CommentText"/>
    <w:link w:val="CommentSubjectChar"/>
    <w:uiPriority w:val="99"/>
    <w:semiHidden/>
    <w:unhideWhenUsed/>
    <w:rsid w:val="008F1B1A"/>
    <w:rPr>
      <w:b/>
      <w:bCs/>
    </w:rPr>
  </w:style>
  <w:style w:type="character" w:customStyle="1" w:styleId="CommentSubjectChar">
    <w:name w:val="Comment Subject Char"/>
    <w:basedOn w:val="CommentTextChar"/>
    <w:link w:val="CommentSubject"/>
    <w:uiPriority w:val="99"/>
    <w:semiHidden/>
    <w:rsid w:val="008F1B1A"/>
    <w:rPr>
      <w:b/>
      <w:bCs/>
      <w:sz w:val="20"/>
      <w:szCs w:val="20"/>
    </w:rPr>
  </w:style>
  <w:style w:type="paragraph" w:styleId="Header">
    <w:name w:val="header"/>
    <w:basedOn w:val="Normal"/>
    <w:link w:val="HeaderChar"/>
    <w:uiPriority w:val="99"/>
    <w:unhideWhenUsed/>
    <w:rsid w:val="008C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E10"/>
  </w:style>
  <w:style w:type="paragraph" w:styleId="Footer">
    <w:name w:val="footer"/>
    <w:basedOn w:val="Normal"/>
    <w:link w:val="FooterChar"/>
    <w:uiPriority w:val="99"/>
    <w:unhideWhenUsed/>
    <w:rsid w:val="008C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E10"/>
  </w:style>
  <w:style w:type="paragraph" w:styleId="Revision">
    <w:name w:val="Revision"/>
    <w:hidden/>
    <w:uiPriority w:val="99"/>
    <w:semiHidden/>
    <w:rsid w:val="00383867"/>
    <w:pPr>
      <w:spacing w:after="0" w:line="240" w:lineRule="auto"/>
    </w:pPr>
  </w:style>
  <w:style w:type="paragraph" w:styleId="ListParagraph">
    <w:name w:val="List Paragraph"/>
    <w:basedOn w:val="Normal"/>
    <w:uiPriority w:val="34"/>
    <w:qFormat/>
    <w:rsid w:val="007B7BFA"/>
    <w:pPr>
      <w:ind w:left="720"/>
      <w:contextualSpacing/>
    </w:pPr>
  </w:style>
  <w:style w:type="paragraph" w:customStyle="1" w:styleId="paragraph">
    <w:name w:val="paragraph"/>
    <w:basedOn w:val="Normal"/>
    <w:rsid w:val="00176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6DD5"/>
  </w:style>
  <w:style w:type="character" w:customStyle="1" w:styleId="eop">
    <w:name w:val="eop"/>
    <w:basedOn w:val="DefaultParagraphFont"/>
    <w:rsid w:val="00176DD5"/>
  </w:style>
  <w:style w:type="character" w:customStyle="1" w:styleId="spellingerror">
    <w:name w:val="spellingerror"/>
    <w:basedOn w:val="DefaultParagraphFont"/>
    <w:rsid w:val="00CE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7468E-C2B8-4EDC-BA9C-FD97C28E2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03C88-BA41-4EB3-B8F7-4A3D313695AD}">
  <ds:schemaRefs>
    <ds:schemaRef ds:uri="http://schemas.microsoft.com/sharepoint/v3/contenttype/forms"/>
  </ds:schemaRefs>
</ds:datastoreItem>
</file>

<file path=customXml/itemProps3.xml><?xml version="1.0" encoding="utf-8"?>
<ds:datastoreItem xmlns:ds="http://schemas.openxmlformats.org/officeDocument/2006/customXml" ds:itemID="{12FD02D2-3E01-4175-9805-F0F5B9210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Chajka-Cadin, Lora (Volpe)</dc:creator>
  <cp:lastModifiedBy>Webb, Kimberly (OST)</cp:lastModifiedBy>
  <cp:revision>2</cp:revision>
  <dcterms:created xsi:type="dcterms:W3CDTF">2023-10-23T17:49:00Z</dcterms:created>
  <dcterms:modified xsi:type="dcterms:W3CDTF">2023-10-23T17:49:00Z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ies>
</file>