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5843" w:rsidRPr="00495D35" w:rsidP="00495D35" w14:paraId="7FF80B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495D35">
        <w:rPr>
          <w:b/>
          <w:sz w:val="24"/>
          <w:szCs w:val="24"/>
        </w:rPr>
        <w:t>Supporting Statement for</w:t>
      </w:r>
    </w:p>
    <w:p w:rsidR="001A78B3" w:rsidRPr="00495D35" w:rsidP="00495D35" w14:paraId="69D0C0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495D35">
        <w:rPr>
          <w:b/>
          <w:sz w:val="24"/>
          <w:szCs w:val="24"/>
        </w:rPr>
        <w:t>Ginnie Mae Multiclass Securities Program Documents</w:t>
      </w:r>
    </w:p>
    <w:p w:rsidR="008D0EFE" w:rsidRPr="00495D35" w:rsidP="00495D35" w14:paraId="087C30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495D35">
        <w:rPr>
          <w:b/>
          <w:sz w:val="24"/>
          <w:szCs w:val="24"/>
        </w:rPr>
        <w:t>OMB #2503-0030</w:t>
      </w:r>
    </w:p>
    <w:p w:rsidR="001A78B3" w:rsidRPr="00495D35" w:rsidP="00495D35" w14:paraId="1F58749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b/>
          <w:sz w:val="18"/>
        </w:rPr>
      </w:pPr>
    </w:p>
    <w:p w:rsidR="001A78B3" w:rsidRPr="00145843" w:rsidP="00495D35" w14:paraId="1F7DBB05" w14:textId="77777777">
      <w:pPr>
        <w:pStyle w:val="NoSpacing"/>
        <w:jc w:val="both"/>
        <w:rPr>
          <w:sz w:val="24"/>
          <w:szCs w:val="24"/>
        </w:rPr>
      </w:pPr>
      <w:r w:rsidRPr="00145843">
        <w:rPr>
          <w:sz w:val="24"/>
          <w:szCs w:val="24"/>
        </w:rPr>
        <w:t>A.    Justification</w:t>
      </w:r>
    </w:p>
    <w:p w:rsidR="001A78B3" w:rsidRPr="00145843" w:rsidP="00495D35" w14:paraId="357C7374" w14:textId="77777777">
      <w:pPr>
        <w:pStyle w:val="NoSpacing"/>
        <w:jc w:val="both"/>
        <w:rPr>
          <w:sz w:val="24"/>
          <w:szCs w:val="24"/>
        </w:rPr>
      </w:pPr>
    </w:p>
    <w:p w:rsidR="00145843" w:rsidRPr="00145843" w:rsidP="00495D35" w14:paraId="0265EB4E" w14:textId="77777777">
      <w:pPr>
        <w:pStyle w:val="NoSpacing"/>
        <w:numPr>
          <w:ilvl w:val="0"/>
          <w:numId w:val="25"/>
        </w:numPr>
        <w:jc w:val="both"/>
        <w:rPr>
          <w:b/>
          <w:sz w:val="24"/>
          <w:szCs w:val="24"/>
        </w:rPr>
      </w:pPr>
      <w:r w:rsidRPr="00145843">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45843" w:rsidP="00495D35" w14:paraId="1B00D1BA" w14:textId="77777777">
      <w:pPr>
        <w:pStyle w:val="NoSpacing"/>
        <w:ind w:left="1080"/>
        <w:jc w:val="both"/>
        <w:rPr>
          <w:sz w:val="24"/>
          <w:szCs w:val="24"/>
        </w:rPr>
      </w:pPr>
    </w:p>
    <w:p w:rsidR="00145843" w:rsidP="00495D35" w14:paraId="097A7D81" w14:textId="77777777">
      <w:pPr>
        <w:pStyle w:val="NoSpacing"/>
        <w:ind w:left="1080"/>
        <w:jc w:val="both"/>
        <w:rPr>
          <w:sz w:val="24"/>
          <w:szCs w:val="24"/>
        </w:rPr>
      </w:pPr>
      <w:r w:rsidRPr="00145843">
        <w:rPr>
          <w:sz w:val="24"/>
          <w:szCs w:val="24"/>
        </w:rPr>
        <w:t>This information collection is required in connection with the operation of the Ginnie Mae Multiclass Securities program.  Ginnie Mae’s authority to guarantee multiclass instruments is contained in Section 306(g)(1) of the National Housing Act (“NHA”) (12 U.S.C. Section 1721(g)(1)), which authorizes Ginnie Mae to guarantee “securities…based on or backed by a trust or poo</w:t>
      </w:r>
      <w:r w:rsidRPr="00145843" w:rsidR="00CF57A0">
        <w:rPr>
          <w:sz w:val="24"/>
          <w:szCs w:val="24"/>
        </w:rPr>
        <w:t>l composed of mortgages…”.  Mult</w:t>
      </w:r>
      <w:r w:rsidRPr="00145843">
        <w:rPr>
          <w:sz w:val="24"/>
          <w:szCs w:val="24"/>
        </w:rPr>
        <w:t>iclass securities are backed by Ginnie Mae Single Class securities, which are backed by government insured or guaranteed mortgages.  Ginnie Mae’s authority to operate a Multiclass Securities program is recognized in Section 3004 of the Omnibus Budget Reconciliation Act of 1993 (“OBRA”), which amended Section 306(g)(3) of the NHA (12 U.S.C. Section 1271 (g)(3)) to provide Ginnie Mae with greater flexibility to administer the Multiclass Securities program regarding fee structure, contracting, industry consultation and program implementation.  Congress annually sets Ginnie Mae’s commitment authority to guarantee MBS pursuant to Section 306(g)(2) of the NHA (12 U.S.C. Section 1271 (g)(2)).   Since multiclass securities are backed by Ginnie Mae Single Class MBS, Ginnie Mae has already guaranteed the collateral for the multiclass instruments.</w:t>
      </w:r>
    </w:p>
    <w:p w:rsidR="00145843" w:rsidP="00495D35" w14:paraId="3B2D796F" w14:textId="77777777">
      <w:pPr>
        <w:pStyle w:val="NoSpacing"/>
        <w:ind w:left="1080"/>
        <w:jc w:val="both"/>
        <w:rPr>
          <w:sz w:val="24"/>
          <w:szCs w:val="24"/>
        </w:rPr>
      </w:pPr>
    </w:p>
    <w:p w:rsidR="00145843" w:rsidP="00495D35" w14:paraId="5A985A4F" w14:textId="77777777">
      <w:pPr>
        <w:pStyle w:val="NoSpacing"/>
        <w:ind w:left="1080"/>
        <w:jc w:val="both"/>
        <w:rPr>
          <w:sz w:val="24"/>
          <w:szCs w:val="24"/>
        </w:rPr>
      </w:pPr>
      <w:r w:rsidRPr="00145843">
        <w:rPr>
          <w:sz w:val="24"/>
          <w:szCs w:val="24"/>
        </w:rPr>
        <w:t>The Ginnie Mae Multiclass Securities program consists of Ginnie Mae Real Estate Mortgage Investm</w:t>
      </w:r>
      <w:r w:rsidR="00251CCE">
        <w:rPr>
          <w:sz w:val="24"/>
          <w:szCs w:val="24"/>
        </w:rPr>
        <w:t>ent Conduit (“REMIC”) and Platinum</w:t>
      </w:r>
      <w:r w:rsidRPr="00145843">
        <w:rPr>
          <w:sz w:val="24"/>
          <w:szCs w:val="24"/>
        </w:rPr>
        <w:t>. The Multiclass Securities program provides an important adjunct to Ginnie Mae’s secondary mortgage market activities, allowing the private sector to combine and restructure cash flows from Ginnie Mae MBS into securities that meet unique investor requirements in connection with yield, maturity, and call-option protection.  The intent of the Multiclass Securities program is to increase liquidity in the secondary mortgage market and to attract new sources of capital for federally insured or guaranteed residential loans.  Under this program, Ginnie Mae guarantees, with the full faith and credit of the United States, the timely payment of principal and interes</w:t>
      </w:r>
      <w:r w:rsidR="00251CCE">
        <w:rPr>
          <w:sz w:val="24"/>
          <w:szCs w:val="24"/>
        </w:rPr>
        <w:t>t on Ginnie Mae REMIC and Platinum.</w:t>
      </w:r>
    </w:p>
    <w:p w:rsidR="00145843" w:rsidP="00495D35" w14:paraId="21CD7160" w14:textId="77777777">
      <w:pPr>
        <w:pStyle w:val="NoSpacing"/>
        <w:ind w:left="1080"/>
        <w:jc w:val="both"/>
        <w:rPr>
          <w:sz w:val="24"/>
          <w:szCs w:val="24"/>
        </w:rPr>
      </w:pPr>
    </w:p>
    <w:p w:rsidR="001A78B3" w:rsidRPr="00145843" w:rsidP="00495D35" w14:paraId="61834032" w14:textId="77777777">
      <w:pPr>
        <w:pStyle w:val="NoSpacing"/>
        <w:ind w:left="1080"/>
        <w:jc w:val="both"/>
        <w:rPr>
          <w:sz w:val="24"/>
          <w:szCs w:val="24"/>
        </w:rPr>
      </w:pPr>
      <w:r w:rsidRPr="00145843">
        <w:rPr>
          <w:sz w:val="24"/>
          <w:szCs w:val="24"/>
        </w:rPr>
        <w:t>Ginnie Mae’s powers are prescribed by Title III of the National Housing Act, as amended, 12 U.S.C. 1716, et seq.</w:t>
      </w:r>
    </w:p>
    <w:p w:rsidR="001A78B3" w:rsidRPr="00145843" w:rsidP="00495D35" w14:paraId="0342B395" w14:textId="77777777">
      <w:pPr>
        <w:pStyle w:val="NoSpacing"/>
        <w:jc w:val="both"/>
        <w:rPr>
          <w:sz w:val="24"/>
          <w:szCs w:val="24"/>
        </w:rPr>
      </w:pPr>
    </w:p>
    <w:p w:rsidR="00145843" w:rsidRPr="000F26AF" w:rsidP="00495D35" w14:paraId="30F00072" w14:textId="77777777">
      <w:pPr>
        <w:pStyle w:val="NoSpacing"/>
        <w:numPr>
          <w:ilvl w:val="0"/>
          <w:numId w:val="25"/>
        </w:numPr>
        <w:jc w:val="both"/>
        <w:rPr>
          <w:b/>
          <w:bCs/>
          <w:sz w:val="24"/>
          <w:szCs w:val="24"/>
        </w:rPr>
      </w:pPr>
      <w:r w:rsidRPr="000F26AF">
        <w:rPr>
          <w:b/>
          <w:bCs/>
          <w:sz w:val="24"/>
          <w:szCs w:val="24"/>
        </w:rPr>
        <w:t>Indicate how, by whom and for what purpose the information is to be used.  Except for a new collection, indicate the actual use the agency has made of the information received from the current collection.</w:t>
      </w:r>
    </w:p>
    <w:p w:rsidR="00145843" w:rsidP="00495D35" w14:paraId="024DDA6E" w14:textId="77777777">
      <w:pPr>
        <w:pStyle w:val="NoSpacing"/>
        <w:ind w:left="1080"/>
        <w:jc w:val="both"/>
        <w:rPr>
          <w:sz w:val="24"/>
          <w:szCs w:val="24"/>
        </w:rPr>
      </w:pPr>
    </w:p>
    <w:p w:rsidR="00145843" w:rsidP="00495D35" w14:paraId="7FC15D3D" w14:textId="5D813223">
      <w:pPr>
        <w:pStyle w:val="NoSpacing"/>
        <w:ind w:left="1080"/>
        <w:jc w:val="both"/>
        <w:rPr>
          <w:sz w:val="24"/>
          <w:szCs w:val="24"/>
        </w:rPr>
      </w:pPr>
      <w:r>
        <w:rPr>
          <w:sz w:val="24"/>
          <w:szCs w:val="24"/>
        </w:rPr>
        <w:t xml:space="preserve">This is a revision of a currently approved collection. </w:t>
      </w:r>
      <w:r w:rsidRPr="00145843" w:rsidR="00871B63">
        <w:rPr>
          <w:sz w:val="24"/>
          <w:szCs w:val="24"/>
        </w:rPr>
        <w:t xml:space="preserve">The information provided by the participant will be submitted to Ginnie Mae.  Ginnie Mae requires the information requested </w:t>
      </w:r>
      <w:r w:rsidRPr="00145843" w:rsidR="00871B63">
        <w:rPr>
          <w:sz w:val="24"/>
          <w:szCs w:val="24"/>
        </w:rPr>
        <w:t>in order to</w:t>
      </w:r>
      <w:r w:rsidRPr="00145843" w:rsidR="00871B63">
        <w:rPr>
          <w:sz w:val="24"/>
          <w:szCs w:val="24"/>
        </w:rPr>
        <w:t xml:space="preserve"> ensure the financial integrity of the program</w:t>
      </w:r>
      <w:r w:rsidR="005E2A4E">
        <w:rPr>
          <w:sz w:val="24"/>
          <w:szCs w:val="24"/>
        </w:rPr>
        <w:t>.</w:t>
      </w:r>
    </w:p>
    <w:p w:rsidR="00145843" w:rsidP="00495D35" w14:paraId="3822DE9B" w14:textId="77777777">
      <w:pPr>
        <w:pStyle w:val="NoSpacing"/>
        <w:ind w:left="1080"/>
        <w:jc w:val="both"/>
        <w:rPr>
          <w:sz w:val="24"/>
          <w:szCs w:val="24"/>
        </w:rPr>
      </w:pPr>
    </w:p>
    <w:p w:rsidR="00145843" w:rsidP="00495D35" w14:paraId="2CC2AB03" w14:textId="77777777">
      <w:pPr>
        <w:pStyle w:val="NoSpacing"/>
        <w:ind w:left="1080"/>
        <w:jc w:val="both"/>
        <w:rPr>
          <w:sz w:val="24"/>
          <w:szCs w:val="24"/>
        </w:rPr>
      </w:pPr>
      <w:r w:rsidRPr="00145843">
        <w:rPr>
          <w:sz w:val="24"/>
          <w:szCs w:val="24"/>
        </w:rPr>
        <w:t>Respondents/entities are mortgage companies, large banks, savings and loans and broker dealers.</w:t>
      </w:r>
      <w:r>
        <w:rPr>
          <w:sz w:val="24"/>
          <w:szCs w:val="24"/>
        </w:rPr>
        <w:t xml:space="preserve">  </w:t>
      </w:r>
    </w:p>
    <w:p w:rsidR="00145843" w:rsidP="00495D35" w14:paraId="43276F9A" w14:textId="77777777">
      <w:pPr>
        <w:pStyle w:val="NoSpacing"/>
        <w:ind w:left="1080"/>
        <w:jc w:val="both"/>
        <w:rPr>
          <w:sz w:val="24"/>
          <w:szCs w:val="24"/>
        </w:rPr>
      </w:pPr>
    </w:p>
    <w:p w:rsidR="00145843" w:rsidP="00495D35" w14:paraId="72834561" w14:textId="60F1A892">
      <w:pPr>
        <w:pStyle w:val="NoSpacing"/>
        <w:ind w:left="1080"/>
        <w:jc w:val="both"/>
        <w:rPr>
          <w:sz w:val="24"/>
          <w:szCs w:val="24"/>
        </w:rPr>
      </w:pPr>
      <w:r w:rsidRPr="00145843">
        <w:rPr>
          <w:sz w:val="24"/>
          <w:szCs w:val="24"/>
        </w:rPr>
        <w:t xml:space="preserve">Participants are required to complete Ginnie Mae Multiclass Securities program transaction documents, which warrant compliance with the Ginnie Mae Multiclass Securities Guide in effect as of the date of the Ginnie Mae guaranty is placed on the security.  </w:t>
      </w:r>
    </w:p>
    <w:p w:rsidR="001977C4" w:rsidP="00495D35" w14:paraId="3706BDED" w14:textId="77777777">
      <w:pPr>
        <w:pStyle w:val="NoSpacing"/>
        <w:ind w:left="1080"/>
        <w:jc w:val="both"/>
        <w:rPr>
          <w:sz w:val="24"/>
          <w:szCs w:val="24"/>
        </w:rPr>
      </w:pPr>
    </w:p>
    <w:p w:rsidR="00145843" w:rsidP="00495D35" w14:paraId="3109A12F" w14:textId="77777777">
      <w:pPr>
        <w:pStyle w:val="NoSpacing"/>
        <w:ind w:left="1080"/>
        <w:jc w:val="both"/>
        <w:rPr>
          <w:sz w:val="24"/>
          <w:szCs w:val="24"/>
        </w:rPr>
      </w:pPr>
      <w:r w:rsidRPr="00145843">
        <w:rPr>
          <w:sz w:val="24"/>
          <w:szCs w:val="24"/>
        </w:rPr>
        <w:t>Ginnie Mae requires information from entities that wish to participate as sponsor, co-sponsor, accountant, trust counsel, co-trust counsel, and trustee.  Each participant is required to execute certification and agreement documents and Ginnie Mae Multiclass Securities program transaction documents.</w:t>
      </w:r>
    </w:p>
    <w:p w:rsidR="00145843" w:rsidP="00495D35" w14:paraId="59796728" w14:textId="77777777">
      <w:pPr>
        <w:pStyle w:val="NoSpacing"/>
        <w:ind w:left="1080"/>
        <w:jc w:val="both"/>
        <w:rPr>
          <w:sz w:val="24"/>
          <w:szCs w:val="24"/>
        </w:rPr>
      </w:pPr>
    </w:p>
    <w:p w:rsidR="00145843" w:rsidP="00495D35" w14:paraId="217756A1" w14:textId="77777777">
      <w:pPr>
        <w:pStyle w:val="NoSpacing"/>
        <w:ind w:left="1080"/>
        <w:jc w:val="both"/>
        <w:rPr>
          <w:bCs/>
          <w:sz w:val="24"/>
          <w:szCs w:val="24"/>
        </w:rPr>
      </w:pPr>
      <w:r w:rsidRPr="00145843">
        <w:rPr>
          <w:bCs/>
          <w:sz w:val="24"/>
          <w:szCs w:val="24"/>
        </w:rPr>
        <w:t>Each participant is required to annually certify that neither the participant nor any employee, partner or officer working on the Ginnie Mae Multiclass Securities program has been convicted or found liable in the following:  a civil action; fraud; forgery; bribery; falsification or destruction of records, making false statements that indicate a lack of business integrity; and has not been debarred by a state or the Federal government.</w:t>
      </w:r>
    </w:p>
    <w:p w:rsidR="00145843" w:rsidP="00495D35" w14:paraId="7A4323F2" w14:textId="77777777">
      <w:pPr>
        <w:pStyle w:val="NoSpacing"/>
        <w:ind w:left="1080"/>
        <w:jc w:val="both"/>
        <w:rPr>
          <w:bCs/>
          <w:sz w:val="24"/>
          <w:szCs w:val="24"/>
        </w:rPr>
      </w:pPr>
    </w:p>
    <w:p w:rsidR="00145843" w:rsidRPr="00145843" w:rsidP="00495D35" w14:paraId="7CC6E35C" w14:textId="77777777">
      <w:pPr>
        <w:pStyle w:val="NoSpacing"/>
        <w:numPr>
          <w:ilvl w:val="0"/>
          <w:numId w:val="25"/>
        </w:numPr>
        <w:jc w:val="both"/>
        <w:rPr>
          <w:b/>
          <w:sz w:val="24"/>
          <w:szCs w:val="24"/>
        </w:rPr>
      </w:pPr>
      <w:r w:rsidRPr="00145843">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45843" w:rsidP="00495D35" w14:paraId="750D48B7" w14:textId="77777777">
      <w:pPr>
        <w:pStyle w:val="NoSpacing"/>
        <w:ind w:left="1080"/>
        <w:jc w:val="both"/>
        <w:rPr>
          <w:sz w:val="24"/>
          <w:szCs w:val="24"/>
        </w:rPr>
      </w:pPr>
    </w:p>
    <w:p w:rsidR="00145843" w:rsidP="00495D35" w14:paraId="19AB7DE8" w14:textId="3DA336FF">
      <w:pPr>
        <w:pStyle w:val="NoSpacing"/>
        <w:ind w:left="1080"/>
        <w:jc w:val="both"/>
        <w:rPr>
          <w:sz w:val="24"/>
          <w:szCs w:val="24"/>
        </w:rPr>
      </w:pPr>
      <w:r w:rsidRPr="002A16AE">
        <w:rPr>
          <w:sz w:val="24"/>
          <w:szCs w:val="24"/>
        </w:rPr>
        <w:t>With respect to the processes that are</w:t>
      </w:r>
      <w:r w:rsidRPr="002A16AE" w:rsidR="00003A21">
        <w:rPr>
          <w:sz w:val="24"/>
          <w:szCs w:val="24"/>
        </w:rPr>
        <w:t xml:space="preserve"> used to collect and analyze </w:t>
      </w:r>
      <w:r w:rsidRPr="002A16AE">
        <w:rPr>
          <w:sz w:val="24"/>
          <w:szCs w:val="24"/>
        </w:rPr>
        <w:t xml:space="preserve">data, some functions have been automated where there is a large amount of data being collected and analyzed.  Information collected in the form of legal agreements and documents </w:t>
      </w:r>
      <w:r w:rsidRPr="002A16AE" w:rsidR="00003A21">
        <w:rPr>
          <w:sz w:val="24"/>
          <w:szCs w:val="24"/>
        </w:rPr>
        <w:t xml:space="preserve">requiring </w:t>
      </w:r>
      <w:r w:rsidR="00BA477B">
        <w:rPr>
          <w:sz w:val="24"/>
          <w:szCs w:val="24"/>
        </w:rPr>
        <w:t xml:space="preserve">signatures </w:t>
      </w:r>
      <w:r w:rsidR="00A74FB9">
        <w:rPr>
          <w:sz w:val="24"/>
          <w:szCs w:val="24"/>
        </w:rPr>
        <w:t>is</w:t>
      </w:r>
      <w:r w:rsidR="008C7614">
        <w:rPr>
          <w:sz w:val="24"/>
          <w:szCs w:val="24"/>
        </w:rPr>
        <w:t xml:space="preserve"> completed </w:t>
      </w:r>
      <w:r w:rsidRPr="002A16AE" w:rsidR="002A16AE">
        <w:rPr>
          <w:sz w:val="24"/>
          <w:szCs w:val="24"/>
        </w:rPr>
        <w:t>electronic</w:t>
      </w:r>
      <w:r w:rsidR="008C7614">
        <w:rPr>
          <w:sz w:val="24"/>
          <w:szCs w:val="24"/>
        </w:rPr>
        <w:t xml:space="preserve">ally </w:t>
      </w:r>
      <w:r w:rsidRPr="002A16AE" w:rsidR="002A16AE">
        <w:rPr>
          <w:sz w:val="24"/>
          <w:szCs w:val="24"/>
        </w:rPr>
        <w:t>via DocuSign</w:t>
      </w:r>
      <w:r w:rsidRPr="002A16AE">
        <w:rPr>
          <w:sz w:val="24"/>
          <w:szCs w:val="24"/>
        </w:rPr>
        <w:t xml:space="preserve">.  </w:t>
      </w:r>
    </w:p>
    <w:p w:rsidR="00145843" w:rsidP="00495D35" w14:paraId="6309F6A2" w14:textId="77777777">
      <w:pPr>
        <w:pStyle w:val="NoSpacing"/>
        <w:ind w:left="1080"/>
        <w:jc w:val="both"/>
        <w:rPr>
          <w:sz w:val="24"/>
          <w:szCs w:val="24"/>
        </w:rPr>
      </w:pPr>
    </w:p>
    <w:p w:rsidR="00145843" w:rsidP="00495D35" w14:paraId="10479E63" w14:textId="77777777">
      <w:pPr>
        <w:pStyle w:val="NoSpacing"/>
        <w:numPr>
          <w:ilvl w:val="0"/>
          <w:numId w:val="25"/>
        </w:numPr>
        <w:jc w:val="both"/>
        <w:rPr>
          <w:sz w:val="24"/>
          <w:szCs w:val="24"/>
        </w:rPr>
      </w:pPr>
      <w:r w:rsidRPr="00145843">
        <w:rPr>
          <w:b/>
          <w:sz w:val="24"/>
          <w:szCs w:val="24"/>
        </w:rPr>
        <w:t>Describe efforts to identify duplication.  Show specifically why any similar information already available cannot be used or modified for use for the purposes described in Item 2 above</w:t>
      </w:r>
      <w:r w:rsidRPr="00145843">
        <w:rPr>
          <w:sz w:val="24"/>
          <w:szCs w:val="24"/>
        </w:rPr>
        <w:t>.</w:t>
      </w:r>
    </w:p>
    <w:p w:rsidR="00145843" w:rsidP="00495D35" w14:paraId="26940745" w14:textId="77777777">
      <w:pPr>
        <w:pStyle w:val="NoSpacing"/>
        <w:ind w:left="1080"/>
        <w:jc w:val="both"/>
        <w:rPr>
          <w:sz w:val="24"/>
          <w:szCs w:val="24"/>
        </w:rPr>
      </w:pPr>
    </w:p>
    <w:p w:rsidR="00145843" w:rsidP="00495D35" w14:paraId="17E7AA9A" w14:textId="77777777">
      <w:pPr>
        <w:pStyle w:val="NoSpacing"/>
        <w:ind w:left="1080"/>
        <w:jc w:val="both"/>
        <w:rPr>
          <w:sz w:val="24"/>
          <w:szCs w:val="24"/>
        </w:rPr>
      </w:pPr>
      <w:r w:rsidRPr="00145843">
        <w:rPr>
          <w:sz w:val="24"/>
          <w:szCs w:val="24"/>
        </w:rPr>
        <w:t>There is no duplication of information, nor is there similar information available.</w:t>
      </w:r>
    </w:p>
    <w:p w:rsidR="00145843" w:rsidP="00495D35" w14:paraId="2D8882D4" w14:textId="77777777">
      <w:pPr>
        <w:pStyle w:val="NoSpacing"/>
        <w:ind w:left="1080"/>
        <w:jc w:val="both"/>
        <w:rPr>
          <w:sz w:val="24"/>
          <w:szCs w:val="24"/>
        </w:rPr>
      </w:pPr>
    </w:p>
    <w:p w:rsidR="00145843" w:rsidRPr="00145843" w:rsidP="00495D35" w14:paraId="690FD149" w14:textId="77777777">
      <w:pPr>
        <w:pStyle w:val="NoSpacing"/>
        <w:numPr>
          <w:ilvl w:val="0"/>
          <w:numId w:val="25"/>
        </w:numPr>
        <w:jc w:val="both"/>
        <w:rPr>
          <w:b/>
          <w:sz w:val="24"/>
          <w:szCs w:val="24"/>
        </w:rPr>
      </w:pPr>
      <w:r w:rsidRPr="00145843">
        <w:rPr>
          <w:b/>
          <w:sz w:val="24"/>
          <w:szCs w:val="24"/>
        </w:rPr>
        <w:t>If the collection of information impacts small businesses or other small entities (Item 5 of OMB Form 83-I) describe any methods used to minimize burden.</w:t>
      </w:r>
    </w:p>
    <w:p w:rsidR="00145843" w:rsidP="00495D35" w14:paraId="1EDCC84B" w14:textId="77777777">
      <w:pPr>
        <w:pStyle w:val="NoSpacing"/>
        <w:ind w:left="1080"/>
        <w:jc w:val="both"/>
        <w:rPr>
          <w:sz w:val="24"/>
          <w:szCs w:val="24"/>
        </w:rPr>
      </w:pPr>
    </w:p>
    <w:p w:rsidR="00145843" w:rsidP="00495D35" w14:paraId="16FCB8DE" w14:textId="77777777">
      <w:pPr>
        <w:pStyle w:val="NoSpacing"/>
        <w:ind w:left="1080"/>
        <w:jc w:val="both"/>
        <w:rPr>
          <w:sz w:val="24"/>
          <w:szCs w:val="24"/>
        </w:rPr>
      </w:pPr>
      <w:r w:rsidRPr="00145843">
        <w:rPr>
          <w:sz w:val="24"/>
          <w:szCs w:val="24"/>
        </w:rPr>
        <w:t xml:space="preserve">Ginnie Mae has attempted to minimize the burden on participants by requiring a minimal amount of information to be collected </w:t>
      </w:r>
      <w:r w:rsidRPr="00145843">
        <w:rPr>
          <w:sz w:val="24"/>
          <w:szCs w:val="24"/>
        </w:rPr>
        <w:t>in order to</w:t>
      </w:r>
      <w:r w:rsidRPr="00145843">
        <w:rPr>
          <w:sz w:val="24"/>
          <w:szCs w:val="24"/>
        </w:rPr>
        <w:t xml:space="preserve"> ensure the integrity of its Multiclass Securities program.</w:t>
      </w:r>
      <w:r>
        <w:rPr>
          <w:sz w:val="24"/>
          <w:szCs w:val="24"/>
        </w:rPr>
        <w:t xml:space="preserve"> </w:t>
      </w:r>
    </w:p>
    <w:p w:rsidR="00145843" w:rsidP="00495D35" w14:paraId="784CEB65" w14:textId="77777777">
      <w:pPr>
        <w:pStyle w:val="NoSpacing"/>
        <w:ind w:left="1080"/>
        <w:jc w:val="both"/>
        <w:rPr>
          <w:sz w:val="24"/>
          <w:szCs w:val="24"/>
        </w:rPr>
      </w:pPr>
    </w:p>
    <w:p w:rsidR="00145843" w:rsidP="00495D35" w14:paraId="39EF7E39" w14:textId="77777777">
      <w:pPr>
        <w:pStyle w:val="NoSpacing"/>
        <w:numPr>
          <w:ilvl w:val="0"/>
          <w:numId w:val="25"/>
        </w:numPr>
        <w:jc w:val="both"/>
        <w:rPr>
          <w:sz w:val="24"/>
          <w:szCs w:val="24"/>
        </w:rPr>
      </w:pPr>
      <w:r w:rsidRPr="00145843">
        <w:rPr>
          <w:b/>
          <w:sz w:val="24"/>
          <w:szCs w:val="24"/>
        </w:rPr>
        <w:t>Describe the consequence to Federal program or policy activities if the collection is not conducted or is conducted less frequently, as well as any technical or legal obstacles to reducing burden</w:t>
      </w:r>
      <w:r w:rsidRPr="00145843">
        <w:rPr>
          <w:sz w:val="24"/>
          <w:szCs w:val="24"/>
        </w:rPr>
        <w:t>.</w:t>
      </w:r>
    </w:p>
    <w:p w:rsidR="00145843" w:rsidP="00495D35" w14:paraId="33CA265A" w14:textId="77777777">
      <w:pPr>
        <w:pStyle w:val="NoSpacing"/>
        <w:ind w:left="1080"/>
        <w:jc w:val="both"/>
        <w:rPr>
          <w:sz w:val="24"/>
          <w:szCs w:val="24"/>
        </w:rPr>
      </w:pPr>
    </w:p>
    <w:p w:rsidR="00145843" w:rsidP="00495D35" w14:paraId="6D2E15C5" w14:textId="77777777">
      <w:pPr>
        <w:pStyle w:val="NoSpacing"/>
        <w:ind w:left="1080"/>
        <w:jc w:val="both"/>
        <w:rPr>
          <w:sz w:val="24"/>
          <w:szCs w:val="24"/>
        </w:rPr>
      </w:pPr>
      <w:r w:rsidRPr="00145843">
        <w:rPr>
          <w:sz w:val="24"/>
          <w:szCs w:val="24"/>
        </w:rPr>
        <w:t>The financial integrity of the Multiclass Securities program is at risk if the information is not collected.  There are no legal obstacles in reducing the burden.</w:t>
      </w:r>
    </w:p>
    <w:p w:rsidR="00BB7CD5" w:rsidP="00495D35" w14:paraId="330FE50E" w14:textId="77777777">
      <w:pPr>
        <w:pStyle w:val="NoSpacing"/>
        <w:ind w:left="1080"/>
        <w:jc w:val="both"/>
        <w:rPr>
          <w:sz w:val="24"/>
          <w:szCs w:val="24"/>
        </w:rPr>
      </w:pPr>
    </w:p>
    <w:p w:rsidR="00145843" w:rsidRPr="00145843" w:rsidP="00495D35" w14:paraId="0FE5D6D7" w14:textId="77777777">
      <w:pPr>
        <w:pStyle w:val="NoSpacing"/>
        <w:numPr>
          <w:ilvl w:val="0"/>
          <w:numId w:val="25"/>
        </w:numPr>
        <w:jc w:val="both"/>
        <w:rPr>
          <w:b/>
          <w:bCs/>
          <w:sz w:val="24"/>
          <w:szCs w:val="24"/>
        </w:rPr>
      </w:pPr>
      <w:r w:rsidRPr="00145843">
        <w:rPr>
          <w:b/>
          <w:bCs/>
          <w:sz w:val="24"/>
          <w:szCs w:val="24"/>
        </w:rPr>
        <w:t xml:space="preserve">Explain any special circumstances that would cause an information collection to be conducted in a manner: </w:t>
      </w:r>
    </w:p>
    <w:p w:rsidR="00145843" w:rsidP="00495D35" w14:paraId="7F6FB99D" w14:textId="77777777">
      <w:pPr>
        <w:pStyle w:val="NoSpacing"/>
        <w:ind w:left="1080"/>
        <w:jc w:val="both"/>
        <w:rPr>
          <w:bCs/>
          <w:sz w:val="24"/>
          <w:szCs w:val="24"/>
        </w:rPr>
      </w:pPr>
    </w:p>
    <w:p w:rsidR="00145B2B" w:rsidRPr="000F26AF" w:rsidP="00495D35" w14:paraId="7C30AF1F" w14:textId="77777777">
      <w:pPr>
        <w:pStyle w:val="NoSpacing"/>
        <w:numPr>
          <w:ilvl w:val="0"/>
          <w:numId w:val="26"/>
        </w:numPr>
        <w:ind w:left="1440"/>
        <w:jc w:val="both"/>
        <w:rPr>
          <w:sz w:val="24"/>
          <w:szCs w:val="24"/>
        </w:rPr>
      </w:pPr>
      <w:r w:rsidRPr="000F26AF">
        <w:rPr>
          <w:sz w:val="24"/>
          <w:szCs w:val="24"/>
        </w:rPr>
        <w:t>requiring respondents to report information to the agency more than quarterly;</w:t>
      </w:r>
      <w:r w:rsidRPr="000F26AF" w:rsidR="00677B24">
        <w:rPr>
          <w:sz w:val="24"/>
          <w:szCs w:val="24"/>
        </w:rPr>
        <w:t xml:space="preserve"> </w:t>
      </w:r>
      <w:r w:rsidRPr="000F26AF" w:rsidR="00677B24">
        <w:rPr>
          <w:b/>
          <w:bCs/>
          <w:sz w:val="24"/>
          <w:szCs w:val="24"/>
        </w:rPr>
        <w:t>N/A</w:t>
      </w:r>
    </w:p>
    <w:p w:rsidR="00145843" w:rsidRPr="000F26AF" w:rsidP="00495D35" w14:paraId="72BB3876" w14:textId="77777777">
      <w:pPr>
        <w:pStyle w:val="NoSpacing"/>
        <w:numPr>
          <w:ilvl w:val="0"/>
          <w:numId w:val="26"/>
        </w:numPr>
        <w:ind w:left="1440"/>
        <w:jc w:val="both"/>
        <w:rPr>
          <w:sz w:val="24"/>
          <w:szCs w:val="24"/>
        </w:rPr>
      </w:pPr>
      <w:r w:rsidRPr="000F26AF">
        <w:rPr>
          <w:sz w:val="24"/>
          <w:szCs w:val="24"/>
        </w:rPr>
        <w:t xml:space="preserve">requiring respondents to prepare a written response to a collection of information in fewer than 30 days after receipt of </w:t>
      </w:r>
      <w:r w:rsidRPr="000F26AF">
        <w:rPr>
          <w:sz w:val="24"/>
          <w:szCs w:val="24"/>
        </w:rPr>
        <w:t>it;</w:t>
      </w:r>
      <w:r w:rsidRPr="000F26AF">
        <w:rPr>
          <w:sz w:val="24"/>
          <w:szCs w:val="24"/>
        </w:rPr>
        <w:t xml:space="preserve"> </w:t>
      </w:r>
      <w:r w:rsidRPr="000F26AF" w:rsidR="00677B24">
        <w:rPr>
          <w:b/>
          <w:bCs/>
          <w:sz w:val="24"/>
          <w:szCs w:val="24"/>
        </w:rPr>
        <w:t>N/A</w:t>
      </w:r>
    </w:p>
    <w:p w:rsidR="00145843" w:rsidRPr="000F26AF" w:rsidP="00495D35" w14:paraId="1371FEFB" w14:textId="77777777">
      <w:pPr>
        <w:pStyle w:val="NoSpacing"/>
        <w:numPr>
          <w:ilvl w:val="0"/>
          <w:numId w:val="26"/>
        </w:numPr>
        <w:tabs>
          <w:tab w:val="left" w:pos="1440"/>
        </w:tabs>
        <w:ind w:left="1440"/>
        <w:jc w:val="both"/>
        <w:rPr>
          <w:sz w:val="24"/>
          <w:szCs w:val="24"/>
        </w:rPr>
      </w:pPr>
      <w:r w:rsidRPr="000F26AF">
        <w:rPr>
          <w:sz w:val="24"/>
          <w:szCs w:val="24"/>
        </w:rPr>
        <w:t xml:space="preserve">requiring respondents to submit more than an original and two copies of any </w:t>
      </w:r>
      <w:r w:rsidRPr="000F26AF">
        <w:rPr>
          <w:sz w:val="24"/>
          <w:szCs w:val="24"/>
        </w:rPr>
        <w:t>document;</w:t>
      </w:r>
      <w:r w:rsidRPr="000F26AF">
        <w:rPr>
          <w:sz w:val="24"/>
          <w:szCs w:val="24"/>
        </w:rPr>
        <w:t xml:space="preserve"> </w:t>
      </w:r>
      <w:r w:rsidRPr="000F26AF" w:rsidR="00677B24">
        <w:rPr>
          <w:b/>
          <w:bCs/>
          <w:sz w:val="24"/>
          <w:szCs w:val="24"/>
        </w:rPr>
        <w:t>N/A</w:t>
      </w:r>
    </w:p>
    <w:p w:rsidR="00145843" w:rsidRPr="000F26AF" w:rsidP="00495D35" w14:paraId="174F9D41" w14:textId="77777777">
      <w:pPr>
        <w:pStyle w:val="NoSpacing"/>
        <w:numPr>
          <w:ilvl w:val="0"/>
          <w:numId w:val="26"/>
        </w:numPr>
        <w:ind w:left="1440"/>
        <w:jc w:val="both"/>
        <w:rPr>
          <w:sz w:val="24"/>
          <w:szCs w:val="24"/>
        </w:rPr>
      </w:pPr>
      <w:r w:rsidRPr="000F26AF">
        <w:rPr>
          <w:sz w:val="24"/>
          <w:szCs w:val="24"/>
        </w:rPr>
        <w:t xml:space="preserve">requiring respondents to retain records other than health, medical, government contract, grant-in-aid, or tax records for more than three years; </w:t>
      </w:r>
      <w:r w:rsidRPr="000F26AF" w:rsidR="00677B24">
        <w:rPr>
          <w:b/>
          <w:bCs/>
          <w:sz w:val="24"/>
          <w:szCs w:val="24"/>
        </w:rPr>
        <w:t>N/A</w:t>
      </w:r>
    </w:p>
    <w:p w:rsidR="00145843" w:rsidRPr="000F26AF" w:rsidP="00495D35" w14:paraId="645097AF" w14:textId="77777777">
      <w:pPr>
        <w:pStyle w:val="NoSpacing"/>
        <w:numPr>
          <w:ilvl w:val="0"/>
          <w:numId w:val="26"/>
        </w:numPr>
        <w:ind w:left="1440"/>
        <w:jc w:val="both"/>
        <w:rPr>
          <w:sz w:val="24"/>
          <w:szCs w:val="24"/>
        </w:rPr>
      </w:pPr>
      <w:r w:rsidRPr="000F26AF">
        <w:rPr>
          <w:sz w:val="24"/>
          <w:szCs w:val="24"/>
        </w:rPr>
        <w:t xml:space="preserve">in connection with a statistical survey, that is not designed to produce valid and reliable results than can be generalized to the universe of study; </w:t>
      </w:r>
      <w:r w:rsidRPr="000F26AF" w:rsidR="00677B24">
        <w:rPr>
          <w:b/>
          <w:bCs/>
          <w:sz w:val="24"/>
          <w:szCs w:val="24"/>
        </w:rPr>
        <w:t>N/A</w:t>
      </w:r>
    </w:p>
    <w:p w:rsidR="00145843" w:rsidRPr="000F26AF" w:rsidP="00495D35" w14:paraId="02D802F3" w14:textId="77777777">
      <w:pPr>
        <w:pStyle w:val="NoSpacing"/>
        <w:numPr>
          <w:ilvl w:val="0"/>
          <w:numId w:val="26"/>
        </w:numPr>
        <w:ind w:left="1440"/>
        <w:jc w:val="both"/>
        <w:rPr>
          <w:sz w:val="24"/>
          <w:szCs w:val="24"/>
        </w:rPr>
      </w:pPr>
      <w:r w:rsidRPr="000F26AF">
        <w:rPr>
          <w:sz w:val="24"/>
          <w:szCs w:val="24"/>
        </w:rPr>
        <w:t xml:space="preserve">requiring the use of a statistical data classification that has not been reviewed and approved by OMB; </w:t>
      </w:r>
      <w:r w:rsidRPr="000F26AF" w:rsidR="00677B24">
        <w:rPr>
          <w:b/>
          <w:bCs/>
          <w:sz w:val="24"/>
          <w:szCs w:val="24"/>
        </w:rPr>
        <w:t>N/A</w:t>
      </w:r>
    </w:p>
    <w:p w:rsidR="00145843" w:rsidRPr="000F26AF" w:rsidP="00495D35" w14:paraId="33F5C6BF" w14:textId="77777777">
      <w:pPr>
        <w:pStyle w:val="NoSpacing"/>
        <w:numPr>
          <w:ilvl w:val="0"/>
          <w:numId w:val="26"/>
        </w:numPr>
        <w:ind w:left="1440"/>
        <w:jc w:val="both"/>
        <w:rPr>
          <w:sz w:val="24"/>
          <w:szCs w:val="24"/>
        </w:rPr>
      </w:pPr>
      <w:r w:rsidRPr="000F26AF">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0F26AF" w:rsidR="00677B24">
        <w:rPr>
          <w:b/>
          <w:bCs/>
          <w:sz w:val="24"/>
          <w:szCs w:val="24"/>
        </w:rPr>
        <w:t>N/A</w:t>
      </w:r>
    </w:p>
    <w:p w:rsidR="00145843" w:rsidRPr="000F26AF" w:rsidP="00495D35" w14:paraId="76D65624" w14:textId="77777777">
      <w:pPr>
        <w:pStyle w:val="NoSpacing"/>
        <w:numPr>
          <w:ilvl w:val="0"/>
          <w:numId w:val="26"/>
        </w:numPr>
        <w:ind w:left="1440"/>
        <w:jc w:val="both"/>
        <w:rPr>
          <w:sz w:val="24"/>
          <w:szCs w:val="24"/>
        </w:rPr>
      </w:pPr>
      <w:r w:rsidRPr="000F26AF">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0F26AF" w:rsidR="00677B24">
        <w:rPr>
          <w:sz w:val="24"/>
          <w:szCs w:val="24"/>
        </w:rPr>
        <w:t xml:space="preserve"> </w:t>
      </w:r>
      <w:r w:rsidRPr="000F26AF" w:rsidR="00677B24">
        <w:rPr>
          <w:b/>
          <w:bCs/>
          <w:sz w:val="24"/>
          <w:szCs w:val="24"/>
        </w:rPr>
        <w:t>N/A</w:t>
      </w:r>
    </w:p>
    <w:p w:rsidR="00145843" w:rsidP="00495D35" w14:paraId="17B3A23C" w14:textId="77777777">
      <w:pPr>
        <w:pStyle w:val="NoSpacing"/>
        <w:ind w:left="1080"/>
        <w:jc w:val="both"/>
        <w:rPr>
          <w:bCs/>
          <w:sz w:val="24"/>
          <w:szCs w:val="24"/>
        </w:rPr>
      </w:pPr>
    </w:p>
    <w:p w:rsidR="00145843" w:rsidP="00495D35" w14:paraId="616394B6" w14:textId="31F2CBB0">
      <w:pPr>
        <w:pStyle w:val="NoSpacing"/>
        <w:ind w:left="1080"/>
        <w:jc w:val="both"/>
        <w:rPr>
          <w:sz w:val="24"/>
          <w:szCs w:val="24"/>
        </w:rPr>
      </w:pPr>
      <w:r w:rsidRPr="00145843">
        <w:rPr>
          <w:sz w:val="24"/>
          <w:szCs w:val="24"/>
        </w:rPr>
        <w:t xml:space="preserve">There are no circumstances that would cause this information collection to be conducted in a manner inconsistent with the guidelines </w:t>
      </w:r>
      <w:r w:rsidRPr="0061749F">
        <w:rPr>
          <w:sz w:val="24"/>
          <w:szCs w:val="24"/>
        </w:rPr>
        <w:t xml:space="preserve">in </w:t>
      </w:r>
      <w:r w:rsidRPr="0061749F" w:rsidR="00A81D42">
        <w:rPr>
          <w:sz w:val="24"/>
          <w:szCs w:val="24"/>
        </w:rPr>
        <w:t xml:space="preserve">5 </w:t>
      </w:r>
      <w:r w:rsidRPr="0061749F">
        <w:rPr>
          <w:sz w:val="24"/>
          <w:szCs w:val="24"/>
        </w:rPr>
        <w:t>CFR 1320.6</w:t>
      </w:r>
      <w:r w:rsidRPr="00145843">
        <w:rPr>
          <w:sz w:val="24"/>
          <w:szCs w:val="24"/>
        </w:rPr>
        <w:t>.  Participants are required to submit the collections of inform</w:t>
      </w:r>
      <w:r w:rsidR="00251CCE">
        <w:rPr>
          <w:sz w:val="24"/>
          <w:szCs w:val="24"/>
        </w:rPr>
        <w:t xml:space="preserve">ation for the Ginnie Mae REMIC and </w:t>
      </w:r>
      <w:r w:rsidRPr="00145843">
        <w:rPr>
          <w:sz w:val="24"/>
          <w:szCs w:val="24"/>
        </w:rPr>
        <w:t xml:space="preserve">Platinum programs as deals are made.  The frequency per year is determined by the number of deals that are made between the sponsor and trustee.  These transactions require separate documents for each deal, thus the need to submit documents more than quarterly.  Participants in the REMIC program </w:t>
      </w:r>
      <w:r w:rsidRPr="00145843">
        <w:rPr>
          <w:sz w:val="24"/>
          <w:szCs w:val="24"/>
        </w:rPr>
        <w:t>do</w:t>
      </w:r>
      <w:r w:rsidRPr="00145843">
        <w:rPr>
          <w:sz w:val="24"/>
          <w:szCs w:val="24"/>
        </w:rPr>
        <w:t xml:space="preserve"> an average of </w:t>
      </w:r>
      <w:r w:rsidR="00904E27">
        <w:rPr>
          <w:sz w:val="24"/>
          <w:szCs w:val="24"/>
        </w:rPr>
        <w:t>25</w:t>
      </w:r>
      <w:r w:rsidRPr="00145843" w:rsidR="00904E27">
        <w:rPr>
          <w:sz w:val="24"/>
          <w:szCs w:val="24"/>
        </w:rPr>
        <w:t xml:space="preserve"> </w:t>
      </w:r>
      <w:r w:rsidRPr="00145843">
        <w:rPr>
          <w:sz w:val="24"/>
          <w:szCs w:val="24"/>
        </w:rPr>
        <w:t xml:space="preserve">deals per year, participants in the Platinum program do </w:t>
      </w:r>
      <w:r w:rsidR="00251CCE">
        <w:rPr>
          <w:sz w:val="24"/>
          <w:szCs w:val="24"/>
        </w:rPr>
        <w:t xml:space="preserve">an average of </w:t>
      </w:r>
      <w:r w:rsidR="00904E27">
        <w:rPr>
          <w:sz w:val="24"/>
          <w:szCs w:val="24"/>
        </w:rPr>
        <w:t xml:space="preserve">70 </w:t>
      </w:r>
      <w:r w:rsidR="00251CCE">
        <w:rPr>
          <w:sz w:val="24"/>
          <w:szCs w:val="24"/>
        </w:rPr>
        <w:t>deals per year</w:t>
      </w:r>
      <w:r w:rsidR="00E131CA">
        <w:rPr>
          <w:sz w:val="24"/>
          <w:szCs w:val="24"/>
        </w:rPr>
        <w:t>.</w:t>
      </w:r>
    </w:p>
    <w:p w:rsidR="00145843" w:rsidP="00495D35" w14:paraId="444CFDCE" w14:textId="77777777">
      <w:pPr>
        <w:pStyle w:val="NoSpacing"/>
        <w:ind w:left="1080"/>
        <w:jc w:val="both"/>
        <w:rPr>
          <w:sz w:val="24"/>
          <w:szCs w:val="24"/>
        </w:rPr>
      </w:pPr>
    </w:p>
    <w:p w:rsidR="001A78B3" w:rsidRPr="00677B24" w:rsidP="00495D35" w14:paraId="58B1B30F" w14:textId="77777777">
      <w:pPr>
        <w:pStyle w:val="NoSpacing"/>
        <w:numPr>
          <w:ilvl w:val="0"/>
          <w:numId w:val="25"/>
        </w:numPr>
        <w:jc w:val="both"/>
        <w:rPr>
          <w:b/>
          <w:bCs/>
          <w:sz w:val="24"/>
          <w:szCs w:val="24"/>
        </w:rPr>
      </w:pPr>
      <w:r w:rsidRPr="00677B24">
        <w:rPr>
          <w:b/>
          <w:bCs/>
          <w:sz w:val="24"/>
          <w:szCs w:val="24"/>
        </w:rPr>
        <w:t xml:space="preserve">If applicable, provide a copy and identify the date and page number of </w:t>
      </w:r>
      <w:r w:rsidRPr="00677B24" w:rsidR="007E7CF1">
        <w:rPr>
          <w:b/>
          <w:bCs/>
          <w:sz w:val="24"/>
          <w:szCs w:val="24"/>
        </w:rPr>
        <w:t>publications</w:t>
      </w:r>
      <w:r w:rsidRPr="00677B24">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1A78B3" w:rsidRPr="00145843" w:rsidP="00495D35" w14:paraId="342F1D84" w14:textId="77777777">
      <w:pPr>
        <w:pStyle w:val="NoSpacing"/>
        <w:jc w:val="both"/>
        <w:rPr>
          <w:bCs/>
          <w:sz w:val="24"/>
          <w:szCs w:val="24"/>
        </w:rPr>
      </w:pPr>
    </w:p>
    <w:p w:rsidR="00145B2B" w:rsidP="00495D35" w14:paraId="0E8C2D58" w14:textId="77777777">
      <w:pPr>
        <w:pStyle w:val="NoSpacing"/>
        <w:ind w:left="1080"/>
        <w:jc w:val="both"/>
        <w:rPr>
          <w:sz w:val="24"/>
          <w:szCs w:val="24"/>
        </w:rPr>
      </w:pPr>
      <w:r w:rsidRPr="00145843">
        <w:rPr>
          <w:sz w:val="24"/>
          <w:szCs w:val="24"/>
        </w:rPr>
        <w:t xml:space="preserve">Consultations were made with the participants and Ginnie Mae’s financial advisors </w:t>
      </w:r>
      <w:r w:rsidR="007E7CF1">
        <w:rPr>
          <w:sz w:val="24"/>
          <w:szCs w:val="24"/>
        </w:rPr>
        <w:t xml:space="preserve">and the public </w:t>
      </w:r>
      <w:r w:rsidRPr="00145843">
        <w:rPr>
          <w:sz w:val="24"/>
          <w:szCs w:val="24"/>
        </w:rPr>
        <w:t>on the information collection.  Comments and suggestions are also considered through the 60-day comment period after publication of this collection of information in the Federal Register</w:t>
      </w:r>
      <w:r w:rsidR="007E7CF1">
        <w:rPr>
          <w:sz w:val="24"/>
          <w:szCs w:val="24"/>
        </w:rPr>
        <w:t>, dated June 20, 2023, Vol. 88, No. 117.</w:t>
      </w:r>
    </w:p>
    <w:p w:rsidR="00145B2B" w:rsidP="00495D35" w14:paraId="32B43B06" w14:textId="77777777">
      <w:pPr>
        <w:pStyle w:val="NoSpacing"/>
        <w:ind w:left="1080"/>
        <w:jc w:val="both"/>
        <w:rPr>
          <w:sz w:val="24"/>
          <w:szCs w:val="24"/>
        </w:rPr>
      </w:pPr>
    </w:p>
    <w:p w:rsidR="00145B2B" w:rsidP="00495D35" w14:paraId="4749158B" w14:textId="77777777">
      <w:pPr>
        <w:pStyle w:val="NoSpacing"/>
        <w:numPr>
          <w:ilvl w:val="0"/>
          <w:numId w:val="25"/>
        </w:numPr>
        <w:jc w:val="both"/>
        <w:rPr>
          <w:sz w:val="24"/>
          <w:szCs w:val="24"/>
        </w:rPr>
      </w:pPr>
      <w:r w:rsidRPr="00677B24">
        <w:rPr>
          <w:b/>
          <w:sz w:val="24"/>
          <w:szCs w:val="24"/>
        </w:rPr>
        <w:t>Explain any decision to provide any payment or gif</w:t>
      </w:r>
      <w:r w:rsidRPr="00677B24" w:rsidR="00DC16BD">
        <w:rPr>
          <w:b/>
          <w:sz w:val="24"/>
          <w:szCs w:val="24"/>
        </w:rPr>
        <w:t>t to respondents, other than re-</w:t>
      </w:r>
      <w:r w:rsidRPr="00677B24">
        <w:rPr>
          <w:b/>
          <w:sz w:val="24"/>
          <w:szCs w:val="24"/>
        </w:rPr>
        <w:t>numeration of contractors or grantees</w:t>
      </w:r>
      <w:r w:rsidRPr="00145B2B">
        <w:rPr>
          <w:sz w:val="24"/>
          <w:szCs w:val="24"/>
        </w:rPr>
        <w:t>.</w:t>
      </w:r>
    </w:p>
    <w:p w:rsidR="00145B2B" w:rsidP="00495D35" w14:paraId="59CC5075" w14:textId="77777777">
      <w:pPr>
        <w:pStyle w:val="NoSpacing"/>
        <w:ind w:left="1080"/>
        <w:jc w:val="both"/>
        <w:rPr>
          <w:sz w:val="24"/>
          <w:szCs w:val="24"/>
        </w:rPr>
      </w:pPr>
    </w:p>
    <w:p w:rsidR="00145B2B" w:rsidP="00495D35" w14:paraId="0E3785FA" w14:textId="77777777">
      <w:pPr>
        <w:pStyle w:val="NoSpacing"/>
        <w:ind w:left="1080"/>
        <w:jc w:val="both"/>
        <w:rPr>
          <w:sz w:val="24"/>
          <w:szCs w:val="24"/>
        </w:rPr>
      </w:pPr>
      <w:r w:rsidRPr="00145B2B">
        <w:rPr>
          <w:sz w:val="24"/>
          <w:szCs w:val="24"/>
        </w:rPr>
        <w:t>The collection of this information does not provide payment or gift to respondents, other than remuneration.</w:t>
      </w:r>
    </w:p>
    <w:p w:rsidR="00145B2B" w:rsidP="00495D35" w14:paraId="031B89C3" w14:textId="77777777">
      <w:pPr>
        <w:pStyle w:val="NoSpacing"/>
        <w:ind w:left="1080"/>
        <w:jc w:val="both"/>
        <w:rPr>
          <w:sz w:val="24"/>
          <w:szCs w:val="24"/>
        </w:rPr>
      </w:pPr>
    </w:p>
    <w:p w:rsidR="00145B2B" w:rsidRPr="00677B24" w:rsidP="00495D35" w14:paraId="0A36923A" w14:textId="77777777">
      <w:pPr>
        <w:pStyle w:val="NoSpacing"/>
        <w:numPr>
          <w:ilvl w:val="0"/>
          <w:numId w:val="25"/>
        </w:numPr>
        <w:jc w:val="both"/>
        <w:rPr>
          <w:b/>
          <w:sz w:val="24"/>
          <w:szCs w:val="24"/>
        </w:rPr>
      </w:pPr>
      <w:r w:rsidRPr="00677B24">
        <w:rPr>
          <w:b/>
          <w:sz w:val="24"/>
          <w:szCs w:val="24"/>
        </w:rPr>
        <w:t xml:space="preserve">Describe any assurance of confidentiality provided to respondents and the basis for assurance in statute, </w:t>
      </w:r>
      <w:r w:rsidRPr="00677B24">
        <w:rPr>
          <w:b/>
          <w:sz w:val="24"/>
          <w:szCs w:val="24"/>
        </w:rPr>
        <w:t>regulation</w:t>
      </w:r>
      <w:r w:rsidRPr="00677B24">
        <w:rPr>
          <w:b/>
          <w:sz w:val="24"/>
          <w:szCs w:val="24"/>
        </w:rPr>
        <w:t xml:space="preserve"> or agency policy.</w:t>
      </w:r>
      <w:r w:rsidR="0042457F">
        <w:rPr>
          <w:b/>
          <w:sz w:val="24"/>
          <w:szCs w:val="24"/>
        </w:rPr>
        <w:t xml:space="preserve">  If the collection requires a </w:t>
      </w:r>
      <w:r w:rsidR="0042457F">
        <w:rPr>
          <w:b/>
          <w:sz w:val="24"/>
          <w:szCs w:val="24"/>
        </w:rPr>
        <w:t>systems of records notice (SORN)</w:t>
      </w:r>
      <w:r w:rsidR="0042457F">
        <w:rPr>
          <w:b/>
          <w:sz w:val="24"/>
          <w:szCs w:val="24"/>
        </w:rPr>
        <w:t xml:space="preserve"> or privacy impact assessment (PIA), those should be cited and described here.</w:t>
      </w:r>
    </w:p>
    <w:p w:rsidR="00145B2B" w:rsidP="00495D35" w14:paraId="6A946241" w14:textId="77777777">
      <w:pPr>
        <w:pStyle w:val="NoSpacing"/>
        <w:ind w:left="1080"/>
        <w:jc w:val="both"/>
        <w:rPr>
          <w:sz w:val="24"/>
          <w:szCs w:val="24"/>
        </w:rPr>
      </w:pPr>
    </w:p>
    <w:p w:rsidR="00145B2B" w:rsidP="00495D35" w14:paraId="598A57BD" w14:textId="77777777">
      <w:pPr>
        <w:pStyle w:val="NoSpacing"/>
        <w:ind w:left="1080"/>
        <w:jc w:val="both"/>
        <w:rPr>
          <w:sz w:val="24"/>
          <w:szCs w:val="24"/>
        </w:rPr>
      </w:pPr>
      <w:r w:rsidRPr="00145843">
        <w:rPr>
          <w:sz w:val="24"/>
          <w:szCs w:val="24"/>
        </w:rPr>
        <w:t>No assurances of confidentiality are provided.</w:t>
      </w:r>
    </w:p>
    <w:p w:rsidR="00145B2B" w:rsidP="00495D35" w14:paraId="2B54DEBB" w14:textId="77777777">
      <w:pPr>
        <w:pStyle w:val="NoSpacing"/>
        <w:ind w:left="1080"/>
        <w:jc w:val="both"/>
        <w:rPr>
          <w:sz w:val="24"/>
          <w:szCs w:val="24"/>
        </w:rPr>
      </w:pPr>
    </w:p>
    <w:p w:rsidR="00145B2B" w:rsidP="00495D35" w14:paraId="71F16314" w14:textId="77777777">
      <w:pPr>
        <w:pStyle w:val="NoSpacing"/>
        <w:numPr>
          <w:ilvl w:val="0"/>
          <w:numId w:val="25"/>
        </w:numPr>
        <w:jc w:val="both"/>
        <w:rPr>
          <w:sz w:val="24"/>
          <w:szCs w:val="24"/>
        </w:rPr>
      </w:pPr>
      <w:r w:rsidRPr="00677B24">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45843">
        <w:rPr>
          <w:sz w:val="24"/>
          <w:szCs w:val="24"/>
        </w:rPr>
        <w:t>.</w:t>
      </w:r>
    </w:p>
    <w:p w:rsidR="00145B2B" w:rsidP="00495D35" w14:paraId="5472EA7A" w14:textId="77777777">
      <w:pPr>
        <w:pStyle w:val="NoSpacing"/>
        <w:ind w:left="1080"/>
        <w:jc w:val="both"/>
        <w:rPr>
          <w:sz w:val="24"/>
          <w:szCs w:val="24"/>
        </w:rPr>
      </w:pPr>
    </w:p>
    <w:p w:rsidR="00145B2B" w:rsidP="00495D35" w14:paraId="579A4008" w14:textId="77777777">
      <w:pPr>
        <w:pStyle w:val="NoSpacing"/>
        <w:ind w:left="1080"/>
        <w:jc w:val="both"/>
        <w:rPr>
          <w:sz w:val="24"/>
          <w:szCs w:val="24"/>
        </w:rPr>
      </w:pPr>
      <w:r w:rsidRPr="00145843">
        <w:rPr>
          <w:sz w:val="24"/>
          <w:szCs w:val="24"/>
        </w:rPr>
        <w:t>There is no sensitive information required in the application process.</w:t>
      </w:r>
    </w:p>
    <w:p w:rsidR="00145B2B" w:rsidP="00495D35" w14:paraId="53975A75" w14:textId="77777777">
      <w:pPr>
        <w:pStyle w:val="NoSpacing"/>
        <w:ind w:left="1080"/>
        <w:jc w:val="both"/>
        <w:rPr>
          <w:sz w:val="24"/>
          <w:szCs w:val="24"/>
        </w:rPr>
      </w:pPr>
    </w:p>
    <w:p w:rsidR="00326B41" w:rsidP="00495D35" w14:paraId="197233C2" w14:textId="77777777">
      <w:pPr>
        <w:pStyle w:val="NoSpacing"/>
        <w:ind w:left="1080"/>
        <w:jc w:val="both"/>
        <w:rPr>
          <w:sz w:val="24"/>
          <w:szCs w:val="24"/>
        </w:rPr>
      </w:pPr>
    </w:p>
    <w:p w:rsidR="00326B41" w:rsidP="00495D35" w14:paraId="0828AD8F" w14:textId="77777777">
      <w:pPr>
        <w:pStyle w:val="NoSpacing"/>
        <w:ind w:left="1080"/>
        <w:jc w:val="both"/>
        <w:rPr>
          <w:sz w:val="24"/>
          <w:szCs w:val="24"/>
        </w:rPr>
      </w:pPr>
    </w:p>
    <w:p w:rsidR="00326B41" w:rsidP="00495D35" w14:paraId="0CE378D0" w14:textId="77777777">
      <w:pPr>
        <w:pStyle w:val="NoSpacing"/>
        <w:ind w:left="1080"/>
        <w:jc w:val="both"/>
        <w:rPr>
          <w:sz w:val="24"/>
          <w:szCs w:val="24"/>
        </w:rPr>
      </w:pPr>
    </w:p>
    <w:p w:rsidR="00145B2B" w:rsidRPr="00677B24" w:rsidP="00495D35" w14:paraId="70761564" w14:textId="77777777">
      <w:pPr>
        <w:pStyle w:val="NoSpacing"/>
        <w:numPr>
          <w:ilvl w:val="0"/>
          <w:numId w:val="25"/>
        </w:numPr>
        <w:jc w:val="both"/>
        <w:rPr>
          <w:b/>
          <w:bCs/>
          <w:sz w:val="24"/>
          <w:szCs w:val="24"/>
        </w:rPr>
      </w:pPr>
      <w:r w:rsidRPr="00677B24">
        <w:rPr>
          <w:b/>
          <w:bCs/>
          <w:sz w:val="24"/>
          <w:szCs w:val="24"/>
        </w:rPr>
        <w:t>Provide estimates of the hour burden of the collection of information.  The statement should:</w:t>
      </w:r>
    </w:p>
    <w:p w:rsidR="00145B2B" w:rsidRPr="00677B24" w:rsidP="00495D35" w14:paraId="7D1F83D4" w14:textId="77777777">
      <w:pPr>
        <w:pStyle w:val="NoSpacing"/>
        <w:ind w:left="1080"/>
        <w:jc w:val="both"/>
        <w:rPr>
          <w:b/>
          <w:bCs/>
          <w:sz w:val="24"/>
          <w:szCs w:val="24"/>
        </w:rPr>
      </w:pPr>
    </w:p>
    <w:p w:rsidR="001A78B3" w:rsidRPr="00677B24" w:rsidP="00495D35" w14:paraId="3D114870" w14:textId="77777777">
      <w:pPr>
        <w:pStyle w:val="NoSpacing"/>
        <w:numPr>
          <w:ilvl w:val="0"/>
          <w:numId w:val="28"/>
        </w:numPr>
        <w:jc w:val="both"/>
        <w:rPr>
          <w:b/>
          <w:bCs/>
          <w:sz w:val="24"/>
          <w:szCs w:val="24"/>
        </w:rPr>
      </w:pPr>
      <w:r w:rsidRPr="00677B24">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w:t>
      </w:r>
      <w:r w:rsidRPr="00677B24">
        <w:rPr>
          <w:b/>
          <w:bCs/>
          <w:sz w:val="24"/>
          <w:szCs w:val="24"/>
        </w:rPr>
        <w:t>hour</w:t>
      </w:r>
      <w:r w:rsidRPr="00677B24">
        <w:rPr>
          <w:b/>
          <w:bCs/>
          <w:sz w:val="24"/>
          <w:szCs w:val="24"/>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77B24" w:rsidR="006D54D2">
        <w:rPr>
          <w:b/>
          <w:bCs/>
          <w:sz w:val="24"/>
          <w:szCs w:val="24"/>
        </w:rPr>
        <w:t>Generally,</w:t>
      </w:r>
      <w:r w:rsidRPr="00677B24">
        <w:rPr>
          <w:b/>
          <w:bCs/>
          <w:sz w:val="24"/>
          <w:szCs w:val="24"/>
        </w:rPr>
        <w:t xml:space="preserve"> estimates should not include burden hours for customary and usual business </w:t>
      </w:r>
      <w:r w:rsidRPr="00677B24">
        <w:rPr>
          <w:b/>
          <w:bCs/>
          <w:sz w:val="24"/>
          <w:szCs w:val="24"/>
        </w:rPr>
        <w:t>practices;</w:t>
      </w:r>
      <w:r w:rsidRPr="00677B24">
        <w:rPr>
          <w:b/>
          <w:bCs/>
          <w:sz w:val="24"/>
          <w:szCs w:val="24"/>
        </w:rPr>
        <w:t xml:space="preserve"> </w:t>
      </w:r>
    </w:p>
    <w:p w:rsidR="001A78B3" w:rsidRPr="00677B24" w:rsidP="00495D35" w14:paraId="5B14C43B" w14:textId="77777777">
      <w:pPr>
        <w:pStyle w:val="NoSpacing"/>
        <w:numPr>
          <w:ilvl w:val="0"/>
          <w:numId w:val="28"/>
        </w:numPr>
        <w:jc w:val="both"/>
        <w:rPr>
          <w:b/>
          <w:bCs/>
          <w:sz w:val="24"/>
          <w:szCs w:val="24"/>
        </w:rPr>
      </w:pPr>
      <w:r w:rsidRPr="00677B24">
        <w:rPr>
          <w:b/>
          <w:bCs/>
          <w:sz w:val="24"/>
          <w:szCs w:val="24"/>
        </w:rPr>
        <w:t xml:space="preserve">if this request covers more than one form, provide separate hour burden estimates for each </w:t>
      </w:r>
      <w:r w:rsidRPr="00677B24">
        <w:rPr>
          <w:b/>
          <w:bCs/>
          <w:sz w:val="24"/>
          <w:szCs w:val="24"/>
        </w:rPr>
        <w:t>form</w:t>
      </w:r>
      <w:r w:rsidRPr="00677B24">
        <w:rPr>
          <w:b/>
          <w:bCs/>
          <w:sz w:val="24"/>
          <w:szCs w:val="24"/>
        </w:rPr>
        <w:t xml:space="preserve"> and aggregate the hour burdens in Item 13 of OMB Form 83-I; and </w:t>
      </w:r>
    </w:p>
    <w:p w:rsidR="00145B2B" w:rsidRPr="00677B24" w:rsidP="00495D35" w14:paraId="46B8F994" w14:textId="77777777">
      <w:pPr>
        <w:pStyle w:val="NoSpacing"/>
        <w:numPr>
          <w:ilvl w:val="0"/>
          <w:numId w:val="28"/>
        </w:numPr>
        <w:jc w:val="both"/>
        <w:rPr>
          <w:b/>
          <w:bCs/>
          <w:sz w:val="24"/>
          <w:szCs w:val="24"/>
        </w:rPr>
      </w:pPr>
      <w:r w:rsidRPr="00677B24">
        <w:rPr>
          <w:b/>
          <w:b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77B24" w:rsidR="00D04166">
        <w:rPr>
          <w:b/>
          <w:bCs/>
          <w:sz w:val="24"/>
          <w:szCs w:val="24"/>
        </w:rPr>
        <w:t>Instead,</w:t>
      </w:r>
      <w:r w:rsidRPr="00677B24">
        <w:rPr>
          <w:b/>
          <w:bCs/>
          <w:sz w:val="24"/>
          <w:szCs w:val="24"/>
        </w:rPr>
        <w:t xml:space="preserve"> this cost should be included in Item 13.</w:t>
      </w:r>
      <w:r w:rsidR="00A8598F">
        <w:rPr>
          <w:b/>
          <w:bCs/>
          <w:sz w:val="24"/>
          <w:szCs w:val="24"/>
        </w:rPr>
        <w:t xml:space="preserve"> </w:t>
      </w:r>
    </w:p>
    <w:p w:rsidR="00145B2B" w:rsidP="00495D35" w14:paraId="414B7D0E" w14:textId="77777777">
      <w:pPr>
        <w:pStyle w:val="NoSpacing"/>
        <w:jc w:val="both"/>
        <w:rPr>
          <w:sz w:val="24"/>
          <w:szCs w:val="24"/>
        </w:rPr>
      </w:pPr>
    </w:p>
    <w:p w:rsidR="00145B2B" w:rsidP="00495D35" w14:paraId="08095735" w14:textId="5151EBD8">
      <w:pPr>
        <w:pStyle w:val="NoSpacing"/>
        <w:ind w:left="1440"/>
        <w:jc w:val="both"/>
        <w:rPr>
          <w:sz w:val="24"/>
          <w:szCs w:val="24"/>
        </w:rPr>
      </w:pPr>
      <w:r w:rsidRPr="001A36F4">
        <w:rPr>
          <w:sz w:val="24"/>
          <w:szCs w:val="24"/>
        </w:rPr>
        <w:t>An estimate of the hour burden to collect the information for each form is provided</w:t>
      </w:r>
      <w:r w:rsidR="0042457F">
        <w:rPr>
          <w:sz w:val="24"/>
          <w:szCs w:val="24"/>
        </w:rPr>
        <w:t xml:space="preserve"> (below)</w:t>
      </w:r>
      <w:r w:rsidRPr="001A36F4">
        <w:rPr>
          <w:sz w:val="24"/>
          <w:szCs w:val="24"/>
        </w:rPr>
        <w:t>.</w:t>
      </w:r>
    </w:p>
    <w:p w:rsidR="000F26AF" w:rsidRPr="001A36F4" w:rsidP="00495D35" w14:paraId="69634CEA" w14:textId="77777777">
      <w:pPr>
        <w:pStyle w:val="NoSpacing"/>
        <w:ind w:left="1440"/>
        <w:jc w:val="both"/>
        <w:rPr>
          <w:sz w:val="24"/>
          <w:szCs w:val="24"/>
        </w:rPr>
      </w:pPr>
    </w:p>
    <w:tbl>
      <w:tblPr>
        <w:tblW w:w="10098" w:type="dxa"/>
        <w:tblInd w:w="738" w:type="dxa"/>
        <w:tblLook w:val="04A0"/>
      </w:tblPr>
      <w:tblGrid>
        <w:gridCol w:w="1603"/>
        <w:gridCol w:w="1295"/>
        <w:gridCol w:w="1260"/>
        <w:gridCol w:w="1260"/>
        <w:gridCol w:w="1260"/>
        <w:gridCol w:w="1170"/>
        <w:gridCol w:w="990"/>
        <w:gridCol w:w="1260"/>
      </w:tblGrid>
      <w:tr w14:paraId="6B71E606" w14:textId="77777777" w:rsidTr="00BA5A3A">
        <w:tblPrEx>
          <w:tblW w:w="10098" w:type="dxa"/>
          <w:tblInd w:w="738" w:type="dxa"/>
          <w:tblLook w:val="04A0"/>
        </w:tblPrEx>
        <w:trPr>
          <w:trHeight w:val="300"/>
        </w:trPr>
        <w:tc>
          <w:tcPr>
            <w:tcW w:w="1603" w:type="dxa"/>
            <w:tcBorders>
              <w:top w:val="single" w:sz="8" w:space="0" w:color="000000"/>
              <w:left w:val="single" w:sz="8" w:space="0" w:color="000000"/>
              <w:bottom w:val="single" w:sz="8" w:space="0" w:color="000000"/>
              <w:right w:val="nil"/>
            </w:tcBorders>
            <w:shd w:val="clear" w:color="000000" w:fill="808080"/>
            <w:vAlign w:val="center"/>
            <w:hideMark/>
          </w:tcPr>
          <w:p w:rsidR="00BA5A3A" w:rsidRPr="00D55842" w:rsidP="00B167BF" w14:paraId="218AA3D9" w14:textId="77777777">
            <w:pPr>
              <w:pStyle w:val="NoSpacing"/>
              <w:rPr>
                <w:sz w:val="18"/>
                <w:szCs w:val="18"/>
              </w:rPr>
            </w:pPr>
            <w:r w:rsidRPr="00D55842">
              <w:rPr>
                <w:sz w:val="18"/>
                <w:szCs w:val="18"/>
              </w:rPr>
              <w:t>A</w:t>
            </w:r>
          </w:p>
        </w:tc>
        <w:tc>
          <w:tcPr>
            <w:tcW w:w="1295" w:type="dxa"/>
            <w:tcBorders>
              <w:top w:val="single" w:sz="8" w:space="0" w:color="000000"/>
              <w:left w:val="single" w:sz="8" w:space="0" w:color="000000"/>
              <w:bottom w:val="single" w:sz="8" w:space="0" w:color="000000"/>
              <w:right w:val="nil"/>
            </w:tcBorders>
            <w:shd w:val="clear" w:color="000000" w:fill="808080"/>
            <w:vAlign w:val="center"/>
            <w:hideMark/>
          </w:tcPr>
          <w:p w:rsidR="00BA5A3A" w:rsidRPr="00D55842" w:rsidP="00B167BF" w14:paraId="5EBC7274" w14:textId="77777777">
            <w:pPr>
              <w:pStyle w:val="NoSpacing"/>
              <w:rPr>
                <w:b/>
                <w:bCs/>
                <w:sz w:val="18"/>
                <w:szCs w:val="18"/>
              </w:rPr>
            </w:pPr>
            <w:r w:rsidRPr="00D55842">
              <w:rPr>
                <w:b/>
                <w:bCs/>
                <w:sz w:val="18"/>
                <w:szCs w:val="18"/>
              </w:rPr>
              <w:t>B</w:t>
            </w:r>
          </w:p>
        </w:tc>
        <w:tc>
          <w:tcPr>
            <w:tcW w:w="1260" w:type="dxa"/>
            <w:tcBorders>
              <w:top w:val="single" w:sz="8" w:space="0" w:color="000000"/>
              <w:left w:val="single" w:sz="8" w:space="0" w:color="000000"/>
              <w:bottom w:val="single" w:sz="8" w:space="0" w:color="000000"/>
              <w:right w:val="nil"/>
            </w:tcBorders>
            <w:shd w:val="clear" w:color="000000" w:fill="808080"/>
            <w:vAlign w:val="center"/>
            <w:hideMark/>
          </w:tcPr>
          <w:p w:rsidR="00BA5A3A" w:rsidRPr="00D55842" w:rsidP="00B167BF" w14:paraId="7E7FB5F0" w14:textId="77777777">
            <w:pPr>
              <w:pStyle w:val="NoSpacing"/>
              <w:rPr>
                <w:b/>
                <w:bCs/>
                <w:sz w:val="18"/>
                <w:szCs w:val="18"/>
              </w:rPr>
            </w:pPr>
            <w:r w:rsidRPr="00D55842">
              <w:rPr>
                <w:b/>
                <w:bCs/>
                <w:sz w:val="18"/>
                <w:szCs w:val="18"/>
              </w:rPr>
              <w:t>C</w:t>
            </w:r>
          </w:p>
        </w:tc>
        <w:tc>
          <w:tcPr>
            <w:tcW w:w="1260" w:type="dxa"/>
            <w:tcBorders>
              <w:top w:val="single" w:sz="8" w:space="0" w:color="000000"/>
              <w:left w:val="single" w:sz="8" w:space="0" w:color="000000"/>
              <w:bottom w:val="single" w:sz="8" w:space="0" w:color="000000"/>
              <w:right w:val="nil"/>
            </w:tcBorders>
            <w:shd w:val="clear" w:color="000000" w:fill="808080"/>
            <w:vAlign w:val="center"/>
            <w:hideMark/>
          </w:tcPr>
          <w:p w:rsidR="00BA5A3A" w:rsidRPr="00D55842" w:rsidP="00B167BF" w14:paraId="0473A450" w14:textId="77777777">
            <w:pPr>
              <w:pStyle w:val="NoSpacing"/>
              <w:rPr>
                <w:b/>
                <w:bCs/>
                <w:sz w:val="18"/>
                <w:szCs w:val="18"/>
              </w:rPr>
            </w:pPr>
            <w:r w:rsidRPr="00D55842">
              <w:rPr>
                <w:b/>
                <w:bCs/>
                <w:sz w:val="18"/>
                <w:szCs w:val="18"/>
              </w:rPr>
              <w:t>D</w:t>
            </w:r>
          </w:p>
        </w:tc>
        <w:tc>
          <w:tcPr>
            <w:tcW w:w="1260" w:type="dxa"/>
            <w:tcBorders>
              <w:top w:val="single" w:sz="8" w:space="0" w:color="000000"/>
              <w:left w:val="single" w:sz="8" w:space="0" w:color="000000"/>
              <w:bottom w:val="single" w:sz="8" w:space="0" w:color="000000"/>
              <w:right w:val="nil"/>
            </w:tcBorders>
            <w:shd w:val="clear" w:color="000000" w:fill="808080"/>
            <w:vAlign w:val="center"/>
            <w:hideMark/>
          </w:tcPr>
          <w:p w:rsidR="00BA5A3A" w:rsidRPr="00D55842" w:rsidP="00B167BF" w14:paraId="637348BB" w14:textId="77777777">
            <w:pPr>
              <w:pStyle w:val="NoSpacing"/>
              <w:rPr>
                <w:b/>
                <w:bCs/>
                <w:sz w:val="18"/>
                <w:szCs w:val="18"/>
              </w:rPr>
            </w:pPr>
            <w:r w:rsidRPr="00D55842">
              <w:rPr>
                <w:b/>
                <w:bCs/>
                <w:sz w:val="18"/>
                <w:szCs w:val="18"/>
              </w:rPr>
              <w:t>E</w:t>
            </w:r>
          </w:p>
        </w:tc>
        <w:tc>
          <w:tcPr>
            <w:tcW w:w="1170" w:type="dxa"/>
            <w:tcBorders>
              <w:top w:val="single" w:sz="8" w:space="0" w:color="000000"/>
              <w:left w:val="single" w:sz="8" w:space="0" w:color="000000"/>
              <w:bottom w:val="single" w:sz="8" w:space="0" w:color="000000"/>
              <w:right w:val="single" w:sz="8" w:space="0" w:color="000000"/>
            </w:tcBorders>
            <w:shd w:val="clear" w:color="000000" w:fill="808080"/>
            <w:vAlign w:val="center"/>
            <w:hideMark/>
          </w:tcPr>
          <w:p w:rsidR="00BA5A3A" w:rsidRPr="00D55842" w:rsidP="00B167BF" w14:paraId="58BA2C90" w14:textId="77777777">
            <w:pPr>
              <w:pStyle w:val="NoSpacing"/>
              <w:rPr>
                <w:b/>
                <w:bCs/>
                <w:sz w:val="18"/>
                <w:szCs w:val="18"/>
              </w:rPr>
            </w:pPr>
            <w:r w:rsidRPr="00D55842">
              <w:rPr>
                <w:b/>
                <w:bCs/>
                <w:sz w:val="18"/>
                <w:szCs w:val="18"/>
              </w:rPr>
              <w:t>F</w:t>
            </w:r>
          </w:p>
        </w:tc>
        <w:tc>
          <w:tcPr>
            <w:tcW w:w="990" w:type="dxa"/>
            <w:tcBorders>
              <w:top w:val="single" w:sz="8" w:space="0" w:color="000000"/>
              <w:left w:val="nil"/>
              <w:bottom w:val="single" w:sz="8" w:space="0" w:color="000000"/>
              <w:right w:val="single" w:sz="8" w:space="0" w:color="000000"/>
            </w:tcBorders>
            <w:shd w:val="clear" w:color="000000" w:fill="808080"/>
            <w:vAlign w:val="center"/>
            <w:hideMark/>
          </w:tcPr>
          <w:p w:rsidR="00BA5A3A" w:rsidRPr="00D55842" w:rsidP="00B167BF" w14:paraId="794C6919" w14:textId="77777777">
            <w:pPr>
              <w:pStyle w:val="NoSpacing"/>
              <w:rPr>
                <w:b/>
                <w:bCs/>
                <w:sz w:val="18"/>
                <w:szCs w:val="18"/>
              </w:rPr>
            </w:pPr>
            <w:r w:rsidRPr="00D55842">
              <w:rPr>
                <w:b/>
                <w:bCs/>
                <w:sz w:val="18"/>
                <w:szCs w:val="18"/>
              </w:rPr>
              <w:t>G</w:t>
            </w:r>
          </w:p>
        </w:tc>
        <w:tc>
          <w:tcPr>
            <w:tcW w:w="1260" w:type="dxa"/>
            <w:tcBorders>
              <w:top w:val="single" w:sz="8" w:space="0" w:color="000000"/>
              <w:left w:val="nil"/>
              <w:bottom w:val="single" w:sz="8" w:space="0" w:color="000000"/>
              <w:right w:val="single" w:sz="8" w:space="0" w:color="000000"/>
            </w:tcBorders>
            <w:shd w:val="clear" w:color="000000" w:fill="808080"/>
            <w:vAlign w:val="center"/>
            <w:hideMark/>
          </w:tcPr>
          <w:p w:rsidR="00BA5A3A" w:rsidRPr="00D55842" w:rsidP="00B167BF" w14:paraId="0368EDA8" w14:textId="77777777">
            <w:pPr>
              <w:pStyle w:val="NoSpacing"/>
              <w:rPr>
                <w:b/>
                <w:bCs/>
                <w:sz w:val="18"/>
                <w:szCs w:val="18"/>
              </w:rPr>
            </w:pPr>
            <w:r w:rsidRPr="00D55842">
              <w:rPr>
                <w:b/>
                <w:bCs/>
                <w:sz w:val="18"/>
                <w:szCs w:val="18"/>
              </w:rPr>
              <w:t>H</w:t>
            </w:r>
          </w:p>
        </w:tc>
      </w:tr>
      <w:tr w14:paraId="47E40764" w14:textId="77777777" w:rsidTr="00BA5A3A">
        <w:tblPrEx>
          <w:tblW w:w="10098" w:type="dxa"/>
          <w:tblInd w:w="738" w:type="dxa"/>
          <w:tblLook w:val="04A0"/>
        </w:tblPrEx>
        <w:trPr>
          <w:trHeight w:val="607"/>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0B926387" w14:textId="77777777">
            <w:pPr>
              <w:pStyle w:val="NoSpacing"/>
              <w:jc w:val="center"/>
              <w:rPr>
                <w:color w:val="000000"/>
                <w:sz w:val="18"/>
                <w:szCs w:val="18"/>
              </w:rPr>
            </w:pPr>
            <w:r w:rsidRPr="00D55842">
              <w:rPr>
                <w:color w:val="000000"/>
                <w:sz w:val="18"/>
                <w:szCs w:val="18"/>
              </w:rPr>
              <w:t>Information Collection</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0A00E286" w14:textId="77777777">
            <w:pPr>
              <w:pStyle w:val="NoSpacing"/>
              <w:jc w:val="center"/>
              <w:rPr>
                <w:b/>
                <w:bCs/>
                <w:color w:val="000000"/>
                <w:sz w:val="18"/>
                <w:szCs w:val="18"/>
              </w:rPr>
            </w:pPr>
            <w:r w:rsidRPr="00D55842">
              <w:rPr>
                <w:b/>
                <w:bCs/>
                <w:color w:val="000000"/>
                <w:sz w:val="18"/>
                <w:szCs w:val="18"/>
              </w:rPr>
              <w:t>Number of Respondents</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5EFEF629" w14:textId="77777777">
            <w:pPr>
              <w:pStyle w:val="NoSpacing"/>
              <w:jc w:val="center"/>
              <w:rPr>
                <w:b/>
                <w:bCs/>
                <w:color w:val="000000"/>
                <w:sz w:val="18"/>
                <w:szCs w:val="18"/>
              </w:rPr>
            </w:pPr>
            <w:r w:rsidRPr="00D55842">
              <w:rPr>
                <w:b/>
                <w:bCs/>
                <w:color w:val="000000"/>
                <w:sz w:val="18"/>
                <w:szCs w:val="18"/>
              </w:rPr>
              <w:t>Frequency of Response</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763667AC" w14:textId="77777777">
            <w:pPr>
              <w:pStyle w:val="NoSpacing"/>
              <w:jc w:val="center"/>
              <w:rPr>
                <w:b/>
                <w:bCs/>
                <w:color w:val="000000"/>
                <w:sz w:val="18"/>
                <w:szCs w:val="18"/>
              </w:rPr>
            </w:pPr>
            <w:r w:rsidRPr="00D55842">
              <w:rPr>
                <w:b/>
                <w:bCs/>
                <w:color w:val="000000"/>
                <w:sz w:val="18"/>
                <w:szCs w:val="18"/>
              </w:rPr>
              <w:t>Responses per Annum</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20341717" w14:textId="77777777">
            <w:pPr>
              <w:pStyle w:val="NoSpacing"/>
              <w:jc w:val="center"/>
              <w:rPr>
                <w:b/>
                <w:bCs/>
                <w:color w:val="000000"/>
                <w:sz w:val="18"/>
                <w:szCs w:val="18"/>
              </w:rPr>
            </w:pPr>
            <w:r w:rsidRPr="00D55842">
              <w:rPr>
                <w:b/>
                <w:bCs/>
                <w:color w:val="000000"/>
                <w:sz w:val="18"/>
                <w:szCs w:val="18"/>
              </w:rPr>
              <w:t>Burden Hour Per Response</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09668C86" w14:textId="77777777">
            <w:pPr>
              <w:pStyle w:val="NoSpacing"/>
              <w:jc w:val="center"/>
              <w:rPr>
                <w:b/>
                <w:bCs/>
                <w:color w:val="000000"/>
                <w:sz w:val="18"/>
                <w:szCs w:val="18"/>
              </w:rPr>
            </w:pPr>
            <w:r w:rsidRPr="00D55842">
              <w:rPr>
                <w:b/>
                <w:bCs/>
                <w:color w:val="000000"/>
                <w:sz w:val="18"/>
                <w:szCs w:val="18"/>
              </w:rPr>
              <w:t>Annual Burden Hours</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3E29A8E0" w14:textId="77777777">
            <w:pPr>
              <w:pStyle w:val="NoSpacing"/>
              <w:jc w:val="center"/>
              <w:rPr>
                <w:b/>
                <w:bCs/>
                <w:color w:val="000000"/>
                <w:sz w:val="18"/>
                <w:szCs w:val="18"/>
              </w:rPr>
            </w:pPr>
            <w:r w:rsidRPr="00D55842">
              <w:rPr>
                <w:b/>
                <w:bCs/>
                <w:color w:val="000000"/>
                <w:sz w:val="18"/>
                <w:szCs w:val="18"/>
              </w:rPr>
              <w:t>Hourly Cost Per Response</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5F407C0E" w14:textId="77777777">
            <w:pPr>
              <w:pStyle w:val="NoSpacing"/>
              <w:jc w:val="center"/>
              <w:rPr>
                <w:b/>
                <w:bCs/>
                <w:color w:val="000000"/>
                <w:sz w:val="18"/>
                <w:szCs w:val="18"/>
              </w:rPr>
            </w:pPr>
            <w:r w:rsidRPr="00D55842">
              <w:rPr>
                <w:b/>
                <w:bCs/>
                <w:color w:val="000000"/>
                <w:sz w:val="18"/>
                <w:szCs w:val="18"/>
              </w:rPr>
              <w:t>Annual Cost</w:t>
            </w:r>
          </w:p>
        </w:tc>
      </w:tr>
      <w:tr w14:paraId="66C2C81E" w14:textId="77777777" w:rsidTr="00BA5A3A">
        <w:tblPrEx>
          <w:tblW w:w="10098" w:type="dxa"/>
          <w:tblInd w:w="738" w:type="dxa"/>
          <w:tblLook w:val="04A0"/>
        </w:tblPrEx>
        <w:trPr>
          <w:trHeight w:val="470"/>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11FC6D29" w14:textId="77777777">
            <w:pPr>
              <w:pStyle w:val="NoSpacing"/>
              <w:rPr>
                <w:color w:val="000000"/>
                <w:sz w:val="18"/>
                <w:szCs w:val="18"/>
              </w:rPr>
            </w:pPr>
            <w:r w:rsidRPr="00D55842">
              <w:rPr>
                <w:color w:val="000000"/>
                <w:sz w:val="18"/>
                <w:szCs w:val="18"/>
              </w:rPr>
              <w:t>Pricing Letter</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1BF46B9A"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0AD0C525"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0627D9E3"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41DE8AD8" w14:textId="77777777">
            <w:pPr>
              <w:pStyle w:val="NoSpacing"/>
              <w:rPr>
                <w:color w:val="000000"/>
                <w:sz w:val="18"/>
                <w:szCs w:val="18"/>
              </w:rPr>
            </w:pPr>
            <w:r w:rsidRPr="00D55842">
              <w:rPr>
                <w:color w:val="000000"/>
                <w:sz w:val="18"/>
                <w:szCs w:val="18"/>
              </w:rPr>
              <w:t>0.5</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11814ED9" w14:textId="77777777">
            <w:pPr>
              <w:pStyle w:val="NoSpacing"/>
              <w:rPr>
                <w:color w:val="000000"/>
                <w:sz w:val="18"/>
                <w:szCs w:val="18"/>
              </w:rPr>
            </w:pPr>
            <w:r w:rsidRPr="00D55842">
              <w:rPr>
                <w:color w:val="000000"/>
                <w:sz w:val="18"/>
                <w:szCs w:val="18"/>
              </w:rPr>
              <w:t>125</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28BA8E29"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17EC7EA2" w14:textId="77777777">
            <w:pPr>
              <w:pStyle w:val="NoSpacing"/>
              <w:rPr>
                <w:color w:val="000000"/>
                <w:sz w:val="18"/>
                <w:szCs w:val="18"/>
              </w:rPr>
            </w:pPr>
            <w:r w:rsidRPr="00D55842">
              <w:rPr>
                <w:color w:val="000000"/>
                <w:sz w:val="18"/>
                <w:szCs w:val="18"/>
              </w:rPr>
              <w:t>$5,695.00</w:t>
            </w:r>
          </w:p>
        </w:tc>
      </w:tr>
      <w:tr w14:paraId="33959907" w14:textId="77777777" w:rsidTr="00BA5A3A">
        <w:tblPrEx>
          <w:tblW w:w="10098" w:type="dxa"/>
          <w:tblInd w:w="738" w:type="dxa"/>
          <w:tblLook w:val="04A0"/>
        </w:tblPrEx>
        <w:trPr>
          <w:trHeight w:val="700"/>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59841ABD" w14:textId="77777777">
            <w:pPr>
              <w:pStyle w:val="NoSpacing"/>
              <w:rPr>
                <w:color w:val="000000"/>
                <w:sz w:val="18"/>
                <w:szCs w:val="18"/>
              </w:rPr>
            </w:pPr>
            <w:r w:rsidRPr="00D55842">
              <w:rPr>
                <w:color w:val="000000"/>
                <w:sz w:val="18"/>
                <w:szCs w:val="18"/>
              </w:rPr>
              <w:t>Structured Term Sheet</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3C029775"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4A793254"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268C9DA7"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7B88E109" w14:textId="77777777">
            <w:pPr>
              <w:pStyle w:val="NoSpacing"/>
              <w:rPr>
                <w:color w:val="000000"/>
                <w:sz w:val="18"/>
                <w:szCs w:val="18"/>
              </w:rPr>
            </w:pPr>
            <w:r w:rsidRPr="00D55842">
              <w:rPr>
                <w:color w:val="000000"/>
                <w:sz w:val="18"/>
                <w:szCs w:val="18"/>
              </w:rPr>
              <w:t>3</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4D2E2083" w14:textId="77777777">
            <w:pPr>
              <w:pStyle w:val="NoSpacing"/>
              <w:rPr>
                <w:color w:val="000000"/>
                <w:sz w:val="18"/>
                <w:szCs w:val="18"/>
              </w:rPr>
            </w:pPr>
            <w:r w:rsidRPr="00D55842">
              <w:rPr>
                <w:color w:val="000000"/>
                <w:sz w:val="18"/>
                <w:szCs w:val="18"/>
              </w:rPr>
              <w:t>750</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7DA2205F"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4FC0D419" w14:textId="77777777">
            <w:pPr>
              <w:pStyle w:val="NoSpacing"/>
              <w:rPr>
                <w:color w:val="000000"/>
                <w:sz w:val="18"/>
                <w:szCs w:val="18"/>
              </w:rPr>
            </w:pPr>
            <w:r w:rsidRPr="00D55842">
              <w:rPr>
                <w:color w:val="000000"/>
                <w:sz w:val="18"/>
                <w:szCs w:val="18"/>
              </w:rPr>
              <w:t>$34,170.00</w:t>
            </w:r>
          </w:p>
        </w:tc>
      </w:tr>
      <w:tr w14:paraId="6C77628E" w14:textId="77777777" w:rsidTr="00BA5A3A">
        <w:tblPrEx>
          <w:tblW w:w="10098" w:type="dxa"/>
          <w:tblInd w:w="738" w:type="dxa"/>
          <w:tblLook w:val="04A0"/>
        </w:tblPrEx>
        <w:trPr>
          <w:trHeight w:val="700"/>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0D1C6222" w14:textId="77777777">
            <w:pPr>
              <w:pStyle w:val="NoSpacing"/>
              <w:rPr>
                <w:color w:val="000000"/>
                <w:sz w:val="18"/>
                <w:szCs w:val="18"/>
              </w:rPr>
            </w:pPr>
            <w:r w:rsidRPr="00D55842">
              <w:rPr>
                <w:color w:val="000000"/>
                <w:sz w:val="18"/>
                <w:szCs w:val="18"/>
              </w:rPr>
              <w:t>Trust (REMIC) Agreement</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14ED7BDC"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75B561AA"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4A70A02E"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5DBDF46D" w14:textId="77777777">
            <w:pPr>
              <w:pStyle w:val="NoSpacing"/>
              <w:rPr>
                <w:color w:val="000000"/>
                <w:sz w:val="18"/>
                <w:szCs w:val="18"/>
              </w:rPr>
            </w:pPr>
            <w:r w:rsidRPr="00D55842">
              <w:rPr>
                <w:color w:val="000000"/>
                <w:sz w:val="18"/>
                <w:szCs w:val="18"/>
              </w:rPr>
              <w:t>1</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5B56F321" w14:textId="77777777">
            <w:pPr>
              <w:pStyle w:val="NoSpacing"/>
              <w:rPr>
                <w:color w:val="000000"/>
                <w:sz w:val="18"/>
                <w:szCs w:val="18"/>
              </w:rPr>
            </w:pPr>
            <w:r w:rsidRPr="00D55842">
              <w:rPr>
                <w:color w:val="000000"/>
                <w:sz w:val="18"/>
                <w:szCs w:val="18"/>
              </w:rPr>
              <w:t>250</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31BA2AA8"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4E033790" w14:textId="77777777">
            <w:pPr>
              <w:pStyle w:val="NoSpacing"/>
              <w:rPr>
                <w:color w:val="000000"/>
                <w:sz w:val="18"/>
                <w:szCs w:val="18"/>
              </w:rPr>
            </w:pPr>
            <w:r w:rsidRPr="00D55842">
              <w:rPr>
                <w:color w:val="000000"/>
                <w:sz w:val="18"/>
                <w:szCs w:val="18"/>
              </w:rPr>
              <w:t>$11,390.00</w:t>
            </w:r>
          </w:p>
        </w:tc>
      </w:tr>
      <w:tr w14:paraId="5D6CD46E" w14:textId="77777777" w:rsidTr="00BA5A3A">
        <w:tblPrEx>
          <w:tblW w:w="10098" w:type="dxa"/>
          <w:tblInd w:w="738" w:type="dxa"/>
          <w:tblLook w:val="04A0"/>
        </w:tblPrEx>
        <w:trPr>
          <w:trHeight w:val="470"/>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3B0CDA39" w14:textId="77777777">
            <w:pPr>
              <w:pStyle w:val="NoSpacing"/>
              <w:rPr>
                <w:color w:val="000000"/>
                <w:sz w:val="18"/>
                <w:szCs w:val="18"/>
              </w:rPr>
            </w:pPr>
            <w:r w:rsidRPr="00D55842">
              <w:rPr>
                <w:color w:val="000000"/>
                <w:sz w:val="18"/>
                <w:szCs w:val="18"/>
              </w:rPr>
              <w:t>Trust Opinion</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771C8143"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1B97EF43"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2EC2A400"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7C1A527D" w14:textId="77777777">
            <w:pPr>
              <w:pStyle w:val="NoSpacing"/>
              <w:rPr>
                <w:color w:val="000000"/>
                <w:sz w:val="18"/>
                <w:szCs w:val="18"/>
              </w:rPr>
            </w:pPr>
            <w:r w:rsidRPr="00D55842">
              <w:rPr>
                <w:color w:val="000000"/>
                <w:sz w:val="18"/>
                <w:szCs w:val="18"/>
              </w:rPr>
              <w:t>4</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18DB71FC" w14:textId="77777777">
            <w:pPr>
              <w:pStyle w:val="NoSpacing"/>
              <w:rPr>
                <w:color w:val="000000"/>
                <w:sz w:val="18"/>
                <w:szCs w:val="18"/>
              </w:rPr>
            </w:pPr>
            <w:r w:rsidRPr="00D55842">
              <w:rPr>
                <w:color w:val="000000"/>
                <w:sz w:val="18"/>
                <w:szCs w:val="18"/>
              </w:rPr>
              <w:t>1000</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35B08BAB"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50EADEA9" w14:textId="77777777">
            <w:pPr>
              <w:pStyle w:val="NoSpacing"/>
              <w:rPr>
                <w:color w:val="000000"/>
                <w:sz w:val="18"/>
                <w:szCs w:val="18"/>
              </w:rPr>
            </w:pPr>
            <w:r w:rsidRPr="00D55842">
              <w:rPr>
                <w:color w:val="000000"/>
                <w:sz w:val="18"/>
                <w:szCs w:val="18"/>
              </w:rPr>
              <w:t>$45,560.00</w:t>
            </w:r>
          </w:p>
        </w:tc>
      </w:tr>
      <w:tr w14:paraId="03FDE095" w14:textId="77777777" w:rsidTr="00BA5A3A">
        <w:tblPrEx>
          <w:tblW w:w="10098" w:type="dxa"/>
          <w:tblInd w:w="738" w:type="dxa"/>
          <w:tblLook w:val="04A0"/>
        </w:tblPrEx>
        <w:trPr>
          <w:trHeight w:val="470"/>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331E7467" w14:textId="77777777">
            <w:pPr>
              <w:pStyle w:val="NoSpacing"/>
              <w:rPr>
                <w:color w:val="000000"/>
                <w:sz w:val="18"/>
                <w:szCs w:val="18"/>
              </w:rPr>
            </w:pPr>
            <w:r w:rsidRPr="00D55842">
              <w:rPr>
                <w:color w:val="000000"/>
                <w:sz w:val="18"/>
                <w:szCs w:val="18"/>
              </w:rPr>
              <w:t>MX Trust Agreement</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3264513C"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4D8D3F04"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3EB75C96"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1B67C20F" w14:textId="77777777">
            <w:pPr>
              <w:pStyle w:val="NoSpacing"/>
              <w:rPr>
                <w:color w:val="000000"/>
                <w:sz w:val="18"/>
                <w:szCs w:val="18"/>
              </w:rPr>
            </w:pPr>
            <w:r w:rsidRPr="00D55842">
              <w:rPr>
                <w:color w:val="000000"/>
                <w:sz w:val="18"/>
                <w:szCs w:val="18"/>
              </w:rPr>
              <w:t>0.16</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768C6B93" w14:textId="77777777">
            <w:pPr>
              <w:pStyle w:val="NoSpacing"/>
              <w:rPr>
                <w:color w:val="000000"/>
                <w:sz w:val="18"/>
                <w:szCs w:val="18"/>
              </w:rPr>
            </w:pPr>
            <w:r w:rsidRPr="00D55842">
              <w:rPr>
                <w:color w:val="000000"/>
                <w:sz w:val="18"/>
                <w:szCs w:val="18"/>
              </w:rPr>
              <w:t>40</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0407D41A"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3B6099ED" w14:textId="77777777">
            <w:pPr>
              <w:pStyle w:val="NoSpacing"/>
              <w:rPr>
                <w:color w:val="000000"/>
                <w:sz w:val="18"/>
                <w:szCs w:val="18"/>
              </w:rPr>
            </w:pPr>
            <w:r w:rsidRPr="00D55842">
              <w:rPr>
                <w:color w:val="000000"/>
                <w:sz w:val="18"/>
                <w:szCs w:val="18"/>
              </w:rPr>
              <w:t>$1,822.40</w:t>
            </w:r>
          </w:p>
        </w:tc>
      </w:tr>
      <w:tr w14:paraId="2C51C364" w14:textId="77777777" w:rsidTr="00BA5A3A">
        <w:tblPrEx>
          <w:tblW w:w="10098" w:type="dxa"/>
          <w:tblInd w:w="738" w:type="dxa"/>
          <w:tblLook w:val="04A0"/>
        </w:tblPrEx>
        <w:trPr>
          <w:trHeight w:val="470"/>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3D9D728B" w14:textId="77777777">
            <w:pPr>
              <w:pStyle w:val="NoSpacing"/>
              <w:rPr>
                <w:color w:val="000000"/>
                <w:sz w:val="18"/>
                <w:szCs w:val="18"/>
              </w:rPr>
            </w:pPr>
            <w:r w:rsidRPr="00D55842">
              <w:rPr>
                <w:color w:val="000000"/>
                <w:sz w:val="18"/>
                <w:szCs w:val="18"/>
              </w:rPr>
              <w:t>MX Trust Opinion</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5C402419"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23B5B89D"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0D78173C"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5320151D" w14:textId="77777777">
            <w:pPr>
              <w:pStyle w:val="NoSpacing"/>
              <w:rPr>
                <w:color w:val="000000"/>
                <w:sz w:val="18"/>
                <w:szCs w:val="18"/>
              </w:rPr>
            </w:pPr>
            <w:r w:rsidRPr="00D55842">
              <w:rPr>
                <w:color w:val="000000"/>
                <w:sz w:val="18"/>
                <w:szCs w:val="18"/>
              </w:rPr>
              <w:t>4</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10D6DBD8" w14:textId="77777777">
            <w:pPr>
              <w:pStyle w:val="NoSpacing"/>
              <w:rPr>
                <w:color w:val="000000"/>
                <w:sz w:val="18"/>
                <w:szCs w:val="18"/>
              </w:rPr>
            </w:pPr>
            <w:r w:rsidRPr="00D55842">
              <w:rPr>
                <w:color w:val="000000"/>
                <w:sz w:val="18"/>
                <w:szCs w:val="18"/>
              </w:rPr>
              <w:t>1000</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1DBCACEF"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6A4320E4" w14:textId="77777777">
            <w:pPr>
              <w:pStyle w:val="NoSpacing"/>
              <w:rPr>
                <w:color w:val="000000"/>
                <w:sz w:val="18"/>
                <w:szCs w:val="18"/>
              </w:rPr>
            </w:pPr>
            <w:r w:rsidRPr="00D55842">
              <w:rPr>
                <w:color w:val="000000"/>
                <w:sz w:val="18"/>
                <w:szCs w:val="18"/>
              </w:rPr>
              <w:t>$45,560.00</w:t>
            </w:r>
          </w:p>
        </w:tc>
      </w:tr>
      <w:tr w14:paraId="58FBAE1D" w14:textId="77777777" w:rsidTr="00BA5A3A">
        <w:tblPrEx>
          <w:tblW w:w="10098" w:type="dxa"/>
          <w:tblInd w:w="738" w:type="dxa"/>
          <w:tblLook w:val="04A0"/>
        </w:tblPrEx>
        <w:trPr>
          <w:trHeight w:val="470"/>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57C190C5" w14:textId="77777777">
            <w:pPr>
              <w:pStyle w:val="NoSpacing"/>
              <w:rPr>
                <w:color w:val="000000"/>
                <w:sz w:val="18"/>
                <w:szCs w:val="18"/>
              </w:rPr>
            </w:pPr>
            <w:r w:rsidRPr="00D55842">
              <w:rPr>
                <w:color w:val="000000"/>
                <w:sz w:val="18"/>
                <w:szCs w:val="18"/>
              </w:rPr>
              <w:t>RR Certificate</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37DBAD4F"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01947E14"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38B57898"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24E022F5" w14:textId="77777777">
            <w:pPr>
              <w:pStyle w:val="NoSpacing"/>
              <w:rPr>
                <w:color w:val="000000"/>
                <w:sz w:val="18"/>
                <w:szCs w:val="18"/>
              </w:rPr>
            </w:pPr>
            <w:r w:rsidRPr="00D55842">
              <w:rPr>
                <w:color w:val="000000"/>
                <w:sz w:val="18"/>
                <w:szCs w:val="18"/>
              </w:rPr>
              <w:t>0.08</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45A9D7BC" w14:textId="77777777">
            <w:pPr>
              <w:pStyle w:val="NoSpacing"/>
              <w:rPr>
                <w:color w:val="000000"/>
                <w:sz w:val="18"/>
                <w:szCs w:val="18"/>
              </w:rPr>
            </w:pPr>
            <w:r w:rsidRPr="00D55842">
              <w:rPr>
                <w:color w:val="000000"/>
                <w:sz w:val="18"/>
                <w:szCs w:val="18"/>
              </w:rPr>
              <w:t>20</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1FC6331F"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11A3EE5A" w14:textId="77777777">
            <w:pPr>
              <w:pStyle w:val="NoSpacing"/>
              <w:rPr>
                <w:color w:val="000000"/>
                <w:sz w:val="18"/>
                <w:szCs w:val="18"/>
              </w:rPr>
            </w:pPr>
            <w:r w:rsidRPr="00D55842">
              <w:rPr>
                <w:color w:val="000000"/>
                <w:sz w:val="18"/>
                <w:szCs w:val="18"/>
              </w:rPr>
              <w:t>$911.20</w:t>
            </w:r>
          </w:p>
        </w:tc>
      </w:tr>
      <w:tr w14:paraId="065BC85F" w14:textId="77777777" w:rsidTr="00BA5A3A">
        <w:tblPrEx>
          <w:tblW w:w="10098" w:type="dxa"/>
          <w:tblInd w:w="738" w:type="dxa"/>
          <w:tblLook w:val="04A0"/>
        </w:tblPrEx>
        <w:trPr>
          <w:trHeight w:val="470"/>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4A5369F3" w14:textId="77777777">
            <w:pPr>
              <w:pStyle w:val="NoSpacing"/>
              <w:rPr>
                <w:color w:val="000000"/>
                <w:sz w:val="18"/>
                <w:szCs w:val="18"/>
              </w:rPr>
            </w:pPr>
            <w:r w:rsidRPr="00D55842">
              <w:rPr>
                <w:color w:val="000000"/>
                <w:sz w:val="18"/>
                <w:szCs w:val="18"/>
              </w:rPr>
              <w:t>Sponsor Agreement</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7D1459D4"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10C70FF5"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3FBBD9E2"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24A28F91" w14:textId="77777777">
            <w:pPr>
              <w:pStyle w:val="NoSpacing"/>
              <w:rPr>
                <w:color w:val="000000"/>
                <w:sz w:val="18"/>
                <w:szCs w:val="18"/>
              </w:rPr>
            </w:pPr>
            <w:r w:rsidRPr="00D55842">
              <w:rPr>
                <w:color w:val="000000"/>
                <w:sz w:val="18"/>
                <w:szCs w:val="18"/>
              </w:rPr>
              <w:t>0.05</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0B6A66B3" w14:textId="77777777">
            <w:pPr>
              <w:pStyle w:val="NoSpacing"/>
              <w:rPr>
                <w:color w:val="000000"/>
                <w:sz w:val="18"/>
                <w:szCs w:val="18"/>
              </w:rPr>
            </w:pPr>
            <w:r w:rsidRPr="00D55842">
              <w:rPr>
                <w:color w:val="000000"/>
                <w:sz w:val="18"/>
                <w:szCs w:val="18"/>
              </w:rPr>
              <w:t>12.5</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0BF29D46"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75883B67" w14:textId="77777777">
            <w:pPr>
              <w:pStyle w:val="NoSpacing"/>
              <w:rPr>
                <w:color w:val="000000"/>
                <w:sz w:val="18"/>
                <w:szCs w:val="18"/>
              </w:rPr>
            </w:pPr>
            <w:r w:rsidRPr="00D55842">
              <w:rPr>
                <w:color w:val="000000"/>
                <w:sz w:val="18"/>
                <w:szCs w:val="18"/>
              </w:rPr>
              <w:t>$569.50</w:t>
            </w:r>
          </w:p>
        </w:tc>
      </w:tr>
      <w:tr w14:paraId="11A3BDE6" w14:textId="77777777" w:rsidTr="00BA5A3A">
        <w:tblPrEx>
          <w:tblW w:w="10098" w:type="dxa"/>
          <w:tblInd w:w="738" w:type="dxa"/>
          <w:tblLook w:val="04A0"/>
        </w:tblPrEx>
        <w:trPr>
          <w:trHeight w:val="470"/>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0A2291FF" w14:textId="77777777">
            <w:pPr>
              <w:pStyle w:val="NoSpacing"/>
              <w:rPr>
                <w:color w:val="000000"/>
                <w:sz w:val="18"/>
                <w:szCs w:val="18"/>
              </w:rPr>
            </w:pPr>
            <w:r w:rsidRPr="00D55842">
              <w:rPr>
                <w:color w:val="000000"/>
                <w:sz w:val="18"/>
                <w:szCs w:val="18"/>
              </w:rPr>
              <w:t>Table of Contents</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6B47A0ED"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35F59444"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2945CB66"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7598C199" w14:textId="77777777">
            <w:pPr>
              <w:pStyle w:val="NoSpacing"/>
              <w:rPr>
                <w:color w:val="000000"/>
                <w:sz w:val="18"/>
                <w:szCs w:val="18"/>
              </w:rPr>
            </w:pPr>
            <w:r w:rsidRPr="00D55842">
              <w:rPr>
                <w:color w:val="000000"/>
                <w:sz w:val="18"/>
                <w:szCs w:val="18"/>
              </w:rPr>
              <w:t>0.33</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0047F79B" w14:textId="77777777">
            <w:pPr>
              <w:pStyle w:val="NoSpacing"/>
              <w:rPr>
                <w:color w:val="000000"/>
                <w:sz w:val="18"/>
                <w:szCs w:val="18"/>
              </w:rPr>
            </w:pPr>
            <w:r w:rsidRPr="00D55842">
              <w:rPr>
                <w:color w:val="000000"/>
                <w:sz w:val="18"/>
                <w:szCs w:val="18"/>
              </w:rPr>
              <w:t>82.5</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63F2B3DF"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70EB658D" w14:textId="77777777">
            <w:pPr>
              <w:pStyle w:val="NoSpacing"/>
              <w:rPr>
                <w:color w:val="000000"/>
                <w:sz w:val="18"/>
                <w:szCs w:val="18"/>
              </w:rPr>
            </w:pPr>
            <w:r w:rsidRPr="00D55842">
              <w:rPr>
                <w:color w:val="000000"/>
                <w:sz w:val="18"/>
                <w:szCs w:val="18"/>
              </w:rPr>
              <w:t>$3,758.70</w:t>
            </w:r>
          </w:p>
        </w:tc>
      </w:tr>
      <w:tr w14:paraId="6897D76F" w14:textId="77777777" w:rsidTr="00BA5A3A">
        <w:tblPrEx>
          <w:tblW w:w="10098" w:type="dxa"/>
          <w:tblInd w:w="738" w:type="dxa"/>
          <w:tblLook w:val="04A0"/>
        </w:tblPrEx>
        <w:trPr>
          <w:trHeight w:val="470"/>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51B8D4C7" w14:textId="77777777">
            <w:pPr>
              <w:pStyle w:val="NoSpacing"/>
              <w:rPr>
                <w:color w:val="000000"/>
                <w:sz w:val="18"/>
                <w:szCs w:val="18"/>
              </w:rPr>
            </w:pPr>
            <w:r w:rsidRPr="00D55842">
              <w:rPr>
                <w:color w:val="000000"/>
                <w:sz w:val="18"/>
                <w:szCs w:val="18"/>
              </w:rPr>
              <w:t>Issuance Statement</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3AC7C749"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1D351210"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1802C1C9"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3CD10AEB" w14:textId="77777777">
            <w:pPr>
              <w:pStyle w:val="NoSpacing"/>
              <w:rPr>
                <w:color w:val="000000"/>
                <w:sz w:val="18"/>
                <w:szCs w:val="18"/>
              </w:rPr>
            </w:pPr>
            <w:r w:rsidRPr="00D55842">
              <w:rPr>
                <w:color w:val="000000"/>
                <w:sz w:val="18"/>
                <w:szCs w:val="18"/>
              </w:rPr>
              <w:t>0.05</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3A9CBD7A" w14:textId="77777777">
            <w:pPr>
              <w:pStyle w:val="NoSpacing"/>
              <w:rPr>
                <w:color w:val="000000"/>
                <w:sz w:val="18"/>
                <w:szCs w:val="18"/>
              </w:rPr>
            </w:pPr>
            <w:r w:rsidRPr="00D55842">
              <w:rPr>
                <w:color w:val="000000"/>
                <w:sz w:val="18"/>
                <w:szCs w:val="18"/>
              </w:rPr>
              <w:t>12.5</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2A1DBE93"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5224CB4B" w14:textId="77777777">
            <w:pPr>
              <w:pStyle w:val="NoSpacing"/>
              <w:rPr>
                <w:color w:val="000000"/>
                <w:sz w:val="18"/>
                <w:szCs w:val="18"/>
              </w:rPr>
            </w:pPr>
            <w:r w:rsidRPr="00D55842">
              <w:rPr>
                <w:color w:val="000000"/>
                <w:sz w:val="18"/>
                <w:szCs w:val="18"/>
              </w:rPr>
              <w:t>$569.50</w:t>
            </w:r>
          </w:p>
        </w:tc>
      </w:tr>
      <w:tr w14:paraId="2DAA7432" w14:textId="77777777" w:rsidTr="00BA5A3A">
        <w:tblPrEx>
          <w:tblW w:w="10098" w:type="dxa"/>
          <w:tblInd w:w="738" w:type="dxa"/>
          <w:tblLook w:val="04A0"/>
        </w:tblPrEx>
        <w:trPr>
          <w:trHeight w:val="470"/>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24309957" w14:textId="77777777">
            <w:pPr>
              <w:pStyle w:val="NoSpacing"/>
              <w:rPr>
                <w:color w:val="000000"/>
                <w:sz w:val="18"/>
                <w:szCs w:val="18"/>
              </w:rPr>
            </w:pPr>
            <w:r w:rsidRPr="00D55842">
              <w:rPr>
                <w:color w:val="000000"/>
                <w:sz w:val="18"/>
                <w:szCs w:val="18"/>
              </w:rPr>
              <w:t>Tax Opinion</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7777542D"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37E53DAE"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707C1573"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634FC36D" w14:textId="77777777">
            <w:pPr>
              <w:pStyle w:val="NoSpacing"/>
              <w:rPr>
                <w:color w:val="000000"/>
                <w:sz w:val="18"/>
                <w:szCs w:val="18"/>
              </w:rPr>
            </w:pPr>
            <w:r w:rsidRPr="00D55842">
              <w:rPr>
                <w:color w:val="000000"/>
                <w:sz w:val="18"/>
                <w:szCs w:val="18"/>
              </w:rPr>
              <w:t>4</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0609271C" w14:textId="77777777">
            <w:pPr>
              <w:pStyle w:val="NoSpacing"/>
              <w:rPr>
                <w:color w:val="000000"/>
                <w:sz w:val="18"/>
                <w:szCs w:val="18"/>
              </w:rPr>
            </w:pPr>
            <w:r w:rsidRPr="00D55842">
              <w:rPr>
                <w:color w:val="000000"/>
                <w:sz w:val="18"/>
                <w:szCs w:val="18"/>
              </w:rPr>
              <w:t>1000</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282E0FFA"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0A27A325" w14:textId="77777777">
            <w:pPr>
              <w:pStyle w:val="NoSpacing"/>
              <w:rPr>
                <w:color w:val="000000"/>
                <w:sz w:val="18"/>
                <w:szCs w:val="18"/>
              </w:rPr>
            </w:pPr>
            <w:r w:rsidRPr="00D55842">
              <w:rPr>
                <w:color w:val="000000"/>
                <w:sz w:val="18"/>
                <w:szCs w:val="18"/>
              </w:rPr>
              <w:t>$45,560.00</w:t>
            </w:r>
          </w:p>
        </w:tc>
      </w:tr>
      <w:tr w14:paraId="422091CC" w14:textId="77777777" w:rsidTr="00BA5A3A">
        <w:tblPrEx>
          <w:tblW w:w="10098" w:type="dxa"/>
          <w:tblInd w:w="738" w:type="dxa"/>
          <w:tblLook w:val="04A0"/>
        </w:tblPrEx>
        <w:trPr>
          <w:trHeight w:val="470"/>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7F386D04" w14:textId="77777777">
            <w:pPr>
              <w:pStyle w:val="NoSpacing"/>
              <w:rPr>
                <w:color w:val="000000"/>
                <w:sz w:val="18"/>
                <w:szCs w:val="18"/>
              </w:rPr>
            </w:pPr>
            <w:r w:rsidRPr="00D55842">
              <w:rPr>
                <w:color w:val="000000"/>
                <w:sz w:val="18"/>
                <w:szCs w:val="18"/>
              </w:rPr>
              <w:t>Transfer Affidavit</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32BB1DE7"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4F76ECAD"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206286CF"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7EDA847E" w14:textId="77777777">
            <w:pPr>
              <w:pStyle w:val="NoSpacing"/>
              <w:rPr>
                <w:color w:val="000000"/>
                <w:sz w:val="18"/>
                <w:szCs w:val="18"/>
              </w:rPr>
            </w:pPr>
            <w:r w:rsidRPr="00D55842">
              <w:rPr>
                <w:color w:val="000000"/>
                <w:sz w:val="18"/>
                <w:szCs w:val="18"/>
              </w:rPr>
              <w:t>0.08</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2019D90D" w14:textId="77777777">
            <w:pPr>
              <w:pStyle w:val="NoSpacing"/>
              <w:rPr>
                <w:color w:val="000000"/>
                <w:sz w:val="18"/>
                <w:szCs w:val="18"/>
              </w:rPr>
            </w:pPr>
            <w:r w:rsidRPr="00D55842">
              <w:rPr>
                <w:color w:val="000000"/>
                <w:sz w:val="18"/>
                <w:szCs w:val="18"/>
              </w:rPr>
              <w:t>20</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1AA88431"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4DE415AE" w14:textId="77777777">
            <w:pPr>
              <w:pStyle w:val="NoSpacing"/>
              <w:rPr>
                <w:color w:val="000000"/>
                <w:sz w:val="18"/>
                <w:szCs w:val="18"/>
              </w:rPr>
            </w:pPr>
            <w:r w:rsidRPr="00D55842">
              <w:rPr>
                <w:color w:val="000000"/>
                <w:sz w:val="18"/>
                <w:szCs w:val="18"/>
              </w:rPr>
              <w:t>$911.20</w:t>
            </w:r>
          </w:p>
        </w:tc>
      </w:tr>
      <w:tr w14:paraId="39C26238" w14:textId="77777777" w:rsidTr="00BA5A3A">
        <w:tblPrEx>
          <w:tblW w:w="10098" w:type="dxa"/>
          <w:tblInd w:w="738" w:type="dxa"/>
          <w:tblLook w:val="04A0"/>
        </w:tblPrEx>
        <w:trPr>
          <w:trHeight w:val="232"/>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768613ED" w14:textId="77777777">
            <w:pPr>
              <w:pStyle w:val="NoSpacing"/>
              <w:rPr>
                <w:color w:val="000000"/>
                <w:sz w:val="18"/>
                <w:szCs w:val="18"/>
              </w:rPr>
            </w:pPr>
            <w:r w:rsidRPr="00D55842">
              <w:rPr>
                <w:color w:val="000000"/>
                <w:sz w:val="18"/>
                <w:szCs w:val="18"/>
              </w:rPr>
              <w:t>Supplemental Statement</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10B75C9E"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6568D411" w14:textId="77777777">
            <w:pPr>
              <w:pStyle w:val="NoSpacing"/>
              <w:rPr>
                <w:color w:val="000000"/>
                <w:sz w:val="18"/>
                <w:szCs w:val="18"/>
              </w:rPr>
            </w:pPr>
            <w:r w:rsidRPr="00D55842">
              <w:rPr>
                <w:color w:val="000000"/>
                <w:sz w:val="18"/>
                <w:szCs w:val="18"/>
              </w:rPr>
              <w:t>0.25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019C72A3" w14:textId="77777777">
            <w:pPr>
              <w:pStyle w:val="NoSpacing"/>
              <w:rPr>
                <w:color w:val="000000"/>
                <w:sz w:val="18"/>
                <w:szCs w:val="18"/>
              </w:rPr>
            </w:pPr>
            <w:r w:rsidRPr="00D55842">
              <w:rPr>
                <w:color w:val="000000"/>
                <w:sz w:val="18"/>
                <w:szCs w:val="18"/>
              </w:rPr>
              <w:t>6.25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69E67E40" w14:textId="77777777">
            <w:pPr>
              <w:pStyle w:val="NoSpacing"/>
              <w:rPr>
                <w:color w:val="000000"/>
                <w:sz w:val="18"/>
                <w:szCs w:val="18"/>
              </w:rPr>
            </w:pPr>
            <w:r w:rsidRPr="00D55842">
              <w:rPr>
                <w:color w:val="000000"/>
                <w:sz w:val="18"/>
                <w:szCs w:val="18"/>
              </w:rPr>
              <w:t>1</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4A864F71" w14:textId="77777777">
            <w:pPr>
              <w:pStyle w:val="NoSpacing"/>
              <w:rPr>
                <w:color w:val="000000"/>
                <w:sz w:val="18"/>
                <w:szCs w:val="18"/>
              </w:rPr>
            </w:pPr>
            <w:r w:rsidRPr="00D55842">
              <w:rPr>
                <w:color w:val="000000"/>
                <w:sz w:val="18"/>
                <w:szCs w:val="18"/>
              </w:rPr>
              <w:t>6.25</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1DA28076"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7E27039C" w14:textId="77777777">
            <w:pPr>
              <w:pStyle w:val="NoSpacing"/>
              <w:rPr>
                <w:color w:val="000000"/>
                <w:sz w:val="18"/>
                <w:szCs w:val="18"/>
              </w:rPr>
            </w:pPr>
            <w:r w:rsidRPr="00D55842">
              <w:rPr>
                <w:color w:val="000000"/>
                <w:sz w:val="18"/>
                <w:szCs w:val="18"/>
              </w:rPr>
              <w:t>$284.75</w:t>
            </w:r>
          </w:p>
        </w:tc>
      </w:tr>
      <w:tr w14:paraId="76EDA3C3" w14:textId="77777777" w:rsidTr="00BA5A3A">
        <w:tblPrEx>
          <w:tblW w:w="10098" w:type="dxa"/>
          <w:tblInd w:w="738" w:type="dxa"/>
          <w:tblLook w:val="04A0"/>
        </w:tblPrEx>
        <w:trPr>
          <w:trHeight w:val="502"/>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713EE392" w14:textId="77777777">
            <w:pPr>
              <w:pStyle w:val="NoSpacing"/>
              <w:rPr>
                <w:color w:val="000000"/>
                <w:sz w:val="18"/>
                <w:szCs w:val="18"/>
              </w:rPr>
            </w:pPr>
            <w:r w:rsidRPr="00D55842">
              <w:rPr>
                <w:color w:val="000000"/>
                <w:sz w:val="18"/>
                <w:szCs w:val="18"/>
              </w:rPr>
              <w:t>Final Data Statements (attached to closing letter)</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14AD4117"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55A6DC4E"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7D5E8B14"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2F0A69F0" w14:textId="77777777">
            <w:pPr>
              <w:pStyle w:val="NoSpacing"/>
              <w:rPr>
                <w:color w:val="000000"/>
                <w:sz w:val="18"/>
                <w:szCs w:val="18"/>
              </w:rPr>
            </w:pPr>
            <w:r w:rsidRPr="00D55842">
              <w:rPr>
                <w:color w:val="000000"/>
                <w:sz w:val="18"/>
                <w:szCs w:val="18"/>
              </w:rPr>
              <w:t>32</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3D8EF6C7" w14:textId="77777777">
            <w:pPr>
              <w:pStyle w:val="NoSpacing"/>
              <w:rPr>
                <w:color w:val="000000"/>
                <w:sz w:val="18"/>
                <w:szCs w:val="18"/>
              </w:rPr>
            </w:pPr>
            <w:r w:rsidRPr="00D55842">
              <w:rPr>
                <w:color w:val="000000"/>
                <w:sz w:val="18"/>
                <w:szCs w:val="18"/>
              </w:rPr>
              <w:t>8000</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309DFAEC"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37B00647" w14:textId="77777777">
            <w:pPr>
              <w:pStyle w:val="NoSpacing"/>
              <w:rPr>
                <w:color w:val="000000"/>
                <w:sz w:val="18"/>
                <w:szCs w:val="18"/>
              </w:rPr>
            </w:pPr>
            <w:r w:rsidRPr="00D55842">
              <w:rPr>
                <w:color w:val="000000"/>
                <w:sz w:val="18"/>
                <w:szCs w:val="18"/>
              </w:rPr>
              <w:t>$364,480.00</w:t>
            </w:r>
          </w:p>
        </w:tc>
      </w:tr>
      <w:tr w14:paraId="1F7221C9" w14:textId="77777777" w:rsidTr="00BA5A3A">
        <w:tblPrEx>
          <w:tblW w:w="10098" w:type="dxa"/>
          <w:tblInd w:w="738" w:type="dxa"/>
          <w:tblLook w:val="04A0"/>
        </w:tblPrEx>
        <w:trPr>
          <w:trHeight w:val="403"/>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15B0651B" w14:textId="77777777">
            <w:pPr>
              <w:pStyle w:val="NoSpacing"/>
              <w:rPr>
                <w:color w:val="000000"/>
                <w:sz w:val="18"/>
                <w:szCs w:val="18"/>
              </w:rPr>
            </w:pPr>
            <w:r w:rsidRPr="00D55842">
              <w:rPr>
                <w:color w:val="000000"/>
                <w:sz w:val="18"/>
                <w:szCs w:val="18"/>
              </w:rPr>
              <w:t>Accountants' Closing Letter</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2B237AA0"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0B242059"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03F9B01B"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1CE5B103" w14:textId="77777777">
            <w:pPr>
              <w:pStyle w:val="NoSpacing"/>
              <w:rPr>
                <w:color w:val="000000"/>
                <w:sz w:val="18"/>
                <w:szCs w:val="18"/>
              </w:rPr>
            </w:pPr>
            <w:r w:rsidRPr="00D55842">
              <w:rPr>
                <w:color w:val="000000"/>
                <w:sz w:val="18"/>
                <w:szCs w:val="18"/>
              </w:rPr>
              <w:t>8</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32C47238" w14:textId="77777777">
            <w:pPr>
              <w:pStyle w:val="NoSpacing"/>
              <w:rPr>
                <w:color w:val="000000"/>
                <w:sz w:val="18"/>
                <w:szCs w:val="18"/>
              </w:rPr>
            </w:pPr>
            <w:r w:rsidRPr="00D55842">
              <w:rPr>
                <w:color w:val="000000"/>
                <w:sz w:val="18"/>
                <w:szCs w:val="18"/>
              </w:rPr>
              <w:t>2000</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355E95AD"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08A0E4B1" w14:textId="77777777">
            <w:pPr>
              <w:pStyle w:val="NoSpacing"/>
              <w:rPr>
                <w:color w:val="000000"/>
                <w:sz w:val="18"/>
                <w:szCs w:val="18"/>
              </w:rPr>
            </w:pPr>
            <w:r w:rsidRPr="00D55842">
              <w:rPr>
                <w:color w:val="000000"/>
                <w:sz w:val="18"/>
                <w:szCs w:val="18"/>
              </w:rPr>
              <w:t>$91,120.00</w:t>
            </w:r>
          </w:p>
        </w:tc>
      </w:tr>
      <w:tr w14:paraId="630879C7" w14:textId="77777777" w:rsidTr="00BA5A3A">
        <w:tblPrEx>
          <w:tblW w:w="10098" w:type="dxa"/>
          <w:tblInd w:w="738" w:type="dxa"/>
          <w:tblLook w:val="04A0"/>
        </w:tblPrEx>
        <w:trPr>
          <w:trHeight w:val="412"/>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7886DA6F" w14:textId="77777777">
            <w:pPr>
              <w:pStyle w:val="NoSpacing"/>
              <w:rPr>
                <w:color w:val="000000"/>
                <w:sz w:val="18"/>
                <w:szCs w:val="18"/>
              </w:rPr>
            </w:pPr>
            <w:r w:rsidRPr="00D55842">
              <w:rPr>
                <w:color w:val="000000"/>
                <w:sz w:val="18"/>
                <w:szCs w:val="18"/>
              </w:rPr>
              <w:t>Accountants' OSC Letter</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6876B9ED"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2DC79EA0"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5E1D3EAF"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22FAA242" w14:textId="77777777">
            <w:pPr>
              <w:pStyle w:val="NoSpacing"/>
              <w:rPr>
                <w:color w:val="000000"/>
                <w:sz w:val="18"/>
                <w:szCs w:val="18"/>
              </w:rPr>
            </w:pPr>
            <w:r w:rsidRPr="00D55842">
              <w:rPr>
                <w:color w:val="000000"/>
                <w:sz w:val="18"/>
                <w:szCs w:val="18"/>
              </w:rPr>
              <w:t>8</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042F79EC" w14:textId="77777777">
            <w:pPr>
              <w:pStyle w:val="NoSpacing"/>
              <w:rPr>
                <w:color w:val="000000"/>
                <w:sz w:val="18"/>
                <w:szCs w:val="18"/>
              </w:rPr>
            </w:pPr>
            <w:r w:rsidRPr="00D55842">
              <w:rPr>
                <w:color w:val="000000"/>
                <w:sz w:val="18"/>
                <w:szCs w:val="18"/>
              </w:rPr>
              <w:t>2000</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2C651233"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3C780299" w14:textId="77777777">
            <w:pPr>
              <w:pStyle w:val="NoSpacing"/>
              <w:rPr>
                <w:color w:val="000000"/>
                <w:sz w:val="18"/>
                <w:szCs w:val="18"/>
              </w:rPr>
            </w:pPr>
            <w:r w:rsidRPr="00D55842">
              <w:rPr>
                <w:color w:val="000000"/>
                <w:sz w:val="18"/>
                <w:szCs w:val="18"/>
              </w:rPr>
              <w:t>$91,120.00</w:t>
            </w:r>
          </w:p>
        </w:tc>
      </w:tr>
      <w:tr w14:paraId="792E2DEA" w14:textId="77777777" w:rsidTr="00BA5A3A">
        <w:tblPrEx>
          <w:tblW w:w="10098" w:type="dxa"/>
          <w:tblInd w:w="738" w:type="dxa"/>
          <w:tblLook w:val="04A0"/>
        </w:tblPrEx>
        <w:trPr>
          <w:trHeight w:val="331"/>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5734AB19" w14:textId="77777777">
            <w:pPr>
              <w:pStyle w:val="NoSpacing"/>
              <w:rPr>
                <w:color w:val="000000"/>
                <w:sz w:val="18"/>
                <w:szCs w:val="18"/>
              </w:rPr>
            </w:pPr>
            <w:r w:rsidRPr="00D55842">
              <w:rPr>
                <w:color w:val="000000"/>
                <w:sz w:val="18"/>
                <w:szCs w:val="18"/>
              </w:rPr>
              <w:t>Structuring Data</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1A94B5D3"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56102E07"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45C29C3B"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55F06D88" w14:textId="77777777">
            <w:pPr>
              <w:pStyle w:val="NoSpacing"/>
              <w:rPr>
                <w:color w:val="000000"/>
                <w:sz w:val="18"/>
                <w:szCs w:val="18"/>
              </w:rPr>
            </w:pPr>
            <w:r w:rsidRPr="00D55842">
              <w:rPr>
                <w:color w:val="000000"/>
                <w:sz w:val="18"/>
                <w:szCs w:val="18"/>
              </w:rPr>
              <w:t>8</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03A6DC0B" w14:textId="77777777">
            <w:pPr>
              <w:pStyle w:val="NoSpacing"/>
              <w:rPr>
                <w:color w:val="000000"/>
                <w:sz w:val="18"/>
                <w:szCs w:val="18"/>
              </w:rPr>
            </w:pPr>
            <w:r w:rsidRPr="00D55842">
              <w:rPr>
                <w:color w:val="000000"/>
                <w:sz w:val="18"/>
                <w:szCs w:val="18"/>
              </w:rPr>
              <w:t>2000</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3354391C"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411FB9F8" w14:textId="77777777">
            <w:pPr>
              <w:pStyle w:val="NoSpacing"/>
              <w:rPr>
                <w:color w:val="000000"/>
                <w:sz w:val="18"/>
                <w:szCs w:val="18"/>
              </w:rPr>
            </w:pPr>
            <w:r w:rsidRPr="00D55842">
              <w:rPr>
                <w:color w:val="000000"/>
                <w:sz w:val="18"/>
                <w:szCs w:val="18"/>
              </w:rPr>
              <w:t>$91,120.00</w:t>
            </w:r>
          </w:p>
        </w:tc>
      </w:tr>
      <w:tr w14:paraId="1F574F7A" w14:textId="77777777" w:rsidTr="00BA5A3A">
        <w:tblPrEx>
          <w:tblW w:w="10098" w:type="dxa"/>
          <w:tblInd w:w="738" w:type="dxa"/>
          <w:tblLook w:val="04A0"/>
        </w:tblPrEx>
        <w:trPr>
          <w:trHeight w:val="470"/>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7BA46D81" w14:textId="77777777">
            <w:pPr>
              <w:pStyle w:val="NoSpacing"/>
              <w:rPr>
                <w:color w:val="000000"/>
                <w:sz w:val="18"/>
                <w:szCs w:val="18"/>
              </w:rPr>
            </w:pPr>
            <w:r w:rsidRPr="00D55842">
              <w:rPr>
                <w:color w:val="000000"/>
                <w:sz w:val="18"/>
                <w:szCs w:val="18"/>
              </w:rPr>
              <w:t>Financial Statements</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6E09E5AC"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0CBCE269"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4546916A"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3F455CFC" w14:textId="77777777">
            <w:pPr>
              <w:pStyle w:val="NoSpacing"/>
              <w:rPr>
                <w:color w:val="000000"/>
                <w:sz w:val="18"/>
                <w:szCs w:val="18"/>
              </w:rPr>
            </w:pPr>
            <w:r w:rsidRPr="00D55842">
              <w:rPr>
                <w:color w:val="000000"/>
                <w:sz w:val="18"/>
                <w:szCs w:val="18"/>
              </w:rPr>
              <w:t>1</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630D0257" w14:textId="77777777">
            <w:pPr>
              <w:pStyle w:val="NoSpacing"/>
              <w:rPr>
                <w:color w:val="000000"/>
                <w:sz w:val="18"/>
                <w:szCs w:val="18"/>
              </w:rPr>
            </w:pPr>
            <w:r w:rsidRPr="00D55842">
              <w:rPr>
                <w:color w:val="000000"/>
                <w:sz w:val="18"/>
                <w:szCs w:val="18"/>
              </w:rPr>
              <w:t>250</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051FB8CC"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2D0120E2" w14:textId="77777777">
            <w:pPr>
              <w:pStyle w:val="NoSpacing"/>
              <w:rPr>
                <w:color w:val="000000"/>
                <w:sz w:val="18"/>
                <w:szCs w:val="18"/>
              </w:rPr>
            </w:pPr>
            <w:r w:rsidRPr="00D55842">
              <w:rPr>
                <w:color w:val="000000"/>
                <w:sz w:val="18"/>
                <w:szCs w:val="18"/>
              </w:rPr>
              <w:t>$11,390.00</w:t>
            </w:r>
          </w:p>
        </w:tc>
      </w:tr>
      <w:tr w14:paraId="5D9549E1" w14:textId="77777777" w:rsidTr="00BA5A3A">
        <w:tblPrEx>
          <w:tblW w:w="10098" w:type="dxa"/>
          <w:tblInd w:w="738" w:type="dxa"/>
          <w:tblLook w:val="04A0"/>
        </w:tblPrEx>
        <w:trPr>
          <w:trHeight w:val="475"/>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7390B8D5" w14:textId="77777777">
            <w:pPr>
              <w:pStyle w:val="NoSpacing"/>
              <w:rPr>
                <w:color w:val="000000"/>
                <w:sz w:val="18"/>
                <w:szCs w:val="18"/>
              </w:rPr>
            </w:pPr>
            <w:r w:rsidRPr="00D55842">
              <w:rPr>
                <w:color w:val="000000"/>
                <w:sz w:val="18"/>
                <w:szCs w:val="18"/>
              </w:rPr>
              <w:t>Principal and Interest Factor File Specifications</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120FC874"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0289D466"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7CA600C0"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0777D2B2" w14:textId="77777777">
            <w:pPr>
              <w:pStyle w:val="NoSpacing"/>
              <w:rPr>
                <w:color w:val="000000"/>
                <w:sz w:val="18"/>
                <w:szCs w:val="18"/>
              </w:rPr>
            </w:pPr>
            <w:r w:rsidRPr="00D55842">
              <w:rPr>
                <w:color w:val="000000"/>
                <w:sz w:val="18"/>
                <w:szCs w:val="18"/>
              </w:rPr>
              <w:t>16</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1ADAB455" w14:textId="77777777">
            <w:pPr>
              <w:pStyle w:val="NoSpacing"/>
              <w:rPr>
                <w:color w:val="000000"/>
                <w:sz w:val="18"/>
                <w:szCs w:val="18"/>
              </w:rPr>
            </w:pPr>
            <w:r w:rsidRPr="00D55842">
              <w:rPr>
                <w:color w:val="000000"/>
                <w:sz w:val="18"/>
                <w:szCs w:val="18"/>
              </w:rPr>
              <w:t>4000</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5344E729"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1564F846" w14:textId="77777777">
            <w:pPr>
              <w:pStyle w:val="NoSpacing"/>
              <w:rPr>
                <w:color w:val="000000"/>
                <w:sz w:val="18"/>
                <w:szCs w:val="18"/>
              </w:rPr>
            </w:pPr>
            <w:r w:rsidRPr="00D55842">
              <w:rPr>
                <w:color w:val="000000"/>
                <w:sz w:val="18"/>
                <w:szCs w:val="18"/>
              </w:rPr>
              <w:t>$182,240.00</w:t>
            </w:r>
          </w:p>
        </w:tc>
      </w:tr>
      <w:tr w14:paraId="4D6E1023" w14:textId="77777777" w:rsidTr="00BA5A3A">
        <w:tblPrEx>
          <w:tblW w:w="10098" w:type="dxa"/>
          <w:tblInd w:w="738" w:type="dxa"/>
          <w:tblLook w:val="04A0"/>
        </w:tblPrEx>
        <w:trPr>
          <w:trHeight w:val="106"/>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43401C46" w14:textId="77777777">
            <w:pPr>
              <w:pStyle w:val="NoSpacing"/>
              <w:rPr>
                <w:color w:val="000000"/>
                <w:sz w:val="18"/>
                <w:szCs w:val="18"/>
              </w:rPr>
            </w:pPr>
            <w:r w:rsidRPr="00D55842">
              <w:rPr>
                <w:color w:val="000000"/>
                <w:sz w:val="18"/>
                <w:szCs w:val="18"/>
              </w:rPr>
              <w:t>Distribution Dates and Statement</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0D89739D"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6D24FAC4"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3EB51BE7"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44FC3992" w14:textId="77777777">
            <w:pPr>
              <w:pStyle w:val="NoSpacing"/>
              <w:rPr>
                <w:color w:val="000000"/>
                <w:sz w:val="18"/>
                <w:szCs w:val="18"/>
              </w:rPr>
            </w:pPr>
            <w:r w:rsidRPr="00D55842">
              <w:rPr>
                <w:color w:val="000000"/>
                <w:sz w:val="18"/>
                <w:szCs w:val="18"/>
              </w:rPr>
              <w:t>0.42</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1B3968EA" w14:textId="77777777">
            <w:pPr>
              <w:pStyle w:val="NoSpacing"/>
              <w:rPr>
                <w:color w:val="000000"/>
                <w:sz w:val="18"/>
                <w:szCs w:val="18"/>
              </w:rPr>
            </w:pPr>
            <w:r w:rsidRPr="00D55842">
              <w:rPr>
                <w:color w:val="000000"/>
                <w:sz w:val="18"/>
                <w:szCs w:val="18"/>
              </w:rPr>
              <w:t>105</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047A8871"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6BD109B3" w14:textId="77777777">
            <w:pPr>
              <w:pStyle w:val="NoSpacing"/>
              <w:rPr>
                <w:color w:val="000000"/>
                <w:sz w:val="18"/>
                <w:szCs w:val="18"/>
              </w:rPr>
            </w:pPr>
            <w:r w:rsidRPr="00D55842">
              <w:rPr>
                <w:color w:val="000000"/>
                <w:sz w:val="18"/>
                <w:szCs w:val="18"/>
              </w:rPr>
              <w:t>$4,783.80</w:t>
            </w:r>
          </w:p>
        </w:tc>
      </w:tr>
      <w:tr w14:paraId="2CAED3F0" w14:textId="77777777" w:rsidTr="00BA5A3A">
        <w:tblPrEx>
          <w:tblW w:w="10098" w:type="dxa"/>
          <w:tblInd w:w="738" w:type="dxa"/>
          <w:tblLook w:val="04A0"/>
        </w:tblPrEx>
        <w:trPr>
          <w:trHeight w:val="106"/>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126DEF27" w14:textId="77777777">
            <w:pPr>
              <w:pStyle w:val="NoSpacing"/>
              <w:rPr>
                <w:color w:val="000000"/>
                <w:sz w:val="18"/>
                <w:szCs w:val="18"/>
              </w:rPr>
            </w:pPr>
            <w:r w:rsidRPr="00D55842">
              <w:rPr>
                <w:color w:val="000000"/>
                <w:sz w:val="18"/>
                <w:szCs w:val="18"/>
              </w:rPr>
              <w:t>Term Sheet</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1E7C55E1"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22F760BF"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07474839"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54AA5519" w14:textId="77777777">
            <w:pPr>
              <w:pStyle w:val="NoSpacing"/>
              <w:rPr>
                <w:color w:val="000000"/>
                <w:sz w:val="18"/>
                <w:szCs w:val="18"/>
              </w:rPr>
            </w:pPr>
            <w:r w:rsidRPr="00D55842">
              <w:rPr>
                <w:color w:val="000000"/>
                <w:sz w:val="18"/>
                <w:szCs w:val="18"/>
              </w:rPr>
              <w:t>2</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258F883C" w14:textId="77777777">
            <w:pPr>
              <w:pStyle w:val="NoSpacing"/>
              <w:rPr>
                <w:color w:val="000000"/>
                <w:sz w:val="18"/>
                <w:szCs w:val="18"/>
              </w:rPr>
            </w:pPr>
            <w:r w:rsidRPr="00D55842">
              <w:rPr>
                <w:color w:val="000000"/>
                <w:sz w:val="18"/>
                <w:szCs w:val="18"/>
              </w:rPr>
              <w:t>500</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0E6A2BB5"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1A1B844A" w14:textId="77777777">
            <w:pPr>
              <w:pStyle w:val="NoSpacing"/>
              <w:rPr>
                <w:color w:val="000000"/>
                <w:sz w:val="18"/>
                <w:szCs w:val="18"/>
              </w:rPr>
            </w:pPr>
            <w:r w:rsidRPr="00D55842">
              <w:rPr>
                <w:color w:val="000000"/>
                <w:sz w:val="18"/>
                <w:szCs w:val="18"/>
              </w:rPr>
              <w:t>$22,780.00</w:t>
            </w:r>
          </w:p>
        </w:tc>
      </w:tr>
      <w:tr w14:paraId="0D4A90ED" w14:textId="77777777" w:rsidTr="00BA5A3A">
        <w:tblPrEx>
          <w:tblW w:w="10098" w:type="dxa"/>
          <w:tblInd w:w="738" w:type="dxa"/>
          <w:tblLook w:val="04A0"/>
        </w:tblPrEx>
        <w:trPr>
          <w:trHeight w:val="394"/>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4A057BD9" w14:textId="77777777">
            <w:pPr>
              <w:pStyle w:val="NoSpacing"/>
              <w:rPr>
                <w:color w:val="000000"/>
                <w:sz w:val="18"/>
                <w:szCs w:val="18"/>
              </w:rPr>
            </w:pPr>
            <w:r w:rsidRPr="00D55842">
              <w:rPr>
                <w:color w:val="000000"/>
                <w:sz w:val="18"/>
                <w:szCs w:val="18"/>
              </w:rPr>
              <w:t>New Issue File Layout</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4F6D0F9E"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25FD0DCC"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78070613"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4081053B" w14:textId="77777777">
            <w:pPr>
              <w:pStyle w:val="NoSpacing"/>
              <w:rPr>
                <w:color w:val="000000"/>
                <w:sz w:val="18"/>
                <w:szCs w:val="18"/>
              </w:rPr>
            </w:pPr>
            <w:r w:rsidRPr="00D55842">
              <w:rPr>
                <w:color w:val="000000"/>
                <w:sz w:val="18"/>
                <w:szCs w:val="18"/>
              </w:rPr>
              <w:t>4</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30B28BDD" w14:textId="77777777">
            <w:pPr>
              <w:pStyle w:val="NoSpacing"/>
              <w:rPr>
                <w:color w:val="000000"/>
                <w:sz w:val="18"/>
                <w:szCs w:val="18"/>
              </w:rPr>
            </w:pPr>
            <w:r w:rsidRPr="00D55842">
              <w:rPr>
                <w:color w:val="000000"/>
                <w:sz w:val="18"/>
                <w:szCs w:val="18"/>
              </w:rPr>
              <w:t>1000</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4CAC788C"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0F9975D8" w14:textId="77777777">
            <w:pPr>
              <w:pStyle w:val="NoSpacing"/>
              <w:rPr>
                <w:color w:val="000000"/>
                <w:sz w:val="18"/>
                <w:szCs w:val="18"/>
              </w:rPr>
            </w:pPr>
            <w:r w:rsidRPr="00D55842">
              <w:rPr>
                <w:color w:val="000000"/>
                <w:sz w:val="18"/>
                <w:szCs w:val="18"/>
              </w:rPr>
              <w:t>$45,560.00</w:t>
            </w:r>
          </w:p>
        </w:tc>
      </w:tr>
      <w:tr w14:paraId="7F20BDD3" w14:textId="77777777" w:rsidTr="00BA5A3A">
        <w:tblPrEx>
          <w:tblW w:w="10098" w:type="dxa"/>
          <w:tblInd w:w="738" w:type="dxa"/>
          <w:tblLook w:val="04A0"/>
        </w:tblPrEx>
        <w:trPr>
          <w:trHeight w:val="313"/>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00A68315" w14:textId="77777777">
            <w:pPr>
              <w:pStyle w:val="NoSpacing"/>
              <w:rPr>
                <w:color w:val="000000"/>
                <w:sz w:val="18"/>
                <w:szCs w:val="18"/>
              </w:rPr>
            </w:pPr>
            <w:r w:rsidRPr="00D55842">
              <w:rPr>
                <w:color w:val="000000"/>
                <w:sz w:val="18"/>
                <w:szCs w:val="18"/>
              </w:rPr>
              <w:t>Flow of Funds</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0EFF6BD6"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77D8B4DA"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4F9EF8CE"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20BBE4C2" w14:textId="77777777">
            <w:pPr>
              <w:pStyle w:val="NoSpacing"/>
              <w:rPr>
                <w:color w:val="000000"/>
                <w:sz w:val="18"/>
                <w:szCs w:val="18"/>
              </w:rPr>
            </w:pPr>
            <w:r w:rsidRPr="00D55842">
              <w:rPr>
                <w:color w:val="000000"/>
                <w:sz w:val="18"/>
                <w:szCs w:val="18"/>
              </w:rPr>
              <w:t>0.16</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6343ABDC" w14:textId="77777777">
            <w:pPr>
              <w:pStyle w:val="NoSpacing"/>
              <w:rPr>
                <w:color w:val="000000"/>
                <w:sz w:val="18"/>
                <w:szCs w:val="18"/>
              </w:rPr>
            </w:pPr>
            <w:r w:rsidRPr="00D55842">
              <w:rPr>
                <w:color w:val="000000"/>
                <w:sz w:val="18"/>
                <w:szCs w:val="18"/>
              </w:rPr>
              <w:t>40</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3624F868"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435A6D52" w14:textId="77777777">
            <w:pPr>
              <w:pStyle w:val="NoSpacing"/>
              <w:rPr>
                <w:color w:val="000000"/>
                <w:sz w:val="18"/>
                <w:szCs w:val="18"/>
              </w:rPr>
            </w:pPr>
            <w:r w:rsidRPr="00D55842">
              <w:rPr>
                <w:color w:val="000000"/>
                <w:sz w:val="18"/>
                <w:szCs w:val="18"/>
              </w:rPr>
              <w:t>$1,822.40</w:t>
            </w:r>
          </w:p>
        </w:tc>
      </w:tr>
      <w:tr w14:paraId="71A128BD" w14:textId="77777777" w:rsidTr="00BA5A3A">
        <w:tblPrEx>
          <w:tblW w:w="10098" w:type="dxa"/>
          <w:tblInd w:w="738" w:type="dxa"/>
          <w:tblLook w:val="04A0"/>
        </w:tblPrEx>
        <w:trPr>
          <w:trHeight w:val="470"/>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261F3C18" w14:textId="77777777">
            <w:pPr>
              <w:pStyle w:val="NoSpacing"/>
              <w:rPr>
                <w:color w:val="000000"/>
                <w:sz w:val="18"/>
                <w:szCs w:val="18"/>
              </w:rPr>
            </w:pPr>
            <w:r w:rsidRPr="00D55842">
              <w:rPr>
                <w:color w:val="000000"/>
                <w:sz w:val="18"/>
                <w:szCs w:val="18"/>
              </w:rPr>
              <w:t>Trustee Receipt</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175122B0" w14:textId="77777777">
            <w:pPr>
              <w:pStyle w:val="NoSpacing"/>
              <w:rPr>
                <w:color w:val="000000"/>
                <w:sz w:val="18"/>
                <w:szCs w:val="18"/>
              </w:rPr>
            </w:pPr>
            <w:r w:rsidRPr="00D55842">
              <w:rPr>
                <w:color w:val="000000"/>
                <w:sz w:val="18"/>
                <w:szCs w:val="18"/>
              </w:rPr>
              <w:t>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1EAC75BC"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592D5ED3" w14:textId="77777777">
            <w:pPr>
              <w:pStyle w:val="NoSpacing"/>
              <w:rPr>
                <w:color w:val="000000"/>
                <w:sz w:val="18"/>
                <w:szCs w:val="18"/>
              </w:rPr>
            </w:pPr>
            <w:r w:rsidRPr="00D55842">
              <w:rPr>
                <w:color w:val="000000"/>
                <w:sz w:val="18"/>
                <w:szCs w:val="18"/>
              </w:rPr>
              <w:t>250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3C9BA0F7" w14:textId="77777777">
            <w:pPr>
              <w:pStyle w:val="NoSpacing"/>
              <w:rPr>
                <w:color w:val="000000"/>
                <w:sz w:val="18"/>
                <w:szCs w:val="18"/>
              </w:rPr>
            </w:pPr>
            <w:r w:rsidRPr="00D55842">
              <w:rPr>
                <w:color w:val="000000"/>
                <w:sz w:val="18"/>
                <w:szCs w:val="18"/>
              </w:rPr>
              <w:t>2</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397AF52E" w14:textId="77777777">
            <w:pPr>
              <w:pStyle w:val="NoSpacing"/>
              <w:rPr>
                <w:color w:val="000000"/>
                <w:sz w:val="18"/>
                <w:szCs w:val="18"/>
              </w:rPr>
            </w:pPr>
            <w:r w:rsidRPr="00D55842">
              <w:rPr>
                <w:color w:val="000000"/>
                <w:sz w:val="18"/>
                <w:szCs w:val="18"/>
              </w:rPr>
              <w:t>500</w:t>
            </w:r>
          </w:p>
        </w:tc>
        <w:tc>
          <w:tcPr>
            <w:tcW w:w="990" w:type="dxa"/>
            <w:tcBorders>
              <w:top w:val="nil"/>
              <w:left w:val="nil"/>
              <w:bottom w:val="nil"/>
              <w:right w:val="single" w:sz="8" w:space="0" w:color="000000"/>
            </w:tcBorders>
            <w:shd w:val="clear" w:color="auto" w:fill="auto"/>
            <w:vAlign w:val="center"/>
            <w:hideMark/>
          </w:tcPr>
          <w:p w:rsidR="00BA5A3A" w:rsidRPr="00D55842" w:rsidP="00B167BF" w14:paraId="3D1CAA32" w14:textId="77777777">
            <w:pPr>
              <w:pStyle w:val="NoSpacing"/>
              <w:rPr>
                <w:color w:val="000000"/>
                <w:sz w:val="18"/>
                <w:szCs w:val="18"/>
              </w:rPr>
            </w:pPr>
            <w:r w:rsidRPr="00D55842">
              <w:rPr>
                <w:color w:val="000000"/>
                <w:sz w:val="18"/>
                <w:szCs w:val="18"/>
              </w:rPr>
              <w:t>$45.56</w:t>
            </w:r>
          </w:p>
        </w:tc>
        <w:tc>
          <w:tcPr>
            <w:tcW w:w="1260" w:type="dxa"/>
            <w:tcBorders>
              <w:top w:val="nil"/>
              <w:left w:val="nil"/>
              <w:bottom w:val="nil"/>
              <w:right w:val="single" w:sz="8" w:space="0" w:color="000000"/>
            </w:tcBorders>
            <w:shd w:val="clear" w:color="auto" w:fill="auto"/>
            <w:vAlign w:val="center"/>
            <w:hideMark/>
          </w:tcPr>
          <w:p w:rsidR="00BA5A3A" w:rsidRPr="00D55842" w:rsidP="00B167BF" w14:paraId="0FBA1AC1" w14:textId="77777777">
            <w:pPr>
              <w:pStyle w:val="NoSpacing"/>
              <w:rPr>
                <w:color w:val="000000"/>
                <w:sz w:val="18"/>
                <w:szCs w:val="18"/>
              </w:rPr>
            </w:pPr>
            <w:r w:rsidRPr="00D55842">
              <w:rPr>
                <w:color w:val="000000"/>
                <w:sz w:val="18"/>
                <w:szCs w:val="18"/>
              </w:rPr>
              <w:t>$22,780.00</w:t>
            </w:r>
          </w:p>
        </w:tc>
      </w:tr>
      <w:tr w14:paraId="77F0E699" w14:textId="77777777" w:rsidTr="00BA5A3A">
        <w:tblPrEx>
          <w:tblW w:w="10098" w:type="dxa"/>
          <w:tblInd w:w="738" w:type="dxa"/>
          <w:tblLook w:val="04A0"/>
        </w:tblPrEx>
        <w:trPr>
          <w:trHeight w:val="300"/>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4EA4D791" w14:textId="77777777">
            <w:pPr>
              <w:pStyle w:val="NoSpacing"/>
              <w:rPr>
                <w:b/>
                <w:bCs/>
                <w:color w:val="000000"/>
                <w:sz w:val="18"/>
                <w:szCs w:val="18"/>
              </w:rPr>
            </w:pPr>
            <w:r w:rsidRPr="00D55842">
              <w:rPr>
                <w:b/>
                <w:bCs/>
                <w:color w:val="000000"/>
                <w:sz w:val="18"/>
                <w:szCs w:val="18"/>
              </w:rPr>
              <w:t>Subtotal</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24EEA7B9" w14:textId="77777777">
            <w:pPr>
              <w:pStyle w:val="NoSpacing"/>
              <w:rPr>
                <w:b/>
                <w:bCs/>
                <w:color w:val="000000"/>
                <w:sz w:val="18"/>
                <w:szCs w:val="18"/>
              </w:rPr>
            </w:pP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72A53A12" w14:textId="77777777">
            <w:pPr>
              <w:pStyle w:val="NoSpacing"/>
              <w:rPr>
                <w:b/>
                <w:bCs/>
                <w:color w:val="000000"/>
                <w:sz w:val="18"/>
                <w:szCs w:val="18"/>
              </w:rPr>
            </w:pP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47B1CAE3" w14:textId="77777777">
            <w:pPr>
              <w:pStyle w:val="NoSpacing"/>
              <w:rPr>
                <w:b/>
                <w:bCs/>
                <w:color w:val="000000"/>
                <w:sz w:val="18"/>
                <w:szCs w:val="18"/>
              </w:rPr>
            </w:pPr>
            <w:r w:rsidRPr="00D55842">
              <w:rPr>
                <w:b/>
                <w:bCs/>
                <w:color w:val="000000"/>
                <w:sz w:val="18"/>
                <w:szCs w:val="18"/>
              </w:rPr>
              <w:t>5,756.25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0AC1342B" w14:textId="77777777">
            <w:pPr>
              <w:pStyle w:val="NoSpacing"/>
              <w:rPr>
                <w:b/>
                <w:bCs/>
                <w:color w:val="000000"/>
                <w:sz w:val="18"/>
                <w:szCs w:val="18"/>
              </w:rPr>
            </w:pPr>
          </w:p>
        </w:tc>
        <w:tc>
          <w:tcPr>
            <w:tcW w:w="1170" w:type="dxa"/>
            <w:tcBorders>
              <w:top w:val="nil"/>
              <w:left w:val="single" w:sz="8" w:space="0" w:color="000000"/>
              <w:bottom w:val="single" w:sz="8" w:space="0" w:color="000000"/>
              <w:right w:val="nil"/>
            </w:tcBorders>
            <w:shd w:val="clear" w:color="auto" w:fill="auto"/>
            <w:vAlign w:val="center"/>
            <w:hideMark/>
          </w:tcPr>
          <w:p w:rsidR="00BA5A3A" w:rsidRPr="00D55842" w:rsidP="00B167BF" w14:paraId="30FB16F6" w14:textId="77777777">
            <w:pPr>
              <w:pStyle w:val="NoSpacing"/>
              <w:rPr>
                <w:b/>
                <w:bCs/>
                <w:color w:val="000000"/>
                <w:sz w:val="18"/>
                <w:szCs w:val="18"/>
              </w:rPr>
            </w:pPr>
            <w:r w:rsidRPr="00D55842">
              <w:rPr>
                <w:b/>
                <w:bCs/>
                <w:color w:val="000000"/>
                <w:sz w:val="18"/>
                <w:szCs w:val="18"/>
              </w:rPr>
              <w:t>24,713.75</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A5A3A" w:rsidRPr="00D55842" w:rsidP="00B167BF" w14:paraId="2BAC9DD5" w14:textId="77777777">
            <w:pPr>
              <w:pStyle w:val="NoSpacing"/>
              <w:rPr>
                <w:b/>
                <w:bCs/>
                <w:color w:val="000000"/>
                <w:sz w:val="18"/>
                <w:szCs w:val="18"/>
              </w:rPr>
            </w:pPr>
          </w:p>
        </w:tc>
        <w:tc>
          <w:tcPr>
            <w:tcW w:w="1260" w:type="dxa"/>
            <w:tcBorders>
              <w:top w:val="single" w:sz="8" w:space="0" w:color="auto"/>
              <w:left w:val="nil"/>
              <w:bottom w:val="single" w:sz="8" w:space="0" w:color="auto"/>
              <w:right w:val="single" w:sz="8" w:space="0" w:color="auto"/>
            </w:tcBorders>
            <w:shd w:val="clear" w:color="auto" w:fill="FFFFFF"/>
            <w:vAlign w:val="center"/>
          </w:tcPr>
          <w:p w:rsidR="00BA5A3A" w:rsidRPr="00D55842" w:rsidP="00B167BF" w14:paraId="182FAC47" w14:textId="77777777">
            <w:pPr>
              <w:pStyle w:val="NoSpacing"/>
              <w:rPr>
                <w:b/>
                <w:bCs/>
                <w:color w:val="000000"/>
                <w:sz w:val="18"/>
                <w:szCs w:val="18"/>
              </w:rPr>
            </w:pPr>
            <w:r w:rsidRPr="00D55842">
              <w:rPr>
                <w:b/>
                <w:bCs/>
                <w:color w:val="000000"/>
                <w:sz w:val="18"/>
                <w:szCs w:val="18"/>
              </w:rPr>
              <w:t>$1,125,958.45</w:t>
            </w:r>
          </w:p>
        </w:tc>
      </w:tr>
      <w:tr w14:paraId="3F76482E" w14:textId="77777777" w:rsidTr="00BA5A3A">
        <w:tblPrEx>
          <w:tblW w:w="10098" w:type="dxa"/>
          <w:tblInd w:w="738" w:type="dxa"/>
          <w:tblLook w:val="04A0"/>
        </w:tblPrEx>
        <w:trPr>
          <w:trHeight w:val="470"/>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6FCB6E5F" w14:textId="77777777">
            <w:pPr>
              <w:pStyle w:val="NoSpacing"/>
              <w:rPr>
                <w:color w:val="000000"/>
                <w:sz w:val="18"/>
                <w:szCs w:val="18"/>
              </w:rPr>
            </w:pPr>
            <w:r w:rsidRPr="00D55842">
              <w:rPr>
                <w:color w:val="000000"/>
                <w:sz w:val="18"/>
                <w:szCs w:val="18"/>
              </w:rPr>
              <w:t>Deposit Agreement</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6A5616D7" w14:textId="77777777">
            <w:pPr>
              <w:pStyle w:val="NoSpacing"/>
              <w:rPr>
                <w:color w:val="000000"/>
                <w:sz w:val="18"/>
                <w:szCs w:val="18"/>
              </w:rPr>
            </w:pPr>
            <w:r w:rsidRPr="00D55842">
              <w:rPr>
                <w:color w:val="000000"/>
                <w:sz w:val="18"/>
                <w:szCs w:val="18"/>
              </w:rPr>
              <w:t>70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03B71857"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222D7A1B" w14:textId="77777777">
            <w:pPr>
              <w:pStyle w:val="NoSpacing"/>
              <w:rPr>
                <w:color w:val="000000"/>
                <w:sz w:val="18"/>
                <w:szCs w:val="18"/>
              </w:rPr>
            </w:pPr>
            <w:r w:rsidRPr="00D55842">
              <w:rPr>
                <w:color w:val="000000"/>
                <w:sz w:val="18"/>
                <w:szCs w:val="18"/>
              </w:rPr>
              <w:t>700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45B20FA3" w14:textId="77777777">
            <w:pPr>
              <w:pStyle w:val="NoSpacing"/>
              <w:rPr>
                <w:color w:val="000000"/>
                <w:sz w:val="18"/>
                <w:szCs w:val="18"/>
              </w:rPr>
            </w:pPr>
            <w:r w:rsidRPr="00D55842">
              <w:rPr>
                <w:color w:val="000000"/>
                <w:sz w:val="18"/>
                <w:szCs w:val="18"/>
              </w:rPr>
              <w:t>1</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5B0EB209" w14:textId="77777777">
            <w:pPr>
              <w:pStyle w:val="NoSpacing"/>
              <w:rPr>
                <w:color w:val="000000"/>
                <w:sz w:val="18"/>
                <w:szCs w:val="18"/>
              </w:rPr>
            </w:pPr>
            <w:r w:rsidRPr="00D55842">
              <w:rPr>
                <w:color w:val="000000"/>
                <w:sz w:val="18"/>
                <w:szCs w:val="18"/>
              </w:rPr>
              <w:t>700</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5DD0EA98"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32C4B591" w14:textId="77777777">
            <w:pPr>
              <w:pStyle w:val="NoSpacing"/>
              <w:rPr>
                <w:color w:val="000000"/>
                <w:sz w:val="18"/>
                <w:szCs w:val="18"/>
              </w:rPr>
            </w:pPr>
            <w:r w:rsidRPr="00D55842">
              <w:rPr>
                <w:color w:val="000000"/>
                <w:sz w:val="18"/>
                <w:szCs w:val="18"/>
              </w:rPr>
              <w:t>$31,892.00</w:t>
            </w:r>
          </w:p>
        </w:tc>
      </w:tr>
      <w:tr w14:paraId="32844982" w14:textId="77777777" w:rsidTr="00BA5A3A">
        <w:tblPrEx>
          <w:tblW w:w="10098" w:type="dxa"/>
          <w:tblInd w:w="738" w:type="dxa"/>
          <w:tblLook w:val="04A0"/>
        </w:tblPrEx>
        <w:trPr>
          <w:trHeight w:val="470"/>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37BBD1A5" w14:textId="77777777">
            <w:pPr>
              <w:pStyle w:val="NoSpacing"/>
              <w:rPr>
                <w:color w:val="000000"/>
                <w:sz w:val="18"/>
                <w:szCs w:val="18"/>
              </w:rPr>
            </w:pPr>
            <w:r w:rsidRPr="00D55842">
              <w:rPr>
                <w:color w:val="000000"/>
                <w:sz w:val="18"/>
                <w:szCs w:val="18"/>
              </w:rPr>
              <w:t>MBS Schedule</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3B6684FA" w14:textId="77777777">
            <w:pPr>
              <w:pStyle w:val="NoSpacing"/>
              <w:rPr>
                <w:color w:val="000000"/>
                <w:sz w:val="18"/>
                <w:szCs w:val="18"/>
              </w:rPr>
            </w:pPr>
            <w:r w:rsidRPr="00D55842">
              <w:rPr>
                <w:color w:val="000000"/>
                <w:sz w:val="18"/>
                <w:szCs w:val="18"/>
              </w:rPr>
              <w:t>70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67084315"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43027BC8" w14:textId="77777777">
            <w:pPr>
              <w:pStyle w:val="NoSpacing"/>
              <w:rPr>
                <w:color w:val="000000"/>
                <w:sz w:val="18"/>
                <w:szCs w:val="18"/>
              </w:rPr>
            </w:pPr>
            <w:r w:rsidRPr="00D55842">
              <w:rPr>
                <w:color w:val="000000"/>
                <w:sz w:val="18"/>
                <w:szCs w:val="18"/>
              </w:rPr>
              <w:t>700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51538ADC" w14:textId="77777777">
            <w:pPr>
              <w:pStyle w:val="NoSpacing"/>
              <w:rPr>
                <w:color w:val="000000"/>
                <w:sz w:val="18"/>
                <w:szCs w:val="18"/>
              </w:rPr>
            </w:pPr>
            <w:r w:rsidRPr="00D55842">
              <w:rPr>
                <w:color w:val="000000"/>
                <w:sz w:val="18"/>
                <w:szCs w:val="18"/>
              </w:rPr>
              <w:t>0.16</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0D0306A5" w14:textId="77777777">
            <w:pPr>
              <w:pStyle w:val="NoSpacing"/>
              <w:rPr>
                <w:color w:val="000000"/>
                <w:sz w:val="18"/>
                <w:szCs w:val="18"/>
              </w:rPr>
            </w:pPr>
            <w:r w:rsidRPr="00D55842">
              <w:rPr>
                <w:color w:val="000000"/>
                <w:sz w:val="18"/>
                <w:szCs w:val="18"/>
              </w:rPr>
              <w:t>112</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4822B0EC"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75EA246C" w14:textId="77777777">
            <w:pPr>
              <w:pStyle w:val="NoSpacing"/>
              <w:rPr>
                <w:color w:val="000000"/>
                <w:sz w:val="18"/>
                <w:szCs w:val="18"/>
              </w:rPr>
            </w:pPr>
            <w:r w:rsidRPr="00D55842">
              <w:rPr>
                <w:color w:val="000000"/>
                <w:sz w:val="18"/>
                <w:szCs w:val="18"/>
              </w:rPr>
              <w:t>$5,102.72</w:t>
            </w:r>
          </w:p>
        </w:tc>
      </w:tr>
      <w:tr w14:paraId="7FA648A6" w14:textId="77777777" w:rsidTr="00BA5A3A">
        <w:tblPrEx>
          <w:tblW w:w="10098" w:type="dxa"/>
          <w:tblInd w:w="738" w:type="dxa"/>
          <w:tblLook w:val="04A0"/>
        </w:tblPrEx>
        <w:trPr>
          <w:trHeight w:val="286"/>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1804C6E3" w14:textId="77777777">
            <w:pPr>
              <w:pStyle w:val="NoSpacing"/>
              <w:rPr>
                <w:color w:val="000000"/>
                <w:sz w:val="18"/>
                <w:szCs w:val="18"/>
              </w:rPr>
            </w:pPr>
            <w:r w:rsidRPr="00D55842">
              <w:rPr>
                <w:color w:val="000000"/>
                <w:sz w:val="18"/>
                <w:szCs w:val="18"/>
              </w:rPr>
              <w:t>New Issue File Layout</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0A4EB0F5" w14:textId="77777777">
            <w:pPr>
              <w:pStyle w:val="NoSpacing"/>
              <w:rPr>
                <w:color w:val="000000"/>
                <w:sz w:val="18"/>
                <w:szCs w:val="18"/>
              </w:rPr>
            </w:pPr>
            <w:r w:rsidRPr="00D55842">
              <w:rPr>
                <w:color w:val="000000"/>
                <w:sz w:val="18"/>
                <w:szCs w:val="18"/>
              </w:rPr>
              <w:t>70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07E76D37"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54559206" w14:textId="77777777">
            <w:pPr>
              <w:pStyle w:val="NoSpacing"/>
              <w:rPr>
                <w:color w:val="000000"/>
                <w:sz w:val="18"/>
                <w:szCs w:val="18"/>
              </w:rPr>
            </w:pPr>
            <w:r w:rsidRPr="00D55842">
              <w:rPr>
                <w:color w:val="000000"/>
                <w:sz w:val="18"/>
                <w:szCs w:val="18"/>
              </w:rPr>
              <w:t>700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71CFCF1C" w14:textId="77777777">
            <w:pPr>
              <w:pStyle w:val="NoSpacing"/>
              <w:rPr>
                <w:color w:val="000000"/>
                <w:sz w:val="18"/>
                <w:szCs w:val="18"/>
              </w:rPr>
            </w:pPr>
            <w:r w:rsidRPr="00D55842">
              <w:rPr>
                <w:color w:val="000000"/>
                <w:sz w:val="18"/>
                <w:szCs w:val="18"/>
              </w:rPr>
              <w:t>4</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4C496AB2" w14:textId="77777777">
            <w:pPr>
              <w:pStyle w:val="NoSpacing"/>
              <w:rPr>
                <w:color w:val="000000"/>
                <w:sz w:val="18"/>
                <w:szCs w:val="18"/>
              </w:rPr>
            </w:pPr>
            <w:r w:rsidRPr="00D55842">
              <w:rPr>
                <w:color w:val="000000"/>
                <w:sz w:val="18"/>
                <w:szCs w:val="18"/>
              </w:rPr>
              <w:t>2800</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378EFC84" w14:textId="77777777">
            <w:pPr>
              <w:pStyle w:val="NoSpacing"/>
              <w:rPr>
                <w:color w:val="000000"/>
                <w:sz w:val="18"/>
                <w:szCs w:val="18"/>
              </w:rPr>
            </w:pPr>
            <w:r w:rsidRPr="00D55842">
              <w:rPr>
                <w:color w:val="000000"/>
                <w:sz w:val="18"/>
                <w:szCs w:val="18"/>
              </w:rPr>
              <w:t>$45.56</w:t>
            </w: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037A233B" w14:textId="77777777">
            <w:pPr>
              <w:pStyle w:val="NoSpacing"/>
              <w:rPr>
                <w:color w:val="000000"/>
                <w:sz w:val="18"/>
                <w:szCs w:val="18"/>
              </w:rPr>
            </w:pPr>
            <w:r w:rsidRPr="00D55842">
              <w:rPr>
                <w:color w:val="000000"/>
                <w:sz w:val="18"/>
                <w:szCs w:val="18"/>
              </w:rPr>
              <w:t>$127,568.00</w:t>
            </w:r>
          </w:p>
        </w:tc>
      </w:tr>
      <w:tr w14:paraId="7977BE3B" w14:textId="77777777" w:rsidTr="00BA5A3A">
        <w:tblPrEx>
          <w:tblW w:w="10098" w:type="dxa"/>
          <w:tblInd w:w="738" w:type="dxa"/>
          <w:tblLook w:val="04A0"/>
        </w:tblPrEx>
        <w:trPr>
          <w:trHeight w:val="727"/>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293E0DAE" w14:textId="77777777">
            <w:pPr>
              <w:pStyle w:val="NoSpacing"/>
              <w:rPr>
                <w:color w:val="000000"/>
                <w:sz w:val="18"/>
                <w:szCs w:val="18"/>
              </w:rPr>
            </w:pPr>
            <w:r w:rsidRPr="00D55842">
              <w:rPr>
                <w:color w:val="000000"/>
                <w:sz w:val="18"/>
                <w:szCs w:val="18"/>
              </w:rPr>
              <w:t>Principal and Interest Factor File Specifications</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4C9F8BF9" w14:textId="77777777">
            <w:pPr>
              <w:pStyle w:val="NoSpacing"/>
              <w:rPr>
                <w:color w:val="000000"/>
                <w:sz w:val="18"/>
                <w:szCs w:val="18"/>
              </w:rPr>
            </w:pPr>
            <w:r w:rsidRPr="00D55842">
              <w:rPr>
                <w:color w:val="000000"/>
                <w:sz w:val="18"/>
                <w:szCs w:val="18"/>
              </w:rPr>
              <w:t>70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1FC9BF67" w14:textId="77777777">
            <w:pPr>
              <w:pStyle w:val="NoSpacing"/>
              <w:rPr>
                <w:color w:val="000000"/>
                <w:sz w:val="18"/>
                <w:szCs w:val="18"/>
              </w:rPr>
            </w:pPr>
            <w:r w:rsidRPr="00D55842">
              <w:rPr>
                <w:color w:val="000000"/>
                <w:sz w:val="18"/>
                <w:szCs w:val="18"/>
              </w:rPr>
              <w:t>10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19C09422" w14:textId="77777777">
            <w:pPr>
              <w:pStyle w:val="NoSpacing"/>
              <w:rPr>
                <w:color w:val="000000"/>
                <w:sz w:val="18"/>
                <w:szCs w:val="18"/>
              </w:rPr>
            </w:pPr>
            <w:r w:rsidRPr="00D55842">
              <w:rPr>
                <w:color w:val="000000"/>
                <w:sz w:val="18"/>
                <w:szCs w:val="18"/>
              </w:rPr>
              <w:t>700</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0BFF9B4B" w14:textId="77777777">
            <w:pPr>
              <w:pStyle w:val="NoSpacing"/>
              <w:rPr>
                <w:color w:val="000000"/>
                <w:sz w:val="18"/>
                <w:szCs w:val="18"/>
              </w:rPr>
            </w:pPr>
            <w:r w:rsidRPr="00D55842">
              <w:rPr>
                <w:color w:val="000000"/>
                <w:sz w:val="18"/>
                <w:szCs w:val="18"/>
              </w:rPr>
              <w:t>16</w:t>
            </w: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67F555E6" w14:textId="77777777">
            <w:pPr>
              <w:pStyle w:val="NoSpacing"/>
              <w:rPr>
                <w:color w:val="000000"/>
                <w:sz w:val="18"/>
                <w:szCs w:val="18"/>
              </w:rPr>
            </w:pPr>
            <w:r w:rsidRPr="00D55842">
              <w:rPr>
                <w:color w:val="000000"/>
                <w:sz w:val="18"/>
                <w:szCs w:val="18"/>
              </w:rPr>
              <w:t>11200</w:t>
            </w:r>
          </w:p>
        </w:tc>
        <w:tc>
          <w:tcPr>
            <w:tcW w:w="990" w:type="dxa"/>
            <w:tcBorders>
              <w:top w:val="nil"/>
              <w:left w:val="nil"/>
              <w:bottom w:val="nil"/>
              <w:right w:val="single" w:sz="8" w:space="0" w:color="000000"/>
            </w:tcBorders>
            <w:shd w:val="clear" w:color="auto" w:fill="auto"/>
            <w:vAlign w:val="center"/>
            <w:hideMark/>
          </w:tcPr>
          <w:p w:rsidR="00BA5A3A" w:rsidRPr="00D55842" w:rsidP="00B167BF" w14:paraId="49ED4799" w14:textId="77777777">
            <w:pPr>
              <w:pStyle w:val="NoSpacing"/>
              <w:rPr>
                <w:color w:val="000000"/>
                <w:sz w:val="18"/>
                <w:szCs w:val="18"/>
              </w:rPr>
            </w:pPr>
            <w:r w:rsidRPr="00D55842">
              <w:rPr>
                <w:color w:val="000000"/>
                <w:sz w:val="18"/>
                <w:szCs w:val="18"/>
              </w:rPr>
              <w:t>$45.56</w:t>
            </w:r>
          </w:p>
        </w:tc>
        <w:tc>
          <w:tcPr>
            <w:tcW w:w="1260" w:type="dxa"/>
            <w:tcBorders>
              <w:top w:val="nil"/>
              <w:left w:val="nil"/>
              <w:bottom w:val="nil"/>
              <w:right w:val="single" w:sz="8" w:space="0" w:color="000000"/>
            </w:tcBorders>
            <w:shd w:val="clear" w:color="auto" w:fill="auto"/>
            <w:vAlign w:val="center"/>
            <w:hideMark/>
          </w:tcPr>
          <w:p w:rsidR="00BA5A3A" w:rsidRPr="00D55842" w:rsidP="00B167BF" w14:paraId="2EE099C4" w14:textId="77777777">
            <w:pPr>
              <w:pStyle w:val="NoSpacing"/>
              <w:rPr>
                <w:color w:val="000000"/>
                <w:sz w:val="18"/>
                <w:szCs w:val="18"/>
              </w:rPr>
            </w:pPr>
            <w:r w:rsidRPr="00D55842">
              <w:rPr>
                <w:color w:val="000000"/>
                <w:sz w:val="18"/>
                <w:szCs w:val="18"/>
              </w:rPr>
              <w:t>$510,272.00</w:t>
            </w:r>
          </w:p>
        </w:tc>
      </w:tr>
      <w:tr w14:paraId="61C2C3CB" w14:textId="77777777" w:rsidTr="00BA5A3A">
        <w:tblPrEx>
          <w:tblW w:w="10098" w:type="dxa"/>
          <w:tblInd w:w="738" w:type="dxa"/>
          <w:tblLook w:val="04A0"/>
        </w:tblPrEx>
        <w:trPr>
          <w:trHeight w:val="300"/>
        </w:trPr>
        <w:tc>
          <w:tcPr>
            <w:tcW w:w="1603" w:type="dxa"/>
            <w:tcBorders>
              <w:top w:val="nil"/>
              <w:left w:val="single" w:sz="8" w:space="0" w:color="000000"/>
              <w:bottom w:val="single" w:sz="8" w:space="0" w:color="000000"/>
              <w:right w:val="nil"/>
            </w:tcBorders>
            <w:shd w:val="clear" w:color="auto" w:fill="FFFFFF"/>
            <w:vAlign w:val="center"/>
            <w:hideMark/>
          </w:tcPr>
          <w:p w:rsidR="00BA5A3A" w:rsidRPr="00D55842" w:rsidP="00B167BF" w14:paraId="01C9C8F6" w14:textId="77777777">
            <w:pPr>
              <w:pStyle w:val="NoSpacing"/>
              <w:rPr>
                <w:b/>
                <w:bCs/>
                <w:color w:val="000000"/>
                <w:sz w:val="18"/>
                <w:szCs w:val="18"/>
              </w:rPr>
            </w:pPr>
            <w:r w:rsidRPr="00D55842">
              <w:rPr>
                <w:b/>
                <w:bCs/>
                <w:color w:val="000000"/>
                <w:sz w:val="18"/>
                <w:szCs w:val="18"/>
              </w:rPr>
              <w:t>Subtotal</w:t>
            </w:r>
          </w:p>
        </w:tc>
        <w:tc>
          <w:tcPr>
            <w:tcW w:w="1295" w:type="dxa"/>
            <w:tcBorders>
              <w:top w:val="nil"/>
              <w:left w:val="single" w:sz="8" w:space="0" w:color="000000"/>
              <w:bottom w:val="single" w:sz="8" w:space="0" w:color="000000"/>
              <w:right w:val="nil"/>
            </w:tcBorders>
            <w:shd w:val="clear" w:color="auto" w:fill="FFFFFF"/>
            <w:vAlign w:val="center"/>
            <w:hideMark/>
          </w:tcPr>
          <w:p w:rsidR="00BA5A3A" w:rsidRPr="00D55842" w:rsidP="00B167BF" w14:paraId="352F2BA8" w14:textId="77777777">
            <w:pPr>
              <w:pStyle w:val="NoSpacing"/>
              <w:rPr>
                <w:color w:val="000000"/>
                <w:sz w:val="18"/>
                <w:szCs w:val="18"/>
              </w:rPr>
            </w:pPr>
          </w:p>
        </w:tc>
        <w:tc>
          <w:tcPr>
            <w:tcW w:w="1260" w:type="dxa"/>
            <w:tcBorders>
              <w:top w:val="nil"/>
              <w:left w:val="single" w:sz="8" w:space="0" w:color="000000"/>
              <w:bottom w:val="single" w:sz="8" w:space="0" w:color="000000"/>
              <w:right w:val="nil"/>
            </w:tcBorders>
            <w:shd w:val="clear" w:color="auto" w:fill="FFFFFF"/>
            <w:vAlign w:val="center"/>
            <w:hideMark/>
          </w:tcPr>
          <w:p w:rsidR="00BA5A3A" w:rsidRPr="00D55842" w:rsidP="00B167BF" w14:paraId="6DAA9EE7" w14:textId="77777777">
            <w:pPr>
              <w:pStyle w:val="NoSpacing"/>
              <w:rPr>
                <w:color w:val="000000"/>
                <w:sz w:val="18"/>
                <w:szCs w:val="18"/>
              </w:rPr>
            </w:pPr>
          </w:p>
        </w:tc>
        <w:tc>
          <w:tcPr>
            <w:tcW w:w="1260" w:type="dxa"/>
            <w:tcBorders>
              <w:top w:val="nil"/>
              <w:left w:val="single" w:sz="8" w:space="0" w:color="000000"/>
              <w:bottom w:val="single" w:sz="8" w:space="0" w:color="000000"/>
              <w:right w:val="nil"/>
            </w:tcBorders>
            <w:shd w:val="clear" w:color="auto" w:fill="FFFFFF"/>
            <w:vAlign w:val="center"/>
            <w:hideMark/>
          </w:tcPr>
          <w:p w:rsidR="00BA5A3A" w:rsidRPr="00D55842" w:rsidP="00B167BF" w14:paraId="459EF0B7" w14:textId="77777777">
            <w:pPr>
              <w:pStyle w:val="NoSpacing"/>
              <w:rPr>
                <w:b/>
                <w:bCs/>
                <w:color w:val="000000"/>
                <w:sz w:val="18"/>
                <w:szCs w:val="18"/>
              </w:rPr>
            </w:pPr>
            <w:r w:rsidRPr="00D55842">
              <w:rPr>
                <w:b/>
                <w:bCs/>
                <w:color w:val="000000"/>
                <w:sz w:val="18"/>
                <w:szCs w:val="18"/>
              </w:rPr>
              <w:t>2800</w:t>
            </w:r>
          </w:p>
        </w:tc>
        <w:tc>
          <w:tcPr>
            <w:tcW w:w="1260" w:type="dxa"/>
            <w:tcBorders>
              <w:top w:val="nil"/>
              <w:left w:val="single" w:sz="8" w:space="0" w:color="000000"/>
              <w:bottom w:val="single" w:sz="8" w:space="0" w:color="000000"/>
              <w:right w:val="nil"/>
            </w:tcBorders>
            <w:shd w:val="clear" w:color="auto" w:fill="FFFFFF"/>
            <w:vAlign w:val="center"/>
            <w:hideMark/>
          </w:tcPr>
          <w:p w:rsidR="00BA5A3A" w:rsidRPr="00D55842" w:rsidP="00B167BF" w14:paraId="7D856C6D" w14:textId="77777777">
            <w:pPr>
              <w:pStyle w:val="NoSpacing"/>
              <w:rPr>
                <w:b/>
                <w:bCs/>
                <w:color w:val="000000"/>
                <w:sz w:val="18"/>
                <w:szCs w:val="18"/>
              </w:rPr>
            </w:pPr>
          </w:p>
        </w:tc>
        <w:tc>
          <w:tcPr>
            <w:tcW w:w="1170" w:type="dxa"/>
            <w:tcBorders>
              <w:top w:val="nil"/>
              <w:left w:val="single" w:sz="8" w:space="0" w:color="000000"/>
              <w:bottom w:val="single" w:sz="8" w:space="0" w:color="000000"/>
              <w:right w:val="nil"/>
            </w:tcBorders>
            <w:shd w:val="clear" w:color="auto" w:fill="FFFFFF"/>
            <w:vAlign w:val="center"/>
            <w:hideMark/>
          </w:tcPr>
          <w:p w:rsidR="00BA5A3A" w:rsidRPr="00D55842" w:rsidP="00B167BF" w14:paraId="029D8A89" w14:textId="77777777">
            <w:pPr>
              <w:pStyle w:val="NoSpacing"/>
              <w:rPr>
                <w:b/>
                <w:bCs/>
                <w:color w:val="000000"/>
                <w:sz w:val="18"/>
                <w:szCs w:val="18"/>
              </w:rPr>
            </w:pPr>
            <w:r w:rsidRPr="00D55842">
              <w:rPr>
                <w:b/>
                <w:bCs/>
                <w:color w:val="000000"/>
                <w:sz w:val="18"/>
                <w:szCs w:val="18"/>
              </w:rPr>
              <w:t>14,812.00</w:t>
            </w:r>
          </w:p>
        </w:tc>
        <w:tc>
          <w:tcPr>
            <w:tcW w:w="99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BA5A3A" w:rsidRPr="00D55842" w:rsidP="00B167BF" w14:paraId="70D863D6" w14:textId="77777777">
            <w:pPr>
              <w:pStyle w:val="NoSpacing"/>
              <w:rPr>
                <w:b/>
                <w:bCs/>
                <w:color w:val="000000"/>
                <w:sz w:val="18"/>
                <w:szCs w:val="18"/>
              </w:rPr>
            </w:pPr>
          </w:p>
        </w:tc>
        <w:tc>
          <w:tcPr>
            <w:tcW w:w="1260" w:type="dxa"/>
            <w:tcBorders>
              <w:top w:val="single" w:sz="8" w:space="0" w:color="auto"/>
              <w:left w:val="nil"/>
              <w:bottom w:val="single" w:sz="8" w:space="0" w:color="auto"/>
              <w:right w:val="single" w:sz="8" w:space="0" w:color="auto"/>
            </w:tcBorders>
            <w:shd w:val="clear" w:color="auto" w:fill="FFFFFF"/>
            <w:vAlign w:val="center"/>
            <w:hideMark/>
          </w:tcPr>
          <w:p w:rsidR="00BA5A3A" w:rsidRPr="00D55842" w:rsidP="00B167BF" w14:paraId="387B002E" w14:textId="77777777">
            <w:pPr>
              <w:pStyle w:val="NoSpacing"/>
              <w:rPr>
                <w:b/>
                <w:bCs/>
                <w:color w:val="000000"/>
                <w:sz w:val="18"/>
                <w:szCs w:val="18"/>
              </w:rPr>
            </w:pPr>
            <w:r w:rsidRPr="00D55842">
              <w:rPr>
                <w:b/>
                <w:bCs/>
                <w:color w:val="000000"/>
                <w:sz w:val="18"/>
                <w:szCs w:val="18"/>
              </w:rPr>
              <w:t>674,834.72</w:t>
            </w:r>
          </w:p>
        </w:tc>
      </w:tr>
      <w:tr w14:paraId="61421813" w14:textId="77777777" w:rsidTr="00BA5A3A">
        <w:tblPrEx>
          <w:tblW w:w="10098" w:type="dxa"/>
          <w:tblInd w:w="738" w:type="dxa"/>
          <w:tblLook w:val="04A0"/>
        </w:tblPrEx>
        <w:trPr>
          <w:trHeight w:val="385"/>
        </w:trPr>
        <w:tc>
          <w:tcPr>
            <w:tcW w:w="1603" w:type="dxa"/>
            <w:tcBorders>
              <w:top w:val="nil"/>
              <w:left w:val="single" w:sz="8" w:space="0" w:color="000000"/>
              <w:bottom w:val="single" w:sz="8" w:space="0" w:color="000000"/>
              <w:right w:val="nil"/>
            </w:tcBorders>
            <w:shd w:val="clear" w:color="auto" w:fill="auto"/>
            <w:vAlign w:val="center"/>
            <w:hideMark/>
          </w:tcPr>
          <w:p w:rsidR="00BA5A3A" w:rsidRPr="00D55842" w:rsidP="00B167BF" w14:paraId="07DE2FD8" w14:textId="77777777">
            <w:pPr>
              <w:pStyle w:val="NoSpacing"/>
              <w:rPr>
                <w:b/>
                <w:bCs/>
                <w:color w:val="000000"/>
                <w:sz w:val="18"/>
                <w:szCs w:val="18"/>
              </w:rPr>
            </w:pPr>
            <w:r w:rsidRPr="00D55842">
              <w:rPr>
                <w:b/>
                <w:bCs/>
                <w:color w:val="000000"/>
                <w:sz w:val="18"/>
                <w:szCs w:val="18"/>
              </w:rPr>
              <w:t>Total Cost</w:t>
            </w:r>
          </w:p>
        </w:tc>
        <w:tc>
          <w:tcPr>
            <w:tcW w:w="1295" w:type="dxa"/>
            <w:tcBorders>
              <w:top w:val="nil"/>
              <w:left w:val="single" w:sz="8" w:space="0" w:color="000000"/>
              <w:bottom w:val="single" w:sz="8" w:space="0" w:color="000000"/>
              <w:right w:val="nil"/>
            </w:tcBorders>
            <w:shd w:val="clear" w:color="auto" w:fill="auto"/>
            <w:vAlign w:val="center"/>
            <w:hideMark/>
          </w:tcPr>
          <w:p w:rsidR="00BA5A3A" w:rsidRPr="00D55842" w:rsidP="00B167BF" w14:paraId="71DE36ED" w14:textId="77777777">
            <w:pPr>
              <w:pStyle w:val="NoSpacing"/>
              <w:rPr>
                <w:b/>
                <w:bCs/>
                <w:color w:val="000000"/>
                <w:sz w:val="18"/>
                <w:szCs w:val="18"/>
              </w:rPr>
            </w:pPr>
            <w:r w:rsidRPr="00D55842">
              <w:rPr>
                <w:b/>
                <w:bCs/>
                <w:color w:val="000000"/>
                <w:sz w:val="18"/>
                <w:szCs w:val="18"/>
              </w:rPr>
              <w:t> </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74EE0A8B" w14:textId="77777777">
            <w:pPr>
              <w:pStyle w:val="NoSpacing"/>
              <w:rPr>
                <w:b/>
                <w:bCs/>
                <w:color w:val="000000"/>
                <w:sz w:val="18"/>
                <w:szCs w:val="18"/>
              </w:rPr>
            </w:pP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6B177ECA" w14:textId="77777777">
            <w:pPr>
              <w:pStyle w:val="NoSpacing"/>
              <w:rPr>
                <w:b/>
                <w:bCs/>
                <w:color w:val="000000"/>
                <w:sz w:val="18"/>
                <w:szCs w:val="18"/>
              </w:rPr>
            </w:pPr>
            <w:r w:rsidRPr="00D55842">
              <w:rPr>
                <w:b/>
                <w:bCs/>
                <w:color w:val="000000"/>
                <w:sz w:val="18"/>
                <w:szCs w:val="18"/>
              </w:rPr>
              <w:t>8,556.25</w:t>
            </w:r>
          </w:p>
        </w:tc>
        <w:tc>
          <w:tcPr>
            <w:tcW w:w="1260" w:type="dxa"/>
            <w:tcBorders>
              <w:top w:val="nil"/>
              <w:left w:val="single" w:sz="8" w:space="0" w:color="000000"/>
              <w:bottom w:val="single" w:sz="8" w:space="0" w:color="000000"/>
              <w:right w:val="nil"/>
            </w:tcBorders>
            <w:shd w:val="clear" w:color="auto" w:fill="auto"/>
            <w:vAlign w:val="center"/>
            <w:hideMark/>
          </w:tcPr>
          <w:p w:rsidR="00BA5A3A" w:rsidRPr="00D55842" w:rsidP="00B167BF" w14:paraId="7F67F4CE" w14:textId="77777777">
            <w:pPr>
              <w:pStyle w:val="NoSpacing"/>
              <w:rPr>
                <w:color w:val="000000"/>
                <w:sz w:val="18"/>
                <w:szCs w:val="18"/>
              </w:rPr>
            </w:pPr>
          </w:p>
        </w:tc>
        <w:tc>
          <w:tcPr>
            <w:tcW w:w="1170" w:type="dxa"/>
            <w:tcBorders>
              <w:top w:val="nil"/>
              <w:left w:val="single" w:sz="8" w:space="0" w:color="000000"/>
              <w:bottom w:val="single" w:sz="8" w:space="0" w:color="000000"/>
              <w:right w:val="single" w:sz="8" w:space="0" w:color="000000"/>
            </w:tcBorders>
            <w:shd w:val="clear" w:color="auto" w:fill="auto"/>
            <w:vAlign w:val="center"/>
            <w:hideMark/>
          </w:tcPr>
          <w:p w:rsidR="00BA5A3A" w:rsidRPr="00D55842" w:rsidP="00B167BF" w14:paraId="5227728E" w14:textId="77777777">
            <w:pPr>
              <w:pStyle w:val="NoSpacing"/>
              <w:rPr>
                <w:b/>
                <w:bCs/>
                <w:color w:val="000000"/>
                <w:sz w:val="18"/>
                <w:szCs w:val="18"/>
              </w:rPr>
            </w:pPr>
            <w:r w:rsidRPr="00D55842">
              <w:rPr>
                <w:b/>
                <w:bCs/>
                <w:color w:val="000000"/>
                <w:sz w:val="18"/>
                <w:szCs w:val="18"/>
              </w:rPr>
              <w:t>39,525.75</w:t>
            </w:r>
          </w:p>
        </w:tc>
        <w:tc>
          <w:tcPr>
            <w:tcW w:w="990" w:type="dxa"/>
            <w:tcBorders>
              <w:top w:val="nil"/>
              <w:left w:val="nil"/>
              <w:bottom w:val="single" w:sz="8" w:space="0" w:color="000000"/>
              <w:right w:val="single" w:sz="8" w:space="0" w:color="000000"/>
            </w:tcBorders>
            <w:shd w:val="clear" w:color="auto" w:fill="auto"/>
            <w:vAlign w:val="center"/>
            <w:hideMark/>
          </w:tcPr>
          <w:p w:rsidR="00BA5A3A" w:rsidRPr="00D55842" w:rsidP="00B167BF" w14:paraId="4E6284D5" w14:textId="77777777">
            <w:pPr>
              <w:pStyle w:val="NoSpacing"/>
              <w:rPr>
                <w:b/>
                <w:bCs/>
                <w:color w:val="000000"/>
                <w:sz w:val="18"/>
                <w:szCs w:val="18"/>
              </w:rPr>
            </w:pPr>
          </w:p>
        </w:tc>
        <w:tc>
          <w:tcPr>
            <w:tcW w:w="1260" w:type="dxa"/>
            <w:tcBorders>
              <w:top w:val="nil"/>
              <w:left w:val="nil"/>
              <w:bottom w:val="single" w:sz="8" w:space="0" w:color="000000"/>
              <w:right w:val="single" w:sz="8" w:space="0" w:color="000000"/>
            </w:tcBorders>
            <w:shd w:val="clear" w:color="auto" w:fill="auto"/>
            <w:vAlign w:val="center"/>
            <w:hideMark/>
          </w:tcPr>
          <w:p w:rsidR="00BA5A3A" w:rsidRPr="00D55842" w:rsidP="00B167BF" w14:paraId="348EB1A7" w14:textId="77777777">
            <w:pPr>
              <w:pStyle w:val="NoSpacing"/>
              <w:rPr>
                <w:b/>
                <w:bCs/>
                <w:color w:val="000000"/>
                <w:sz w:val="18"/>
                <w:szCs w:val="18"/>
              </w:rPr>
            </w:pPr>
            <w:r w:rsidRPr="00D55842">
              <w:rPr>
                <w:b/>
                <w:bCs/>
                <w:color w:val="000000"/>
                <w:sz w:val="18"/>
                <w:szCs w:val="18"/>
              </w:rPr>
              <w:t>$1,800,793.17</w:t>
            </w:r>
          </w:p>
        </w:tc>
      </w:tr>
    </w:tbl>
    <w:p w:rsidR="00145B2B" w:rsidRPr="00677B24" w:rsidP="00D51833" w14:paraId="5AEA1526" w14:textId="598B900F">
      <w:pPr>
        <w:rPr>
          <w:b/>
          <w:bCs/>
          <w:sz w:val="24"/>
          <w:szCs w:val="24"/>
        </w:rPr>
      </w:pPr>
      <w:r>
        <w:br w:type="page"/>
      </w:r>
      <w:r w:rsidRPr="00677B24">
        <w:rPr>
          <w:b/>
          <w:bCs/>
          <w:sz w:val="24"/>
          <w:szCs w:val="24"/>
        </w:rPr>
        <w:t>Provide an estimate of the total annual cost burden to respondents or record keepers resulting from the collection of information (do not include the cost of any hour burden shown in Items 12 and 14).</w:t>
      </w:r>
    </w:p>
    <w:p w:rsidR="001A78B3" w:rsidRPr="00677B24" w:rsidP="00495D35" w14:paraId="613A284C" w14:textId="77777777">
      <w:pPr>
        <w:pStyle w:val="NoSpacing"/>
        <w:ind w:left="1080"/>
        <w:jc w:val="both"/>
        <w:rPr>
          <w:b/>
          <w:bCs/>
          <w:sz w:val="24"/>
          <w:szCs w:val="24"/>
        </w:rPr>
      </w:pPr>
    </w:p>
    <w:p w:rsidR="001A78B3" w:rsidP="00495D35" w14:paraId="0F28CF1E" w14:textId="77777777">
      <w:pPr>
        <w:pStyle w:val="NoSpacing"/>
        <w:numPr>
          <w:ilvl w:val="0"/>
          <w:numId w:val="29"/>
        </w:numPr>
        <w:jc w:val="both"/>
        <w:rPr>
          <w:b/>
          <w:bCs/>
          <w:sz w:val="24"/>
          <w:szCs w:val="24"/>
        </w:rPr>
      </w:pPr>
      <w:r w:rsidRPr="00677B24">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677B24">
        <w:rPr>
          <w:b/>
          <w:bCs/>
          <w:sz w:val="24"/>
          <w:szCs w:val="24"/>
        </w:rPr>
        <w:t>take into account</w:t>
      </w:r>
      <w:r w:rsidRPr="00677B24">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77B24">
        <w:rPr>
          <w:b/>
          <w:bCs/>
          <w:sz w:val="24"/>
          <w:szCs w:val="24"/>
        </w:rPr>
        <w:t>time period</w:t>
      </w:r>
      <w:r w:rsidRPr="00677B24">
        <w:rPr>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677B24">
        <w:rPr>
          <w:b/>
          <w:bCs/>
          <w:sz w:val="24"/>
          <w:szCs w:val="24"/>
        </w:rPr>
        <w:t>facilities;</w:t>
      </w:r>
      <w:r w:rsidRPr="00677B24">
        <w:rPr>
          <w:b/>
          <w:bCs/>
          <w:sz w:val="24"/>
          <w:szCs w:val="24"/>
        </w:rPr>
        <w:t xml:space="preserve"> </w:t>
      </w:r>
    </w:p>
    <w:p w:rsidR="0042457F" w:rsidRPr="00677B24" w:rsidP="0042457F" w14:paraId="2B9E6DC5" w14:textId="77777777">
      <w:pPr>
        <w:pStyle w:val="NoSpacing"/>
        <w:ind w:left="1440"/>
        <w:jc w:val="both"/>
        <w:rPr>
          <w:b/>
          <w:bCs/>
          <w:sz w:val="24"/>
          <w:szCs w:val="24"/>
        </w:rPr>
      </w:pPr>
    </w:p>
    <w:p w:rsidR="001A78B3" w:rsidP="00495D35" w14:paraId="77E5D70F" w14:textId="291339EF">
      <w:pPr>
        <w:pStyle w:val="NoSpacing"/>
        <w:numPr>
          <w:ilvl w:val="0"/>
          <w:numId w:val="29"/>
        </w:numPr>
        <w:jc w:val="both"/>
        <w:rPr>
          <w:b/>
          <w:bCs/>
          <w:sz w:val="24"/>
          <w:szCs w:val="24"/>
        </w:rPr>
      </w:pPr>
      <w:r w:rsidRPr="00677B24">
        <w:rPr>
          <w:b/>
          <w:bCs/>
          <w:sz w:val="24"/>
          <w:szCs w:val="24"/>
        </w:rPr>
        <w:t xml:space="preserve">If cost estimates are expected to vary widely, agencies should present ranges of cost burdens and explain the reasons for the variance.  The cost of purchasing or contracting </w:t>
      </w:r>
      <w:r w:rsidRPr="00677B24">
        <w:rPr>
          <w:b/>
          <w:bCs/>
          <w:sz w:val="24"/>
          <w:szCs w:val="24"/>
        </w:rPr>
        <w:t>out</w:t>
      </w:r>
      <w:r w:rsidRPr="00677B24">
        <w:rPr>
          <w:b/>
          <w:bCs/>
          <w:sz w:val="24"/>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42457F" w:rsidRPr="00677B24" w:rsidP="0042457F" w14:paraId="47785901" w14:textId="77777777">
      <w:pPr>
        <w:pStyle w:val="NoSpacing"/>
        <w:ind w:left="1440"/>
        <w:jc w:val="both"/>
        <w:rPr>
          <w:b/>
          <w:bCs/>
          <w:sz w:val="24"/>
          <w:szCs w:val="24"/>
        </w:rPr>
      </w:pPr>
    </w:p>
    <w:p w:rsidR="001A78B3" w:rsidRPr="00145843" w:rsidP="00495D35" w14:paraId="6EFB4D42" w14:textId="77777777">
      <w:pPr>
        <w:pStyle w:val="NoSpacing"/>
        <w:numPr>
          <w:ilvl w:val="0"/>
          <w:numId w:val="29"/>
        </w:numPr>
        <w:jc w:val="both"/>
        <w:rPr>
          <w:bCs/>
          <w:sz w:val="24"/>
          <w:szCs w:val="24"/>
        </w:rPr>
      </w:pPr>
      <w:r>
        <w:rPr>
          <w:b/>
          <w:bCs/>
          <w:sz w:val="24"/>
          <w:szCs w:val="24"/>
        </w:rPr>
        <w:t>G</w:t>
      </w:r>
      <w:r w:rsidRPr="00677B24">
        <w:rPr>
          <w:b/>
          <w:bCs/>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145843">
        <w:rPr>
          <w:bCs/>
          <w:sz w:val="24"/>
          <w:szCs w:val="24"/>
        </w:rPr>
        <w:t>.</w:t>
      </w:r>
    </w:p>
    <w:p w:rsidR="001A78B3" w:rsidRPr="00145843" w:rsidP="00495D35" w14:paraId="39CFCB46" w14:textId="77777777">
      <w:pPr>
        <w:pStyle w:val="NoSpacing"/>
        <w:jc w:val="both"/>
        <w:rPr>
          <w:sz w:val="24"/>
          <w:szCs w:val="24"/>
        </w:rPr>
      </w:pPr>
    </w:p>
    <w:p w:rsidR="001A78B3" w:rsidRPr="00145843" w:rsidP="00495D35" w14:paraId="73B5FE4A" w14:textId="77777777">
      <w:pPr>
        <w:pStyle w:val="NoSpacing"/>
        <w:ind w:left="720"/>
        <w:jc w:val="both"/>
        <w:rPr>
          <w:sz w:val="24"/>
          <w:szCs w:val="24"/>
        </w:rPr>
      </w:pPr>
      <w:r w:rsidRPr="00145843">
        <w:rPr>
          <w:sz w:val="24"/>
          <w:szCs w:val="24"/>
        </w:rPr>
        <w:tab/>
        <w:t>No other costs are associated with the collection of this information.</w:t>
      </w:r>
    </w:p>
    <w:p w:rsidR="001A78B3" w:rsidRPr="00145843" w:rsidP="00495D35" w14:paraId="27E95020" w14:textId="77777777">
      <w:pPr>
        <w:pStyle w:val="NoSpacing"/>
        <w:jc w:val="both"/>
        <w:rPr>
          <w:sz w:val="24"/>
          <w:szCs w:val="24"/>
        </w:rPr>
      </w:pPr>
    </w:p>
    <w:p w:rsidR="0042457F" w:rsidP="0042457F" w14:paraId="3CB39D30" w14:textId="77777777">
      <w:pPr>
        <w:pStyle w:val="NoSpacing"/>
        <w:numPr>
          <w:ilvl w:val="0"/>
          <w:numId w:val="25"/>
        </w:numPr>
        <w:jc w:val="both"/>
        <w:rPr>
          <w:sz w:val="24"/>
          <w:szCs w:val="24"/>
        </w:rPr>
      </w:pPr>
      <w:r w:rsidRPr="00677B24">
        <w:rPr>
          <w:b/>
          <w:bCs/>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w:t>
      </w:r>
      <w:r w:rsidRPr="00BB7CD5">
        <w:rPr>
          <w:b/>
          <w:bCs/>
          <w:sz w:val="24"/>
          <w:szCs w:val="24"/>
        </w:rPr>
        <w:t>aggregate cost estimates from Items 12, 13, and 14 in a single table</w:t>
      </w:r>
      <w:r w:rsidRPr="00BB7CD5">
        <w:rPr>
          <w:bCs/>
          <w:sz w:val="24"/>
          <w:szCs w:val="24"/>
        </w:rPr>
        <w:t>.</w:t>
      </w:r>
    </w:p>
    <w:p w:rsidR="0042457F" w:rsidP="0042457F" w14:paraId="51A211CE" w14:textId="77777777">
      <w:pPr>
        <w:pStyle w:val="NoSpacing"/>
        <w:ind w:left="1080"/>
        <w:jc w:val="both"/>
        <w:rPr>
          <w:b/>
          <w:bCs/>
          <w:sz w:val="24"/>
          <w:szCs w:val="24"/>
        </w:rPr>
      </w:pPr>
    </w:p>
    <w:p w:rsidR="00201D81" w:rsidRPr="00131B85" w:rsidP="0042457F" w14:paraId="5191DDBB" w14:textId="6F778488">
      <w:pPr>
        <w:pStyle w:val="NoSpacing"/>
        <w:ind w:left="1080"/>
        <w:jc w:val="both"/>
        <w:rPr>
          <w:sz w:val="24"/>
          <w:szCs w:val="24"/>
        </w:rPr>
      </w:pPr>
      <w:r w:rsidRPr="00131B85">
        <w:rPr>
          <w:sz w:val="24"/>
          <w:szCs w:val="24"/>
        </w:rPr>
        <w:t>The estimated cost to the Federal government for the multiclass portfolio was $</w:t>
      </w:r>
      <w:r w:rsidRPr="00131B85" w:rsidR="004E4149">
        <w:rPr>
          <w:sz w:val="24"/>
          <w:szCs w:val="24"/>
        </w:rPr>
        <w:t>1</w:t>
      </w:r>
      <w:r w:rsidRPr="00131B85" w:rsidR="00320D7F">
        <w:rPr>
          <w:sz w:val="24"/>
          <w:szCs w:val="24"/>
        </w:rPr>
        <w:t>0.4</w:t>
      </w:r>
      <w:r w:rsidRPr="00131B85">
        <w:rPr>
          <w:sz w:val="24"/>
          <w:szCs w:val="24"/>
        </w:rPr>
        <w:t xml:space="preserve"> million.  </w:t>
      </w:r>
    </w:p>
    <w:p w:rsidR="00677B24" w:rsidRPr="00131B85" w:rsidP="0042457F" w14:paraId="63F43D3A" w14:textId="77777777">
      <w:pPr>
        <w:pStyle w:val="NoSpacing"/>
        <w:ind w:left="1080"/>
        <w:jc w:val="both"/>
        <w:rPr>
          <w:sz w:val="24"/>
          <w:szCs w:val="24"/>
        </w:rPr>
      </w:pPr>
      <w:r w:rsidRPr="00131B85">
        <w:rPr>
          <w:sz w:val="24"/>
          <w:szCs w:val="24"/>
        </w:rPr>
        <w:t>The breakdown is as follows</w:t>
      </w:r>
      <w:r w:rsidRPr="00131B85" w:rsidR="006D54D2">
        <w:rPr>
          <w:sz w:val="24"/>
          <w:szCs w:val="24"/>
        </w:rPr>
        <w:t xml:space="preserve">. </w:t>
      </w:r>
    </w:p>
    <w:p w:rsidR="00677B24" w:rsidRPr="00131B85" w:rsidP="00495D35" w14:paraId="2BDDC24C" w14:textId="77777777">
      <w:pPr>
        <w:pStyle w:val="NoSpacing"/>
        <w:ind w:left="1080"/>
        <w:jc w:val="both"/>
        <w:rPr>
          <w:sz w:val="24"/>
          <w:szCs w:val="24"/>
        </w:rPr>
      </w:pPr>
    </w:p>
    <w:p w:rsidR="00677B24" w:rsidRPr="00131B85" w:rsidP="00495D35" w14:paraId="7573AA7C" w14:textId="77777777">
      <w:pPr>
        <w:pStyle w:val="NoSpacing"/>
        <w:ind w:left="1080"/>
        <w:jc w:val="both"/>
        <w:rPr>
          <w:sz w:val="24"/>
          <w:szCs w:val="24"/>
          <w:u w:val="single"/>
        </w:rPr>
      </w:pPr>
      <w:r w:rsidRPr="00131B85">
        <w:rPr>
          <w:sz w:val="24"/>
          <w:szCs w:val="24"/>
          <w:u w:val="single"/>
        </w:rPr>
        <w:t>REMICS:</w:t>
      </w:r>
    </w:p>
    <w:p w:rsidR="00677B24" w:rsidRPr="00131B85" w:rsidP="00495D35" w14:paraId="71603ED2" w14:textId="77777777">
      <w:pPr>
        <w:pStyle w:val="NoSpacing"/>
        <w:ind w:left="1080"/>
        <w:jc w:val="both"/>
        <w:rPr>
          <w:sz w:val="24"/>
          <w:szCs w:val="24"/>
          <w:u w:val="single"/>
        </w:rPr>
      </w:pPr>
    </w:p>
    <w:p w:rsidR="00677B24" w:rsidRPr="00131B85" w:rsidP="00495D35" w14:paraId="1456EE29" w14:textId="54E25CE9">
      <w:pPr>
        <w:pStyle w:val="NoSpacing"/>
        <w:ind w:left="1080"/>
        <w:jc w:val="both"/>
        <w:rPr>
          <w:bCs/>
          <w:sz w:val="24"/>
          <w:szCs w:val="24"/>
        </w:rPr>
      </w:pPr>
      <w:r w:rsidRPr="00131B85">
        <w:rPr>
          <w:bCs/>
          <w:sz w:val="24"/>
          <w:szCs w:val="24"/>
        </w:rPr>
        <w:t xml:space="preserve">The average fee paid to Financial Advisors at issuance based on </w:t>
      </w:r>
      <w:r w:rsidRPr="00131B85" w:rsidR="00486214">
        <w:rPr>
          <w:bCs/>
          <w:sz w:val="24"/>
          <w:szCs w:val="24"/>
        </w:rPr>
        <w:t>20</w:t>
      </w:r>
      <w:r w:rsidRPr="00131B85" w:rsidR="00E37F40">
        <w:rPr>
          <w:bCs/>
          <w:sz w:val="24"/>
          <w:szCs w:val="24"/>
        </w:rPr>
        <w:t>2</w:t>
      </w:r>
      <w:r w:rsidRPr="00131B85" w:rsidR="00CA7499">
        <w:rPr>
          <w:bCs/>
          <w:sz w:val="24"/>
          <w:szCs w:val="24"/>
        </w:rPr>
        <w:t>3</w:t>
      </w:r>
      <w:r w:rsidRPr="00131B85">
        <w:rPr>
          <w:bCs/>
          <w:sz w:val="24"/>
          <w:szCs w:val="24"/>
        </w:rPr>
        <w:t xml:space="preserve"> Fiscal Year Data: $</w:t>
      </w:r>
      <w:r w:rsidRPr="00131B85" w:rsidR="00E37F40">
        <w:rPr>
          <w:bCs/>
          <w:sz w:val="24"/>
          <w:szCs w:val="24"/>
        </w:rPr>
        <w:t>3</w:t>
      </w:r>
      <w:r w:rsidRPr="00131B85" w:rsidR="00CA7499">
        <w:rPr>
          <w:bCs/>
          <w:sz w:val="24"/>
          <w:szCs w:val="24"/>
        </w:rPr>
        <w:t>.4</w:t>
      </w:r>
      <w:r w:rsidRPr="00131B85" w:rsidR="00E37F40">
        <w:rPr>
          <w:bCs/>
          <w:sz w:val="24"/>
          <w:szCs w:val="24"/>
        </w:rPr>
        <w:t xml:space="preserve"> </w:t>
      </w:r>
      <w:r w:rsidRPr="00131B85" w:rsidR="007D7A79">
        <w:rPr>
          <w:bCs/>
          <w:sz w:val="24"/>
          <w:szCs w:val="24"/>
        </w:rPr>
        <w:t>million</w:t>
      </w:r>
      <w:r w:rsidRPr="00131B85">
        <w:rPr>
          <w:bCs/>
          <w:sz w:val="24"/>
          <w:szCs w:val="24"/>
        </w:rPr>
        <w:t>.</w:t>
      </w:r>
    </w:p>
    <w:p w:rsidR="00677B24" w:rsidRPr="00131B85" w:rsidP="00495D35" w14:paraId="65FB55B6" w14:textId="3725B289">
      <w:pPr>
        <w:pStyle w:val="NoSpacing"/>
        <w:ind w:left="1080"/>
        <w:jc w:val="both"/>
        <w:rPr>
          <w:bCs/>
          <w:sz w:val="24"/>
          <w:szCs w:val="24"/>
        </w:rPr>
      </w:pPr>
      <w:r w:rsidRPr="00131B85">
        <w:rPr>
          <w:bCs/>
          <w:sz w:val="24"/>
          <w:szCs w:val="24"/>
        </w:rPr>
        <w:t xml:space="preserve">The average fee paid to Legal Advisors at issuance based on </w:t>
      </w:r>
      <w:r w:rsidRPr="00131B85" w:rsidR="00486214">
        <w:rPr>
          <w:bCs/>
          <w:sz w:val="24"/>
          <w:szCs w:val="24"/>
        </w:rPr>
        <w:t>20</w:t>
      </w:r>
      <w:r w:rsidRPr="00131B85" w:rsidR="00E37F40">
        <w:rPr>
          <w:bCs/>
          <w:sz w:val="24"/>
          <w:szCs w:val="24"/>
        </w:rPr>
        <w:t>2</w:t>
      </w:r>
      <w:r w:rsidRPr="00131B85" w:rsidR="00CA7499">
        <w:rPr>
          <w:bCs/>
          <w:sz w:val="24"/>
          <w:szCs w:val="24"/>
        </w:rPr>
        <w:t>3</w:t>
      </w:r>
      <w:r w:rsidRPr="00131B85">
        <w:rPr>
          <w:bCs/>
          <w:sz w:val="24"/>
          <w:szCs w:val="24"/>
        </w:rPr>
        <w:t xml:space="preserve"> Fiscal Year Data: </w:t>
      </w:r>
      <w:r w:rsidRPr="00131B85" w:rsidR="00484A89">
        <w:rPr>
          <w:bCs/>
          <w:sz w:val="24"/>
          <w:szCs w:val="24"/>
        </w:rPr>
        <w:t>$</w:t>
      </w:r>
      <w:r w:rsidRPr="00131B85" w:rsidR="00CA5508">
        <w:rPr>
          <w:bCs/>
          <w:sz w:val="24"/>
          <w:szCs w:val="24"/>
        </w:rPr>
        <w:t>5.5</w:t>
      </w:r>
      <w:r w:rsidRPr="00131B85" w:rsidR="00484A89">
        <w:rPr>
          <w:bCs/>
          <w:sz w:val="24"/>
          <w:szCs w:val="24"/>
        </w:rPr>
        <w:t xml:space="preserve"> </w:t>
      </w:r>
      <w:r w:rsidRPr="00131B85" w:rsidR="007F6D7E">
        <w:rPr>
          <w:bCs/>
          <w:sz w:val="24"/>
          <w:szCs w:val="24"/>
        </w:rPr>
        <w:t>million.</w:t>
      </w:r>
    </w:p>
    <w:p w:rsidR="004E4149" w:rsidRPr="00131B85" w:rsidP="00495D35" w14:paraId="76141782" w14:textId="03BAF90D">
      <w:pPr>
        <w:pStyle w:val="NoSpacing"/>
        <w:ind w:left="1080"/>
        <w:jc w:val="both"/>
        <w:rPr>
          <w:bCs/>
          <w:sz w:val="24"/>
          <w:szCs w:val="24"/>
        </w:rPr>
      </w:pPr>
      <w:r w:rsidRPr="00131B85">
        <w:rPr>
          <w:bCs/>
          <w:sz w:val="24"/>
          <w:szCs w:val="24"/>
        </w:rPr>
        <w:t xml:space="preserve">The average fee paid to </w:t>
      </w:r>
      <w:r w:rsidRPr="00131B85" w:rsidR="000E4811">
        <w:rPr>
          <w:bCs/>
          <w:sz w:val="24"/>
          <w:szCs w:val="24"/>
        </w:rPr>
        <w:t xml:space="preserve">the </w:t>
      </w:r>
      <w:r w:rsidRPr="00131B85">
        <w:rPr>
          <w:bCs/>
          <w:sz w:val="24"/>
          <w:szCs w:val="24"/>
        </w:rPr>
        <w:t>Information Agent at issuance based on 202</w:t>
      </w:r>
      <w:r w:rsidRPr="00131B85" w:rsidR="00CA7499">
        <w:rPr>
          <w:bCs/>
          <w:sz w:val="24"/>
          <w:szCs w:val="24"/>
        </w:rPr>
        <w:t>3</w:t>
      </w:r>
      <w:r w:rsidRPr="00131B85">
        <w:rPr>
          <w:bCs/>
          <w:sz w:val="24"/>
          <w:szCs w:val="24"/>
        </w:rPr>
        <w:t xml:space="preserve"> Fiscal Year Data: $48,171</w:t>
      </w:r>
    </w:p>
    <w:p w:rsidR="00677B24" w:rsidP="00495D35" w14:paraId="7BD6C1BF" w14:textId="77777777">
      <w:pPr>
        <w:pStyle w:val="NoSpacing"/>
        <w:ind w:left="1080"/>
        <w:jc w:val="both"/>
        <w:rPr>
          <w:bCs/>
          <w:sz w:val="24"/>
          <w:szCs w:val="24"/>
        </w:rPr>
      </w:pPr>
    </w:p>
    <w:p w:rsidR="00677B24" w:rsidRPr="00131B85" w:rsidP="00495D35" w14:paraId="78D3AF66" w14:textId="77777777">
      <w:pPr>
        <w:pStyle w:val="NoSpacing"/>
        <w:ind w:left="1080"/>
        <w:jc w:val="both"/>
        <w:rPr>
          <w:sz w:val="24"/>
          <w:szCs w:val="24"/>
          <w:u w:val="single"/>
        </w:rPr>
      </w:pPr>
      <w:r w:rsidRPr="00131B85">
        <w:rPr>
          <w:sz w:val="24"/>
          <w:szCs w:val="24"/>
          <w:u w:val="single"/>
        </w:rPr>
        <w:t>Platinum:</w:t>
      </w:r>
    </w:p>
    <w:p w:rsidR="00677B24" w:rsidRPr="00131B85" w:rsidP="00495D35" w14:paraId="6BFCD55C" w14:textId="77777777">
      <w:pPr>
        <w:pStyle w:val="NoSpacing"/>
        <w:ind w:left="1080"/>
        <w:jc w:val="both"/>
        <w:rPr>
          <w:sz w:val="24"/>
          <w:szCs w:val="24"/>
          <w:u w:val="single"/>
        </w:rPr>
      </w:pPr>
    </w:p>
    <w:p w:rsidR="00677B24" w:rsidRPr="004E4149" w:rsidP="00495D35" w14:paraId="5D922D9F" w14:textId="59DB6EA4">
      <w:pPr>
        <w:pStyle w:val="NoSpacing"/>
        <w:ind w:left="1080"/>
        <w:jc w:val="both"/>
        <w:rPr>
          <w:sz w:val="24"/>
          <w:szCs w:val="24"/>
        </w:rPr>
      </w:pPr>
      <w:r w:rsidRPr="00131B85">
        <w:rPr>
          <w:sz w:val="24"/>
          <w:szCs w:val="24"/>
        </w:rPr>
        <w:t xml:space="preserve">The average fee paid to Information Agents and the Federal Reserve for processing Platinum pools based on the number of pools outstanding for </w:t>
      </w:r>
      <w:r w:rsidRPr="00131B85" w:rsidR="00486214">
        <w:rPr>
          <w:sz w:val="24"/>
          <w:szCs w:val="24"/>
        </w:rPr>
        <w:t>20</w:t>
      </w:r>
      <w:r w:rsidRPr="00131B85" w:rsidR="00E37F40">
        <w:rPr>
          <w:sz w:val="24"/>
          <w:szCs w:val="24"/>
        </w:rPr>
        <w:t>2</w:t>
      </w:r>
      <w:r w:rsidRPr="00131B85" w:rsidR="00CA7499">
        <w:rPr>
          <w:sz w:val="24"/>
          <w:szCs w:val="24"/>
        </w:rPr>
        <w:t>3</w:t>
      </w:r>
      <w:r w:rsidRPr="00131B85" w:rsidR="00486214">
        <w:rPr>
          <w:sz w:val="24"/>
          <w:szCs w:val="24"/>
        </w:rPr>
        <w:t xml:space="preserve"> Fiscal Year Data: </w:t>
      </w:r>
      <w:r w:rsidRPr="00131B85" w:rsidR="004E4149">
        <w:rPr>
          <w:sz w:val="24"/>
          <w:szCs w:val="24"/>
        </w:rPr>
        <w:t>1</w:t>
      </w:r>
      <w:r w:rsidRPr="00131B85" w:rsidR="00837E9A">
        <w:rPr>
          <w:sz w:val="24"/>
          <w:szCs w:val="24"/>
        </w:rPr>
        <w:t>.</w:t>
      </w:r>
      <w:r w:rsidRPr="00131B85" w:rsidR="004E4149">
        <w:rPr>
          <w:sz w:val="24"/>
          <w:szCs w:val="24"/>
        </w:rPr>
        <w:t>0</w:t>
      </w:r>
      <w:r w:rsidRPr="00131B85" w:rsidR="00484A89">
        <w:rPr>
          <w:sz w:val="24"/>
          <w:szCs w:val="24"/>
        </w:rPr>
        <w:t xml:space="preserve"> million</w:t>
      </w:r>
      <w:r w:rsidRPr="00131B85" w:rsidR="00FE7D0E">
        <w:rPr>
          <w:sz w:val="24"/>
          <w:szCs w:val="24"/>
        </w:rPr>
        <w:t>.</w:t>
      </w:r>
    </w:p>
    <w:p w:rsidR="00677B24" w:rsidP="00495D35" w14:paraId="4BED08B3" w14:textId="77777777">
      <w:pPr>
        <w:pStyle w:val="NoSpacing"/>
        <w:ind w:left="1080"/>
        <w:jc w:val="both"/>
        <w:rPr>
          <w:sz w:val="24"/>
          <w:szCs w:val="24"/>
        </w:rPr>
      </w:pPr>
    </w:p>
    <w:p w:rsidR="008F434E" w:rsidP="00495D35" w14:paraId="5C6EC442" w14:textId="77777777">
      <w:pPr>
        <w:pStyle w:val="NoSpacing"/>
        <w:ind w:left="1080"/>
        <w:jc w:val="both"/>
        <w:rPr>
          <w:sz w:val="24"/>
          <w:szCs w:val="24"/>
        </w:rPr>
      </w:pPr>
    </w:p>
    <w:p w:rsidR="00677B24" w:rsidRPr="00677B24" w:rsidP="00495D35" w14:paraId="5F738FFF" w14:textId="77777777">
      <w:pPr>
        <w:pStyle w:val="NoSpacing"/>
        <w:numPr>
          <w:ilvl w:val="0"/>
          <w:numId w:val="25"/>
        </w:numPr>
        <w:jc w:val="both"/>
        <w:rPr>
          <w:b/>
          <w:sz w:val="24"/>
          <w:szCs w:val="24"/>
        </w:rPr>
      </w:pPr>
      <w:r w:rsidRPr="00677B24">
        <w:rPr>
          <w:b/>
          <w:sz w:val="24"/>
          <w:szCs w:val="24"/>
        </w:rPr>
        <w:t>Explain the reasons for any program changes or adjustments reported in Items 13 and 14 of the OMB Form 83-I.</w:t>
      </w:r>
    </w:p>
    <w:p w:rsidR="00677B24" w:rsidP="00495D35" w14:paraId="6F6802B9" w14:textId="77777777">
      <w:pPr>
        <w:pStyle w:val="NoSpacing"/>
        <w:ind w:left="1080"/>
        <w:jc w:val="both"/>
        <w:rPr>
          <w:sz w:val="24"/>
          <w:szCs w:val="24"/>
        </w:rPr>
      </w:pPr>
    </w:p>
    <w:p w:rsidR="00677B24" w:rsidP="00495D35" w14:paraId="043D724A" w14:textId="77777777">
      <w:pPr>
        <w:pStyle w:val="NoSpacing"/>
        <w:ind w:left="1080"/>
        <w:jc w:val="both"/>
        <w:rPr>
          <w:sz w:val="24"/>
          <w:szCs w:val="24"/>
        </w:rPr>
      </w:pPr>
      <w:r w:rsidRPr="00677B24">
        <w:rPr>
          <w:sz w:val="24"/>
          <w:szCs w:val="24"/>
        </w:rPr>
        <w:t>Progr</w:t>
      </w:r>
      <w:r w:rsidRPr="00677B24" w:rsidR="006A702E">
        <w:rPr>
          <w:sz w:val="24"/>
          <w:szCs w:val="24"/>
        </w:rPr>
        <w:t xml:space="preserve">am changes occurred </w:t>
      </w:r>
      <w:r w:rsidRPr="00677B24" w:rsidR="00336414">
        <w:rPr>
          <w:sz w:val="24"/>
          <w:szCs w:val="24"/>
        </w:rPr>
        <w:t xml:space="preserve">due to </w:t>
      </w:r>
      <w:r w:rsidRPr="00677B24" w:rsidR="006A702E">
        <w:rPr>
          <w:sz w:val="24"/>
          <w:szCs w:val="24"/>
        </w:rPr>
        <w:t>a</w:t>
      </w:r>
      <w:r w:rsidR="00263EB7">
        <w:rPr>
          <w:sz w:val="24"/>
          <w:szCs w:val="24"/>
        </w:rPr>
        <w:t>n increase</w:t>
      </w:r>
      <w:r w:rsidRPr="00677B24" w:rsidR="001C38E1">
        <w:rPr>
          <w:sz w:val="24"/>
          <w:szCs w:val="24"/>
        </w:rPr>
        <w:t xml:space="preserve"> in the number of potential sponsors in the REMIC </w:t>
      </w:r>
      <w:r w:rsidR="00263EB7">
        <w:rPr>
          <w:sz w:val="24"/>
          <w:szCs w:val="24"/>
        </w:rPr>
        <w:t xml:space="preserve">Securities </w:t>
      </w:r>
      <w:r w:rsidRPr="00677B24" w:rsidR="0016400A">
        <w:rPr>
          <w:sz w:val="24"/>
          <w:szCs w:val="24"/>
        </w:rPr>
        <w:t xml:space="preserve">and Platinum </w:t>
      </w:r>
      <w:r w:rsidR="00263EB7">
        <w:rPr>
          <w:sz w:val="24"/>
          <w:szCs w:val="24"/>
        </w:rPr>
        <w:t xml:space="preserve">programs. </w:t>
      </w:r>
      <w:r w:rsidR="004010E0">
        <w:rPr>
          <w:sz w:val="24"/>
          <w:szCs w:val="24"/>
        </w:rPr>
        <w:t xml:space="preserve"> </w:t>
      </w:r>
    </w:p>
    <w:p w:rsidR="004010E0" w:rsidP="00495D35" w14:paraId="445636C2" w14:textId="77777777">
      <w:pPr>
        <w:pStyle w:val="NoSpacing"/>
        <w:ind w:left="1080"/>
        <w:jc w:val="both"/>
        <w:rPr>
          <w:sz w:val="24"/>
          <w:szCs w:val="24"/>
        </w:rPr>
      </w:pPr>
      <w:r>
        <w:rPr>
          <w:sz w:val="24"/>
          <w:szCs w:val="24"/>
        </w:rPr>
        <w:t xml:space="preserve"> </w:t>
      </w:r>
    </w:p>
    <w:p w:rsidR="00677B24" w:rsidRPr="00677B24" w:rsidP="00495D35" w14:paraId="662227E2" w14:textId="77777777">
      <w:pPr>
        <w:pStyle w:val="NoSpacing"/>
        <w:numPr>
          <w:ilvl w:val="0"/>
          <w:numId w:val="25"/>
        </w:numPr>
        <w:jc w:val="both"/>
        <w:rPr>
          <w:b/>
          <w:sz w:val="24"/>
          <w:szCs w:val="24"/>
        </w:rPr>
      </w:pPr>
      <w:r w:rsidRPr="00677B24">
        <w:rPr>
          <w:b/>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77B24" w:rsidP="00495D35" w14:paraId="4760FD9D" w14:textId="77777777">
      <w:pPr>
        <w:pStyle w:val="NoSpacing"/>
        <w:ind w:left="1080"/>
        <w:jc w:val="both"/>
        <w:rPr>
          <w:sz w:val="24"/>
          <w:szCs w:val="24"/>
        </w:rPr>
      </w:pPr>
    </w:p>
    <w:p w:rsidR="00FA2D14" w:rsidP="00FA2D14" w14:paraId="32837F57" w14:textId="77777777">
      <w:pPr>
        <w:pStyle w:val="NoSpacing"/>
        <w:ind w:left="1080"/>
        <w:jc w:val="both"/>
        <w:rPr>
          <w:sz w:val="24"/>
          <w:szCs w:val="24"/>
        </w:rPr>
      </w:pPr>
      <w:r w:rsidRPr="00FA2D14">
        <w:rPr>
          <w:rStyle w:val="ui-provider"/>
          <w:sz w:val="24"/>
          <w:szCs w:val="24"/>
        </w:rPr>
        <w:t>This is a revision of a currently approved collection. Program changes occurred due to an increase in the number of potential respondents/sponsors in the REMIC Securities and Platinum programs.</w:t>
      </w:r>
      <w:r>
        <w:rPr>
          <w:sz w:val="24"/>
          <w:szCs w:val="24"/>
        </w:rPr>
        <w:t xml:space="preserve">  </w:t>
      </w:r>
    </w:p>
    <w:p w:rsidR="00FA2D14" w:rsidP="00FA2D14" w14:paraId="467EC006" w14:textId="77777777">
      <w:pPr>
        <w:pStyle w:val="NoSpacing"/>
        <w:ind w:left="1080"/>
        <w:jc w:val="both"/>
        <w:rPr>
          <w:sz w:val="24"/>
          <w:szCs w:val="24"/>
        </w:rPr>
      </w:pPr>
    </w:p>
    <w:p w:rsidR="00677B24" w:rsidP="00FA2D14" w14:paraId="6EEE5B2E" w14:textId="79B8ED91">
      <w:pPr>
        <w:pStyle w:val="NoSpacing"/>
        <w:ind w:left="1080"/>
        <w:jc w:val="both"/>
        <w:rPr>
          <w:sz w:val="24"/>
          <w:szCs w:val="24"/>
        </w:rPr>
      </w:pPr>
      <w:r w:rsidRPr="00677B24">
        <w:rPr>
          <w:sz w:val="24"/>
          <w:szCs w:val="24"/>
        </w:rPr>
        <w:t>Ginnie Mae does not plan to publish the results of this collection of information or use the data for statistical purposes.</w:t>
      </w:r>
    </w:p>
    <w:p w:rsidR="00677B24" w:rsidP="00495D35" w14:paraId="492CEA2C" w14:textId="77777777">
      <w:pPr>
        <w:pStyle w:val="NoSpacing"/>
        <w:ind w:left="1080"/>
        <w:jc w:val="both"/>
        <w:rPr>
          <w:sz w:val="24"/>
          <w:szCs w:val="24"/>
        </w:rPr>
      </w:pPr>
    </w:p>
    <w:p w:rsidR="00677B24" w:rsidRPr="00677B24" w:rsidP="00495D35" w14:paraId="5B207A91" w14:textId="77777777">
      <w:pPr>
        <w:pStyle w:val="NoSpacing"/>
        <w:numPr>
          <w:ilvl w:val="0"/>
          <w:numId w:val="25"/>
        </w:numPr>
        <w:jc w:val="both"/>
        <w:rPr>
          <w:b/>
          <w:sz w:val="24"/>
          <w:szCs w:val="24"/>
        </w:rPr>
      </w:pPr>
      <w:r w:rsidRPr="00677B24">
        <w:rPr>
          <w:b/>
          <w:sz w:val="24"/>
          <w:szCs w:val="24"/>
        </w:rPr>
        <w:t>If seeking approval to not display the expiration date for OMB approval of the information collection, explain the reasons that display would be inappropriate.</w:t>
      </w:r>
    </w:p>
    <w:p w:rsidR="00677B24" w:rsidP="00495D35" w14:paraId="080AEBB0" w14:textId="77777777">
      <w:pPr>
        <w:pStyle w:val="NoSpacing"/>
        <w:ind w:left="1080"/>
        <w:jc w:val="both"/>
        <w:rPr>
          <w:sz w:val="24"/>
          <w:szCs w:val="24"/>
        </w:rPr>
      </w:pPr>
    </w:p>
    <w:p w:rsidR="0042457F" w:rsidP="0042457F" w14:paraId="26007EB4" w14:textId="77777777">
      <w:pPr>
        <w:pStyle w:val="NoSpacing"/>
        <w:ind w:left="1080"/>
        <w:jc w:val="both"/>
        <w:rPr>
          <w:sz w:val="24"/>
          <w:szCs w:val="24"/>
        </w:rPr>
      </w:pPr>
      <w:r w:rsidRPr="00677B24">
        <w:rPr>
          <w:sz w:val="24"/>
          <w:szCs w:val="24"/>
        </w:rPr>
        <w:t>Ginnie Mae is not seeking approval to not display the expiration date.</w:t>
      </w:r>
    </w:p>
    <w:p w:rsidR="0042457F" w:rsidP="0042457F" w14:paraId="7C0988F8" w14:textId="77777777">
      <w:pPr>
        <w:pStyle w:val="NoSpacing"/>
        <w:ind w:left="1080"/>
        <w:jc w:val="both"/>
        <w:rPr>
          <w:sz w:val="24"/>
          <w:szCs w:val="24"/>
        </w:rPr>
      </w:pPr>
    </w:p>
    <w:p w:rsidR="0042457F" w:rsidP="0042457F" w14:paraId="14D87A2C" w14:textId="77777777">
      <w:pPr>
        <w:pStyle w:val="NoSpacing"/>
        <w:numPr>
          <w:ilvl w:val="0"/>
          <w:numId w:val="25"/>
        </w:numPr>
        <w:jc w:val="both"/>
        <w:rPr>
          <w:sz w:val="24"/>
          <w:szCs w:val="24"/>
        </w:rPr>
      </w:pPr>
      <w:r w:rsidRPr="007878F1">
        <w:rPr>
          <w:b/>
          <w:bCs/>
          <w:sz w:val="24"/>
          <w:szCs w:val="24"/>
        </w:rPr>
        <w:t>Explain each exception to the certification statement identified in item 19.</w:t>
      </w:r>
    </w:p>
    <w:p w:rsidR="007878F1" w:rsidRPr="0042457F" w:rsidP="0042457F" w14:paraId="4FD3A900" w14:textId="77777777">
      <w:pPr>
        <w:pStyle w:val="NoSpacing"/>
        <w:ind w:left="1080"/>
        <w:jc w:val="both"/>
        <w:rPr>
          <w:sz w:val="24"/>
          <w:szCs w:val="24"/>
        </w:rPr>
      </w:pPr>
      <w:r w:rsidRPr="0042457F">
        <w:rPr>
          <w:bCs/>
          <w:color w:val="000000"/>
          <w:sz w:val="24"/>
          <w:szCs w:val="24"/>
        </w:rPr>
        <w:t xml:space="preserve">Ginnie Mae does not request an exception to the certification statement identified in </w:t>
      </w:r>
      <w:r w:rsidRPr="003F3C9B">
        <w:rPr>
          <w:bCs/>
          <w:color w:val="000000"/>
          <w:sz w:val="24"/>
          <w:szCs w:val="24"/>
        </w:rPr>
        <w:t>item</w:t>
      </w:r>
      <w:r>
        <w:rPr>
          <w:bCs/>
          <w:color w:val="000000"/>
          <w:sz w:val="24"/>
          <w:szCs w:val="24"/>
        </w:rPr>
        <w:t xml:space="preserve"> </w:t>
      </w:r>
      <w:r w:rsidRPr="003F3C9B">
        <w:rPr>
          <w:bCs/>
          <w:color w:val="000000"/>
          <w:sz w:val="24"/>
          <w:szCs w:val="24"/>
        </w:rPr>
        <w:t>19.</w:t>
      </w:r>
      <w:r w:rsidRPr="003F3C9B">
        <w:rPr>
          <w:b/>
          <w:sz w:val="24"/>
          <w:szCs w:val="24"/>
        </w:rPr>
        <w:tab/>
      </w:r>
    </w:p>
    <w:p w:rsidR="000F26AF" w:rsidP="00495D35" w14:paraId="060735A0" w14:textId="77777777">
      <w:pPr>
        <w:pStyle w:val="NoSpacing"/>
        <w:ind w:left="1080"/>
        <w:jc w:val="both"/>
        <w:rPr>
          <w:sz w:val="24"/>
          <w:szCs w:val="24"/>
        </w:rPr>
      </w:pPr>
    </w:p>
    <w:p w:rsidR="000F26AF" w:rsidP="00495D35" w14:paraId="5DA0FFAF" w14:textId="77777777">
      <w:pPr>
        <w:pStyle w:val="NoSpacing"/>
        <w:ind w:left="1080"/>
        <w:jc w:val="both"/>
        <w:rPr>
          <w:sz w:val="24"/>
          <w:szCs w:val="24"/>
        </w:rPr>
      </w:pPr>
      <w:r>
        <w:rPr>
          <w:sz w:val="24"/>
          <w:szCs w:val="24"/>
        </w:rPr>
        <w:t>___________________________________________________________</w:t>
      </w:r>
    </w:p>
    <w:p w:rsidR="001A78B3" w:rsidP="00495D35" w14:paraId="047DBE23" w14:textId="77777777">
      <w:pPr>
        <w:jc w:val="both"/>
      </w:pPr>
    </w:p>
    <w:sectPr w:rsidSect="00CE251B">
      <w:headerReference w:type="even" r:id="rId10"/>
      <w:headerReference w:type="default" r:id="rId11"/>
      <w:footerReference w:type="even" r:id="rId12"/>
      <w:footerReference w:type="default" r:id="rId13"/>
      <w:headerReference w:type="first" r:id="rId14"/>
      <w:footerReference w:type="first" r:id="rId15"/>
      <w:pgSz w:w="12240" w:h="15840"/>
      <w:pgMar w:top="810" w:right="720" w:bottom="480" w:left="600" w:header="480" w:footer="480" w:gutter="0"/>
      <w:cols w:space="480" w:equalWidth="0">
        <w:col w:w="1080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4FF" w14:paraId="442A07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8B3" w14:paraId="00A8B8F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0445">
      <w:rPr>
        <w:rStyle w:val="PageNumber"/>
        <w:noProof/>
      </w:rPr>
      <w:t>2</w:t>
    </w:r>
    <w:r>
      <w:rPr>
        <w:rStyle w:val="PageNumber"/>
      </w:rPr>
      <w:fldChar w:fldCharType="end"/>
    </w:r>
  </w:p>
  <w:p w:rsidR="001A78B3" w14:paraId="63CC6CAA" w14:textId="77777777">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8B3" w14:paraId="59850021" w14:textId="77777777">
    <w:pPr>
      <w:pStyle w:val="Footer"/>
      <w:pBdr>
        <w:top w:val="single" w:sz="6" w:space="1" w:color="auto"/>
      </w:pBdr>
      <w:tabs>
        <w:tab w:val="clear" w:pos="4320"/>
        <w:tab w:val="clear" w:pos="8640"/>
        <w:tab w:val="right" w:pos="10920"/>
      </w:tabs>
      <w:rPr>
        <w:rFonts w:ascii="Helvetica" w:hAnsi="Helvetica"/>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4FF" w14:paraId="6D05D9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4FF" w14:paraId="2D04C00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4FF" w14:paraId="03E97A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21E6BB0"/>
    <w:multiLevelType w:val="hybridMultilevel"/>
    <w:tmpl w:val="BAF601CE"/>
    <w:lvl w:ilvl="0">
      <w:start w:val="1"/>
      <w:numFmt w:val="decimal"/>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0F090782"/>
    <w:multiLevelType w:val="singleLevel"/>
    <w:tmpl w:val="5DBE98B6"/>
    <w:lvl w:ilvl="0">
      <w:start w:val="1"/>
      <w:numFmt w:val="decimal"/>
      <w:lvlText w:val="%1)"/>
      <w:legacy w:legacy="1" w:legacySpace="120" w:legacyIndent="465"/>
      <w:lvlJc w:val="left"/>
      <w:pPr>
        <w:ind w:left="1905" w:hanging="465"/>
      </w:pPr>
    </w:lvl>
  </w:abstractNum>
  <w:abstractNum w:abstractNumId="4">
    <w:nsid w:val="0FCD6795"/>
    <w:multiLevelType w:val="hybridMultilevel"/>
    <w:tmpl w:val="48C6650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0E273D4"/>
    <w:multiLevelType w:val="singleLevel"/>
    <w:tmpl w:val="AF968A4E"/>
    <w:lvl w:ilvl="0">
      <w:start w:val="7"/>
      <w:numFmt w:val="decimal"/>
      <w:lvlText w:val="%1. "/>
      <w:legacy w:legacy="1" w:legacySpace="0" w:legacyIndent="360"/>
      <w:lvlJc w:val="left"/>
      <w:pPr>
        <w:ind w:left="360" w:hanging="360"/>
      </w:pPr>
      <w:rPr>
        <w:b w:val="0"/>
        <w:i w:val="0"/>
        <w:sz w:val="18"/>
      </w:rPr>
    </w:lvl>
  </w:abstractNum>
  <w:abstractNum w:abstractNumId="6">
    <w:nsid w:val="113300FF"/>
    <w:multiLevelType w:val="hybridMultilevel"/>
    <w:tmpl w:val="AE9066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nsid w:val="121C6535"/>
    <w:multiLevelType w:val="hybridMultilevel"/>
    <w:tmpl w:val="29B0921C"/>
    <w:lvl w:ilvl="0">
      <w:start w:val="10"/>
      <w:numFmt w:val="decimal"/>
      <w:lvlText w:val="%1."/>
      <w:lvlJc w:val="left"/>
      <w:pPr>
        <w:tabs>
          <w:tab w:val="num" w:pos="630"/>
        </w:tabs>
        <w:ind w:left="630" w:hanging="36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9">
    <w:nsid w:val="1CEE1535"/>
    <w:multiLevelType w:val="hybridMultilevel"/>
    <w:tmpl w:val="6D6AF8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5C1069A"/>
    <w:multiLevelType w:val="singleLevel"/>
    <w:tmpl w:val="D3781CAA"/>
    <w:lvl w:ilvl="0">
      <w:start w:val="1"/>
      <w:numFmt w:val="decimal"/>
      <w:lvlText w:val="%1)"/>
      <w:legacy w:legacy="1" w:legacySpace="120" w:legacyIndent="360"/>
      <w:lvlJc w:val="left"/>
      <w:pPr>
        <w:ind w:left="1890" w:hanging="360"/>
      </w:pPr>
    </w:lvl>
  </w:abstractNum>
  <w:abstractNum w:abstractNumId="11">
    <w:nsid w:val="29073CE1"/>
    <w:multiLevelType w:val="singleLevel"/>
    <w:tmpl w:val="76842CE6"/>
    <w:lvl w:ilvl="0">
      <w:start w:val="1"/>
      <w:numFmt w:val="decimal"/>
      <w:lvlText w:val="%1)"/>
      <w:legacy w:legacy="1" w:legacySpace="120" w:legacyIndent="465"/>
      <w:lvlJc w:val="left"/>
      <w:pPr>
        <w:ind w:left="1905" w:hanging="465"/>
      </w:pPr>
    </w:lvl>
  </w:abstractNum>
  <w:abstractNum w:abstractNumId="12">
    <w:nsid w:val="2B52337B"/>
    <w:multiLevelType w:val="hybridMultilevel"/>
    <w:tmpl w:val="8D0EC792"/>
    <w:lvl w:ilvl="0">
      <w:start w:val="46"/>
      <w:numFmt w:val="decimal"/>
      <w:lvlText w:val="%1."/>
      <w:lvlJc w:val="left"/>
      <w:pPr>
        <w:tabs>
          <w:tab w:val="num" w:pos="1440"/>
        </w:tabs>
        <w:ind w:left="1440" w:hanging="10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F214BFA"/>
    <w:multiLevelType w:val="hybridMultilevel"/>
    <w:tmpl w:val="FBEAE766"/>
    <w:lvl w:ilvl="0">
      <w:start w:val="6"/>
      <w:numFmt w:val="decimal"/>
      <w:lvlText w:val="%1."/>
      <w:lvlJc w:val="left"/>
      <w:pPr>
        <w:tabs>
          <w:tab w:val="num" w:pos="3600"/>
        </w:tabs>
        <w:ind w:left="3600" w:hanging="360"/>
      </w:pPr>
      <w:rPr>
        <w:rFonts w:hint="default"/>
        <w:sz w:val="18"/>
      </w:rPr>
    </w:lvl>
    <w:lvl w:ilvl="1" w:tentative="1">
      <w:start w:val="1"/>
      <w:numFmt w:val="lowerLetter"/>
      <w:lvlText w:val="%2."/>
      <w:lvlJc w:val="left"/>
      <w:pPr>
        <w:tabs>
          <w:tab w:val="num" w:pos="4320"/>
        </w:tabs>
        <w:ind w:left="4320" w:hanging="360"/>
      </w:pPr>
    </w:lvl>
    <w:lvl w:ilvl="2" w:tentative="1">
      <w:start w:val="1"/>
      <w:numFmt w:val="lowerRoman"/>
      <w:lvlText w:val="%3."/>
      <w:lvlJc w:val="right"/>
      <w:pPr>
        <w:tabs>
          <w:tab w:val="num" w:pos="5040"/>
        </w:tabs>
        <w:ind w:left="5040" w:hanging="180"/>
      </w:pPr>
    </w:lvl>
    <w:lvl w:ilvl="3" w:tentative="1">
      <w:start w:val="1"/>
      <w:numFmt w:val="decimal"/>
      <w:lvlText w:val="%4."/>
      <w:lvlJc w:val="left"/>
      <w:pPr>
        <w:tabs>
          <w:tab w:val="num" w:pos="5760"/>
        </w:tabs>
        <w:ind w:left="5760" w:hanging="360"/>
      </w:pPr>
    </w:lvl>
    <w:lvl w:ilvl="4" w:tentative="1">
      <w:start w:val="1"/>
      <w:numFmt w:val="lowerLetter"/>
      <w:lvlText w:val="%5."/>
      <w:lvlJc w:val="left"/>
      <w:pPr>
        <w:tabs>
          <w:tab w:val="num" w:pos="6480"/>
        </w:tabs>
        <w:ind w:left="6480" w:hanging="360"/>
      </w:pPr>
    </w:lvl>
    <w:lvl w:ilvl="5" w:tentative="1">
      <w:start w:val="1"/>
      <w:numFmt w:val="lowerRoman"/>
      <w:lvlText w:val="%6."/>
      <w:lvlJc w:val="right"/>
      <w:pPr>
        <w:tabs>
          <w:tab w:val="num" w:pos="7200"/>
        </w:tabs>
        <w:ind w:left="7200" w:hanging="180"/>
      </w:pPr>
    </w:lvl>
    <w:lvl w:ilvl="6" w:tentative="1">
      <w:start w:val="1"/>
      <w:numFmt w:val="decimal"/>
      <w:lvlText w:val="%7."/>
      <w:lvlJc w:val="left"/>
      <w:pPr>
        <w:tabs>
          <w:tab w:val="num" w:pos="7920"/>
        </w:tabs>
        <w:ind w:left="7920" w:hanging="360"/>
      </w:pPr>
    </w:lvl>
    <w:lvl w:ilvl="7" w:tentative="1">
      <w:start w:val="1"/>
      <w:numFmt w:val="lowerLetter"/>
      <w:lvlText w:val="%8."/>
      <w:lvlJc w:val="left"/>
      <w:pPr>
        <w:tabs>
          <w:tab w:val="num" w:pos="8640"/>
        </w:tabs>
        <w:ind w:left="8640" w:hanging="360"/>
      </w:pPr>
    </w:lvl>
    <w:lvl w:ilvl="8" w:tentative="1">
      <w:start w:val="1"/>
      <w:numFmt w:val="lowerRoman"/>
      <w:lvlText w:val="%9."/>
      <w:lvlJc w:val="right"/>
      <w:pPr>
        <w:tabs>
          <w:tab w:val="num" w:pos="9360"/>
        </w:tabs>
        <w:ind w:left="9360" w:hanging="180"/>
      </w:pPr>
    </w:lvl>
  </w:abstractNum>
  <w:abstractNum w:abstractNumId="14">
    <w:nsid w:val="37B61169"/>
    <w:multiLevelType w:val="hybridMultilevel"/>
    <w:tmpl w:val="88B27930"/>
    <w:lvl w:ilvl="0">
      <w:start w:val="17"/>
      <w:numFmt w:val="decimal"/>
      <w:lvlText w:val="%1."/>
      <w:lvlJc w:val="left"/>
      <w:pPr>
        <w:tabs>
          <w:tab w:val="num" w:pos="630"/>
        </w:tabs>
        <w:ind w:left="630" w:hanging="36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1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6">
    <w:nsid w:val="52F53C28"/>
    <w:multiLevelType w:val="hybridMultilevel"/>
    <w:tmpl w:val="207C9AF6"/>
    <w:lvl w:ilvl="0">
      <w:start w:val="14"/>
      <w:numFmt w:val="decimal"/>
      <w:lvlText w:val="%1."/>
      <w:lvlJc w:val="left"/>
      <w:pPr>
        <w:tabs>
          <w:tab w:val="num" w:pos="630"/>
        </w:tabs>
        <w:ind w:left="630" w:hanging="36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17">
    <w:nsid w:val="54627B55"/>
    <w:multiLevelType w:val="hybridMultilevel"/>
    <w:tmpl w:val="67A00304"/>
    <w:lvl w:ilvl="0">
      <w:start w:val="11"/>
      <w:numFmt w:val="decimal"/>
      <w:lvlText w:val="%1."/>
      <w:lvlJc w:val="left"/>
      <w:pPr>
        <w:tabs>
          <w:tab w:val="num" w:pos="720"/>
        </w:tabs>
        <w:ind w:left="720" w:hanging="360"/>
      </w:pPr>
      <w:rPr>
        <w:rFonts w:hint="default"/>
        <w:color w:val="auto"/>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772770C"/>
    <w:multiLevelType w:val="hybridMultilevel"/>
    <w:tmpl w:val="F762FD0A"/>
    <w:lvl w:ilvl="0">
      <w:start w:val="50"/>
      <w:numFmt w:val="decimal"/>
      <w:lvlText w:val="%1."/>
      <w:lvlJc w:val="left"/>
      <w:pPr>
        <w:tabs>
          <w:tab w:val="num" w:pos="1440"/>
        </w:tabs>
        <w:ind w:left="1440" w:hanging="10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7D0105C"/>
    <w:multiLevelType w:val="hybridMultilevel"/>
    <w:tmpl w:val="8A1CFD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B730AC4"/>
    <w:multiLevelType w:val="singleLevel"/>
    <w:tmpl w:val="78B8CCDA"/>
    <w:lvl w:ilvl="0">
      <w:start w:val="1"/>
      <w:numFmt w:val="decimal"/>
      <w:lvlText w:val="%1)"/>
      <w:legacy w:legacy="1" w:legacySpace="120" w:legacyIndent="360"/>
      <w:lvlJc w:val="left"/>
      <w:pPr>
        <w:ind w:left="1890" w:hanging="360"/>
      </w:pPr>
    </w:lvl>
  </w:abstractNum>
  <w:abstractNum w:abstractNumId="21">
    <w:nsid w:val="5BF46204"/>
    <w:multiLevelType w:val="hybridMultilevel"/>
    <w:tmpl w:val="BD8AF1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D5D7E45"/>
    <w:multiLevelType w:val="hybridMultilevel"/>
    <w:tmpl w:val="E6EEFA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668302F6"/>
    <w:multiLevelType w:val="hybridMultilevel"/>
    <w:tmpl w:val="6A76BA4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7">
    <w:nsid w:val="7F9B354C"/>
    <w:multiLevelType w:val="singleLevel"/>
    <w:tmpl w:val="AEFEDD52"/>
    <w:lvl w:ilvl="0">
      <w:start w:val="6"/>
      <w:numFmt w:val="decimal"/>
      <w:lvlText w:val="%1. "/>
      <w:legacy w:legacy="1" w:legacySpace="0" w:legacyIndent="360"/>
      <w:lvlJc w:val="left"/>
      <w:pPr>
        <w:ind w:left="360" w:hanging="360"/>
      </w:pPr>
      <w:rPr>
        <w:b w:val="0"/>
        <w:i w:val="0"/>
        <w:sz w:val="18"/>
      </w:rPr>
    </w:lvl>
  </w:abstractNum>
  <w:num w:numId="1" w16cid:durableId="60250928">
    <w:abstractNumId w:val="7"/>
  </w:num>
  <w:num w:numId="2" w16cid:durableId="349839161">
    <w:abstractNumId w:val="26"/>
  </w:num>
  <w:num w:numId="3" w16cid:durableId="368066831">
    <w:abstractNumId w:val="2"/>
  </w:num>
  <w:num w:numId="4" w16cid:durableId="262307417">
    <w:abstractNumId w:val="25"/>
  </w:num>
  <w:num w:numId="5" w16cid:durableId="2086877529">
    <w:abstractNumId w:val="24"/>
  </w:num>
  <w:num w:numId="6" w16cid:durableId="1410690384">
    <w:abstractNumId w:val="2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702703312">
    <w:abstractNumId w:val="15"/>
  </w:num>
  <w:num w:numId="8" w16cid:durableId="1789811649">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16cid:durableId="847719033">
    <w:abstractNumId w:val="17"/>
  </w:num>
  <w:num w:numId="10" w16cid:durableId="549147909">
    <w:abstractNumId w:val="10"/>
  </w:num>
  <w:num w:numId="11" w16cid:durableId="2013951690">
    <w:abstractNumId w:val="3"/>
  </w:num>
  <w:num w:numId="12" w16cid:durableId="1975256963">
    <w:abstractNumId w:val="20"/>
  </w:num>
  <w:num w:numId="13" w16cid:durableId="1591623227">
    <w:abstractNumId w:val="11"/>
  </w:num>
  <w:num w:numId="14" w16cid:durableId="550458903">
    <w:abstractNumId w:val="27"/>
  </w:num>
  <w:num w:numId="15" w16cid:durableId="1703018937">
    <w:abstractNumId w:val="5"/>
  </w:num>
  <w:num w:numId="16" w16cid:durableId="911739954">
    <w:abstractNumId w:val="13"/>
  </w:num>
  <w:num w:numId="17" w16cid:durableId="323820247">
    <w:abstractNumId w:val="12"/>
  </w:num>
  <w:num w:numId="18" w16cid:durableId="1614092841">
    <w:abstractNumId w:val="18"/>
  </w:num>
  <w:num w:numId="19" w16cid:durableId="1582566793">
    <w:abstractNumId w:val="4"/>
  </w:num>
  <w:num w:numId="20" w16cid:durableId="1734087246">
    <w:abstractNumId w:val="8"/>
  </w:num>
  <w:num w:numId="21" w16cid:durableId="1844930030">
    <w:abstractNumId w:val="16"/>
  </w:num>
  <w:num w:numId="22" w16cid:durableId="451556299">
    <w:abstractNumId w:val="14"/>
  </w:num>
  <w:num w:numId="23" w16cid:durableId="929432245">
    <w:abstractNumId w:val="23"/>
  </w:num>
  <w:num w:numId="24" w16cid:durableId="398405651">
    <w:abstractNumId w:val="21"/>
  </w:num>
  <w:num w:numId="25" w16cid:durableId="99840655">
    <w:abstractNumId w:val="1"/>
  </w:num>
  <w:num w:numId="26" w16cid:durableId="992023305">
    <w:abstractNumId w:val="22"/>
  </w:num>
  <w:num w:numId="27" w16cid:durableId="1982726904">
    <w:abstractNumId w:val="6"/>
  </w:num>
  <w:num w:numId="28" w16cid:durableId="62917867">
    <w:abstractNumId w:val="19"/>
  </w:num>
  <w:num w:numId="29" w16cid:durableId="1077626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D3"/>
    <w:rsid w:val="00003A21"/>
    <w:rsid w:val="0005302E"/>
    <w:rsid w:val="000574D5"/>
    <w:rsid w:val="0007792C"/>
    <w:rsid w:val="000932F8"/>
    <w:rsid w:val="000A075E"/>
    <w:rsid w:val="000B0A48"/>
    <w:rsid w:val="000D1DAE"/>
    <w:rsid w:val="000D2E2B"/>
    <w:rsid w:val="000D36B2"/>
    <w:rsid w:val="000D4035"/>
    <w:rsid w:val="000E4811"/>
    <w:rsid w:val="000F1001"/>
    <w:rsid w:val="000F26AF"/>
    <w:rsid w:val="000F7346"/>
    <w:rsid w:val="00110A38"/>
    <w:rsid w:val="00124522"/>
    <w:rsid w:val="00127944"/>
    <w:rsid w:val="0013142A"/>
    <w:rsid w:val="00131B85"/>
    <w:rsid w:val="00145843"/>
    <w:rsid w:val="00145B2B"/>
    <w:rsid w:val="00162FB3"/>
    <w:rsid w:val="0016400A"/>
    <w:rsid w:val="00196A9B"/>
    <w:rsid w:val="001977C4"/>
    <w:rsid w:val="001A26A7"/>
    <w:rsid w:val="001A36F4"/>
    <w:rsid w:val="001A78B3"/>
    <w:rsid w:val="001C38E1"/>
    <w:rsid w:val="001C6876"/>
    <w:rsid w:val="00201D81"/>
    <w:rsid w:val="00225EC6"/>
    <w:rsid w:val="00251CCE"/>
    <w:rsid w:val="0025330C"/>
    <w:rsid w:val="00263EB7"/>
    <w:rsid w:val="00281196"/>
    <w:rsid w:val="00297E16"/>
    <w:rsid w:val="002A16AE"/>
    <w:rsid w:val="002E3B9F"/>
    <w:rsid w:val="002E4989"/>
    <w:rsid w:val="0030376D"/>
    <w:rsid w:val="00320D7F"/>
    <w:rsid w:val="00321C2D"/>
    <w:rsid w:val="00323E5E"/>
    <w:rsid w:val="00326B41"/>
    <w:rsid w:val="00336414"/>
    <w:rsid w:val="0036471B"/>
    <w:rsid w:val="00366834"/>
    <w:rsid w:val="00371A32"/>
    <w:rsid w:val="003B7494"/>
    <w:rsid w:val="003D6030"/>
    <w:rsid w:val="003F3C9B"/>
    <w:rsid w:val="004010E0"/>
    <w:rsid w:val="0042457F"/>
    <w:rsid w:val="004309EC"/>
    <w:rsid w:val="0045077D"/>
    <w:rsid w:val="004549B2"/>
    <w:rsid w:val="00465CE6"/>
    <w:rsid w:val="00484A89"/>
    <w:rsid w:val="00486214"/>
    <w:rsid w:val="00495D35"/>
    <w:rsid w:val="004B0D42"/>
    <w:rsid w:val="004E4149"/>
    <w:rsid w:val="004F0445"/>
    <w:rsid w:val="004F33EC"/>
    <w:rsid w:val="004F6608"/>
    <w:rsid w:val="00500F3E"/>
    <w:rsid w:val="00521BE3"/>
    <w:rsid w:val="005427EE"/>
    <w:rsid w:val="00542899"/>
    <w:rsid w:val="00580103"/>
    <w:rsid w:val="00594F1D"/>
    <w:rsid w:val="005A0A5F"/>
    <w:rsid w:val="005A5F73"/>
    <w:rsid w:val="005E2A4E"/>
    <w:rsid w:val="005F0E05"/>
    <w:rsid w:val="0061749F"/>
    <w:rsid w:val="00634620"/>
    <w:rsid w:val="00653BAA"/>
    <w:rsid w:val="00667DB4"/>
    <w:rsid w:val="00677B24"/>
    <w:rsid w:val="006812C2"/>
    <w:rsid w:val="006A702E"/>
    <w:rsid w:val="006B1C0C"/>
    <w:rsid w:val="006B7582"/>
    <w:rsid w:val="006C4719"/>
    <w:rsid w:val="006D54D2"/>
    <w:rsid w:val="007154FF"/>
    <w:rsid w:val="00762332"/>
    <w:rsid w:val="00776888"/>
    <w:rsid w:val="007878F1"/>
    <w:rsid w:val="00794EA9"/>
    <w:rsid w:val="007C134F"/>
    <w:rsid w:val="007C2AA1"/>
    <w:rsid w:val="007D7A79"/>
    <w:rsid w:val="007E22FF"/>
    <w:rsid w:val="007E7CF1"/>
    <w:rsid w:val="007F6D7E"/>
    <w:rsid w:val="008038C5"/>
    <w:rsid w:val="008178EF"/>
    <w:rsid w:val="00822B37"/>
    <w:rsid w:val="008268A0"/>
    <w:rsid w:val="00834671"/>
    <w:rsid w:val="00837E9A"/>
    <w:rsid w:val="00843193"/>
    <w:rsid w:val="0084457A"/>
    <w:rsid w:val="00871B63"/>
    <w:rsid w:val="008A642F"/>
    <w:rsid w:val="008C7614"/>
    <w:rsid w:val="008D0EFE"/>
    <w:rsid w:val="008D463E"/>
    <w:rsid w:val="008D523F"/>
    <w:rsid w:val="008F1507"/>
    <w:rsid w:val="008F434E"/>
    <w:rsid w:val="00904E27"/>
    <w:rsid w:val="00910F21"/>
    <w:rsid w:val="0095169A"/>
    <w:rsid w:val="009E1A5F"/>
    <w:rsid w:val="009E3DD4"/>
    <w:rsid w:val="009F4310"/>
    <w:rsid w:val="00A02812"/>
    <w:rsid w:val="00A73D82"/>
    <w:rsid w:val="00A74FB9"/>
    <w:rsid w:val="00A77877"/>
    <w:rsid w:val="00A81D42"/>
    <w:rsid w:val="00A8598F"/>
    <w:rsid w:val="00A956D3"/>
    <w:rsid w:val="00A9637B"/>
    <w:rsid w:val="00AA3099"/>
    <w:rsid w:val="00AB09A8"/>
    <w:rsid w:val="00AD60FC"/>
    <w:rsid w:val="00AE31A2"/>
    <w:rsid w:val="00AE3C67"/>
    <w:rsid w:val="00B15211"/>
    <w:rsid w:val="00B167BF"/>
    <w:rsid w:val="00B2637C"/>
    <w:rsid w:val="00B9052F"/>
    <w:rsid w:val="00BA21FD"/>
    <w:rsid w:val="00BA477B"/>
    <w:rsid w:val="00BA5A3A"/>
    <w:rsid w:val="00BB7CD5"/>
    <w:rsid w:val="00C44F6F"/>
    <w:rsid w:val="00C61798"/>
    <w:rsid w:val="00C657EC"/>
    <w:rsid w:val="00C81073"/>
    <w:rsid w:val="00C849CE"/>
    <w:rsid w:val="00CA4CD2"/>
    <w:rsid w:val="00CA5508"/>
    <w:rsid w:val="00CA7499"/>
    <w:rsid w:val="00CC707E"/>
    <w:rsid w:val="00CE251B"/>
    <w:rsid w:val="00CF2BF9"/>
    <w:rsid w:val="00CF57A0"/>
    <w:rsid w:val="00D00837"/>
    <w:rsid w:val="00D04166"/>
    <w:rsid w:val="00D07BA2"/>
    <w:rsid w:val="00D249E8"/>
    <w:rsid w:val="00D41DE3"/>
    <w:rsid w:val="00D45F58"/>
    <w:rsid w:val="00D51833"/>
    <w:rsid w:val="00D52935"/>
    <w:rsid w:val="00D55842"/>
    <w:rsid w:val="00D56CA1"/>
    <w:rsid w:val="00D72FCD"/>
    <w:rsid w:val="00D822D1"/>
    <w:rsid w:val="00D8282D"/>
    <w:rsid w:val="00D969F8"/>
    <w:rsid w:val="00DB3794"/>
    <w:rsid w:val="00DC16BD"/>
    <w:rsid w:val="00DC5B70"/>
    <w:rsid w:val="00DD193A"/>
    <w:rsid w:val="00DF7832"/>
    <w:rsid w:val="00E00358"/>
    <w:rsid w:val="00E131CA"/>
    <w:rsid w:val="00E218D6"/>
    <w:rsid w:val="00E37F40"/>
    <w:rsid w:val="00E518A5"/>
    <w:rsid w:val="00E616BE"/>
    <w:rsid w:val="00E63CDF"/>
    <w:rsid w:val="00E75B2D"/>
    <w:rsid w:val="00E82D63"/>
    <w:rsid w:val="00E94757"/>
    <w:rsid w:val="00EC6C39"/>
    <w:rsid w:val="00EC77F4"/>
    <w:rsid w:val="00EE2545"/>
    <w:rsid w:val="00F22015"/>
    <w:rsid w:val="00F2649A"/>
    <w:rsid w:val="00F325BA"/>
    <w:rsid w:val="00F34582"/>
    <w:rsid w:val="00F415EF"/>
    <w:rsid w:val="00F446EC"/>
    <w:rsid w:val="00F551A2"/>
    <w:rsid w:val="00FA2D14"/>
    <w:rsid w:val="00FB7D69"/>
    <w:rsid w:val="00FC2F37"/>
    <w:rsid w:val="00FD3CD4"/>
    <w:rsid w:val="00FE7D0E"/>
    <w:rsid w:val="00FF26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0F9397"/>
  <w15:chartTrackingRefBased/>
  <w15:docId w15:val="{11023AC8-310E-4358-97AD-3372040D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firstLine="720"/>
      <w:outlineLvl w:val="0"/>
    </w:pPr>
    <w:rPr>
      <w:b/>
      <w:sz w:val="24"/>
      <w:u w:val="single"/>
    </w:rPr>
  </w:style>
  <w:style w:type="paragraph" w:styleId="Heading2">
    <w:name w:val="heading 2"/>
    <w:basedOn w:val="Normal"/>
    <w:next w:val="Normal"/>
    <w:qFormat/>
    <w:pPr>
      <w:keepNext/>
      <w:tabs>
        <w:tab w:val="left" w:pos="360"/>
        <w:tab w:val="left" w:pos="720"/>
      </w:tabs>
      <w:ind w:left="360"/>
      <w:outlineLvl w:val="1"/>
    </w:pPr>
    <w:rPr>
      <w:b/>
      <w:noProof/>
      <w:u w:val="single"/>
    </w:rPr>
  </w:style>
  <w:style w:type="paragraph" w:styleId="Heading3">
    <w:name w:val="heading 3"/>
    <w:basedOn w:val="Normal"/>
    <w:next w:val="Normal"/>
    <w:qFormat/>
    <w:pPr>
      <w:keepNext/>
      <w:ind w:left="720"/>
      <w:outlineLvl w:val="2"/>
    </w:pPr>
    <w:rPr>
      <w:b/>
      <w:u w:val="single"/>
    </w:rPr>
  </w:style>
  <w:style w:type="paragraph" w:styleId="Heading4">
    <w:name w:val="heading 4"/>
    <w:basedOn w:val="Normal"/>
    <w:next w:val="Normal"/>
    <w:qFormat/>
    <w:pPr>
      <w:keepNext/>
      <w:ind w:firstLine="360"/>
      <w:outlineLvl w:val="3"/>
    </w:pPr>
    <w:rPr>
      <w:b/>
      <w:u w:val="single"/>
    </w:rPr>
  </w:style>
  <w:style w:type="paragraph" w:styleId="Heading5">
    <w:name w:val="heading 5"/>
    <w:basedOn w:val="Normal"/>
    <w:next w:val="Normal"/>
    <w:qFormat/>
    <w:pPr>
      <w:keepNext/>
      <w:tabs>
        <w:tab w:val="left" w:pos="360"/>
        <w:tab w:val="left" w:pos="720"/>
      </w:tabs>
      <w:ind w:left="360"/>
      <w:jc w:val="center"/>
      <w:outlineLvl w:val="4"/>
    </w:pPr>
    <w:rPr>
      <w:b/>
      <w:noProof/>
      <w:sz w:val="24"/>
      <w:u w:val="single"/>
    </w:rPr>
  </w:style>
  <w:style w:type="paragraph" w:styleId="Heading6">
    <w:name w:val="heading 6"/>
    <w:basedOn w:val="Normal"/>
    <w:next w:val="Normal"/>
    <w:qFormat/>
    <w:pPr>
      <w:keepNext/>
      <w:ind w:firstLine="720"/>
      <w:outlineLvl w:val="5"/>
    </w:pPr>
    <w:rPr>
      <w:b/>
      <w:bCs/>
      <w:u w:val="single"/>
    </w:rPr>
  </w:style>
  <w:style w:type="paragraph" w:styleId="Heading7">
    <w:name w:val="heading 7"/>
    <w:basedOn w:val="Normal"/>
    <w:next w:val="Normal"/>
    <w:qFormat/>
    <w:pPr>
      <w:keepNext/>
      <w:ind w:left="1440"/>
      <w:outlineLvl w:val="6"/>
    </w:pPr>
    <w:rPr>
      <w:b/>
      <w:noProof/>
    </w:rPr>
  </w:style>
  <w:style w:type="paragraph" w:styleId="Heading8">
    <w:name w:val="heading 8"/>
    <w:basedOn w:val="Normal"/>
    <w:next w:val="Normal"/>
    <w:qFormat/>
    <w:pPr>
      <w:keepNext/>
      <w:outlineLvl w:val="7"/>
    </w:pPr>
    <w:rPr>
      <w:b/>
      <w:noProof/>
    </w:rPr>
  </w:style>
  <w:style w:type="paragraph" w:styleId="Heading9">
    <w:name w:val="heading 9"/>
    <w:basedOn w:val="Normal"/>
    <w:next w:val="Normal"/>
    <w:qFormat/>
    <w:pPr>
      <w:keepNext/>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360"/>
        <w:tab w:val="left" w:pos="720"/>
      </w:tabs>
      <w:ind w:left="360"/>
    </w:pPr>
    <w:rPr>
      <w:b/>
      <w:noProof/>
    </w:rPr>
  </w:style>
  <w:style w:type="paragraph" w:styleId="BodyTextIndent3">
    <w:name w:val="Body Text Indent 3"/>
    <w:basedOn w:val="Normal"/>
    <w:pPr>
      <w:tabs>
        <w:tab w:val="left" w:pos="360"/>
        <w:tab w:val="left" w:pos="720"/>
      </w:tabs>
      <w:ind w:left="1530"/>
    </w:pPr>
    <w:rPr>
      <w:b/>
      <w:noProof/>
    </w:rPr>
  </w:style>
  <w:style w:type="paragraph" w:styleId="BodyTextIndent">
    <w:name w:val="Body Text Indent"/>
    <w:basedOn w:val="Normal"/>
    <w:pPr>
      <w:ind w:left="1440"/>
    </w:pPr>
    <w:rPr>
      <w:b/>
    </w:rPr>
  </w:style>
  <w:style w:type="character" w:customStyle="1" w:styleId="ft111">
    <w:name w:val="ft111"/>
    <w:rPr>
      <w:b/>
      <w:sz w:val="21"/>
    </w:rPr>
  </w:style>
  <w:style w:type="character" w:customStyle="1" w:styleId="em141">
    <w:name w:val="em141"/>
    <w:rPr>
      <w:sz w:val="23"/>
    </w:rPr>
  </w:style>
  <w:style w:type="character" w:customStyle="1" w:styleId="ps251">
    <w:name w:val="ps251"/>
    <w:basedOn w:val="DefaultParagraphFont"/>
  </w:style>
  <w:style w:type="character" w:customStyle="1" w:styleId="ps261">
    <w:name w:val="ps261"/>
    <w:basedOn w:val="DefaultParagraphFont"/>
  </w:style>
  <w:style w:type="character" w:customStyle="1" w:styleId="ps271">
    <w:name w:val="ps271"/>
    <w:basedOn w:val="DefaultParagraphFont"/>
  </w:style>
  <w:style w:type="character" w:customStyle="1" w:styleId="ps281">
    <w:name w:val="ps281"/>
    <w:basedOn w:val="DefaultParagraphFont"/>
  </w:style>
  <w:style w:type="character" w:customStyle="1" w:styleId="ps301">
    <w:name w:val="ps301"/>
    <w:basedOn w:val="DefaultParagraphFont"/>
  </w:style>
  <w:style w:type="character" w:customStyle="1" w:styleId="ps311">
    <w:name w:val="ps311"/>
    <w:basedOn w:val="DefaultParagraphFont"/>
  </w:style>
  <w:style w:type="character" w:customStyle="1" w:styleId="ps321">
    <w:name w:val="ps321"/>
    <w:basedOn w:val="DefaultParagraphFont"/>
  </w:style>
  <w:style w:type="character" w:customStyle="1" w:styleId="ps210">
    <w:name w:val="ps210"/>
    <w:basedOn w:val="DefaultParagraphFont"/>
  </w:style>
  <w:style w:type="character" w:customStyle="1" w:styleId="ps33">
    <w:name w:val="ps33"/>
    <w:basedOn w:val="DefaultParagraphFont"/>
  </w:style>
  <w:style w:type="character" w:customStyle="1" w:styleId="ps41">
    <w:name w:val="ps41"/>
    <w:basedOn w:val="DefaultParagraphFont"/>
  </w:style>
  <w:style w:type="character" w:customStyle="1" w:styleId="ps121">
    <w:name w:val="ps121"/>
    <w:basedOn w:val="DefaultParagraphFont"/>
  </w:style>
  <w:style w:type="character" w:customStyle="1" w:styleId="ps131">
    <w:name w:val="ps131"/>
    <w:basedOn w:val="DefaultParagraphFont"/>
  </w:style>
  <w:style w:type="character" w:customStyle="1" w:styleId="ps141">
    <w:name w:val="ps141"/>
    <w:basedOn w:val="DefaultParagraphFont"/>
  </w:style>
  <w:style w:type="character" w:customStyle="1" w:styleId="ps151">
    <w:name w:val="ps151"/>
    <w:basedOn w:val="DefaultParagraphFont"/>
  </w:style>
  <w:style w:type="character" w:customStyle="1" w:styleId="ps161">
    <w:name w:val="ps161"/>
    <w:basedOn w:val="DefaultParagraphFont"/>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486214"/>
    <w:rPr>
      <w:rFonts w:ascii="Tahoma" w:hAnsi="Tahoma" w:cs="Tahoma"/>
      <w:sz w:val="16"/>
      <w:szCs w:val="16"/>
    </w:rPr>
  </w:style>
  <w:style w:type="character" w:customStyle="1" w:styleId="BalloonTextChar">
    <w:name w:val="Balloon Text Char"/>
    <w:link w:val="BalloonText"/>
    <w:rsid w:val="00486214"/>
    <w:rPr>
      <w:rFonts w:ascii="Tahoma" w:hAnsi="Tahoma" w:cs="Tahoma"/>
      <w:sz w:val="16"/>
      <w:szCs w:val="16"/>
    </w:rPr>
  </w:style>
  <w:style w:type="paragraph" w:styleId="NoSpacing">
    <w:name w:val="No Spacing"/>
    <w:uiPriority w:val="1"/>
    <w:qFormat/>
    <w:rsid w:val="00145843"/>
    <w:pPr>
      <w:overflowPunct w:val="0"/>
      <w:autoSpaceDE w:val="0"/>
      <w:autoSpaceDN w:val="0"/>
      <w:adjustRightInd w:val="0"/>
      <w:textAlignment w:val="baseline"/>
    </w:pPr>
  </w:style>
  <w:style w:type="character" w:styleId="CommentReference">
    <w:name w:val="annotation reference"/>
    <w:rsid w:val="00D07BA2"/>
    <w:rPr>
      <w:sz w:val="16"/>
      <w:szCs w:val="16"/>
    </w:rPr>
  </w:style>
  <w:style w:type="paragraph" w:styleId="CommentText">
    <w:name w:val="annotation text"/>
    <w:basedOn w:val="Normal"/>
    <w:link w:val="CommentTextChar"/>
    <w:rsid w:val="00D07BA2"/>
  </w:style>
  <w:style w:type="character" w:customStyle="1" w:styleId="CommentTextChar">
    <w:name w:val="Comment Text Char"/>
    <w:basedOn w:val="DefaultParagraphFont"/>
    <w:link w:val="CommentText"/>
    <w:rsid w:val="00D07BA2"/>
  </w:style>
  <w:style w:type="paragraph" w:styleId="CommentSubject">
    <w:name w:val="annotation subject"/>
    <w:basedOn w:val="CommentText"/>
    <w:next w:val="CommentText"/>
    <w:link w:val="CommentSubjectChar"/>
    <w:rsid w:val="00D07BA2"/>
    <w:rPr>
      <w:b/>
      <w:bCs/>
    </w:rPr>
  </w:style>
  <w:style w:type="character" w:customStyle="1" w:styleId="CommentSubjectChar">
    <w:name w:val="Comment Subject Char"/>
    <w:link w:val="CommentSubject"/>
    <w:rsid w:val="00D07BA2"/>
    <w:rPr>
      <w:b/>
      <w:bCs/>
    </w:rPr>
  </w:style>
  <w:style w:type="paragraph" w:styleId="Revision">
    <w:name w:val="Revision"/>
    <w:hidden/>
    <w:uiPriority w:val="99"/>
    <w:semiHidden/>
    <w:rsid w:val="00E616BE"/>
  </w:style>
  <w:style w:type="paragraph" w:styleId="ListParagraph">
    <w:name w:val="List Paragraph"/>
    <w:basedOn w:val="Normal"/>
    <w:uiPriority w:val="34"/>
    <w:qFormat/>
    <w:rsid w:val="0042457F"/>
    <w:pPr>
      <w:ind w:left="720"/>
    </w:pPr>
  </w:style>
  <w:style w:type="character" w:customStyle="1" w:styleId="ui-provider">
    <w:name w:val="ui-provider"/>
    <w:basedOn w:val="DefaultParagraphFont"/>
    <w:rsid w:val="00FA2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learance xmlns="ae2a2941-2dbe-4eaa-9281-19e6e20101f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FBF2E9-4B46-4D41-967B-C89FA01FA976}">
  <ds:schemaRefs>
    <ds:schemaRef ds:uri="http://schemas.openxmlformats.org/officeDocument/2006/bibliography"/>
  </ds:schemaRefs>
</ds:datastoreItem>
</file>

<file path=customXml/itemProps2.xml><?xml version="1.0" encoding="utf-8"?>
<ds:datastoreItem xmlns:ds="http://schemas.openxmlformats.org/officeDocument/2006/customXml" ds:itemID="{FE52C9B0-DC84-4B3F-951A-1B05AD889412}">
  <ds:schemaRefs>
    <ds:schemaRef ds:uri="http://schemas.microsoft.com/sharepoint/events"/>
  </ds:schemaRefs>
</ds:datastoreItem>
</file>

<file path=customXml/itemProps3.xml><?xml version="1.0" encoding="utf-8"?>
<ds:datastoreItem xmlns:ds="http://schemas.openxmlformats.org/officeDocument/2006/customXml" ds:itemID="{12273A9E-D610-48E1-B206-F8D6B5C36EA5}">
  <ds:schemaRefs>
    <ds:schemaRef ds:uri="http://schemas.microsoft.com/office/2006/metadata/longProperties"/>
  </ds:schemaRefs>
</ds:datastoreItem>
</file>

<file path=customXml/itemProps4.xml><?xml version="1.0" encoding="utf-8"?>
<ds:datastoreItem xmlns:ds="http://schemas.openxmlformats.org/officeDocument/2006/customXml" ds:itemID="{861E8252-6699-4FEE-8914-2851D536B98F}">
  <ds:schemaRefs>
    <ds:schemaRef ds:uri="http://schemas.microsoft.com/sharepoint/v3/contenttype/forms"/>
  </ds:schemaRefs>
</ds:datastoreItem>
</file>

<file path=customXml/itemProps5.xml><?xml version="1.0" encoding="utf-8"?>
<ds:datastoreItem xmlns:ds="http://schemas.openxmlformats.org/officeDocument/2006/customXml" ds:itemID="{B8D8B96A-AC94-4C43-9568-3AAB9E80F44A}">
  <ds:schemaRefs>
    <ds:schemaRef ds:uri="http://schemas.microsoft.com/office/2006/metadata/properties"/>
    <ds:schemaRef ds:uri="http://schemas.microsoft.com/office/infopath/2007/PartnerControls"/>
    <ds:schemaRef ds:uri="ae2a2941-2dbe-4eaa-9281-19e6e20101f1"/>
  </ds:schemaRefs>
</ds:datastoreItem>
</file>

<file path=customXml/itemProps6.xml><?xml version="1.0" encoding="utf-8"?>
<ds:datastoreItem xmlns:ds="http://schemas.openxmlformats.org/officeDocument/2006/customXml" ds:itemID="{048077F9-FBC4-496B-9166-FEBBF4424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2461</Words>
  <Characters>15093</Characters>
  <Application>Microsoft Office Word</Application>
  <DocSecurity>0</DocSecurity>
  <Lines>228</Lines>
  <Paragraphs>89</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EDDINS</dc:creator>
  <cp:lastModifiedBy>Cooper, Diane J</cp:lastModifiedBy>
  <cp:revision>2</cp:revision>
  <cp:lastPrinted>2020-01-15T19:26:00Z</cp:lastPrinted>
  <dcterms:created xsi:type="dcterms:W3CDTF">2023-10-26T15:46:00Z</dcterms:created>
  <dcterms:modified xsi:type="dcterms:W3CDTF">2023-10-26T15:46:00Z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GrammarlyDocumentId">
    <vt:lpwstr>3a7dcd9fb5c0ec43774863fd207d192f40ec9381e38c52010ff395ff0565466f</vt:lpwstr>
  </property>
  <property fmtid="{D5CDD505-2E9C-101B-9397-08002B2CF9AE}" pid="4" name="_ip_UnifiedCompliancePolicyProperties">
    <vt:lpwstr/>
  </property>
  <property fmtid="{D5CDD505-2E9C-101B-9397-08002B2CF9AE}" pid="5" name="_ip_UnifiedCompliancePolicyUIAction">
    <vt:lpwstr/>
  </property>
  <property fmtid="{D5CDD505-2E9C-101B-9397-08002B2CF9AE}" pid="6" name="_NewReviewCycle">
    <vt:lpwstr/>
  </property>
</Properties>
</file>