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0E95B4A1" w14:textId="77777777">
      <w:pPr>
        <w:jc w:val="center"/>
        <w:rPr>
          <w:b/>
          <w:sz w:val="24"/>
          <w:szCs w:val="24"/>
        </w:rPr>
      </w:pPr>
      <w:bookmarkStart w:id="0" w:name="_Hlk149037635"/>
      <w:r w:rsidRPr="00167E53">
        <w:rPr>
          <w:b/>
          <w:sz w:val="24"/>
          <w:szCs w:val="24"/>
        </w:rPr>
        <w:t>Supporting Statement for Paperwork Reduction Act Submissions</w:t>
      </w:r>
    </w:p>
    <w:p w:rsidR="00F932AB" w:rsidRPr="00F932AB" w:rsidP="00F932AB" w14:paraId="28059E73" w14:textId="77777777">
      <w:pPr>
        <w:overflowPunct/>
        <w:autoSpaceDE/>
        <w:autoSpaceDN/>
        <w:adjustRightInd/>
        <w:jc w:val="center"/>
        <w:textAlignment w:val="auto"/>
        <w:rPr>
          <w:b/>
          <w:sz w:val="24"/>
          <w:szCs w:val="24"/>
        </w:rPr>
      </w:pPr>
      <w:r w:rsidRPr="00F932AB">
        <w:rPr>
          <w:b/>
          <w:sz w:val="24"/>
          <w:szCs w:val="24"/>
        </w:rPr>
        <w:t>Rental Housing Finance Survey (RHFS)</w:t>
      </w:r>
    </w:p>
    <w:p w:rsidR="009E13B1" w:rsidP="00F932AB" w14:paraId="54140750" w14:textId="7A9C7086">
      <w:pPr>
        <w:jc w:val="center"/>
        <w:rPr>
          <w:b/>
          <w:sz w:val="24"/>
          <w:szCs w:val="24"/>
        </w:rPr>
      </w:pPr>
      <w:r w:rsidRPr="00F932AB">
        <w:rPr>
          <w:b/>
          <w:sz w:val="24"/>
          <w:szCs w:val="24"/>
        </w:rPr>
        <w:t>OMB Number: 2528-0276</w:t>
      </w:r>
    </w:p>
    <w:bookmarkEnd w:id="0"/>
    <w:p w:rsidR="00F932AB" w:rsidP="00F932AB" w14:paraId="48781F0B" w14:textId="77777777">
      <w:pPr>
        <w:jc w:val="center"/>
        <w:rPr>
          <w:b/>
          <w:sz w:val="24"/>
          <w:szCs w:val="24"/>
        </w:rPr>
      </w:pPr>
    </w:p>
    <w:p w:rsidR="009E13B1" w:rsidRPr="006C7FAE" w14:paraId="1F696B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2A5BFB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25C7F9B4"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C7F56" w:rsidP="00AC7F56" w14:paraId="18501AE5" w14:textId="77777777">
      <w:pPr>
        <w:keepLines/>
        <w:tabs>
          <w:tab w:val="left" w:pos="360"/>
        </w:tabs>
        <w:spacing w:after="80"/>
        <w:ind w:left="360" w:hanging="360"/>
        <w:rPr>
          <w:sz w:val="24"/>
          <w:szCs w:val="24"/>
        </w:rPr>
      </w:pPr>
      <w:r>
        <w:rPr>
          <w:sz w:val="24"/>
          <w:szCs w:val="24"/>
        </w:rPr>
        <w:tab/>
      </w:r>
    </w:p>
    <w:p w:rsidR="00AC7F56" w:rsidRPr="00AC7F56" w:rsidP="00AC7F56" w14:paraId="05F9E09E" w14:textId="33B8B99F">
      <w:pPr>
        <w:keepLines/>
        <w:tabs>
          <w:tab w:val="left" w:pos="360"/>
        </w:tabs>
        <w:spacing w:after="80"/>
        <w:ind w:left="360"/>
        <w:rPr>
          <w:sz w:val="24"/>
          <w:szCs w:val="24"/>
        </w:rPr>
      </w:pPr>
      <w:r w:rsidRPr="00AC7F56">
        <w:rPr>
          <w:sz w:val="24"/>
          <w:szCs w:val="24"/>
        </w:rPr>
        <w:t>HUD requests clearance for the proposed questions to be used on the 2024 Rental Housing Finance</w:t>
      </w:r>
      <w:r>
        <w:rPr>
          <w:sz w:val="24"/>
          <w:szCs w:val="24"/>
        </w:rPr>
        <w:t xml:space="preserve"> </w:t>
      </w:r>
      <w:r w:rsidRPr="00AC7F56">
        <w:rPr>
          <w:sz w:val="24"/>
          <w:szCs w:val="24"/>
        </w:rPr>
        <w:t xml:space="preserve">Survey (RHFS).  Data collection will occur between June 24, </w:t>
      </w:r>
      <w:r w:rsidRPr="00AC7F56" w:rsidR="00243B21">
        <w:rPr>
          <w:sz w:val="24"/>
          <w:szCs w:val="24"/>
        </w:rPr>
        <w:t>2024,</w:t>
      </w:r>
      <w:r w:rsidRPr="00AC7F56">
        <w:rPr>
          <w:sz w:val="24"/>
          <w:szCs w:val="24"/>
        </w:rPr>
        <w:t xml:space="preserve"> and November 30, 2024.  </w:t>
      </w:r>
    </w:p>
    <w:p w:rsidR="00AC7F56" w:rsidP="00AC7F56" w14:paraId="5B611F54" w14:textId="77777777">
      <w:pPr>
        <w:keepLines/>
        <w:tabs>
          <w:tab w:val="left" w:pos="360"/>
        </w:tabs>
        <w:spacing w:after="80"/>
        <w:rPr>
          <w:sz w:val="24"/>
          <w:szCs w:val="24"/>
        </w:rPr>
      </w:pPr>
    </w:p>
    <w:p w:rsidR="00AC7F56" w:rsidRPr="00AC7F56" w:rsidP="00AC7F56" w14:paraId="2698612F" w14:textId="37FBB71A">
      <w:pPr>
        <w:keepLines/>
        <w:tabs>
          <w:tab w:val="left" w:pos="360"/>
        </w:tabs>
        <w:spacing w:after="80"/>
        <w:ind w:left="360"/>
        <w:rPr>
          <w:sz w:val="24"/>
          <w:szCs w:val="24"/>
        </w:rPr>
      </w:pPr>
      <w:r w:rsidRPr="00AC7F56">
        <w:rPr>
          <w:sz w:val="24"/>
          <w:szCs w:val="24"/>
        </w:rPr>
        <w:t xml:space="preserve">Estimates derived from the RHFS sample will help public and private stakeholders better understand the financing, operating costs, and property characteristics of the rental housing stock in the United States.  Many of the questions are </w:t>
      </w:r>
      <w:r w:rsidRPr="00AC7F56">
        <w:rPr>
          <w:sz w:val="24"/>
          <w:szCs w:val="24"/>
        </w:rPr>
        <w:t>similar to</w:t>
      </w:r>
      <w:r w:rsidRPr="00AC7F56">
        <w:rPr>
          <w:sz w:val="24"/>
          <w:szCs w:val="24"/>
        </w:rPr>
        <w:t xml:space="preserve"> those found on the 1995 Property Owners and Managers Survey, the rental housing portion of the 2001 Residential Finance Survey, and the 2012, 2015, 2018, and 2021 RHFS.  </w:t>
      </w:r>
    </w:p>
    <w:p w:rsidR="00AC7F56" w:rsidRPr="00AC7F56" w:rsidP="00AC7F56" w14:paraId="3ED4FC3A" w14:textId="77777777">
      <w:pPr>
        <w:keepLines/>
        <w:tabs>
          <w:tab w:val="left" w:pos="360"/>
        </w:tabs>
        <w:spacing w:after="80"/>
        <w:ind w:left="720" w:hanging="360"/>
        <w:rPr>
          <w:sz w:val="24"/>
          <w:szCs w:val="24"/>
        </w:rPr>
      </w:pPr>
    </w:p>
    <w:p w:rsidR="00AC7F56" w:rsidRPr="00AC7F56" w:rsidP="00AC7F56" w14:paraId="0BDD00BC" w14:textId="77777777">
      <w:pPr>
        <w:keepLines/>
        <w:tabs>
          <w:tab w:val="left" w:pos="360"/>
        </w:tabs>
        <w:spacing w:after="80"/>
        <w:ind w:left="360"/>
        <w:rPr>
          <w:sz w:val="24"/>
          <w:szCs w:val="24"/>
        </w:rPr>
      </w:pPr>
      <w:r w:rsidRPr="00AC7F56">
        <w:rPr>
          <w:sz w:val="24"/>
          <w:szCs w:val="24"/>
        </w:rPr>
        <w:t>Title 12, United States Code, Sections 1701z-1 and 1701z-2(g) provide authority to collect this information.  Title 13, U.S.C., Section 8b provides the U.S. Census Bureau authority to collect this information for the Department of Housing and Urban Development (HUD).  The collected data will be protected by the confidentiality provisions of Title 13, U.S.C., Section 9.</w:t>
      </w:r>
    </w:p>
    <w:p w:rsidR="00AC7F56" w:rsidRPr="00AC7F56" w:rsidP="00AC7F56" w14:paraId="3871E099" w14:textId="77777777">
      <w:pPr>
        <w:keepLines/>
        <w:tabs>
          <w:tab w:val="left" w:pos="360"/>
        </w:tabs>
        <w:spacing w:after="80"/>
        <w:ind w:left="720" w:hanging="360"/>
        <w:rPr>
          <w:sz w:val="24"/>
          <w:szCs w:val="24"/>
        </w:rPr>
      </w:pPr>
    </w:p>
    <w:p w:rsidR="00AC7F56" w:rsidRPr="00AC7F56" w:rsidP="00AC7F56" w14:paraId="03C21F2F" w14:textId="77777777">
      <w:pPr>
        <w:keepLines/>
        <w:tabs>
          <w:tab w:val="left" w:pos="360"/>
        </w:tabs>
        <w:spacing w:after="80"/>
        <w:ind w:left="360"/>
        <w:rPr>
          <w:sz w:val="24"/>
          <w:szCs w:val="24"/>
        </w:rPr>
      </w:pPr>
      <w:r w:rsidRPr="00AC7F56">
        <w:rPr>
          <w:sz w:val="24"/>
          <w:szCs w:val="24"/>
        </w:rPr>
        <w:t xml:space="preserve">The 2024 RHFS questionnaire content is substantially </w:t>
      </w:r>
      <w:r w:rsidRPr="00AC7F56">
        <w:rPr>
          <w:sz w:val="24"/>
          <w:szCs w:val="24"/>
        </w:rPr>
        <w:t>similar to</w:t>
      </w:r>
      <w:r w:rsidRPr="00AC7F56">
        <w:rPr>
          <w:sz w:val="24"/>
          <w:szCs w:val="24"/>
        </w:rPr>
        <w:t xml:space="preserve"> the 2021 RHFS questionnaire, with the following exceptions:</w:t>
      </w:r>
    </w:p>
    <w:p w:rsidR="00AC7F56" w:rsidRPr="00AC7F56" w:rsidP="00AC7F56" w14:paraId="4932FA22" w14:textId="77777777">
      <w:pPr>
        <w:keepLines/>
        <w:tabs>
          <w:tab w:val="left" w:pos="360"/>
        </w:tabs>
        <w:spacing w:after="80"/>
        <w:ind w:left="720" w:hanging="360"/>
        <w:rPr>
          <w:sz w:val="24"/>
          <w:szCs w:val="24"/>
        </w:rPr>
      </w:pPr>
    </w:p>
    <w:p w:rsidR="00AC7F56" w:rsidRPr="00AC7F56" w:rsidP="00AC7F56" w14:paraId="43B2BCB3" w14:textId="77777777">
      <w:pPr>
        <w:keepLines/>
        <w:tabs>
          <w:tab w:val="left" w:pos="360"/>
        </w:tabs>
        <w:spacing w:after="80"/>
        <w:ind w:left="720" w:hanging="360"/>
        <w:rPr>
          <w:sz w:val="24"/>
          <w:szCs w:val="24"/>
        </w:rPr>
      </w:pPr>
      <w:r w:rsidRPr="00AC7F56">
        <w:rPr>
          <w:sz w:val="24"/>
          <w:szCs w:val="24"/>
        </w:rPr>
        <w:t>a.</w:t>
      </w:r>
      <w:r w:rsidRPr="00AC7F56">
        <w:rPr>
          <w:sz w:val="24"/>
          <w:szCs w:val="24"/>
        </w:rPr>
        <w:tab/>
        <w:t>Addition of one question about military-owned housing: This question will identify properties that are owned by the military.  These properties will receive a limited set of questions as all the questions do not make sense for these types of properties.</w:t>
      </w:r>
    </w:p>
    <w:p w:rsidR="00AC7F56" w:rsidRPr="00AC7F56" w:rsidP="00AC7F56" w14:paraId="3AFDEA68" w14:textId="77777777">
      <w:pPr>
        <w:keepLines/>
        <w:tabs>
          <w:tab w:val="left" w:pos="360"/>
        </w:tabs>
        <w:spacing w:after="80"/>
        <w:ind w:left="720" w:hanging="360"/>
        <w:rPr>
          <w:sz w:val="24"/>
          <w:szCs w:val="24"/>
        </w:rPr>
      </w:pPr>
      <w:r w:rsidRPr="00AC7F56">
        <w:rPr>
          <w:sz w:val="24"/>
          <w:szCs w:val="24"/>
        </w:rPr>
        <w:t>b.</w:t>
      </w:r>
      <w:r w:rsidRPr="00AC7F56">
        <w:rPr>
          <w:sz w:val="24"/>
          <w:szCs w:val="24"/>
        </w:rPr>
        <w:tab/>
        <w:t>Addition of one question about manufactured homes: This question will help determine if a property should be considered out-of-scope.</w:t>
      </w:r>
    </w:p>
    <w:p w:rsidR="00AC7F56" w:rsidRPr="00AC7F56" w:rsidP="00AC7F56" w14:paraId="3A166748" w14:textId="6BC206D8">
      <w:pPr>
        <w:keepLines/>
        <w:tabs>
          <w:tab w:val="left" w:pos="360"/>
        </w:tabs>
        <w:spacing w:after="80"/>
        <w:ind w:left="720" w:hanging="360"/>
        <w:rPr>
          <w:sz w:val="24"/>
          <w:szCs w:val="24"/>
        </w:rPr>
      </w:pPr>
      <w:r w:rsidRPr="00AC7F56">
        <w:rPr>
          <w:sz w:val="24"/>
          <w:szCs w:val="24"/>
        </w:rPr>
        <w:t>c.</w:t>
      </w:r>
      <w:r w:rsidRPr="00AC7F56">
        <w:rPr>
          <w:sz w:val="24"/>
          <w:szCs w:val="24"/>
        </w:rPr>
        <w:tab/>
        <w:t xml:space="preserve">Addition of two questions about property addresses being part of a larger complex: These questions will help determine if the property was defined </w:t>
      </w:r>
      <w:r w:rsidRPr="00AC7F56" w:rsidR="00243B21">
        <w:rPr>
          <w:sz w:val="24"/>
          <w:szCs w:val="24"/>
        </w:rPr>
        <w:t>accurately and</w:t>
      </w:r>
      <w:r w:rsidRPr="00AC7F56">
        <w:rPr>
          <w:sz w:val="24"/>
          <w:szCs w:val="24"/>
        </w:rPr>
        <w:t xml:space="preserve"> that will provide more accurate data.  Additionally, these questions will help determine duplicate cases, i.e., multiple sample addresses belonging to the same property. </w:t>
      </w:r>
    </w:p>
    <w:p w:rsidR="00AC7F56" w:rsidRPr="00AC7F56" w:rsidP="00AC7F56" w14:paraId="08850449" w14:textId="77777777">
      <w:pPr>
        <w:keepLines/>
        <w:tabs>
          <w:tab w:val="left" w:pos="360"/>
        </w:tabs>
        <w:spacing w:after="80"/>
        <w:ind w:left="720" w:hanging="360"/>
        <w:rPr>
          <w:sz w:val="24"/>
          <w:szCs w:val="24"/>
        </w:rPr>
      </w:pPr>
      <w:r w:rsidRPr="00AC7F56">
        <w:rPr>
          <w:sz w:val="24"/>
          <w:szCs w:val="24"/>
        </w:rPr>
        <w:t>d.</w:t>
      </w:r>
      <w:r w:rsidRPr="00AC7F56">
        <w:rPr>
          <w:sz w:val="24"/>
          <w:szCs w:val="24"/>
        </w:rPr>
        <w:tab/>
        <w:t xml:space="preserve">Addition of one question about appraisal waivers: In conversations with the Federal Housing Finance Administration (FHFA), they noted that appraisal waivers are becoming more common, but that more data is needed on them. This question will therefore allow HUD to gather more information on the extent of the use of appraisal waivers. </w:t>
      </w:r>
    </w:p>
    <w:p w:rsidR="00AC7F56" w:rsidRPr="00AC7F56" w:rsidP="00AC7F56" w14:paraId="720210CD" w14:textId="77777777">
      <w:pPr>
        <w:keepLines/>
        <w:tabs>
          <w:tab w:val="left" w:pos="360"/>
        </w:tabs>
        <w:spacing w:after="80"/>
        <w:ind w:left="720" w:hanging="360"/>
        <w:rPr>
          <w:sz w:val="24"/>
          <w:szCs w:val="24"/>
        </w:rPr>
      </w:pPr>
      <w:r w:rsidRPr="00AC7F56">
        <w:rPr>
          <w:sz w:val="24"/>
          <w:szCs w:val="24"/>
        </w:rPr>
        <w:t>e.</w:t>
      </w:r>
      <w:r w:rsidRPr="00AC7F56">
        <w:rPr>
          <w:sz w:val="24"/>
          <w:szCs w:val="24"/>
        </w:rPr>
        <w:tab/>
        <w:t>Addition of one question about how rental payments are received: This question will allow HUD to understand how rent payments are received, potentially identifying sources of data on rents that would be timelier than surveys like ACS. Because there is some preliminary evidence that landlords have been slower than other industries to move to online payment systems, this question would allow us to gain a baseline understanding of which forms of payments landlords accept.</w:t>
      </w:r>
    </w:p>
    <w:p w:rsidR="00AC7F56" w:rsidRPr="00AC7F56" w:rsidP="00AC7F56" w14:paraId="544B6FB9" w14:textId="77777777">
      <w:pPr>
        <w:keepLines/>
        <w:tabs>
          <w:tab w:val="left" w:pos="360"/>
        </w:tabs>
        <w:spacing w:after="80"/>
        <w:ind w:left="720" w:hanging="360"/>
        <w:rPr>
          <w:sz w:val="24"/>
          <w:szCs w:val="24"/>
        </w:rPr>
      </w:pPr>
      <w:r w:rsidRPr="00AC7F56">
        <w:rPr>
          <w:sz w:val="24"/>
          <w:szCs w:val="24"/>
        </w:rPr>
        <w:t>f.</w:t>
      </w:r>
      <w:r w:rsidRPr="00AC7F56">
        <w:rPr>
          <w:sz w:val="24"/>
          <w:szCs w:val="24"/>
        </w:rPr>
        <w:tab/>
        <w:t xml:space="preserve">Addition of two questions about rental units that were previously available as long-term rentals: These questions will allow HUD to  assess the effect of </w:t>
      </w:r>
      <w:r w:rsidRPr="00AC7F56">
        <w:rPr>
          <w:sz w:val="24"/>
          <w:szCs w:val="24"/>
        </w:rPr>
        <w:t>AirBNB</w:t>
      </w:r>
      <w:r w:rsidRPr="00AC7F56">
        <w:rPr>
          <w:sz w:val="24"/>
          <w:szCs w:val="24"/>
        </w:rPr>
        <w:t xml:space="preserve"> and similar short-term rental arrangements on housing markets.</w:t>
      </w:r>
    </w:p>
    <w:p w:rsidR="00AC7F56" w:rsidRPr="00AC7F56" w:rsidP="00AC7F56" w14:paraId="6D09F1BC" w14:textId="77777777">
      <w:pPr>
        <w:keepLines/>
        <w:tabs>
          <w:tab w:val="left" w:pos="360"/>
        </w:tabs>
        <w:spacing w:after="80"/>
        <w:ind w:left="720" w:hanging="360"/>
        <w:rPr>
          <w:sz w:val="24"/>
          <w:szCs w:val="24"/>
        </w:rPr>
      </w:pPr>
      <w:r w:rsidRPr="00AC7F56">
        <w:rPr>
          <w:sz w:val="24"/>
          <w:szCs w:val="24"/>
        </w:rPr>
        <w:t>g.</w:t>
      </w:r>
      <w:r w:rsidRPr="00AC7F56">
        <w:rPr>
          <w:sz w:val="24"/>
          <w:szCs w:val="24"/>
        </w:rPr>
        <w:tab/>
        <w:t xml:space="preserve">Addition of two questions about rental application fees: These questions will allow HUD to  better understand the upfront costs of renting units that may be applied in altering rules on the use of voucher subsidy funds to improve voucher recipients’ leasing success.  </w:t>
      </w:r>
    </w:p>
    <w:p w:rsidR="00AC7F56" w:rsidRPr="00AC7F56" w:rsidP="00AC7F56" w14:paraId="318B97DC" w14:textId="77777777">
      <w:pPr>
        <w:keepLines/>
        <w:tabs>
          <w:tab w:val="left" w:pos="360"/>
        </w:tabs>
        <w:spacing w:after="80"/>
        <w:ind w:left="720" w:hanging="360"/>
        <w:rPr>
          <w:sz w:val="24"/>
          <w:szCs w:val="24"/>
        </w:rPr>
      </w:pPr>
      <w:r w:rsidRPr="00AC7F56">
        <w:rPr>
          <w:sz w:val="24"/>
          <w:szCs w:val="24"/>
        </w:rPr>
        <w:t>h.</w:t>
      </w:r>
      <w:r w:rsidRPr="00AC7F56">
        <w:rPr>
          <w:sz w:val="24"/>
          <w:szCs w:val="24"/>
        </w:rPr>
        <w:tab/>
        <w:t xml:space="preserve">Addition of one question about security deposits: This question will allow HUD to better understand the upfront costs of renting units that may be applied in altering rules on the use of voucher subsidy funds to improve voucher recipients’ leasing success. </w:t>
      </w:r>
    </w:p>
    <w:p w:rsidR="00AC7F56" w:rsidRPr="00AC7F56" w:rsidP="00AC7F56" w14:paraId="534D8F63" w14:textId="77777777">
      <w:pPr>
        <w:keepLines/>
        <w:tabs>
          <w:tab w:val="left" w:pos="360"/>
        </w:tabs>
        <w:spacing w:after="80"/>
        <w:ind w:left="720" w:hanging="360"/>
        <w:rPr>
          <w:sz w:val="24"/>
          <w:szCs w:val="24"/>
        </w:rPr>
      </w:pPr>
      <w:r w:rsidRPr="00AC7F56">
        <w:rPr>
          <w:sz w:val="24"/>
          <w:szCs w:val="24"/>
        </w:rPr>
        <w:t>i.</w:t>
      </w:r>
      <w:r w:rsidRPr="00AC7F56">
        <w:rPr>
          <w:sz w:val="24"/>
          <w:szCs w:val="24"/>
        </w:rPr>
        <w:tab/>
        <w:t>Addition of three questions about ownership of additional properties: These questions will allow HUD to better distinguish institutional investors from mom-and-pop landlords.</w:t>
      </w:r>
    </w:p>
    <w:p w:rsidR="00AC7F56" w:rsidRPr="00AC7F56" w:rsidP="00AC7F56" w14:paraId="6182B935" w14:textId="77777777">
      <w:pPr>
        <w:keepLines/>
        <w:tabs>
          <w:tab w:val="left" w:pos="360"/>
        </w:tabs>
        <w:spacing w:after="80"/>
        <w:ind w:left="720" w:hanging="360"/>
        <w:rPr>
          <w:sz w:val="24"/>
          <w:szCs w:val="24"/>
        </w:rPr>
      </w:pPr>
      <w:r w:rsidRPr="00AC7F56">
        <w:rPr>
          <w:sz w:val="24"/>
          <w:szCs w:val="24"/>
        </w:rPr>
        <w:t>j.</w:t>
      </w:r>
      <w:r w:rsidRPr="00AC7F56">
        <w:rPr>
          <w:sz w:val="24"/>
          <w:szCs w:val="24"/>
        </w:rPr>
        <w:tab/>
        <w:t>Addition of one question about green mortgages: This question will allow HUD to  understand how its loan programs could be improved in a way that helps multifamily rental property owners reduce their operating expenses and improve the nation’s rental housing stock. The question can also help gauge the level of public interest among rental property owners in making green improvements and their perception of the return on investment for those improvements. When applicable, government-sponsored entities (GSE) can use various multifamily green building certifications that a rental property owner may already have to offer preferential loan pricing. GSEs can also use rental property owner commitments to make improvements that reduce energy and water consumption by specific levels to offer incentives like preferential pricing, free energy audits and additional loan proceeds.</w:t>
      </w:r>
    </w:p>
    <w:p w:rsidR="00AC7F56" w:rsidRPr="00AC7F56" w:rsidP="00AC7F56" w14:paraId="6F0803D6" w14:textId="77777777">
      <w:pPr>
        <w:keepLines/>
        <w:tabs>
          <w:tab w:val="left" w:pos="360"/>
        </w:tabs>
        <w:spacing w:after="80"/>
        <w:ind w:left="720" w:hanging="360"/>
        <w:rPr>
          <w:sz w:val="24"/>
          <w:szCs w:val="24"/>
        </w:rPr>
      </w:pPr>
      <w:r w:rsidRPr="00AC7F56">
        <w:rPr>
          <w:sz w:val="24"/>
          <w:szCs w:val="24"/>
        </w:rPr>
        <w:t>k.</w:t>
      </w:r>
      <w:r w:rsidRPr="00AC7F56">
        <w:rPr>
          <w:sz w:val="24"/>
          <w:szCs w:val="24"/>
        </w:rPr>
        <w:tab/>
        <w:t>Reinstating a previously removed question about condominiums: This question identifies properties that are individually owned condominiums and helps ensure the accuracy of the data.</w:t>
      </w:r>
    </w:p>
    <w:p w:rsidR="00AC7F56" w:rsidRPr="006C7FAE" w:rsidP="00AC7F56" w14:paraId="222FFC3F" w14:textId="218823ED">
      <w:pPr>
        <w:keepLines/>
        <w:tabs>
          <w:tab w:val="left" w:pos="360"/>
        </w:tabs>
        <w:spacing w:after="80"/>
        <w:ind w:left="720" w:hanging="360"/>
        <w:rPr>
          <w:sz w:val="24"/>
          <w:szCs w:val="24"/>
        </w:rPr>
      </w:pPr>
      <w:r w:rsidRPr="00AC7F56">
        <w:rPr>
          <w:sz w:val="24"/>
          <w:szCs w:val="24"/>
        </w:rPr>
        <w:t>l.</w:t>
      </w:r>
      <w:r w:rsidRPr="00AC7F56">
        <w:rPr>
          <w:sz w:val="24"/>
          <w:szCs w:val="24"/>
        </w:rPr>
        <w:tab/>
        <w:t>Removal of one question about the percentage of units available for daily or weekly rental.</w:t>
      </w:r>
    </w:p>
    <w:p w:rsidR="009E13B1" w:rsidRPr="006C7FAE" w14:paraId="03C34815" w14:textId="77777777">
      <w:pPr>
        <w:tabs>
          <w:tab w:val="left" w:pos="360"/>
        </w:tabs>
        <w:ind w:left="360" w:hanging="360"/>
        <w:rPr>
          <w:sz w:val="24"/>
          <w:szCs w:val="24"/>
        </w:rPr>
      </w:pPr>
    </w:p>
    <w:p w:rsidR="009E13B1" w:rsidRPr="006C7FAE" w14:paraId="75B1115C"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14:paraId="24F3FE6B" w14:textId="77777777">
      <w:pPr>
        <w:keepLines/>
        <w:tabs>
          <w:tab w:val="left" w:pos="360"/>
          <w:tab w:val="left" w:pos="720"/>
        </w:tabs>
        <w:ind w:left="360"/>
        <w:rPr>
          <w:sz w:val="24"/>
          <w:szCs w:val="24"/>
        </w:rPr>
      </w:pPr>
    </w:p>
    <w:p w:rsidR="00AC7F56" w:rsidRPr="00AC7F56" w:rsidP="00AC7F56" w14:paraId="61F61AF1" w14:textId="2A2A6E24">
      <w:pPr>
        <w:keepLines/>
        <w:tabs>
          <w:tab w:val="left" w:pos="360"/>
          <w:tab w:val="left" w:pos="720"/>
        </w:tabs>
        <w:ind w:left="360"/>
        <w:rPr>
          <w:sz w:val="24"/>
          <w:szCs w:val="24"/>
        </w:rPr>
      </w:pPr>
      <w:r w:rsidRPr="00AC7F56">
        <w:rPr>
          <w:sz w:val="24"/>
          <w:szCs w:val="24"/>
        </w:rPr>
        <w:t xml:space="preserve">For RHFS, the Census Bureau interviews owners and managers of rental properties.  When possible, the Census Bureau will attempt to interview property owners, the entity liable for the financial disposition of properties.  If an owner cannot be identified or reached, the Census Bureau will interview the managers. At times, interviews with both owners and managers may have to be conducted </w:t>
      </w:r>
      <w:r w:rsidRPr="00AC7F56">
        <w:rPr>
          <w:sz w:val="24"/>
          <w:szCs w:val="24"/>
        </w:rPr>
        <w:t>in the course of</w:t>
      </w:r>
      <w:r w:rsidRPr="00AC7F56">
        <w:rPr>
          <w:sz w:val="24"/>
          <w:szCs w:val="24"/>
        </w:rPr>
        <w:t xml:space="preserve"> the survey, as each may possess distinct portions of the necessary information to complete the survey.</w:t>
      </w:r>
    </w:p>
    <w:p w:rsidR="00AC7F56" w:rsidRPr="00AC7F56" w:rsidP="00AC7F56" w14:paraId="39748005" w14:textId="77777777">
      <w:pPr>
        <w:keepLines/>
        <w:tabs>
          <w:tab w:val="left" w:pos="360"/>
          <w:tab w:val="left" w:pos="720"/>
        </w:tabs>
        <w:ind w:left="360"/>
        <w:rPr>
          <w:sz w:val="24"/>
          <w:szCs w:val="24"/>
        </w:rPr>
      </w:pPr>
      <w:r w:rsidRPr="00AC7F56">
        <w:rPr>
          <w:sz w:val="24"/>
          <w:szCs w:val="24"/>
        </w:rPr>
        <w:tab/>
      </w:r>
    </w:p>
    <w:p w:rsidR="00AC7F56" w:rsidRPr="00AC7F56" w:rsidP="00AC7F56" w14:paraId="45600BF2" w14:textId="77777777">
      <w:pPr>
        <w:keepLines/>
        <w:tabs>
          <w:tab w:val="left" w:pos="360"/>
          <w:tab w:val="left" w:pos="720"/>
        </w:tabs>
        <w:ind w:left="360"/>
        <w:rPr>
          <w:sz w:val="24"/>
          <w:szCs w:val="24"/>
        </w:rPr>
      </w:pPr>
      <w:r w:rsidRPr="00AC7F56">
        <w:rPr>
          <w:sz w:val="24"/>
          <w:szCs w:val="24"/>
        </w:rPr>
        <w:t>The Census Bureau’s first contact with the owner/manager will be an advance letter providing them with an overview of the survey, the interview procedure, types of questions covered, and confidentiality.  The Census Bureau anticipates only a few respondents will ask for additional time to fill out the questionnaire.  Respondents will complete the survey using the Internet instrument hosted by the Centurion system.</w:t>
      </w:r>
    </w:p>
    <w:p w:rsidR="00AC7F56" w:rsidP="00AC7F56" w14:paraId="3CBA998F" w14:textId="77777777">
      <w:pPr>
        <w:keepLines/>
        <w:tabs>
          <w:tab w:val="left" w:pos="360"/>
          <w:tab w:val="left" w:pos="720"/>
        </w:tabs>
        <w:ind w:left="360"/>
        <w:rPr>
          <w:sz w:val="24"/>
          <w:szCs w:val="24"/>
        </w:rPr>
      </w:pPr>
    </w:p>
    <w:p w:rsidR="00AC7F56" w:rsidRPr="00AC7F56" w:rsidP="00AC7F56" w14:paraId="10B70B5F" w14:textId="263790CC">
      <w:pPr>
        <w:keepLines/>
        <w:tabs>
          <w:tab w:val="left" w:pos="360"/>
          <w:tab w:val="left" w:pos="720"/>
        </w:tabs>
        <w:ind w:left="360"/>
        <w:rPr>
          <w:sz w:val="24"/>
          <w:szCs w:val="24"/>
        </w:rPr>
      </w:pPr>
      <w:r w:rsidRPr="00AC7F56">
        <w:rPr>
          <w:sz w:val="24"/>
          <w:szCs w:val="24"/>
        </w:rPr>
        <w:t>Various stakeholders have great interest in the data that will be collected through this survey.  With these data, the survey sponsor HUD, can gain a better understanding of rental loan origination volumes, property characteristics associated with these originations, and operating cost and revenue characteristics for the rental housing stock in the United States.  The RHFS will play an important role in enabling the Federal Housing Finance Agency to fulfill its requirements to set affordable housing goals for the Government-Sponsored Enterprises (GSEs) and to develop standards for underwriting rental property mortgages.  The RHFS data can be used to provide a statistically representative picture of rental property financing and critical components of the national income accounts.</w:t>
      </w:r>
    </w:p>
    <w:p w:rsidR="00AC7F56" w:rsidRPr="00AC7F56" w:rsidP="00AC7F56" w14:paraId="593C07CA" w14:textId="77777777">
      <w:pPr>
        <w:keepLines/>
        <w:tabs>
          <w:tab w:val="left" w:pos="360"/>
          <w:tab w:val="left" w:pos="720"/>
        </w:tabs>
        <w:ind w:left="360"/>
        <w:rPr>
          <w:sz w:val="24"/>
          <w:szCs w:val="24"/>
        </w:rPr>
      </w:pPr>
      <w:r w:rsidRPr="00AC7F56">
        <w:rPr>
          <w:sz w:val="24"/>
          <w:szCs w:val="24"/>
        </w:rPr>
        <w:tab/>
      </w:r>
    </w:p>
    <w:p w:rsidR="00AC7F56" w:rsidRPr="00AC7F56" w:rsidP="00AC7F56" w14:paraId="6F03A6C6" w14:textId="77777777">
      <w:pPr>
        <w:keepLines/>
        <w:tabs>
          <w:tab w:val="left" w:pos="360"/>
          <w:tab w:val="left" w:pos="720"/>
        </w:tabs>
        <w:ind w:left="360"/>
        <w:rPr>
          <w:sz w:val="24"/>
          <w:szCs w:val="24"/>
        </w:rPr>
      </w:pPr>
      <w:r w:rsidRPr="00AC7F56">
        <w:rPr>
          <w:sz w:val="24"/>
          <w:szCs w:val="24"/>
        </w:rPr>
        <w:t>National and local policy analysts, program managers, budget analysts, and Congressional staff can use the RHFS data to advise the executive and legislative branches about financial characteristics of the rental housing stock in the United States and the suitability of public policy initiatives.  The data will also help analysts to determine which properties take the most advantage of various government programs, and where changes to programs might be advisable.</w:t>
      </w:r>
    </w:p>
    <w:p w:rsidR="00AC7F56" w:rsidRPr="00AC7F56" w:rsidP="00AC7F56" w14:paraId="7A21E453" w14:textId="77777777">
      <w:pPr>
        <w:keepLines/>
        <w:tabs>
          <w:tab w:val="left" w:pos="360"/>
          <w:tab w:val="left" w:pos="720"/>
        </w:tabs>
        <w:ind w:left="360"/>
        <w:rPr>
          <w:sz w:val="24"/>
          <w:szCs w:val="24"/>
        </w:rPr>
      </w:pPr>
    </w:p>
    <w:p w:rsidR="00AC7F56" w:rsidRPr="00AC7F56" w:rsidP="00AC7F56" w14:paraId="014141A9" w14:textId="5DA1C64F">
      <w:pPr>
        <w:keepLines/>
        <w:tabs>
          <w:tab w:val="left" w:pos="360"/>
          <w:tab w:val="left" w:pos="720"/>
        </w:tabs>
        <w:ind w:left="360"/>
        <w:rPr>
          <w:sz w:val="24"/>
          <w:szCs w:val="24"/>
        </w:rPr>
      </w:pPr>
      <w:r w:rsidRPr="00AC7F56">
        <w:rPr>
          <w:sz w:val="24"/>
          <w:szCs w:val="24"/>
        </w:rPr>
        <w:t xml:space="preserve">Academic researchers and private organizations will use the RHFS data in efforts of specific interest and concern to their respective communities.  For example, no national data are available currently on such items such as rent concessions and expenses or capital improvements. </w:t>
      </w:r>
    </w:p>
    <w:p w:rsidR="00AC7F56" w:rsidRPr="00AC7F56" w:rsidP="00AC7F56" w14:paraId="3F80AD76" w14:textId="77777777">
      <w:pPr>
        <w:keepLines/>
        <w:tabs>
          <w:tab w:val="left" w:pos="360"/>
          <w:tab w:val="left" w:pos="720"/>
        </w:tabs>
        <w:ind w:left="360"/>
        <w:rPr>
          <w:sz w:val="24"/>
          <w:szCs w:val="24"/>
        </w:rPr>
      </w:pPr>
      <w:r w:rsidRPr="00AC7F56">
        <w:rPr>
          <w:sz w:val="24"/>
          <w:szCs w:val="24"/>
        </w:rPr>
        <w:tab/>
      </w:r>
    </w:p>
    <w:p w:rsidR="00AC7F56" w:rsidRPr="00AC7F56" w:rsidP="00AC7F56" w14:paraId="468B6322" w14:textId="2241A9DB">
      <w:pPr>
        <w:keepLines/>
        <w:tabs>
          <w:tab w:val="left" w:pos="360"/>
          <w:tab w:val="left" w:pos="720"/>
        </w:tabs>
        <w:ind w:left="360"/>
        <w:rPr>
          <w:sz w:val="24"/>
          <w:szCs w:val="24"/>
        </w:rPr>
      </w:pPr>
      <w:r w:rsidRPr="00AC7F56">
        <w:rPr>
          <w:sz w:val="24"/>
          <w:szCs w:val="24"/>
        </w:rPr>
        <w:t xml:space="preserve">The rental housing industry will be able to use the data to benchmark individual project performance against national data to help them make better business decisions.  Rental housing is critical to solving the nation’s affordable housing problems, and potential investors in the rental housing market will gain a better understanding of the ownership and financing structures of the industry with </w:t>
      </w:r>
      <w:r w:rsidRPr="00AC7F56">
        <w:rPr>
          <w:sz w:val="24"/>
          <w:szCs w:val="24"/>
        </w:rPr>
        <w:t>these</w:t>
      </w:r>
      <w:r w:rsidRPr="00AC7F56">
        <w:rPr>
          <w:sz w:val="24"/>
          <w:szCs w:val="24"/>
        </w:rPr>
        <w:t xml:space="preserve"> data.</w:t>
      </w:r>
    </w:p>
    <w:p w:rsidR="00AC7F56" w:rsidRPr="00AC7F56" w:rsidP="00AC7F56" w14:paraId="6C66D76E" w14:textId="77777777">
      <w:pPr>
        <w:keepLines/>
        <w:tabs>
          <w:tab w:val="left" w:pos="360"/>
          <w:tab w:val="left" w:pos="720"/>
        </w:tabs>
        <w:ind w:left="360"/>
        <w:rPr>
          <w:sz w:val="24"/>
          <w:szCs w:val="24"/>
        </w:rPr>
      </w:pPr>
      <w:r w:rsidRPr="00AC7F56">
        <w:rPr>
          <w:sz w:val="24"/>
          <w:szCs w:val="24"/>
        </w:rPr>
        <w:tab/>
      </w:r>
    </w:p>
    <w:p w:rsidR="00AC7F56" w:rsidRPr="00AC7F56" w:rsidP="00AC7F56" w14:paraId="40638D20" w14:textId="77777777">
      <w:pPr>
        <w:keepLines/>
        <w:tabs>
          <w:tab w:val="left" w:pos="360"/>
          <w:tab w:val="left" w:pos="720"/>
        </w:tabs>
        <w:ind w:left="360"/>
        <w:rPr>
          <w:sz w:val="24"/>
          <w:szCs w:val="24"/>
        </w:rPr>
      </w:pPr>
      <w:r w:rsidRPr="00AC7F56">
        <w:rPr>
          <w:sz w:val="24"/>
          <w:szCs w:val="24"/>
        </w:rPr>
        <w:t xml:space="preserve">The Bureau of Economic Analysis (BEA) uses the RHFS data in preparing key investment components in the National Income and Product Accounts (NIPAs) and the Fixed Assets Accounts (FAAs).  The specific data that the BEA anticipates using are capital improvements, legal form of ownership, property types and rent concessions. </w:t>
      </w:r>
    </w:p>
    <w:p w:rsidR="00AC7F56" w:rsidRPr="00AC7F56" w:rsidP="00AC7F56" w14:paraId="4629C956" w14:textId="77777777">
      <w:pPr>
        <w:keepLines/>
        <w:tabs>
          <w:tab w:val="left" w:pos="360"/>
          <w:tab w:val="left" w:pos="720"/>
        </w:tabs>
        <w:ind w:left="360"/>
        <w:rPr>
          <w:sz w:val="24"/>
          <w:szCs w:val="24"/>
        </w:rPr>
      </w:pPr>
    </w:p>
    <w:p w:rsidR="00AC7F56" w:rsidRPr="006C7FAE" w:rsidP="00AC7F56" w14:paraId="78B8D93B" w14:textId="4C1DB15F">
      <w:pPr>
        <w:keepLines/>
        <w:tabs>
          <w:tab w:val="left" w:pos="360"/>
          <w:tab w:val="left" w:pos="720"/>
        </w:tabs>
        <w:ind w:left="360"/>
        <w:rPr>
          <w:sz w:val="24"/>
          <w:szCs w:val="24"/>
        </w:rPr>
      </w:pPr>
      <w:r w:rsidRPr="00AC7F56">
        <w:rPr>
          <w:sz w:val="24"/>
          <w:szCs w:val="24"/>
        </w:rPr>
        <w:t>Information quality assessment is an integral part of the pre-dissemination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9E13B1" w:rsidRPr="006C7FAE" w14:paraId="3F741C6C"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C7F56" w:rsidRPr="00AC7F56" w:rsidP="00AC7F56" w14:paraId="39B42BFC" w14:textId="77777777">
      <w:pPr>
        <w:tabs>
          <w:tab w:val="left" w:pos="360"/>
        </w:tabs>
        <w:ind w:left="720" w:hanging="360"/>
        <w:rPr>
          <w:sz w:val="24"/>
          <w:szCs w:val="24"/>
        </w:rPr>
      </w:pPr>
      <w:r w:rsidRPr="00AC7F56">
        <w:rPr>
          <w:sz w:val="24"/>
          <w:szCs w:val="24"/>
        </w:rPr>
        <w:t>a.</w:t>
      </w:r>
      <w:r w:rsidRPr="00AC7F56">
        <w:rPr>
          <w:sz w:val="24"/>
          <w:szCs w:val="24"/>
        </w:rPr>
        <w:tab/>
        <w:t>Data Collection</w:t>
      </w:r>
    </w:p>
    <w:p w:rsidR="00AC7F56" w:rsidRPr="00AC7F56" w:rsidP="00AC7F56" w14:paraId="500837D1" w14:textId="77777777">
      <w:pPr>
        <w:tabs>
          <w:tab w:val="left" w:pos="360"/>
        </w:tabs>
        <w:ind w:left="720" w:hanging="360"/>
        <w:rPr>
          <w:sz w:val="24"/>
          <w:szCs w:val="24"/>
        </w:rPr>
      </w:pPr>
    </w:p>
    <w:p w:rsidR="00AC7F56" w:rsidRPr="00AC7F56" w:rsidP="00600F27" w14:paraId="66521B86" w14:textId="77777777">
      <w:pPr>
        <w:tabs>
          <w:tab w:val="left" w:pos="360"/>
        </w:tabs>
        <w:ind w:left="360"/>
        <w:rPr>
          <w:sz w:val="24"/>
          <w:szCs w:val="24"/>
        </w:rPr>
      </w:pPr>
      <w:r w:rsidRPr="00AC7F56">
        <w:rPr>
          <w:sz w:val="24"/>
          <w:szCs w:val="24"/>
        </w:rPr>
        <w:t>The Census Bureau will collect the 2024 RHFS data using a web-based application.</w:t>
      </w:r>
    </w:p>
    <w:p w:rsidR="00AC7F56" w:rsidRPr="00AC7F56" w:rsidP="00600F27" w14:paraId="76F6D245" w14:textId="77777777">
      <w:pPr>
        <w:tabs>
          <w:tab w:val="left" w:pos="360"/>
        </w:tabs>
        <w:ind w:left="360"/>
        <w:rPr>
          <w:sz w:val="24"/>
          <w:szCs w:val="24"/>
        </w:rPr>
      </w:pPr>
      <w:r w:rsidRPr="00AC7F56">
        <w:rPr>
          <w:sz w:val="24"/>
          <w:szCs w:val="24"/>
        </w:rPr>
        <w:t>The Enterprise Internet Solutions (EIS) area of the Application Development and Services Divisions (ADSD) will host a web-based instrument.  The web instrument will be hosted on the fully certified and accredited Centurion system (infrastructure, security, and framework).</w:t>
      </w:r>
    </w:p>
    <w:p w:rsidR="00AC7F56" w:rsidRPr="00AC7F56" w:rsidP="00AC7F56" w14:paraId="75EDA529" w14:textId="77777777">
      <w:pPr>
        <w:tabs>
          <w:tab w:val="left" w:pos="360"/>
        </w:tabs>
        <w:ind w:left="720" w:hanging="360"/>
        <w:rPr>
          <w:sz w:val="24"/>
          <w:szCs w:val="24"/>
        </w:rPr>
      </w:pPr>
    </w:p>
    <w:p w:rsidR="00AC7F56" w:rsidRPr="00AC7F56" w:rsidP="00AC7F56" w14:paraId="38E61F17" w14:textId="77777777">
      <w:pPr>
        <w:tabs>
          <w:tab w:val="left" w:pos="360"/>
        </w:tabs>
        <w:ind w:left="720" w:hanging="360"/>
        <w:rPr>
          <w:sz w:val="24"/>
          <w:szCs w:val="24"/>
        </w:rPr>
      </w:pPr>
      <w:r w:rsidRPr="00AC7F56">
        <w:rPr>
          <w:sz w:val="24"/>
          <w:szCs w:val="24"/>
        </w:rPr>
        <w:t>b.</w:t>
      </w:r>
      <w:r w:rsidRPr="00AC7F56">
        <w:rPr>
          <w:sz w:val="24"/>
          <w:szCs w:val="24"/>
        </w:rPr>
        <w:tab/>
        <w:t>Data Dissemination</w:t>
      </w:r>
    </w:p>
    <w:p w:rsidR="00AC7F56" w:rsidRPr="00AC7F56" w:rsidP="00AC7F56" w14:paraId="6F437F4F" w14:textId="77777777">
      <w:pPr>
        <w:tabs>
          <w:tab w:val="left" w:pos="360"/>
        </w:tabs>
        <w:ind w:left="720" w:hanging="360"/>
        <w:rPr>
          <w:sz w:val="24"/>
          <w:szCs w:val="24"/>
        </w:rPr>
      </w:pPr>
    </w:p>
    <w:p w:rsidR="009E13B1" w:rsidP="00600F27" w14:paraId="647334FF" w14:textId="0B77DE42">
      <w:pPr>
        <w:tabs>
          <w:tab w:val="left" w:pos="360"/>
        </w:tabs>
        <w:ind w:left="360"/>
        <w:rPr>
          <w:sz w:val="24"/>
          <w:szCs w:val="24"/>
        </w:rPr>
      </w:pPr>
      <w:r w:rsidRPr="00AC7F56">
        <w:rPr>
          <w:sz w:val="24"/>
          <w:szCs w:val="24"/>
        </w:rPr>
        <w:t>The Census Bureau will make the information collected on the RHFS available to the public on its Internet website.  The website will also contain an extensive set of tables for the user’s convenience.</w:t>
      </w:r>
    </w:p>
    <w:p w:rsidR="00AC7F56" w14:paraId="4E374CF2" w14:textId="77777777">
      <w:pPr>
        <w:tabs>
          <w:tab w:val="left" w:pos="360"/>
        </w:tabs>
        <w:ind w:left="360" w:hanging="360"/>
        <w:rPr>
          <w:sz w:val="24"/>
          <w:szCs w:val="24"/>
        </w:rPr>
      </w:pPr>
    </w:p>
    <w:p w:rsidR="009E13B1" w:rsidRPr="006C7FAE" w14:paraId="32C50BB4"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AC7F56" w:rsidP="00AC7F56" w14:paraId="0C55CF02" w14:textId="77777777">
      <w:pPr>
        <w:keepLines/>
        <w:tabs>
          <w:tab w:val="left" w:pos="360"/>
          <w:tab w:val="left" w:pos="720"/>
        </w:tabs>
        <w:ind w:left="360"/>
        <w:rPr>
          <w:sz w:val="24"/>
          <w:szCs w:val="24"/>
        </w:rPr>
      </w:pPr>
    </w:p>
    <w:p w:rsidR="00AC7F56" w:rsidRPr="00AC7F56" w:rsidP="00AC7F56" w14:paraId="50DB6CE1" w14:textId="4B1A6515">
      <w:pPr>
        <w:keepLines/>
        <w:tabs>
          <w:tab w:val="left" w:pos="360"/>
          <w:tab w:val="left" w:pos="720"/>
        </w:tabs>
        <w:ind w:left="360"/>
        <w:rPr>
          <w:sz w:val="24"/>
          <w:szCs w:val="24"/>
        </w:rPr>
      </w:pPr>
      <w:r w:rsidRPr="00AC7F56">
        <w:rPr>
          <w:sz w:val="24"/>
          <w:szCs w:val="24"/>
        </w:rPr>
        <w:t xml:space="preserve">HUD consulted with other government agencies and determined that </w:t>
      </w:r>
      <w:r w:rsidRPr="00AC7F56" w:rsidR="00243B21">
        <w:rPr>
          <w:sz w:val="24"/>
          <w:szCs w:val="24"/>
        </w:rPr>
        <w:t>RHFS</w:t>
      </w:r>
      <w:r w:rsidRPr="00AC7F56">
        <w:rPr>
          <w:sz w:val="24"/>
          <w:szCs w:val="24"/>
        </w:rPr>
        <w:t xml:space="preserve"> is the only data source with detailed information on the mortgage financing of rental properties.  </w:t>
      </w:r>
    </w:p>
    <w:p w:rsidR="00AC7F56" w:rsidRPr="00AC7F56" w:rsidP="00AC7F56" w14:paraId="0CECDA52" w14:textId="77777777">
      <w:pPr>
        <w:keepLines/>
        <w:tabs>
          <w:tab w:val="left" w:pos="360"/>
          <w:tab w:val="left" w:pos="720"/>
        </w:tabs>
        <w:ind w:left="360"/>
        <w:rPr>
          <w:sz w:val="24"/>
          <w:szCs w:val="24"/>
        </w:rPr>
      </w:pPr>
    </w:p>
    <w:p w:rsidR="00AC7F56" w:rsidRPr="00AC7F56" w:rsidP="00AC7F56" w14:paraId="75802273" w14:textId="77777777">
      <w:pPr>
        <w:keepLines/>
        <w:tabs>
          <w:tab w:val="left" w:pos="360"/>
          <w:tab w:val="left" w:pos="720"/>
        </w:tabs>
        <w:ind w:left="360"/>
        <w:rPr>
          <w:sz w:val="24"/>
          <w:szCs w:val="24"/>
        </w:rPr>
      </w:pPr>
      <w:r w:rsidRPr="00AC7F56">
        <w:rPr>
          <w:sz w:val="24"/>
          <w:szCs w:val="24"/>
        </w:rPr>
        <w:t>Although housing data are collected as part of the American Housing Survey (AHS), American Community Survey (ACS) (Census Bureau), Consumer Expenditure Survey (CES) (Bureau of Labor Statistics), and the Residential Energy Consumption Survey (RECS) (Department of Energy), these surveys provide none of the extensive level of detailed information on rental housing expenses and financing available from the RHFS.</w:t>
      </w:r>
    </w:p>
    <w:p w:rsidR="00AC7F56" w:rsidRPr="00AC7F56" w:rsidP="00AC7F56" w14:paraId="4FB68B7D" w14:textId="77777777">
      <w:pPr>
        <w:keepLines/>
        <w:tabs>
          <w:tab w:val="left" w:pos="360"/>
          <w:tab w:val="left" w:pos="720"/>
        </w:tabs>
        <w:ind w:left="360"/>
        <w:rPr>
          <w:sz w:val="24"/>
          <w:szCs w:val="24"/>
        </w:rPr>
      </w:pPr>
    </w:p>
    <w:p w:rsidR="009E13B1" w:rsidP="00AC7F56" w14:paraId="4C5ED5E7" w14:textId="2912220A">
      <w:pPr>
        <w:keepLines/>
        <w:tabs>
          <w:tab w:val="left" w:pos="360"/>
          <w:tab w:val="left" w:pos="720"/>
        </w:tabs>
        <w:ind w:left="360"/>
        <w:rPr>
          <w:sz w:val="24"/>
          <w:szCs w:val="24"/>
        </w:rPr>
      </w:pPr>
      <w:r w:rsidRPr="00AC7F56">
        <w:rPr>
          <w:sz w:val="24"/>
          <w:szCs w:val="24"/>
        </w:rPr>
        <w:t xml:space="preserve">Fannie Mae and Freddie Mac data sources contain financial information for multifamily rental properties with securitized mortgages. Although this information is substantially </w:t>
      </w:r>
      <w:r w:rsidRPr="00AC7F56">
        <w:rPr>
          <w:sz w:val="24"/>
          <w:szCs w:val="24"/>
        </w:rPr>
        <w:t>similar to</w:t>
      </w:r>
      <w:r w:rsidRPr="00AC7F56">
        <w:rPr>
          <w:sz w:val="24"/>
          <w:szCs w:val="24"/>
        </w:rPr>
        <w:t xml:space="preserve"> mortgage information collected in the RHFS, Fannie Mae’s and Freddie Mac’s multifamily rental property portfolios are not representative of all multifamily rental properties.</w:t>
      </w:r>
    </w:p>
    <w:p w:rsidR="00AC7F56" w:rsidRPr="006C7FAE" w14:paraId="6D676C54" w14:textId="77777777">
      <w:pPr>
        <w:keepLines/>
        <w:tabs>
          <w:tab w:val="left" w:pos="360"/>
          <w:tab w:val="left" w:pos="720"/>
        </w:tabs>
        <w:ind w:left="360"/>
        <w:rPr>
          <w:sz w:val="24"/>
          <w:szCs w:val="24"/>
        </w:rPr>
      </w:pPr>
    </w:p>
    <w:p w:rsidR="009E13B1" w:rsidRPr="006C7FAE" w14:paraId="6D40CCC4"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AC7F56" w:rsidRPr="00AC7F56" w:rsidP="00AC7F56" w14:paraId="64B82CDA" w14:textId="77777777">
      <w:pPr>
        <w:tabs>
          <w:tab w:val="left" w:pos="360"/>
        </w:tabs>
        <w:ind w:left="720" w:hanging="360"/>
        <w:rPr>
          <w:sz w:val="24"/>
          <w:szCs w:val="24"/>
        </w:rPr>
      </w:pPr>
    </w:p>
    <w:p w:rsidR="009E13B1" w:rsidRPr="00AC7F56" w:rsidP="00AC7F56" w14:paraId="69FC70D7" w14:textId="698A975D">
      <w:pPr>
        <w:ind w:left="360"/>
        <w:rPr>
          <w:sz w:val="24"/>
          <w:szCs w:val="24"/>
        </w:rPr>
      </w:pPr>
      <w:r w:rsidRPr="00AC7F56">
        <w:rPr>
          <w:sz w:val="24"/>
          <w:szCs w:val="24"/>
        </w:rPr>
        <w:t xml:space="preserve">HUD and the Census Bureau designed the RHFS questions to obtain the required information.  HUD and Census anticipate that many RHFS respondents are small businesses or sole proprietors. To minimize the response burden for small business, sole proprietors, and other business </w:t>
      </w:r>
      <w:r w:rsidRPr="00AC7F56" w:rsidR="00243B21">
        <w:rPr>
          <w:sz w:val="24"/>
          <w:szCs w:val="24"/>
        </w:rPr>
        <w:t>types</w:t>
      </w:r>
      <w:r w:rsidRPr="00AC7F56">
        <w:rPr>
          <w:sz w:val="24"/>
          <w:szCs w:val="24"/>
        </w:rPr>
        <w:t>, HUD and the Census Bureau developed an Internet instrument to allow respondents to self-administer the survey.</w:t>
      </w:r>
    </w:p>
    <w:p w:rsidR="00AC7F56" w:rsidP="00AC7F56" w14:paraId="59D762D7" w14:textId="77777777">
      <w:pPr>
        <w:tabs>
          <w:tab w:val="left" w:pos="360"/>
        </w:tabs>
        <w:ind w:left="720" w:hanging="360"/>
        <w:rPr>
          <w:sz w:val="24"/>
          <w:szCs w:val="24"/>
        </w:rPr>
      </w:pPr>
    </w:p>
    <w:p w:rsidR="00600F27" w:rsidP="00AC7F56" w14:paraId="762E807B" w14:textId="77777777">
      <w:pPr>
        <w:tabs>
          <w:tab w:val="left" w:pos="360"/>
        </w:tabs>
        <w:ind w:left="720" w:hanging="360"/>
        <w:rPr>
          <w:sz w:val="24"/>
          <w:szCs w:val="24"/>
        </w:rPr>
      </w:pPr>
    </w:p>
    <w:p w:rsidR="00600F27" w:rsidP="00AC7F56" w14:paraId="3EF32C02" w14:textId="77777777">
      <w:pPr>
        <w:tabs>
          <w:tab w:val="left" w:pos="360"/>
        </w:tabs>
        <w:ind w:left="720" w:hanging="360"/>
        <w:rPr>
          <w:sz w:val="24"/>
          <w:szCs w:val="24"/>
        </w:rPr>
      </w:pPr>
    </w:p>
    <w:p w:rsidR="009E13B1" w:rsidRPr="006C7FAE" w14:paraId="1481C8D7"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AC7F56" w:rsidP="00AC7F56" w14:paraId="23E05934" w14:textId="77777777">
      <w:pPr>
        <w:keepLines/>
        <w:tabs>
          <w:tab w:val="left" w:pos="360"/>
          <w:tab w:val="left" w:pos="720"/>
        </w:tabs>
        <w:ind w:left="360"/>
        <w:rPr>
          <w:sz w:val="24"/>
          <w:szCs w:val="24"/>
        </w:rPr>
      </w:pPr>
    </w:p>
    <w:p w:rsidR="00AC7F56" w:rsidRPr="00AC7F56" w:rsidP="00AC7F56" w14:paraId="74D998D3" w14:textId="77DE3D3E">
      <w:pPr>
        <w:keepLines/>
        <w:tabs>
          <w:tab w:val="left" w:pos="360"/>
          <w:tab w:val="left" w:pos="720"/>
        </w:tabs>
        <w:ind w:left="360"/>
        <w:rPr>
          <w:sz w:val="24"/>
          <w:szCs w:val="24"/>
        </w:rPr>
      </w:pPr>
      <w:r w:rsidRPr="00AC7F56">
        <w:rPr>
          <w:sz w:val="24"/>
          <w:szCs w:val="24"/>
        </w:rPr>
        <w:t>The RHFS is conducted every three years.  Less frequent enumerations would impair HUD’s ability to monitor GSE goal compliance on a timely basis.  It would also reduce the HUD’s ability to detect changes in severe housing needs.  Without this ability, the Administration and Congress would be less able to formulate policy on rental housing finance and rental assistance.</w:t>
      </w:r>
    </w:p>
    <w:p w:rsidR="009E13B1" w:rsidRPr="006C7FAE" w14:paraId="5202A6B0" w14:textId="77777777">
      <w:pPr>
        <w:keepLines/>
        <w:tabs>
          <w:tab w:val="left" w:pos="360"/>
          <w:tab w:val="left" w:pos="720"/>
        </w:tabs>
        <w:ind w:left="360"/>
        <w:rPr>
          <w:sz w:val="24"/>
          <w:szCs w:val="24"/>
        </w:rPr>
      </w:pPr>
    </w:p>
    <w:p w:rsidR="00A65F9E" w14:paraId="4AC18BD3"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7E1DE7FA" w14:textId="77777777">
      <w:pPr>
        <w:tabs>
          <w:tab w:val="left" w:pos="360"/>
        </w:tabs>
        <w:ind w:left="360"/>
        <w:rPr>
          <w:sz w:val="24"/>
          <w:szCs w:val="24"/>
        </w:rPr>
      </w:pPr>
      <w:r w:rsidRPr="006C7FAE">
        <w:rPr>
          <w:sz w:val="24"/>
          <w:szCs w:val="24"/>
        </w:rPr>
        <w:t xml:space="preserve"> </w:t>
      </w:r>
    </w:p>
    <w:p w:rsidR="009E13B1" w:rsidRPr="006C7FAE" w14:paraId="5C596937" w14:textId="28026ACD">
      <w:pPr>
        <w:numPr>
          <w:ilvl w:val="0"/>
          <w:numId w:val="14"/>
        </w:numPr>
        <w:tabs>
          <w:tab w:val="left" w:pos="600"/>
        </w:tabs>
        <w:rPr>
          <w:sz w:val="24"/>
          <w:szCs w:val="24"/>
        </w:rPr>
      </w:pPr>
      <w:r w:rsidRPr="006C7FAE">
        <w:rPr>
          <w:sz w:val="24"/>
          <w:szCs w:val="24"/>
        </w:rPr>
        <w:t xml:space="preserve">requiring respondents to report information to the agency more than quarterly; </w:t>
      </w:r>
      <w:bookmarkStart w:id="1" w:name="_Hlk149035607"/>
      <w:r w:rsidRPr="00AC7F56" w:rsidR="00AC7F56">
        <w:rPr>
          <w:b/>
          <w:bCs/>
          <w:sz w:val="24"/>
          <w:szCs w:val="24"/>
        </w:rPr>
        <w:t>N/A</w:t>
      </w:r>
      <w:bookmarkEnd w:id="1"/>
    </w:p>
    <w:p w:rsidR="00A65F9E" w:rsidP="00A65F9E" w14:paraId="6D264582" w14:textId="77777777">
      <w:pPr>
        <w:tabs>
          <w:tab w:val="left" w:pos="600"/>
        </w:tabs>
        <w:ind w:left="684"/>
        <w:rPr>
          <w:sz w:val="24"/>
          <w:szCs w:val="24"/>
        </w:rPr>
      </w:pPr>
    </w:p>
    <w:p w:rsidR="009E13B1" w14:paraId="704586F5" w14:textId="405018EB">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r w:rsidRPr="006C7FAE">
        <w:rPr>
          <w:sz w:val="24"/>
          <w:szCs w:val="24"/>
        </w:rPr>
        <w:t>it;</w:t>
      </w:r>
      <w:r w:rsidRPr="006C7FAE">
        <w:rPr>
          <w:sz w:val="24"/>
          <w:szCs w:val="24"/>
        </w:rPr>
        <w:t xml:space="preserve"> </w:t>
      </w:r>
      <w:r w:rsidRPr="00AC7F56" w:rsidR="00AC7F56">
        <w:rPr>
          <w:b/>
          <w:bCs/>
          <w:sz w:val="24"/>
          <w:szCs w:val="24"/>
        </w:rPr>
        <w:t>N/A</w:t>
      </w:r>
    </w:p>
    <w:p w:rsidR="00A65F9E" w:rsidP="00A65F9E" w14:paraId="36575339" w14:textId="77777777">
      <w:pPr>
        <w:pStyle w:val="ListParagraph"/>
        <w:rPr>
          <w:sz w:val="24"/>
          <w:szCs w:val="24"/>
        </w:rPr>
      </w:pPr>
    </w:p>
    <w:p w:rsidR="009E13B1" w14:paraId="4F20930A" w14:textId="03AB3724">
      <w:pPr>
        <w:numPr>
          <w:ilvl w:val="0"/>
          <w:numId w:val="14"/>
        </w:numPr>
        <w:tabs>
          <w:tab w:val="left" w:pos="600"/>
        </w:tabs>
        <w:rPr>
          <w:sz w:val="24"/>
          <w:szCs w:val="24"/>
        </w:rPr>
      </w:pPr>
      <w:r w:rsidRPr="006C7FAE">
        <w:rPr>
          <w:sz w:val="24"/>
          <w:szCs w:val="24"/>
        </w:rPr>
        <w:t xml:space="preserve">requiring respondents to submit more than an original and two copies of any </w:t>
      </w:r>
      <w:r w:rsidRPr="006C7FAE">
        <w:rPr>
          <w:sz w:val="24"/>
          <w:szCs w:val="24"/>
        </w:rPr>
        <w:t>document;</w:t>
      </w:r>
      <w:r w:rsidRPr="006C7FAE">
        <w:rPr>
          <w:sz w:val="24"/>
          <w:szCs w:val="24"/>
        </w:rPr>
        <w:t xml:space="preserve"> </w:t>
      </w:r>
      <w:r w:rsidRPr="00AC7F56" w:rsidR="00AC7F56">
        <w:rPr>
          <w:b/>
          <w:bCs/>
          <w:sz w:val="24"/>
          <w:szCs w:val="24"/>
        </w:rPr>
        <w:t>N/A</w:t>
      </w:r>
    </w:p>
    <w:p w:rsidR="00A65F9E" w:rsidP="00A65F9E" w14:paraId="2FB5BE9A" w14:textId="77777777">
      <w:pPr>
        <w:pStyle w:val="ListParagraph"/>
        <w:rPr>
          <w:sz w:val="24"/>
          <w:szCs w:val="24"/>
        </w:rPr>
      </w:pPr>
    </w:p>
    <w:p w:rsidR="009E13B1" w:rsidRPr="006C7FAE" w14:paraId="6A5DD6DC" w14:textId="5DD419B9">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AC7F56" w:rsidR="00AC7F56">
        <w:rPr>
          <w:b/>
          <w:bCs/>
          <w:sz w:val="24"/>
          <w:szCs w:val="24"/>
        </w:rPr>
        <w:t>N/A</w:t>
      </w:r>
    </w:p>
    <w:p w:rsidR="00A65F9E" w:rsidP="00A65F9E" w14:paraId="2D08A99D" w14:textId="77777777">
      <w:pPr>
        <w:tabs>
          <w:tab w:val="left" w:pos="600"/>
        </w:tabs>
        <w:ind w:left="684"/>
        <w:rPr>
          <w:sz w:val="24"/>
          <w:szCs w:val="24"/>
        </w:rPr>
      </w:pPr>
    </w:p>
    <w:p w:rsidR="009E13B1" w:rsidRPr="001B205E" w14:paraId="405FB0E5" w14:textId="72E7CABC">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AC7F56" w:rsidR="00AC7F56">
        <w:rPr>
          <w:b/>
          <w:bCs/>
          <w:sz w:val="24"/>
          <w:szCs w:val="24"/>
        </w:rPr>
        <w:t>N/A</w:t>
      </w:r>
    </w:p>
    <w:p w:rsidR="001B205E" w:rsidP="001B205E" w14:paraId="2DDAF1B5" w14:textId="77777777">
      <w:pPr>
        <w:pStyle w:val="ListParagraph"/>
        <w:rPr>
          <w:sz w:val="24"/>
          <w:szCs w:val="24"/>
        </w:rPr>
      </w:pPr>
    </w:p>
    <w:p w:rsidR="00A65F9E" w14:paraId="32121842" w14:textId="56065BD8">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1B205E">
        <w:rPr>
          <w:sz w:val="24"/>
          <w:szCs w:val="24"/>
        </w:rPr>
        <w:t xml:space="preserve"> </w:t>
      </w:r>
      <w:r w:rsidRPr="00AC7F56" w:rsidR="001B205E">
        <w:rPr>
          <w:b/>
          <w:bCs/>
          <w:sz w:val="24"/>
          <w:szCs w:val="24"/>
        </w:rPr>
        <w:t>N/A</w:t>
      </w:r>
    </w:p>
    <w:p w:rsidR="009E13B1" w:rsidRPr="006C7FAE" w:rsidP="00A65F9E" w14:paraId="7B39785C" w14:textId="77777777">
      <w:pPr>
        <w:tabs>
          <w:tab w:val="left" w:pos="600"/>
        </w:tabs>
        <w:ind w:left="684"/>
        <w:rPr>
          <w:sz w:val="24"/>
          <w:szCs w:val="24"/>
        </w:rPr>
      </w:pPr>
      <w:r w:rsidRPr="006C7FAE">
        <w:rPr>
          <w:sz w:val="24"/>
          <w:szCs w:val="24"/>
        </w:rPr>
        <w:t xml:space="preserve"> </w:t>
      </w:r>
    </w:p>
    <w:p w:rsidR="009E13B1" w:rsidRPr="006C7FAE" w14:paraId="66CB6033" w14:textId="6B3FD432">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AC7F56" w:rsidR="001B205E">
        <w:rPr>
          <w:b/>
          <w:bCs/>
          <w:sz w:val="24"/>
          <w:szCs w:val="24"/>
        </w:rPr>
        <w:t>N/A</w:t>
      </w:r>
    </w:p>
    <w:p w:rsidR="00A65F9E" w:rsidP="00A65F9E" w14:paraId="23366B42" w14:textId="77777777">
      <w:pPr>
        <w:keepLines/>
        <w:tabs>
          <w:tab w:val="left" w:pos="600"/>
        </w:tabs>
        <w:spacing w:after="80"/>
        <w:ind w:left="684"/>
        <w:rPr>
          <w:sz w:val="24"/>
          <w:szCs w:val="24"/>
        </w:rPr>
      </w:pPr>
    </w:p>
    <w:p w:rsidR="009E13B1" w:rsidRPr="006C7FAE" w14:paraId="79BD7793" w14:textId="2EBDC09B">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1B205E" w:rsidR="001B205E">
        <w:rPr>
          <w:b/>
          <w:bCs/>
          <w:sz w:val="24"/>
          <w:szCs w:val="24"/>
        </w:rPr>
        <w:t xml:space="preserve"> </w:t>
      </w:r>
      <w:r w:rsidRPr="00AC7F56" w:rsidR="001B205E">
        <w:rPr>
          <w:b/>
          <w:bCs/>
          <w:sz w:val="24"/>
          <w:szCs w:val="24"/>
        </w:rPr>
        <w:t>N/A</w:t>
      </w:r>
    </w:p>
    <w:p w:rsidR="009E13B1" w14:paraId="74A12FDF" w14:textId="77777777">
      <w:pPr>
        <w:tabs>
          <w:tab w:val="left" w:pos="360"/>
        </w:tabs>
        <w:ind w:left="360" w:hanging="360"/>
        <w:rPr>
          <w:sz w:val="24"/>
          <w:szCs w:val="24"/>
        </w:rPr>
      </w:pPr>
    </w:p>
    <w:p w:rsidR="00AC7F56" w14:paraId="5D065058" w14:textId="3904E965">
      <w:pPr>
        <w:tabs>
          <w:tab w:val="left" w:pos="360"/>
        </w:tabs>
        <w:ind w:left="360" w:hanging="360"/>
        <w:rPr>
          <w:sz w:val="24"/>
          <w:szCs w:val="24"/>
        </w:rPr>
      </w:pPr>
      <w:r>
        <w:rPr>
          <w:sz w:val="24"/>
          <w:szCs w:val="24"/>
        </w:rPr>
        <w:tab/>
      </w:r>
      <w:r w:rsidRPr="00AC7F56">
        <w:rPr>
          <w:sz w:val="24"/>
          <w:szCs w:val="24"/>
        </w:rPr>
        <w:t>We collect the data in a manner consistent with OMB guidelines, and there are no special circumstances</w:t>
      </w:r>
      <w:r w:rsidR="001B205E">
        <w:rPr>
          <w:sz w:val="24"/>
          <w:szCs w:val="24"/>
        </w:rPr>
        <w:t>.</w:t>
      </w:r>
    </w:p>
    <w:p w:rsidR="00AC7F56" w:rsidRPr="006C7FAE" w14:paraId="34C802B1" w14:textId="77777777">
      <w:pPr>
        <w:tabs>
          <w:tab w:val="left" w:pos="360"/>
        </w:tabs>
        <w:ind w:left="360" w:hanging="360"/>
        <w:rPr>
          <w:sz w:val="24"/>
          <w:szCs w:val="24"/>
        </w:rPr>
      </w:pPr>
    </w:p>
    <w:p w:rsidR="00A65F9E" w:rsidP="00A65F9E" w14:paraId="66B66663"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7E82BED9" w14:textId="77777777">
      <w:pPr>
        <w:tabs>
          <w:tab w:val="left" w:pos="360"/>
        </w:tabs>
        <w:ind w:left="360"/>
        <w:rPr>
          <w:sz w:val="24"/>
          <w:szCs w:val="24"/>
        </w:rPr>
      </w:pPr>
      <w:r w:rsidRPr="006C7FAE">
        <w:rPr>
          <w:sz w:val="24"/>
          <w:szCs w:val="24"/>
        </w:rPr>
        <w:t xml:space="preserve"> </w:t>
      </w:r>
    </w:p>
    <w:p w:rsidR="009E13B1" w:rsidRPr="006C7FAE" w14:paraId="78E097B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5B287415" w14:textId="77777777">
      <w:pPr>
        <w:keepLines/>
        <w:tabs>
          <w:tab w:val="left" w:pos="360"/>
        </w:tabs>
        <w:spacing w:after="80"/>
        <w:ind w:left="480"/>
        <w:rPr>
          <w:sz w:val="24"/>
          <w:szCs w:val="24"/>
        </w:rPr>
      </w:pPr>
    </w:p>
    <w:p w:rsidR="009E13B1" w:rsidRPr="006C7FAE" w14:paraId="39FA438A"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1B205E" w:rsidP="001B205E" w14:paraId="12A4702B" w14:textId="77777777">
      <w:pPr>
        <w:tabs>
          <w:tab w:val="left" w:pos="360"/>
        </w:tabs>
        <w:ind w:left="480"/>
        <w:rPr>
          <w:sz w:val="24"/>
          <w:szCs w:val="24"/>
        </w:rPr>
      </w:pPr>
    </w:p>
    <w:p w:rsidR="001B205E" w:rsidRPr="001B205E" w:rsidP="001B205E" w14:paraId="0A86C9EC" w14:textId="235F1B3B">
      <w:pPr>
        <w:tabs>
          <w:tab w:val="left" w:pos="360"/>
        </w:tabs>
        <w:ind w:left="480"/>
        <w:rPr>
          <w:sz w:val="24"/>
          <w:szCs w:val="24"/>
        </w:rPr>
      </w:pPr>
      <w:r w:rsidRPr="001B205E">
        <w:rPr>
          <w:sz w:val="24"/>
          <w:szCs w:val="24"/>
        </w:rPr>
        <w:t>Approximately 50 prospective data users, from diverse areas of interest, were consulted while developing the 2012 RHFS questionnaire.  Responses received from these data users had considerable effect on the content on the 2012 and subsequent years of the RHFS .  There were no major problems that could not be resolved during consultation.</w:t>
      </w:r>
    </w:p>
    <w:p w:rsidR="001B205E" w:rsidRPr="001B205E" w:rsidP="001B205E" w14:paraId="6FFD1A67" w14:textId="77777777">
      <w:pPr>
        <w:tabs>
          <w:tab w:val="left" w:pos="360"/>
        </w:tabs>
        <w:ind w:left="840" w:hanging="360"/>
        <w:rPr>
          <w:sz w:val="24"/>
          <w:szCs w:val="24"/>
        </w:rPr>
      </w:pPr>
    </w:p>
    <w:p w:rsidR="001B205E" w:rsidRPr="001B205E" w:rsidP="001B205E" w14:paraId="5BEAE00C" w14:textId="77777777">
      <w:pPr>
        <w:tabs>
          <w:tab w:val="left" w:pos="360"/>
        </w:tabs>
        <w:ind w:left="480"/>
        <w:rPr>
          <w:sz w:val="24"/>
          <w:szCs w:val="24"/>
        </w:rPr>
      </w:pPr>
      <w:r w:rsidRPr="001B205E">
        <w:rPr>
          <w:sz w:val="24"/>
          <w:szCs w:val="24"/>
        </w:rPr>
        <w:t>In preparation for the 2024 RHFS, HUD made a presentation on RHFS data in Fall 2022 to the Federal Housing Finance Administration (FHFA) and subsequently met with FHFA staff to discuss multifamily finance data needs. The discussions resulted in the addition of a question on green mortgages to the 2024 RHFS.</w:t>
      </w:r>
    </w:p>
    <w:p w:rsidR="001B205E" w:rsidRPr="001B205E" w:rsidP="001B205E" w14:paraId="5CA2054C" w14:textId="77777777">
      <w:pPr>
        <w:tabs>
          <w:tab w:val="left" w:pos="360"/>
        </w:tabs>
        <w:ind w:left="840" w:hanging="360"/>
        <w:rPr>
          <w:sz w:val="24"/>
          <w:szCs w:val="24"/>
        </w:rPr>
      </w:pPr>
    </w:p>
    <w:p w:rsidR="009E13B1" w:rsidP="001B205E" w14:paraId="50FDCCEA" w14:textId="7BB40327">
      <w:pPr>
        <w:tabs>
          <w:tab w:val="left" w:pos="360"/>
        </w:tabs>
        <w:ind w:left="480"/>
        <w:rPr>
          <w:sz w:val="24"/>
          <w:szCs w:val="24"/>
        </w:rPr>
      </w:pPr>
      <w:r w:rsidRPr="001B205E">
        <w:rPr>
          <w:sz w:val="24"/>
          <w:szCs w:val="24"/>
        </w:rPr>
        <w:t xml:space="preserve">The 60-day Federal Register Notice was published on </w:t>
      </w:r>
      <w:r w:rsidR="009C08DF">
        <w:rPr>
          <w:sz w:val="24"/>
          <w:szCs w:val="24"/>
        </w:rPr>
        <w:t>Friday, July 24</w:t>
      </w:r>
      <w:r w:rsidRPr="001B205E">
        <w:rPr>
          <w:sz w:val="24"/>
          <w:szCs w:val="24"/>
        </w:rPr>
        <w:t xml:space="preserve">, </w:t>
      </w:r>
      <w:r w:rsidRPr="001B205E" w:rsidR="00243B21">
        <w:rPr>
          <w:sz w:val="24"/>
          <w:szCs w:val="24"/>
        </w:rPr>
        <w:t>2023,</w:t>
      </w:r>
      <w:r w:rsidR="00243B21">
        <w:rPr>
          <w:sz w:val="24"/>
          <w:szCs w:val="24"/>
        </w:rPr>
        <w:t xml:space="preserve"> FR 88 pg., 45233</w:t>
      </w:r>
      <w:r w:rsidRPr="001B205E">
        <w:rPr>
          <w:sz w:val="24"/>
          <w:szCs w:val="24"/>
        </w:rPr>
        <w:t xml:space="preserve">.  During the 60-day Federal Register Notice review period, HUD </w:t>
      </w:r>
      <w:r w:rsidR="00243B21">
        <w:rPr>
          <w:sz w:val="24"/>
          <w:szCs w:val="24"/>
        </w:rPr>
        <w:t xml:space="preserve">did not </w:t>
      </w:r>
      <w:r w:rsidRPr="001B205E" w:rsidR="00600F27">
        <w:rPr>
          <w:sz w:val="24"/>
          <w:szCs w:val="24"/>
        </w:rPr>
        <w:t>receive</w:t>
      </w:r>
      <w:r w:rsidRPr="001B205E">
        <w:rPr>
          <w:sz w:val="24"/>
          <w:szCs w:val="24"/>
        </w:rPr>
        <w:t xml:space="preserve"> </w:t>
      </w:r>
      <w:r w:rsidR="00243B21">
        <w:rPr>
          <w:sz w:val="24"/>
          <w:szCs w:val="24"/>
        </w:rPr>
        <w:t>comments.</w:t>
      </w:r>
    </w:p>
    <w:p w:rsidR="001B205E" w:rsidRPr="006C7FAE" w14:paraId="54ED4E99" w14:textId="77777777">
      <w:pPr>
        <w:tabs>
          <w:tab w:val="left" w:pos="360"/>
        </w:tabs>
        <w:ind w:left="360" w:hanging="360"/>
        <w:rPr>
          <w:sz w:val="24"/>
          <w:szCs w:val="24"/>
        </w:rPr>
      </w:pPr>
    </w:p>
    <w:p w:rsidR="009E13B1" w:rsidRPr="006C7FAE" w14:paraId="33AB074C"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1B205E" w14:paraId="66B03FE1" w14:textId="77777777">
      <w:pPr>
        <w:tabs>
          <w:tab w:val="left" w:pos="360"/>
        </w:tabs>
        <w:ind w:left="360" w:hanging="360"/>
        <w:rPr>
          <w:sz w:val="24"/>
          <w:szCs w:val="24"/>
        </w:rPr>
      </w:pPr>
    </w:p>
    <w:p w:rsidR="009E13B1" w:rsidRPr="006C7FAE" w14:paraId="4343C3BA" w14:textId="19F0866A">
      <w:pPr>
        <w:tabs>
          <w:tab w:val="left" w:pos="360"/>
        </w:tabs>
        <w:ind w:left="360" w:hanging="360"/>
        <w:rPr>
          <w:sz w:val="24"/>
          <w:szCs w:val="24"/>
        </w:rPr>
      </w:pPr>
      <w:r>
        <w:rPr>
          <w:sz w:val="24"/>
          <w:szCs w:val="24"/>
        </w:rPr>
        <w:tab/>
      </w:r>
      <w:r w:rsidRPr="001B205E">
        <w:rPr>
          <w:sz w:val="24"/>
          <w:szCs w:val="24"/>
        </w:rPr>
        <w:t>HUD and the Census Bureau do not give RHFS respondents payments or gifts.</w:t>
      </w:r>
    </w:p>
    <w:p w:rsidR="001B205E" w14:paraId="26976AFF" w14:textId="77777777">
      <w:pPr>
        <w:keepLines/>
        <w:tabs>
          <w:tab w:val="left" w:pos="360"/>
        </w:tabs>
        <w:spacing w:after="80"/>
        <w:ind w:left="360" w:hanging="360"/>
        <w:rPr>
          <w:sz w:val="24"/>
          <w:szCs w:val="24"/>
        </w:rPr>
      </w:pPr>
    </w:p>
    <w:p w:rsidR="009E13B1" w:rsidRPr="006C7FAE" w14:paraId="19B89D99" w14:textId="128F82BE">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r w:rsidRPr="006C7FAE">
        <w:rPr>
          <w:sz w:val="24"/>
          <w:szCs w:val="24"/>
        </w:rPr>
        <w:t>regulation</w:t>
      </w:r>
      <w:r w:rsidRPr="006C7FAE">
        <w:rPr>
          <w:sz w:val="24"/>
          <w:szCs w:val="24"/>
        </w:rPr>
        <w:t xml:space="preserve">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1B205E" w:rsidP="001B205E" w14:paraId="6D3FC308" w14:textId="77777777">
      <w:pPr>
        <w:tabs>
          <w:tab w:val="left" w:pos="360"/>
        </w:tabs>
        <w:ind w:left="360" w:hanging="360"/>
        <w:rPr>
          <w:sz w:val="24"/>
          <w:szCs w:val="24"/>
        </w:rPr>
      </w:pPr>
    </w:p>
    <w:p w:rsidR="001B205E" w:rsidRPr="001B205E" w:rsidP="001B205E" w14:paraId="6C7CACF8" w14:textId="73AF65E7">
      <w:pPr>
        <w:tabs>
          <w:tab w:val="left" w:pos="360"/>
        </w:tabs>
        <w:ind w:left="360" w:hanging="360"/>
        <w:rPr>
          <w:sz w:val="24"/>
          <w:szCs w:val="24"/>
        </w:rPr>
      </w:pPr>
      <w:r>
        <w:rPr>
          <w:sz w:val="24"/>
          <w:szCs w:val="24"/>
        </w:rPr>
        <w:tab/>
      </w:r>
      <w:r w:rsidRPr="001B205E">
        <w:rPr>
          <w:sz w:val="24"/>
          <w:szCs w:val="24"/>
        </w:rPr>
        <w:t>The Census Bureau collects these data in compliance with the Privacy Act of 1974 and OMB Circular</w:t>
      </w:r>
      <w:r>
        <w:rPr>
          <w:sz w:val="24"/>
          <w:szCs w:val="24"/>
        </w:rPr>
        <w:t xml:space="preserve"> </w:t>
      </w:r>
      <w:r w:rsidRPr="001B205E">
        <w:rPr>
          <w:sz w:val="24"/>
          <w:szCs w:val="24"/>
        </w:rPr>
        <w:t xml:space="preserve">A-108.  The Census Bureau will </w:t>
      </w:r>
      <w:r w:rsidRPr="001B205E">
        <w:rPr>
          <w:sz w:val="24"/>
          <w:szCs w:val="24"/>
        </w:rPr>
        <w:t>make an attempt</w:t>
      </w:r>
      <w:r w:rsidRPr="001B205E">
        <w:rPr>
          <w:sz w:val="24"/>
          <w:szCs w:val="24"/>
        </w:rPr>
        <w:t xml:space="preserve"> to identify property owners and/or managers prior to data collection by conducting an address matching operation and Internet research. The Census Bureau will send each RHFS respondent an advance letter (RHFS-03(L)).  The advance letter will contain the information required by this act.</w:t>
      </w:r>
    </w:p>
    <w:p w:rsidR="001B205E" w:rsidRPr="001B205E" w:rsidP="001B205E" w14:paraId="06048E66" w14:textId="77777777">
      <w:pPr>
        <w:tabs>
          <w:tab w:val="left" w:pos="360"/>
        </w:tabs>
        <w:ind w:left="360" w:hanging="360"/>
        <w:rPr>
          <w:sz w:val="24"/>
          <w:szCs w:val="24"/>
        </w:rPr>
      </w:pPr>
      <w:r w:rsidRPr="001B205E">
        <w:rPr>
          <w:sz w:val="24"/>
          <w:szCs w:val="24"/>
        </w:rPr>
        <w:t xml:space="preserve"> </w:t>
      </w:r>
    </w:p>
    <w:p w:rsidR="001B205E" w:rsidRPr="001B205E" w:rsidP="001B205E" w14:paraId="77D78C88" w14:textId="2AE53319">
      <w:pPr>
        <w:tabs>
          <w:tab w:val="left" w:pos="360"/>
        </w:tabs>
        <w:ind w:left="360" w:hanging="360"/>
        <w:rPr>
          <w:sz w:val="24"/>
          <w:szCs w:val="24"/>
        </w:rPr>
      </w:pPr>
      <w:r>
        <w:rPr>
          <w:sz w:val="24"/>
          <w:szCs w:val="24"/>
        </w:rPr>
        <w:tab/>
      </w:r>
      <w:r w:rsidRPr="001B205E">
        <w:rPr>
          <w:sz w:val="24"/>
          <w:szCs w:val="24"/>
        </w:rPr>
        <w:t xml:space="preserve">The letter informs the respondents of the voluntary nature of this survey and states there are no penalties for failure to answer any question.  The letter will explain why the information is being collected, how it will be used, and how to respond to the survey.  The letter will display the OMB control number and date of expiration. </w:t>
      </w:r>
    </w:p>
    <w:p w:rsidR="001B205E" w:rsidRPr="001B205E" w:rsidP="001B205E" w14:paraId="2337476D" w14:textId="77777777">
      <w:pPr>
        <w:tabs>
          <w:tab w:val="left" w:pos="360"/>
        </w:tabs>
        <w:ind w:left="360" w:hanging="360"/>
        <w:rPr>
          <w:sz w:val="24"/>
          <w:szCs w:val="24"/>
        </w:rPr>
      </w:pPr>
    </w:p>
    <w:p w:rsidR="001B205E" w:rsidRPr="001B205E" w:rsidP="001B205E" w14:paraId="1ABBEA8E" w14:textId="35E61A61">
      <w:pPr>
        <w:tabs>
          <w:tab w:val="left" w:pos="360"/>
        </w:tabs>
        <w:ind w:left="360" w:hanging="360"/>
        <w:rPr>
          <w:sz w:val="24"/>
          <w:szCs w:val="24"/>
        </w:rPr>
      </w:pPr>
      <w:r>
        <w:rPr>
          <w:sz w:val="24"/>
          <w:szCs w:val="24"/>
        </w:rPr>
        <w:tab/>
      </w:r>
      <w:r w:rsidRPr="001B205E">
        <w:rPr>
          <w:sz w:val="24"/>
          <w:szCs w:val="24"/>
        </w:rPr>
        <w:t>For interviews conducted by telephone, if the respondents inquire as to the purpose of the survey, the Census Bureau field staff will provide a verbal explanation that includes the information required by the Privacy Act.</w:t>
      </w:r>
    </w:p>
    <w:p w:rsidR="001B205E" w:rsidRPr="001B205E" w:rsidP="001B205E" w14:paraId="362207C7" w14:textId="77777777">
      <w:pPr>
        <w:tabs>
          <w:tab w:val="left" w:pos="360"/>
        </w:tabs>
        <w:ind w:left="360" w:hanging="360"/>
        <w:rPr>
          <w:sz w:val="24"/>
          <w:szCs w:val="24"/>
        </w:rPr>
      </w:pPr>
    </w:p>
    <w:p w:rsidR="001B205E" w:rsidRPr="001B205E" w:rsidP="001B205E" w14:paraId="52912DFD" w14:textId="578EBBFA">
      <w:pPr>
        <w:tabs>
          <w:tab w:val="left" w:pos="360"/>
        </w:tabs>
        <w:ind w:left="360" w:hanging="360"/>
        <w:rPr>
          <w:sz w:val="24"/>
          <w:szCs w:val="24"/>
        </w:rPr>
      </w:pPr>
      <w:r>
        <w:rPr>
          <w:sz w:val="24"/>
          <w:szCs w:val="24"/>
        </w:rPr>
        <w:tab/>
      </w:r>
      <w:r w:rsidRPr="001B205E">
        <w:rPr>
          <w:sz w:val="24"/>
          <w:szCs w:val="24"/>
        </w:rPr>
        <w:t xml:space="preserve">The advance letter states that all information respondents give to the Census Bureau employees is held in strict confidence by Title 13, United States Code.  Each employee has taken an oath to this effect and is subject to a jail term, fine or both, if he/she discloses any information given to him/her. </w:t>
      </w:r>
    </w:p>
    <w:p w:rsidR="001B205E" w:rsidRPr="001B205E" w:rsidP="001B205E" w14:paraId="269E34CE" w14:textId="77777777">
      <w:pPr>
        <w:tabs>
          <w:tab w:val="left" w:pos="360"/>
        </w:tabs>
        <w:ind w:left="360" w:hanging="360"/>
        <w:rPr>
          <w:sz w:val="24"/>
          <w:szCs w:val="24"/>
        </w:rPr>
      </w:pPr>
    </w:p>
    <w:p w:rsidR="001B205E" w:rsidRPr="001B205E" w:rsidP="001B205E" w14:paraId="1E5C79E9" w14:textId="19CE3D44">
      <w:pPr>
        <w:tabs>
          <w:tab w:val="left" w:pos="360"/>
        </w:tabs>
        <w:ind w:left="360" w:hanging="360"/>
        <w:rPr>
          <w:sz w:val="24"/>
          <w:szCs w:val="24"/>
        </w:rPr>
      </w:pPr>
      <w:r>
        <w:rPr>
          <w:sz w:val="24"/>
          <w:szCs w:val="24"/>
        </w:rPr>
        <w:tab/>
      </w:r>
      <w:r w:rsidRPr="001B205E">
        <w:rPr>
          <w:sz w:val="24"/>
          <w:szCs w:val="24"/>
        </w:rPr>
        <w:t>The introductory screen to the Internet instrument contains the OMB control number and date of expiration, the citation of authority to collect the data, and the respondent burden statement.</w:t>
      </w:r>
    </w:p>
    <w:p w:rsidR="001B205E" w:rsidRPr="001B205E" w:rsidP="001B205E" w14:paraId="5CBDA686" w14:textId="77777777">
      <w:pPr>
        <w:tabs>
          <w:tab w:val="left" w:pos="360"/>
        </w:tabs>
        <w:ind w:left="360" w:hanging="360"/>
        <w:rPr>
          <w:sz w:val="24"/>
          <w:szCs w:val="24"/>
        </w:rPr>
      </w:pPr>
    </w:p>
    <w:p w:rsidR="001B205E" w:rsidRPr="001B205E" w:rsidP="001B205E" w14:paraId="72AA5C6F" w14:textId="18110C35">
      <w:pPr>
        <w:tabs>
          <w:tab w:val="left" w:pos="360"/>
        </w:tabs>
        <w:ind w:left="360" w:hanging="360"/>
        <w:rPr>
          <w:sz w:val="24"/>
          <w:szCs w:val="24"/>
        </w:rPr>
      </w:pPr>
      <w:r>
        <w:rPr>
          <w:sz w:val="24"/>
          <w:szCs w:val="24"/>
        </w:rPr>
        <w:tab/>
      </w:r>
      <w:r w:rsidRPr="001B205E">
        <w:rPr>
          <w:sz w:val="24"/>
          <w:szCs w:val="24"/>
        </w:rPr>
        <w:t xml:space="preserve">The data collected under this agreement are confidential under Title 13, U.S.C., Section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w:t>
      </w:r>
      <w:r w:rsidRPr="001B205E">
        <w:rPr>
          <w:sz w:val="24"/>
          <w:szCs w:val="24"/>
        </w:rPr>
        <w:t>clearance</w:t>
      </w:r>
      <w:r w:rsidRPr="001B205E">
        <w:rPr>
          <w:sz w:val="24"/>
          <w:szCs w:val="24"/>
        </w:rPr>
        <w:t xml:space="preserve"> and they must take Data Stewardship Awareness Training.</w:t>
      </w:r>
    </w:p>
    <w:p w:rsidR="001B205E" w:rsidRPr="001B205E" w:rsidP="001B205E" w14:paraId="0CA914E6" w14:textId="77777777">
      <w:pPr>
        <w:tabs>
          <w:tab w:val="left" w:pos="360"/>
        </w:tabs>
        <w:ind w:left="360" w:hanging="360"/>
        <w:rPr>
          <w:sz w:val="24"/>
          <w:szCs w:val="24"/>
        </w:rPr>
      </w:pPr>
    </w:p>
    <w:p w:rsidR="009E13B1" w:rsidP="001B205E" w14:paraId="5A82C70E" w14:textId="610E1110">
      <w:pPr>
        <w:tabs>
          <w:tab w:val="left" w:pos="360"/>
        </w:tabs>
        <w:ind w:left="360" w:hanging="360"/>
        <w:rPr>
          <w:sz w:val="24"/>
          <w:szCs w:val="24"/>
        </w:rPr>
      </w:pPr>
      <w:r>
        <w:rPr>
          <w:sz w:val="24"/>
          <w:szCs w:val="24"/>
        </w:rPr>
        <w:tab/>
      </w:r>
      <w:r w:rsidRPr="001B205E">
        <w:rPr>
          <w:sz w:val="24"/>
          <w:szCs w:val="24"/>
        </w:rPr>
        <w:t>Any access to Title 13 data at HUD is subject to prior approval by the Census Bureau's Data Stewardship Executive Policy Committee upon assurance that the HUD facility and information technology security meet Census Bureau requirements.</w:t>
      </w:r>
    </w:p>
    <w:p w:rsidR="001B205E" w:rsidRPr="006C7FAE" w14:paraId="20990845" w14:textId="77777777">
      <w:pPr>
        <w:tabs>
          <w:tab w:val="left" w:pos="360"/>
        </w:tabs>
        <w:ind w:left="360" w:hanging="360"/>
        <w:rPr>
          <w:sz w:val="24"/>
          <w:szCs w:val="24"/>
        </w:rPr>
      </w:pPr>
    </w:p>
    <w:p w:rsidR="009E13B1" w:rsidRPr="006C7FAE" w14:paraId="661B4112"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6C7FAE" w14:paraId="3E9C3957" w14:textId="77777777">
      <w:pPr>
        <w:tabs>
          <w:tab w:val="left" w:pos="360"/>
        </w:tabs>
        <w:ind w:left="360" w:hanging="360"/>
        <w:rPr>
          <w:sz w:val="24"/>
          <w:szCs w:val="24"/>
        </w:rPr>
      </w:pPr>
    </w:p>
    <w:p w:rsidR="00A65F9E" w14:paraId="4DF2C1BF" w14:textId="3DAB4FBB">
      <w:pPr>
        <w:tabs>
          <w:tab w:val="left" w:pos="360"/>
        </w:tabs>
        <w:ind w:left="360" w:hanging="360"/>
        <w:rPr>
          <w:sz w:val="24"/>
          <w:szCs w:val="24"/>
        </w:rPr>
      </w:pPr>
      <w:r>
        <w:rPr>
          <w:sz w:val="24"/>
          <w:szCs w:val="24"/>
        </w:rPr>
        <w:tab/>
      </w:r>
      <w:r w:rsidRPr="001B205E">
        <w:rPr>
          <w:sz w:val="24"/>
          <w:szCs w:val="24"/>
        </w:rPr>
        <w:t>The 2024 RHFS does not include any questions of a sensitive nature  . In cognitive testing for the 2021 RHFS, some participants found the question about property owners accepting HUD vouchers to be sensitive. The question was changed to ask if the property had rented to a tenant with a HUD voucher in the past.</w:t>
      </w:r>
    </w:p>
    <w:p w:rsidR="00A65F9E" w14:paraId="74FF8DAE" w14:textId="77777777">
      <w:pPr>
        <w:tabs>
          <w:tab w:val="left" w:pos="360"/>
        </w:tabs>
        <w:ind w:left="360" w:hanging="360"/>
        <w:rPr>
          <w:sz w:val="24"/>
          <w:szCs w:val="24"/>
        </w:rPr>
      </w:pPr>
    </w:p>
    <w:p w:rsidR="000D5079" w14:paraId="5B0F61FC"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782EE3C0" w14:textId="77777777">
      <w:pPr>
        <w:tabs>
          <w:tab w:val="left" w:pos="360"/>
        </w:tabs>
        <w:ind w:left="360" w:hanging="360"/>
        <w:rPr>
          <w:sz w:val="24"/>
          <w:szCs w:val="24"/>
        </w:rPr>
      </w:pPr>
      <w:r w:rsidRPr="006C7FAE">
        <w:rPr>
          <w:sz w:val="24"/>
          <w:szCs w:val="24"/>
        </w:rPr>
        <w:t xml:space="preserve"> </w:t>
      </w:r>
    </w:p>
    <w:p w:rsidR="009E13B1" w:rsidRPr="006C7FAE" w14:paraId="39E42979"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w:t>
      </w:r>
      <w:r w:rsidRPr="006C7FAE">
        <w:rPr>
          <w:sz w:val="24"/>
          <w:szCs w:val="24"/>
        </w:rPr>
        <w:t>hour</w:t>
      </w:r>
      <w:r w:rsidRPr="006C7FAE">
        <w:rPr>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Pr="006C7FAE">
        <w:rPr>
          <w:sz w:val="24"/>
          <w:szCs w:val="24"/>
        </w:rPr>
        <w:t xml:space="preserve"> </w:t>
      </w:r>
    </w:p>
    <w:p w:rsidR="009E13B1" w:rsidRPr="006C7FAE" w14:paraId="0117D004"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w:t>
      </w:r>
      <w:r w:rsidRPr="006C7FAE">
        <w:rPr>
          <w:sz w:val="24"/>
          <w:szCs w:val="24"/>
        </w:rPr>
        <w:t>form</w:t>
      </w:r>
      <w:r w:rsidRPr="006C7FAE">
        <w:rPr>
          <w:sz w:val="24"/>
          <w:szCs w:val="24"/>
        </w:rPr>
        <w:t xml:space="preserve"> and aggregate the hour burdens in </w:t>
      </w:r>
      <w:r w:rsidR="00CA06CC">
        <w:rPr>
          <w:sz w:val="24"/>
          <w:szCs w:val="24"/>
        </w:rPr>
        <w:t>chart below</w:t>
      </w:r>
      <w:r w:rsidRPr="006C7FAE">
        <w:rPr>
          <w:sz w:val="24"/>
          <w:szCs w:val="24"/>
        </w:rPr>
        <w:t xml:space="preserve">; and </w:t>
      </w:r>
    </w:p>
    <w:p w:rsidR="009E13B1" w14:paraId="0993E0C1"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1B205E" w:rsidP="001B205E" w14:paraId="0A55BE39" w14:textId="77777777">
      <w:pPr>
        <w:keepLines/>
        <w:tabs>
          <w:tab w:val="left" w:pos="480"/>
        </w:tabs>
        <w:spacing w:after="80"/>
        <w:rPr>
          <w:sz w:val="24"/>
          <w:szCs w:val="24"/>
        </w:rPr>
      </w:pPr>
    </w:p>
    <w:p w:rsidR="001B205E" w:rsidRPr="001B205E" w:rsidP="001B205E" w14:paraId="6C570C29" w14:textId="77777777">
      <w:pPr>
        <w:numPr>
          <w:ilvl w:val="12"/>
          <w:numId w:val="0"/>
        </w:numPr>
        <w:overflowPunct/>
        <w:autoSpaceDE/>
        <w:autoSpaceDN/>
        <w:adjustRightInd/>
        <w:ind w:left="720"/>
        <w:textAlignment w:val="auto"/>
        <w:rPr>
          <w:sz w:val="24"/>
          <w:szCs w:val="24"/>
        </w:rPr>
      </w:pPr>
      <w:r w:rsidRPr="001B205E">
        <w:rPr>
          <w:sz w:val="24"/>
          <w:szCs w:val="24"/>
        </w:rPr>
        <w:t>HUD and the Census Bureau estimate the actual number of eligible RHFS respondents to be 10,000. See the table below.</w:t>
      </w:r>
    </w:p>
    <w:p w:rsidR="001B205E" w:rsidRPr="001B205E" w:rsidP="001B205E" w14:paraId="627A7987" w14:textId="77777777">
      <w:pPr>
        <w:numPr>
          <w:ilvl w:val="12"/>
          <w:numId w:val="0"/>
        </w:numPr>
        <w:overflowPunct/>
        <w:autoSpaceDE/>
        <w:autoSpaceDN/>
        <w:adjustRightInd/>
        <w:ind w:left="720"/>
        <w:textAlignment w:val="auto"/>
        <w:rPr>
          <w:sz w:val="24"/>
          <w:szCs w:val="24"/>
        </w:rPr>
      </w:pPr>
    </w:p>
    <w:tbl>
      <w:tblPr>
        <w:tblW w:w="8764" w:type="dxa"/>
        <w:tblInd w:w="576" w:type="dxa"/>
        <w:tblLayout w:type="fixed"/>
        <w:tblCellMar>
          <w:left w:w="0" w:type="dxa"/>
          <w:right w:w="0" w:type="dxa"/>
        </w:tblCellMar>
        <w:tblLook w:val="04A0"/>
      </w:tblPr>
      <w:tblGrid>
        <w:gridCol w:w="1095"/>
        <w:gridCol w:w="1096"/>
        <w:gridCol w:w="1095"/>
        <w:gridCol w:w="1096"/>
        <w:gridCol w:w="1095"/>
        <w:gridCol w:w="1096"/>
        <w:gridCol w:w="1095"/>
        <w:gridCol w:w="1096"/>
      </w:tblGrid>
      <w:tr w14:paraId="5FBA746B" w14:textId="77777777" w:rsidTr="00CE47A3">
        <w:tblPrEx>
          <w:tblW w:w="8764" w:type="dxa"/>
          <w:tblInd w:w="576" w:type="dxa"/>
          <w:tblLayout w:type="fixed"/>
          <w:tblCellMar>
            <w:left w:w="0" w:type="dxa"/>
            <w:right w:w="0" w:type="dxa"/>
          </w:tblCellMar>
          <w:tblLook w:val="04A0"/>
        </w:tblPrEx>
        <w:tc>
          <w:tcPr>
            <w:tcW w:w="1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05E" w:rsidRPr="001B205E" w:rsidP="001B205E" w14:paraId="0F951AF8" w14:textId="77777777">
            <w:pPr>
              <w:adjustRightInd/>
              <w:jc w:val="center"/>
              <w:textAlignment w:val="auto"/>
              <w:rPr>
                <w:rFonts w:eastAsia="Calibri"/>
                <w:b/>
                <w:bCs/>
                <w:color w:val="000000"/>
                <w:sz w:val="16"/>
                <w:szCs w:val="16"/>
              </w:rPr>
            </w:pPr>
            <w:r w:rsidRPr="001B205E">
              <w:rPr>
                <w:rFonts w:eastAsia="Calibri"/>
                <w:b/>
                <w:bCs/>
                <w:color w:val="000000"/>
                <w:sz w:val="16"/>
                <w:szCs w:val="16"/>
              </w:rPr>
              <w:t>Information Collection</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05E" w:rsidRPr="001B205E" w:rsidP="001B205E" w14:paraId="66385749" w14:textId="77777777">
            <w:pPr>
              <w:adjustRightInd/>
              <w:jc w:val="center"/>
              <w:textAlignment w:val="auto"/>
              <w:rPr>
                <w:rFonts w:eastAsia="Calibri"/>
                <w:b/>
                <w:bCs/>
                <w:color w:val="000000"/>
                <w:sz w:val="16"/>
                <w:szCs w:val="16"/>
              </w:rPr>
            </w:pPr>
            <w:r w:rsidRPr="001B205E">
              <w:rPr>
                <w:rFonts w:eastAsia="Calibri"/>
                <w:b/>
                <w:bCs/>
                <w:color w:val="000000"/>
                <w:sz w:val="16"/>
                <w:szCs w:val="16"/>
              </w:rPr>
              <w:t>Number of Respondents</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05E" w:rsidRPr="001B205E" w:rsidP="001B205E" w14:paraId="1A797865" w14:textId="77777777">
            <w:pPr>
              <w:adjustRightInd/>
              <w:jc w:val="center"/>
              <w:textAlignment w:val="auto"/>
              <w:rPr>
                <w:rFonts w:eastAsia="Calibri"/>
                <w:b/>
                <w:bCs/>
                <w:color w:val="000000"/>
                <w:sz w:val="16"/>
                <w:szCs w:val="16"/>
              </w:rPr>
            </w:pPr>
            <w:r w:rsidRPr="001B205E">
              <w:rPr>
                <w:rFonts w:eastAsia="Calibri"/>
                <w:b/>
                <w:bCs/>
                <w:color w:val="000000"/>
                <w:sz w:val="16"/>
                <w:szCs w:val="16"/>
              </w:rPr>
              <w:t>Frequency of Response</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05E" w:rsidRPr="001B205E" w:rsidP="001B205E" w14:paraId="410C6B3F" w14:textId="77777777">
            <w:pPr>
              <w:overflowPunct/>
              <w:autoSpaceDE/>
              <w:autoSpaceDN/>
              <w:adjustRightInd/>
              <w:jc w:val="center"/>
              <w:textAlignment w:val="auto"/>
              <w:rPr>
                <w:rFonts w:eastAsia="Calibri"/>
                <w:b/>
                <w:bCs/>
                <w:color w:val="000000"/>
                <w:sz w:val="16"/>
                <w:szCs w:val="16"/>
              </w:rPr>
            </w:pPr>
            <w:r w:rsidRPr="001B205E">
              <w:rPr>
                <w:rFonts w:eastAsia="Calibri"/>
                <w:b/>
                <w:bCs/>
                <w:color w:val="000000"/>
                <w:sz w:val="16"/>
                <w:szCs w:val="16"/>
              </w:rPr>
              <w:t>Responses</w:t>
            </w:r>
          </w:p>
          <w:p w:rsidR="001B205E" w:rsidRPr="001B205E" w:rsidP="001B205E" w14:paraId="147B1E57" w14:textId="77777777">
            <w:pPr>
              <w:adjustRightInd/>
              <w:jc w:val="center"/>
              <w:textAlignment w:val="auto"/>
              <w:rPr>
                <w:rFonts w:eastAsia="Calibri"/>
                <w:b/>
                <w:bCs/>
                <w:color w:val="000000"/>
                <w:sz w:val="16"/>
                <w:szCs w:val="16"/>
              </w:rPr>
            </w:pPr>
            <w:r w:rsidRPr="001B205E">
              <w:rPr>
                <w:rFonts w:eastAsia="Calibri"/>
                <w:b/>
                <w:bCs/>
                <w:color w:val="000000"/>
                <w:sz w:val="16"/>
                <w:szCs w:val="16"/>
              </w:rPr>
              <w:t>Per Annum</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05E" w:rsidRPr="001B205E" w:rsidP="001B205E" w14:paraId="5247A9E6" w14:textId="77777777">
            <w:pPr>
              <w:adjustRightInd/>
              <w:jc w:val="center"/>
              <w:textAlignment w:val="auto"/>
              <w:rPr>
                <w:rFonts w:eastAsia="Calibri"/>
                <w:b/>
                <w:bCs/>
                <w:color w:val="000000"/>
                <w:sz w:val="16"/>
                <w:szCs w:val="16"/>
              </w:rPr>
            </w:pPr>
            <w:r w:rsidRPr="001B205E">
              <w:rPr>
                <w:rFonts w:eastAsia="Calibri"/>
                <w:b/>
                <w:bCs/>
                <w:color w:val="000000"/>
                <w:sz w:val="16"/>
                <w:szCs w:val="16"/>
              </w:rPr>
              <w:t>Burden Hour Per Response</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205E" w:rsidRPr="001B205E" w:rsidP="001B205E" w14:paraId="224DC289" w14:textId="77777777">
            <w:pPr>
              <w:adjustRightInd/>
              <w:jc w:val="center"/>
              <w:textAlignment w:val="auto"/>
              <w:rPr>
                <w:rFonts w:eastAsia="Calibri"/>
                <w:b/>
                <w:bCs/>
                <w:color w:val="000000"/>
                <w:sz w:val="16"/>
                <w:szCs w:val="16"/>
              </w:rPr>
            </w:pPr>
            <w:r w:rsidRPr="001B205E">
              <w:rPr>
                <w:rFonts w:eastAsia="Calibri"/>
                <w:b/>
                <w:bCs/>
                <w:color w:val="000000"/>
                <w:sz w:val="16"/>
                <w:szCs w:val="16"/>
              </w:rPr>
              <w:t>Annual Burden Hours</w:t>
            </w:r>
          </w:p>
        </w:tc>
        <w:tc>
          <w:tcPr>
            <w:tcW w:w="1095" w:type="dxa"/>
            <w:tcBorders>
              <w:top w:val="single" w:sz="8" w:space="0" w:color="auto"/>
              <w:left w:val="nil"/>
              <w:bottom w:val="single" w:sz="8" w:space="0" w:color="auto"/>
              <w:right w:val="single" w:sz="8" w:space="0" w:color="auto"/>
            </w:tcBorders>
          </w:tcPr>
          <w:p w:rsidR="001B205E" w:rsidRPr="001B205E" w:rsidP="001B205E" w14:paraId="1C2CBD6A" w14:textId="77777777">
            <w:pPr>
              <w:adjustRightInd/>
              <w:jc w:val="center"/>
              <w:textAlignment w:val="auto"/>
              <w:rPr>
                <w:rFonts w:eastAsia="Calibri"/>
                <w:b/>
                <w:bCs/>
                <w:color w:val="000000"/>
                <w:sz w:val="16"/>
                <w:szCs w:val="16"/>
              </w:rPr>
            </w:pPr>
            <w:r w:rsidRPr="001B205E">
              <w:rPr>
                <w:rFonts w:eastAsia="Calibri"/>
                <w:b/>
                <w:bCs/>
                <w:color w:val="000000"/>
                <w:sz w:val="16"/>
                <w:szCs w:val="16"/>
              </w:rPr>
              <w:t>Hourly Cost per Response</w:t>
            </w:r>
          </w:p>
        </w:tc>
        <w:tc>
          <w:tcPr>
            <w:tcW w:w="1096" w:type="dxa"/>
            <w:tcBorders>
              <w:top w:val="single" w:sz="8" w:space="0" w:color="auto"/>
              <w:left w:val="nil"/>
              <w:bottom w:val="single" w:sz="8" w:space="0" w:color="auto"/>
              <w:right w:val="single" w:sz="8" w:space="0" w:color="auto"/>
            </w:tcBorders>
          </w:tcPr>
          <w:p w:rsidR="001B205E" w:rsidRPr="001B205E" w:rsidP="001B205E" w14:paraId="7B6B5575" w14:textId="77777777">
            <w:pPr>
              <w:adjustRightInd/>
              <w:jc w:val="center"/>
              <w:textAlignment w:val="auto"/>
              <w:rPr>
                <w:rFonts w:eastAsia="Calibri"/>
                <w:b/>
                <w:bCs/>
                <w:color w:val="000000"/>
                <w:sz w:val="16"/>
                <w:szCs w:val="16"/>
              </w:rPr>
            </w:pPr>
            <w:r w:rsidRPr="001B205E">
              <w:rPr>
                <w:rFonts w:eastAsia="Calibri"/>
                <w:b/>
                <w:bCs/>
                <w:color w:val="000000"/>
                <w:sz w:val="16"/>
                <w:szCs w:val="16"/>
              </w:rPr>
              <w:t>Annual Cost</w:t>
            </w:r>
          </w:p>
        </w:tc>
      </w:tr>
      <w:tr w14:paraId="72F24D94" w14:textId="77777777" w:rsidTr="00CE47A3">
        <w:tblPrEx>
          <w:tblW w:w="8764" w:type="dxa"/>
          <w:tblInd w:w="576" w:type="dxa"/>
          <w:tblLayout w:type="fixed"/>
          <w:tblCellMar>
            <w:left w:w="0" w:type="dxa"/>
            <w:right w:w="0" w:type="dxa"/>
          </w:tblCellMar>
          <w:tblLook w:val="04A0"/>
        </w:tblPrEx>
        <w:tc>
          <w:tcPr>
            <w:tcW w:w="10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B205E" w:rsidRPr="001B205E" w:rsidP="001B205E" w14:paraId="0F112416" w14:textId="77777777">
            <w:pPr>
              <w:jc w:val="right"/>
              <w:rPr>
                <w:sz w:val="18"/>
                <w:szCs w:val="18"/>
              </w:rPr>
            </w:pPr>
            <w:r w:rsidRPr="001B205E">
              <w:rPr>
                <w:sz w:val="18"/>
                <w:szCs w:val="18"/>
              </w:rPr>
              <w:t xml:space="preserve">RHFS </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B205E" w:rsidRPr="001B205E" w:rsidP="001B205E" w14:paraId="1FA21318" w14:textId="77777777">
            <w:pPr>
              <w:jc w:val="center"/>
              <w:rPr>
                <w:sz w:val="18"/>
                <w:szCs w:val="18"/>
              </w:rPr>
            </w:pPr>
            <w:r w:rsidRPr="001B205E">
              <w:rPr>
                <w:sz w:val="18"/>
                <w:szCs w:val="18"/>
              </w:rPr>
              <w:t>10,000</w:t>
            </w:r>
          </w:p>
        </w:tc>
        <w:tc>
          <w:tcPr>
            <w:tcW w:w="1095" w:type="dxa"/>
            <w:tcBorders>
              <w:top w:val="nil"/>
              <w:left w:val="nil"/>
              <w:bottom w:val="single" w:sz="8" w:space="0" w:color="auto"/>
              <w:right w:val="single" w:sz="8" w:space="0" w:color="auto"/>
            </w:tcBorders>
            <w:tcMar>
              <w:top w:w="0" w:type="dxa"/>
              <w:left w:w="108" w:type="dxa"/>
              <w:bottom w:w="0" w:type="dxa"/>
              <w:right w:w="108" w:type="dxa"/>
            </w:tcMar>
          </w:tcPr>
          <w:p w:rsidR="001B205E" w:rsidRPr="001B205E" w:rsidP="001B205E" w14:paraId="27C354EA" w14:textId="77777777">
            <w:pPr>
              <w:jc w:val="center"/>
              <w:rPr>
                <w:sz w:val="18"/>
                <w:szCs w:val="18"/>
              </w:rPr>
            </w:pPr>
            <w:r w:rsidRPr="001B205E">
              <w:rPr>
                <w:sz w:val="18"/>
                <w:szCs w:val="18"/>
              </w:rPr>
              <w:t>1</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B205E" w:rsidRPr="001B205E" w:rsidP="001B205E" w14:paraId="0B9D5CA5" w14:textId="77777777">
            <w:pPr>
              <w:jc w:val="center"/>
              <w:rPr>
                <w:sz w:val="18"/>
                <w:szCs w:val="18"/>
              </w:rPr>
            </w:pPr>
            <w:r w:rsidRPr="001B205E">
              <w:rPr>
                <w:sz w:val="18"/>
                <w:szCs w:val="18"/>
              </w:rPr>
              <w:t>10,000</w:t>
            </w:r>
          </w:p>
        </w:tc>
        <w:tc>
          <w:tcPr>
            <w:tcW w:w="1095" w:type="dxa"/>
            <w:tcBorders>
              <w:top w:val="nil"/>
              <w:left w:val="nil"/>
              <w:bottom w:val="single" w:sz="8" w:space="0" w:color="auto"/>
              <w:right w:val="single" w:sz="8" w:space="0" w:color="auto"/>
            </w:tcBorders>
            <w:tcMar>
              <w:top w:w="0" w:type="dxa"/>
              <w:left w:w="108" w:type="dxa"/>
              <w:bottom w:w="0" w:type="dxa"/>
              <w:right w:w="108" w:type="dxa"/>
            </w:tcMar>
          </w:tcPr>
          <w:p w:rsidR="001B205E" w:rsidRPr="001B205E" w:rsidP="001B205E" w14:paraId="2EF7CBEE" w14:textId="77777777">
            <w:pPr>
              <w:jc w:val="center"/>
              <w:rPr>
                <w:sz w:val="18"/>
                <w:szCs w:val="18"/>
              </w:rPr>
            </w:pPr>
            <w:r w:rsidRPr="001B205E">
              <w:rPr>
                <w:sz w:val="18"/>
                <w:szCs w:val="18"/>
              </w:rPr>
              <w:t>1</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B205E" w:rsidRPr="001B205E" w:rsidP="001B205E" w14:paraId="735746D2" w14:textId="77777777">
            <w:pPr>
              <w:jc w:val="center"/>
              <w:rPr>
                <w:sz w:val="18"/>
                <w:szCs w:val="18"/>
              </w:rPr>
            </w:pPr>
            <w:r w:rsidRPr="001B205E">
              <w:rPr>
                <w:sz w:val="18"/>
                <w:szCs w:val="18"/>
              </w:rPr>
              <w:t>10,000</w:t>
            </w:r>
          </w:p>
        </w:tc>
        <w:tc>
          <w:tcPr>
            <w:tcW w:w="1095" w:type="dxa"/>
            <w:tcBorders>
              <w:top w:val="nil"/>
              <w:left w:val="nil"/>
              <w:bottom w:val="single" w:sz="8" w:space="0" w:color="auto"/>
              <w:right w:val="single" w:sz="8" w:space="0" w:color="auto"/>
            </w:tcBorders>
          </w:tcPr>
          <w:p w:rsidR="001B205E" w:rsidRPr="001B205E" w:rsidP="001B205E" w14:paraId="7644CC90" w14:textId="77777777">
            <w:pPr>
              <w:jc w:val="center"/>
              <w:rPr>
                <w:sz w:val="18"/>
                <w:szCs w:val="18"/>
              </w:rPr>
            </w:pPr>
            <w:r w:rsidRPr="001B205E">
              <w:rPr>
                <w:sz w:val="18"/>
                <w:szCs w:val="18"/>
              </w:rPr>
              <w:t>$40.51</w:t>
            </w:r>
          </w:p>
        </w:tc>
        <w:tc>
          <w:tcPr>
            <w:tcW w:w="1096" w:type="dxa"/>
            <w:tcBorders>
              <w:top w:val="nil"/>
              <w:left w:val="nil"/>
              <w:bottom w:val="single" w:sz="8" w:space="0" w:color="auto"/>
              <w:right w:val="single" w:sz="8" w:space="0" w:color="auto"/>
            </w:tcBorders>
          </w:tcPr>
          <w:p w:rsidR="001B205E" w:rsidRPr="001B205E" w:rsidP="001B205E" w14:paraId="4868AE44" w14:textId="77777777">
            <w:pPr>
              <w:jc w:val="center"/>
              <w:rPr>
                <w:sz w:val="18"/>
                <w:szCs w:val="18"/>
              </w:rPr>
            </w:pPr>
            <w:r w:rsidRPr="001B205E">
              <w:rPr>
                <w:sz w:val="18"/>
                <w:szCs w:val="18"/>
              </w:rPr>
              <w:t>$405,100</w:t>
            </w:r>
          </w:p>
        </w:tc>
      </w:tr>
    </w:tbl>
    <w:p w:rsidR="001B205E" w:rsidRPr="001B205E" w:rsidP="001B205E" w14:paraId="54970FAA" w14:textId="77777777">
      <w:pPr>
        <w:numPr>
          <w:ilvl w:val="12"/>
          <w:numId w:val="0"/>
        </w:numPr>
        <w:overflowPunct/>
        <w:autoSpaceDE/>
        <w:autoSpaceDN/>
        <w:adjustRightInd/>
        <w:ind w:left="720"/>
        <w:textAlignment w:val="auto"/>
        <w:rPr>
          <w:b/>
          <w:sz w:val="24"/>
          <w:szCs w:val="24"/>
          <w:u w:val="single"/>
        </w:rPr>
      </w:pPr>
    </w:p>
    <w:p w:rsidR="000D5079" w14:paraId="5BDAD413"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7506B0F8" w14:textId="77777777">
      <w:pPr>
        <w:tabs>
          <w:tab w:val="left" w:pos="360"/>
        </w:tabs>
        <w:ind w:left="360" w:hanging="360"/>
        <w:rPr>
          <w:sz w:val="24"/>
          <w:szCs w:val="24"/>
        </w:rPr>
      </w:pPr>
      <w:r w:rsidRPr="006C7FAE">
        <w:rPr>
          <w:sz w:val="24"/>
          <w:szCs w:val="24"/>
        </w:rPr>
        <w:t xml:space="preserve"> </w:t>
      </w:r>
    </w:p>
    <w:p w:rsidR="009E13B1" w:rsidRPr="006C7FAE" w14:paraId="1CC012A8"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0F98748D"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w:t>
      </w:r>
      <w:r w:rsidRPr="006C7FAE">
        <w:rPr>
          <w:sz w:val="24"/>
          <w:szCs w:val="24"/>
        </w:rPr>
        <w:t>out</w:t>
      </w:r>
      <w:r w:rsidRPr="006C7FAE">
        <w:rPr>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66BBFD91"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B205E" w:rsidP="001B205E" w14:paraId="66E0B014" w14:textId="77777777">
      <w:pPr>
        <w:keepLines/>
        <w:tabs>
          <w:tab w:val="left" w:pos="360"/>
        </w:tabs>
        <w:spacing w:after="80"/>
        <w:ind w:left="480"/>
        <w:rPr>
          <w:sz w:val="24"/>
          <w:szCs w:val="24"/>
        </w:rPr>
      </w:pPr>
    </w:p>
    <w:p w:rsidR="001B205E" w:rsidRPr="001B205E" w:rsidP="001B205E" w14:paraId="6ACD4133" w14:textId="77777777">
      <w:pPr>
        <w:keepLines/>
        <w:tabs>
          <w:tab w:val="left" w:pos="360"/>
        </w:tabs>
        <w:spacing w:after="80"/>
        <w:ind w:left="480"/>
        <w:rPr>
          <w:sz w:val="24"/>
          <w:szCs w:val="24"/>
        </w:rPr>
      </w:pPr>
      <w:r w:rsidRPr="001B205E">
        <w:rPr>
          <w:sz w:val="24"/>
          <w:szCs w:val="24"/>
        </w:rPr>
        <w:t>We do not expect respondents to incur any costs other than that of their time to respond.  The information requested is the type and scope normally carried in office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1B205E" w:rsidP="001B205E" w14:paraId="05821787" w14:textId="77777777">
      <w:pPr>
        <w:keepLines/>
        <w:tabs>
          <w:tab w:val="left" w:pos="360"/>
        </w:tabs>
        <w:spacing w:after="80"/>
        <w:ind w:left="480"/>
        <w:rPr>
          <w:sz w:val="24"/>
          <w:szCs w:val="24"/>
        </w:rPr>
      </w:pPr>
    </w:p>
    <w:p w:rsidR="00600F27" w:rsidP="001B205E" w14:paraId="2A4A6E1C" w14:textId="77777777">
      <w:pPr>
        <w:keepLines/>
        <w:tabs>
          <w:tab w:val="left" w:pos="360"/>
        </w:tabs>
        <w:spacing w:after="80"/>
        <w:ind w:left="480"/>
        <w:rPr>
          <w:sz w:val="24"/>
          <w:szCs w:val="24"/>
        </w:rPr>
      </w:pPr>
    </w:p>
    <w:p w:rsidR="00600F27" w:rsidRPr="006C7FAE" w:rsidP="001B205E" w14:paraId="35F0C2DB" w14:textId="77777777">
      <w:pPr>
        <w:keepLines/>
        <w:tabs>
          <w:tab w:val="left" w:pos="360"/>
        </w:tabs>
        <w:spacing w:after="80"/>
        <w:ind w:left="480"/>
        <w:rPr>
          <w:sz w:val="24"/>
          <w:szCs w:val="24"/>
        </w:rPr>
      </w:pPr>
    </w:p>
    <w:p w:rsidR="009E13B1" w:rsidRPr="006C7FAE" w14:paraId="54FB944B" w14:textId="77777777">
      <w:pPr>
        <w:keepLines/>
        <w:tabs>
          <w:tab w:val="left" w:pos="360"/>
        </w:tabs>
        <w:spacing w:after="80"/>
        <w:ind w:left="360" w:hanging="360"/>
        <w:rPr>
          <w:sz w:val="24"/>
          <w:szCs w:val="24"/>
        </w:rPr>
      </w:pPr>
      <w:r w:rsidRPr="006C7FAE">
        <w:rPr>
          <w:sz w:val="24"/>
          <w:szCs w:val="24"/>
        </w:rPr>
        <w:t>14.</w:t>
      </w:r>
      <w:r w:rsidRPr="006C7FAE">
        <w:rPr>
          <w:sz w:val="24"/>
          <w:szCs w:val="24"/>
        </w:rPr>
        <w:tab/>
        <w:t xml:space="preserve">Provide estimates of annualized </w:t>
      </w:r>
      <w:r w:rsidRPr="006C7FAE">
        <w:rPr>
          <w:sz w:val="24"/>
          <w:szCs w:val="24"/>
        </w:rPr>
        <w:t>cost</w:t>
      </w:r>
      <w:r w:rsidRPr="006C7FAE">
        <w:rPr>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274DB4F" w14:textId="77777777">
      <w:pPr>
        <w:overflowPunct/>
        <w:autoSpaceDE/>
        <w:autoSpaceDN/>
        <w:adjustRightInd/>
        <w:spacing w:after="80"/>
        <w:ind w:left="360"/>
        <w:textAlignment w:val="auto"/>
        <w:rPr>
          <w:rFonts w:eastAsia="Calibri"/>
          <w:color w:val="000000"/>
        </w:rPr>
      </w:pPr>
    </w:p>
    <w:p w:rsidR="001B205E" w:rsidP="001B205E" w14:paraId="068648E5" w14:textId="6A6D002D">
      <w:pPr>
        <w:tabs>
          <w:tab w:val="left" w:pos="360"/>
        </w:tabs>
        <w:ind w:left="360" w:hanging="360"/>
        <w:rPr>
          <w:sz w:val="24"/>
          <w:szCs w:val="24"/>
        </w:rPr>
      </w:pPr>
      <w:r>
        <w:rPr>
          <w:sz w:val="24"/>
          <w:szCs w:val="24"/>
        </w:rPr>
        <w:tab/>
      </w:r>
      <w:r w:rsidRPr="001B205E">
        <w:rPr>
          <w:sz w:val="24"/>
          <w:szCs w:val="24"/>
        </w:rPr>
        <w:t>2024 RHFS operations span three fiscal years (2023, 2024, and 2025). Across all three fiscal years, the Census Bureau and HUD estimate the cost to the government for the 2024 RHFS program to be about $7.03 million, all borne by HUD.  The figure provided represents the total cost of a three-year cycle consisting of data collection preparation, data collection, data review, and creation and release of data products.</w:t>
      </w:r>
    </w:p>
    <w:p w:rsidR="001B205E" w:rsidP="001B205E" w14:paraId="62CFF5AD" w14:textId="77777777">
      <w:pPr>
        <w:tabs>
          <w:tab w:val="left" w:pos="360"/>
        </w:tabs>
        <w:ind w:left="360" w:hanging="360"/>
        <w:rPr>
          <w:sz w:val="24"/>
          <w:szCs w:val="24"/>
        </w:rPr>
      </w:pPr>
    </w:p>
    <w:p w:rsidR="001B205E" w:rsidRPr="001B205E" w:rsidP="001B205E" w14:paraId="68A728EB" w14:textId="77777777">
      <w:pPr>
        <w:tabs>
          <w:tab w:val="left" w:pos="360"/>
        </w:tabs>
        <w:ind w:left="360" w:hanging="360"/>
        <w:rPr>
          <w:sz w:val="24"/>
          <w:szCs w:val="24"/>
        </w:rPr>
      </w:pPr>
    </w:p>
    <w:tbl>
      <w:tblPr>
        <w:tblW w:w="9872" w:type="dxa"/>
        <w:tblInd w:w="648" w:type="dxa"/>
        <w:tblLook w:val="04A0"/>
      </w:tblPr>
      <w:tblGrid>
        <w:gridCol w:w="4230"/>
        <w:gridCol w:w="1440"/>
        <w:gridCol w:w="1440"/>
        <w:gridCol w:w="1366"/>
        <w:gridCol w:w="1396"/>
      </w:tblGrid>
      <w:tr w14:paraId="2A871D80" w14:textId="77777777" w:rsidTr="00C9740B">
        <w:tblPrEx>
          <w:tblW w:w="9872" w:type="dxa"/>
          <w:tblInd w:w="648" w:type="dxa"/>
          <w:tblLook w:val="04A0"/>
        </w:tblPrEx>
        <w:trPr>
          <w:trHeight w:val="255"/>
        </w:trPr>
        <w:tc>
          <w:tcPr>
            <w:tcW w:w="423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1B205E" w:rsidRPr="00C9740B" w:rsidP="00C9740B" w14:paraId="6FD9B442" w14:textId="77777777">
            <w:pPr>
              <w:pStyle w:val="NoSpacing"/>
              <w:rPr>
                <w:b/>
                <w:bCs/>
              </w:rPr>
            </w:pPr>
            <w:r w:rsidRPr="00C9740B">
              <w:rPr>
                <w:b/>
                <w:bCs/>
              </w:rPr>
              <w:t xml:space="preserve">Estimated Labor Cost by Functional Area </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rsidR="001B205E" w:rsidRPr="001B205E" w:rsidP="001B205E" w14:paraId="0DE52F9B" w14:textId="77777777">
            <w:pPr>
              <w:tabs>
                <w:tab w:val="left" w:pos="360"/>
              </w:tabs>
              <w:ind w:left="360" w:hanging="360"/>
              <w:rPr>
                <w:b/>
                <w:bCs/>
              </w:rPr>
            </w:pPr>
            <w:r w:rsidRPr="001B205E">
              <w:rPr>
                <w:b/>
                <w:bCs/>
              </w:rPr>
              <w:t>FY 2023</w:t>
            </w:r>
          </w:p>
        </w:tc>
        <w:tc>
          <w:tcPr>
            <w:tcW w:w="1440" w:type="dxa"/>
            <w:tcBorders>
              <w:top w:val="single" w:sz="4" w:space="0" w:color="auto"/>
              <w:left w:val="nil"/>
              <w:bottom w:val="single" w:sz="4" w:space="0" w:color="auto"/>
              <w:right w:val="single" w:sz="4" w:space="0" w:color="auto"/>
            </w:tcBorders>
            <w:shd w:val="clear" w:color="000000" w:fill="9BC2E6"/>
            <w:noWrap/>
            <w:vAlign w:val="center"/>
            <w:hideMark/>
          </w:tcPr>
          <w:p w:rsidR="001B205E" w:rsidRPr="001B205E" w:rsidP="001B205E" w14:paraId="2C6008E1" w14:textId="77777777">
            <w:pPr>
              <w:tabs>
                <w:tab w:val="left" w:pos="360"/>
              </w:tabs>
              <w:ind w:left="360" w:hanging="360"/>
              <w:rPr>
                <w:b/>
                <w:bCs/>
              </w:rPr>
            </w:pPr>
            <w:r w:rsidRPr="001B205E">
              <w:rPr>
                <w:b/>
                <w:bCs/>
              </w:rPr>
              <w:t>FY 2024</w:t>
            </w:r>
          </w:p>
        </w:tc>
        <w:tc>
          <w:tcPr>
            <w:tcW w:w="1366" w:type="dxa"/>
            <w:tcBorders>
              <w:top w:val="single" w:sz="4" w:space="0" w:color="auto"/>
              <w:left w:val="nil"/>
              <w:bottom w:val="single" w:sz="4" w:space="0" w:color="auto"/>
              <w:right w:val="single" w:sz="4" w:space="0" w:color="auto"/>
            </w:tcBorders>
            <w:shd w:val="clear" w:color="000000" w:fill="9BC2E6"/>
            <w:noWrap/>
            <w:vAlign w:val="center"/>
            <w:hideMark/>
          </w:tcPr>
          <w:p w:rsidR="001B205E" w:rsidRPr="001B205E" w:rsidP="001B205E" w14:paraId="7B4162B9" w14:textId="77777777">
            <w:pPr>
              <w:tabs>
                <w:tab w:val="left" w:pos="360"/>
              </w:tabs>
              <w:ind w:left="360" w:hanging="360"/>
              <w:rPr>
                <w:b/>
                <w:bCs/>
              </w:rPr>
            </w:pPr>
            <w:r w:rsidRPr="001B205E">
              <w:rPr>
                <w:b/>
                <w:bCs/>
              </w:rPr>
              <w:t>FY 2025</w:t>
            </w:r>
          </w:p>
        </w:tc>
        <w:tc>
          <w:tcPr>
            <w:tcW w:w="1396" w:type="dxa"/>
            <w:tcBorders>
              <w:top w:val="single" w:sz="4" w:space="0" w:color="auto"/>
              <w:left w:val="nil"/>
              <w:bottom w:val="single" w:sz="4" w:space="0" w:color="auto"/>
              <w:right w:val="single" w:sz="4" w:space="0" w:color="auto"/>
            </w:tcBorders>
            <w:shd w:val="clear" w:color="000000" w:fill="9BC2E6"/>
            <w:noWrap/>
            <w:vAlign w:val="center"/>
            <w:hideMark/>
          </w:tcPr>
          <w:p w:rsidR="001B205E" w:rsidRPr="001B205E" w:rsidP="001B205E" w14:paraId="16753BE2" w14:textId="77777777">
            <w:pPr>
              <w:tabs>
                <w:tab w:val="left" w:pos="360"/>
              </w:tabs>
              <w:ind w:left="360" w:hanging="360"/>
              <w:rPr>
                <w:b/>
                <w:bCs/>
              </w:rPr>
            </w:pPr>
            <w:r w:rsidRPr="001B205E">
              <w:rPr>
                <w:b/>
                <w:bCs/>
              </w:rPr>
              <w:t>Total</w:t>
            </w:r>
          </w:p>
        </w:tc>
      </w:tr>
      <w:tr w14:paraId="3234E61A"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1C838D85" w14:textId="77777777">
            <w:pPr>
              <w:pStyle w:val="NoSpacing"/>
            </w:pPr>
            <w:r w:rsidRPr="00C9740B">
              <w:t>Survey management, requirements, analysis</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DD8EEDF" w14:textId="77777777">
            <w:pPr>
              <w:tabs>
                <w:tab w:val="left" w:pos="360"/>
              </w:tabs>
              <w:ind w:left="360" w:hanging="360"/>
            </w:pPr>
            <w:r w:rsidRPr="001B205E">
              <w:t xml:space="preserve">$461,500.00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650CCC3" w14:textId="77777777">
            <w:pPr>
              <w:tabs>
                <w:tab w:val="left" w:pos="360"/>
              </w:tabs>
              <w:ind w:left="360" w:hanging="360"/>
            </w:pPr>
            <w:r w:rsidRPr="001B205E">
              <w:t xml:space="preserve">$567,500.00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64CC101B" w14:textId="77777777">
            <w:pPr>
              <w:tabs>
                <w:tab w:val="left" w:pos="360"/>
              </w:tabs>
              <w:ind w:left="360" w:hanging="360"/>
            </w:pPr>
            <w:r w:rsidRPr="001B205E">
              <w:t xml:space="preserve">$502,500.00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392CFA7" w14:textId="77777777">
            <w:pPr>
              <w:tabs>
                <w:tab w:val="left" w:pos="360"/>
              </w:tabs>
              <w:ind w:left="360" w:hanging="360"/>
            </w:pPr>
            <w:r w:rsidRPr="001B205E">
              <w:t xml:space="preserve">$1,531,500.00 </w:t>
            </w:r>
          </w:p>
        </w:tc>
      </w:tr>
      <w:tr w14:paraId="6ED3861E"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326C4245" w14:textId="77777777">
            <w:pPr>
              <w:pStyle w:val="NoSpacing"/>
            </w:pPr>
            <w:r w:rsidRPr="00C9740B">
              <w:t>Project management and coordination</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E372E33" w14:textId="77777777">
            <w:pPr>
              <w:tabs>
                <w:tab w:val="left" w:pos="360"/>
              </w:tabs>
              <w:ind w:left="360" w:hanging="360"/>
            </w:pPr>
            <w:r w:rsidRPr="001B205E">
              <w:t xml:space="preserve">$54,000.00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25F45244" w14:textId="77777777">
            <w:pPr>
              <w:tabs>
                <w:tab w:val="left" w:pos="360"/>
              </w:tabs>
              <w:ind w:left="360" w:hanging="360"/>
            </w:pPr>
            <w:r w:rsidRPr="001B205E">
              <w:t xml:space="preserve">$60,000.00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2904B85F" w14:textId="77777777">
            <w:pPr>
              <w:tabs>
                <w:tab w:val="left" w:pos="360"/>
              </w:tabs>
              <w:ind w:left="360" w:hanging="360"/>
            </w:pPr>
            <w:r w:rsidRPr="001B205E">
              <w:t xml:space="preserve">$48,000.00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521DACC" w14:textId="77777777">
            <w:pPr>
              <w:tabs>
                <w:tab w:val="left" w:pos="360"/>
              </w:tabs>
              <w:ind w:left="360" w:hanging="360"/>
            </w:pPr>
            <w:r w:rsidRPr="001B205E">
              <w:t xml:space="preserve">$162,000.00 </w:t>
            </w:r>
          </w:p>
        </w:tc>
      </w:tr>
      <w:tr w14:paraId="3E4B33DC"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43CD2E13" w14:textId="77777777">
            <w:pPr>
              <w:pStyle w:val="NoSpacing"/>
            </w:pPr>
            <w:r w:rsidRPr="00C9740B">
              <w:t>Methodology</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16D6E70" w14:textId="77777777">
            <w:pPr>
              <w:tabs>
                <w:tab w:val="left" w:pos="360"/>
              </w:tabs>
              <w:ind w:left="360" w:hanging="360"/>
            </w:pPr>
            <w:r w:rsidRPr="001B205E">
              <w:t xml:space="preserve">$460,000.00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E3288DE" w14:textId="77777777">
            <w:pPr>
              <w:tabs>
                <w:tab w:val="left" w:pos="360"/>
              </w:tabs>
              <w:ind w:left="360" w:hanging="360"/>
            </w:pPr>
            <w:r w:rsidRPr="001B205E">
              <w:t xml:space="preserve">$385,000.00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3B97FBF" w14:textId="77777777">
            <w:pPr>
              <w:tabs>
                <w:tab w:val="left" w:pos="360"/>
              </w:tabs>
              <w:ind w:left="360" w:hanging="360"/>
            </w:pPr>
            <w:r w:rsidRPr="001B205E">
              <w:t xml:space="preserve">$462,500.00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E6686B8" w14:textId="77777777">
            <w:pPr>
              <w:tabs>
                <w:tab w:val="left" w:pos="360"/>
              </w:tabs>
              <w:ind w:left="360" w:hanging="360"/>
            </w:pPr>
            <w:r w:rsidRPr="001B205E">
              <w:t xml:space="preserve">$1,307,500.00 </w:t>
            </w:r>
          </w:p>
        </w:tc>
      </w:tr>
      <w:tr w14:paraId="6B644A36"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661151DE" w14:textId="77777777">
            <w:pPr>
              <w:pStyle w:val="NoSpacing"/>
            </w:pPr>
            <w:r w:rsidRPr="00C9740B">
              <w:t xml:space="preserve">Centurion instrument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17E8E69" w14:textId="77777777">
            <w:pPr>
              <w:tabs>
                <w:tab w:val="left" w:pos="360"/>
              </w:tabs>
              <w:ind w:left="360" w:hanging="360"/>
            </w:pPr>
            <w:r w:rsidRPr="001B205E">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2F2A270A" w14:textId="77777777">
            <w:pPr>
              <w:tabs>
                <w:tab w:val="left" w:pos="360"/>
              </w:tabs>
              <w:ind w:left="360" w:hanging="360"/>
            </w:pPr>
            <w:r w:rsidRPr="001B205E">
              <w:t xml:space="preserve">$121,400.00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F287CC0" w14:textId="77777777">
            <w:pPr>
              <w:tabs>
                <w:tab w:val="left" w:pos="360"/>
              </w:tabs>
              <w:ind w:left="360" w:hanging="360"/>
            </w:pPr>
            <w:r w:rsidRPr="001B205E">
              <w:t xml:space="preserve">$37,500.00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F46D4F3" w14:textId="77777777">
            <w:pPr>
              <w:tabs>
                <w:tab w:val="left" w:pos="360"/>
              </w:tabs>
              <w:ind w:left="360" w:hanging="360"/>
            </w:pPr>
            <w:r w:rsidRPr="001B205E">
              <w:t xml:space="preserve">$158,900.00 </w:t>
            </w:r>
          </w:p>
        </w:tc>
      </w:tr>
      <w:tr w14:paraId="258FF443"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017FF4F4" w14:textId="77777777">
            <w:pPr>
              <w:pStyle w:val="NoSpacing"/>
            </w:pPr>
            <w:r w:rsidRPr="00C9740B">
              <w:t>Field case management system</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24E4E785" w14:textId="77777777">
            <w:pPr>
              <w:tabs>
                <w:tab w:val="left" w:pos="360"/>
              </w:tabs>
              <w:ind w:left="360" w:hanging="360"/>
            </w:pPr>
            <w:r w:rsidRPr="001B205E">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C92999A" w14:textId="77777777">
            <w:pPr>
              <w:tabs>
                <w:tab w:val="left" w:pos="360"/>
              </w:tabs>
              <w:ind w:left="360" w:hanging="360"/>
            </w:pPr>
            <w:r w:rsidRPr="001B205E">
              <w:t xml:space="preserve">$224,700.00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1F1BAECF" w14:textId="77777777">
            <w:pPr>
              <w:tabs>
                <w:tab w:val="left" w:pos="360"/>
              </w:tabs>
              <w:ind w:left="360" w:hanging="360"/>
            </w:pPr>
            <w:r w:rsidRPr="001B205E">
              <w:t xml:space="preserve">$45,600.00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40DEED4" w14:textId="77777777">
            <w:pPr>
              <w:tabs>
                <w:tab w:val="left" w:pos="360"/>
              </w:tabs>
              <w:ind w:left="360" w:hanging="360"/>
            </w:pPr>
            <w:r w:rsidRPr="001B205E">
              <w:t xml:space="preserve">$270,300.00 </w:t>
            </w:r>
          </w:p>
        </w:tc>
      </w:tr>
      <w:tr w14:paraId="1D5B7E72"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1E9A7F7D" w14:textId="77777777">
            <w:pPr>
              <w:pStyle w:val="NoSpacing"/>
            </w:pPr>
            <w:r w:rsidRPr="00C9740B">
              <w:t>Printing, mailout, respondent inquiries</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2819AD63" w14:textId="77777777">
            <w:pPr>
              <w:tabs>
                <w:tab w:val="left" w:pos="360"/>
              </w:tabs>
              <w:ind w:left="360" w:hanging="360"/>
            </w:pPr>
            <w:r w:rsidRPr="001B205E">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C1D73AC" w14:textId="77777777">
            <w:pPr>
              <w:tabs>
                <w:tab w:val="left" w:pos="360"/>
              </w:tabs>
              <w:ind w:left="360" w:hanging="360"/>
            </w:pPr>
            <w:r w:rsidRPr="001B205E">
              <w:t xml:space="preserve">$50,000.00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10EB7CFB" w14:textId="77777777">
            <w:pPr>
              <w:tabs>
                <w:tab w:val="left" w:pos="360"/>
              </w:tabs>
              <w:ind w:left="360" w:hanging="360"/>
            </w:pPr>
            <w:r w:rsidRPr="001B205E">
              <w:t xml:space="preserve">$6,000.00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5266773" w14:textId="77777777">
            <w:pPr>
              <w:tabs>
                <w:tab w:val="left" w:pos="360"/>
              </w:tabs>
              <w:ind w:left="360" w:hanging="360"/>
            </w:pPr>
            <w:r w:rsidRPr="001B205E">
              <w:t xml:space="preserve">$56,000.00 </w:t>
            </w:r>
          </w:p>
        </w:tc>
      </w:tr>
      <w:tr w14:paraId="19487CF6"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5A0EA2D2" w14:textId="77777777">
            <w:pPr>
              <w:pStyle w:val="NoSpacing"/>
            </w:pPr>
            <w:r w:rsidRPr="00C9740B">
              <w:t>Centurion output data processing</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E893019" w14:textId="77777777">
            <w:pPr>
              <w:tabs>
                <w:tab w:val="left" w:pos="360"/>
              </w:tabs>
              <w:ind w:left="360" w:hanging="360"/>
            </w:pPr>
            <w:r w:rsidRPr="001B205E">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00718CE" w14:textId="77777777">
            <w:pPr>
              <w:tabs>
                <w:tab w:val="left" w:pos="360"/>
              </w:tabs>
              <w:ind w:left="360" w:hanging="360"/>
            </w:pPr>
            <w:r w:rsidRPr="001B205E">
              <w:t xml:space="preserve">$50,000.00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5B4F7C10" w14:textId="77777777">
            <w:pPr>
              <w:tabs>
                <w:tab w:val="left" w:pos="360"/>
              </w:tabs>
              <w:ind w:left="360" w:hanging="360"/>
            </w:pPr>
            <w:r w:rsidRPr="001B205E">
              <w:t xml:space="preserve">$5,000.00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13575AF1" w14:textId="77777777">
            <w:pPr>
              <w:tabs>
                <w:tab w:val="left" w:pos="360"/>
              </w:tabs>
              <w:ind w:left="360" w:hanging="360"/>
            </w:pPr>
            <w:r w:rsidRPr="001B205E">
              <w:t xml:space="preserve">$55,000.00 </w:t>
            </w:r>
          </w:p>
        </w:tc>
      </w:tr>
      <w:tr w14:paraId="436FB76B"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0CEE9FB2" w14:textId="77777777">
            <w:pPr>
              <w:pStyle w:val="NoSpacing"/>
            </w:pPr>
            <w:r w:rsidRPr="00C9740B">
              <w:t>Other data processing</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971173A" w14:textId="77777777">
            <w:pPr>
              <w:tabs>
                <w:tab w:val="left" w:pos="360"/>
              </w:tabs>
              <w:ind w:left="360" w:hanging="360"/>
            </w:pPr>
            <w:r w:rsidRPr="001B205E">
              <w:t xml:space="preserve">$12,500.00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294E250" w14:textId="77777777">
            <w:pPr>
              <w:tabs>
                <w:tab w:val="left" w:pos="360"/>
              </w:tabs>
              <w:ind w:left="360" w:hanging="360"/>
            </w:pPr>
            <w:r w:rsidRPr="001B205E">
              <w:t xml:space="preserve">$28,000.00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64BAF386" w14:textId="77777777">
            <w:pPr>
              <w:tabs>
                <w:tab w:val="left" w:pos="360"/>
              </w:tabs>
              <w:ind w:left="360" w:hanging="360"/>
            </w:pPr>
            <w:r w:rsidRPr="001B205E">
              <w:t xml:space="preserve">$16,000.00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31D3B10" w14:textId="77777777">
            <w:pPr>
              <w:tabs>
                <w:tab w:val="left" w:pos="360"/>
              </w:tabs>
              <w:ind w:left="360" w:hanging="360"/>
            </w:pPr>
            <w:r w:rsidRPr="001B205E">
              <w:t xml:space="preserve">$56,500.00 </w:t>
            </w:r>
          </w:p>
        </w:tc>
      </w:tr>
      <w:tr w14:paraId="10E198B4"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2FDC5F36" w14:textId="77777777">
            <w:pPr>
              <w:pStyle w:val="NoSpacing"/>
            </w:pPr>
            <w:r w:rsidRPr="00C9740B">
              <w:t>Table Creator maintenance</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43D5E34" w14:textId="77777777">
            <w:pPr>
              <w:tabs>
                <w:tab w:val="left" w:pos="360"/>
              </w:tabs>
              <w:ind w:left="360" w:hanging="360"/>
            </w:pPr>
            <w:r w:rsidRPr="001B205E">
              <w:t xml:space="preserve">$10,000.00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153C496" w14:textId="77777777">
            <w:pPr>
              <w:tabs>
                <w:tab w:val="left" w:pos="360"/>
              </w:tabs>
              <w:ind w:left="360" w:hanging="360"/>
            </w:pPr>
            <w:r w:rsidRPr="001B205E">
              <w:t xml:space="preserve">$16,500.00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5A98435" w14:textId="77777777">
            <w:pPr>
              <w:tabs>
                <w:tab w:val="left" w:pos="360"/>
              </w:tabs>
              <w:ind w:left="360" w:hanging="360"/>
            </w:pPr>
            <w:r w:rsidRPr="001B205E">
              <w:t xml:space="preserve">$16,900.00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341DDAB" w14:textId="77777777">
            <w:pPr>
              <w:tabs>
                <w:tab w:val="left" w:pos="360"/>
              </w:tabs>
              <w:ind w:left="360" w:hanging="360"/>
            </w:pPr>
            <w:r w:rsidRPr="001B205E">
              <w:t xml:space="preserve">$43,400.00 </w:t>
            </w:r>
          </w:p>
        </w:tc>
      </w:tr>
      <w:tr w14:paraId="5B3FF870"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39ABF1FB" w14:textId="77777777">
            <w:pPr>
              <w:pStyle w:val="NoSpacing"/>
            </w:pPr>
            <w:r w:rsidRPr="00C9740B">
              <w:t>Total Labor Cost (excluding field operations)</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146F0AB2" w14:textId="77777777">
            <w:pPr>
              <w:tabs>
                <w:tab w:val="left" w:pos="360"/>
              </w:tabs>
              <w:ind w:left="360" w:hanging="360"/>
              <w:rPr>
                <w:b/>
                <w:bCs/>
              </w:rPr>
            </w:pPr>
            <w:r w:rsidRPr="001B205E">
              <w:rPr>
                <w:b/>
                <w:bCs/>
              </w:rPr>
              <w:t xml:space="preserve">$998,000.00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2FA0058" w14:textId="77777777">
            <w:pPr>
              <w:tabs>
                <w:tab w:val="left" w:pos="360"/>
              </w:tabs>
              <w:ind w:left="360" w:hanging="360"/>
              <w:rPr>
                <w:b/>
                <w:bCs/>
              </w:rPr>
            </w:pPr>
            <w:r w:rsidRPr="001B205E">
              <w:rPr>
                <w:b/>
                <w:bCs/>
              </w:rPr>
              <w:t xml:space="preserve">$1,503,100.00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BEBF3DA" w14:textId="77777777">
            <w:pPr>
              <w:tabs>
                <w:tab w:val="left" w:pos="360"/>
              </w:tabs>
              <w:ind w:left="360" w:hanging="360"/>
              <w:rPr>
                <w:b/>
                <w:bCs/>
              </w:rPr>
            </w:pPr>
            <w:r w:rsidRPr="001B205E">
              <w:rPr>
                <w:b/>
                <w:bCs/>
              </w:rPr>
              <w:t xml:space="preserve">$1,140,000.00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5F6E1C4" w14:textId="77777777">
            <w:pPr>
              <w:tabs>
                <w:tab w:val="left" w:pos="360"/>
              </w:tabs>
              <w:ind w:left="360" w:hanging="360"/>
              <w:rPr>
                <w:b/>
                <w:bCs/>
              </w:rPr>
            </w:pPr>
            <w:r w:rsidRPr="001B205E">
              <w:rPr>
                <w:b/>
                <w:bCs/>
              </w:rPr>
              <w:t xml:space="preserve">$3,641,100.00 </w:t>
            </w:r>
          </w:p>
        </w:tc>
      </w:tr>
      <w:tr w14:paraId="074A046B"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402AD188" w14:textId="77777777">
            <w:pPr>
              <w:pStyle w:val="NoSpacing"/>
            </w:pPr>
            <w:r w:rsidRPr="00C9740B">
              <w:t>Field Staff Training (includes labor, travel, etc.)</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5B51703" w14:textId="77777777">
            <w:pPr>
              <w:tabs>
                <w:tab w:val="left" w:pos="360"/>
              </w:tabs>
              <w:ind w:left="360" w:hanging="360"/>
            </w:pPr>
            <w:r w:rsidRPr="001B205E">
              <w:t xml:space="preserve">$1,000.00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F40A84E" w14:textId="77777777">
            <w:pPr>
              <w:tabs>
                <w:tab w:val="left" w:pos="360"/>
              </w:tabs>
              <w:ind w:left="360" w:hanging="360"/>
            </w:pPr>
            <w:r w:rsidRPr="001B205E">
              <w:t xml:space="preserve">$300,000.00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7E85867C" w14:textId="77777777">
            <w:pPr>
              <w:tabs>
                <w:tab w:val="left" w:pos="360"/>
              </w:tabs>
              <w:ind w:left="360" w:hanging="360"/>
            </w:pPr>
            <w:r w:rsidRPr="001B205E">
              <w:t xml:space="preserve">$0.00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63852E31" w14:textId="77777777">
            <w:pPr>
              <w:tabs>
                <w:tab w:val="left" w:pos="360"/>
              </w:tabs>
              <w:ind w:left="360" w:hanging="360"/>
            </w:pPr>
            <w:r w:rsidRPr="001B205E">
              <w:t xml:space="preserve">$301,000.00 </w:t>
            </w:r>
          </w:p>
        </w:tc>
      </w:tr>
      <w:tr w14:paraId="15942293"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3D981E97" w14:textId="77777777">
            <w:pPr>
              <w:pStyle w:val="NoSpacing"/>
            </w:pPr>
            <w:r w:rsidRPr="00C9740B">
              <w:t>Field Data Collection (includes labor, travel, etc.)</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FDA56A8" w14:textId="77777777">
            <w:pPr>
              <w:tabs>
                <w:tab w:val="left" w:pos="360"/>
              </w:tabs>
              <w:ind w:left="360" w:hanging="360"/>
            </w:pPr>
            <w:r w:rsidRPr="001B205E">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63B2FAA" w14:textId="77777777">
            <w:pPr>
              <w:tabs>
                <w:tab w:val="left" w:pos="360"/>
              </w:tabs>
              <w:ind w:left="360" w:hanging="360"/>
            </w:pPr>
            <w:r w:rsidRPr="001B205E">
              <w:t xml:space="preserve">$1,316,000.00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67A07548" w14:textId="77777777">
            <w:pPr>
              <w:tabs>
                <w:tab w:val="left" w:pos="360"/>
              </w:tabs>
              <w:ind w:left="360" w:hanging="360"/>
            </w:pPr>
            <w:r w:rsidRPr="001B205E">
              <w:t xml:space="preserve">$1,750,000.00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11C033E9" w14:textId="77777777">
            <w:pPr>
              <w:tabs>
                <w:tab w:val="left" w:pos="360"/>
              </w:tabs>
              <w:ind w:left="360" w:hanging="360"/>
            </w:pPr>
            <w:r w:rsidRPr="001B205E">
              <w:t xml:space="preserve">$3,066,000.00 </w:t>
            </w:r>
          </w:p>
        </w:tc>
      </w:tr>
      <w:tr w14:paraId="4D19A339"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000000" w:fill="DDEBF7"/>
            <w:noWrap/>
            <w:vAlign w:val="center"/>
            <w:hideMark/>
          </w:tcPr>
          <w:p w:rsidR="001B205E" w:rsidRPr="00C9740B" w:rsidP="00C9740B" w14:paraId="6EFF2C54" w14:textId="77777777">
            <w:pPr>
              <w:pStyle w:val="NoSpacing"/>
              <w:rPr>
                <w:b/>
                <w:bCs/>
              </w:rPr>
            </w:pPr>
            <w:r w:rsidRPr="00C9740B">
              <w:rPr>
                <w:b/>
                <w:bCs/>
              </w:rPr>
              <w:t>Other Direct Costs</w:t>
            </w:r>
          </w:p>
        </w:tc>
        <w:tc>
          <w:tcPr>
            <w:tcW w:w="1440" w:type="dxa"/>
            <w:tcBorders>
              <w:top w:val="nil"/>
              <w:left w:val="nil"/>
              <w:bottom w:val="single" w:sz="4" w:space="0" w:color="auto"/>
              <w:right w:val="single" w:sz="4" w:space="0" w:color="auto"/>
            </w:tcBorders>
            <w:shd w:val="clear" w:color="000000" w:fill="DDEBF7"/>
            <w:noWrap/>
            <w:vAlign w:val="center"/>
            <w:hideMark/>
          </w:tcPr>
          <w:p w:rsidR="001B205E" w:rsidRPr="001B205E" w:rsidP="001B205E" w14:paraId="4E5484EE" w14:textId="77777777">
            <w:pPr>
              <w:tabs>
                <w:tab w:val="left" w:pos="360"/>
              </w:tabs>
              <w:ind w:left="360" w:hanging="360"/>
            </w:pPr>
            <w:r w:rsidRPr="001B205E">
              <w:t> </w:t>
            </w:r>
          </w:p>
        </w:tc>
        <w:tc>
          <w:tcPr>
            <w:tcW w:w="1440" w:type="dxa"/>
            <w:tcBorders>
              <w:top w:val="nil"/>
              <w:left w:val="nil"/>
              <w:bottom w:val="single" w:sz="4" w:space="0" w:color="auto"/>
              <w:right w:val="single" w:sz="4" w:space="0" w:color="auto"/>
            </w:tcBorders>
            <w:shd w:val="clear" w:color="000000" w:fill="DDEBF7"/>
            <w:noWrap/>
            <w:vAlign w:val="center"/>
            <w:hideMark/>
          </w:tcPr>
          <w:p w:rsidR="001B205E" w:rsidRPr="001B205E" w:rsidP="001B205E" w14:paraId="1B7C8664" w14:textId="77777777">
            <w:pPr>
              <w:tabs>
                <w:tab w:val="left" w:pos="360"/>
              </w:tabs>
              <w:ind w:left="360" w:hanging="360"/>
            </w:pPr>
            <w:r w:rsidRPr="001B205E">
              <w:t> </w:t>
            </w:r>
          </w:p>
        </w:tc>
        <w:tc>
          <w:tcPr>
            <w:tcW w:w="1366" w:type="dxa"/>
            <w:tcBorders>
              <w:top w:val="nil"/>
              <w:left w:val="nil"/>
              <w:bottom w:val="single" w:sz="4" w:space="0" w:color="auto"/>
              <w:right w:val="single" w:sz="4" w:space="0" w:color="auto"/>
            </w:tcBorders>
            <w:shd w:val="clear" w:color="000000" w:fill="DDEBF7"/>
            <w:noWrap/>
            <w:vAlign w:val="center"/>
            <w:hideMark/>
          </w:tcPr>
          <w:p w:rsidR="001B205E" w:rsidRPr="001B205E" w:rsidP="001B205E" w14:paraId="133C5B56" w14:textId="77777777">
            <w:pPr>
              <w:tabs>
                <w:tab w:val="left" w:pos="360"/>
              </w:tabs>
              <w:ind w:left="360" w:hanging="360"/>
            </w:pPr>
            <w:r w:rsidRPr="001B205E">
              <w:t> </w:t>
            </w:r>
          </w:p>
        </w:tc>
        <w:tc>
          <w:tcPr>
            <w:tcW w:w="1396" w:type="dxa"/>
            <w:tcBorders>
              <w:top w:val="nil"/>
              <w:left w:val="nil"/>
              <w:bottom w:val="single" w:sz="4" w:space="0" w:color="auto"/>
              <w:right w:val="single" w:sz="4" w:space="0" w:color="auto"/>
            </w:tcBorders>
            <w:shd w:val="clear" w:color="000000" w:fill="DDEBF7"/>
            <w:noWrap/>
            <w:vAlign w:val="center"/>
            <w:hideMark/>
          </w:tcPr>
          <w:p w:rsidR="001B205E" w:rsidRPr="001B205E" w:rsidP="001B205E" w14:paraId="0D889DC7" w14:textId="77777777">
            <w:pPr>
              <w:tabs>
                <w:tab w:val="left" w:pos="360"/>
              </w:tabs>
              <w:ind w:left="360" w:hanging="360"/>
            </w:pPr>
            <w:r w:rsidRPr="001B205E">
              <w:t> </w:t>
            </w:r>
          </w:p>
        </w:tc>
      </w:tr>
      <w:tr w14:paraId="6764940E"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6B97A9EE" w14:textId="77777777">
            <w:pPr>
              <w:pStyle w:val="NoSpacing"/>
            </w:pPr>
            <w:r w:rsidRPr="00C9740B">
              <w:t>Postage</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45F02B4" w14:textId="77777777">
            <w:pPr>
              <w:tabs>
                <w:tab w:val="left" w:pos="360"/>
              </w:tabs>
              <w:ind w:left="360" w:hanging="360"/>
            </w:pPr>
            <w:r w:rsidRPr="001B205E">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BF774F4" w14:textId="77777777">
            <w:pPr>
              <w:tabs>
                <w:tab w:val="left" w:pos="360"/>
              </w:tabs>
              <w:ind w:left="360" w:hanging="360"/>
            </w:pPr>
            <w:r w:rsidRPr="001B205E">
              <w:t xml:space="preserve">$8,900.00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1F4E8C02" w14:textId="77777777">
            <w:pPr>
              <w:tabs>
                <w:tab w:val="left" w:pos="360"/>
              </w:tabs>
              <w:ind w:left="360" w:hanging="360"/>
            </w:pPr>
            <w:r w:rsidRPr="001B205E">
              <w:t xml:space="preserve">$0.00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235DFAA0" w14:textId="77777777">
            <w:pPr>
              <w:tabs>
                <w:tab w:val="left" w:pos="360"/>
              </w:tabs>
              <w:ind w:left="360" w:hanging="360"/>
            </w:pPr>
            <w:r w:rsidRPr="001B205E">
              <w:t xml:space="preserve">$8,900.00 </w:t>
            </w:r>
          </w:p>
        </w:tc>
      </w:tr>
      <w:tr w14:paraId="30738874"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1890C550" w14:textId="77777777">
            <w:pPr>
              <w:pStyle w:val="NoSpacing"/>
            </w:pPr>
            <w:r w:rsidRPr="00C9740B">
              <w:t xml:space="preserve">Printing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04EE5AF1" w14:textId="77777777">
            <w:pPr>
              <w:tabs>
                <w:tab w:val="left" w:pos="360"/>
              </w:tabs>
              <w:ind w:left="360" w:hanging="360"/>
            </w:pPr>
            <w:r w:rsidRPr="001B205E">
              <w:t xml:space="preserve">$1,000.00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72390F7" w14:textId="77777777">
            <w:pPr>
              <w:tabs>
                <w:tab w:val="left" w:pos="360"/>
              </w:tabs>
              <w:ind w:left="360" w:hanging="360"/>
            </w:pPr>
            <w:r w:rsidRPr="001B205E">
              <w:t xml:space="preserve">$10,000.00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A7D1D29" w14:textId="77777777">
            <w:pPr>
              <w:tabs>
                <w:tab w:val="left" w:pos="360"/>
              </w:tabs>
              <w:ind w:left="360" w:hanging="360"/>
            </w:pPr>
            <w:r w:rsidRPr="001B205E">
              <w:t xml:space="preserve">$0.00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6CD48808" w14:textId="77777777">
            <w:pPr>
              <w:tabs>
                <w:tab w:val="left" w:pos="360"/>
              </w:tabs>
              <w:ind w:left="360" w:hanging="360"/>
            </w:pPr>
            <w:r w:rsidRPr="001B205E">
              <w:t xml:space="preserve">$11,000.00 </w:t>
            </w:r>
          </w:p>
        </w:tc>
      </w:tr>
      <w:tr w14:paraId="144D8D56" w14:textId="77777777" w:rsidTr="00C9740B">
        <w:tblPrEx>
          <w:tblW w:w="9872" w:type="dxa"/>
          <w:tblInd w:w="648" w:type="dxa"/>
          <w:tblLook w:val="04A0"/>
        </w:tblPrEx>
        <w:trPr>
          <w:trHeight w:val="25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1B205E" w:rsidRPr="00C9740B" w:rsidP="00C9740B" w14:paraId="5B469332" w14:textId="77777777">
            <w:pPr>
              <w:pStyle w:val="NoSpacing"/>
            </w:pPr>
            <w:r w:rsidRPr="00C9740B">
              <w:t>Overall Total Cost</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3D89C2D3" w14:textId="77777777">
            <w:pPr>
              <w:tabs>
                <w:tab w:val="left" w:pos="360"/>
              </w:tabs>
              <w:ind w:left="360" w:hanging="360"/>
              <w:rPr>
                <w:b/>
                <w:bCs/>
              </w:rPr>
            </w:pPr>
            <w:r w:rsidRPr="001B205E">
              <w:rPr>
                <w:b/>
                <w:bCs/>
              </w:rPr>
              <w:t xml:space="preserve">$1,000,000.00 </w:t>
            </w:r>
          </w:p>
        </w:tc>
        <w:tc>
          <w:tcPr>
            <w:tcW w:w="1440"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6903F470" w14:textId="77777777">
            <w:pPr>
              <w:tabs>
                <w:tab w:val="left" w:pos="360"/>
              </w:tabs>
              <w:ind w:left="360" w:hanging="360"/>
              <w:rPr>
                <w:b/>
                <w:bCs/>
              </w:rPr>
            </w:pPr>
            <w:r w:rsidRPr="001B205E">
              <w:rPr>
                <w:b/>
                <w:bCs/>
              </w:rPr>
              <w:t xml:space="preserve">$3,138,000.00 </w:t>
            </w:r>
          </w:p>
        </w:tc>
        <w:tc>
          <w:tcPr>
            <w:tcW w:w="136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57C55A15" w14:textId="77777777">
            <w:pPr>
              <w:tabs>
                <w:tab w:val="left" w:pos="360"/>
              </w:tabs>
              <w:ind w:left="360" w:hanging="360"/>
              <w:rPr>
                <w:b/>
                <w:bCs/>
              </w:rPr>
            </w:pPr>
            <w:r w:rsidRPr="001B205E">
              <w:rPr>
                <w:b/>
                <w:bCs/>
              </w:rPr>
              <w:t xml:space="preserve">$2,890,000.00 </w:t>
            </w:r>
          </w:p>
        </w:tc>
        <w:tc>
          <w:tcPr>
            <w:tcW w:w="1396" w:type="dxa"/>
            <w:tcBorders>
              <w:top w:val="nil"/>
              <w:left w:val="nil"/>
              <w:bottom w:val="single" w:sz="4" w:space="0" w:color="auto"/>
              <w:right w:val="single" w:sz="4" w:space="0" w:color="auto"/>
            </w:tcBorders>
            <w:shd w:val="clear" w:color="auto" w:fill="auto"/>
            <w:noWrap/>
            <w:vAlign w:val="center"/>
            <w:hideMark/>
          </w:tcPr>
          <w:p w:rsidR="001B205E" w:rsidRPr="001B205E" w:rsidP="001B205E" w14:paraId="491DB8F6" w14:textId="77777777">
            <w:pPr>
              <w:tabs>
                <w:tab w:val="left" w:pos="360"/>
              </w:tabs>
              <w:ind w:left="360" w:hanging="360"/>
              <w:rPr>
                <w:b/>
                <w:bCs/>
              </w:rPr>
            </w:pPr>
            <w:r w:rsidRPr="001B205E">
              <w:rPr>
                <w:b/>
                <w:bCs/>
              </w:rPr>
              <w:t xml:space="preserve">$7,028,000.00 </w:t>
            </w:r>
          </w:p>
        </w:tc>
      </w:tr>
    </w:tbl>
    <w:p w:rsidR="001B205E" w:rsidRPr="001B205E" w:rsidP="001B205E" w14:paraId="7E33D928" w14:textId="77777777">
      <w:pPr>
        <w:tabs>
          <w:tab w:val="left" w:pos="360"/>
        </w:tabs>
        <w:ind w:left="360" w:hanging="360"/>
        <w:rPr>
          <w:sz w:val="24"/>
          <w:szCs w:val="24"/>
        </w:rPr>
      </w:pPr>
    </w:p>
    <w:p w:rsidR="006C7FAE" w:rsidRPr="006C7FAE" w14:paraId="1ADE6C96" w14:textId="77777777">
      <w:pPr>
        <w:tabs>
          <w:tab w:val="left" w:pos="360"/>
        </w:tabs>
        <w:ind w:left="360" w:hanging="360"/>
        <w:rPr>
          <w:sz w:val="24"/>
          <w:szCs w:val="24"/>
        </w:rPr>
      </w:pPr>
    </w:p>
    <w:p w:rsidR="009E13B1" w:rsidRPr="006C7FAE" w14:paraId="61F86BEA"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1B205E" w:rsidP="001B205E" w14:paraId="5EC82E74" w14:textId="77777777">
      <w:pPr>
        <w:keepLines/>
        <w:tabs>
          <w:tab w:val="left" w:pos="360"/>
          <w:tab w:val="left" w:pos="720"/>
        </w:tabs>
        <w:ind w:left="360"/>
        <w:rPr>
          <w:sz w:val="24"/>
          <w:szCs w:val="24"/>
        </w:rPr>
      </w:pPr>
    </w:p>
    <w:p w:rsidR="001B205E" w:rsidRPr="001B205E" w:rsidP="001B205E" w14:paraId="3603623D" w14:textId="47CEACCE">
      <w:pPr>
        <w:keepLines/>
        <w:tabs>
          <w:tab w:val="left" w:pos="360"/>
          <w:tab w:val="left" w:pos="720"/>
        </w:tabs>
        <w:ind w:left="360"/>
        <w:rPr>
          <w:sz w:val="24"/>
          <w:szCs w:val="24"/>
        </w:rPr>
      </w:pPr>
      <w:r w:rsidRPr="001B205E">
        <w:rPr>
          <w:sz w:val="24"/>
          <w:szCs w:val="24"/>
        </w:rPr>
        <w:t xml:space="preserve">The 2024 RHFS questionnaire includes the addition of several new questions as set forth in Section 1, the Necessity of Information Collection, above, as well as the removal of one question. Based on the response time estimates for each new question, however, the response time burden is not expected to increase to over one hour from these new questions. As such, there is no expected net increase in burden from the  2021 RHFS. </w:t>
      </w:r>
    </w:p>
    <w:p w:rsidR="009E13B1" w14:paraId="1250DD68" w14:textId="77777777">
      <w:pPr>
        <w:keepLines/>
        <w:tabs>
          <w:tab w:val="left" w:pos="360"/>
          <w:tab w:val="left" w:pos="720"/>
        </w:tabs>
        <w:ind w:left="360"/>
        <w:rPr>
          <w:sz w:val="24"/>
          <w:szCs w:val="24"/>
        </w:rPr>
      </w:pPr>
    </w:p>
    <w:p w:rsidR="001B205E" w:rsidRPr="006C7FAE" w14:paraId="684314E3" w14:textId="77777777">
      <w:pPr>
        <w:keepLines/>
        <w:tabs>
          <w:tab w:val="left" w:pos="360"/>
          <w:tab w:val="left" w:pos="720"/>
        </w:tabs>
        <w:ind w:left="360"/>
        <w:rPr>
          <w:sz w:val="24"/>
          <w:szCs w:val="24"/>
        </w:rPr>
      </w:pPr>
    </w:p>
    <w:p w:rsidR="009E13B1" w:rsidRPr="006C7FAE" w14:paraId="434A99C0"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14:paraId="1FF932B8" w14:textId="77777777">
      <w:pPr>
        <w:tabs>
          <w:tab w:val="left" w:pos="360"/>
        </w:tabs>
        <w:ind w:left="360" w:hanging="360"/>
        <w:rPr>
          <w:sz w:val="24"/>
          <w:szCs w:val="24"/>
        </w:rPr>
      </w:pPr>
    </w:p>
    <w:p w:rsidR="001B205E" w:rsidP="001B205E" w14:paraId="442C419F" w14:textId="23E96015">
      <w:pPr>
        <w:tabs>
          <w:tab w:val="left" w:pos="360"/>
        </w:tabs>
        <w:ind w:left="360" w:hanging="360"/>
        <w:rPr>
          <w:sz w:val="24"/>
          <w:szCs w:val="24"/>
        </w:rPr>
      </w:pPr>
      <w:r>
        <w:rPr>
          <w:sz w:val="24"/>
          <w:szCs w:val="24"/>
        </w:rPr>
        <w:tab/>
      </w:r>
      <w:r w:rsidRPr="001B205E">
        <w:rPr>
          <w:sz w:val="24"/>
          <w:szCs w:val="24"/>
        </w:rPr>
        <w:t xml:space="preserve">The RHFS data collection is scheduled to begin in June 2024 and continue through November 2024. Following data collection, Census will conduct quality control, statistical </w:t>
      </w:r>
      <w:r w:rsidRPr="001B205E">
        <w:rPr>
          <w:sz w:val="24"/>
          <w:szCs w:val="24"/>
        </w:rPr>
        <w:t>weighting</w:t>
      </w:r>
      <w:r w:rsidRPr="001B205E">
        <w:rPr>
          <w:sz w:val="24"/>
          <w:szCs w:val="24"/>
        </w:rPr>
        <w:t xml:space="preserve"> and data preparation from December 2024 through May 2025. </w:t>
      </w:r>
    </w:p>
    <w:p w:rsidR="00C9740B" w:rsidRPr="001B205E" w:rsidP="001B205E" w14:paraId="6B808BCF" w14:textId="77777777">
      <w:pPr>
        <w:tabs>
          <w:tab w:val="left" w:pos="360"/>
        </w:tabs>
        <w:ind w:left="360" w:hanging="360"/>
        <w:rPr>
          <w:sz w:val="24"/>
          <w:szCs w:val="24"/>
        </w:rPr>
      </w:pPr>
    </w:p>
    <w:p w:rsidR="001B205E" w:rsidRPr="001B205E" w:rsidP="001B205E" w14:paraId="70DE5444" w14:textId="32C2B287">
      <w:pPr>
        <w:tabs>
          <w:tab w:val="left" w:pos="360"/>
        </w:tabs>
        <w:ind w:left="360" w:hanging="360"/>
        <w:rPr>
          <w:sz w:val="24"/>
          <w:szCs w:val="24"/>
        </w:rPr>
      </w:pPr>
      <w:r>
        <w:rPr>
          <w:sz w:val="24"/>
          <w:szCs w:val="24"/>
        </w:rPr>
        <w:tab/>
      </w:r>
      <w:r w:rsidRPr="001B205E">
        <w:rPr>
          <w:sz w:val="24"/>
          <w:szCs w:val="24"/>
        </w:rPr>
        <w:t>After these processes are complete, the Census Bureau will produce four products. The products and their release data are as follows:</w:t>
      </w:r>
    </w:p>
    <w:p w:rsidR="001B205E" w:rsidRPr="001B205E" w:rsidP="001B205E" w14:paraId="1C5396F0" w14:textId="77777777">
      <w:pPr>
        <w:tabs>
          <w:tab w:val="left" w:pos="360"/>
        </w:tabs>
        <w:ind w:left="360" w:hanging="360"/>
        <w:rPr>
          <w:sz w:val="24"/>
          <w:szCs w:val="24"/>
        </w:rPr>
      </w:pPr>
    </w:p>
    <w:tbl>
      <w:tblPr>
        <w:tblStyle w:val="TableGrid"/>
        <w:tblW w:w="0" w:type="auto"/>
        <w:tblInd w:w="720" w:type="dxa"/>
        <w:tblLook w:val="04A0"/>
      </w:tblPr>
      <w:tblGrid>
        <w:gridCol w:w="6228"/>
        <w:gridCol w:w="2160"/>
      </w:tblGrid>
      <w:tr w14:paraId="0B661CEB" w14:textId="77777777" w:rsidTr="00C9740B">
        <w:tblPrEx>
          <w:tblW w:w="0" w:type="auto"/>
          <w:tblInd w:w="720" w:type="dxa"/>
          <w:tblLook w:val="04A0"/>
        </w:tblPrEx>
        <w:tc>
          <w:tcPr>
            <w:tcW w:w="6228" w:type="dxa"/>
          </w:tcPr>
          <w:p w:rsidR="001B205E" w:rsidRPr="001B205E" w:rsidP="001B205E" w14:paraId="4DD22DC2" w14:textId="77777777">
            <w:pPr>
              <w:tabs>
                <w:tab w:val="left" w:pos="360"/>
              </w:tabs>
              <w:ind w:left="360" w:hanging="360"/>
              <w:rPr>
                <w:b/>
                <w:sz w:val="24"/>
                <w:szCs w:val="24"/>
              </w:rPr>
            </w:pPr>
            <w:r w:rsidRPr="001B205E">
              <w:rPr>
                <w:b/>
                <w:sz w:val="24"/>
                <w:szCs w:val="24"/>
              </w:rPr>
              <w:t>Product</w:t>
            </w:r>
          </w:p>
        </w:tc>
        <w:tc>
          <w:tcPr>
            <w:tcW w:w="2160" w:type="dxa"/>
          </w:tcPr>
          <w:p w:rsidR="001B205E" w:rsidRPr="001B205E" w:rsidP="001B205E" w14:paraId="13324AA3" w14:textId="77777777">
            <w:pPr>
              <w:tabs>
                <w:tab w:val="left" w:pos="360"/>
              </w:tabs>
              <w:ind w:left="360" w:hanging="360"/>
              <w:rPr>
                <w:b/>
                <w:sz w:val="24"/>
                <w:szCs w:val="24"/>
              </w:rPr>
            </w:pPr>
            <w:r w:rsidRPr="001B205E">
              <w:rPr>
                <w:b/>
                <w:sz w:val="24"/>
                <w:szCs w:val="24"/>
              </w:rPr>
              <w:t>Release Date</w:t>
            </w:r>
          </w:p>
        </w:tc>
      </w:tr>
      <w:tr w14:paraId="477E3806" w14:textId="77777777" w:rsidTr="00C9740B">
        <w:tblPrEx>
          <w:tblW w:w="0" w:type="auto"/>
          <w:tblInd w:w="720" w:type="dxa"/>
          <w:tblLook w:val="04A0"/>
        </w:tblPrEx>
        <w:tc>
          <w:tcPr>
            <w:tcW w:w="6228" w:type="dxa"/>
          </w:tcPr>
          <w:p w:rsidR="001B205E" w:rsidRPr="001B205E" w:rsidP="001B205E" w14:paraId="677024B5" w14:textId="77777777">
            <w:pPr>
              <w:tabs>
                <w:tab w:val="left" w:pos="360"/>
              </w:tabs>
              <w:ind w:left="360" w:hanging="360"/>
              <w:rPr>
                <w:sz w:val="24"/>
                <w:szCs w:val="24"/>
              </w:rPr>
            </w:pPr>
            <w:r w:rsidRPr="001B205E">
              <w:rPr>
                <w:sz w:val="24"/>
                <w:szCs w:val="24"/>
              </w:rPr>
              <w:t>RHFS Internal Use File</w:t>
            </w:r>
          </w:p>
        </w:tc>
        <w:tc>
          <w:tcPr>
            <w:tcW w:w="2160" w:type="dxa"/>
          </w:tcPr>
          <w:p w:rsidR="001B205E" w:rsidRPr="001B205E" w:rsidP="001B205E" w14:paraId="543D1C94" w14:textId="77777777">
            <w:pPr>
              <w:tabs>
                <w:tab w:val="left" w:pos="360"/>
              </w:tabs>
              <w:ind w:left="360" w:hanging="360"/>
              <w:rPr>
                <w:sz w:val="24"/>
                <w:szCs w:val="24"/>
              </w:rPr>
            </w:pPr>
            <w:r w:rsidRPr="001B205E">
              <w:rPr>
                <w:sz w:val="24"/>
                <w:szCs w:val="24"/>
              </w:rPr>
              <w:t>December 16, 2025</w:t>
            </w:r>
          </w:p>
        </w:tc>
      </w:tr>
      <w:tr w14:paraId="634CD197" w14:textId="77777777" w:rsidTr="00C9740B">
        <w:tblPrEx>
          <w:tblW w:w="0" w:type="auto"/>
          <w:tblInd w:w="720" w:type="dxa"/>
          <w:tblLook w:val="04A0"/>
        </w:tblPrEx>
        <w:tc>
          <w:tcPr>
            <w:tcW w:w="6228" w:type="dxa"/>
          </w:tcPr>
          <w:p w:rsidR="001B205E" w:rsidRPr="001B205E" w:rsidP="001B205E" w14:paraId="50382B59" w14:textId="77777777">
            <w:pPr>
              <w:tabs>
                <w:tab w:val="left" w:pos="360"/>
              </w:tabs>
              <w:ind w:left="360" w:hanging="360"/>
              <w:rPr>
                <w:sz w:val="24"/>
                <w:szCs w:val="24"/>
              </w:rPr>
            </w:pPr>
            <w:r w:rsidRPr="001B205E">
              <w:rPr>
                <w:sz w:val="24"/>
                <w:szCs w:val="24"/>
              </w:rPr>
              <w:t>RHFS summary table estimates</w:t>
            </w:r>
          </w:p>
        </w:tc>
        <w:tc>
          <w:tcPr>
            <w:tcW w:w="2160" w:type="dxa"/>
          </w:tcPr>
          <w:p w:rsidR="001B205E" w:rsidRPr="001B205E" w:rsidP="001B205E" w14:paraId="15E3E820" w14:textId="77777777">
            <w:pPr>
              <w:tabs>
                <w:tab w:val="left" w:pos="360"/>
              </w:tabs>
              <w:ind w:left="360" w:hanging="360"/>
              <w:rPr>
                <w:sz w:val="24"/>
                <w:szCs w:val="24"/>
              </w:rPr>
            </w:pPr>
            <w:r w:rsidRPr="001B205E">
              <w:rPr>
                <w:sz w:val="24"/>
                <w:szCs w:val="24"/>
              </w:rPr>
              <w:t>December 16, 2025</w:t>
            </w:r>
          </w:p>
        </w:tc>
      </w:tr>
      <w:tr w14:paraId="62634B7E" w14:textId="77777777" w:rsidTr="00C9740B">
        <w:tblPrEx>
          <w:tblW w:w="0" w:type="auto"/>
          <w:tblInd w:w="720" w:type="dxa"/>
          <w:tblLook w:val="04A0"/>
        </w:tblPrEx>
        <w:tc>
          <w:tcPr>
            <w:tcW w:w="6228" w:type="dxa"/>
          </w:tcPr>
          <w:p w:rsidR="001B205E" w:rsidRPr="00C9740B" w:rsidP="00C9740B" w14:paraId="15117004" w14:textId="7BDDFEA7">
            <w:pPr>
              <w:pStyle w:val="NoSpacing"/>
              <w:rPr>
                <w:sz w:val="24"/>
                <w:szCs w:val="24"/>
              </w:rPr>
            </w:pPr>
            <w:r w:rsidRPr="00C9740B">
              <w:rPr>
                <w:sz w:val="24"/>
                <w:szCs w:val="24"/>
              </w:rPr>
              <w:t>RHFS sample design and miscellaneous</w:t>
            </w:r>
            <w:r w:rsidRPr="00C9740B" w:rsidR="00C9740B">
              <w:rPr>
                <w:sz w:val="24"/>
                <w:szCs w:val="24"/>
              </w:rPr>
              <w:t xml:space="preserve"> </w:t>
            </w:r>
            <w:r w:rsidRPr="00C9740B">
              <w:rPr>
                <w:sz w:val="24"/>
                <w:szCs w:val="24"/>
              </w:rPr>
              <w:t>user</w:t>
            </w:r>
            <w:r w:rsidR="00C9740B">
              <w:rPr>
                <w:sz w:val="24"/>
                <w:szCs w:val="24"/>
              </w:rPr>
              <w:t xml:space="preserve"> d</w:t>
            </w:r>
            <w:r w:rsidRPr="00C9740B">
              <w:rPr>
                <w:sz w:val="24"/>
                <w:szCs w:val="24"/>
              </w:rPr>
              <w:t>ocumentation</w:t>
            </w:r>
          </w:p>
        </w:tc>
        <w:tc>
          <w:tcPr>
            <w:tcW w:w="2160" w:type="dxa"/>
          </w:tcPr>
          <w:p w:rsidR="001B205E" w:rsidRPr="001B205E" w:rsidP="001B205E" w14:paraId="5902FAFB" w14:textId="77777777">
            <w:pPr>
              <w:tabs>
                <w:tab w:val="left" w:pos="360"/>
              </w:tabs>
              <w:ind w:left="360" w:hanging="360"/>
              <w:rPr>
                <w:sz w:val="24"/>
                <w:szCs w:val="24"/>
              </w:rPr>
            </w:pPr>
            <w:r w:rsidRPr="001B205E">
              <w:rPr>
                <w:sz w:val="24"/>
                <w:szCs w:val="24"/>
              </w:rPr>
              <w:t>December 16, 2025</w:t>
            </w:r>
          </w:p>
        </w:tc>
      </w:tr>
      <w:tr w14:paraId="37F2AF69" w14:textId="77777777" w:rsidTr="00C9740B">
        <w:tblPrEx>
          <w:tblW w:w="0" w:type="auto"/>
          <w:tblInd w:w="720" w:type="dxa"/>
          <w:tblLook w:val="04A0"/>
        </w:tblPrEx>
        <w:tc>
          <w:tcPr>
            <w:tcW w:w="6228" w:type="dxa"/>
          </w:tcPr>
          <w:p w:rsidR="001B205E" w:rsidRPr="001B205E" w:rsidP="001B205E" w14:paraId="16541896" w14:textId="77777777">
            <w:pPr>
              <w:tabs>
                <w:tab w:val="left" w:pos="360"/>
              </w:tabs>
              <w:ind w:left="360" w:hanging="360"/>
              <w:rPr>
                <w:sz w:val="24"/>
                <w:szCs w:val="24"/>
              </w:rPr>
            </w:pPr>
            <w:r w:rsidRPr="001B205E">
              <w:rPr>
                <w:sz w:val="24"/>
                <w:szCs w:val="24"/>
              </w:rPr>
              <w:t>RHFS Public Use File</w:t>
            </w:r>
          </w:p>
        </w:tc>
        <w:tc>
          <w:tcPr>
            <w:tcW w:w="2160" w:type="dxa"/>
          </w:tcPr>
          <w:p w:rsidR="001B205E" w:rsidRPr="001B205E" w:rsidP="001B205E" w14:paraId="333FF6FA" w14:textId="77777777">
            <w:pPr>
              <w:tabs>
                <w:tab w:val="left" w:pos="360"/>
              </w:tabs>
              <w:ind w:left="360" w:hanging="360"/>
              <w:rPr>
                <w:sz w:val="24"/>
                <w:szCs w:val="24"/>
              </w:rPr>
            </w:pPr>
            <w:r w:rsidRPr="001B205E">
              <w:rPr>
                <w:sz w:val="24"/>
                <w:szCs w:val="24"/>
              </w:rPr>
              <w:t>May 31, 2026</w:t>
            </w:r>
          </w:p>
        </w:tc>
      </w:tr>
    </w:tbl>
    <w:p w:rsidR="001B205E" w14:paraId="2D626B3B" w14:textId="77777777">
      <w:pPr>
        <w:tabs>
          <w:tab w:val="left" w:pos="360"/>
        </w:tabs>
        <w:ind w:left="360" w:hanging="360"/>
        <w:rPr>
          <w:sz w:val="24"/>
          <w:szCs w:val="24"/>
        </w:rPr>
      </w:pPr>
    </w:p>
    <w:p w:rsidR="001B205E" w:rsidRPr="006C7FAE" w14:paraId="48953558" w14:textId="77777777">
      <w:pPr>
        <w:tabs>
          <w:tab w:val="left" w:pos="360"/>
        </w:tabs>
        <w:ind w:left="360" w:hanging="360"/>
        <w:rPr>
          <w:sz w:val="24"/>
          <w:szCs w:val="24"/>
        </w:rPr>
      </w:pPr>
    </w:p>
    <w:p w:rsidR="009E13B1" w14:paraId="361B79C3"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C9740B" w:rsidP="00C9740B" w14:paraId="1BB92142" w14:textId="77777777">
      <w:pPr>
        <w:pStyle w:val="List"/>
      </w:pPr>
    </w:p>
    <w:p w:rsidR="00C9740B" w:rsidRPr="004003FF" w:rsidP="00C9740B" w14:paraId="3A1F7696" w14:textId="38D5FCD9">
      <w:pPr>
        <w:pStyle w:val="List"/>
        <w:ind w:firstLine="0"/>
      </w:pPr>
      <w:r>
        <w:t>HUD will display the expiration date for OMB approval for this Information Collection.</w:t>
      </w:r>
    </w:p>
    <w:p w:rsidR="009E13B1" w:rsidRPr="006C7FAE" w14:paraId="571AFB2A" w14:textId="77777777">
      <w:pPr>
        <w:keepLines/>
        <w:tabs>
          <w:tab w:val="left" w:pos="360"/>
          <w:tab w:val="left" w:pos="720"/>
        </w:tabs>
        <w:ind w:left="360"/>
        <w:rPr>
          <w:sz w:val="24"/>
          <w:szCs w:val="24"/>
        </w:rPr>
      </w:pPr>
    </w:p>
    <w:p w:rsidR="009E13B1" w:rsidRPr="006C7FAE" w14:paraId="4122657B"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C9740B" w:rsidP="00C9740B" w14:paraId="55A593DF" w14:textId="77777777">
      <w:pPr>
        <w:pStyle w:val="List"/>
        <w:ind w:firstLine="0"/>
      </w:pPr>
    </w:p>
    <w:p w:rsidR="009E13B1" w14:paraId="7D560022" w14:textId="6A72E8D0">
      <w:pPr>
        <w:tabs>
          <w:tab w:val="left" w:pos="360"/>
          <w:tab w:val="left" w:pos="720"/>
        </w:tabs>
        <w:rPr>
          <w:sz w:val="24"/>
          <w:szCs w:val="24"/>
        </w:rPr>
      </w:pPr>
      <w:r>
        <w:rPr>
          <w:sz w:val="24"/>
          <w:szCs w:val="24"/>
        </w:rPr>
        <w:tab/>
      </w:r>
      <w:r w:rsidR="00C9740B">
        <w:rPr>
          <w:sz w:val="24"/>
          <w:szCs w:val="24"/>
        </w:rPr>
        <w:t>HUD does not request an exception to the certification of the information collection.</w:t>
      </w:r>
    </w:p>
    <w:p w:rsidR="00C9740B" w:rsidRPr="006C7FAE" w14:paraId="5F08AF89" w14:textId="314FB077">
      <w:pPr>
        <w:tabs>
          <w:tab w:val="left" w:pos="360"/>
          <w:tab w:val="left" w:pos="720"/>
        </w:tabs>
        <w:rPr>
          <w:sz w:val="24"/>
          <w:szCs w:val="24"/>
        </w:rPr>
      </w:pPr>
    </w:p>
    <w:p w:rsidR="009E13B1" w:rsidRPr="006C7FAE" w:rsidP="00167E53" w14:paraId="67501721"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headerReference w:type="default" r:id="rId7"/>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6C6157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829448673">
    <w:abstractNumId w:val="4"/>
  </w:num>
  <w:num w:numId="2" w16cid:durableId="996959379">
    <w:abstractNumId w:val="2"/>
  </w:num>
  <w:num w:numId="3" w16cid:durableId="755249432">
    <w:abstractNumId w:val="8"/>
  </w:num>
  <w:num w:numId="4" w16cid:durableId="774833022">
    <w:abstractNumId w:val="5"/>
  </w:num>
  <w:num w:numId="5" w16cid:durableId="361635493">
    <w:abstractNumId w:val="6"/>
  </w:num>
  <w:num w:numId="6" w16cid:durableId="1734085702">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049139958">
    <w:abstractNumId w:val="3"/>
  </w:num>
  <w:num w:numId="8" w16cid:durableId="211428844">
    <w:abstractNumId w:val="11"/>
  </w:num>
  <w:num w:numId="9" w16cid:durableId="317420414">
    <w:abstractNumId w:val="1"/>
  </w:num>
  <w:num w:numId="10" w16cid:durableId="1842037047">
    <w:abstractNumId w:val="10"/>
  </w:num>
  <w:num w:numId="11" w16cid:durableId="486553107">
    <w:abstractNumId w:val="9"/>
  </w:num>
  <w:num w:numId="12" w16cid:durableId="1120151063">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83116307">
    <w:abstractNumId w:val="7"/>
  </w:num>
  <w:num w:numId="14" w16cid:durableId="87951268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A1639"/>
    <w:rsid w:val="000C117C"/>
    <w:rsid w:val="000C38FD"/>
    <w:rsid w:val="000D5079"/>
    <w:rsid w:val="000E00A8"/>
    <w:rsid w:val="000E2A89"/>
    <w:rsid w:val="00167E53"/>
    <w:rsid w:val="001B205E"/>
    <w:rsid w:val="0023256B"/>
    <w:rsid w:val="00243B21"/>
    <w:rsid w:val="002C5BA8"/>
    <w:rsid w:val="002F6CE8"/>
    <w:rsid w:val="00360090"/>
    <w:rsid w:val="004003FF"/>
    <w:rsid w:val="00450591"/>
    <w:rsid w:val="00532200"/>
    <w:rsid w:val="0058747D"/>
    <w:rsid w:val="00600F27"/>
    <w:rsid w:val="006B7674"/>
    <w:rsid w:val="006C4830"/>
    <w:rsid w:val="006C7FAE"/>
    <w:rsid w:val="007B4A33"/>
    <w:rsid w:val="008314BA"/>
    <w:rsid w:val="008A7175"/>
    <w:rsid w:val="009C08DF"/>
    <w:rsid w:val="009E0C3E"/>
    <w:rsid w:val="009E13B1"/>
    <w:rsid w:val="00A65F9E"/>
    <w:rsid w:val="00A83E46"/>
    <w:rsid w:val="00AC7F56"/>
    <w:rsid w:val="00B01940"/>
    <w:rsid w:val="00B03398"/>
    <w:rsid w:val="00B04BA6"/>
    <w:rsid w:val="00B94401"/>
    <w:rsid w:val="00BB2518"/>
    <w:rsid w:val="00BC10AF"/>
    <w:rsid w:val="00BC50C0"/>
    <w:rsid w:val="00C9740B"/>
    <w:rsid w:val="00CA06CC"/>
    <w:rsid w:val="00CE1567"/>
    <w:rsid w:val="00D1008E"/>
    <w:rsid w:val="00D717DB"/>
    <w:rsid w:val="00D74136"/>
    <w:rsid w:val="00DD3286"/>
    <w:rsid w:val="00E01140"/>
    <w:rsid w:val="00F27C8F"/>
    <w:rsid w:val="00F5145B"/>
    <w:rsid w:val="00F9308F"/>
    <w:rsid w:val="00F932AB"/>
    <w:rsid w:val="00FF67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ACF734"/>
  <w15:chartTrackingRefBased/>
  <w15:docId w15:val="{D9B2566A-BBCB-4E36-9E52-936309C4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uiPriority w:val="99"/>
    <w:semiHidden/>
    <w:unhideWhenUsed/>
    <w:rsid w:val="001B205E"/>
    <w:rPr>
      <w:sz w:val="16"/>
      <w:szCs w:val="16"/>
    </w:rPr>
  </w:style>
  <w:style w:type="paragraph" w:styleId="CommentText">
    <w:name w:val="annotation text"/>
    <w:basedOn w:val="Normal"/>
    <w:link w:val="CommentTextChar"/>
    <w:uiPriority w:val="99"/>
    <w:unhideWhenUsed/>
    <w:rsid w:val="001B205E"/>
    <w:pPr>
      <w:overflowPunct/>
      <w:autoSpaceDE/>
      <w:autoSpaceDN/>
      <w:adjustRightInd/>
      <w:textAlignment w:val="auto"/>
    </w:pPr>
  </w:style>
  <w:style w:type="character" w:customStyle="1" w:styleId="CommentTextChar">
    <w:name w:val="Comment Text Char"/>
    <w:basedOn w:val="DefaultParagraphFont"/>
    <w:link w:val="CommentText"/>
    <w:uiPriority w:val="99"/>
    <w:rsid w:val="001B205E"/>
  </w:style>
  <w:style w:type="table" w:styleId="TableGrid">
    <w:name w:val="Table Grid"/>
    <w:basedOn w:val="TableNormal"/>
    <w:uiPriority w:val="59"/>
    <w:rsid w:val="001B20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9740B"/>
    <w:pPr>
      <w:overflowPunct w:val="0"/>
      <w:autoSpaceDE w:val="0"/>
      <w:autoSpaceDN w:val="0"/>
      <w:adjustRightInd w:val="0"/>
      <w:textAlignment w:val="baseline"/>
    </w:pPr>
  </w:style>
  <w:style w:type="paragraph" w:styleId="List">
    <w:name w:val="List"/>
    <w:basedOn w:val="Normal"/>
    <w:semiHidden/>
    <w:rsid w:val="00C9740B"/>
    <w:pPr>
      <w:overflowPunct/>
      <w:autoSpaceDE/>
      <w:autoSpaceDN/>
      <w:adjustRightInd/>
      <w:ind w:left="360" w:hanging="36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205A2-A1F9-4C2F-8BD1-955B4FCC52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4098</Words>
  <Characters>23440</Characters>
  <Application>Microsoft Office Word</Application>
  <DocSecurity>2</DocSecurity>
  <Lines>195</Lines>
  <Paragraphs>54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2023-10-26T12:54:00Z</dcterms:created>
  <dcterms:modified xsi:type="dcterms:W3CDTF">2023-10-26T12:54:00Z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