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6C1CFB" w:rsidP="006C7FAE" w14:paraId="7834DA8B" w14:textId="77777777">
      <w:pPr>
        <w:jc w:val="center"/>
        <w:rPr>
          <w:b/>
          <w:sz w:val="24"/>
          <w:szCs w:val="24"/>
        </w:rPr>
      </w:pPr>
      <w:r w:rsidRPr="006C1CFB">
        <w:rPr>
          <w:b/>
          <w:sz w:val="24"/>
          <w:szCs w:val="24"/>
        </w:rPr>
        <w:t>Supporting Statement for Paperwork Reduction Act Submissions</w:t>
      </w:r>
    </w:p>
    <w:p w:rsidR="00C75235" w:rsidRPr="006C1CFB" w:rsidP="00C75235" w14:paraId="1EB10F9E" w14:textId="77777777">
      <w:pPr>
        <w:jc w:val="center"/>
        <w:rPr>
          <w:b/>
          <w:sz w:val="24"/>
          <w:szCs w:val="24"/>
        </w:rPr>
      </w:pPr>
      <w:bookmarkStart w:id="0" w:name="_Hlk147838246"/>
      <w:r w:rsidRPr="006C1CFB">
        <w:rPr>
          <w:b/>
          <w:sz w:val="24"/>
          <w:szCs w:val="24"/>
        </w:rPr>
        <w:t xml:space="preserve">Study of Post-Disaster Outcomes of Renter Households and Rental Housing </w:t>
      </w:r>
    </w:p>
    <w:p w:rsidR="00167E53" w:rsidP="00C75235" w14:paraId="09B0E377" w14:textId="77777777">
      <w:pPr>
        <w:jc w:val="center"/>
        <w:rPr>
          <w:b/>
          <w:sz w:val="24"/>
          <w:szCs w:val="24"/>
        </w:rPr>
      </w:pPr>
      <w:r w:rsidRPr="006C1CFB">
        <w:rPr>
          <w:b/>
          <w:sz w:val="24"/>
          <w:szCs w:val="24"/>
        </w:rPr>
        <w:t>U.S. Department of Housing and Urban Development</w:t>
      </w:r>
    </w:p>
    <w:p w:rsidR="00EC1284" w:rsidRPr="006C1CFB" w:rsidP="00C75235" w14:paraId="6212EF25" w14:textId="77777777">
      <w:pPr>
        <w:jc w:val="center"/>
        <w:rPr>
          <w:b/>
          <w:sz w:val="24"/>
          <w:szCs w:val="24"/>
        </w:rPr>
      </w:pPr>
      <w:bookmarkStart w:id="1" w:name="_Hlk147838547"/>
      <w:r w:rsidRPr="00EC1284">
        <w:rPr>
          <w:b/>
          <w:bCs/>
          <w:sz w:val="24"/>
          <w:szCs w:val="24"/>
        </w:rPr>
        <w:t>Community Development Block Grant-Disaster Recovery (CDBG-DR)</w:t>
      </w:r>
    </w:p>
    <w:bookmarkEnd w:id="1"/>
    <w:p w:rsidR="00167E53" w:rsidRPr="006C1CFB" w14:paraId="0B6D51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C1CFB">
        <w:rPr>
          <w:b/>
          <w:sz w:val="24"/>
          <w:szCs w:val="24"/>
        </w:rPr>
        <w:t xml:space="preserve">(OMB# </w:t>
      </w:r>
      <w:r w:rsidRPr="006C1CFB" w:rsidR="0044281F">
        <w:rPr>
          <w:b/>
          <w:sz w:val="24"/>
          <w:szCs w:val="24"/>
        </w:rPr>
        <w:t>2528-NEW</w:t>
      </w:r>
      <w:r w:rsidRPr="006C1CFB">
        <w:rPr>
          <w:b/>
          <w:sz w:val="24"/>
          <w:szCs w:val="24"/>
        </w:rPr>
        <w:t>)</w:t>
      </w:r>
    </w:p>
    <w:bookmarkEnd w:id="0"/>
    <w:p w:rsidR="009E13B1" w:rsidRPr="00832A7F" w:rsidP="006C7FAE" w14:paraId="7BC98926" w14:textId="77777777">
      <w:pPr>
        <w:rPr>
          <w:bCs/>
          <w:sz w:val="24"/>
          <w:szCs w:val="24"/>
        </w:rPr>
      </w:pPr>
    </w:p>
    <w:p w:rsidR="009E13B1" w:rsidRPr="00832A7F" w:rsidP="00777332" w14:paraId="7D9F65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Cs/>
          <w:sz w:val="24"/>
          <w:szCs w:val="24"/>
        </w:rPr>
      </w:pPr>
      <w:r w:rsidRPr="00832A7F">
        <w:rPr>
          <w:bCs/>
          <w:sz w:val="24"/>
          <w:szCs w:val="24"/>
        </w:rPr>
        <w:t>A. Justification</w:t>
      </w:r>
    </w:p>
    <w:p w:rsidR="009E13B1" w:rsidRPr="00832A7F" w14:paraId="66FEF7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bCs/>
          <w:sz w:val="24"/>
          <w:szCs w:val="24"/>
        </w:rPr>
      </w:pPr>
    </w:p>
    <w:p w:rsidR="002C029C" w:rsidRPr="00832A7F" w:rsidP="002C029C" w14:paraId="5E7CB931" w14:textId="77777777">
      <w:pPr>
        <w:keepLines/>
        <w:numPr>
          <w:ilvl w:val="0"/>
          <w:numId w:val="15"/>
        </w:numPr>
        <w:tabs>
          <w:tab w:val="left" w:pos="360"/>
        </w:tabs>
        <w:spacing w:after="80"/>
        <w:rPr>
          <w:bCs/>
          <w:sz w:val="24"/>
          <w:szCs w:val="24"/>
        </w:rPr>
      </w:pPr>
      <w:r w:rsidRPr="006C1CF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32A7F">
        <w:rPr>
          <w:bCs/>
          <w:sz w:val="24"/>
          <w:szCs w:val="24"/>
        </w:rPr>
        <w:t>.</w:t>
      </w:r>
    </w:p>
    <w:p w:rsidR="006C1CFB" w:rsidP="006C1CFB" w14:paraId="71D9788C" w14:textId="77777777">
      <w:pPr>
        <w:pStyle w:val="BodyText"/>
        <w:spacing w:line="240" w:lineRule="auto"/>
        <w:ind w:left="720"/>
        <w:rPr>
          <w:rFonts w:ascii="Times New Roman" w:eastAsia="Lato" w:hAnsi="Times New Roman"/>
          <w:sz w:val="24"/>
          <w:szCs w:val="24"/>
        </w:rPr>
      </w:pPr>
    </w:p>
    <w:p w:rsidR="002C029C" w:rsidRPr="00832A7F" w:rsidP="006C1CFB" w14:paraId="3EF27457" w14:textId="77777777">
      <w:pPr>
        <w:pStyle w:val="BodyText"/>
        <w:spacing w:line="240" w:lineRule="auto"/>
        <w:ind w:left="720"/>
        <w:rPr>
          <w:rFonts w:ascii="Times New Roman" w:eastAsia="Lato" w:hAnsi="Times New Roman"/>
          <w:sz w:val="24"/>
          <w:szCs w:val="24"/>
        </w:rPr>
      </w:pPr>
      <w:r w:rsidRPr="00832A7F">
        <w:rPr>
          <w:rFonts w:ascii="Times New Roman" w:eastAsia="Lato" w:hAnsi="Times New Roman"/>
          <w:sz w:val="24"/>
          <w:szCs w:val="24"/>
        </w:rPr>
        <w:t xml:space="preserve">This research is conducted under the authority of the Secretary of the U.S. Department of Housing and Urban Development to undertake programs of research, studies, </w:t>
      </w:r>
      <w:r w:rsidRPr="00832A7F">
        <w:rPr>
          <w:rFonts w:ascii="Times New Roman" w:eastAsia="Lato" w:hAnsi="Times New Roman"/>
          <w:sz w:val="24"/>
          <w:szCs w:val="24"/>
        </w:rPr>
        <w:t>testing</w:t>
      </w:r>
      <w:r w:rsidRPr="00832A7F">
        <w:rPr>
          <w:rFonts w:ascii="Times New Roman" w:eastAsia="Lato" w:hAnsi="Times New Roman"/>
          <w:sz w:val="24"/>
          <w:szCs w:val="24"/>
        </w:rPr>
        <w:t xml:space="preserve"> and demonstration related to HUD’s mission and programs (12 USC 1701z-1 et seq.).</w:t>
      </w:r>
    </w:p>
    <w:p w:rsidR="002C029C" w:rsidRPr="00832A7F" w:rsidP="006C1CFB" w14:paraId="76661394" w14:textId="77777777">
      <w:pPr>
        <w:pStyle w:val="BodyText"/>
        <w:spacing w:line="240" w:lineRule="auto"/>
        <w:ind w:left="720"/>
        <w:rPr>
          <w:rFonts w:ascii="Times New Roman" w:eastAsia="Lato" w:hAnsi="Times New Roman"/>
          <w:sz w:val="24"/>
          <w:szCs w:val="24"/>
        </w:rPr>
      </w:pPr>
      <w:r w:rsidRPr="00832A7F">
        <w:rPr>
          <w:rFonts w:ascii="Times New Roman" w:eastAsia="Lato" w:hAnsi="Times New Roman"/>
          <w:sz w:val="24"/>
          <w:szCs w:val="24"/>
        </w:rPr>
        <w:t>A growing body of research demonstrates how the increasing severity and frequency of disasters exacerbates existing challenges of housing affordability and stability, especially for renters in disaster-affected states, counties, and cities. While the federal government plays an increasingly central role in recovery, pathways for long-term recovery of renters and affordable rental housing are understudied, leaving policymakers with limited tools for long-term planning.</w:t>
      </w:r>
    </w:p>
    <w:p w:rsidR="002C029C" w:rsidRPr="00832A7F" w:rsidP="006C1CFB" w14:paraId="450A1D23" w14:textId="77777777">
      <w:pPr>
        <w:ind w:left="720"/>
        <w:jc w:val="both"/>
        <w:rPr>
          <w:rFonts w:eastAsia="Lato"/>
          <w:bCs/>
          <w:sz w:val="24"/>
          <w:szCs w:val="24"/>
        </w:rPr>
      </w:pPr>
      <w:r w:rsidRPr="00832A7F">
        <w:rPr>
          <w:rFonts w:eastAsia="Lato"/>
          <w:bCs/>
          <w:sz w:val="24"/>
          <w:szCs w:val="24"/>
        </w:rPr>
        <w:t xml:space="preserve">The </w:t>
      </w:r>
      <w:bookmarkStart w:id="2" w:name="_Hlk147838212"/>
      <w:r w:rsidRPr="00832A7F">
        <w:rPr>
          <w:rFonts w:eastAsia="Lato"/>
          <w:bCs/>
          <w:sz w:val="24"/>
          <w:szCs w:val="24"/>
        </w:rPr>
        <w:t>Community Development Block Grant-Disaster Recovery (CDBG-DR)</w:t>
      </w:r>
      <w:bookmarkEnd w:id="2"/>
      <w:r w:rsidRPr="00832A7F">
        <w:rPr>
          <w:rFonts w:eastAsia="Lato"/>
          <w:bCs/>
          <w:sz w:val="24"/>
          <w:szCs w:val="24"/>
        </w:rPr>
        <w:t xml:space="preserve"> grants are one of the most prominent sources of federal funding for post disaster recovery, supplementing assistance programs administered by Federal Emergency Management Agency (FEMA), Small Business Administration (SBA) and other agencies. To date $96 billion dollars have been allocated through CDBG-DR starting from Hurricanes Andrew and Omar in 1992 through Hurricane Ida and other events in 2021.</w:t>
      </w:r>
      <w:r>
        <w:rPr>
          <w:rStyle w:val="FootnoteReference"/>
          <w:rFonts w:eastAsia="Lato"/>
          <w:bCs/>
          <w:sz w:val="24"/>
          <w:szCs w:val="24"/>
        </w:rPr>
        <w:footnoteReference w:id="2"/>
      </w:r>
      <w:r w:rsidRPr="00832A7F">
        <w:rPr>
          <w:rFonts w:eastAsia="Lato"/>
          <w:bCs/>
          <w:sz w:val="24"/>
          <w:szCs w:val="24"/>
        </w:rPr>
        <w:t xml:space="preserve"> U.S. Department of Housing and Urban Development (HUD) CDBG-DR funding is appropriated by Congress following major Presidentially declared disasters when Congress deemed other aid and resources were not enough to meet the needs of the impacted community. State or local CDBG-DR grantees develop action plans and aligned budgets to address unmet need in their communities. According to HUD, “housing assistance is typically the most immediate priority of state and local governments and is often the largest budgeted activity. The intent of housing recovery programs is to ensure those whose homes were impacted by the disaster can return to safe and adequate housing or relocate to suitable housing elsewhere.”</w:t>
      </w:r>
      <w:r>
        <w:rPr>
          <w:rStyle w:val="FootnoteReference"/>
          <w:rFonts w:eastAsia="Lato"/>
          <w:bCs/>
          <w:sz w:val="24"/>
          <w:szCs w:val="24"/>
        </w:rPr>
        <w:footnoteReference w:id="3"/>
      </w:r>
      <w:r w:rsidRPr="00832A7F">
        <w:rPr>
          <w:rFonts w:eastAsia="Lato"/>
          <w:bCs/>
          <w:sz w:val="24"/>
          <w:szCs w:val="24"/>
        </w:rPr>
        <w:t xml:space="preserve">  </w:t>
      </w:r>
    </w:p>
    <w:p w:rsidR="00832A7F" w:rsidRPr="00832A7F" w:rsidP="002C029C" w14:paraId="300C91AC" w14:textId="77777777">
      <w:pPr>
        <w:ind w:left="720" w:firstLine="360"/>
        <w:jc w:val="both"/>
        <w:rPr>
          <w:bCs/>
          <w:sz w:val="24"/>
          <w:szCs w:val="24"/>
        </w:rPr>
      </w:pPr>
    </w:p>
    <w:p w:rsidR="002C029C" w:rsidRPr="00832A7F" w:rsidP="006C1CFB" w14:paraId="6D3D31AC" w14:textId="77777777">
      <w:pPr>
        <w:ind w:left="720"/>
        <w:jc w:val="both"/>
        <w:rPr>
          <w:rFonts w:eastAsia="Lato"/>
          <w:bCs/>
          <w:sz w:val="24"/>
          <w:szCs w:val="24"/>
        </w:rPr>
      </w:pPr>
      <w:r w:rsidRPr="00832A7F">
        <w:rPr>
          <w:bCs/>
          <w:sz w:val="24"/>
          <w:szCs w:val="24"/>
        </w:rPr>
        <w:t xml:space="preserve">To address the gap in understanding recovery outcomes for rental housing and assessing CDBG-DR effectiveness for this population, in summer 2022, HUD issued a NOFO (FR-6600-N-29A) to announce availability of funding for two research projects. The joint goal of the research is to “improve disaster recovery effectiveness for renter households by examining the disaster recovery outcomes of renter households and rental housing stock in places that received </w:t>
      </w:r>
      <w:r w:rsidRPr="00832A7F">
        <w:rPr>
          <w:bCs/>
          <w:sz w:val="24"/>
          <w:szCs w:val="24"/>
        </w:rPr>
        <w:t>Community Development Block Grant-Disaster Recovery grants (CDBG-DR).”</w:t>
      </w:r>
      <w:r>
        <w:rPr>
          <w:rStyle w:val="FootnoteReference"/>
          <w:bCs/>
          <w:sz w:val="24"/>
          <w:szCs w:val="24"/>
        </w:rPr>
        <w:footnoteReference w:id="4"/>
      </w:r>
      <w:r w:rsidRPr="00832A7F">
        <w:rPr>
          <w:bCs/>
          <w:sz w:val="24"/>
          <w:szCs w:val="24"/>
        </w:rPr>
        <w:t xml:space="preserve"> Funding for these studies came from the Consolidated Appropriations Act, 2021 (Public Law 116-260, approved December 27, 2020) which provided funding to HUD for research on disaster recovery to support the Department to evaluate the efficacy of its disaster recovery programs. This is aligned with HUD’s FY 2022-2026 Strategic Plan for ensuring everyone has an affordable, healthy place to live.</w:t>
      </w:r>
    </w:p>
    <w:p w:rsidR="00832A7F" w:rsidRPr="00832A7F" w:rsidP="002C029C" w14:paraId="5FA78A8B" w14:textId="77777777">
      <w:pPr>
        <w:ind w:left="720" w:firstLine="360"/>
        <w:jc w:val="both"/>
        <w:rPr>
          <w:bCs/>
          <w:sz w:val="24"/>
          <w:szCs w:val="24"/>
        </w:rPr>
      </w:pPr>
    </w:p>
    <w:p w:rsidR="002C029C" w:rsidRPr="00832A7F" w:rsidP="006C1CFB" w14:paraId="397AE876" w14:textId="77777777">
      <w:pPr>
        <w:ind w:left="720"/>
        <w:jc w:val="both"/>
        <w:rPr>
          <w:bCs/>
          <w:sz w:val="24"/>
          <w:szCs w:val="24"/>
        </w:rPr>
      </w:pPr>
      <w:r w:rsidRPr="00832A7F">
        <w:rPr>
          <w:bCs/>
          <w:sz w:val="24"/>
          <w:szCs w:val="24"/>
        </w:rPr>
        <w:t>The scope of the research will focus on the disaster recovery outcomes of renter households and rental housing stock in places awarded CDBG-DR grants, the contributing factors and mechanisms driving recovery outcomes for renter households, and opportunities to improve upon them. The findings of the research will provide recommendations to support Congress, HUD, and State and Local governments in mitigating the loss of affordable rental housing following disasters and facilitating faster and better recovery of renter households.</w:t>
      </w:r>
    </w:p>
    <w:p w:rsidR="00832A7F" w:rsidRPr="00832A7F" w:rsidP="002C029C" w14:paraId="3B34DB46" w14:textId="77777777">
      <w:pPr>
        <w:ind w:left="720" w:firstLine="360"/>
        <w:jc w:val="both"/>
        <w:rPr>
          <w:bCs/>
          <w:sz w:val="24"/>
          <w:szCs w:val="24"/>
        </w:rPr>
      </w:pPr>
    </w:p>
    <w:p w:rsidR="002C029C" w:rsidRPr="00832A7F" w:rsidP="006C1CFB" w14:paraId="75CCCF30" w14:textId="77777777">
      <w:pPr>
        <w:ind w:left="720"/>
        <w:jc w:val="both"/>
        <w:rPr>
          <w:bCs/>
          <w:sz w:val="24"/>
          <w:szCs w:val="24"/>
        </w:rPr>
      </w:pPr>
      <w:r w:rsidRPr="00832A7F">
        <w:rPr>
          <w:bCs/>
          <w:sz w:val="24"/>
          <w:szCs w:val="24"/>
        </w:rPr>
        <w:t xml:space="preserve">Urban Institute was awarded a cooperative agreement to pursue one of the research studies made available through the NOFO. Research questions identified by HUD in the RFQ—and the corresponding data collection strategy proposed by The Urban Institute—are provided in Table A1. </w:t>
      </w:r>
    </w:p>
    <w:p w:rsidR="00832A7F" w:rsidRPr="00832A7F" w:rsidP="002C029C" w14:paraId="4D355E92" w14:textId="77777777">
      <w:pPr>
        <w:ind w:left="720" w:firstLine="360"/>
        <w:jc w:val="both"/>
        <w:rPr>
          <w:bCs/>
          <w:sz w:val="24"/>
          <w:szCs w:val="24"/>
        </w:rPr>
      </w:pPr>
    </w:p>
    <w:p w:rsidR="006C1CFB" w:rsidP="006C1CFB" w14:paraId="1379E3E1" w14:textId="77777777">
      <w:pPr>
        <w:ind w:left="720"/>
        <w:jc w:val="both"/>
        <w:rPr>
          <w:bCs/>
          <w:sz w:val="24"/>
          <w:szCs w:val="24"/>
        </w:rPr>
      </w:pPr>
      <w:r w:rsidRPr="00832A7F">
        <w:rPr>
          <w:bCs/>
          <w:sz w:val="24"/>
          <w:szCs w:val="24"/>
        </w:rPr>
        <w:t>This supporting statement requests approval for qualitative research (interviews and focus groups) in three disaster affected communities to provide context and help identify potential additional variables of interest for local quantitative analysis of changes in rental housing changes in renter populations and understand the recovery initiatives and role of CDBG-DR requirements in influencing outcomes. The other data collection strategies are not subject to the Paperwork Reduction Act and are therefore not included as part of this request.</w:t>
      </w:r>
    </w:p>
    <w:p w:rsidR="006C1CFB" w:rsidP="006C1CFB" w14:paraId="4627E43D" w14:textId="77777777">
      <w:pPr>
        <w:ind w:left="720"/>
        <w:jc w:val="both"/>
        <w:rPr>
          <w:bCs/>
          <w:sz w:val="24"/>
          <w:szCs w:val="24"/>
        </w:rPr>
      </w:pPr>
    </w:p>
    <w:p w:rsidR="002C029C" w:rsidRPr="00832A7F" w:rsidP="006C1CFB" w14:paraId="036BC62A" w14:textId="77777777">
      <w:pPr>
        <w:ind w:left="720"/>
        <w:jc w:val="both"/>
        <w:rPr>
          <w:bCs/>
          <w:sz w:val="24"/>
          <w:szCs w:val="24"/>
        </w:rPr>
      </w:pPr>
      <w:r w:rsidRPr="00832A7F">
        <w:rPr>
          <w:bCs/>
          <w:sz w:val="24"/>
          <w:szCs w:val="24"/>
        </w:rPr>
        <w:t>Table A1: RESEARCH QUESTIONS AND DATA COLLECTION STRATEGIES</w:t>
      </w:r>
    </w:p>
    <w:tbl>
      <w:tblPr>
        <w:tblW w:w="4769" w:type="pct"/>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5388"/>
        <w:gridCol w:w="4045"/>
      </w:tblGrid>
      <w:tr w14:paraId="303ED590" w14:textId="77777777">
        <w:tblPrEx>
          <w:tblW w:w="4769" w:type="pct"/>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trHeight w:val="300"/>
        </w:trPr>
        <w:tc>
          <w:tcPr>
            <w:tcW w:w="2856" w:type="pct"/>
            <w:tcBorders>
              <w:bottom w:val="single" w:sz="12" w:space="0" w:color="666666"/>
            </w:tcBorders>
            <w:shd w:val="clear" w:color="auto" w:fill="auto"/>
          </w:tcPr>
          <w:p w:rsidR="002C029C" w:rsidRPr="006C1CFB" w14:paraId="589DF01B" w14:textId="77777777">
            <w:pPr>
              <w:ind w:left="720"/>
              <w:jc w:val="center"/>
              <w:rPr>
                <w:rFonts w:eastAsia="Lato"/>
                <w:bCs/>
              </w:rPr>
            </w:pPr>
            <w:r w:rsidRPr="006C1CFB">
              <w:rPr>
                <w:rFonts w:eastAsia="Lato"/>
                <w:bCs/>
              </w:rPr>
              <w:t>Research Question</w:t>
            </w:r>
          </w:p>
        </w:tc>
        <w:tc>
          <w:tcPr>
            <w:tcW w:w="2144" w:type="pct"/>
            <w:tcBorders>
              <w:bottom w:val="single" w:sz="12" w:space="0" w:color="666666"/>
            </w:tcBorders>
            <w:shd w:val="clear" w:color="auto" w:fill="auto"/>
          </w:tcPr>
          <w:p w:rsidR="002C029C" w:rsidRPr="006C1CFB" w14:paraId="3E111426" w14:textId="77777777">
            <w:pPr>
              <w:ind w:left="720"/>
              <w:jc w:val="center"/>
              <w:rPr>
                <w:rFonts w:eastAsia="Lato"/>
                <w:bCs/>
              </w:rPr>
            </w:pPr>
            <w:r w:rsidRPr="006C1CFB">
              <w:rPr>
                <w:rFonts w:eastAsia="Lato"/>
                <w:bCs/>
              </w:rPr>
              <w:t>Data Collection Strategy</w:t>
            </w:r>
          </w:p>
        </w:tc>
      </w:tr>
      <w:tr w14:paraId="13E9AD8F" w14:textId="77777777">
        <w:tblPrEx>
          <w:tblW w:w="4769" w:type="pct"/>
          <w:tblInd w:w="468" w:type="dxa"/>
          <w:tblLayout w:type="fixed"/>
          <w:tblLook w:val="04A0"/>
        </w:tblPrEx>
        <w:trPr>
          <w:trHeight w:val="615"/>
        </w:trPr>
        <w:tc>
          <w:tcPr>
            <w:tcW w:w="2856" w:type="pct"/>
            <w:shd w:val="clear" w:color="auto" w:fill="auto"/>
          </w:tcPr>
          <w:p w:rsidR="002C029C" w:rsidRPr="006C1CFB" w14:paraId="7593D465" w14:textId="77777777">
            <w:pPr>
              <w:pStyle w:val="ListParagraph"/>
              <w:numPr>
                <w:ilvl w:val="0"/>
                <w:numId w:val="17"/>
              </w:numPr>
              <w:rPr>
                <w:rFonts w:eastAsia="Calibri"/>
                <w:bCs/>
                <w:sz w:val="20"/>
                <w:szCs w:val="20"/>
              </w:rPr>
            </w:pPr>
            <w:r w:rsidRPr="006C1CFB">
              <w:rPr>
                <w:rFonts w:eastAsia="Calibri"/>
                <w:bCs/>
                <w:sz w:val="20"/>
                <w:szCs w:val="20"/>
              </w:rPr>
              <w:t>How do rental housing stock, market composition, and dynamics change over the short- and long-term in cities and regions impacted by disasters?</w:t>
            </w:r>
          </w:p>
        </w:tc>
        <w:tc>
          <w:tcPr>
            <w:tcW w:w="2144" w:type="pct"/>
            <w:shd w:val="clear" w:color="auto" w:fill="auto"/>
          </w:tcPr>
          <w:p w:rsidR="002C029C" w:rsidRPr="006C1CFB" w14:paraId="434813CA" w14:textId="77777777">
            <w:pPr>
              <w:pStyle w:val="ListParagraph"/>
              <w:numPr>
                <w:ilvl w:val="0"/>
                <w:numId w:val="16"/>
              </w:numPr>
              <w:rPr>
                <w:rFonts w:eastAsia="Calibri"/>
                <w:bCs/>
                <w:sz w:val="20"/>
                <w:szCs w:val="20"/>
              </w:rPr>
            </w:pPr>
            <w:r w:rsidRPr="006C1CFB">
              <w:rPr>
                <w:rFonts w:eastAsia="Calibri"/>
                <w:bCs/>
                <w:sz w:val="20"/>
                <w:szCs w:val="20"/>
              </w:rPr>
              <w:t>National landscape analysis and case study</w:t>
            </w:r>
          </w:p>
          <w:p w:rsidR="002C029C" w:rsidRPr="006C1CFB" w14:paraId="3F2BF1D7" w14:textId="77777777">
            <w:pPr>
              <w:pStyle w:val="ListParagraph"/>
              <w:numPr>
                <w:ilvl w:val="0"/>
                <w:numId w:val="16"/>
              </w:numPr>
              <w:rPr>
                <w:rFonts w:eastAsia="Calibri"/>
                <w:bCs/>
                <w:sz w:val="20"/>
                <w:szCs w:val="20"/>
              </w:rPr>
            </w:pPr>
            <w:r w:rsidRPr="006C1CFB">
              <w:rPr>
                <w:rFonts w:eastAsia="Calibri"/>
                <w:bCs/>
                <w:sz w:val="20"/>
                <w:szCs w:val="20"/>
              </w:rPr>
              <w:t>Case studies: local market analysis</w:t>
            </w:r>
          </w:p>
        </w:tc>
      </w:tr>
      <w:tr w14:paraId="74C67D38" w14:textId="77777777">
        <w:tblPrEx>
          <w:tblW w:w="4769" w:type="pct"/>
          <w:tblInd w:w="468" w:type="dxa"/>
          <w:tblLayout w:type="fixed"/>
          <w:tblLook w:val="04A0"/>
        </w:tblPrEx>
        <w:trPr>
          <w:trHeight w:val="930"/>
        </w:trPr>
        <w:tc>
          <w:tcPr>
            <w:tcW w:w="2856" w:type="pct"/>
            <w:shd w:val="clear" w:color="auto" w:fill="auto"/>
          </w:tcPr>
          <w:p w:rsidR="002C029C" w:rsidRPr="006C1CFB" w14:paraId="06B4025F" w14:textId="77777777">
            <w:pPr>
              <w:pStyle w:val="ListParagraph"/>
              <w:numPr>
                <w:ilvl w:val="0"/>
                <w:numId w:val="17"/>
              </w:numPr>
              <w:rPr>
                <w:rFonts w:eastAsia="Calibri"/>
                <w:bCs/>
                <w:sz w:val="20"/>
                <w:szCs w:val="20"/>
              </w:rPr>
            </w:pPr>
            <w:r w:rsidRPr="006C1CFB">
              <w:rPr>
                <w:rFonts w:eastAsia="Calibri"/>
                <w:bCs/>
                <w:sz w:val="20"/>
                <w:szCs w:val="20"/>
              </w:rPr>
              <w:t xml:space="preserve">What changes take place among renter populations in areas impacted by disasters, </w:t>
            </w:r>
            <w:r w:rsidRPr="006C1CFB">
              <w:rPr>
                <w:rFonts w:eastAsia="Calibri"/>
                <w:bCs/>
                <w:sz w:val="20"/>
                <w:szCs w:val="20"/>
              </w:rPr>
              <w:t>with regard to</w:t>
            </w:r>
            <w:r w:rsidRPr="006C1CFB">
              <w:rPr>
                <w:rFonts w:eastAsia="Calibri"/>
                <w:bCs/>
                <w:sz w:val="20"/>
                <w:szCs w:val="20"/>
              </w:rPr>
              <w:t xml:space="preserve"> population demographics, rental housing cost burdens, financial distress, displacement from affected communities over the short and long-term?</w:t>
            </w:r>
          </w:p>
        </w:tc>
        <w:tc>
          <w:tcPr>
            <w:tcW w:w="2144" w:type="pct"/>
            <w:shd w:val="clear" w:color="auto" w:fill="auto"/>
          </w:tcPr>
          <w:p w:rsidR="002C029C" w:rsidRPr="006C1CFB" w14:paraId="42CBAB90" w14:textId="77777777">
            <w:pPr>
              <w:pStyle w:val="ListParagraph"/>
              <w:numPr>
                <w:ilvl w:val="0"/>
                <w:numId w:val="16"/>
              </w:numPr>
              <w:rPr>
                <w:rFonts w:eastAsia="Calibri"/>
                <w:bCs/>
                <w:sz w:val="20"/>
                <w:szCs w:val="20"/>
              </w:rPr>
            </w:pPr>
            <w:r w:rsidRPr="006C1CFB">
              <w:rPr>
                <w:rFonts w:eastAsia="Calibri"/>
                <w:bCs/>
                <w:sz w:val="20"/>
                <w:szCs w:val="20"/>
              </w:rPr>
              <w:t xml:space="preserve">National landscape analysis </w:t>
            </w:r>
          </w:p>
          <w:p w:rsidR="002C029C" w:rsidRPr="006C1CFB" w14:paraId="1A817DDE" w14:textId="77777777">
            <w:pPr>
              <w:pStyle w:val="ListParagraph"/>
              <w:numPr>
                <w:ilvl w:val="0"/>
                <w:numId w:val="16"/>
              </w:numPr>
              <w:rPr>
                <w:rFonts w:eastAsia="Calibri"/>
                <w:bCs/>
                <w:sz w:val="20"/>
                <w:szCs w:val="20"/>
              </w:rPr>
            </w:pPr>
            <w:r w:rsidRPr="006C1CFB">
              <w:rPr>
                <w:rFonts w:eastAsia="Calibri"/>
                <w:bCs/>
                <w:sz w:val="20"/>
                <w:szCs w:val="20"/>
              </w:rPr>
              <w:t>Case studies: local market analysis</w:t>
            </w:r>
          </w:p>
        </w:tc>
      </w:tr>
      <w:tr w14:paraId="1F423EF6" w14:textId="77777777">
        <w:tblPrEx>
          <w:tblW w:w="4769" w:type="pct"/>
          <w:tblInd w:w="468" w:type="dxa"/>
          <w:tblLayout w:type="fixed"/>
          <w:tblLook w:val="04A0"/>
        </w:tblPrEx>
        <w:trPr>
          <w:trHeight w:val="300"/>
        </w:trPr>
        <w:tc>
          <w:tcPr>
            <w:tcW w:w="2856" w:type="pct"/>
            <w:shd w:val="clear" w:color="auto" w:fill="auto"/>
          </w:tcPr>
          <w:p w:rsidR="002C029C" w:rsidRPr="006C1CFB" w14:paraId="7DBEC9CC" w14:textId="77777777">
            <w:pPr>
              <w:pStyle w:val="ListParagraph"/>
              <w:numPr>
                <w:ilvl w:val="0"/>
                <w:numId w:val="17"/>
              </w:numPr>
              <w:rPr>
                <w:rFonts w:eastAsia="Calibri"/>
                <w:bCs/>
                <w:sz w:val="20"/>
                <w:szCs w:val="20"/>
              </w:rPr>
            </w:pPr>
            <w:r w:rsidRPr="006C1CFB">
              <w:rPr>
                <w:rFonts w:eastAsia="Calibri"/>
                <w:bCs/>
                <w:sz w:val="20"/>
                <w:szCs w:val="20"/>
              </w:rPr>
              <w:t>What efforts have been implemented by Federal and state and local governments to mitigate loss of affordable rental housing stock post-disaster?</w:t>
            </w:r>
          </w:p>
        </w:tc>
        <w:tc>
          <w:tcPr>
            <w:tcW w:w="2144" w:type="pct"/>
            <w:shd w:val="clear" w:color="auto" w:fill="auto"/>
          </w:tcPr>
          <w:p w:rsidR="002C029C" w:rsidRPr="006C1CFB" w14:paraId="1B508C13" w14:textId="77777777">
            <w:pPr>
              <w:pStyle w:val="ListParagraph"/>
              <w:numPr>
                <w:ilvl w:val="0"/>
                <w:numId w:val="16"/>
              </w:numPr>
              <w:rPr>
                <w:rFonts w:eastAsia="Calibri"/>
                <w:bCs/>
                <w:sz w:val="20"/>
                <w:szCs w:val="20"/>
              </w:rPr>
            </w:pPr>
            <w:r w:rsidRPr="006C1CFB">
              <w:rPr>
                <w:rFonts w:eastAsia="Calibri"/>
                <w:bCs/>
                <w:sz w:val="20"/>
                <w:szCs w:val="20"/>
              </w:rPr>
              <w:t>Case studies: qualitative research</w:t>
            </w:r>
          </w:p>
          <w:p w:rsidR="002C029C" w:rsidRPr="006C1CFB" w14:paraId="7C1A7D34" w14:textId="77777777">
            <w:pPr>
              <w:pStyle w:val="ListParagraph"/>
              <w:numPr>
                <w:ilvl w:val="0"/>
                <w:numId w:val="16"/>
              </w:numPr>
              <w:rPr>
                <w:rFonts w:eastAsia="Calibri"/>
                <w:bCs/>
                <w:sz w:val="20"/>
                <w:szCs w:val="20"/>
              </w:rPr>
            </w:pPr>
            <w:r w:rsidRPr="006C1CFB">
              <w:rPr>
                <w:rFonts w:eastAsia="Calibri"/>
                <w:bCs/>
                <w:sz w:val="20"/>
                <w:szCs w:val="20"/>
              </w:rPr>
              <w:t>Case studies: analysis of CDBG-DR activities</w:t>
            </w:r>
          </w:p>
        </w:tc>
      </w:tr>
      <w:tr w14:paraId="6E23B4A8" w14:textId="77777777">
        <w:tblPrEx>
          <w:tblW w:w="4769" w:type="pct"/>
          <w:tblInd w:w="468" w:type="dxa"/>
          <w:tblLayout w:type="fixed"/>
          <w:tblLook w:val="04A0"/>
        </w:tblPrEx>
        <w:trPr>
          <w:trHeight w:val="1335"/>
        </w:trPr>
        <w:tc>
          <w:tcPr>
            <w:tcW w:w="2856" w:type="pct"/>
            <w:shd w:val="clear" w:color="auto" w:fill="auto"/>
          </w:tcPr>
          <w:p w:rsidR="002C029C" w:rsidRPr="006C1CFB" w14:paraId="4B761BA3" w14:textId="77777777">
            <w:pPr>
              <w:pStyle w:val="ListParagraph"/>
              <w:numPr>
                <w:ilvl w:val="0"/>
                <w:numId w:val="17"/>
              </w:numPr>
              <w:rPr>
                <w:rFonts w:eastAsia="Calibri"/>
                <w:bCs/>
                <w:sz w:val="20"/>
                <w:szCs w:val="20"/>
              </w:rPr>
            </w:pPr>
            <w:r w:rsidRPr="006C1CFB">
              <w:rPr>
                <w:rFonts w:eastAsia="Calibri"/>
                <w:bCs/>
                <w:sz w:val="20"/>
                <w:szCs w:val="20"/>
              </w:rPr>
              <w:t>How did the relevant requirements for CDBG-DR (affordable rental housing set aside, coordination of Action Plan with local PHAs, and time limits on affordability) help or hinder post-disaster efforts to address the rehabilitation, reconstruction, replacement, and new construction of rental housing affordable to low- and moderate-income households?</w:t>
            </w:r>
          </w:p>
        </w:tc>
        <w:tc>
          <w:tcPr>
            <w:tcW w:w="2144" w:type="pct"/>
            <w:shd w:val="clear" w:color="auto" w:fill="auto"/>
          </w:tcPr>
          <w:p w:rsidR="002C029C" w:rsidRPr="006C1CFB" w14:paraId="0D0F25DE" w14:textId="77777777">
            <w:pPr>
              <w:pStyle w:val="ListParagraph"/>
              <w:numPr>
                <w:ilvl w:val="0"/>
                <w:numId w:val="16"/>
              </w:numPr>
              <w:rPr>
                <w:rFonts w:eastAsia="Calibri"/>
                <w:bCs/>
                <w:sz w:val="20"/>
                <w:szCs w:val="20"/>
              </w:rPr>
            </w:pPr>
            <w:r w:rsidRPr="006C1CFB">
              <w:rPr>
                <w:rFonts w:eastAsia="Calibri"/>
                <w:bCs/>
                <w:sz w:val="20"/>
                <w:szCs w:val="20"/>
              </w:rPr>
              <w:t>Case studies: qualitative research</w:t>
            </w:r>
          </w:p>
          <w:p w:rsidR="002C029C" w:rsidRPr="006C1CFB" w14:paraId="192C6D79" w14:textId="77777777">
            <w:pPr>
              <w:pStyle w:val="ListParagraph"/>
              <w:numPr>
                <w:ilvl w:val="0"/>
                <w:numId w:val="16"/>
              </w:numPr>
              <w:rPr>
                <w:rFonts w:eastAsia="Calibri"/>
                <w:bCs/>
                <w:sz w:val="20"/>
                <w:szCs w:val="20"/>
              </w:rPr>
            </w:pPr>
            <w:r w:rsidRPr="006C1CFB">
              <w:rPr>
                <w:rFonts w:eastAsia="Calibri"/>
                <w:bCs/>
                <w:sz w:val="20"/>
                <w:szCs w:val="20"/>
              </w:rPr>
              <w:t>Case studies: analysis of CDBG-DR activities</w:t>
            </w:r>
          </w:p>
          <w:p w:rsidR="002C029C" w:rsidRPr="006C1CFB" w14:paraId="58707ACB" w14:textId="77777777">
            <w:pPr>
              <w:ind w:left="720"/>
              <w:rPr>
                <w:rFonts w:eastAsia="Calibri"/>
                <w:bCs/>
              </w:rPr>
            </w:pPr>
          </w:p>
        </w:tc>
      </w:tr>
      <w:tr w14:paraId="3D65F0C4" w14:textId="77777777">
        <w:tblPrEx>
          <w:tblW w:w="4769" w:type="pct"/>
          <w:tblInd w:w="468" w:type="dxa"/>
          <w:tblLayout w:type="fixed"/>
          <w:tblLook w:val="04A0"/>
        </w:tblPrEx>
        <w:trPr>
          <w:trHeight w:val="300"/>
        </w:trPr>
        <w:tc>
          <w:tcPr>
            <w:tcW w:w="2856" w:type="pct"/>
            <w:shd w:val="clear" w:color="auto" w:fill="auto"/>
          </w:tcPr>
          <w:p w:rsidR="002C029C" w:rsidRPr="006C1CFB" w14:paraId="6AD674FC" w14:textId="77777777">
            <w:pPr>
              <w:pStyle w:val="ListParagraph"/>
              <w:numPr>
                <w:ilvl w:val="0"/>
                <w:numId w:val="17"/>
              </w:numPr>
              <w:rPr>
                <w:rFonts w:eastAsia="Calibri"/>
                <w:bCs/>
                <w:sz w:val="20"/>
                <w:szCs w:val="20"/>
              </w:rPr>
            </w:pPr>
            <w:r w:rsidRPr="006C1CFB">
              <w:rPr>
                <w:rFonts w:eastAsia="Calibri"/>
                <w:bCs/>
                <w:sz w:val="20"/>
                <w:szCs w:val="20"/>
              </w:rPr>
              <w:t>What lessons learned can be extracted from the challenges and solutions grantees experienced?</w:t>
            </w:r>
          </w:p>
          <w:p w:rsidR="002C029C" w:rsidRPr="006C1CFB" w14:paraId="4052CD60" w14:textId="77777777">
            <w:pPr>
              <w:ind w:left="720"/>
              <w:rPr>
                <w:rFonts w:eastAsia="Lato"/>
                <w:bCs/>
              </w:rPr>
            </w:pPr>
            <w:r w:rsidRPr="006C1CFB">
              <w:rPr>
                <w:rFonts w:eastAsia="Lato"/>
                <w:bCs/>
              </w:rPr>
              <w:t xml:space="preserve"> </w:t>
            </w:r>
          </w:p>
        </w:tc>
        <w:tc>
          <w:tcPr>
            <w:tcW w:w="2144" w:type="pct"/>
            <w:shd w:val="clear" w:color="auto" w:fill="auto"/>
          </w:tcPr>
          <w:p w:rsidR="002C029C" w:rsidRPr="006C1CFB" w14:paraId="439DB005" w14:textId="77777777">
            <w:pPr>
              <w:pStyle w:val="ListParagraph"/>
              <w:numPr>
                <w:ilvl w:val="0"/>
                <w:numId w:val="16"/>
              </w:numPr>
              <w:rPr>
                <w:rFonts w:eastAsia="Calibri"/>
                <w:bCs/>
                <w:sz w:val="20"/>
                <w:szCs w:val="20"/>
              </w:rPr>
            </w:pPr>
            <w:r w:rsidRPr="006C1CFB">
              <w:rPr>
                <w:rFonts w:eastAsia="Calibri"/>
                <w:bCs/>
                <w:sz w:val="20"/>
                <w:szCs w:val="20"/>
              </w:rPr>
              <w:t>Case studies: qualitative research</w:t>
            </w:r>
          </w:p>
          <w:p w:rsidR="002C029C" w:rsidRPr="006C1CFB" w14:paraId="137688FC" w14:textId="77777777">
            <w:pPr>
              <w:pStyle w:val="ListParagraph"/>
              <w:numPr>
                <w:ilvl w:val="0"/>
                <w:numId w:val="16"/>
              </w:numPr>
              <w:rPr>
                <w:rFonts w:eastAsia="Calibri"/>
                <w:bCs/>
                <w:sz w:val="20"/>
                <w:szCs w:val="20"/>
              </w:rPr>
            </w:pPr>
            <w:r w:rsidRPr="006C1CFB">
              <w:rPr>
                <w:rFonts w:eastAsia="Calibri"/>
                <w:bCs/>
                <w:sz w:val="20"/>
                <w:szCs w:val="20"/>
              </w:rPr>
              <w:t>Synthesis of findings</w:t>
            </w:r>
          </w:p>
          <w:p w:rsidR="002C029C" w:rsidRPr="006C1CFB" w14:paraId="4571E4DE" w14:textId="77777777">
            <w:pPr>
              <w:ind w:left="720"/>
              <w:rPr>
                <w:rFonts w:eastAsia="Lato"/>
                <w:bCs/>
              </w:rPr>
            </w:pPr>
            <w:r w:rsidRPr="006C1CFB">
              <w:rPr>
                <w:rFonts w:eastAsia="Lato"/>
                <w:bCs/>
              </w:rPr>
              <w:t xml:space="preserve"> </w:t>
            </w:r>
          </w:p>
        </w:tc>
      </w:tr>
    </w:tbl>
    <w:p w:rsidR="002C029C" w:rsidRPr="00832A7F" w:rsidP="002C029C" w14:paraId="0AD25A0F" w14:textId="77777777">
      <w:pPr>
        <w:keepLines/>
        <w:tabs>
          <w:tab w:val="left" w:pos="360"/>
        </w:tabs>
        <w:spacing w:after="80"/>
        <w:ind w:left="720"/>
        <w:rPr>
          <w:bCs/>
          <w:sz w:val="24"/>
          <w:szCs w:val="24"/>
        </w:rPr>
      </w:pPr>
    </w:p>
    <w:p w:rsidR="009E13B1" w:rsidRPr="008E6B33" w14:paraId="42D5B689" w14:textId="77777777">
      <w:pPr>
        <w:tabs>
          <w:tab w:val="left" w:pos="360"/>
        </w:tabs>
        <w:ind w:left="360" w:hanging="360"/>
        <w:rPr>
          <w:b/>
          <w:sz w:val="24"/>
          <w:szCs w:val="24"/>
        </w:rPr>
      </w:pPr>
    </w:p>
    <w:p w:rsidR="009E13B1" w:rsidRPr="008E6B33" w14:paraId="1BC86B61" w14:textId="77777777">
      <w:pPr>
        <w:keepLines/>
        <w:tabs>
          <w:tab w:val="left" w:pos="360"/>
        </w:tabs>
        <w:spacing w:after="80"/>
        <w:ind w:left="360" w:hanging="360"/>
        <w:rPr>
          <w:b/>
          <w:sz w:val="24"/>
          <w:szCs w:val="24"/>
        </w:rPr>
      </w:pPr>
      <w:r w:rsidRPr="008E6B33">
        <w:rPr>
          <w:b/>
          <w:sz w:val="24"/>
          <w:szCs w:val="24"/>
        </w:rPr>
        <w:t>2.</w:t>
      </w:r>
      <w:r w:rsidRPr="008E6B33">
        <w:rPr>
          <w:b/>
          <w:sz w:val="24"/>
          <w:szCs w:val="24"/>
        </w:rPr>
        <w:tab/>
        <w:t>Indicate how, by whom and for what purpose the information is to be used.  Except for a new collection, indicate the actual use the agency has made of the information received from the current collection.</w:t>
      </w:r>
    </w:p>
    <w:p w:rsidR="006C1CFB" w:rsidP="006C1CFB" w14:paraId="72CC3842" w14:textId="77777777">
      <w:pPr>
        <w:ind w:left="360"/>
        <w:jc w:val="both"/>
        <w:rPr>
          <w:bCs/>
          <w:sz w:val="24"/>
          <w:szCs w:val="24"/>
        </w:rPr>
      </w:pPr>
    </w:p>
    <w:p w:rsidR="002C029C" w:rsidRPr="00832A7F" w:rsidP="006C1CFB" w14:paraId="1F973BE2" w14:textId="77777777">
      <w:pPr>
        <w:ind w:left="360"/>
        <w:jc w:val="both"/>
        <w:rPr>
          <w:bCs/>
          <w:sz w:val="24"/>
          <w:szCs w:val="24"/>
        </w:rPr>
      </w:pPr>
      <w:r w:rsidRPr="00832A7F">
        <w:rPr>
          <w:bCs/>
          <w:sz w:val="24"/>
          <w:szCs w:val="24"/>
        </w:rPr>
        <w:t xml:space="preserve">This research employs a multi-method strategy aimed at providing </w:t>
      </w:r>
      <w:r w:rsidRPr="00832A7F">
        <w:rPr>
          <w:bCs/>
          <w:sz w:val="24"/>
          <w:szCs w:val="24"/>
        </w:rPr>
        <w:t>all of</w:t>
      </w:r>
      <w:r w:rsidRPr="00832A7F">
        <w:rPr>
          <w:bCs/>
          <w:sz w:val="24"/>
          <w:szCs w:val="24"/>
        </w:rPr>
        <w:t xml:space="preserve"> the information necessary to answer HUD’s research questions (Table A1) about the post-disaster rental recovery and the CDBG-DR program.</w:t>
      </w:r>
    </w:p>
    <w:p w:rsidR="006C1CFB" w:rsidP="006C1CFB" w14:paraId="07E102FB" w14:textId="77777777">
      <w:pPr>
        <w:ind w:left="360"/>
        <w:jc w:val="both"/>
        <w:rPr>
          <w:bCs/>
          <w:sz w:val="24"/>
          <w:szCs w:val="24"/>
        </w:rPr>
      </w:pPr>
    </w:p>
    <w:p w:rsidR="002C029C" w:rsidRPr="00832A7F" w:rsidP="006C1CFB" w14:paraId="5E3BFB4C" w14:textId="77777777">
      <w:pPr>
        <w:ind w:left="360"/>
        <w:jc w:val="both"/>
        <w:rPr>
          <w:bCs/>
          <w:sz w:val="24"/>
          <w:szCs w:val="24"/>
        </w:rPr>
      </w:pPr>
      <w:r w:rsidRPr="00832A7F">
        <w:rPr>
          <w:bCs/>
          <w:sz w:val="24"/>
          <w:szCs w:val="24"/>
        </w:rPr>
        <w:t>All of</w:t>
      </w:r>
      <w:r w:rsidRPr="00832A7F">
        <w:rPr>
          <w:bCs/>
          <w:sz w:val="24"/>
          <w:szCs w:val="24"/>
        </w:rPr>
        <w:t xml:space="preserve"> the data collection will be performed by Urban Institute. The qualitative research activities (subject of this ICR request) for this study site includes visits to three case study communities (to be determined) to conduct Interviews with those involved in the recovery process (grantees, city leaders, CDFIs, housing advocates, public housing authorities, local housing organizations, and tenant advocates) as well as focus groups with renters and landlords. All data collection instruments are included in Part C.  Urban Institute staff will conduct the site visits as one-time data collection activities. The Urban Institute used the U.S. Department of Labor’s Bureau of Labor Statistics to categorize interview and focus group participants by relevant labor category: federal, state, and local government representatives; professionals and business services representatives; and private sector employees. </w:t>
      </w:r>
      <w:r w:rsidRPr="00832A7F">
        <w:rPr>
          <w:bCs/>
          <w:sz w:val="24"/>
          <w:szCs w:val="24"/>
          <w:shd w:val="clear" w:color="auto" w:fill="FFFFFF"/>
        </w:rPr>
        <w:t>Each data collection activity is described below in Table A2.</w:t>
      </w:r>
    </w:p>
    <w:p w:rsidR="002C029C" w:rsidRPr="00832A7F" w:rsidP="006C1CFB" w14:paraId="3E248194" w14:textId="77777777">
      <w:pPr>
        <w:ind w:left="360"/>
        <w:jc w:val="both"/>
        <w:rPr>
          <w:bCs/>
          <w:sz w:val="24"/>
          <w:szCs w:val="24"/>
        </w:rPr>
      </w:pPr>
      <w:r w:rsidRPr="00832A7F">
        <w:rPr>
          <w:bCs/>
          <w:sz w:val="24"/>
          <w:szCs w:val="24"/>
        </w:rPr>
        <w:t xml:space="preserve">Upon completion, the study will make substantial contributions to the understanding of post-disaster rental housing recovery and the efficacy of the CDBG-DR program </w:t>
      </w:r>
      <w:r w:rsidRPr="00832A7F">
        <w:rPr>
          <w:bCs/>
          <w:sz w:val="24"/>
          <w:szCs w:val="24"/>
        </w:rPr>
        <w:t>in order to</w:t>
      </w:r>
      <w:r w:rsidRPr="00832A7F">
        <w:rPr>
          <w:bCs/>
          <w:sz w:val="24"/>
          <w:szCs w:val="24"/>
        </w:rPr>
        <w:t xml:space="preserve"> improve disaster recovery effectiveness for renter households. Specifically, it will provide data and information about:</w:t>
      </w:r>
    </w:p>
    <w:p w:rsidR="002C029C" w:rsidRPr="00832A7F" w:rsidP="002C029C" w14:paraId="198BE4FB" w14:textId="77777777">
      <w:pPr>
        <w:pStyle w:val="ListParagraph"/>
        <w:numPr>
          <w:ilvl w:val="0"/>
          <w:numId w:val="18"/>
        </w:numPr>
        <w:ind w:left="990"/>
        <w:jc w:val="both"/>
        <w:rPr>
          <w:bCs/>
        </w:rPr>
      </w:pPr>
      <w:r w:rsidRPr="00832A7F">
        <w:rPr>
          <w:bCs/>
        </w:rPr>
        <w:t>Outcomes of renter households and changes in rental housing dynamics in areas impacted by disasters.</w:t>
      </w:r>
    </w:p>
    <w:p w:rsidR="002C029C" w:rsidRPr="00832A7F" w:rsidP="002C029C" w14:paraId="26DC3F56" w14:textId="77777777">
      <w:pPr>
        <w:pStyle w:val="ListParagraph"/>
        <w:numPr>
          <w:ilvl w:val="0"/>
          <w:numId w:val="18"/>
        </w:numPr>
        <w:ind w:left="990"/>
        <w:jc w:val="both"/>
        <w:rPr>
          <w:bCs/>
        </w:rPr>
      </w:pPr>
      <w:r w:rsidRPr="00832A7F">
        <w:rPr>
          <w:bCs/>
        </w:rPr>
        <w:t>How disaster recovery programs funded through CDBG-DR impacts renters.</w:t>
      </w:r>
    </w:p>
    <w:p w:rsidR="002C029C" w:rsidRPr="00832A7F" w:rsidP="002C029C" w14:paraId="6A768B06" w14:textId="77777777">
      <w:pPr>
        <w:pStyle w:val="ListParagraph"/>
        <w:numPr>
          <w:ilvl w:val="0"/>
          <w:numId w:val="18"/>
        </w:numPr>
        <w:ind w:left="990"/>
        <w:jc w:val="both"/>
        <w:rPr>
          <w:bCs/>
          <w:shd w:val="clear" w:color="auto" w:fill="FFFFFF"/>
        </w:rPr>
      </w:pPr>
      <w:r w:rsidRPr="00832A7F">
        <w:rPr>
          <w:bCs/>
        </w:rPr>
        <w:t>Lessons learned for future recovery efforts.</w:t>
      </w:r>
    </w:p>
    <w:p w:rsidR="006C1CFB" w:rsidP="00832A7F" w14:paraId="60C05BA4" w14:textId="77777777">
      <w:pPr>
        <w:ind w:left="360"/>
        <w:jc w:val="both"/>
        <w:rPr>
          <w:bCs/>
          <w:sz w:val="24"/>
          <w:szCs w:val="24"/>
        </w:rPr>
      </w:pPr>
    </w:p>
    <w:p w:rsidR="002C029C" w:rsidRPr="00832A7F" w:rsidP="00832A7F" w14:paraId="4E888316" w14:textId="77777777">
      <w:pPr>
        <w:ind w:left="360"/>
        <w:jc w:val="both"/>
        <w:rPr>
          <w:bCs/>
          <w:sz w:val="24"/>
          <w:szCs w:val="24"/>
        </w:rPr>
      </w:pPr>
      <w:r w:rsidRPr="00832A7F">
        <w:rPr>
          <w:bCs/>
          <w:sz w:val="24"/>
          <w:szCs w:val="24"/>
        </w:rPr>
        <w:t xml:space="preserve">The Urban Institute is responsible for the collection and analysis of this information. Urban will report its findings to HUD’s Office of Policy Development and Research, which, in turn, will report this information to Congress, representatives of the affected communities, and the </w:t>
      </w:r>
      <w:r w:rsidRPr="00832A7F">
        <w:rPr>
          <w:bCs/>
          <w:sz w:val="24"/>
          <w:szCs w:val="24"/>
        </w:rPr>
        <w:t>general public</w:t>
      </w:r>
      <w:r w:rsidRPr="00832A7F">
        <w:rPr>
          <w:bCs/>
          <w:sz w:val="24"/>
          <w:szCs w:val="24"/>
        </w:rPr>
        <w:t>.</w:t>
      </w:r>
    </w:p>
    <w:p w:rsidR="002C029C" w:rsidRPr="00832A7F" w:rsidP="002C029C" w14:paraId="6619BB08" w14:textId="77777777">
      <w:pPr>
        <w:spacing w:line="360" w:lineRule="auto"/>
        <w:ind w:firstLine="360"/>
        <w:jc w:val="both"/>
        <w:rPr>
          <w:bCs/>
          <w:sz w:val="24"/>
          <w:szCs w:val="24"/>
        </w:rPr>
      </w:pPr>
    </w:p>
    <w:p w:rsidR="002C029C" w:rsidRPr="00832A7F" w:rsidP="002C029C" w14:paraId="04290C29" w14:textId="77777777">
      <w:pPr>
        <w:rPr>
          <w:bCs/>
          <w:sz w:val="24"/>
          <w:szCs w:val="24"/>
        </w:rPr>
      </w:pPr>
      <w:r w:rsidRPr="00832A7F">
        <w:rPr>
          <w:bCs/>
          <w:sz w:val="24"/>
          <w:szCs w:val="24"/>
        </w:rPr>
        <w:t xml:space="preserve">Table A2: INSTRUMENTS, RESPONDENTS, CONTENT, AND PURPOSE FOR INCLUSION </w:t>
      </w:r>
    </w:p>
    <w:tbl>
      <w:tblPr>
        <w:tblW w:w="4813" w:type="pct"/>
        <w:tblInd w:w="3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2376"/>
        <w:gridCol w:w="7144"/>
      </w:tblGrid>
      <w:tr w14:paraId="345CFABD" w14:textId="77777777">
        <w:tblPrEx>
          <w:tblW w:w="4813" w:type="pct"/>
          <w:tblInd w:w="3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trHeight w:val="300"/>
        </w:trPr>
        <w:tc>
          <w:tcPr>
            <w:tcW w:w="1248" w:type="pct"/>
            <w:tcBorders>
              <w:bottom w:val="single" w:sz="12" w:space="0" w:color="666666"/>
            </w:tcBorders>
            <w:shd w:val="clear" w:color="auto" w:fill="auto"/>
          </w:tcPr>
          <w:p w:rsidR="002C029C" w:rsidRPr="006C1CFB" w14:paraId="35C423BD" w14:textId="77777777">
            <w:pPr>
              <w:jc w:val="center"/>
              <w:rPr>
                <w:rFonts w:eastAsia="Lato"/>
                <w:bCs/>
              </w:rPr>
            </w:pPr>
            <w:r w:rsidRPr="006C1CFB">
              <w:rPr>
                <w:rFonts w:eastAsia="Lato"/>
                <w:bCs/>
              </w:rPr>
              <w:t>Instruments</w:t>
            </w:r>
          </w:p>
        </w:tc>
        <w:tc>
          <w:tcPr>
            <w:tcW w:w="3752" w:type="pct"/>
            <w:tcBorders>
              <w:bottom w:val="single" w:sz="12" w:space="0" w:color="666666"/>
            </w:tcBorders>
            <w:shd w:val="clear" w:color="auto" w:fill="auto"/>
          </w:tcPr>
          <w:p w:rsidR="002C029C" w:rsidRPr="006C1CFB" w14:paraId="409BCEE5" w14:textId="77777777">
            <w:pPr>
              <w:jc w:val="center"/>
              <w:rPr>
                <w:rFonts w:eastAsia="Lato"/>
                <w:bCs/>
              </w:rPr>
            </w:pPr>
            <w:r w:rsidRPr="006C1CFB">
              <w:rPr>
                <w:rFonts w:eastAsia="Lato"/>
                <w:bCs/>
              </w:rPr>
              <w:t xml:space="preserve">Respondents, Content, Reason for Inclusion </w:t>
            </w:r>
          </w:p>
        </w:tc>
      </w:tr>
      <w:tr w14:paraId="745D6386" w14:textId="77777777">
        <w:tblPrEx>
          <w:tblW w:w="4813" w:type="pct"/>
          <w:tblInd w:w="378" w:type="dxa"/>
          <w:tblLayout w:type="fixed"/>
          <w:tblLook w:val="04A0"/>
        </w:tblPrEx>
        <w:trPr>
          <w:trHeight w:val="615"/>
        </w:trPr>
        <w:tc>
          <w:tcPr>
            <w:tcW w:w="1248" w:type="pct"/>
            <w:shd w:val="clear" w:color="auto" w:fill="auto"/>
          </w:tcPr>
          <w:p w:rsidR="002C029C" w:rsidRPr="006C1CFB" w14:paraId="6E0BEC70" w14:textId="77777777">
            <w:pPr>
              <w:rPr>
                <w:rFonts w:eastAsia="Calibri"/>
                <w:bCs/>
              </w:rPr>
            </w:pPr>
            <w:r w:rsidRPr="006C1CFB">
              <w:rPr>
                <w:rFonts w:eastAsia="Calibri"/>
                <w:bCs/>
              </w:rPr>
              <w:t>Qualitative interviews with federal, state, and local government representatives</w:t>
            </w:r>
          </w:p>
          <w:p w:rsidR="002C029C" w:rsidRPr="006C1CFB" w14:paraId="5A7A8557" w14:textId="77777777">
            <w:pPr>
              <w:rPr>
                <w:rFonts w:eastAsia="Calibri"/>
                <w:bCs/>
              </w:rPr>
            </w:pPr>
          </w:p>
          <w:p w:rsidR="002C029C" w:rsidRPr="006C1CFB" w14:paraId="295A2FCD" w14:textId="77777777">
            <w:pPr>
              <w:rPr>
                <w:rFonts w:eastAsia="Calibri"/>
                <w:bCs/>
              </w:rPr>
            </w:pPr>
            <w:r w:rsidRPr="006C1CFB">
              <w:rPr>
                <w:rFonts w:eastAsia="Calibri"/>
                <w:bCs/>
              </w:rPr>
              <w:t xml:space="preserve">Appendices </w:t>
            </w:r>
          </w:p>
          <w:p w:rsidR="002C029C" w:rsidRPr="006C1CFB" w14:paraId="03E8931C" w14:textId="77777777">
            <w:pPr>
              <w:rPr>
                <w:rFonts w:eastAsia="Calibri"/>
                <w:bCs/>
              </w:rPr>
            </w:pPr>
            <w:r w:rsidRPr="006C1CFB">
              <w:rPr>
                <w:rFonts w:eastAsia="Calibri"/>
                <w:bCs/>
              </w:rPr>
              <w:t>B, I, J</w:t>
            </w:r>
          </w:p>
        </w:tc>
        <w:tc>
          <w:tcPr>
            <w:tcW w:w="3752" w:type="pct"/>
            <w:shd w:val="clear" w:color="auto" w:fill="auto"/>
          </w:tcPr>
          <w:p w:rsidR="002C029C" w:rsidRPr="006C1CFB" w14:paraId="0C603F2A" w14:textId="77777777">
            <w:pPr>
              <w:rPr>
                <w:rFonts w:eastAsia="Calibri"/>
                <w:bCs/>
              </w:rPr>
            </w:pPr>
            <w:r w:rsidRPr="006C1CFB">
              <w:rPr>
                <w:rFonts w:eastAsia="Calibri"/>
                <w:bCs/>
              </w:rPr>
              <w:t xml:space="preserve">Respondents: </w:t>
            </w:r>
            <w:r w:rsidRPr="006C1CFB">
              <w:rPr>
                <w:rFonts w:eastAsia="Calibri"/>
                <w:bCs/>
                <w:shd w:val="clear" w:color="auto" w:fill="FFFFFF"/>
              </w:rPr>
              <w:t>CDBG-DR administrators and HUD staff as well as elected and appointed government officials in identified study communities; estimated to be approximately 25.</w:t>
            </w:r>
          </w:p>
          <w:p w:rsidR="002C029C" w:rsidRPr="006C1CFB" w14:paraId="6363E541" w14:textId="77777777">
            <w:pPr>
              <w:rPr>
                <w:rFonts w:eastAsia="Calibri"/>
                <w:bCs/>
              </w:rPr>
            </w:pPr>
          </w:p>
          <w:p w:rsidR="002C029C" w:rsidRPr="006C1CFB" w14:paraId="0A5ED4E5" w14:textId="77777777">
            <w:pPr>
              <w:rPr>
                <w:rFonts w:eastAsia="Calibri"/>
                <w:bCs/>
              </w:rPr>
            </w:pPr>
            <w:r w:rsidRPr="006C1CFB">
              <w:rPr>
                <w:rFonts w:eastAsia="Calibri"/>
                <w:bCs/>
              </w:rPr>
              <w:t>Content:</w:t>
            </w:r>
          </w:p>
          <w:p w:rsidR="002C029C" w:rsidRPr="006C1CFB" w14:paraId="731A0657" w14:textId="77777777">
            <w:pPr>
              <w:pStyle w:val="ListParagraph"/>
              <w:numPr>
                <w:ilvl w:val="0"/>
                <w:numId w:val="19"/>
              </w:numPr>
              <w:rPr>
                <w:rFonts w:eastAsia="Calibri"/>
                <w:bCs/>
                <w:sz w:val="20"/>
                <w:szCs w:val="20"/>
              </w:rPr>
            </w:pPr>
            <w:r w:rsidRPr="006C1CFB">
              <w:rPr>
                <w:rFonts w:eastAsia="Calibri"/>
                <w:bCs/>
                <w:sz w:val="20"/>
                <w:szCs w:val="20"/>
              </w:rPr>
              <w:t>Housing markets</w:t>
            </w:r>
          </w:p>
          <w:p w:rsidR="002C029C" w:rsidRPr="006C1CFB" w14:paraId="48723DCD" w14:textId="77777777">
            <w:pPr>
              <w:pStyle w:val="ListParagraph"/>
              <w:numPr>
                <w:ilvl w:val="0"/>
                <w:numId w:val="19"/>
              </w:numPr>
              <w:rPr>
                <w:rFonts w:eastAsia="Calibri"/>
                <w:bCs/>
                <w:sz w:val="20"/>
                <w:szCs w:val="20"/>
              </w:rPr>
            </w:pPr>
            <w:r w:rsidRPr="006C1CFB">
              <w:rPr>
                <w:rFonts w:eastAsia="Calibri"/>
                <w:bCs/>
                <w:sz w:val="20"/>
                <w:szCs w:val="20"/>
              </w:rPr>
              <w:t>Renter populations</w:t>
            </w:r>
          </w:p>
          <w:p w:rsidR="002C029C" w:rsidRPr="006C1CFB" w14:paraId="61B9C799" w14:textId="77777777">
            <w:pPr>
              <w:pStyle w:val="ListParagraph"/>
              <w:numPr>
                <w:ilvl w:val="0"/>
                <w:numId w:val="19"/>
              </w:numPr>
              <w:rPr>
                <w:rFonts w:eastAsia="Calibri"/>
                <w:bCs/>
                <w:sz w:val="20"/>
                <w:szCs w:val="20"/>
              </w:rPr>
            </w:pPr>
            <w:r w:rsidRPr="006C1CFB">
              <w:rPr>
                <w:rFonts w:eastAsia="Calibri"/>
                <w:bCs/>
                <w:sz w:val="20"/>
                <w:szCs w:val="20"/>
              </w:rPr>
              <w:t xml:space="preserve">CDBG-DR implementation and management </w:t>
            </w:r>
          </w:p>
          <w:p w:rsidR="002C029C" w:rsidRPr="006C1CFB" w14:paraId="2F2B2887" w14:textId="77777777">
            <w:pPr>
              <w:pStyle w:val="ListParagraph"/>
              <w:numPr>
                <w:ilvl w:val="0"/>
                <w:numId w:val="19"/>
              </w:numPr>
              <w:rPr>
                <w:rFonts w:eastAsia="Calibri"/>
                <w:bCs/>
                <w:sz w:val="20"/>
                <w:szCs w:val="20"/>
              </w:rPr>
            </w:pPr>
            <w:r w:rsidRPr="006C1CFB">
              <w:rPr>
                <w:rFonts w:eastAsia="Calibri"/>
                <w:bCs/>
                <w:sz w:val="20"/>
                <w:szCs w:val="20"/>
              </w:rPr>
              <w:t>Disaster risk perceptions</w:t>
            </w:r>
          </w:p>
          <w:p w:rsidR="002C029C" w:rsidRPr="006C1CFB" w14:paraId="25BE84C2" w14:textId="77777777">
            <w:pPr>
              <w:rPr>
                <w:rFonts w:eastAsia="Calibri"/>
                <w:bCs/>
              </w:rPr>
            </w:pPr>
          </w:p>
          <w:p w:rsidR="002C029C" w:rsidRPr="006C1CFB" w14:paraId="18F7C56B" w14:textId="77777777">
            <w:pPr>
              <w:rPr>
                <w:rFonts w:eastAsia="Calibri"/>
                <w:bCs/>
              </w:rPr>
            </w:pPr>
            <w:r w:rsidRPr="006C1CFB">
              <w:rPr>
                <w:rFonts w:eastAsia="Calibri"/>
                <w:bCs/>
              </w:rPr>
              <w:t xml:space="preserve">Reason: The interviews will elicit qualitative data about topics for which there is no available existing data source, including local changes in housing markets and renter populations following disasters; CDBG-DR activities, expenditures, and outcomes; </w:t>
            </w:r>
            <w:r w:rsidRPr="006C1CFB">
              <w:rPr>
                <w:rFonts w:eastAsia="Calibri"/>
                <w:bCs/>
              </w:rPr>
              <w:t>impacts from CDBG-DR requirements; and perceptions of local future disaster risks.</w:t>
            </w:r>
          </w:p>
        </w:tc>
      </w:tr>
      <w:tr w14:paraId="2B882D2F" w14:textId="77777777">
        <w:tblPrEx>
          <w:tblW w:w="4813" w:type="pct"/>
          <w:tblInd w:w="378" w:type="dxa"/>
          <w:tblLayout w:type="fixed"/>
          <w:tblLook w:val="04A0"/>
        </w:tblPrEx>
        <w:trPr>
          <w:trHeight w:val="930"/>
        </w:trPr>
        <w:tc>
          <w:tcPr>
            <w:tcW w:w="1248" w:type="pct"/>
            <w:shd w:val="clear" w:color="auto" w:fill="auto"/>
          </w:tcPr>
          <w:p w:rsidR="002C029C" w:rsidRPr="006C1CFB" w14:paraId="3DBFFAB9" w14:textId="77777777">
            <w:pPr>
              <w:rPr>
                <w:rFonts w:eastAsia="Calibri"/>
                <w:bCs/>
              </w:rPr>
            </w:pPr>
            <w:r w:rsidRPr="006C1CFB">
              <w:rPr>
                <w:rFonts w:eastAsia="Calibri"/>
                <w:bCs/>
              </w:rPr>
              <w:t>Qualitative interviews with professionals and business services representatives</w:t>
            </w:r>
          </w:p>
          <w:p w:rsidR="002C029C" w:rsidRPr="006C1CFB" w14:paraId="09026C8B" w14:textId="77777777">
            <w:pPr>
              <w:rPr>
                <w:rFonts w:eastAsia="Calibri"/>
                <w:bCs/>
              </w:rPr>
            </w:pPr>
          </w:p>
          <w:p w:rsidR="002C029C" w:rsidRPr="006C1CFB" w14:paraId="3D0AC219" w14:textId="77777777">
            <w:pPr>
              <w:rPr>
                <w:rFonts w:eastAsia="Calibri"/>
                <w:bCs/>
              </w:rPr>
            </w:pPr>
            <w:r w:rsidRPr="006C1CFB">
              <w:rPr>
                <w:rFonts w:eastAsia="Calibri"/>
                <w:bCs/>
              </w:rPr>
              <w:t xml:space="preserve">Appendices </w:t>
            </w:r>
          </w:p>
          <w:p w:rsidR="002C029C" w:rsidRPr="006C1CFB" w14:paraId="60C51C5C" w14:textId="77777777">
            <w:pPr>
              <w:rPr>
                <w:rFonts w:eastAsia="Calibri"/>
                <w:bCs/>
              </w:rPr>
            </w:pPr>
            <w:r w:rsidRPr="006C1CFB">
              <w:rPr>
                <w:rFonts w:eastAsia="Calibri"/>
                <w:bCs/>
              </w:rPr>
              <w:t>C, I, J</w:t>
            </w:r>
          </w:p>
        </w:tc>
        <w:tc>
          <w:tcPr>
            <w:tcW w:w="3752" w:type="pct"/>
            <w:shd w:val="clear" w:color="auto" w:fill="auto"/>
          </w:tcPr>
          <w:p w:rsidR="002C029C" w:rsidRPr="006C1CFB" w14:paraId="04DDE91D" w14:textId="77777777">
            <w:pPr>
              <w:rPr>
                <w:rFonts w:eastAsia="Calibri"/>
                <w:bCs/>
              </w:rPr>
            </w:pPr>
            <w:r w:rsidRPr="006C1CFB">
              <w:rPr>
                <w:rFonts w:eastAsia="Calibri"/>
                <w:bCs/>
              </w:rPr>
              <w:t xml:space="preserve">Respondents: </w:t>
            </w:r>
            <w:r w:rsidRPr="006C1CFB">
              <w:rPr>
                <w:rFonts w:eastAsia="Calibri"/>
                <w:bCs/>
                <w:shd w:val="clear" w:color="auto" w:fill="FFFFFF"/>
              </w:rPr>
              <w:t xml:space="preserve">PHA staff and property owners and staff; estimated to be approximately 20. </w:t>
            </w:r>
          </w:p>
          <w:p w:rsidR="002C029C" w:rsidRPr="006C1CFB" w14:paraId="5044C265" w14:textId="77777777">
            <w:pPr>
              <w:rPr>
                <w:rFonts w:eastAsia="Calibri"/>
                <w:bCs/>
              </w:rPr>
            </w:pPr>
          </w:p>
          <w:p w:rsidR="002C029C" w:rsidRPr="006C1CFB" w14:paraId="78E273C1" w14:textId="77777777">
            <w:pPr>
              <w:rPr>
                <w:rFonts w:eastAsia="Calibri"/>
                <w:bCs/>
              </w:rPr>
            </w:pPr>
            <w:r w:rsidRPr="006C1CFB">
              <w:rPr>
                <w:rFonts w:eastAsia="Calibri"/>
                <w:bCs/>
              </w:rPr>
              <w:t xml:space="preserve">Content: </w:t>
            </w:r>
          </w:p>
          <w:p w:rsidR="002C029C" w:rsidRPr="006C1CFB" w14:paraId="227FB5DE" w14:textId="77777777">
            <w:pPr>
              <w:pStyle w:val="ListParagraph"/>
              <w:numPr>
                <w:ilvl w:val="0"/>
                <w:numId w:val="20"/>
              </w:numPr>
              <w:rPr>
                <w:rFonts w:eastAsia="Calibri"/>
                <w:bCs/>
                <w:sz w:val="20"/>
                <w:szCs w:val="20"/>
              </w:rPr>
            </w:pPr>
            <w:r w:rsidRPr="006C1CFB">
              <w:rPr>
                <w:rFonts w:eastAsia="Calibri"/>
                <w:bCs/>
                <w:sz w:val="20"/>
                <w:szCs w:val="20"/>
              </w:rPr>
              <w:t>Rental markets</w:t>
            </w:r>
          </w:p>
          <w:p w:rsidR="002C029C" w:rsidRPr="006C1CFB" w14:paraId="1870B7C7" w14:textId="77777777">
            <w:pPr>
              <w:pStyle w:val="ListParagraph"/>
              <w:numPr>
                <w:ilvl w:val="0"/>
                <w:numId w:val="20"/>
              </w:numPr>
              <w:rPr>
                <w:rFonts w:eastAsia="Calibri"/>
                <w:bCs/>
                <w:sz w:val="20"/>
                <w:szCs w:val="20"/>
              </w:rPr>
            </w:pPr>
            <w:r w:rsidRPr="006C1CFB">
              <w:rPr>
                <w:rFonts w:eastAsia="Calibri"/>
                <w:bCs/>
                <w:sz w:val="20"/>
                <w:szCs w:val="20"/>
              </w:rPr>
              <w:t xml:space="preserve">Rental housing dynamics </w:t>
            </w:r>
          </w:p>
          <w:p w:rsidR="002C029C" w:rsidRPr="006C1CFB" w14:paraId="374714A0" w14:textId="77777777">
            <w:pPr>
              <w:pStyle w:val="ListParagraph"/>
              <w:numPr>
                <w:ilvl w:val="0"/>
                <w:numId w:val="20"/>
              </w:numPr>
              <w:rPr>
                <w:rFonts w:eastAsia="Calibri"/>
                <w:bCs/>
                <w:sz w:val="20"/>
                <w:szCs w:val="20"/>
              </w:rPr>
            </w:pPr>
            <w:r w:rsidRPr="006C1CFB">
              <w:rPr>
                <w:rFonts w:eastAsia="Calibri"/>
                <w:bCs/>
                <w:sz w:val="20"/>
                <w:szCs w:val="20"/>
              </w:rPr>
              <w:t xml:space="preserve">Disaster impacts on rental </w:t>
            </w:r>
            <w:r w:rsidRPr="006C1CFB">
              <w:rPr>
                <w:rFonts w:eastAsia="Calibri"/>
                <w:bCs/>
                <w:sz w:val="20"/>
                <w:szCs w:val="20"/>
              </w:rPr>
              <w:t>markets</w:t>
            </w:r>
            <w:r w:rsidRPr="006C1CFB">
              <w:rPr>
                <w:rFonts w:eastAsia="Calibri"/>
                <w:bCs/>
                <w:sz w:val="20"/>
                <w:szCs w:val="20"/>
              </w:rPr>
              <w:t xml:space="preserve"> </w:t>
            </w:r>
          </w:p>
          <w:p w:rsidR="002C029C" w:rsidRPr="006C1CFB" w14:paraId="3CEF14F8" w14:textId="77777777">
            <w:pPr>
              <w:rPr>
                <w:rFonts w:eastAsia="Calibri"/>
                <w:bCs/>
              </w:rPr>
            </w:pPr>
          </w:p>
          <w:p w:rsidR="002C029C" w:rsidRPr="006C1CFB" w14:paraId="3B043593" w14:textId="77777777">
            <w:pPr>
              <w:rPr>
                <w:rFonts w:eastAsia="Calibri"/>
                <w:bCs/>
              </w:rPr>
            </w:pPr>
            <w:r w:rsidRPr="006C1CFB">
              <w:rPr>
                <w:rFonts w:eastAsia="Calibri"/>
                <w:bCs/>
              </w:rPr>
              <w:t>Reason: The interviews will elicit qualitative data about topics for which there is no available existing data source, including local rental and subsidized housing markets, rental housing costs and rental market dynamics, rental housing quality, access to resources, and changes in rental housing markets and renter populations following disasters.</w:t>
            </w:r>
          </w:p>
        </w:tc>
      </w:tr>
      <w:tr w14:paraId="16D41F25" w14:textId="77777777">
        <w:tblPrEx>
          <w:tblW w:w="4813" w:type="pct"/>
          <w:tblInd w:w="378" w:type="dxa"/>
          <w:tblLayout w:type="fixed"/>
          <w:tblLook w:val="04A0"/>
        </w:tblPrEx>
        <w:trPr>
          <w:trHeight w:val="300"/>
        </w:trPr>
        <w:tc>
          <w:tcPr>
            <w:tcW w:w="1248" w:type="pct"/>
            <w:shd w:val="clear" w:color="auto" w:fill="auto"/>
          </w:tcPr>
          <w:p w:rsidR="002C029C" w:rsidRPr="006C1CFB" w14:paraId="223A2351" w14:textId="77777777">
            <w:pPr>
              <w:rPr>
                <w:rFonts w:eastAsia="Calibri"/>
                <w:bCs/>
              </w:rPr>
            </w:pPr>
            <w:r w:rsidRPr="006C1CFB">
              <w:rPr>
                <w:rFonts w:eastAsia="Calibri"/>
                <w:bCs/>
              </w:rPr>
              <w:t xml:space="preserve">Qualitative interviews with private sector employees </w:t>
            </w:r>
          </w:p>
          <w:p w:rsidR="002C029C" w:rsidRPr="006C1CFB" w14:paraId="2B699998" w14:textId="77777777">
            <w:pPr>
              <w:rPr>
                <w:rFonts w:eastAsia="Calibri"/>
                <w:bCs/>
              </w:rPr>
            </w:pPr>
          </w:p>
          <w:p w:rsidR="002C029C" w:rsidRPr="006C1CFB" w14:paraId="0D36146B" w14:textId="77777777">
            <w:pPr>
              <w:rPr>
                <w:rFonts w:eastAsia="Calibri"/>
                <w:bCs/>
              </w:rPr>
            </w:pPr>
            <w:r w:rsidRPr="006C1CFB">
              <w:rPr>
                <w:rFonts w:eastAsia="Calibri"/>
                <w:bCs/>
              </w:rPr>
              <w:t xml:space="preserve">Appendices </w:t>
            </w:r>
          </w:p>
          <w:p w:rsidR="002C029C" w:rsidRPr="006C1CFB" w14:paraId="6EBA0930" w14:textId="77777777">
            <w:pPr>
              <w:rPr>
                <w:rFonts w:eastAsia="Calibri"/>
                <w:bCs/>
              </w:rPr>
            </w:pPr>
            <w:r w:rsidRPr="006C1CFB">
              <w:rPr>
                <w:rFonts w:eastAsia="Calibri"/>
                <w:bCs/>
              </w:rPr>
              <w:t>C, D, E, F, I, J</w:t>
            </w:r>
          </w:p>
          <w:p w:rsidR="002C029C" w:rsidRPr="006C1CFB" w14:paraId="71FF58BE" w14:textId="77777777">
            <w:pPr>
              <w:rPr>
                <w:rFonts w:eastAsia="Calibri"/>
                <w:bCs/>
              </w:rPr>
            </w:pPr>
          </w:p>
        </w:tc>
        <w:tc>
          <w:tcPr>
            <w:tcW w:w="3752" w:type="pct"/>
            <w:shd w:val="clear" w:color="auto" w:fill="auto"/>
          </w:tcPr>
          <w:p w:rsidR="002C029C" w:rsidRPr="006C1CFB" w14:paraId="6BFC56D9" w14:textId="77777777">
            <w:pPr>
              <w:rPr>
                <w:rFonts w:eastAsia="Calibri"/>
                <w:bCs/>
              </w:rPr>
            </w:pPr>
            <w:r w:rsidRPr="006C1CFB">
              <w:rPr>
                <w:rFonts w:eastAsia="Calibri"/>
                <w:bCs/>
              </w:rPr>
              <w:t>Respondents: Representatives from CDFIs, private developers, private landlords, advocacy organizations, renters, and other private sector professionals; estimated to be approximately 25.</w:t>
            </w:r>
          </w:p>
          <w:p w:rsidR="002C029C" w:rsidRPr="006C1CFB" w14:paraId="4A9CBD57" w14:textId="77777777">
            <w:pPr>
              <w:rPr>
                <w:rFonts w:eastAsia="Calibri"/>
                <w:bCs/>
              </w:rPr>
            </w:pPr>
          </w:p>
          <w:p w:rsidR="002C029C" w:rsidRPr="006C1CFB" w14:paraId="7A188BD8" w14:textId="77777777">
            <w:pPr>
              <w:rPr>
                <w:rFonts w:eastAsia="Calibri"/>
                <w:bCs/>
              </w:rPr>
            </w:pPr>
            <w:r w:rsidRPr="006C1CFB">
              <w:rPr>
                <w:rFonts w:eastAsia="Calibri"/>
                <w:bCs/>
              </w:rPr>
              <w:t xml:space="preserve">Content: </w:t>
            </w:r>
          </w:p>
          <w:p w:rsidR="002C029C" w:rsidRPr="006C1CFB" w14:paraId="1AB9C420" w14:textId="77777777">
            <w:pPr>
              <w:pStyle w:val="ListParagraph"/>
              <w:numPr>
                <w:ilvl w:val="0"/>
                <w:numId w:val="21"/>
              </w:numPr>
              <w:rPr>
                <w:rFonts w:eastAsia="Calibri"/>
                <w:bCs/>
                <w:sz w:val="20"/>
                <w:szCs w:val="20"/>
              </w:rPr>
            </w:pPr>
            <w:r w:rsidRPr="006C1CFB">
              <w:rPr>
                <w:rFonts w:eastAsia="Calibri"/>
                <w:bCs/>
                <w:sz w:val="20"/>
                <w:szCs w:val="20"/>
              </w:rPr>
              <w:t xml:space="preserve">Housing planning and decision-making </w:t>
            </w:r>
          </w:p>
          <w:p w:rsidR="002C029C" w:rsidRPr="006C1CFB" w14:paraId="63A5AD68" w14:textId="77777777">
            <w:pPr>
              <w:pStyle w:val="ListParagraph"/>
              <w:numPr>
                <w:ilvl w:val="0"/>
                <w:numId w:val="21"/>
              </w:numPr>
              <w:rPr>
                <w:rFonts w:eastAsia="Calibri"/>
                <w:bCs/>
                <w:sz w:val="20"/>
                <w:szCs w:val="20"/>
              </w:rPr>
            </w:pPr>
            <w:r w:rsidRPr="006C1CFB">
              <w:rPr>
                <w:rFonts w:eastAsia="Calibri"/>
                <w:bCs/>
                <w:sz w:val="20"/>
                <w:szCs w:val="20"/>
              </w:rPr>
              <w:t xml:space="preserve">Housing redevelopment </w:t>
            </w:r>
          </w:p>
          <w:p w:rsidR="002C029C" w:rsidRPr="006C1CFB" w14:paraId="65FA47F2" w14:textId="77777777">
            <w:pPr>
              <w:pStyle w:val="ListParagraph"/>
              <w:numPr>
                <w:ilvl w:val="0"/>
                <w:numId w:val="21"/>
              </w:numPr>
              <w:rPr>
                <w:rFonts w:eastAsia="Calibri"/>
                <w:bCs/>
                <w:sz w:val="20"/>
                <w:szCs w:val="20"/>
              </w:rPr>
            </w:pPr>
            <w:r w:rsidRPr="006C1CFB">
              <w:rPr>
                <w:rFonts w:eastAsia="Calibri"/>
                <w:bCs/>
                <w:sz w:val="20"/>
                <w:szCs w:val="20"/>
              </w:rPr>
              <w:t>Disaster displacement</w:t>
            </w:r>
          </w:p>
          <w:p w:rsidR="002C029C" w:rsidRPr="006C1CFB" w14:paraId="4DA6EE99" w14:textId="77777777">
            <w:pPr>
              <w:pStyle w:val="ListParagraph"/>
              <w:numPr>
                <w:ilvl w:val="0"/>
                <w:numId w:val="21"/>
              </w:numPr>
              <w:rPr>
                <w:rFonts w:eastAsia="Calibri"/>
                <w:bCs/>
                <w:sz w:val="20"/>
                <w:szCs w:val="20"/>
              </w:rPr>
            </w:pPr>
            <w:r w:rsidRPr="006C1CFB">
              <w:rPr>
                <w:rFonts w:eastAsia="Calibri"/>
                <w:bCs/>
                <w:sz w:val="20"/>
                <w:szCs w:val="20"/>
              </w:rPr>
              <w:t xml:space="preserve">Housing experiences </w:t>
            </w:r>
          </w:p>
          <w:p w:rsidR="002C029C" w:rsidRPr="006C1CFB" w14:paraId="181C3BB3" w14:textId="77777777">
            <w:pPr>
              <w:pStyle w:val="ListParagraph"/>
              <w:numPr>
                <w:ilvl w:val="0"/>
                <w:numId w:val="21"/>
              </w:numPr>
              <w:rPr>
                <w:rFonts w:eastAsia="Calibri"/>
                <w:bCs/>
                <w:sz w:val="20"/>
                <w:szCs w:val="20"/>
              </w:rPr>
            </w:pPr>
            <w:r w:rsidRPr="006C1CFB">
              <w:rPr>
                <w:rFonts w:eastAsia="Calibri"/>
                <w:bCs/>
                <w:sz w:val="20"/>
                <w:szCs w:val="20"/>
              </w:rPr>
              <w:t xml:space="preserve">Rental markets </w:t>
            </w:r>
          </w:p>
          <w:p w:rsidR="002C029C" w:rsidRPr="006C1CFB" w14:paraId="0E2B0CE2" w14:textId="77777777">
            <w:pPr>
              <w:pStyle w:val="ListParagraph"/>
              <w:numPr>
                <w:ilvl w:val="0"/>
                <w:numId w:val="21"/>
              </w:numPr>
              <w:rPr>
                <w:rFonts w:eastAsia="Calibri"/>
                <w:bCs/>
                <w:sz w:val="20"/>
                <w:szCs w:val="20"/>
              </w:rPr>
            </w:pPr>
            <w:r w:rsidRPr="006C1CFB">
              <w:rPr>
                <w:rFonts w:eastAsia="Calibri"/>
                <w:bCs/>
                <w:sz w:val="20"/>
                <w:szCs w:val="20"/>
              </w:rPr>
              <w:t xml:space="preserve">Rental housing dynamics </w:t>
            </w:r>
          </w:p>
          <w:p w:rsidR="002C029C" w:rsidRPr="006C1CFB" w14:paraId="2499FF30" w14:textId="77777777">
            <w:pPr>
              <w:pStyle w:val="ListParagraph"/>
              <w:numPr>
                <w:ilvl w:val="0"/>
                <w:numId w:val="21"/>
              </w:numPr>
              <w:rPr>
                <w:rFonts w:eastAsia="Calibri"/>
                <w:bCs/>
                <w:sz w:val="20"/>
                <w:szCs w:val="20"/>
              </w:rPr>
            </w:pPr>
            <w:r w:rsidRPr="006C1CFB">
              <w:rPr>
                <w:rFonts w:eastAsia="Calibri"/>
                <w:bCs/>
                <w:sz w:val="20"/>
                <w:szCs w:val="20"/>
              </w:rPr>
              <w:t xml:space="preserve">Disaster impacts on rental </w:t>
            </w:r>
            <w:r w:rsidRPr="006C1CFB">
              <w:rPr>
                <w:rFonts w:eastAsia="Calibri"/>
                <w:bCs/>
                <w:sz w:val="20"/>
                <w:szCs w:val="20"/>
              </w:rPr>
              <w:t>markets</w:t>
            </w:r>
            <w:r w:rsidRPr="006C1CFB">
              <w:rPr>
                <w:rFonts w:eastAsia="Calibri"/>
                <w:bCs/>
                <w:sz w:val="20"/>
                <w:szCs w:val="20"/>
              </w:rPr>
              <w:t xml:space="preserve"> </w:t>
            </w:r>
          </w:p>
          <w:p w:rsidR="002C029C" w:rsidRPr="006C1CFB" w14:paraId="42DF9A0C" w14:textId="77777777">
            <w:pPr>
              <w:rPr>
                <w:rFonts w:eastAsia="Calibri"/>
                <w:bCs/>
              </w:rPr>
            </w:pPr>
          </w:p>
          <w:p w:rsidR="002C029C" w:rsidRPr="006C1CFB" w14:paraId="17258E63" w14:textId="77777777">
            <w:pPr>
              <w:rPr>
                <w:rFonts w:eastAsia="Calibri"/>
                <w:bCs/>
              </w:rPr>
            </w:pPr>
            <w:r w:rsidRPr="006C1CFB">
              <w:rPr>
                <w:rFonts w:eastAsia="Calibri"/>
                <w:bCs/>
              </w:rPr>
              <w:t>Reason: The interviews will elicit qualitative data about topics for which there is no available existing data source, including decision making; local outcomes of housing redevelopment; personal experiences with displacement, housing quality, cost burden, and financial distress; rental and subsidized housing markets; rental market dynamics; rental housing quality; access to resources; and changes in rental housing markets and renter populations following disasters.</w:t>
            </w:r>
          </w:p>
        </w:tc>
      </w:tr>
      <w:tr w14:paraId="60A5F27C" w14:textId="77777777">
        <w:tblPrEx>
          <w:tblW w:w="4813" w:type="pct"/>
          <w:tblInd w:w="378" w:type="dxa"/>
          <w:tblLayout w:type="fixed"/>
          <w:tblLook w:val="04A0"/>
        </w:tblPrEx>
        <w:trPr>
          <w:trHeight w:val="300"/>
        </w:trPr>
        <w:tc>
          <w:tcPr>
            <w:tcW w:w="1248" w:type="pct"/>
            <w:shd w:val="clear" w:color="auto" w:fill="auto"/>
          </w:tcPr>
          <w:p w:rsidR="002C029C" w:rsidRPr="006C1CFB" w14:paraId="62BB843D" w14:textId="77777777">
            <w:pPr>
              <w:rPr>
                <w:rFonts w:eastAsia="Calibri"/>
                <w:bCs/>
              </w:rPr>
            </w:pPr>
            <w:r w:rsidRPr="006C1CFB">
              <w:rPr>
                <w:rFonts w:eastAsia="Calibri"/>
                <w:bCs/>
              </w:rPr>
              <w:t xml:space="preserve">Qualitative focus groups with private sector employees </w:t>
            </w:r>
          </w:p>
          <w:p w:rsidR="002C029C" w:rsidRPr="006C1CFB" w14:paraId="4ECD0209" w14:textId="77777777">
            <w:pPr>
              <w:rPr>
                <w:rFonts w:eastAsia="Calibri"/>
                <w:bCs/>
              </w:rPr>
            </w:pPr>
          </w:p>
          <w:p w:rsidR="002C029C" w:rsidRPr="006C1CFB" w14:paraId="29D3DFFF" w14:textId="77777777">
            <w:pPr>
              <w:rPr>
                <w:rFonts w:eastAsia="Calibri"/>
                <w:bCs/>
              </w:rPr>
            </w:pPr>
            <w:r w:rsidRPr="006C1CFB">
              <w:rPr>
                <w:rFonts w:eastAsia="Calibri"/>
                <w:bCs/>
              </w:rPr>
              <w:t>Appendices</w:t>
            </w:r>
          </w:p>
          <w:p w:rsidR="002C029C" w:rsidRPr="006C1CFB" w14:paraId="4045137A" w14:textId="77777777">
            <w:pPr>
              <w:rPr>
                <w:rFonts w:eastAsia="Calibri"/>
                <w:bCs/>
              </w:rPr>
            </w:pPr>
            <w:r w:rsidRPr="006C1CFB">
              <w:rPr>
                <w:rFonts w:eastAsia="Calibri"/>
                <w:bCs/>
              </w:rPr>
              <w:t xml:space="preserve">G, H, K, L, M, N </w:t>
            </w:r>
          </w:p>
        </w:tc>
        <w:tc>
          <w:tcPr>
            <w:tcW w:w="3752" w:type="pct"/>
            <w:shd w:val="clear" w:color="auto" w:fill="auto"/>
          </w:tcPr>
          <w:p w:rsidR="002C029C" w:rsidRPr="006C1CFB" w14:paraId="350900FE" w14:textId="77777777">
            <w:pPr>
              <w:rPr>
                <w:rFonts w:eastAsia="Calibri"/>
                <w:bCs/>
              </w:rPr>
            </w:pPr>
            <w:r w:rsidRPr="006C1CFB">
              <w:rPr>
                <w:rFonts w:eastAsia="Calibri"/>
                <w:bCs/>
              </w:rPr>
              <w:t xml:space="preserve">Respondents: </w:t>
            </w:r>
            <w:r w:rsidRPr="006C1CFB">
              <w:rPr>
                <w:rFonts w:eastAsia="Calibri"/>
                <w:bCs/>
                <w:shd w:val="clear" w:color="auto" w:fill="FFFFFF"/>
              </w:rPr>
              <w:t>R</w:t>
            </w:r>
            <w:r w:rsidRPr="006C1CFB">
              <w:rPr>
                <w:rFonts w:eastAsia="Calibri"/>
                <w:bCs/>
              </w:rPr>
              <w:t>epresentatives from CDFIs, private developers, private landlords, advocacy organizations, renters, and other private sector professionals; estimated to be approximately 125.</w:t>
            </w:r>
          </w:p>
          <w:p w:rsidR="002C029C" w:rsidRPr="006C1CFB" w14:paraId="3577E9AA" w14:textId="77777777">
            <w:pPr>
              <w:rPr>
                <w:rFonts w:eastAsia="Calibri"/>
                <w:bCs/>
              </w:rPr>
            </w:pPr>
          </w:p>
          <w:p w:rsidR="002C029C" w:rsidRPr="006C1CFB" w14:paraId="544BECFB" w14:textId="77777777">
            <w:pPr>
              <w:rPr>
                <w:rFonts w:eastAsia="Calibri"/>
                <w:bCs/>
              </w:rPr>
            </w:pPr>
            <w:r w:rsidRPr="006C1CFB">
              <w:rPr>
                <w:rFonts w:eastAsia="Calibri"/>
                <w:bCs/>
              </w:rPr>
              <w:t xml:space="preserve">Content: </w:t>
            </w:r>
          </w:p>
          <w:p w:rsidR="002C029C" w:rsidRPr="006C1CFB" w14:paraId="7FCF4B4C" w14:textId="77777777">
            <w:pPr>
              <w:pStyle w:val="ListParagraph"/>
              <w:numPr>
                <w:ilvl w:val="0"/>
                <w:numId w:val="21"/>
              </w:numPr>
              <w:rPr>
                <w:rFonts w:eastAsia="Calibri"/>
                <w:bCs/>
                <w:sz w:val="20"/>
                <w:szCs w:val="20"/>
              </w:rPr>
            </w:pPr>
            <w:r w:rsidRPr="006C1CFB">
              <w:rPr>
                <w:rFonts w:eastAsia="Calibri"/>
                <w:bCs/>
                <w:sz w:val="20"/>
                <w:szCs w:val="20"/>
              </w:rPr>
              <w:t xml:space="preserve">Housing planning and decision-making </w:t>
            </w:r>
          </w:p>
          <w:p w:rsidR="002C029C" w:rsidRPr="006C1CFB" w14:paraId="4E8894F3" w14:textId="77777777">
            <w:pPr>
              <w:pStyle w:val="ListParagraph"/>
              <w:numPr>
                <w:ilvl w:val="0"/>
                <w:numId w:val="21"/>
              </w:numPr>
              <w:rPr>
                <w:rFonts w:eastAsia="Calibri"/>
                <w:bCs/>
                <w:sz w:val="20"/>
                <w:szCs w:val="20"/>
              </w:rPr>
            </w:pPr>
            <w:r w:rsidRPr="006C1CFB">
              <w:rPr>
                <w:rFonts w:eastAsia="Calibri"/>
                <w:bCs/>
                <w:sz w:val="20"/>
                <w:szCs w:val="20"/>
              </w:rPr>
              <w:t xml:space="preserve">Housing redevelopment </w:t>
            </w:r>
          </w:p>
          <w:p w:rsidR="002C029C" w:rsidRPr="006C1CFB" w14:paraId="68C70F4F" w14:textId="77777777">
            <w:pPr>
              <w:pStyle w:val="ListParagraph"/>
              <w:numPr>
                <w:ilvl w:val="0"/>
                <w:numId w:val="21"/>
              </w:numPr>
              <w:rPr>
                <w:rFonts w:eastAsia="Calibri"/>
                <w:bCs/>
                <w:sz w:val="20"/>
                <w:szCs w:val="20"/>
              </w:rPr>
            </w:pPr>
            <w:r w:rsidRPr="006C1CFB">
              <w:rPr>
                <w:rFonts w:eastAsia="Calibri"/>
                <w:bCs/>
                <w:sz w:val="20"/>
                <w:szCs w:val="20"/>
              </w:rPr>
              <w:t>Disaster displacement</w:t>
            </w:r>
          </w:p>
          <w:p w:rsidR="002C029C" w:rsidRPr="006C1CFB" w14:paraId="37A32C28" w14:textId="77777777">
            <w:pPr>
              <w:pStyle w:val="ListParagraph"/>
              <w:numPr>
                <w:ilvl w:val="0"/>
                <w:numId w:val="21"/>
              </w:numPr>
              <w:rPr>
                <w:rFonts w:eastAsia="Calibri"/>
                <w:bCs/>
                <w:sz w:val="20"/>
                <w:szCs w:val="20"/>
              </w:rPr>
            </w:pPr>
            <w:r w:rsidRPr="006C1CFB">
              <w:rPr>
                <w:rFonts w:eastAsia="Calibri"/>
                <w:bCs/>
                <w:sz w:val="20"/>
                <w:szCs w:val="20"/>
              </w:rPr>
              <w:t xml:space="preserve">Housing experiences </w:t>
            </w:r>
          </w:p>
          <w:p w:rsidR="002C029C" w:rsidRPr="006C1CFB" w14:paraId="09E1C7F0" w14:textId="77777777">
            <w:pPr>
              <w:pStyle w:val="ListParagraph"/>
              <w:numPr>
                <w:ilvl w:val="0"/>
                <w:numId w:val="21"/>
              </w:numPr>
              <w:rPr>
                <w:rFonts w:eastAsia="Calibri"/>
                <w:bCs/>
                <w:sz w:val="20"/>
                <w:szCs w:val="20"/>
              </w:rPr>
            </w:pPr>
            <w:r w:rsidRPr="006C1CFB">
              <w:rPr>
                <w:rFonts w:eastAsia="Calibri"/>
                <w:bCs/>
                <w:sz w:val="20"/>
                <w:szCs w:val="20"/>
              </w:rPr>
              <w:t xml:space="preserve">Rental markets </w:t>
            </w:r>
          </w:p>
          <w:p w:rsidR="002C029C" w:rsidRPr="006C1CFB" w14:paraId="35BFE7A7" w14:textId="77777777">
            <w:pPr>
              <w:pStyle w:val="ListParagraph"/>
              <w:numPr>
                <w:ilvl w:val="0"/>
                <w:numId w:val="21"/>
              </w:numPr>
              <w:rPr>
                <w:rFonts w:eastAsia="Calibri"/>
                <w:bCs/>
                <w:sz w:val="20"/>
                <w:szCs w:val="20"/>
              </w:rPr>
            </w:pPr>
            <w:r w:rsidRPr="006C1CFB">
              <w:rPr>
                <w:rFonts w:eastAsia="Calibri"/>
                <w:bCs/>
                <w:sz w:val="20"/>
                <w:szCs w:val="20"/>
              </w:rPr>
              <w:t xml:space="preserve">Rental housing dynamics </w:t>
            </w:r>
          </w:p>
          <w:p w:rsidR="002C029C" w:rsidRPr="006C1CFB" w14:paraId="1E26C49E" w14:textId="77777777">
            <w:pPr>
              <w:pStyle w:val="ListParagraph"/>
              <w:numPr>
                <w:ilvl w:val="0"/>
                <w:numId w:val="21"/>
              </w:numPr>
              <w:rPr>
                <w:rFonts w:eastAsia="Calibri"/>
                <w:bCs/>
                <w:sz w:val="20"/>
                <w:szCs w:val="20"/>
              </w:rPr>
            </w:pPr>
            <w:r w:rsidRPr="006C1CFB">
              <w:rPr>
                <w:rFonts w:eastAsia="Calibri"/>
                <w:bCs/>
                <w:sz w:val="20"/>
                <w:szCs w:val="20"/>
              </w:rPr>
              <w:t xml:space="preserve">Disaster impacts on rental </w:t>
            </w:r>
            <w:r w:rsidRPr="006C1CFB">
              <w:rPr>
                <w:rFonts w:eastAsia="Calibri"/>
                <w:bCs/>
                <w:sz w:val="20"/>
                <w:szCs w:val="20"/>
              </w:rPr>
              <w:t>markets</w:t>
            </w:r>
            <w:r w:rsidRPr="006C1CFB">
              <w:rPr>
                <w:rFonts w:eastAsia="Calibri"/>
                <w:bCs/>
                <w:sz w:val="20"/>
                <w:szCs w:val="20"/>
              </w:rPr>
              <w:t xml:space="preserve"> </w:t>
            </w:r>
          </w:p>
          <w:p w:rsidR="002C029C" w:rsidRPr="006C1CFB" w14:paraId="505197CC" w14:textId="77777777">
            <w:pPr>
              <w:rPr>
                <w:rFonts w:eastAsia="Calibri"/>
                <w:bCs/>
              </w:rPr>
            </w:pPr>
          </w:p>
          <w:p w:rsidR="002C029C" w:rsidRPr="006C1CFB" w14:paraId="65394200" w14:textId="77777777">
            <w:pPr>
              <w:rPr>
                <w:rFonts w:eastAsia="Calibri"/>
                <w:bCs/>
              </w:rPr>
            </w:pPr>
            <w:r w:rsidRPr="006C1CFB">
              <w:rPr>
                <w:rFonts w:eastAsia="Calibri"/>
                <w:bCs/>
              </w:rPr>
              <w:t>Reason: The focus groups will elicit qualitative data about topics for which there is no available existing data source, including decision making; outcomes of housing redevelopment; personal experiences with displacement, housing quality, cost burden, and financial distress; rental and subsidized housing markets; rental market dynamics; rental housing quality; access to resources; and changes in rental housing markets and renter populations following disasters.</w:t>
            </w:r>
          </w:p>
        </w:tc>
      </w:tr>
    </w:tbl>
    <w:p w:rsidR="002C029C" w:rsidRPr="00832A7F" w:rsidP="002C029C" w14:paraId="59545BE2" w14:textId="77777777">
      <w:pPr>
        <w:keepLines/>
        <w:tabs>
          <w:tab w:val="left" w:pos="360"/>
          <w:tab w:val="left" w:pos="720"/>
        </w:tabs>
        <w:rPr>
          <w:bCs/>
          <w:sz w:val="24"/>
          <w:szCs w:val="24"/>
        </w:rPr>
      </w:pPr>
    </w:p>
    <w:p w:rsidR="002C029C" w:rsidRPr="00832A7F" w14:paraId="1455C8F7" w14:textId="77777777">
      <w:pPr>
        <w:keepLines/>
        <w:tabs>
          <w:tab w:val="left" w:pos="360"/>
          <w:tab w:val="left" w:pos="720"/>
        </w:tabs>
        <w:ind w:left="360"/>
        <w:rPr>
          <w:bCs/>
          <w:sz w:val="24"/>
          <w:szCs w:val="24"/>
        </w:rPr>
      </w:pPr>
    </w:p>
    <w:p w:rsidR="009E13B1" w:rsidRPr="00832A7F" w14:paraId="3A0B79BB" w14:textId="77777777">
      <w:pPr>
        <w:keepLines/>
        <w:tabs>
          <w:tab w:val="left" w:pos="360"/>
        </w:tabs>
        <w:spacing w:after="80"/>
        <w:ind w:left="360" w:hanging="360"/>
        <w:rPr>
          <w:bCs/>
          <w:sz w:val="24"/>
          <w:szCs w:val="24"/>
        </w:rPr>
      </w:pPr>
      <w:r w:rsidRPr="00832A7F">
        <w:rPr>
          <w:b/>
          <w:sz w:val="24"/>
          <w:szCs w:val="24"/>
        </w:rPr>
        <w:t>3.</w:t>
      </w:r>
      <w:r w:rsidRPr="00832A7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32A7F">
        <w:rPr>
          <w:bCs/>
          <w:sz w:val="24"/>
          <w:szCs w:val="24"/>
        </w:rPr>
        <w:t>.</w:t>
      </w:r>
    </w:p>
    <w:p w:rsidR="006C1CFB" w:rsidP="00832A7F" w14:paraId="6549D824" w14:textId="77777777">
      <w:pPr>
        <w:ind w:left="360"/>
        <w:jc w:val="both"/>
        <w:rPr>
          <w:bCs/>
          <w:sz w:val="24"/>
          <w:szCs w:val="24"/>
        </w:rPr>
      </w:pPr>
    </w:p>
    <w:p w:rsidR="002C029C" w:rsidRPr="00832A7F" w:rsidP="00832A7F" w14:paraId="5CF5DBC8" w14:textId="77777777">
      <w:pPr>
        <w:ind w:left="360"/>
        <w:jc w:val="both"/>
        <w:rPr>
          <w:bCs/>
          <w:sz w:val="24"/>
          <w:szCs w:val="24"/>
        </w:rPr>
      </w:pPr>
      <w:r w:rsidRPr="00832A7F">
        <w:rPr>
          <w:bCs/>
          <w:sz w:val="24"/>
          <w:szCs w:val="24"/>
        </w:rPr>
        <w:t xml:space="preserve">Our information </w:t>
      </w:r>
      <w:r w:rsidRPr="00832A7F">
        <w:rPr>
          <w:bCs/>
          <w:sz w:val="24"/>
          <w:szCs w:val="24"/>
        </w:rPr>
        <w:t>collections include</w:t>
      </w:r>
      <w:r w:rsidRPr="00832A7F">
        <w:rPr>
          <w:bCs/>
          <w:sz w:val="24"/>
          <w:szCs w:val="24"/>
        </w:rPr>
        <w:t xml:space="preserve"> in-person interviews and focus groups as part of site visits as well as potential virtual interviews with key informant respondents depending on their location and availability. These qualitative activities require direct person-to-person communication, and using technology would not allow the flexibility the project requires nor capture the depth of qualitative information needed to fully understand how the CDBG-DR program is administered and experienced.</w:t>
      </w:r>
    </w:p>
    <w:p w:rsidR="00832A7F" w:rsidP="00832A7F" w14:paraId="5EFD676A" w14:textId="77777777">
      <w:pPr>
        <w:ind w:left="360"/>
        <w:jc w:val="both"/>
        <w:rPr>
          <w:bCs/>
          <w:sz w:val="24"/>
          <w:szCs w:val="24"/>
        </w:rPr>
      </w:pPr>
    </w:p>
    <w:p w:rsidR="002C029C" w:rsidRPr="00832A7F" w:rsidP="00832A7F" w14:paraId="3A752C98" w14:textId="77777777">
      <w:pPr>
        <w:ind w:left="360"/>
        <w:jc w:val="both"/>
        <w:rPr>
          <w:bCs/>
          <w:sz w:val="24"/>
          <w:szCs w:val="24"/>
        </w:rPr>
      </w:pPr>
      <w:r w:rsidRPr="00832A7F">
        <w:rPr>
          <w:bCs/>
          <w:sz w:val="24"/>
          <w:szCs w:val="24"/>
        </w:rPr>
        <w:t xml:space="preserve">For those that prefer or have scheduling limitations during in-person data collection, interviews may be conducted virtually using common videoconferencing services such as Zoom or Teams. In all cases, respondents will also be provided with a toll-free telephone number as an alternate mode of access. The use of a phone-in option for completion will reduce </w:t>
      </w:r>
      <w:r w:rsidRPr="00832A7F">
        <w:rPr>
          <w:bCs/>
          <w:sz w:val="24"/>
          <w:szCs w:val="24"/>
        </w:rPr>
        <w:t>burden</w:t>
      </w:r>
      <w:r w:rsidRPr="00832A7F">
        <w:rPr>
          <w:bCs/>
          <w:sz w:val="24"/>
          <w:szCs w:val="24"/>
        </w:rPr>
        <w:t xml:space="preserve"> for participants with limited internet access. We will reduce the burden on staff who are interviewed by identifying relevant staff prior to the site visit,</w:t>
      </w:r>
    </w:p>
    <w:p w:rsidR="00832A7F" w:rsidP="00832A7F" w14:paraId="3C3C89F4" w14:textId="77777777">
      <w:pPr>
        <w:ind w:left="360"/>
        <w:jc w:val="both"/>
        <w:rPr>
          <w:bCs/>
          <w:sz w:val="24"/>
          <w:szCs w:val="24"/>
        </w:rPr>
      </w:pPr>
    </w:p>
    <w:p w:rsidR="009E13B1" w:rsidRPr="00832A7F" w:rsidP="00832A7F" w14:paraId="79851B19" w14:textId="77777777">
      <w:pPr>
        <w:ind w:left="360"/>
        <w:jc w:val="both"/>
        <w:rPr>
          <w:bCs/>
          <w:sz w:val="24"/>
          <w:szCs w:val="24"/>
        </w:rPr>
      </w:pPr>
      <w:r w:rsidRPr="00832A7F">
        <w:rPr>
          <w:bCs/>
          <w:sz w:val="24"/>
          <w:szCs w:val="24"/>
        </w:rPr>
        <w:t xml:space="preserve">providing advance copies of the interview </w:t>
      </w:r>
      <w:r w:rsidRPr="00832A7F">
        <w:rPr>
          <w:bCs/>
          <w:sz w:val="24"/>
          <w:szCs w:val="24"/>
        </w:rPr>
        <w:t>topics, and</w:t>
      </w:r>
      <w:r w:rsidRPr="00832A7F">
        <w:rPr>
          <w:bCs/>
          <w:sz w:val="24"/>
          <w:szCs w:val="24"/>
        </w:rPr>
        <w:t xml:space="preserve"> recording and preparing transcripts of the interviews (if interviewees agree) to minimize time needed for potential follow up for clarification.</w:t>
      </w:r>
    </w:p>
    <w:p w:rsidR="002C029C" w:rsidRPr="00832A7F" w14:paraId="026D7689" w14:textId="77777777">
      <w:pPr>
        <w:tabs>
          <w:tab w:val="left" w:pos="360"/>
        </w:tabs>
        <w:ind w:left="360" w:hanging="360"/>
        <w:rPr>
          <w:bCs/>
          <w:sz w:val="24"/>
          <w:szCs w:val="24"/>
        </w:rPr>
      </w:pPr>
    </w:p>
    <w:p w:rsidR="009E13B1" w:rsidRPr="00832A7F" w14:paraId="3C692157" w14:textId="77777777">
      <w:pPr>
        <w:keepLines/>
        <w:tabs>
          <w:tab w:val="left" w:pos="360"/>
        </w:tabs>
        <w:spacing w:after="80"/>
        <w:ind w:left="360" w:hanging="360"/>
        <w:rPr>
          <w:b/>
          <w:sz w:val="24"/>
          <w:szCs w:val="24"/>
        </w:rPr>
      </w:pPr>
      <w:r w:rsidRPr="00832A7F">
        <w:rPr>
          <w:b/>
          <w:sz w:val="24"/>
          <w:szCs w:val="24"/>
        </w:rPr>
        <w:t>4.</w:t>
      </w:r>
      <w:r w:rsidRPr="00832A7F">
        <w:rPr>
          <w:b/>
          <w:sz w:val="24"/>
          <w:szCs w:val="24"/>
        </w:rPr>
        <w:tab/>
        <w:t>Describe efforts to identify duplication.  Show specifically why any similar information already available cannot be used or modified for use for the purposes described in Item 2 above.</w:t>
      </w:r>
    </w:p>
    <w:p w:rsidR="00832A7F" w:rsidP="00832A7F" w14:paraId="2830C998" w14:textId="77777777">
      <w:pPr>
        <w:keepNext/>
        <w:ind w:left="360"/>
        <w:jc w:val="both"/>
        <w:rPr>
          <w:bCs/>
          <w:sz w:val="24"/>
          <w:szCs w:val="24"/>
        </w:rPr>
      </w:pPr>
    </w:p>
    <w:p w:rsidR="002C029C" w:rsidRPr="00832A7F" w:rsidP="00832A7F" w14:paraId="72B2A588" w14:textId="77777777">
      <w:pPr>
        <w:keepNext/>
        <w:ind w:left="360"/>
        <w:jc w:val="both"/>
        <w:rPr>
          <w:bCs/>
          <w:sz w:val="24"/>
          <w:szCs w:val="24"/>
        </w:rPr>
      </w:pPr>
      <w:r w:rsidRPr="00832A7F">
        <w:rPr>
          <w:bCs/>
          <w:sz w:val="24"/>
          <w:szCs w:val="24"/>
        </w:rPr>
        <w:t xml:space="preserve">There is no existing data source that can readily be analyzed to document the </w:t>
      </w:r>
      <w:r w:rsidRPr="00832A7F">
        <w:rPr>
          <w:bCs/>
          <w:sz w:val="24"/>
          <w:szCs w:val="24"/>
          <w:shd w:val="clear" w:color="auto" w:fill="FFFFFF"/>
        </w:rPr>
        <w:t xml:space="preserve">disaster recovery effectiveness for renter households or disaster recovery outcomes of renter households and rental housing stock in places that received Community Development Block Grant-Disaster Recovery grants. </w:t>
      </w:r>
      <w:r w:rsidRPr="00832A7F">
        <w:rPr>
          <w:bCs/>
          <w:sz w:val="24"/>
          <w:szCs w:val="24"/>
        </w:rPr>
        <w:t xml:space="preserve">HUD and the Urban Institute are not aware of any other national studies of CDBG-DR focused on efficacy of the programs for supporting rental housing recovery. </w:t>
      </w:r>
    </w:p>
    <w:p w:rsidR="00832A7F" w:rsidP="00832A7F" w14:paraId="4A854007" w14:textId="77777777">
      <w:pPr>
        <w:keepNext/>
        <w:ind w:left="360"/>
        <w:jc w:val="both"/>
        <w:rPr>
          <w:bCs/>
          <w:sz w:val="24"/>
          <w:szCs w:val="24"/>
          <w:shd w:val="clear" w:color="auto" w:fill="FFFFFF"/>
        </w:rPr>
      </w:pPr>
    </w:p>
    <w:p w:rsidR="002C029C" w:rsidRPr="00832A7F" w:rsidP="00832A7F" w14:paraId="74F61C7D" w14:textId="77777777">
      <w:pPr>
        <w:keepNext/>
        <w:ind w:left="360"/>
        <w:jc w:val="both"/>
        <w:rPr>
          <w:bCs/>
          <w:sz w:val="24"/>
          <w:szCs w:val="24"/>
        </w:rPr>
      </w:pPr>
      <w:r w:rsidRPr="00832A7F">
        <w:rPr>
          <w:bCs/>
          <w:sz w:val="24"/>
          <w:szCs w:val="24"/>
          <w:shd w:val="clear" w:color="auto" w:fill="FFFFFF"/>
        </w:rPr>
        <w:t xml:space="preserve">Interview and focus group contacts may have been asked to participate in other research studies, but the protocols and information requested are unique to this study. </w:t>
      </w:r>
    </w:p>
    <w:p w:rsidR="009E13B1" w:rsidRPr="00832A7F" w14:paraId="20AFE059" w14:textId="77777777">
      <w:pPr>
        <w:keepLines/>
        <w:tabs>
          <w:tab w:val="left" w:pos="360"/>
          <w:tab w:val="left" w:pos="720"/>
        </w:tabs>
        <w:ind w:left="360"/>
        <w:rPr>
          <w:bCs/>
          <w:sz w:val="24"/>
          <w:szCs w:val="24"/>
        </w:rPr>
      </w:pPr>
    </w:p>
    <w:p w:rsidR="009E13B1" w:rsidRPr="00832A7F" w14:paraId="163E7068" w14:textId="77777777">
      <w:pPr>
        <w:keepLines/>
        <w:tabs>
          <w:tab w:val="left" w:pos="360"/>
        </w:tabs>
        <w:spacing w:after="80"/>
        <w:ind w:left="360" w:hanging="360"/>
        <w:rPr>
          <w:bCs/>
          <w:sz w:val="24"/>
          <w:szCs w:val="24"/>
        </w:rPr>
      </w:pPr>
      <w:r w:rsidRPr="006C1CFB">
        <w:rPr>
          <w:b/>
          <w:sz w:val="24"/>
          <w:szCs w:val="24"/>
        </w:rPr>
        <w:t>5.</w:t>
      </w:r>
      <w:r w:rsidRPr="006C1CFB">
        <w:rPr>
          <w:b/>
          <w:sz w:val="24"/>
          <w:szCs w:val="24"/>
        </w:rPr>
        <w:tab/>
        <w:t>If the collection of information impacts small businesses or other small entities describe any methods used to minimize burden</w:t>
      </w:r>
      <w:r w:rsidRPr="00832A7F">
        <w:rPr>
          <w:bCs/>
          <w:sz w:val="24"/>
          <w:szCs w:val="24"/>
        </w:rPr>
        <w:t>.</w:t>
      </w:r>
    </w:p>
    <w:p w:rsidR="00832A7F" w:rsidP="00832A7F" w14:paraId="746AF07D" w14:textId="77777777">
      <w:pPr>
        <w:jc w:val="both"/>
        <w:rPr>
          <w:bCs/>
          <w:sz w:val="24"/>
          <w:szCs w:val="24"/>
        </w:rPr>
      </w:pPr>
    </w:p>
    <w:p w:rsidR="00BB4882" w:rsidRPr="00832A7F" w:rsidP="00832A7F" w14:paraId="4598D9C8" w14:textId="77777777">
      <w:pPr>
        <w:ind w:firstLine="360"/>
        <w:jc w:val="both"/>
        <w:rPr>
          <w:bCs/>
          <w:sz w:val="24"/>
          <w:szCs w:val="24"/>
        </w:rPr>
      </w:pPr>
      <w:r w:rsidRPr="00832A7F">
        <w:rPr>
          <w:bCs/>
          <w:sz w:val="24"/>
          <w:szCs w:val="24"/>
        </w:rPr>
        <w:t>There are no small businesses that will be asked to participate in the data collection.</w:t>
      </w:r>
    </w:p>
    <w:p w:rsidR="00BB4882" w:rsidP="00BB4882" w14:paraId="13E79691" w14:textId="77777777">
      <w:pPr>
        <w:tabs>
          <w:tab w:val="left" w:pos="360"/>
        </w:tabs>
        <w:rPr>
          <w:b/>
          <w:sz w:val="24"/>
          <w:szCs w:val="24"/>
        </w:rPr>
      </w:pPr>
    </w:p>
    <w:p w:rsidR="006C1CFB" w:rsidP="00BB4882" w14:paraId="3687E209" w14:textId="77777777">
      <w:pPr>
        <w:tabs>
          <w:tab w:val="left" w:pos="360"/>
        </w:tabs>
        <w:rPr>
          <w:b/>
          <w:sz w:val="24"/>
          <w:szCs w:val="24"/>
        </w:rPr>
      </w:pPr>
    </w:p>
    <w:p w:rsidR="006C1CFB" w:rsidP="00BB4882" w14:paraId="15F7574D" w14:textId="77777777">
      <w:pPr>
        <w:tabs>
          <w:tab w:val="left" w:pos="360"/>
        </w:tabs>
        <w:rPr>
          <w:b/>
          <w:sz w:val="24"/>
          <w:szCs w:val="24"/>
        </w:rPr>
      </w:pPr>
    </w:p>
    <w:p w:rsidR="006C1CFB" w:rsidP="00BB4882" w14:paraId="4CDCEB41" w14:textId="77777777">
      <w:pPr>
        <w:tabs>
          <w:tab w:val="left" w:pos="360"/>
        </w:tabs>
        <w:rPr>
          <w:b/>
          <w:sz w:val="24"/>
          <w:szCs w:val="24"/>
        </w:rPr>
      </w:pPr>
    </w:p>
    <w:p w:rsidR="006C1CFB" w:rsidRPr="006C1CFB" w:rsidP="00BB4882" w14:paraId="523A04FD" w14:textId="77777777">
      <w:pPr>
        <w:tabs>
          <w:tab w:val="left" w:pos="360"/>
        </w:tabs>
        <w:rPr>
          <w:b/>
          <w:sz w:val="24"/>
          <w:szCs w:val="24"/>
        </w:rPr>
      </w:pPr>
    </w:p>
    <w:p w:rsidR="009E13B1" w:rsidRPr="00832A7F" w14:paraId="16DE38BA" w14:textId="77777777">
      <w:pPr>
        <w:keepLines/>
        <w:tabs>
          <w:tab w:val="left" w:pos="360"/>
        </w:tabs>
        <w:spacing w:after="80"/>
        <w:ind w:left="360" w:hanging="360"/>
        <w:rPr>
          <w:bCs/>
          <w:sz w:val="24"/>
          <w:szCs w:val="24"/>
        </w:rPr>
      </w:pPr>
      <w:r w:rsidRPr="006C1CFB">
        <w:rPr>
          <w:b/>
          <w:sz w:val="24"/>
          <w:szCs w:val="24"/>
        </w:rPr>
        <w:t>6.</w:t>
      </w:r>
      <w:r w:rsidRPr="006C1CFB">
        <w:rPr>
          <w:b/>
          <w:sz w:val="24"/>
          <w:szCs w:val="24"/>
        </w:rPr>
        <w:tab/>
        <w:t>Describe the consequence to Federal program or policy activities if the collection is not conducted or is conducted less frequently, as well as any technical or legal obstacles to reducing burden</w:t>
      </w:r>
      <w:r w:rsidRPr="00832A7F">
        <w:rPr>
          <w:bCs/>
          <w:sz w:val="24"/>
          <w:szCs w:val="24"/>
        </w:rPr>
        <w:t>.</w:t>
      </w:r>
    </w:p>
    <w:p w:rsidR="006C1CFB" w:rsidP="006C1CFB" w14:paraId="6632F0BD" w14:textId="77777777">
      <w:pPr>
        <w:ind w:left="360"/>
        <w:jc w:val="both"/>
        <w:rPr>
          <w:bCs/>
          <w:sz w:val="24"/>
          <w:szCs w:val="24"/>
        </w:rPr>
      </w:pPr>
    </w:p>
    <w:p w:rsidR="00BB4882" w:rsidRPr="00832A7F" w:rsidP="006C1CFB" w14:paraId="4B4A7334" w14:textId="77777777">
      <w:pPr>
        <w:ind w:left="360"/>
        <w:jc w:val="both"/>
        <w:rPr>
          <w:bCs/>
          <w:sz w:val="24"/>
          <w:szCs w:val="24"/>
        </w:rPr>
      </w:pPr>
      <w:r w:rsidRPr="00832A7F">
        <w:rPr>
          <w:bCs/>
          <w:sz w:val="24"/>
          <w:szCs w:val="24"/>
        </w:rPr>
        <w:t xml:space="preserve">This is a one-time data collection event, with no repetition of data collection planned. Collecting data directly from CDBG-DR grantee representatives and administrators, elected and appointed officials, CDFI representatives, PHA representatives, property developers and managers, and renter populations is the best and only way to reliably assess </w:t>
      </w:r>
      <w:r w:rsidRPr="00832A7F">
        <w:rPr>
          <w:bCs/>
          <w:sz w:val="24"/>
          <w:szCs w:val="24"/>
          <w:shd w:val="clear" w:color="auto" w:fill="FFFFFF"/>
        </w:rPr>
        <w:t>disaster recovery outcomes of renter households and rental housing stock in places that received CDBG-DR grants. If the proposed activity is not implemented, the government will have to rely on incomplete or limited information to assess current implementation of the program, and to recommend program or policy improvements.</w:t>
      </w:r>
    </w:p>
    <w:p w:rsidR="00BB4882" w:rsidRPr="00832A7F" w:rsidP="00BB4882" w14:paraId="023264FD" w14:textId="77777777">
      <w:pPr>
        <w:keepLines/>
        <w:tabs>
          <w:tab w:val="left" w:pos="360"/>
          <w:tab w:val="left" w:pos="720"/>
        </w:tabs>
        <w:rPr>
          <w:bCs/>
          <w:sz w:val="24"/>
          <w:szCs w:val="24"/>
        </w:rPr>
      </w:pPr>
    </w:p>
    <w:p w:rsidR="009E13B1" w:rsidRPr="006C1CFB" w14:paraId="6259023E" w14:textId="77777777">
      <w:pPr>
        <w:numPr>
          <w:ilvl w:val="0"/>
          <w:numId w:val="13"/>
        </w:numPr>
        <w:tabs>
          <w:tab w:val="left" w:pos="360"/>
        </w:tabs>
        <w:rPr>
          <w:b/>
          <w:sz w:val="24"/>
          <w:szCs w:val="24"/>
        </w:rPr>
      </w:pPr>
      <w:r w:rsidRPr="006C1CFB">
        <w:rPr>
          <w:b/>
          <w:sz w:val="24"/>
          <w:szCs w:val="24"/>
        </w:rPr>
        <w:t xml:space="preserve">Explain any special circumstances that would cause an information collection to be conducted in a manner: </w:t>
      </w:r>
    </w:p>
    <w:p w:rsidR="00832A7F" w:rsidP="00832A7F" w14:paraId="0BB7F78B" w14:textId="77777777">
      <w:pPr>
        <w:widowControl w:val="0"/>
        <w:ind w:left="360"/>
        <w:jc w:val="both"/>
        <w:rPr>
          <w:bCs/>
          <w:sz w:val="24"/>
          <w:szCs w:val="24"/>
        </w:rPr>
      </w:pPr>
    </w:p>
    <w:p w:rsidR="00AD26E0" w:rsidRPr="00832A7F" w:rsidP="00832A7F" w14:paraId="2BA05302" w14:textId="77777777">
      <w:pPr>
        <w:widowControl w:val="0"/>
        <w:ind w:left="360"/>
        <w:jc w:val="both"/>
        <w:rPr>
          <w:bCs/>
          <w:sz w:val="24"/>
          <w:szCs w:val="24"/>
        </w:rPr>
      </w:pPr>
      <w:r w:rsidRPr="00832A7F">
        <w:rPr>
          <w:bCs/>
          <w:sz w:val="24"/>
          <w:szCs w:val="24"/>
        </w:rPr>
        <w:t xml:space="preserve">The proposed data collection activities are consistent with the guidelines set forth in 5 CFR 1320.6 (Controlling Paperwork Burdens on the Public – General Information Collection Guidelines). </w:t>
      </w:r>
      <w:r w:rsidRPr="00832A7F">
        <w:rPr>
          <w:bCs/>
          <w:color w:val="000000"/>
          <w:sz w:val="24"/>
          <w:szCs w:val="24"/>
        </w:rPr>
        <w:t xml:space="preserve">There are no special circumstances that would require this information collection to be conducted in a manner that would be inconsistent with OMB guidelines. </w:t>
      </w:r>
      <w:r w:rsidRPr="00832A7F">
        <w:rPr>
          <w:bCs/>
          <w:sz w:val="24"/>
          <w:szCs w:val="24"/>
        </w:rPr>
        <w:t xml:space="preserve">The following below </w:t>
      </w:r>
      <w:r w:rsidRPr="00832A7F">
        <w:rPr>
          <w:bCs/>
          <w:sz w:val="24"/>
          <w:szCs w:val="24"/>
        </w:rPr>
        <w:t>are</w:t>
      </w:r>
      <w:r w:rsidRPr="00832A7F">
        <w:rPr>
          <w:bCs/>
          <w:sz w:val="24"/>
          <w:szCs w:val="24"/>
        </w:rPr>
        <w:t xml:space="preserve"> “Not Applicable” to this collection:</w:t>
      </w:r>
    </w:p>
    <w:p w:rsidR="00AD26E0" w:rsidRPr="00832A7F" w:rsidP="00AD26E0" w14:paraId="409D4074"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requiring respondents to report information to the agency more than quarterly – “Not </w:t>
      </w:r>
      <w:r w:rsidRPr="00832A7F">
        <w:rPr>
          <w:bCs/>
        </w:rPr>
        <w:t>Applicable</w:t>
      </w:r>
      <w:r w:rsidRPr="00832A7F">
        <w:rPr>
          <w:bCs/>
        </w:rPr>
        <w:t xml:space="preserve">” </w:t>
      </w:r>
    </w:p>
    <w:p w:rsidR="00AD26E0" w:rsidRPr="00832A7F" w:rsidP="00AD26E0" w14:paraId="6BBE7BFA"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requiring respondents to prepare a written response to a collection of information in fewer than 30 days after receipt of it – “Not </w:t>
      </w:r>
      <w:r w:rsidRPr="00832A7F">
        <w:rPr>
          <w:bCs/>
        </w:rPr>
        <w:t>Applicable</w:t>
      </w:r>
      <w:r w:rsidRPr="00832A7F">
        <w:rPr>
          <w:bCs/>
        </w:rPr>
        <w:t>”</w:t>
      </w:r>
    </w:p>
    <w:p w:rsidR="00AD26E0" w:rsidRPr="00832A7F" w:rsidP="00AD26E0" w14:paraId="05A71DDC"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requiring respondents to submit more than an original and two copies of any document – “Not </w:t>
      </w:r>
      <w:r w:rsidRPr="00832A7F">
        <w:rPr>
          <w:bCs/>
        </w:rPr>
        <w:t>Applicable</w:t>
      </w:r>
      <w:r w:rsidRPr="00832A7F">
        <w:rPr>
          <w:bCs/>
        </w:rPr>
        <w:t>”</w:t>
      </w:r>
    </w:p>
    <w:p w:rsidR="00AD26E0" w:rsidRPr="00832A7F" w:rsidP="00AD26E0" w14:paraId="77313418"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requiring respondents to retain records other than health, medical, government contract, grant-in-aid, or tax records for more than three years – “Not Applicable </w:t>
      </w:r>
      <w:r w:rsidRPr="00832A7F">
        <w:rPr>
          <w:bCs/>
        </w:rPr>
        <w:tab/>
      </w:r>
    </w:p>
    <w:p w:rsidR="00AD26E0" w:rsidRPr="00832A7F" w:rsidP="00AD26E0" w14:paraId="35A87F3F"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in connection with a statistical survey, that is not designed to produce valid and reliable results than can be generalized to the universe of study – “Not </w:t>
      </w:r>
      <w:r w:rsidRPr="00832A7F">
        <w:rPr>
          <w:bCs/>
        </w:rPr>
        <w:t>Applicable</w:t>
      </w:r>
      <w:r w:rsidRPr="00832A7F">
        <w:rPr>
          <w:bCs/>
        </w:rPr>
        <w:t>”</w:t>
      </w:r>
    </w:p>
    <w:p w:rsidR="00AD26E0" w:rsidRPr="00832A7F" w:rsidP="00AD26E0" w14:paraId="1C26578D"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requiring the use of a statistical data classification that has not been reviewed and approved by OMB – “Not </w:t>
      </w:r>
      <w:r w:rsidRPr="00832A7F">
        <w:rPr>
          <w:bCs/>
        </w:rPr>
        <w:t>Applicable</w:t>
      </w:r>
      <w:r w:rsidRPr="00832A7F">
        <w:rPr>
          <w:bCs/>
        </w:rPr>
        <w:t>”</w:t>
      </w:r>
    </w:p>
    <w:p w:rsidR="00AD26E0" w:rsidRPr="00832A7F" w:rsidP="00AD26E0" w14:paraId="05F97087"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“Not </w:t>
      </w:r>
      <w:r w:rsidRPr="00832A7F">
        <w:rPr>
          <w:bCs/>
        </w:rPr>
        <w:t>Applicable</w:t>
      </w:r>
      <w:r w:rsidRPr="00832A7F">
        <w:rPr>
          <w:bCs/>
        </w:rPr>
        <w:t xml:space="preserve">” </w:t>
      </w:r>
    </w:p>
    <w:p w:rsidR="00AD26E0" w:rsidRPr="00832A7F" w:rsidP="00AD26E0" w14:paraId="4D5E9647" w14:textId="77777777">
      <w:pPr>
        <w:pStyle w:val="ListParagraph"/>
        <w:numPr>
          <w:ilvl w:val="0"/>
          <w:numId w:val="22"/>
        </w:numPr>
        <w:tabs>
          <w:tab w:val="left" w:pos="360"/>
        </w:tabs>
        <w:overflowPunct w:val="0"/>
        <w:autoSpaceDE w:val="0"/>
        <w:autoSpaceDN w:val="0"/>
        <w:adjustRightInd w:val="0"/>
        <w:ind w:left="1080"/>
        <w:rPr>
          <w:bCs/>
        </w:rPr>
      </w:pPr>
      <w:r w:rsidRPr="00832A7F">
        <w:rPr>
          <w:bCs/>
        </w:rPr>
        <w:t xml:space="preserve">requiring respondents to submit proprietary trade secret, or other confidential information unless the agency can demonstrate that it has instituted procedures to protect the information's confidentiality to the extent permitted by law – “Not </w:t>
      </w:r>
      <w:r w:rsidRPr="00832A7F">
        <w:rPr>
          <w:bCs/>
        </w:rPr>
        <w:t>Applicable</w:t>
      </w:r>
      <w:r w:rsidRPr="00832A7F">
        <w:rPr>
          <w:bCs/>
        </w:rPr>
        <w:t>”</w:t>
      </w:r>
    </w:p>
    <w:p w:rsidR="00AD26E0" w:rsidP="00DC0670" w14:paraId="40B7F437" w14:textId="77777777">
      <w:pPr>
        <w:tabs>
          <w:tab w:val="left" w:pos="360"/>
        </w:tabs>
        <w:rPr>
          <w:bCs/>
          <w:sz w:val="24"/>
          <w:szCs w:val="24"/>
        </w:rPr>
      </w:pPr>
    </w:p>
    <w:p w:rsidR="006C1CFB" w:rsidP="00DC0670" w14:paraId="6C20B453" w14:textId="77777777">
      <w:pPr>
        <w:tabs>
          <w:tab w:val="left" w:pos="360"/>
        </w:tabs>
        <w:rPr>
          <w:bCs/>
          <w:sz w:val="24"/>
          <w:szCs w:val="24"/>
        </w:rPr>
      </w:pPr>
    </w:p>
    <w:p w:rsidR="006C1CFB" w:rsidP="00DC0670" w14:paraId="3DB2C5E5" w14:textId="77777777">
      <w:pPr>
        <w:tabs>
          <w:tab w:val="left" w:pos="360"/>
        </w:tabs>
        <w:rPr>
          <w:bCs/>
          <w:sz w:val="24"/>
          <w:szCs w:val="24"/>
        </w:rPr>
      </w:pPr>
    </w:p>
    <w:p w:rsidR="006C1CFB" w:rsidP="00DC0670" w14:paraId="0E5EB1D8" w14:textId="77777777">
      <w:pPr>
        <w:tabs>
          <w:tab w:val="left" w:pos="360"/>
        </w:tabs>
        <w:rPr>
          <w:bCs/>
          <w:sz w:val="24"/>
          <w:szCs w:val="24"/>
        </w:rPr>
      </w:pPr>
    </w:p>
    <w:p w:rsidR="006C1CFB" w:rsidRPr="00832A7F" w:rsidP="00DC0670" w14:paraId="61D9622A" w14:textId="77777777">
      <w:pPr>
        <w:tabs>
          <w:tab w:val="left" w:pos="360"/>
        </w:tabs>
        <w:rPr>
          <w:bCs/>
          <w:sz w:val="24"/>
          <w:szCs w:val="24"/>
        </w:rPr>
      </w:pPr>
    </w:p>
    <w:p w:rsidR="00832A7F" w:rsidRPr="006C1CFB" w:rsidP="00832A7F" w14:paraId="6B97D606" w14:textId="77777777">
      <w:pPr>
        <w:numPr>
          <w:ilvl w:val="0"/>
          <w:numId w:val="13"/>
        </w:numPr>
        <w:tabs>
          <w:tab w:val="left" w:pos="360"/>
        </w:tabs>
        <w:rPr>
          <w:b/>
          <w:sz w:val="24"/>
          <w:szCs w:val="24"/>
        </w:rPr>
      </w:pPr>
      <w:r w:rsidRPr="006C1CFB">
        <w:rPr>
          <w:b/>
          <w:sz w:val="24"/>
          <w:szCs w:val="24"/>
        </w:rPr>
        <w:t xml:space="preserve">If applicable, provide a copy and identify the date and page number of </w:t>
      </w:r>
      <w:r w:rsidRPr="006C1CFB">
        <w:rPr>
          <w:b/>
          <w:sz w:val="24"/>
          <w:szCs w:val="24"/>
        </w:rPr>
        <w:t>publication</w:t>
      </w:r>
      <w:r w:rsidRPr="006C1CFB">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1CFB" w:rsidP="00832A7F" w14:paraId="3AFA8C2E" w14:textId="77777777">
      <w:pPr>
        <w:tabs>
          <w:tab w:val="left" w:pos="360"/>
        </w:tabs>
        <w:ind w:left="360"/>
        <w:rPr>
          <w:b/>
          <w:sz w:val="24"/>
          <w:szCs w:val="24"/>
        </w:rPr>
      </w:pPr>
      <w:r w:rsidRPr="006C1CFB">
        <w:rPr>
          <w:b/>
          <w:sz w:val="24"/>
          <w:szCs w:val="24"/>
        </w:rPr>
        <w:t xml:space="preserve"> </w:t>
      </w:r>
    </w:p>
    <w:p w:rsidR="009E13B1" w:rsidRPr="006C1CFB" w14:paraId="38E09F0C" w14:textId="77777777">
      <w:pPr>
        <w:numPr>
          <w:ilvl w:val="0"/>
          <w:numId w:val="14"/>
        </w:numPr>
        <w:tabs>
          <w:tab w:val="left" w:pos="360"/>
        </w:tabs>
        <w:ind w:left="480"/>
        <w:rPr>
          <w:b/>
          <w:sz w:val="24"/>
          <w:szCs w:val="24"/>
        </w:rPr>
      </w:pPr>
      <w:r w:rsidRPr="006C1CFB">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Pr="00832A7F" w14:paraId="1C425D23" w14:textId="77777777">
      <w:pPr>
        <w:keepLines/>
        <w:numPr>
          <w:ilvl w:val="0"/>
          <w:numId w:val="14"/>
        </w:numPr>
        <w:tabs>
          <w:tab w:val="left" w:pos="360"/>
        </w:tabs>
        <w:spacing w:after="80"/>
        <w:ind w:left="480"/>
        <w:rPr>
          <w:bCs/>
          <w:sz w:val="24"/>
          <w:szCs w:val="24"/>
        </w:rPr>
      </w:pPr>
      <w:r w:rsidRPr="006C1CFB">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832A7F">
        <w:rPr>
          <w:bCs/>
          <w:sz w:val="24"/>
          <w:szCs w:val="24"/>
        </w:rPr>
        <w:t xml:space="preserve">. </w:t>
      </w:r>
    </w:p>
    <w:p w:rsidR="00832A7F" w:rsidP="00832A7F" w14:paraId="38FBD005" w14:textId="77777777">
      <w:pPr>
        <w:tabs>
          <w:tab w:val="left" w:pos="360"/>
        </w:tabs>
        <w:ind w:left="360"/>
        <w:rPr>
          <w:bCs/>
          <w:sz w:val="24"/>
          <w:szCs w:val="24"/>
        </w:rPr>
      </w:pPr>
    </w:p>
    <w:p w:rsidR="00DC0670" w:rsidRPr="00832A7F" w:rsidP="00832A7F" w14:paraId="2F683485" w14:textId="77777777">
      <w:pPr>
        <w:tabs>
          <w:tab w:val="left" w:pos="360"/>
        </w:tabs>
        <w:ind w:left="360"/>
        <w:rPr>
          <w:bCs/>
          <w:sz w:val="24"/>
          <w:szCs w:val="24"/>
        </w:rPr>
      </w:pPr>
      <w:r w:rsidRPr="00832A7F">
        <w:rPr>
          <w:bCs/>
          <w:sz w:val="24"/>
          <w:szCs w:val="24"/>
        </w:rPr>
        <w:t xml:space="preserve">In accordance with the Paperwork Reduction Act of 1995, HUD published a 60-Day Notice of Proposed Information Collection in the </w:t>
      </w:r>
      <w:r w:rsidRPr="00832A7F">
        <w:rPr>
          <w:bCs/>
          <w:i/>
          <w:iCs/>
          <w:sz w:val="24"/>
          <w:szCs w:val="24"/>
        </w:rPr>
        <w:t>Federal Register</w:t>
      </w:r>
      <w:r w:rsidRPr="00832A7F">
        <w:rPr>
          <w:bCs/>
          <w:sz w:val="24"/>
          <w:szCs w:val="24"/>
        </w:rPr>
        <w:t xml:space="preserve"> on July 11, 2023. The docket number was FR-7075-N-04, and the notice appeared on pages 44144-44146. The notice provided a 60-day period for public comments, and comments were due by September 11, 2023; no comments were received. </w:t>
      </w:r>
    </w:p>
    <w:p w:rsidR="009E13B1" w:rsidRPr="00832A7F" w14:paraId="4BB3B0F3" w14:textId="77777777">
      <w:pPr>
        <w:tabs>
          <w:tab w:val="left" w:pos="360"/>
        </w:tabs>
        <w:ind w:left="360" w:hanging="360"/>
        <w:rPr>
          <w:bCs/>
          <w:sz w:val="24"/>
          <w:szCs w:val="24"/>
        </w:rPr>
      </w:pPr>
    </w:p>
    <w:p w:rsidR="009E13B1" w:rsidRPr="006C1CFB" w14:paraId="479843ED" w14:textId="77777777">
      <w:pPr>
        <w:keepLines/>
        <w:tabs>
          <w:tab w:val="left" w:pos="360"/>
        </w:tabs>
        <w:spacing w:after="80"/>
        <w:ind w:left="360" w:hanging="360"/>
        <w:rPr>
          <w:b/>
          <w:sz w:val="24"/>
          <w:szCs w:val="24"/>
        </w:rPr>
      </w:pPr>
      <w:r w:rsidRPr="006C1CFB">
        <w:rPr>
          <w:b/>
          <w:sz w:val="24"/>
          <w:szCs w:val="24"/>
        </w:rPr>
        <w:t>9.</w:t>
      </w:r>
      <w:r w:rsidRPr="006C1CFB">
        <w:rPr>
          <w:b/>
          <w:sz w:val="24"/>
          <w:szCs w:val="24"/>
        </w:rPr>
        <w:tab/>
        <w:t xml:space="preserve">Explain any decision to provide any payment or gift to respondents, other than </w:t>
      </w:r>
      <w:r w:rsidRPr="006C1CFB">
        <w:rPr>
          <w:b/>
          <w:sz w:val="24"/>
          <w:szCs w:val="24"/>
        </w:rPr>
        <w:t>reenumeration</w:t>
      </w:r>
      <w:r w:rsidRPr="006C1CFB">
        <w:rPr>
          <w:b/>
          <w:sz w:val="24"/>
          <w:szCs w:val="24"/>
        </w:rPr>
        <w:t xml:space="preserve"> of contractors or grantees.</w:t>
      </w:r>
    </w:p>
    <w:p w:rsidR="00832A7F" w:rsidP="00832A7F" w14:paraId="3772B949" w14:textId="77777777">
      <w:pPr>
        <w:ind w:left="360"/>
        <w:jc w:val="both"/>
        <w:rPr>
          <w:bCs/>
          <w:sz w:val="24"/>
          <w:szCs w:val="24"/>
        </w:rPr>
      </w:pPr>
    </w:p>
    <w:p w:rsidR="00DC0670" w:rsidRPr="00832A7F" w:rsidP="00832A7F" w14:paraId="473AE55C" w14:textId="77777777">
      <w:pPr>
        <w:ind w:left="360"/>
        <w:jc w:val="both"/>
        <w:rPr>
          <w:bCs/>
          <w:sz w:val="24"/>
          <w:szCs w:val="24"/>
        </w:rPr>
      </w:pPr>
      <w:r w:rsidRPr="00832A7F">
        <w:rPr>
          <w:bCs/>
          <w:sz w:val="24"/>
          <w:szCs w:val="24"/>
        </w:rPr>
        <w:t xml:space="preserve">Renter and landlord focus group respondents will be offered a $50 incentive for participation in a </w:t>
      </w:r>
      <w:r w:rsidRPr="00832A7F">
        <w:rPr>
          <w:bCs/>
          <w:sz w:val="24"/>
          <w:szCs w:val="24"/>
        </w:rPr>
        <w:t>1.5 hour</w:t>
      </w:r>
      <w:r w:rsidRPr="00832A7F">
        <w:rPr>
          <w:bCs/>
          <w:sz w:val="24"/>
          <w:szCs w:val="24"/>
        </w:rPr>
        <w:t xml:space="preserve"> focus group. Such incentives have been shown to substantially enhance cooperation with data-collection efforts and mitigate risks associated with non-response bias. Based on the research team’s prior experience with studies of similar populations, $50 is high enough to support participation, but not so high that it is overly generous or that participants would feel the token of appreciation is excessive or coercive. To prevent the token of appreciation from being coercive, the project team will give participants who show up to the focus group the incentive upon arrival, regardless of whether an individual ultimately chooses to stay and participate.</w:t>
      </w:r>
    </w:p>
    <w:p w:rsidR="00832A7F" w:rsidP="00832A7F" w14:paraId="397DCAF8" w14:textId="77777777">
      <w:pPr>
        <w:ind w:left="360"/>
        <w:jc w:val="both"/>
        <w:rPr>
          <w:bCs/>
          <w:sz w:val="24"/>
          <w:szCs w:val="24"/>
        </w:rPr>
      </w:pPr>
    </w:p>
    <w:p w:rsidR="009E13B1" w:rsidRPr="00832A7F" w:rsidP="00832A7F" w14:paraId="29E0700D" w14:textId="77777777">
      <w:pPr>
        <w:ind w:left="360"/>
        <w:jc w:val="both"/>
        <w:rPr>
          <w:bCs/>
          <w:sz w:val="24"/>
          <w:szCs w:val="24"/>
        </w:rPr>
      </w:pPr>
      <w:r w:rsidRPr="00832A7F">
        <w:rPr>
          <w:bCs/>
          <w:sz w:val="24"/>
          <w:szCs w:val="24"/>
        </w:rPr>
        <w:t>There are no payments or gifts to other respondents who will be participating during regular working hours in their professional capacity.</w:t>
      </w:r>
    </w:p>
    <w:p w:rsidR="00DC0670" w:rsidRPr="00832A7F" w14:paraId="2237620A" w14:textId="77777777">
      <w:pPr>
        <w:tabs>
          <w:tab w:val="left" w:pos="360"/>
        </w:tabs>
        <w:ind w:left="360" w:hanging="360"/>
        <w:rPr>
          <w:bCs/>
          <w:sz w:val="24"/>
          <w:szCs w:val="24"/>
        </w:rPr>
      </w:pPr>
    </w:p>
    <w:p w:rsidR="009E13B1" w:rsidRPr="00832A7F" w14:paraId="41B8DFC4" w14:textId="77777777">
      <w:pPr>
        <w:keepLines/>
        <w:tabs>
          <w:tab w:val="left" w:pos="360"/>
        </w:tabs>
        <w:spacing w:after="80"/>
        <w:ind w:left="360" w:hanging="360"/>
        <w:rPr>
          <w:bCs/>
          <w:sz w:val="24"/>
          <w:szCs w:val="24"/>
        </w:rPr>
      </w:pPr>
      <w:r w:rsidRPr="006C1CFB">
        <w:rPr>
          <w:b/>
          <w:sz w:val="24"/>
          <w:szCs w:val="24"/>
        </w:rPr>
        <w:t>10.</w:t>
      </w:r>
      <w:r w:rsidRPr="006C1CFB">
        <w:rPr>
          <w:b/>
          <w:sz w:val="24"/>
          <w:szCs w:val="24"/>
        </w:rPr>
        <w:tab/>
        <w:t xml:space="preserve">Describe any assurance of confidentiality provided to respondents and the basis for assurance in statute, </w:t>
      </w:r>
      <w:r w:rsidRPr="006C1CFB">
        <w:rPr>
          <w:b/>
          <w:sz w:val="24"/>
          <w:szCs w:val="24"/>
        </w:rPr>
        <w:t>regulation</w:t>
      </w:r>
      <w:r w:rsidRPr="006C1CFB">
        <w:rPr>
          <w:b/>
          <w:sz w:val="24"/>
          <w:szCs w:val="24"/>
        </w:rPr>
        <w:t xml:space="preserve"> or agency policy</w:t>
      </w:r>
      <w:r w:rsidRPr="00832A7F">
        <w:rPr>
          <w:bCs/>
          <w:sz w:val="24"/>
          <w:szCs w:val="24"/>
        </w:rPr>
        <w:t>.</w:t>
      </w:r>
    </w:p>
    <w:p w:rsidR="00832A7F" w:rsidP="00832A7F" w14:paraId="6C6D3CA4" w14:textId="77777777">
      <w:pPr>
        <w:pStyle w:val="BodyText"/>
        <w:spacing w:line="240" w:lineRule="auto"/>
        <w:ind w:left="360"/>
        <w:rPr>
          <w:rFonts w:ascii="Times New Roman" w:hAnsi="Times New Roman"/>
          <w:sz w:val="24"/>
          <w:szCs w:val="24"/>
          <w:lang w:eastAsia="zh-CN" w:bidi="hi-IN"/>
        </w:rPr>
      </w:pPr>
    </w:p>
    <w:p w:rsidR="00DC0670" w:rsidRPr="00832A7F" w:rsidP="00832A7F" w14:paraId="35BC42A2" w14:textId="77777777">
      <w:pPr>
        <w:pStyle w:val="BodyText"/>
        <w:spacing w:line="240" w:lineRule="auto"/>
        <w:ind w:left="360"/>
        <w:rPr>
          <w:rFonts w:ascii="Times New Roman" w:hAnsi="Times New Roman"/>
          <w:sz w:val="24"/>
          <w:szCs w:val="24"/>
          <w:lang w:eastAsia="zh-CN" w:bidi="hi-IN"/>
        </w:rPr>
      </w:pPr>
      <w:r w:rsidRPr="00832A7F">
        <w:rPr>
          <w:rFonts w:ascii="Times New Roman" w:hAnsi="Times New Roman"/>
          <w:sz w:val="24"/>
          <w:szCs w:val="24"/>
          <w:lang w:eastAsia="zh-CN" w:bidi="hi-IN"/>
        </w:rPr>
        <w:t xml:space="preserve">The information we collect will be kept private to the extent permitted by law. No personally identifiable information (PII) will be requested from program participants. Names will not be linked to comments or responses. Data will be publicly reported in aggregate form only. Urban will obtain Institutional Review Board (IRB) approval for all data collection under this contract. The Urban Institute developed, and its IRB approved, a confidentiality pledge. All researchers working with the data will read and sign the confidentiality pledge, agreeing to adhere to the data security procedures laid out in the approved IRB submission. The contractor will safeguard all data, and only authorized </w:t>
      </w:r>
      <w:r w:rsidRPr="00832A7F">
        <w:rPr>
          <w:rFonts w:ascii="Times New Roman" w:hAnsi="Times New Roman"/>
          <w:sz w:val="24"/>
          <w:szCs w:val="24"/>
          <w:lang w:eastAsia="zh-CN" w:bidi="hi-IN"/>
        </w:rPr>
        <w:t xml:space="preserve">users will have access to them. Information gathered for this study will be made available only to researchers authorized to work on the study. Information will not be maintained in a paper or electronic system from which data are directly retrieved by an individuals’ personal identifiers. </w:t>
      </w:r>
    </w:p>
    <w:p w:rsidR="00DC0670" w:rsidRPr="00832A7F" w:rsidP="00832A7F" w14:paraId="12551FCA" w14:textId="77777777">
      <w:pPr>
        <w:ind w:left="360"/>
        <w:jc w:val="both"/>
        <w:rPr>
          <w:bCs/>
          <w:sz w:val="24"/>
          <w:szCs w:val="24"/>
        </w:rPr>
      </w:pPr>
      <w:r w:rsidRPr="00832A7F">
        <w:rPr>
          <w:bCs/>
          <w:sz w:val="24"/>
          <w:szCs w:val="24"/>
        </w:rPr>
        <w:t xml:space="preserve">All research protocols have been reviewed and approved by Urban Institute’s internal Institutional Review Board (IRB). The Urban Institute maintains an Institutional Review Board (IRB) to ensure that research practices and procedures effectively protect the rights and welfare of human subjects, consistent with the requirements set forth in Title 45, Part 46, of the </w:t>
      </w:r>
      <w:r w:rsidRPr="00832A7F">
        <w:rPr>
          <w:bCs/>
          <w:i/>
          <w:sz w:val="24"/>
          <w:szCs w:val="24"/>
        </w:rPr>
        <w:t>Code of Federal Regulations</w:t>
      </w:r>
      <w:r w:rsidRPr="00832A7F">
        <w:rPr>
          <w:bCs/>
          <w:sz w:val="24"/>
          <w:szCs w:val="24"/>
        </w:rPr>
        <w:t xml:space="preserve"> (45 CFR 46). The Urban Institute’s policy is that all research involving human subjects must adhere to the following principles, among others: </w:t>
      </w:r>
    </w:p>
    <w:p w:rsidR="00DC0670" w:rsidRPr="00832A7F" w:rsidP="00832A7F" w14:paraId="66B1412D" w14:textId="77777777">
      <w:pPr>
        <w:numPr>
          <w:ilvl w:val="0"/>
          <w:numId w:val="25"/>
        </w:numPr>
        <w:overflowPunct/>
        <w:autoSpaceDE/>
        <w:autoSpaceDN/>
        <w:adjustRightInd/>
        <w:spacing w:before="120"/>
        <w:jc w:val="both"/>
        <w:textAlignment w:val="auto"/>
        <w:rPr>
          <w:bCs/>
          <w:sz w:val="24"/>
          <w:szCs w:val="24"/>
        </w:rPr>
      </w:pPr>
      <w:r w:rsidRPr="00832A7F">
        <w:rPr>
          <w:bCs/>
          <w:sz w:val="24"/>
          <w:szCs w:val="24"/>
        </w:rPr>
        <w:t>Risks to human subjects from research must be reasonable in relation to anticipated benefits and must be minimized to the extent possible.</w:t>
      </w:r>
    </w:p>
    <w:p w:rsidR="00DC0670" w:rsidRPr="00832A7F" w:rsidP="00832A7F" w14:paraId="391E4F6A" w14:textId="77777777">
      <w:pPr>
        <w:numPr>
          <w:ilvl w:val="0"/>
          <w:numId w:val="25"/>
        </w:numPr>
        <w:overflowPunct/>
        <w:autoSpaceDE/>
        <w:autoSpaceDN/>
        <w:adjustRightInd/>
        <w:spacing w:before="120"/>
        <w:jc w:val="both"/>
        <w:textAlignment w:val="auto"/>
        <w:rPr>
          <w:bCs/>
          <w:sz w:val="24"/>
          <w:szCs w:val="24"/>
        </w:rPr>
      </w:pPr>
      <w:r w:rsidRPr="00832A7F">
        <w:rPr>
          <w:bCs/>
          <w:sz w:val="24"/>
          <w:szCs w:val="24"/>
        </w:rPr>
        <w:t>Human subjects must be fully and accurately informed of the nature of the research in which they will be involved, whether their participation is mandatory or voluntary, any consequences of non-participation, any risks associated with their participation, and how the research will be used.</w:t>
      </w:r>
    </w:p>
    <w:p w:rsidR="00DC0670" w:rsidRPr="00832A7F" w:rsidP="00832A7F" w14:paraId="5AD956D8" w14:textId="77777777">
      <w:pPr>
        <w:numPr>
          <w:ilvl w:val="0"/>
          <w:numId w:val="25"/>
        </w:numPr>
        <w:overflowPunct/>
        <w:autoSpaceDE/>
        <w:autoSpaceDN/>
        <w:adjustRightInd/>
        <w:spacing w:before="120"/>
        <w:jc w:val="both"/>
        <w:textAlignment w:val="auto"/>
        <w:rPr>
          <w:bCs/>
          <w:sz w:val="24"/>
          <w:szCs w:val="24"/>
        </w:rPr>
      </w:pPr>
      <w:r w:rsidRPr="00832A7F">
        <w:rPr>
          <w:bCs/>
          <w:sz w:val="24"/>
          <w:szCs w:val="24"/>
        </w:rPr>
        <w:t xml:space="preserve">Adequate provision must be made to protect the privacy of human subjects and to maintain the confidentiality of data that </w:t>
      </w:r>
      <w:r w:rsidRPr="00832A7F">
        <w:rPr>
          <w:bCs/>
          <w:sz w:val="24"/>
          <w:szCs w:val="24"/>
        </w:rPr>
        <w:t>are</w:t>
      </w:r>
      <w:r w:rsidRPr="00832A7F">
        <w:rPr>
          <w:bCs/>
          <w:sz w:val="24"/>
          <w:szCs w:val="24"/>
        </w:rPr>
        <w:t xml:space="preserve"> collected, where promised and as appropriate.</w:t>
      </w:r>
    </w:p>
    <w:p w:rsidR="00DC0670" w:rsidRPr="00832A7F" w:rsidP="00DC0670" w14:paraId="5EE5854B" w14:textId="77777777">
      <w:pPr>
        <w:ind w:left="360" w:firstLine="180"/>
        <w:jc w:val="both"/>
        <w:rPr>
          <w:bCs/>
          <w:sz w:val="24"/>
          <w:szCs w:val="24"/>
        </w:rPr>
      </w:pPr>
    </w:p>
    <w:p w:rsidR="00DC0670" w:rsidRPr="00832A7F" w:rsidP="00DC0670" w14:paraId="26376C82" w14:textId="77777777">
      <w:pPr>
        <w:ind w:left="360" w:firstLine="180"/>
        <w:jc w:val="both"/>
        <w:rPr>
          <w:bCs/>
          <w:sz w:val="24"/>
          <w:szCs w:val="24"/>
        </w:rPr>
      </w:pPr>
      <w:r w:rsidRPr="00832A7F">
        <w:rPr>
          <w:bCs/>
          <w:sz w:val="24"/>
          <w:szCs w:val="24"/>
        </w:rPr>
        <w:t>In accordance with these policies, the full research team will maintain the following procedures:</w:t>
      </w:r>
    </w:p>
    <w:p w:rsidR="00DC0670" w:rsidRPr="00832A7F" w:rsidP="00832A7F" w14:paraId="374A7E09" w14:textId="77777777">
      <w:pPr>
        <w:numPr>
          <w:ilvl w:val="0"/>
          <w:numId w:val="27"/>
        </w:numPr>
        <w:overflowPunct/>
        <w:autoSpaceDE/>
        <w:autoSpaceDN/>
        <w:adjustRightInd/>
        <w:spacing w:before="120"/>
        <w:jc w:val="both"/>
        <w:textAlignment w:val="auto"/>
        <w:rPr>
          <w:bCs/>
          <w:sz w:val="24"/>
          <w:szCs w:val="24"/>
        </w:rPr>
      </w:pPr>
      <w:r w:rsidRPr="00832A7F">
        <w:rPr>
          <w:bCs/>
          <w:sz w:val="24"/>
          <w:szCs w:val="24"/>
        </w:rPr>
        <w:t xml:space="preserve">Prior to collecting data from all respondents, informed consent will be administered. They will be given a clear overview of the study and its goals, the data security plan, the staff confidentiality agreement, and our methods for safeguarding anonymity in our reports and publications. We will stress the voluntary nature of participation and make clear that there are no negative consequences for those who choose not to participate. This information will be provided in an email letter requesting their participation </w:t>
      </w:r>
      <w:r w:rsidRPr="00832A7F">
        <w:rPr>
          <w:bCs/>
          <w:sz w:val="24"/>
          <w:szCs w:val="24"/>
        </w:rPr>
        <w:t>and in the interview</w:t>
      </w:r>
      <w:r w:rsidRPr="00832A7F">
        <w:rPr>
          <w:bCs/>
          <w:sz w:val="24"/>
          <w:szCs w:val="24"/>
        </w:rPr>
        <w:t xml:space="preserve"> or focus group introduction.</w:t>
      </w:r>
    </w:p>
    <w:p w:rsidR="00DC0670" w:rsidRPr="00832A7F" w:rsidP="00832A7F" w14:paraId="3FD1EBB2" w14:textId="77777777">
      <w:pPr>
        <w:numPr>
          <w:ilvl w:val="0"/>
          <w:numId w:val="27"/>
        </w:numPr>
        <w:overflowPunct/>
        <w:autoSpaceDE/>
        <w:autoSpaceDN/>
        <w:adjustRightInd/>
        <w:spacing w:before="120"/>
        <w:jc w:val="both"/>
        <w:textAlignment w:val="auto"/>
        <w:rPr>
          <w:bCs/>
          <w:sz w:val="24"/>
          <w:szCs w:val="24"/>
        </w:rPr>
      </w:pPr>
      <w:r w:rsidRPr="00832A7F">
        <w:rPr>
          <w:bCs/>
          <w:sz w:val="24"/>
          <w:szCs w:val="24"/>
        </w:rPr>
        <w:t xml:space="preserve">The research team will safeguard the information gathered. Data gathered will be analyzed and discussed exclusively in the aggregate; no published reports using the data will single out any </w:t>
      </w:r>
      <w:r w:rsidRPr="00832A7F">
        <w:rPr>
          <w:bCs/>
          <w:sz w:val="24"/>
          <w:szCs w:val="24"/>
        </w:rPr>
        <w:t>particular respondent</w:t>
      </w:r>
      <w:r w:rsidRPr="00832A7F">
        <w:rPr>
          <w:bCs/>
          <w:sz w:val="24"/>
          <w:szCs w:val="24"/>
        </w:rPr>
        <w:t xml:space="preserve">. Information identifying </w:t>
      </w:r>
      <w:r w:rsidRPr="00832A7F">
        <w:rPr>
          <w:bCs/>
          <w:sz w:val="24"/>
          <w:szCs w:val="24"/>
        </w:rPr>
        <w:t>particular respondents</w:t>
      </w:r>
      <w:r w:rsidRPr="00832A7F">
        <w:rPr>
          <w:bCs/>
          <w:sz w:val="24"/>
          <w:szCs w:val="24"/>
        </w:rPr>
        <w:t xml:space="preserve"> will be shared only with staff members who have signed Data Confidentiality Pledges and who need the information for research purposes. All such staff members will sign this pledge. Hard-copy materials containing respondent identifying information will be locked up when not in use, and electronic materials with identifying information will be stored on a secure server in password-protected and/or encrypted files, where appropriate. </w:t>
      </w:r>
    </w:p>
    <w:p w:rsidR="00832A7F" w:rsidP="00832A7F" w14:paraId="734BEFFE" w14:textId="77777777">
      <w:pPr>
        <w:ind w:left="360"/>
        <w:jc w:val="both"/>
        <w:rPr>
          <w:bCs/>
          <w:sz w:val="24"/>
          <w:szCs w:val="24"/>
        </w:rPr>
      </w:pPr>
    </w:p>
    <w:p w:rsidR="00DC0670" w:rsidRPr="00832A7F" w:rsidP="00832A7F" w14:paraId="4342C56E" w14:textId="77777777">
      <w:pPr>
        <w:ind w:left="360"/>
        <w:jc w:val="both"/>
        <w:rPr>
          <w:bCs/>
          <w:color w:val="000000"/>
          <w:sz w:val="24"/>
          <w:szCs w:val="24"/>
        </w:rPr>
      </w:pPr>
      <w:r w:rsidRPr="00832A7F">
        <w:rPr>
          <w:bCs/>
          <w:sz w:val="24"/>
          <w:szCs w:val="24"/>
        </w:rPr>
        <w:t xml:space="preserve">All respondents included in the study will be informed that </w:t>
      </w:r>
      <w:r w:rsidRPr="00832A7F">
        <w:rPr>
          <w:bCs/>
          <w:sz w:val="24"/>
          <w:szCs w:val="24"/>
        </w:rPr>
        <w:t>information</w:t>
      </w:r>
      <w:r w:rsidRPr="00832A7F">
        <w:rPr>
          <w:bCs/>
          <w:sz w:val="24"/>
          <w:szCs w:val="24"/>
        </w:rPr>
        <w:t xml:space="preserve"> they provide will be used only for the purpose of this research. </w:t>
      </w:r>
      <w:r w:rsidRPr="00832A7F">
        <w:rPr>
          <w:bCs/>
          <w:color w:val="000000"/>
          <w:sz w:val="24"/>
          <w:szCs w:val="24"/>
        </w:rPr>
        <w:t>The information will not be used by HUD for grantee monitoring.</w:t>
      </w:r>
    </w:p>
    <w:p w:rsidR="00DC0670" w:rsidP="002D2718" w14:paraId="739CE500" w14:textId="77777777">
      <w:pPr>
        <w:tabs>
          <w:tab w:val="left" w:pos="360"/>
        </w:tabs>
        <w:rPr>
          <w:bCs/>
          <w:sz w:val="24"/>
          <w:szCs w:val="24"/>
        </w:rPr>
      </w:pPr>
    </w:p>
    <w:p w:rsidR="006C1CFB" w:rsidP="002D2718" w14:paraId="650A1B3F" w14:textId="77777777">
      <w:pPr>
        <w:tabs>
          <w:tab w:val="left" w:pos="360"/>
        </w:tabs>
        <w:rPr>
          <w:bCs/>
          <w:sz w:val="24"/>
          <w:szCs w:val="24"/>
        </w:rPr>
      </w:pPr>
    </w:p>
    <w:p w:rsidR="009E13B1" w:rsidRPr="00832A7F" w14:paraId="4FC42F9B" w14:textId="77777777">
      <w:pPr>
        <w:keepLines/>
        <w:tabs>
          <w:tab w:val="left" w:pos="360"/>
        </w:tabs>
        <w:spacing w:after="80"/>
        <w:ind w:left="360" w:hanging="360"/>
        <w:rPr>
          <w:b/>
          <w:sz w:val="24"/>
          <w:szCs w:val="24"/>
        </w:rPr>
      </w:pPr>
      <w:r w:rsidRPr="00832A7F">
        <w:rPr>
          <w:b/>
          <w:sz w:val="24"/>
          <w:szCs w:val="24"/>
        </w:rPr>
        <w:t>11.</w:t>
      </w:r>
      <w:r w:rsidRPr="00832A7F">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2A7F" w:rsidP="00832A7F" w14:paraId="3463207B" w14:textId="77777777">
      <w:pPr>
        <w:tabs>
          <w:tab w:val="left" w:pos="360"/>
        </w:tabs>
        <w:ind w:left="360"/>
        <w:rPr>
          <w:bCs/>
          <w:sz w:val="24"/>
          <w:szCs w:val="24"/>
        </w:rPr>
      </w:pPr>
    </w:p>
    <w:p w:rsidR="002D2718" w:rsidRPr="00832A7F" w:rsidP="00832A7F" w14:paraId="59E1D9FC" w14:textId="77777777">
      <w:pPr>
        <w:tabs>
          <w:tab w:val="left" w:pos="360"/>
        </w:tabs>
        <w:ind w:left="360"/>
        <w:rPr>
          <w:bCs/>
          <w:sz w:val="24"/>
          <w:szCs w:val="24"/>
        </w:rPr>
      </w:pPr>
      <w:r w:rsidRPr="00832A7F">
        <w:rPr>
          <w:bCs/>
          <w:sz w:val="24"/>
          <w:szCs w:val="24"/>
        </w:rPr>
        <w:t xml:space="preserve">Survey respondents will not be asked about sexual behavior and attitudes, religious beliefs, and other matters that are commonly considered private. They will, however, be asked questions about their professional and sometimes personal circumstances, such </w:t>
      </w:r>
      <w:r w:rsidRPr="00832A7F">
        <w:rPr>
          <w:bCs/>
          <w:sz w:val="24"/>
          <w:szCs w:val="24"/>
        </w:rPr>
        <w:t>as,</w:t>
      </w:r>
      <w:r w:rsidRPr="00832A7F">
        <w:rPr>
          <w:bCs/>
          <w:sz w:val="24"/>
          <w:szCs w:val="24"/>
        </w:rPr>
        <w:t xml:space="preserve"> household income, and housing experiences related to disasters. As noted above, all respondents will be informed that participation is voluntary and that they can decline to answer any question without consequence, and that their identity will be kept confidential, with answers only reported in the aggregate.</w:t>
      </w:r>
    </w:p>
    <w:p w:rsidR="002D2718" w:rsidRPr="00832A7F" w14:paraId="48748771" w14:textId="77777777">
      <w:pPr>
        <w:tabs>
          <w:tab w:val="left" w:pos="360"/>
        </w:tabs>
        <w:ind w:left="360" w:hanging="360"/>
        <w:rPr>
          <w:bCs/>
          <w:sz w:val="24"/>
          <w:szCs w:val="24"/>
        </w:rPr>
      </w:pPr>
    </w:p>
    <w:p w:rsidR="009E13B1" w:rsidRPr="00832A7F" w14:paraId="397CCD4C" w14:textId="77777777">
      <w:pPr>
        <w:tabs>
          <w:tab w:val="left" w:pos="360"/>
        </w:tabs>
        <w:ind w:left="360" w:hanging="360"/>
        <w:rPr>
          <w:b/>
          <w:sz w:val="24"/>
          <w:szCs w:val="24"/>
        </w:rPr>
      </w:pPr>
      <w:r w:rsidRPr="00832A7F">
        <w:rPr>
          <w:b/>
          <w:sz w:val="24"/>
          <w:szCs w:val="24"/>
        </w:rPr>
        <w:t>12.</w:t>
      </w:r>
      <w:r w:rsidRPr="00832A7F">
        <w:rPr>
          <w:b/>
          <w:sz w:val="24"/>
          <w:szCs w:val="24"/>
        </w:rPr>
        <w:tab/>
        <w:t xml:space="preserve">Provide estimates of the hour burden of the collection of information.  The statement should: </w:t>
      </w:r>
    </w:p>
    <w:p w:rsidR="009E13B1" w:rsidRPr="00832A7F" w14:paraId="03DCAEE2" w14:textId="77777777">
      <w:pPr>
        <w:numPr>
          <w:ilvl w:val="0"/>
          <w:numId w:val="14"/>
        </w:numPr>
        <w:tabs>
          <w:tab w:val="left" w:pos="480"/>
        </w:tabs>
        <w:ind w:left="480"/>
        <w:rPr>
          <w:b/>
          <w:sz w:val="24"/>
          <w:szCs w:val="24"/>
        </w:rPr>
      </w:pPr>
      <w:r w:rsidRPr="00832A7F">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832A7F">
        <w:rPr>
          <w:b/>
          <w:sz w:val="24"/>
          <w:szCs w:val="24"/>
        </w:rPr>
        <w:t>hour</w:t>
      </w:r>
      <w:r w:rsidRPr="00832A7F">
        <w:rPr>
          <w:b/>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832A7F" w:rsidR="006C7FAE">
        <w:rPr>
          <w:b/>
          <w:sz w:val="24"/>
          <w:szCs w:val="24"/>
        </w:rPr>
        <w:t>Generally,</w:t>
      </w:r>
      <w:r w:rsidRPr="00832A7F">
        <w:rPr>
          <w:b/>
          <w:sz w:val="24"/>
          <w:szCs w:val="24"/>
        </w:rPr>
        <w:t xml:space="preserve"> estimates should not include burden hours for customary and usual business </w:t>
      </w:r>
      <w:r w:rsidRPr="00832A7F">
        <w:rPr>
          <w:b/>
          <w:sz w:val="24"/>
          <w:szCs w:val="24"/>
        </w:rPr>
        <w:t>practices;</w:t>
      </w:r>
      <w:r w:rsidRPr="00832A7F">
        <w:rPr>
          <w:b/>
          <w:sz w:val="24"/>
          <w:szCs w:val="24"/>
        </w:rPr>
        <w:t xml:space="preserve"> </w:t>
      </w:r>
    </w:p>
    <w:p w:rsidR="009E13B1" w:rsidRPr="00832A7F" w14:paraId="442DD883" w14:textId="77777777">
      <w:pPr>
        <w:numPr>
          <w:ilvl w:val="0"/>
          <w:numId w:val="14"/>
        </w:numPr>
        <w:tabs>
          <w:tab w:val="left" w:pos="480"/>
        </w:tabs>
        <w:ind w:left="480"/>
        <w:rPr>
          <w:b/>
          <w:sz w:val="24"/>
          <w:szCs w:val="24"/>
        </w:rPr>
      </w:pPr>
      <w:r w:rsidRPr="00832A7F">
        <w:rPr>
          <w:b/>
          <w:sz w:val="24"/>
          <w:szCs w:val="24"/>
        </w:rPr>
        <w:t xml:space="preserve">if this request covers more than one form, provide separate hour burden estimates for each </w:t>
      </w:r>
      <w:r w:rsidRPr="00832A7F">
        <w:rPr>
          <w:b/>
          <w:sz w:val="24"/>
          <w:szCs w:val="24"/>
        </w:rPr>
        <w:t>form</w:t>
      </w:r>
      <w:r w:rsidRPr="00832A7F">
        <w:rPr>
          <w:b/>
          <w:sz w:val="24"/>
          <w:szCs w:val="24"/>
        </w:rPr>
        <w:t xml:space="preserve"> and aggregate the hour burdens in </w:t>
      </w:r>
      <w:r w:rsidRPr="00832A7F" w:rsidR="00CA06CC">
        <w:rPr>
          <w:b/>
          <w:sz w:val="24"/>
          <w:szCs w:val="24"/>
        </w:rPr>
        <w:t>chart below</w:t>
      </w:r>
      <w:r w:rsidRPr="00832A7F">
        <w:rPr>
          <w:b/>
          <w:sz w:val="24"/>
          <w:szCs w:val="24"/>
        </w:rPr>
        <w:t xml:space="preserve">; and </w:t>
      </w:r>
    </w:p>
    <w:p w:rsidR="009E13B1" w:rsidRPr="00832A7F" w14:paraId="2DD7ED36" w14:textId="77777777">
      <w:pPr>
        <w:keepLines/>
        <w:numPr>
          <w:ilvl w:val="0"/>
          <w:numId w:val="14"/>
        </w:numPr>
        <w:tabs>
          <w:tab w:val="left" w:pos="480"/>
        </w:tabs>
        <w:spacing w:after="80"/>
        <w:ind w:left="480"/>
        <w:rPr>
          <w:bCs/>
          <w:sz w:val="24"/>
          <w:szCs w:val="24"/>
        </w:rPr>
      </w:pPr>
      <w:r w:rsidRPr="00832A7F">
        <w:rPr>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832A7F" w:rsidR="00CA06CC">
        <w:rPr>
          <w:b/>
          <w:sz w:val="24"/>
          <w:szCs w:val="24"/>
        </w:rPr>
        <w:t>Instead,</w:t>
      </w:r>
      <w:r w:rsidRPr="00832A7F">
        <w:rPr>
          <w:b/>
          <w:sz w:val="24"/>
          <w:szCs w:val="24"/>
        </w:rPr>
        <w:t xml:space="preserve"> this cost should be included in Item 13.</w:t>
      </w:r>
    </w:p>
    <w:p w:rsidR="00832A7F" w:rsidP="002D2718" w14:paraId="4FB3FF5E" w14:textId="77777777">
      <w:pPr>
        <w:keepLines/>
        <w:tabs>
          <w:tab w:val="left" w:pos="720"/>
        </w:tabs>
        <w:spacing w:after="80"/>
        <w:ind w:left="360"/>
        <w:jc w:val="both"/>
        <w:rPr>
          <w:bCs/>
          <w:sz w:val="24"/>
          <w:szCs w:val="24"/>
        </w:rPr>
      </w:pPr>
    </w:p>
    <w:p w:rsidR="002D2718" w:rsidRPr="00832A7F" w:rsidP="002D2718" w14:paraId="47588F51" w14:textId="77777777">
      <w:pPr>
        <w:keepLines/>
        <w:tabs>
          <w:tab w:val="left" w:pos="720"/>
        </w:tabs>
        <w:spacing w:after="80"/>
        <w:ind w:left="360"/>
        <w:jc w:val="both"/>
        <w:rPr>
          <w:bCs/>
          <w:sz w:val="24"/>
          <w:szCs w:val="24"/>
        </w:rPr>
      </w:pPr>
      <w:r w:rsidRPr="00832A7F">
        <w:rPr>
          <w:bCs/>
          <w:sz w:val="24"/>
          <w:szCs w:val="24"/>
        </w:rPr>
        <w:t xml:space="preserve">Table 1 demonstrates the projected burden hour estimates for one-time phone and in-person interviews or focus groups. These estimates assume the maximum possible number of study participants. The estimates included in Table A2 are based on estimates for the time </w:t>
      </w:r>
      <w:r w:rsidRPr="00832A7F">
        <w:rPr>
          <w:bCs/>
          <w:sz w:val="24"/>
          <w:szCs w:val="24"/>
        </w:rPr>
        <w:t>needs</w:t>
      </w:r>
      <w:r w:rsidRPr="00832A7F">
        <w:rPr>
          <w:bCs/>
          <w:sz w:val="24"/>
          <w:szCs w:val="24"/>
        </w:rPr>
        <w:t xml:space="preserve"> to complete these data collection activities. </w:t>
      </w:r>
    </w:p>
    <w:p w:rsidR="00832A7F" w:rsidP="002D2718" w14:paraId="2B7EEBEC" w14:textId="77777777">
      <w:pPr>
        <w:keepLines/>
        <w:tabs>
          <w:tab w:val="left" w:pos="720"/>
        </w:tabs>
        <w:spacing w:after="80"/>
        <w:ind w:left="360"/>
        <w:jc w:val="both"/>
        <w:rPr>
          <w:bCs/>
          <w:sz w:val="24"/>
          <w:szCs w:val="24"/>
        </w:rPr>
      </w:pPr>
    </w:p>
    <w:p w:rsidR="002D2718" w:rsidRPr="00832A7F" w:rsidP="002D2718" w14:paraId="3F2D79E0" w14:textId="77777777">
      <w:pPr>
        <w:keepLines/>
        <w:tabs>
          <w:tab w:val="left" w:pos="720"/>
        </w:tabs>
        <w:spacing w:after="80"/>
        <w:ind w:left="360"/>
        <w:jc w:val="both"/>
        <w:rPr>
          <w:bCs/>
          <w:sz w:val="24"/>
          <w:szCs w:val="24"/>
        </w:rPr>
      </w:pPr>
      <w:r w:rsidRPr="00832A7F">
        <w:rPr>
          <w:bCs/>
          <w:sz w:val="24"/>
          <w:szCs w:val="24"/>
        </w:rPr>
        <w:t xml:space="preserve">Respondents will total 190 interview and focus group participants from federal, state, and local governments, professional and business services, and private sector employees in three case study communities, to be determined. The average estimated response times are 1 hour for interviews and 1.5 hours for focus groups. This results in an estimated total response burden of 250 hours. </w:t>
      </w:r>
    </w:p>
    <w:p w:rsidR="002D2718" w:rsidRPr="00832A7F" w:rsidP="002D2718" w14:paraId="4EA9689B" w14:textId="77777777">
      <w:pPr>
        <w:keepLines/>
        <w:tabs>
          <w:tab w:val="left" w:pos="720"/>
        </w:tabs>
        <w:spacing w:after="80"/>
        <w:ind w:left="360"/>
        <w:jc w:val="both"/>
        <w:rPr>
          <w:bCs/>
          <w:sz w:val="24"/>
          <w:szCs w:val="24"/>
        </w:rPr>
      </w:pPr>
      <w:r w:rsidRPr="00832A7F">
        <w:rPr>
          <w:bCs/>
          <w:sz w:val="24"/>
          <w:szCs w:val="24"/>
        </w:rPr>
        <w:t>To calculate the total annual cost burden to respondents, the Urban Institute used Occupational Employment Statistics from the U.S. Department of Labor’s Bureau of Labor Statistics to identify the median hourly wages (as classified by Standard Occupational Classification, SOC, codes) for potentially relevant occupations for interview and focus group participants. Table A3 demonstrates how the burden hours are calculated. The total annual cost burden to respondents is approximately $8,335.20.</w:t>
      </w:r>
    </w:p>
    <w:p w:rsidR="006B1033" w:rsidRPr="00832A7F" w:rsidP="006B1033" w14:paraId="541EE12B" w14:textId="77777777">
      <w:pPr>
        <w:keepLines/>
        <w:tabs>
          <w:tab w:val="left" w:pos="720"/>
        </w:tabs>
        <w:spacing w:after="80"/>
        <w:rPr>
          <w:bCs/>
          <w:sz w:val="24"/>
          <w:szCs w:val="24"/>
        </w:rPr>
      </w:pPr>
    </w:p>
    <w:p w:rsidR="002D2718" w:rsidRPr="00832A7F" w:rsidP="006B1033" w14:paraId="3FB106D0" w14:textId="77777777">
      <w:pPr>
        <w:keepLines/>
        <w:tabs>
          <w:tab w:val="left" w:pos="720"/>
        </w:tabs>
        <w:spacing w:after="80"/>
        <w:rPr>
          <w:bCs/>
          <w:sz w:val="24"/>
          <w:szCs w:val="24"/>
        </w:rPr>
      </w:pPr>
      <w:r w:rsidRPr="00832A7F">
        <w:rPr>
          <w:bCs/>
          <w:sz w:val="24"/>
          <w:szCs w:val="24"/>
        </w:rPr>
        <w:t>Table A3: RESPONDENT COST BURDEN</w:t>
      </w:r>
    </w:p>
    <w:tbl>
      <w:tblPr>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260"/>
        <w:gridCol w:w="1170"/>
        <w:gridCol w:w="1103"/>
        <w:gridCol w:w="1170"/>
        <w:gridCol w:w="810"/>
        <w:gridCol w:w="1080"/>
        <w:gridCol w:w="1057"/>
      </w:tblGrid>
      <w:tr w14:paraId="4B43F3D5" w14:textId="77777777" w:rsidTr="006C1CFB">
        <w:tblPrEx>
          <w:tblW w:w="91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8"/>
        </w:trPr>
        <w:tc>
          <w:tcPr>
            <w:tcW w:w="1507" w:type="dxa"/>
            <w:shd w:val="clear" w:color="auto" w:fill="auto"/>
          </w:tcPr>
          <w:p w:rsidR="002D2718" w:rsidRPr="006C1CFB" w14:paraId="055F2B63" w14:textId="77777777">
            <w:pPr>
              <w:pStyle w:val="NormalWeb"/>
              <w:rPr>
                <w:rFonts w:eastAsia="Calibri"/>
                <w:bCs/>
                <w:sz w:val="20"/>
                <w:szCs w:val="20"/>
              </w:rPr>
            </w:pPr>
            <w:bookmarkStart w:id="3" w:name="_Hlk147839200"/>
            <w:r w:rsidRPr="006C1CFB">
              <w:rPr>
                <w:rFonts w:eastAsia="Calibri"/>
                <w:bCs/>
                <w:sz w:val="20"/>
                <w:szCs w:val="20"/>
              </w:rPr>
              <w:t>Information collection</w:t>
            </w:r>
          </w:p>
        </w:tc>
        <w:tc>
          <w:tcPr>
            <w:tcW w:w="1260" w:type="dxa"/>
            <w:shd w:val="clear" w:color="auto" w:fill="auto"/>
          </w:tcPr>
          <w:p w:rsidR="002D2718" w:rsidRPr="006C1CFB" w14:paraId="2F1035EE" w14:textId="77777777">
            <w:pPr>
              <w:pStyle w:val="NormalWeb"/>
              <w:rPr>
                <w:rFonts w:eastAsia="Calibri"/>
                <w:bCs/>
                <w:sz w:val="20"/>
                <w:szCs w:val="20"/>
              </w:rPr>
            </w:pPr>
            <w:r w:rsidRPr="006C1CFB">
              <w:rPr>
                <w:rFonts w:eastAsia="Calibri"/>
                <w:bCs/>
                <w:sz w:val="20"/>
                <w:szCs w:val="20"/>
              </w:rPr>
              <w:t>Number of respondents</w:t>
            </w:r>
          </w:p>
        </w:tc>
        <w:tc>
          <w:tcPr>
            <w:tcW w:w="1170" w:type="dxa"/>
            <w:shd w:val="clear" w:color="auto" w:fill="auto"/>
          </w:tcPr>
          <w:p w:rsidR="002D2718" w:rsidRPr="006C1CFB" w14:paraId="1BF1B172" w14:textId="77777777">
            <w:pPr>
              <w:pStyle w:val="NormalWeb"/>
              <w:rPr>
                <w:rFonts w:eastAsia="Calibri"/>
                <w:bCs/>
                <w:sz w:val="20"/>
                <w:szCs w:val="20"/>
              </w:rPr>
            </w:pPr>
            <w:r w:rsidRPr="006C1CFB">
              <w:rPr>
                <w:rFonts w:eastAsia="Calibri"/>
                <w:bCs/>
                <w:sz w:val="20"/>
                <w:szCs w:val="20"/>
              </w:rPr>
              <w:t>Frequency of response</w:t>
            </w:r>
          </w:p>
        </w:tc>
        <w:tc>
          <w:tcPr>
            <w:tcW w:w="1103" w:type="dxa"/>
            <w:shd w:val="clear" w:color="auto" w:fill="auto"/>
          </w:tcPr>
          <w:p w:rsidR="002D2718" w:rsidRPr="006C1CFB" w14:paraId="22312EEB" w14:textId="77777777">
            <w:pPr>
              <w:pStyle w:val="NormalWeb"/>
              <w:rPr>
                <w:rFonts w:eastAsia="Calibri"/>
                <w:bCs/>
                <w:sz w:val="20"/>
                <w:szCs w:val="20"/>
              </w:rPr>
            </w:pPr>
            <w:r w:rsidRPr="006C1CFB">
              <w:rPr>
                <w:rFonts w:eastAsia="Calibri"/>
                <w:bCs/>
                <w:sz w:val="20"/>
                <w:szCs w:val="20"/>
              </w:rPr>
              <w:t>Responses per annum</w:t>
            </w:r>
          </w:p>
        </w:tc>
        <w:tc>
          <w:tcPr>
            <w:tcW w:w="1170" w:type="dxa"/>
            <w:shd w:val="clear" w:color="auto" w:fill="auto"/>
          </w:tcPr>
          <w:p w:rsidR="002D2718" w:rsidRPr="006C1CFB" w14:paraId="53E1B24E" w14:textId="77777777">
            <w:pPr>
              <w:pStyle w:val="NormalWeb"/>
              <w:rPr>
                <w:rFonts w:eastAsia="Calibri"/>
                <w:bCs/>
                <w:sz w:val="20"/>
                <w:szCs w:val="20"/>
              </w:rPr>
            </w:pPr>
            <w:r w:rsidRPr="006C1CFB">
              <w:rPr>
                <w:rFonts w:eastAsia="Calibri"/>
                <w:bCs/>
                <w:sz w:val="20"/>
                <w:szCs w:val="20"/>
              </w:rPr>
              <w:t>Burden hour per response</w:t>
            </w:r>
          </w:p>
        </w:tc>
        <w:tc>
          <w:tcPr>
            <w:tcW w:w="810" w:type="dxa"/>
            <w:shd w:val="clear" w:color="auto" w:fill="auto"/>
          </w:tcPr>
          <w:p w:rsidR="002D2718" w:rsidRPr="006C1CFB" w14:paraId="14823860" w14:textId="77777777">
            <w:pPr>
              <w:pStyle w:val="NormalWeb"/>
              <w:rPr>
                <w:rFonts w:eastAsia="Calibri"/>
                <w:bCs/>
                <w:sz w:val="20"/>
                <w:szCs w:val="20"/>
              </w:rPr>
            </w:pPr>
            <w:r w:rsidRPr="006C1CFB">
              <w:rPr>
                <w:rFonts w:eastAsia="Calibri"/>
                <w:bCs/>
                <w:sz w:val="20"/>
                <w:szCs w:val="20"/>
              </w:rPr>
              <w:t xml:space="preserve">Annual burden hours </w:t>
            </w:r>
          </w:p>
        </w:tc>
        <w:tc>
          <w:tcPr>
            <w:tcW w:w="1080" w:type="dxa"/>
            <w:shd w:val="clear" w:color="auto" w:fill="auto"/>
          </w:tcPr>
          <w:p w:rsidR="002D2718" w:rsidRPr="006C1CFB" w14:paraId="62B96CC7" w14:textId="77777777">
            <w:pPr>
              <w:pStyle w:val="NormalWeb"/>
              <w:rPr>
                <w:rFonts w:eastAsia="Calibri"/>
                <w:bCs/>
                <w:sz w:val="20"/>
                <w:szCs w:val="20"/>
              </w:rPr>
            </w:pPr>
            <w:r w:rsidRPr="006C1CFB">
              <w:rPr>
                <w:rFonts w:eastAsia="Calibri"/>
                <w:bCs/>
                <w:sz w:val="20"/>
                <w:szCs w:val="20"/>
              </w:rPr>
              <w:t>Hourly cost per response</w:t>
            </w:r>
          </w:p>
        </w:tc>
        <w:tc>
          <w:tcPr>
            <w:tcW w:w="1057" w:type="dxa"/>
            <w:shd w:val="clear" w:color="auto" w:fill="auto"/>
          </w:tcPr>
          <w:p w:rsidR="002D2718" w:rsidRPr="006C1CFB" w14:paraId="7E8EE714" w14:textId="77777777">
            <w:pPr>
              <w:pStyle w:val="NormalWeb"/>
              <w:rPr>
                <w:rFonts w:eastAsia="Calibri"/>
                <w:bCs/>
                <w:sz w:val="20"/>
                <w:szCs w:val="20"/>
              </w:rPr>
            </w:pPr>
            <w:r w:rsidRPr="006C1CFB">
              <w:rPr>
                <w:rFonts w:eastAsia="Calibri"/>
                <w:bCs/>
                <w:sz w:val="20"/>
                <w:szCs w:val="20"/>
              </w:rPr>
              <w:t>Cost</w:t>
            </w:r>
          </w:p>
        </w:tc>
      </w:tr>
      <w:tr w14:paraId="6C4638E5" w14:textId="77777777" w:rsidTr="006C1CFB">
        <w:tblPrEx>
          <w:tblW w:w="9157" w:type="dxa"/>
          <w:tblInd w:w="558" w:type="dxa"/>
          <w:tblLayout w:type="fixed"/>
          <w:tblLook w:val="04A0"/>
        </w:tblPrEx>
        <w:tc>
          <w:tcPr>
            <w:tcW w:w="1507" w:type="dxa"/>
            <w:shd w:val="clear" w:color="auto" w:fill="auto"/>
          </w:tcPr>
          <w:p w:rsidR="006C1CFB" w:rsidRPr="006C1CFB" w:rsidP="006C1CFB" w14:paraId="08EE1F1B" w14:textId="77777777">
            <w:pPr>
              <w:pStyle w:val="NormalWeb"/>
              <w:rPr>
                <w:rFonts w:eastAsia="Calibri"/>
                <w:bCs/>
                <w:sz w:val="20"/>
                <w:szCs w:val="20"/>
              </w:rPr>
            </w:pPr>
            <w:r w:rsidRPr="006C1CFB">
              <w:rPr>
                <w:rFonts w:eastAsia="Calibri"/>
                <w:bCs/>
                <w:sz w:val="20"/>
                <w:szCs w:val="20"/>
              </w:rPr>
              <w:t xml:space="preserve">Interviews – Federal, state, and local government </w:t>
            </w:r>
          </w:p>
        </w:tc>
        <w:tc>
          <w:tcPr>
            <w:tcW w:w="1260" w:type="dxa"/>
            <w:shd w:val="clear" w:color="auto" w:fill="auto"/>
          </w:tcPr>
          <w:p w:rsidR="006C1CFB" w:rsidRPr="006C1CFB" w:rsidP="006C1CFB" w14:paraId="322BF16D" w14:textId="77777777">
            <w:pPr>
              <w:pStyle w:val="NormalWeb"/>
              <w:rPr>
                <w:rFonts w:eastAsia="Calibri"/>
                <w:bCs/>
                <w:sz w:val="20"/>
                <w:szCs w:val="20"/>
              </w:rPr>
            </w:pPr>
            <w:r w:rsidRPr="006C1CFB">
              <w:rPr>
                <w:rFonts w:eastAsia="Calibri"/>
                <w:bCs/>
                <w:sz w:val="20"/>
                <w:szCs w:val="20"/>
              </w:rPr>
              <w:t>25</w:t>
            </w:r>
          </w:p>
        </w:tc>
        <w:tc>
          <w:tcPr>
            <w:tcW w:w="1170" w:type="dxa"/>
            <w:shd w:val="clear" w:color="auto" w:fill="auto"/>
          </w:tcPr>
          <w:p w:rsidR="006C1CFB" w:rsidRPr="006C1CFB" w:rsidP="006C1CFB" w14:paraId="5AD9B94A" w14:textId="77777777">
            <w:pPr>
              <w:pStyle w:val="NormalWeb"/>
              <w:rPr>
                <w:rFonts w:eastAsia="Calibri"/>
                <w:bCs/>
                <w:sz w:val="20"/>
                <w:szCs w:val="20"/>
              </w:rPr>
            </w:pPr>
            <w:r w:rsidRPr="006C1CFB">
              <w:rPr>
                <w:rFonts w:eastAsia="Calibri"/>
                <w:bCs/>
                <w:sz w:val="20"/>
                <w:szCs w:val="20"/>
              </w:rPr>
              <w:t>1</w:t>
            </w:r>
          </w:p>
        </w:tc>
        <w:tc>
          <w:tcPr>
            <w:tcW w:w="1103" w:type="dxa"/>
            <w:shd w:val="clear" w:color="auto" w:fill="auto"/>
          </w:tcPr>
          <w:p w:rsidR="006C1CFB" w:rsidRPr="006C1CFB" w:rsidP="006C1CFB" w14:paraId="6DA62BCA" w14:textId="77777777">
            <w:pPr>
              <w:pStyle w:val="NormalWeb"/>
              <w:rPr>
                <w:rFonts w:eastAsia="Calibri"/>
                <w:bCs/>
                <w:sz w:val="20"/>
                <w:szCs w:val="20"/>
              </w:rPr>
            </w:pPr>
            <w:r w:rsidRPr="006C1CFB">
              <w:rPr>
                <w:rFonts w:eastAsia="Calibri"/>
                <w:bCs/>
                <w:sz w:val="20"/>
                <w:szCs w:val="20"/>
              </w:rPr>
              <w:t>25</w:t>
            </w:r>
          </w:p>
        </w:tc>
        <w:tc>
          <w:tcPr>
            <w:tcW w:w="1170" w:type="dxa"/>
            <w:shd w:val="clear" w:color="auto" w:fill="auto"/>
          </w:tcPr>
          <w:p w:rsidR="006C1CFB" w:rsidRPr="006C1CFB" w:rsidP="006C1CFB" w14:paraId="1AEAD168" w14:textId="77777777">
            <w:pPr>
              <w:pStyle w:val="NormalWeb"/>
              <w:rPr>
                <w:rFonts w:eastAsia="Calibri"/>
                <w:bCs/>
                <w:sz w:val="20"/>
                <w:szCs w:val="20"/>
              </w:rPr>
            </w:pPr>
            <w:r w:rsidRPr="006C1CFB">
              <w:rPr>
                <w:rFonts w:eastAsia="Calibri"/>
                <w:bCs/>
                <w:sz w:val="20"/>
                <w:szCs w:val="20"/>
              </w:rPr>
              <w:t>1</w:t>
            </w:r>
          </w:p>
        </w:tc>
        <w:tc>
          <w:tcPr>
            <w:tcW w:w="810" w:type="dxa"/>
            <w:shd w:val="clear" w:color="auto" w:fill="auto"/>
          </w:tcPr>
          <w:p w:rsidR="006C1CFB" w:rsidRPr="006C1CFB" w:rsidP="006C1CFB" w14:paraId="3D704159" w14:textId="77777777">
            <w:pPr>
              <w:pStyle w:val="NormalWeb"/>
              <w:rPr>
                <w:rFonts w:eastAsia="Calibri"/>
                <w:bCs/>
                <w:sz w:val="20"/>
                <w:szCs w:val="20"/>
              </w:rPr>
            </w:pPr>
            <w:r w:rsidRPr="006C1CFB">
              <w:rPr>
                <w:rFonts w:eastAsia="Calibri"/>
                <w:bCs/>
                <w:sz w:val="20"/>
                <w:szCs w:val="20"/>
              </w:rPr>
              <w:t>25</w:t>
            </w:r>
          </w:p>
        </w:tc>
        <w:tc>
          <w:tcPr>
            <w:tcW w:w="1080" w:type="dxa"/>
            <w:shd w:val="clear" w:color="auto" w:fill="auto"/>
          </w:tcPr>
          <w:p w:rsidR="006C1CFB" w:rsidRPr="006C1CFB" w:rsidP="006C1CFB" w14:paraId="1687C083" w14:textId="77777777">
            <w:pPr>
              <w:pStyle w:val="NormalWeb"/>
              <w:rPr>
                <w:rFonts w:eastAsia="Calibri"/>
                <w:bCs/>
                <w:sz w:val="20"/>
                <w:szCs w:val="20"/>
              </w:rPr>
            </w:pPr>
            <w:r w:rsidRPr="006C1CFB">
              <w:rPr>
                <w:rFonts w:eastAsia="Calibri"/>
                <w:bCs/>
                <w:sz w:val="20"/>
                <w:szCs w:val="20"/>
              </w:rPr>
              <w:t>$30.85</w:t>
            </w:r>
          </w:p>
        </w:tc>
        <w:tc>
          <w:tcPr>
            <w:tcW w:w="1057" w:type="dxa"/>
            <w:shd w:val="clear" w:color="auto" w:fill="auto"/>
          </w:tcPr>
          <w:p w:rsidR="006C1CFB" w:rsidRPr="006C1CFB" w:rsidP="006C1CFB" w14:paraId="70F11882" w14:textId="77777777">
            <w:pPr>
              <w:pStyle w:val="NormalWeb"/>
              <w:rPr>
                <w:rFonts w:eastAsia="Calibri"/>
                <w:bCs/>
                <w:sz w:val="20"/>
                <w:szCs w:val="20"/>
              </w:rPr>
            </w:pPr>
            <w:r w:rsidRPr="006C1CFB">
              <w:rPr>
                <w:rFonts w:eastAsia="Calibri"/>
                <w:bCs/>
                <w:sz w:val="20"/>
                <w:szCs w:val="20"/>
              </w:rPr>
              <w:t>$771.25</w:t>
            </w:r>
          </w:p>
        </w:tc>
      </w:tr>
      <w:tr w14:paraId="05E5BD05" w14:textId="77777777" w:rsidTr="006C1CFB">
        <w:tblPrEx>
          <w:tblW w:w="9157" w:type="dxa"/>
          <w:tblInd w:w="558" w:type="dxa"/>
          <w:tblLayout w:type="fixed"/>
          <w:tblLook w:val="04A0"/>
        </w:tblPrEx>
        <w:tc>
          <w:tcPr>
            <w:tcW w:w="1507" w:type="dxa"/>
            <w:shd w:val="clear" w:color="auto" w:fill="auto"/>
          </w:tcPr>
          <w:p w:rsidR="006C1CFB" w:rsidRPr="006C1CFB" w:rsidP="006C1CFB" w14:paraId="5D01AB31" w14:textId="77777777">
            <w:pPr>
              <w:pStyle w:val="NormalWeb"/>
              <w:rPr>
                <w:rFonts w:eastAsia="Calibri"/>
                <w:bCs/>
                <w:sz w:val="20"/>
                <w:szCs w:val="20"/>
              </w:rPr>
            </w:pPr>
            <w:r w:rsidRPr="006C1CFB">
              <w:rPr>
                <w:rFonts w:eastAsia="Calibri"/>
                <w:bCs/>
                <w:sz w:val="20"/>
                <w:szCs w:val="20"/>
              </w:rPr>
              <w:t xml:space="preserve">Interviews – Professionals and business services </w:t>
            </w:r>
          </w:p>
        </w:tc>
        <w:tc>
          <w:tcPr>
            <w:tcW w:w="1260" w:type="dxa"/>
            <w:shd w:val="clear" w:color="auto" w:fill="auto"/>
          </w:tcPr>
          <w:p w:rsidR="006C1CFB" w:rsidRPr="006C1CFB" w:rsidP="006C1CFB" w14:paraId="24115656" w14:textId="77777777">
            <w:pPr>
              <w:pStyle w:val="NormalWeb"/>
              <w:rPr>
                <w:rFonts w:eastAsia="Calibri"/>
                <w:bCs/>
                <w:sz w:val="20"/>
                <w:szCs w:val="20"/>
              </w:rPr>
            </w:pPr>
            <w:r w:rsidRPr="006C1CFB">
              <w:rPr>
                <w:rFonts w:eastAsia="Calibri"/>
                <w:bCs/>
                <w:sz w:val="20"/>
                <w:szCs w:val="20"/>
              </w:rPr>
              <w:t>20</w:t>
            </w:r>
          </w:p>
        </w:tc>
        <w:tc>
          <w:tcPr>
            <w:tcW w:w="1170" w:type="dxa"/>
            <w:shd w:val="clear" w:color="auto" w:fill="auto"/>
          </w:tcPr>
          <w:p w:rsidR="006C1CFB" w:rsidRPr="006C1CFB" w:rsidP="006C1CFB" w14:paraId="4829EB6C" w14:textId="77777777">
            <w:pPr>
              <w:pStyle w:val="NormalWeb"/>
              <w:rPr>
                <w:rFonts w:eastAsia="Calibri"/>
                <w:bCs/>
                <w:sz w:val="20"/>
                <w:szCs w:val="20"/>
              </w:rPr>
            </w:pPr>
            <w:r w:rsidRPr="006C1CFB">
              <w:rPr>
                <w:rFonts w:eastAsia="Calibri"/>
                <w:bCs/>
                <w:sz w:val="20"/>
                <w:szCs w:val="20"/>
              </w:rPr>
              <w:t>1</w:t>
            </w:r>
          </w:p>
        </w:tc>
        <w:tc>
          <w:tcPr>
            <w:tcW w:w="1103" w:type="dxa"/>
            <w:shd w:val="clear" w:color="auto" w:fill="auto"/>
          </w:tcPr>
          <w:p w:rsidR="006C1CFB" w:rsidRPr="006C1CFB" w:rsidP="006C1CFB" w14:paraId="0B396155" w14:textId="77777777">
            <w:pPr>
              <w:pStyle w:val="NormalWeb"/>
              <w:rPr>
                <w:rFonts w:eastAsia="Calibri"/>
                <w:bCs/>
                <w:sz w:val="20"/>
                <w:szCs w:val="20"/>
              </w:rPr>
            </w:pPr>
            <w:r w:rsidRPr="006C1CFB">
              <w:rPr>
                <w:rFonts w:eastAsia="Calibri"/>
                <w:bCs/>
                <w:sz w:val="20"/>
                <w:szCs w:val="20"/>
              </w:rPr>
              <w:t>20</w:t>
            </w:r>
          </w:p>
        </w:tc>
        <w:tc>
          <w:tcPr>
            <w:tcW w:w="1170" w:type="dxa"/>
            <w:shd w:val="clear" w:color="auto" w:fill="auto"/>
          </w:tcPr>
          <w:p w:rsidR="006C1CFB" w:rsidRPr="006C1CFB" w:rsidP="006C1CFB" w14:paraId="3357BE37" w14:textId="77777777">
            <w:pPr>
              <w:pStyle w:val="NormalWeb"/>
              <w:rPr>
                <w:rFonts w:eastAsia="Calibri"/>
                <w:bCs/>
                <w:sz w:val="20"/>
                <w:szCs w:val="20"/>
              </w:rPr>
            </w:pPr>
            <w:r w:rsidRPr="006C1CFB">
              <w:rPr>
                <w:rFonts w:eastAsia="Calibri"/>
                <w:bCs/>
                <w:sz w:val="20"/>
                <w:szCs w:val="20"/>
              </w:rPr>
              <w:t>1</w:t>
            </w:r>
          </w:p>
        </w:tc>
        <w:tc>
          <w:tcPr>
            <w:tcW w:w="810" w:type="dxa"/>
            <w:shd w:val="clear" w:color="auto" w:fill="auto"/>
          </w:tcPr>
          <w:p w:rsidR="006C1CFB" w:rsidRPr="006C1CFB" w:rsidP="006C1CFB" w14:paraId="482910A2" w14:textId="77777777">
            <w:pPr>
              <w:pStyle w:val="NormalWeb"/>
              <w:rPr>
                <w:rFonts w:eastAsia="Calibri"/>
                <w:bCs/>
                <w:sz w:val="20"/>
                <w:szCs w:val="20"/>
              </w:rPr>
            </w:pPr>
            <w:r w:rsidRPr="006C1CFB">
              <w:rPr>
                <w:rFonts w:eastAsia="Calibri"/>
                <w:bCs/>
                <w:sz w:val="20"/>
                <w:szCs w:val="20"/>
              </w:rPr>
              <w:t>20</w:t>
            </w:r>
          </w:p>
        </w:tc>
        <w:tc>
          <w:tcPr>
            <w:tcW w:w="1080" w:type="dxa"/>
            <w:shd w:val="clear" w:color="auto" w:fill="auto"/>
          </w:tcPr>
          <w:p w:rsidR="006C1CFB" w:rsidRPr="006C1CFB" w:rsidP="006C1CFB" w14:paraId="6A6FE9B8" w14:textId="77777777">
            <w:pPr>
              <w:pStyle w:val="NormalWeb"/>
              <w:rPr>
                <w:rFonts w:eastAsia="Calibri"/>
                <w:bCs/>
                <w:sz w:val="20"/>
                <w:szCs w:val="20"/>
              </w:rPr>
            </w:pPr>
            <w:r w:rsidRPr="006C1CFB">
              <w:rPr>
                <w:rFonts w:eastAsia="Calibri"/>
                <w:bCs/>
                <w:sz w:val="20"/>
                <w:szCs w:val="20"/>
              </w:rPr>
              <w:t>$39.64</w:t>
            </w:r>
          </w:p>
        </w:tc>
        <w:tc>
          <w:tcPr>
            <w:tcW w:w="1057" w:type="dxa"/>
            <w:shd w:val="clear" w:color="auto" w:fill="auto"/>
          </w:tcPr>
          <w:p w:rsidR="006C1CFB" w:rsidRPr="006C1CFB" w:rsidP="006C1CFB" w14:paraId="62663400" w14:textId="77777777">
            <w:pPr>
              <w:pStyle w:val="NormalWeb"/>
              <w:rPr>
                <w:rFonts w:eastAsia="Calibri"/>
                <w:bCs/>
                <w:sz w:val="20"/>
                <w:szCs w:val="20"/>
              </w:rPr>
            </w:pPr>
            <w:r w:rsidRPr="006C1CFB">
              <w:rPr>
                <w:rFonts w:eastAsia="Calibri"/>
                <w:bCs/>
                <w:sz w:val="20"/>
                <w:szCs w:val="20"/>
              </w:rPr>
              <w:t>$792.80</w:t>
            </w:r>
          </w:p>
        </w:tc>
      </w:tr>
      <w:tr w14:paraId="14846A08" w14:textId="77777777" w:rsidTr="006C1CFB">
        <w:tblPrEx>
          <w:tblW w:w="9157" w:type="dxa"/>
          <w:tblInd w:w="558" w:type="dxa"/>
          <w:tblLayout w:type="fixed"/>
          <w:tblLook w:val="04A0"/>
        </w:tblPrEx>
        <w:tc>
          <w:tcPr>
            <w:tcW w:w="1507" w:type="dxa"/>
            <w:shd w:val="clear" w:color="auto" w:fill="auto"/>
          </w:tcPr>
          <w:p w:rsidR="006C1CFB" w:rsidRPr="006C1CFB" w:rsidP="006C1CFB" w14:paraId="59911433" w14:textId="77777777">
            <w:pPr>
              <w:pStyle w:val="NormalWeb"/>
              <w:rPr>
                <w:rFonts w:eastAsia="Calibri"/>
                <w:bCs/>
                <w:sz w:val="20"/>
                <w:szCs w:val="20"/>
              </w:rPr>
            </w:pPr>
            <w:r w:rsidRPr="006C1CFB">
              <w:rPr>
                <w:rFonts w:eastAsia="Calibri"/>
                <w:bCs/>
                <w:sz w:val="20"/>
                <w:szCs w:val="20"/>
              </w:rPr>
              <w:t xml:space="preserve">Interviews – Private sector employees  </w:t>
            </w:r>
          </w:p>
        </w:tc>
        <w:tc>
          <w:tcPr>
            <w:tcW w:w="1260" w:type="dxa"/>
            <w:shd w:val="clear" w:color="auto" w:fill="auto"/>
          </w:tcPr>
          <w:p w:rsidR="006C1CFB" w:rsidRPr="006C1CFB" w:rsidP="006C1CFB" w14:paraId="2DC0C8E3" w14:textId="77777777">
            <w:pPr>
              <w:pStyle w:val="NormalWeb"/>
              <w:rPr>
                <w:rFonts w:eastAsia="Calibri"/>
                <w:bCs/>
                <w:sz w:val="20"/>
                <w:szCs w:val="20"/>
              </w:rPr>
            </w:pPr>
            <w:r w:rsidRPr="006C1CFB">
              <w:rPr>
                <w:rFonts w:eastAsia="Calibri"/>
                <w:bCs/>
                <w:sz w:val="20"/>
                <w:szCs w:val="20"/>
              </w:rPr>
              <w:t>25</w:t>
            </w:r>
          </w:p>
        </w:tc>
        <w:tc>
          <w:tcPr>
            <w:tcW w:w="1170" w:type="dxa"/>
            <w:shd w:val="clear" w:color="auto" w:fill="auto"/>
          </w:tcPr>
          <w:p w:rsidR="006C1CFB" w:rsidRPr="006C1CFB" w:rsidP="006C1CFB" w14:paraId="57E77691" w14:textId="77777777">
            <w:pPr>
              <w:pStyle w:val="NormalWeb"/>
              <w:rPr>
                <w:rFonts w:eastAsia="Calibri"/>
                <w:bCs/>
                <w:sz w:val="20"/>
                <w:szCs w:val="20"/>
              </w:rPr>
            </w:pPr>
            <w:r w:rsidRPr="006C1CFB">
              <w:rPr>
                <w:rFonts w:eastAsia="Calibri"/>
                <w:bCs/>
                <w:sz w:val="20"/>
                <w:szCs w:val="20"/>
              </w:rPr>
              <w:t>1</w:t>
            </w:r>
          </w:p>
        </w:tc>
        <w:tc>
          <w:tcPr>
            <w:tcW w:w="1103" w:type="dxa"/>
            <w:shd w:val="clear" w:color="auto" w:fill="auto"/>
          </w:tcPr>
          <w:p w:rsidR="006C1CFB" w:rsidRPr="006C1CFB" w:rsidP="006C1CFB" w14:paraId="65BC8B2A" w14:textId="77777777">
            <w:pPr>
              <w:pStyle w:val="NormalWeb"/>
              <w:rPr>
                <w:rFonts w:eastAsia="Calibri"/>
                <w:bCs/>
                <w:sz w:val="20"/>
                <w:szCs w:val="20"/>
              </w:rPr>
            </w:pPr>
            <w:r w:rsidRPr="006C1CFB">
              <w:rPr>
                <w:rFonts w:eastAsia="Calibri"/>
                <w:bCs/>
                <w:sz w:val="20"/>
                <w:szCs w:val="20"/>
              </w:rPr>
              <w:t>25</w:t>
            </w:r>
          </w:p>
        </w:tc>
        <w:tc>
          <w:tcPr>
            <w:tcW w:w="1170" w:type="dxa"/>
            <w:shd w:val="clear" w:color="auto" w:fill="auto"/>
          </w:tcPr>
          <w:p w:rsidR="006C1CFB" w:rsidRPr="006C1CFB" w:rsidP="006C1CFB" w14:paraId="0D33B915" w14:textId="77777777">
            <w:pPr>
              <w:pStyle w:val="NormalWeb"/>
              <w:rPr>
                <w:rFonts w:eastAsia="Calibri"/>
                <w:bCs/>
                <w:sz w:val="20"/>
                <w:szCs w:val="20"/>
              </w:rPr>
            </w:pPr>
            <w:r w:rsidRPr="006C1CFB">
              <w:rPr>
                <w:rFonts w:eastAsia="Calibri"/>
                <w:bCs/>
                <w:sz w:val="20"/>
                <w:szCs w:val="20"/>
              </w:rPr>
              <w:t>1</w:t>
            </w:r>
          </w:p>
        </w:tc>
        <w:tc>
          <w:tcPr>
            <w:tcW w:w="810" w:type="dxa"/>
            <w:shd w:val="clear" w:color="auto" w:fill="auto"/>
          </w:tcPr>
          <w:p w:rsidR="006C1CFB" w:rsidRPr="006C1CFB" w:rsidP="006C1CFB" w14:paraId="1450008C" w14:textId="77777777">
            <w:pPr>
              <w:pStyle w:val="NormalWeb"/>
              <w:rPr>
                <w:rFonts w:eastAsia="Calibri"/>
                <w:bCs/>
                <w:sz w:val="20"/>
                <w:szCs w:val="20"/>
              </w:rPr>
            </w:pPr>
            <w:r w:rsidRPr="006C1CFB">
              <w:rPr>
                <w:rFonts w:eastAsia="Calibri"/>
                <w:bCs/>
                <w:sz w:val="20"/>
                <w:szCs w:val="20"/>
              </w:rPr>
              <w:t>25</w:t>
            </w:r>
          </w:p>
        </w:tc>
        <w:tc>
          <w:tcPr>
            <w:tcW w:w="1080" w:type="dxa"/>
            <w:shd w:val="clear" w:color="auto" w:fill="auto"/>
          </w:tcPr>
          <w:p w:rsidR="006C1CFB" w:rsidRPr="006C1CFB" w:rsidP="006C1CFB" w14:paraId="5C31AAE3" w14:textId="77777777">
            <w:pPr>
              <w:pStyle w:val="NormalWeb"/>
              <w:rPr>
                <w:rFonts w:eastAsia="Calibri"/>
                <w:bCs/>
                <w:sz w:val="20"/>
                <w:szCs w:val="20"/>
              </w:rPr>
            </w:pPr>
            <w:r w:rsidRPr="006C1CFB">
              <w:rPr>
                <w:rFonts w:eastAsia="Calibri"/>
                <w:bCs/>
                <w:sz w:val="20"/>
                <w:szCs w:val="20"/>
              </w:rPr>
              <w:t>$33.03</w:t>
            </w:r>
          </w:p>
        </w:tc>
        <w:tc>
          <w:tcPr>
            <w:tcW w:w="1057" w:type="dxa"/>
            <w:shd w:val="clear" w:color="auto" w:fill="auto"/>
          </w:tcPr>
          <w:p w:rsidR="006C1CFB" w:rsidRPr="006C1CFB" w:rsidP="006C1CFB" w14:paraId="7875B0DC" w14:textId="77777777">
            <w:pPr>
              <w:pStyle w:val="NormalWeb"/>
              <w:rPr>
                <w:rFonts w:eastAsia="Calibri"/>
                <w:bCs/>
                <w:sz w:val="20"/>
                <w:szCs w:val="20"/>
              </w:rPr>
            </w:pPr>
            <w:r w:rsidRPr="006C1CFB">
              <w:rPr>
                <w:rFonts w:eastAsia="Calibri"/>
                <w:bCs/>
                <w:sz w:val="20"/>
                <w:szCs w:val="20"/>
              </w:rPr>
              <w:t>$825.75</w:t>
            </w:r>
          </w:p>
          <w:p w:rsidR="006C1CFB" w:rsidRPr="006C1CFB" w:rsidP="006C1CFB" w14:paraId="560EE56D" w14:textId="77777777">
            <w:pPr>
              <w:rPr>
                <w:rFonts w:eastAsia="Calibri"/>
                <w:bCs/>
              </w:rPr>
            </w:pPr>
          </w:p>
        </w:tc>
      </w:tr>
      <w:tr w14:paraId="22BA2838" w14:textId="77777777" w:rsidTr="006C1CFB">
        <w:tblPrEx>
          <w:tblW w:w="9157" w:type="dxa"/>
          <w:tblInd w:w="558" w:type="dxa"/>
          <w:tblLayout w:type="fixed"/>
          <w:tblLook w:val="04A0"/>
        </w:tblPrEx>
        <w:tc>
          <w:tcPr>
            <w:tcW w:w="1507" w:type="dxa"/>
            <w:shd w:val="clear" w:color="auto" w:fill="auto"/>
          </w:tcPr>
          <w:p w:rsidR="006C1CFB" w:rsidRPr="006C1CFB" w:rsidP="006C1CFB" w14:paraId="36E469CE" w14:textId="77777777">
            <w:pPr>
              <w:pStyle w:val="NormalWeb"/>
              <w:rPr>
                <w:rFonts w:eastAsia="Calibri"/>
                <w:bCs/>
                <w:sz w:val="20"/>
                <w:szCs w:val="20"/>
              </w:rPr>
            </w:pPr>
            <w:r w:rsidRPr="006C1CFB">
              <w:rPr>
                <w:rFonts w:eastAsia="Calibri"/>
                <w:bCs/>
                <w:sz w:val="20"/>
                <w:szCs w:val="20"/>
              </w:rPr>
              <w:t xml:space="preserve">Focus groups – Private sector employees  </w:t>
            </w:r>
          </w:p>
        </w:tc>
        <w:tc>
          <w:tcPr>
            <w:tcW w:w="1260" w:type="dxa"/>
            <w:shd w:val="clear" w:color="auto" w:fill="auto"/>
          </w:tcPr>
          <w:p w:rsidR="006C1CFB" w:rsidRPr="006C1CFB" w:rsidP="006C1CFB" w14:paraId="73BBE6D0" w14:textId="77777777">
            <w:pPr>
              <w:pStyle w:val="NormalWeb"/>
              <w:rPr>
                <w:rFonts w:eastAsia="Calibri"/>
                <w:bCs/>
                <w:sz w:val="20"/>
                <w:szCs w:val="20"/>
              </w:rPr>
            </w:pPr>
            <w:r w:rsidRPr="006C1CFB">
              <w:rPr>
                <w:rFonts w:eastAsia="Calibri"/>
                <w:bCs/>
                <w:sz w:val="20"/>
                <w:szCs w:val="20"/>
              </w:rPr>
              <w:t>120</w:t>
            </w:r>
          </w:p>
        </w:tc>
        <w:tc>
          <w:tcPr>
            <w:tcW w:w="1170" w:type="dxa"/>
            <w:shd w:val="clear" w:color="auto" w:fill="auto"/>
          </w:tcPr>
          <w:p w:rsidR="006C1CFB" w:rsidRPr="006C1CFB" w:rsidP="006C1CFB" w14:paraId="0A92B7BF" w14:textId="77777777">
            <w:pPr>
              <w:pStyle w:val="NormalWeb"/>
              <w:rPr>
                <w:rFonts w:eastAsia="Calibri"/>
                <w:bCs/>
                <w:sz w:val="20"/>
                <w:szCs w:val="20"/>
              </w:rPr>
            </w:pPr>
            <w:r w:rsidRPr="006C1CFB">
              <w:rPr>
                <w:rFonts w:eastAsia="Calibri"/>
                <w:bCs/>
                <w:sz w:val="20"/>
                <w:szCs w:val="20"/>
              </w:rPr>
              <w:t>1</w:t>
            </w:r>
          </w:p>
        </w:tc>
        <w:tc>
          <w:tcPr>
            <w:tcW w:w="1103" w:type="dxa"/>
            <w:shd w:val="clear" w:color="auto" w:fill="auto"/>
          </w:tcPr>
          <w:p w:rsidR="006C1CFB" w:rsidRPr="006C1CFB" w:rsidP="006C1CFB" w14:paraId="399FC95E" w14:textId="77777777">
            <w:pPr>
              <w:pStyle w:val="NormalWeb"/>
              <w:rPr>
                <w:rFonts w:eastAsia="Calibri"/>
                <w:bCs/>
                <w:sz w:val="20"/>
                <w:szCs w:val="20"/>
              </w:rPr>
            </w:pPr>
            <w:r w:rsidRPr="006C1CFB">
              <w:rPr>
                <w:rFonts w:eastAsia="Calibri"/>
                <w:bCs/>
                <w:sz w:val="20"/>
                <w:szCs w:val="20"/>
              </w:rPr>
              <w:t>120</w:t>
            </w:r>
          </w:p>
        </w:tc>
        <w:tc>
          <w:tcPr>
            <w:tcW w:w="1170" w:type="dxa"/>
            <w:shd w:val="clear" w:color="auto" w:fill="auto"/>
          </w:tcPr>
          <w:p w:rsidR="006C1CFB" w:rsidRPr="006C1CFB" w:rsidP="006C1CFB" w14:paraId="41FCF0B7" w14:textId="77777777">
            <w:pPr>
              <w:pStyle w:val="NormalWeb"/>
              <w:rPr>
                <w:rFonts w:eastAsia="Calibri"/>
                <w:bCs/>
                <w:sz w:val="20"/>
                <w:szCs w:val="20"/>
              </w:rPr>
            </w:pPr>
            <w:r w:rsidRPr="006C1CFB">
              <w:rPr>
                <w:rFonts w:eastAsia="Calibri"/>
                <w:bCs/>
                <w:sz w:val="20"/>
                <w:szCs w:val="20"/>
              </w:rPr>
              <w:t>1.5</w:t>
            </w:r>
          </w:p>
        </w:tc>
        <w:tc>
          <w:tcPr>
            <w:tcW w:w="810" w:type="dxa"/>
            <w:shd w:val="clear" w:color="auto" w:fill="auto"/>
          </w:tcPr>
          <w:p w:rsidR="006C1CFB" w:rsidRPr="006C1CFB" w:rsidP="006C1CFB" w14:paraId="1FAB86F5" w14:textId="77777777">
            <w:pPr>
              <w:pStyle w:val="NormalWeb"/>
              <w:rPr>
                <w:rFonts w:eastAsia="Calibri"/>
                <w:bCs/>
                <w:sz w:val="20"/>
                <w:szCs w:val="20"/>
              </w:rPr>
            </w:pPr>
            <w:r w:rsidRPr="006C1CFB">
              <w:rPr>
                <w:rFonts w:eastAsia="Calibri"/>
                <w:bCs/>
                <w:sz w:val="20"/>
                <w:szCs w:val="20"/>
              </w:rPr>
              <w:t>180</w:t>
            </w:r>
          </w:p>
        </w:tc>
        <w:tc>
          <w:tcPr>
            <w:tcW w:w="1080" w:type="dxa"/>
            <w:shd w:val="clear" w:color="auto" w:fill="auto"/>
          </w:tcPr>
          <w:p w:rsidR="006C1CFB" w:rsidRPr="006C1CFB" w:rsidP="006C1CFB" w14:paraId="12651CC1" w14:textId="77777777">
            <w:pPr>
              <w:pStyle w:val="NormalWeb"/>
              <w:rPr>
                <w:rFonts w:eastAsia="Calibri"/>
                <w:bCs/>
                <w:sz w:val="20"/>
                <w:szCs w:val="20"/>
              </w:rPr>
            </w:pPr>
            <w:r w:rsidRPr="006C1CFB">
              <w:rPr>
                <w:rFonts w:eastAsia="Calibri"/>
                <w:bCs/>
                <w:sz w:val="20"/>
                <w:szCs w:val="20"/>
              </w:rPr>
              <w:t>$33.03</w:t>
            </w:r>
          </w:p>
        </w:tc>
        <w:tc>
          <w:tcPr>
            <w:tcW w:w="1057" w:type="dxa"/>
            <w:shd w:val="clear" w:color="auto" w:fill="auto"/>
          </w:tcPr>
          <w:p w:rsidR="006C1CFB" w:rsidRPr="006C1CFB" w:rsidP="006C1CFB" w14:paraId="4C0CD0FC" w14:textId="77777777">
            <w:pPr>
              <w:pStyle w:val="NormalWeb"/>
              <w:rPr>
                <w:rFonts w:eastAsia="Calibri"/>
                <w:bCs/>
                <w:sz w:val="20"/>
                <w:szCs w:val="20"/>
              </w:rPr>
            </w:pPr>
            <w:r w:rsidRPr="006C1CFB">
              <w:rPr>
                <w:rFonts w:eastAsia="Calibri"/>
                <w:bCs/>
                <w:sz w:val="20"/>
                <w:szCs w:val="20"/>
              </w:rPr>
              <w:t>$5,945.40</w:t>
            </w:r>
          </w:p>
        </w:tc>
      </w:tr>
      <w:tr w14:paraId="0C3C295E" w14:textId="77777777" w:rsidTr="006C1CFB">
        <w:tblPrEx>
          <w:tblW w:w="9157" w:type="dxa"/>
          <w:tblInd w:w="558" w:type="dxa"/>
          <w:tblLayout w:type="fixed"/>
          <w:tblLook w:val="04A0"/>
        </w:tblPrEx>
        <w:tc>
          <w:tcPr>
            <w:tcW w:w="1507" w:type="dxa"/>
            <w:shd w:val="clear" w:color="auto" w:fill="auto"/>
          </w:tcPr>
          <w:p w:rsidR="002D2718" w:rsidRPr="006C1CFB" w14:paraId="5AA5A98F" w14:textId="77777777">
            <w:pPr>
              <w:pStyle w:val="NormalWeb"/>
              <w:rPr>
                <w:rFonts w:eastAsia="Calibri"/>
                <w:bCs/>
                <w:sz w:val="20"/>
                <w:szCs w:val="20"/>
              </w:rPr>
            </w:pPr>
            <w:r w:rsidRPr="006C1CFB">
              <w:rPr>
                <w:rFonts w:eastAsia="Calibri"/>
                <w:bCs/>
                <w:sz w:val="20"/>
                <w:szCs w:val="20"/>
              </w:rPr>
              <w:t>Total</w:t>
            </w:r>
          </w:p>
        </w:tc>
        <w:tc>
          <w:tcPr>
            <w:tcW w:w="1260" w:type="dxa"/>
            <w:shd w:val="clear" w:color="auto" w:fill="auto"/>
          </w:tcPr>
          <w:p w:rsidR="002D2718" w:rsidRPr="006C1CFB" w14:paraId="2066BC27" w14:textId="77777777">
            <w:pPr>
              <w:pStyle w:val="NormalWeb"/>
              <w:rPr>
                <w:rFonts w:eastAsia="Calibri"/>
                <w:bCs/>
                <w:sz w:val="20"/>
                <w:szCs w:val="20"/>
              </w:rPr>
            </w:pPr>
            <w:r w:rsidRPr="006C1CFB">
              <w:rPr>
                <w:rFonts w:eastAsia="Calibri"/>
                <w:bCs/>
                <w:sz w:val="20"/>
                <w:szCs w:val="20"/>
              </w:rPr>
              <w:t>190</w:t>
            </w:r>
          </w:p>
        </w:tc>
        <w:tc>
          <w:tcPr>
            <w:tcW w:w="1170" w:type="dxa"/>
            <w:shd w:val="clear" w:color="auto" w:fill="auto"/>
          </w:tcPr>
          <w:p w:rsidR="002D2718" w:rsidRPr="006C1CFB" w14:paraId="204CD88C" w14:textId="77777777">
            <w:pPr>
              <w:pStyle w:val="NormalWeb"/>
              <w:rPr>
                <w:rFonts w:eastAsia="Calibri"/>
                <w:bCs/>
                <w:sz w:val="20"/>
                <w:szCs w:val="20"/>
              </w:rPr>
            </w:pPr>
            <w:r w:rsidRPr="006C1CFB">
              <w:rPr>
                <w:rFonts w:eastAsia="Calibri"/>
                <w:bCs/>
                <w:sz w:val="20"/>
                <w:szCs w:val="20"/>
              </w:rPr>
              <w:t>-</w:t>
            </w:r>
          </w:p>
        </w:tc>
        <w:tc>
          <w:tcPr>
            <w:tcW w:w="1103" w:type="dxa"/>
            <w:shd w:val="clear" w:color="auto" w:fill="auto"/>
          </w:tcPr>
          <w:p w:rsidR="002D2718" w:rsidRPr="006C1CFB" w14:paraId="3F1C2510" w14:textId="77777777">
            <w:pPr>
              <w:pStyle w:val="NormalWeb"/>
              <w:rPr>
                <w:rFonts w:eastAsia="Calibri"/>
                <w:bCs/>
                <w:sz w:val="20"/>
                <w:szCs w:val="20"/>
              </w:rPr>
            </w:pPr>
            <w:r w:rsidRPr="006C1CFB">
              <w:rPr>
                <w:rFonts w:eastAsia="Calibri"/>
                <w:bCs/>
                <w:sz w:val="20"/>
                <w:szCs w:val="20"/>
              </w:rPr>
              <w:t>-</w:t>
            </w:r>
          </w:p>
        </w:tc>
        <w:tc>
          <w:tcPr>
            <w:tcW w:w="1170" w:type="dxa"/>
            <w:shd w:val="clear" w:color="auto" w:fill="auto"/>
          </w:tcPr>
          <w:p w:rsidR="002D2718" w:rsidRPr="006C1CFB" w14:paraId="35C6A51D" w14:textId="77777777">
            <w:pPr>
              <w:pStyle w:val="NormalWeb"/>
              <w:rPr>
                <w:rFonts w:eastAsia="Calibri"/>
                <w:bCs/>
                <w:sz w:val="20"/>
                <w:szCs w:val="20"/>
              </w:rPr>
            </w:pPr>
            <w:r w:rsidRPr="006C1CFB">
              <w:rPr>
                <w:rFonts w:eastAsia="Calibri"/>
                <w:bCs/>
                <w:sz w:val="20"/>
                <w:szCs w:val="20"/>
              </w:rPr>
              <w:t>-</w:t>
            </w:r>
          </w:p>
        </w:tc>
        <w:tc>
          <w:tcPr>
            <w:tcW w:w="810" w:type="dxa"/>
            <w:shd w:val="clear" w:color="auto" w:fill="auto"/>
          </w:tcPr>
          <w:p w:rsidR="002D2718" w:rsidRPr="006C1CFB" w14:paraId="20B91C42" w14:textId="77777777">
            <w:pPr>
              <w:pStyle w:val="NormalWeb"/>
              <w:rPr>
                <w:rFonts w:eastAsia="Calibri"/>
                <w:bCs/>
                <w:sz w:val="20"/>
                <w:szCs w:val="20"/>
              </w:rPr>
            </w:pPr>
            <w:r w:rsidRPr="006C1CFB">
              <w:rPr>
                <w:rFonts w:eastAsia="Calibri"/>
                <w:bCs/>
                <w:sz w:val="20"/>
                <w:szCs w:val="20"/>
              </w:rPr>
              <w:t>250</w:t>
            </w:r>
          </w:p>
        </w:tc>
        <w:tc>
          <w:tcPr>
            <w:tcW w:w="1080" w:type="dxa"/>
            <w:shd w:val="clear" w:color="auto" w:fill="auto"/>
          </w:tcPr>
          <w:p w:rsidR="002D2718" w:rsidRPr="006C1CFB" w14:paraId="787DD7D4" w14:textId="77777777">
            <w:pPr>
              <w:pStyle w:val="NormalWeb"/>
              <w:rPr>
                <w:rFonts w:eastAsia="Calibri"/>
                <w:bCs/>
                <w:sz w:val="20"/>
                <w:szCs w:val="20"/>
              </w:rPr>
            </w:pPr>
            <w:r w:rsidRPr="006C1CFB">
              <w:rPr>
                <w:rFonts w:eastAsia="Calibri"/>
                <w:bCs/>
                <w:sz w:val="20"/>
                <w:szCs w:val="20"/>
              </w:rPr>
              <w:t>-</w:t>
            </w:r>
          </w:p>
        </w:tc>
        <w:tc>
          <w:tcPr>
            <w:tcW w:w="1057" w:type="dxa"/>
            <w:shd w:val="clear" w:color="auto" w:fill="auto"/>
          </w:tcPr>
          <w:p w:rsidR="002D2718" w:rsidRPr="006C1CFB" w14:paraId="0ECDE7A4" w14:textId="77777777">
            <w:pPr>
              <w:pStyle w:val="NormalWeb"/>
              <w:rPr>
                <w:rFonts w:eastAsia="Calibri"/>
                <w:bCs/>
                <w:sz w:val="20"/>
                <w:szCs w:val="20"/>
              </w:rPr>
            </w:pPr>
            <w:r w:rsidRPr="006C1CFB">
              <w:rPr>
                <w:rFonts w:eastAsia="Calibri"/>
                <w:bCs/>
                <w:sz w:val="20"/>
                <w:szCs w:val="20"/>
              </w:rPr>
              <w:t>$8,335.20</w:t>
            </w:r>
          </w:p>
        </w:tc>
      </w:tr>
    </w:tbl>
    <w:bookmarkEnd w:id="3"/>
    <w:p w:rsidR="002D2718" w:rsidRPr="00832A7F" w:rsidP="002D2718" w14:paraId="7B0BA3C2" w14:textId="77777777">
      <w:pPr>
        <w:keepLines/>
        <w:tabs>
          <w:tab w:val="left" w:pos="720"/>
        </w:tabs>
        <w:spacing w:after="80"/>
        <w:ind w:left="450"/>
        <w:rPr>
          <w:bCs/>
          <w:sz w:val="24"/>
          <w:szCs w:val="24"/>
        </w:rPr>
      </w:pPr>
      <w:r w:rsidRPr="00832A7F">
        <w:rPr>
          <w:bCs/>
          <w:sz w:val="24"/>
          <w:szCs w:val="24"/>
        </w:rPr>
        <w:t xml:space="preserve">Source: Average hourly and weekly earnings of all employees on private nonfarm payrolls by industry sector, seasonally adjusted.  U.S. Bureau of Labor Statistics.  </w:t>
      </w:r>
    </w:p>
    <w:p w:rsidR="00167E53" w:rsidRPr="00832A7F" w:rsidP="002D2718" w14:paraId="0896348E" w14:textId="77777777">
      <w:pPr>
        <w:keepLines/>
        <w:tabs>
          <w:tab w:val="left" w:pos="720"/>
        </w:tabs>
        <w:spacing w:after="80"/>
        <w:ind w:left="540"/>
        <w:rPr>
          <w:bCs/>
          <w:sz w:val="24"/>
          <w:szCs w:val="24"/>
        </w:rPr>
      </w:pPr>
    </w:p>
    <w:p w:rsidR="009E13B1" w:rsidRPr="00832A7F" w14:paraId="056ACE6E" w14:textId="77777777">
      <w:pPr>
        <w:tabs>
          <w:tab w:val="left" w:pos="360"/>
        </w:tabs>
        <w:ind w:left="360" w:hanging="360"/>
        <w:rPr>
          <w:b/>
          <w:sz w:val="24"/>
          <w:szCs w:val="24"/>
        </w:rPr>
      </w:pPr>
      <w:r w:rsidRPr="00832A7F">
        <w:rPr>
          <w:b/>
          <w:sz w:val="24"/>
          <w:szCs w:val="24"/>
        </w:rPr>
        <w:t>13.</w:t>
      </w:r>
      <w:r w:rsidRPr="00832A7F">
        <w:rPr>
          <w:b/>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832A7F" w14:paraId="6D7E1731" w14:textId="77777777">
      <w:pPr>
        <w:numPr>
          <w:ilvl w:val="0"/>
          <w:numId w:val="14"/>
        </w:numPr>
        <w:tabs>
          <w:tab w:val="left" w:pos="360"/>
        </w:tabs>
        <w:ind w:left="480"/>
        <w:rPr>
          <w:b/>
          <w:sz w:val="24"/>
          <w:szCs w:val="24"/>
        </w:rPr>
      </w:pPr>
      <w:r w:rsidRPr="00832A7F">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832A7F">
        <w:rPr>
          <w:b/>
          <w:sz w:val="24"/>
          <w:szCs w:val="24"/>
        </w:rPr>
        <w:t>take into account</w:t>
      </w:r>
      <w:r w:rsidRPr="00832A7F">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32A7F">
        <w:rPr>
          <w:b/>
          <w:sz w:val="24"/>
          <w:szCs w:val="24"/>
        </w:rPr>
        <w:t>time period</w:t>
      </w:r>
      <w:r w:rsidRPr="00832A7F">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832A7F">
        <w:rPr>
          <w:b/>
          <w:sz w:val="24"/>
          <w:szCs w:val="24"/>
        </w:rPr>
        <w:t>facilities;</w:t>
      </w:r>
      <w:r w:rsidRPr="00832A7F">
        <w:rPr>
          <w:b/>
          <w:sz w:val="24"/>
          <w:szCs w:val="24"/>
        </w:rPr>
        <w:t xml:space="preserve"> </w:t>
      </w:r>
    </w:p>
    <w:p w:rsidR="009E13B1" w:rsidRPr="00832A7F" w14:paraId="194CACB6" w14:textId="77777777">
      <w:pPr>
        <w:numPr>
          <w:ilvl w:val="0"/>
          <w:numId w:val="14"/>
        </w:numPr>
        <w:tabs>
          <w:tab w:val="left" w:pos="360"/>
        </w:tabs>
        <w:ind w:left="480"/>
        <w:rPr>
          <w:b/>
          <w:sz w:val="24"/>
          <w:szCs w:val="24"/>
        </w:rPr>
      </w:pPr>
      <w:r w:rsidRPr="00832A7F">
        <w:rPr>
          <w:b/>
          <w:sz w:val="24"/>
          <w:szCs w:val="24"/>
        </w:rPr>
        <w:t xml:space="preserve">If cost estimates are expected to vary widely, agencies should present ranges of cost burdens and explain the reasons for the variance.  The cost of purchasing or contracting </w:t>
      </w:r>
      <w:r w:rsidRPr="00832A7F">
        <w:rPr>
          <w:b/>
          <w:sz w:val="24"/>
          <w:szCs w:val="24"/>
        </w:rPr>
        <w:t>out</w:t>
      </w:r>
      <w:r w:rsidRPr="00832A7F">
        <w:rPr>
          <w:b/>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832A7F" w14:paraId="2D8A89FA" w14:textId="77777777">
      <w:pPr>
        <w:keepLines/>
        <w:numPr>
          <w:ilvl w:val="0"/>
          <w:numId w:val="14"/>
        </w:numPr>
        <w:tabs>
          <w:tab w:val="left" w:pos="360"/>
        </w:tabs>
        <w:spacing w:after="80"/>
        <w:ind w:left="480"/>
        <w:rPr>
          <w:bCs/>
          <w:sz w:val="24"/>
          <w:szCs w:val="24"/>
        </w:rPr>
      </w:pPr>
      <w:r w:rsidRPr="00832A7F">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32A7F">
        <w:rPr>
          <w:bCs/>
          <w:sz w:val="24"/>
          <w:szCs w:val="24"/>
        </w:rPr>
        <w:t>.</w:t>
      </w:r>
    </w:p>
    <w:p w:rsidR="00832A7F" w:rsidP="00832A7F" w14:paraId="36DBF6B7" w14:textId="77777777">
      <w:pPr>
        <w:ind w:left="450"/>
        <w:rPr>
          <w:bCs/>
          <w:sz w:val="24"/>
          <w:szCs w:val="24"/>
        </w:rPr>
      </w:pPr>
    </w:p>
    <w:p w:rsidR="002D2718" w:rsidRPr="00832A7F" w:rsidP="00832A7F" w14:paraId="2F949B7B" w14:textId="77777777">
      <w:pPr>
        <w:ind w:left="450"/>
        <w:rPr>
          <w:bCs/>
          <w:sz w:val="24"/>
          <w:szCs w:val="24"/>
        </w:rPr>
      </w:pPr>
      <w:r w:rsidRPr="00832A7F">
        <w:rPr>
          <w:bCs/>
          <w:sz w:val="24"/>
          <w:szCs w:val="24"/>
        </w:rPr>
        <w:t xml:space="preserve">This data collection effort involves no capital/start up or recordkeeping or reporting costs for respondents other than the time burden to respond to questions on the data collection instruments as described in item 12 above. There is no known cost burden to the respondents. </w:t>
      </w:r>
    </w:p>
    <w:p w:rsidR="002D2718" w:rsidRPr="00832A7F" w14:paraId="731D7EB8" w14:textId="77777777">
      <w:pPr>
        <w:keepLines/>
        <w:tabs>
          <w:tab w:val="left" w:pos="360"/>
          <w:tab w:val="left" w:pos="720"/>
        </w:tabs>
        <w:ind w:left="360"/>
        <w:rPr>
          <w:bCs/>
          <w:sz w:val="24"/>
          <w:szCs w:val="24"/>
        </w:rPr>
      </w:pPr>
    </w:p>
    <w:p w:rsidR="00167E53" w:rsidRPr="00832A7F" w:rsidP="00BE75D8" w14:paraId="4D934C28" w14:textId="77777777">
      <w:pPr>
        <w:keepLines/>
        <w:tabs>
          <w:tab w:val="left" w:pos="360"/>
        </w:tabs>
        <w:spacing w:after="80"/>
        <w:ind w:left="360" w:hanging="360"/>
        <w:rPr>
          <w:bCs/>
          <w:sz w:val="24"/>
          <w:szCs w:val="24"/>
        </w:rPr>
      </w:pPr>
      <w:r w:rsidRPr="00832A7F">
        <w:rPr>
          <w:b/>
          <w:sz w:val="24"/>
          <w:szCs w:val="24"/>
        </w:rPr>
        <w:t>14.</w:t>
      </w:r>
      <w:r w:rsidRPr="00832A7F">
        <w:rPr>
          <w:b/>
          <w:sz w:val="24"/>
          <w:szCs w:val="24"/>
        </w:rPr>
        <w:tab/>
        <w:t xml:space="preserve">Provide estimates of annualized </w:t>
      </w:r>
      <w:r w:rsidRPr="00832A7F">
        <w:rPr>
          <w:b/>
          <w:sz w:val="24"/>
          <w:szCs w:val="24"/>
        </w:rPr>
        <w:t>cost</w:t>
      </w:r>
      <w:r w:rsidRPr="00832A7F">
        <w:rPr>
          <w:b/>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832A7F">
        <w:rPr>
          <w:bCs/>
          <w:sz w:val="24"/>
          <w:szCs w:val="24"/>
        </w:rPr>
        <w:t>.</w:t>
      </w:r>
    </w:p>
    <w:p w:rsidR="00832A7F" w:rsidP="00832A7F" w14:paraId="26DD895A" w14:textId="77777777">
      <w:pPr>
        <w:ind w:left="360"/>
        <w:jc w:val="both"/>
        <w:rPr>
          <w:bCs/>
          <w:sz w:val="24"/>
          <w:szCs w:val="24"/>
        </w:rPr>
      </w:pPr>
    </w:p>
    <w:p w:rsidR="00832A7F" w:rsidP="00832A7F" w14:paraId="1BEB0DFA" w14:textId="77777777">
      <w:pPr>
        <w:ind w:left="360"/>
        <w:jc w:val="both"/>
        <w:rPr>
          <w:bCs/>
          <w:sz w:val="24"/>
          <w:szCs w:val="24"/>
        </w:rPr>
      </w:pPr>
      <w:r w:rsidRPr="00832A7F">
        <w:rPr>
          <w:bCs/>
          <w:sz w:val="24"/>
          <w:szCs w:val="24"/>
        </w:rPr>
        <w:t>The total cost to the government for this study</w:t>
      </w:r>
      <w:r w:rsidRPr="00832A7F" w:rsidR="00D4074F">
        <w:rPr>
          <w:bCs/>
          <w:sz w:val="24"/>
          <w:szCs w:val="24"/>
        </w:rPr>
        <w:t xml:space="preserve"> </w:t>
      </w:r>
      <w:r w:rsidRPr="00832A7F">
        <w:rPr>
          <w:bCs/>
          <w:sz w:val="24"/>
          <w:szCs w:val="24"/>
        </w:rPr>
        <w:t>is $699,607 over a 3-year period.</w:t>
      </w:r>
      <w:r w:rsidRPr="00832A7F" w:rsidR="00BE75D8">
        <w:rPr>
          <w:bCs/>
          <w:sz w:val="24"/>
          <w:szCs w:val="24"/>
        </w:rPr>
        <w:t xml:space="preserve"> Federal staff will not </w:t>
      </w:r>
      <w:r w:rsidRPr="00832A7F" w:rsidR="00BE75D8">
        <w:rPr>
          <w:bCs/>
          <w:sz w:val="24"/>
          <w:szCs w:val="24"/>
        </w:rPr>
        <w:t>have involvement</w:t>
      </w:r>
      <w:r w:rsidRPr="00832A7F" w:rsidR="00BE75D8">
        <w:rPr>
          <w:bCs/>
          <w:sz w:val="24"/>
          <w:szCs w:val="24"/>
        </w:rPr>
        <w:t xml:space="preserve"> in data collection and there is no annualized cost to the government beyond the contract amount.</w:t>
      </w:r>
      <w:r w:rsidRPr="00832A7F">
        <w:rPr>
          <w:bCs/>
          <w:sz w:val="24"/>
          <w:szCs w:val="24"/>
        </w:rPr>
        <w:t xml:space="preserve"> Included are costs associated with background research, evaluation design, development of data collection instruments, secondary and administrative data collection and analysis not covered by this request, qualitative data collection activities, analysis, and reporting. </w:t>
      </w:r>
    </w:p>
    <w:p w:rsidR="00832A7F" w:rsidP="00832A7F" w14:paraId="2383DFDA" w14:textId="77777777">
      <w:pPr>
        <w:ind w:left="360"/>
        <w:jc w:val="both"/>
        <w:rPr>
          <w:bCs/>
          <w:sz w:val="24"/>
          <w:szCs w:val="24"/>
        </w:rPr>
      </w:pPr>
    </w:p>
    <w:p w:rsidR="009E13B1" w:rsidRPr="00832A7F" w:rsidP="00832A7F" w14:paraId="152F723C" w14:textId="77777777">
      <w:pPr>
        <w:ind w:left="360"/>
        <w:jc w:val="both"/>
        <w:rPr>
          <w:bCs/>
          <w:sz w:val="24"/>
          <w:szCs w:val="24"/>
        </w:rPr>
      </w:pPr>
      <w:r w:rsidRPr="00832A7F">
        <w:rPr>
          <w:bCs/>
          <w:sz w:val="24"/>
          <w:szCs w:val="24"/>
        </w:rPr>
        <w:t>The data collection is being carried out under a HUD cooperative agreement with the Urban Institute. The estimated total cost for the qualitative research activities covered under this approval are approximately $69,559, Including $2,400 for incentive payments, $15,147 for travel and 366 labor hours for researchers conducting the data collection. The data collection costs are one-time costs based on the competitively bid and awarded cooperative agreement for this study.</w:t>
      </w:r>
    </w:p>
    <w:p w:rsidR="006C7FAE" w:rsidRPr="00832A7F" w14:paraId="583E1893" w14:textId="77777777">
      <w:pPr>
        <w:tabs>
          <w:tab w:val="left" w:pos="360"/>
        </w:tabs>
        <w:ind w:left="360" w:hanging="360"/>
        <w:rPr>
          <w:bCs/>
          <w:sz w:val="24"/>
          <w:szCs w:val="24"/>
        </w:rPr>
      </w:pPr>
    </w:p>
    <w:p w:rsidR="009E13B1" w:rsidRPr="00832A7F" w14:paraId="6141A2C1" w14:textId="77777777">
      <w:pPr>
        <w:keepLines/>
        <w:tabs>
          <w:tab w:val="left" w:pos="360"/>
        </w:tabs>
        <w:spacing w:after="80"/>
        <w:ind w:left="360" w:hanging="360"/>
        <w:rPr>
          <w:bCs/>
          <w:sz w:val="24"/>
          <w:szCs w:val="24"/>
        </w:rPr>
      </w:pPr>
      <w:r w:rsidRPr="00832A7F">
        <w:rPr>
          <w:b/>
          <w:sz w:val="24"/>
          <w:szCs w:val="24"/>
        </w:rPr>
        <w:t>15.</w:t>
      </w:r>
      <w:r w:rsidRPr="00832A7F">
        <w:rPr>
          <w:b/>
          <w:sz w:val="24"/>
          <w:szCs w:val="24"/>
        </w:rPr>
        <w:tab/>
        <w:t xml:space="preserve">Explain the reasons for any program changes or adjustments reported in Items 13 and 14 of the </w:t>
      </w:r>
      <w:r w:rsidRPr="00832A7F" w:rsidR="00CA06CC">
        <w:rPr>
          <w:b/>
          <w:sz w:val="24"/>
          <w:szCs w:val="24"/>
        </w:rPr>
        <w:t>Supporting Statement</w:t>
      </w:r>
      <w:r w:rsidRPr="00832A7F">
        <w:rPr>
          <w:bCs/>
          <w:sz w:val="24"/>
          <w:szCs w:val="24"/>
        </w:rPr>
        <w:t>.</w:t>
      </w:r>
    </w:p>
    <w:p w:rsidR="00832A7F" w:rsidP="00832A7F" w14:paraId="2E0DC0C6" w14:textId="77777777">
      <w:pPr>
        <w:keepNext/>
        <w:ind w:left="360"/>
        <w:rPr>
          <w:bCs/>
          <w:sz w:val="24"/>
          <w:szCs w:val="24"/>
        </w:rPr>
      </w:pPr>
    </w:p>
    <w:p w:rsidR="001007C9" w:rsidRPr="00832A7F" w:rsidP="00832A7F" w14:paraId="60A92CAB" w14:textId="77777777">
      <w:pPr>
        <w:keepNext/>
        <w:ind w:left="360"/>
        <w:rPr>
          <w:bCs/>
          <w:sz w:val="24"/>
          <w:szCs w:val="24"/>
        </w:rPr>
      </w:pPr>
      <w:r w:rsidRPr="00832A7F">
        <w:rPr>
          <w:bCs/>
          <w:sz w:val="24"/>
          <w:szCs w:val="24"/>
        </w:rPr>
        <w:t>This is a new request and does not result from any program changes or adjustments. This submission is a new request for approval; there is no change in burden.</w:t>
      </w:r>
    </w:p>
    <w:p w:rsidR="001007C9" w:rsidRPr="00832A7F" w:rsidP="001007C9" w14:paraId="55237390" w14:textId="77777777">
      <w:pPr>
        <w:keepLines/>
        <w:tabs>
          <w:tab w:val="left" w:pos="360"/>
          <w:tab w:val="left" w:pos="720"/>
        </w:tabs>
        <w:rPr>
          <w:bCs/>
          <w:sz w:val="24"/>
          <w:szCs w:val="24"/>
        </w:rPr>
      </w:pPr>
    </w:p>
    <w:p w:rsidR="009E13B1" w:rsidRPr="00832A7F" w14:paraId="4C15342D" w14:textId="77777777">
      <w:pPr>
        <w:keepLines/>
        <w:tabs>
          <w:tab w:val="left" w:pos="360"/>
        </w:tabs>
        <w:spacing w:after="80"/>
        <w:ind w:left="360" w:hanging="360"/>
        <w:rPr>
          <w:b/>
          <w:sz w:val="24"/>
          <w:szCs w:val="24"/>
        </w:rPr>
      </w:pPr>
      <w:r w:rsidRPr="00832A7F">
        <w:rPr>
          <w:b/>
          <w:sz w:val="24"/>
          <w:szCs w:val="24"/>
        </w:rPr>
        <w:t>16.</w:t>
      </w:r>
      <w:r w:rsidRPr="00832A7F">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2A7F" w:rsidP="00832A7F" w14:paraId="647F8C85" w14:textId="77777777">
      <w:pPr>
        <w:ind w:left="360"/>
        <w:jc w:val="both"/>
        <w:rPr>
          <w:bCs/>
          <w:sz w:val="24"/>
          <w:szCs w:val="24"/>
        </w:rPr>
      </w:pPr>
    </w:p>
    <w:p w:rsidR="006A43B0" w:rsidRPr="00832A7F" w:rsidP="00832A7F" w14:paraId="0C3EB2EB" w14:textId="77777777">
      <w:pPr>
        <w:ind w:left="360"/>
        <w:jc w:val="both"/>
        <w:rPr>
          <w:bCs/>
          <w:sz w:val="24"/>
          <w:szCs w:val="24"/>
        </w:rPr>
      </w:pPr>
      <w:r w:rsidRPr="00832A7F">
        <w:rPr>
          <w:bCs/>
          <w:sz w:val="24"/>
          <w:szCs w:val="24"/>
        </w:rPr>
        <w:t xml:space="preserve">Case study finalization will begin immediately following OMB approval, with interviews and focus groups occurring shortly thereafter. During the 16-week data collection period, Urban will conduct outreach and prepare for data collection and then conduct 1-week long site visits to each study community as well as follow up with virtual interviews as needed. At the end of the data collection period, Urban Institute will develop clean note files of all interviews and focus groups to prepare for analysis. Following completion of the document review and qualitative data collection, Urban will </w:t>
      </w:r>
      <w:r w:rsidRPr="00832A7F">
        <w:rPr>
          <w:bCs/>
          <w:sz w:val="24"/>
          <w:szCs w:val="24"/>
        </w:rPr>
        <w:t>analyze qualitative data to identify within-case- and cross-case findings.  Qualitative data will be coded the NVivo qualitative analysis software package using a deductive coding framework developed from the RQs and complemented through inductive coding of emergent themes. From this coding process, Urban will identify key findings and themes that will be integrated with the other analyses.</w:t>
      </w:r>
    </w:p>
    <w:p w:rsidR="00832A7F" w:rsidP="00832A7F" w14:paraId="5C62AAB9" w14:textId="77777777">
      <w:pPr>
        <w:ind w:left="360"/>
        <w:jc w:val="both"/>
        <w:rPr>
          <w:bCs/>
          <w:sz w:val="24"/>
          <w:szCs w:val="24"/>
        </w:rPr>
      </w:pPr>
    </w:p>
    <w:p w:rsidR="006A43B0" w:rsidRPr="00832A7F" w:rsidP="00832A7F" w14:paraId="503C74BD" w14:textId="77777777">
      <w:pPr>
        <w:ind w:left="360"/>
        <w:jc w:val="both"/>
        <w:rPr>
          <w:rFonts w:eastAsia="Lato"/>
          <w:bCs/>
          <w:sz w:val="24"/>
          <w:szCs w:val="24"/>
        </w:rPr>
      </w:pPr>
      <w:r w:rsidRPr="00832A7F">
        <w:rPr>
          <w:bCs/>
          <w:sz w:val="24"/>
          <w:szCs w:val="24"/>
        </w:rPr>
        <w:t xml:space="preserve">Data from the national landscape analysis, local market analysis, CDBD-DR </w:t>
      </w:r>
      <w:r w:rsidRPr="00832A7F">
        <w:rPr>
          <w:bCs/>
          <w:sz w:val="24"/>
          <w:szCs w:val="24"/>
        </w:rPr>
        <w:t>analysis</w:t>
      </w:r>
      <w:r w:rsidRPr="00832A7F">
        <w:rPr>
          <w:bCs/>
          <w:sz w:val="24"/>
          <w:szCs w:val="24"/>
        </w:rPr>
        <w:t xml:space="preserve"> and qualitative data collection (the latter being the subject of this request) will be analyzed, integrated, and summarized in a final</w:t>
      </w:r>
      <w:r w:rsidRPr="00832A7F">
        <w:rPr>
          <w:rFonts w:eastAsia="Lato"/>
          <w:bCs/>
          <w:sz w:val="24"/>
          <w:szCs w:val="24"/>
        </w:rPr>
        <w:t xml:space="preserve"> retrospective report and a policy brief that synthesizes cross-cutting and unique findings and recommends actionable, policy-relevant opportunities to improve renter outcomes in post-disaster contexts.</w:t>
      </w:r>
    </w:p>
    <w:p w:rsidR="006A43B0" w:rsidRPr="00832A7F" w:rsidP="00E2458C" w14:paraId="3A576854" w14:textId="77777777">
      <w:pPr>
        <w:ind w:left="360"/>
        <w:jc w:val="both"/>
        <w:rPr>
          <w:rFonts w:eastAsia="Lato"/>
          <w:bCs/>
          <w:sz w:val="24"/>
          <w:szCs w:val="24"/>
        </w:rPr>
      </w:pPr>
      <w:r w:rsidRPr="00832A7F">
        <w:rPr>
          <w:rFonts w:eastAsia="Lato"/>
          <w:bCs/>
          <w:sz w:val="24"/>
          <w:szCs w:val="24"/>
        </w:rPr>
        <w:t xml:space="preserve">A project timeline with activities covered in this request is found in table A4. </w:t>
      </w:r>
    </w:p>
    <w:p w:rsidR="006A43B0" w:rsidRPr="00832A7F" w14:paraId="464A270C" w14:textId="77777777">
      <w:pPr>
        <w:keepLines/>
        <w:tabs>
          <w:tab w:val="left" w:pos="360"/>
        </w:tabs>
        <w:spacing w:after="80"/>
        <w:ind w:left="360" w:hanging="360"/>
        <w:rPr>
          <w:bCs/>
          <w:sz w:val="24"/>
          <w:szCs w:val="24"/>
        </w:rPr>
      </w:pPr>
    </w:p>
    <w:p w:rsidR="004F7DAA" w:rsidRPr="00832A7F" w:rsidP="004F7DAA" w14:paraId="25C8CA9B" w14:textId="77777777">
      <w:pPr>
        <w:jc w:val="both"/>
        <w:rPr>
          <w:rFonts w:eastAsia="Lato"/>
          <w:bCs/>
          <w:sz w:val="24"/>
          <w:szCs w:val="24"/>
        </w:rPr>
      </w:pPr>
      <w:r w:rsidRPr="00832A7F">
        <w:rPr>
          <w:rFonts w:eastAsia="Lato"/>
          <w:bCs/>
          <w:sz w:val="24"/>
          <w:szCs w:val="24"/>
        </w:rPr>
        <w:t xml:space="preserve">Table A4: PROJECT TIMELINE </w:t>
      </w:r>
    </w:p>
    <w:tbl>
      <w:tblPr>
        <w:tblW w:w="4760" w:type="pct"/>
        <w:tblInd w:w="3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2928"/>
        <w:gridCol w:w="3297"/>
        <w:gridCol w:w="3190"/>
      </w:tblGrid>
      <w:tr w14:paraId="060895DE" w14:textId="77777777">
        <w:tblPrEx>
          <w:tblW w:w="4760" w:type="pct"/>
          <w:tblInd w:w="37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trHeight w:val="300"/>
        </w:trPr>
        <w:tc>
          <w:tcPr>
            <w:tcW w:w="1555" w:type="pct"/>
            <w:tcBorders>
              <w:bottom w:val="single" w:sz="12" w:space="0" w:color="666666"/>
            </w:tcBorders>
            <w:shd w:val="clear" w:color="auto" w:fill="auto"/>
          </w:tcPr>
          <w:p w:rsidR="004F7DAA" w:rsidRPr="00832A7F" w14:paraId="23116E95" w14:textId="77777777">
            <w:pPr>
              <w:jc w:val="center"/>
              <w:rPr>
                <w:rFonts w:eastAsia="Lato"/>
                <w:bCs/>
                <w:sz w:val="24"/>
                <w:szCs w:val="24"/>
              </w:rPr>
            </w:pPr>
            <w:r w:rsidRPr="00832A7F">
              <w:rPr>
                <w:rFonts w:eastAsia="Lato"/>
                <w:bCs/>
                <w:sz w:val="24"/>
                <w:szCs w:val="24"/>
              </w:rPr>
              <w:t>Task</w:t>
            </w:r>
          </w:p>
        </w:tc>
        <w:tc>
          <w:tcPr>
            <w:tcW w:w="1751" w:type="pct"/>
            <w:tcBorders>
              <w:bottom w:val="single" w:sz="12" w:space="0" w:color="666666"/>
            </w:tcBorders>
            <w:shd w:val="clear" w:color="auto" w:fill="auto"/>
          </w:tcPr>
          <w:p w:rsidR="004F7DAA" w:rsidRPr="00832A7F" w14:paraId="6ECC0E89" w14:textId="77777777">
            <w:pPr>
              <w:jc w:val="center"/>
              <w:rPr>
                <w:rFonts w:eastAsia="Lato"/>
                <w:bCs/>
                <w:sz w:val="24"/>
                <w:szCs w:val="24"/>
              </w:rPr>
            </w:pPr>
            <w:r w:rsidRPr="00832A7F">
              <w:rPr>
                <w:rFonts w:eastAsia="Lato"/>
                <w:bCs/>
                <w:sz w:val="24"/>
                <w:szCs w:val="24"/>
              </w:rPr>
              <w:t>Start Date</w:t>
            </w:r>
          </w:p>
        </w:tc>
        <w:tc>
          <w:tcPr>
            <w:tcW w:w="1694" w:type="pct"/>
            <w:tcBorders>
              <w:bottom w:val="single" w:sz="12" w:space="0" w:color="666666"/>
            </w:tcBorders>
            <w:shd w:val="clear" w:color="auto" w:fill="auto"/>
          </w:tcPr>
          <w:p w:rsidR="004F7DAA" w:rsidRPr="00832A7F" w14:paraId="255697C1" w14:textId="77777777">
            <w:pPr>
              <w:jc w:val="center"/>
              <w:rPr>
                <w:rFonts w:eastAsia="Lato"/>
                <w:bCs/>
                <w:sz w:val="24"/>
                <w:szCs w:val="24"/>
              </w:rPr>
            </w:pPr>
            <w:r w:rsidRPr="00832A7F">
              <w:rPr>
                <w:rFonts w:eastAsia="Lato"/>
                <w:bCs/>
                <w:sz w:val="24"/>
                <w:szCs w:val="24"/>
              </w:rPr>
              <w:t>End Date</w:t>
            </w:r>
          </w:p>
        </w:tc>
      </w:tr>
      <w:tr w14:paraId="29A55F4B" w14:textId="77777777">
        <w:tblPrEx>
          <w:tblW w:w="4760" w:type="pct"/>
          <w:tblInd w:w="378" w:type="dxa"/>
          <w:tblLayout w:type="fixed"/>
          <w:tblLook w:val="04A0"/>
        </w:tblPrEx>
        <w:trPr>
          <w:trHeight w:val="615"/>
        </w:trPr>
        <w:tc>
          <w:tcPr>
            <w:tcW w:w="1555" w:type="pct"/>
            <w:shd w:val="clear" w:color="auto" w:fill="auto"/>
          </w:tcPr>
          <w:p w:rsidR="004F7DAA" w:rsidRPr="00832A7F" w14:paraId="126A1575" w14:textId="77777777">
            <w:pPr>
              <w:rPr>
                <w:rFonts w:eastAsia="Calibri"/>
                <w:bCs/>
                <w:sz w:val="24"/>
                <w:szCs w:val="24"/>
              </w:rPr>
            </w:pPr>
            <w:r w:rsidRPr="00832A7F">
              <w:rPr>
                <w:rFonts w:eastAsia="Calibri"/>
                <w:bCs/>
                <w:sz w:val="24"/>
                <w:szCs w:val="24"/>
              </w:rPr>
              <w:t>Research Design – Case study sample selection</w:t>
            </w:r>
          </w:p>
        </w:tc>
        <w:tc>
          <w:tcPr>
            <w:tcW w:w="1751" w:type="pct"/>
            <w:shd w:val="clear" w:color="auto" w:fill="auto"/>
          </w:tcPr>
          <w:p w:rsidR="004F7DAA" w:rsidRPr="00832A7F" w14:paraId="0AC5D8A3" w14:textId="77777777">
            <w:pPr>
              <w:rPr>
                <w:rFonts w:eastAsia="Calibri"/>
                <w:bCs/>
                <w:sz w:val="24"/>
                <w:szCs w:val="24"/>
              </w:rPr>
            </w:pPr>
            <w:r w:rsidRPr="00832A7F">
              <w:rPr>
                <w:rFonts w:eastAsia="Calibri"/>
                <w:bCs/>
                <w:sz w:val="24"/>
                <w:szCs w:val="24"/>
              </w:rPr>
              <w:t xml:space="preserve">OMB approval date </w:t>
            </w:r>
          </w:p>
        </w:tc>
        <w:tc>
          <w:tcPr>
            <w:tcW w:w="1694" w:type="pct"/>
            <w:shd w:val="clear" w:color="auto" w:fill="auto"/>
          </w:tcPr>
          <w:p w:rsidR="004F7DAA" w:rsidRPr="00832A7F" w14:paraId="6314A25B" w14:textId="77777777">
            <w:pPr>
              <w:rPr>
                <w:rFonts w:eastAsia="Calibri"/>
                <w:bCs/>
                <w:sz w:val="24"/>
                <w:szCs w:val="24"/>
              </w:rPr>
            </w:pPr>
            <w:r w:rsidRPr="00832A7F">
              <w:rPr>
                <w:rFonts w:eastAsia="Calibri"/>
                <w:bCs/>
                <w:sz w:val="24"/>
                <w:szCs w:val="24"/>
              </w:rPr>
              <w:t xml:space="preserve">3 months after OMB approval </w:t>
            </w:r>
          </w:p>
        </w:tc>
      </w:tr>
      <w:tr w14:paraId="6C6503CC" w14:textId="77777777">
        <w:tblPrEx>
          <w:tblW w:w="4760" w:type="pct"/>
          <w:tblInd w:w="378" w:type="dxa"/>
          <w:tblLayout w:type="fixed"/>
          <w:tblLook w:val="04A0"/>
        </w:tblPrEx>
        <w:trPr>
          <w:trHeight w:val="691"/>
        </w:trPr>
        <w:tc>
          <w:tcPr>
            <w:tcW w:w="1555" w:type="pct"/>
            <w:shd w:val="clear" w:color="auto" w:fill="auto"/>
          </w:tcPr>
          <w:p w:rsidR="004F7DAA" w:rsidRPr="00832A7F" w14:paraId="484578BE" w14:textId="77777777">
            <w:pPr>
              <w:rPr>
                <w:rFonts w:eastAsia="Calibri"/>
                <w:bCs/>
                <w:sz w:val="24"/>
                <w:szCs w:val="24"/>
              </w:rPr>
            </w:pPr>
            <w:r w:rsidRPr="00832A7F">
              <w:rPr>
                <w:rFonts w:eastAsia="Calibri"/>
                <w:bCs/>
                <w:sz w:val="24"/>
                <w:szCs w:val="24"/>
              </w:rPr>
              <w:t>Data Collection – Site visits, interviews, focus groups</w:t>
            </w:r>
          </w:p>
        </w:tc>
        <w:tc>
          <w:tcPr>
            <w:tcW w:w="1751" w:type="pct"/>
            <w:shd w:val="clear" w:color="auto" w:fill="auto"/>
          </w:tcPr>
          <w:p w:rsidR="004F7DAA" w:rsidRPr="00832A7F" w14:paraId="2C35E937" w14:textId="77777777">
            <w:pPr>
              <w:rPr>
                <w:rFonts w:eastAsia="Calibri"/>
                <w:bCs/>
                <w:sz w:val="24"/>
                <w:szCs w:val="24"/>
              </w:rPr>
            </w:pPr>
            <w:r w:rsidRPr="00832A7F">
              <w:rPr>
                <w:rFonts w:eastAsia="Calibri"/>
                <w:bCs/>
                <w:sz w:val="24"/>
                <w:szCs w:val="24"/>
              </w:rPr>
              <w:t xml:space="preserve">3-6 months after OMB approval </w:t>
            </w:r>
          </w:p>
        </w:tc>
        <w:tc>
          <w:tcPr>
            <w:tcW w:w="1694" w:type="pct"/>
            <w:shd w:val="clear" w:color="auto" w:fill="auto"/>
          </w:tcPr>
          <w:p w:rsidR="004F7DAA" w:rsidRPr="00832A7F" w14:paraId="2B40B4CE" w14:textId="77777777">
            <w:pPr>
              <w:rPr>
                <w:rFonts w:eastAsia="Calibri"/>
                <w:bCs/>
                <w:sz w:val="24"/>
                <w:szCs w:val="24"/>
              </w:rPr>
            </w:pPr>
            <w:r w:rsidRPr="00832A7F">
              <w:rPr>
                <w:rFonts w:eastAsia="Calibri"/>
                <w:bCs/>
                <w:sz w:val="24"/>
                <w:szCs w:val="24"/>
              </w:rPr>
              <w:t xml:space="preserve">12 months after OMB approval </w:t>
            </w:r>
          </w:p>
        </w:tc>
      </w:tr>
      <w:tr w14:paraId="3582B815" w14:textId="77777777">
        <w:tblPrEx>
          <w:tblW w:w="4760" w:type="pct"/>
          <w:tblInd w:w="378" w:type="dxa"/>
          <w:tblLayout w:type="fixed"/>
          <w:tblLook w:val="04A0"/>
        </w:tblPrEx>
        <w:trPr>
          <w:trHeight w:val="691"/>
        </w:trPr>
        <w:tc>
          <w:tcPr>
            <w:tcW w:w="1555" w:type="pct"/>
            <w:shd w:val="clear" w:color="auto" w:fill="auto"/>
          </w:tcPr>
          <w:p w:rsidR="004F7DAA" w:rsidRPr="00832A7F" w14:paraId="7A4F9574" w14:textId="77777777">
            <w:pPr>
              <w:rPr>
                <w:rFonts w:eastAsia="Calibri"/>
                <w:bCs/>
                <w:sz w:val="24"/>
                <w:szCs w:val="24"/>
              </w:rPr>
            </w:pPr>
            <w:r w:rsidRPr="00832A7F">
              <w:rPr>
                <w:rFonts w:eastAsia="Calibri"/>
                <w:bCs/>
                <w:sz w:val="24"/>
                <w:szCs w:val="24"/>
              </w:rPr>
              <w:t xml:space="preserve">Data Analysis – Qualitative data </w:t>
            </w:r>
          </w:p>
        </w:tc>
        <w:tc>
          <w:tcPr>
            <w:tcW w:w="1751" w:type="pct"/>
            <w:shd w:val="clear" w:color="auto" w:fill="auto"/>
          </w:tcPr>
          <w:p w:rsidR="004F7DAA" w:rsidRPr="00832A7F" w14:paraId="5A257627" w14:textId="77777777">
            <w:pPr>
              <w:rPr>
                <w:rFonts w:eastAsia="Calibri"/>
                <w:bCs/>
                <w:sz w:val="24"/>
                <w:szCs w:val="24"/>
              </w:rPr>
            </w:pPr>
            <w:r w:rsidRPr="00832A7F">
              <w:rPr>
                <w:rFonts w:eastAsia="Calibri"/>
                <w:bCs/>
                <w:sz w:val="24"/>
                <w:szCs w:val="24"/>
              </w:rPr>
              <w:t xml:space="preserve">1-2 months after start of site visits </w:t>
            </w:r>
          </w:p>
        </w:tc>
        <w:tc>
          <w:tcPr>
            <w:tcW w:w="1694" w:type="pct"/>
            <w:shd w:val="clear" w:color="auto" w:fill="auto"/>
          </w:tcPr>
          <w:p w:rsidR="004F7DAA" w:rsidRPr="00832A7F" w14:paraId="6A32AF7A" w14:textId="77777777">
            <w:pPr>
              <w:rPr>
                <w:rFonts w:eastAsia="Calibri"/>
                <w:bCs/>
                <w:sz w:val="24"/>
                <w:szCs w:val="24"/>
              </w:rPr>
            </w:pPr>
            <w:r w:rsidRPr="00832A7F">
              <w:rPr>
                <w:rFonts w:eastAsia="Calibri"/>
                <w:bCs/>
                <w:sz w:val="24"/>
                <w:szCs w:val="24"/>
              </w:rPr>
              <w:t xml:space="preserve">6 months after end of site visits </w:t>
            </w:r>
          </w:p>
        </w:tc>
      </w:tr>
      <w:tr w14:paraId="7B0E838F" w14:textId="77777777">
        <w:tblPrEx>
          <w:tblW w:w="4760" w:type="pct"/>
          <w:tblInd w:w="378" w:type="dxa"/>
          <w:tblLayout w:type="fixed"/>
          <w:tblLook w:val="04A0"/>
        </w:tblPrEx>
        <w:trPr>
          <w:trHeight w:val="691"/>
        </w:trPr>
        <w:tc>
          <w:tcPr>
            <w:tcW w:w="1555" w:type="pct"/>
            <w:shd w:val="clear" w:color="auto" w:fill="auto"/>
          </w:tcPr>
          <w:p w:rsidR="004F7DAA" w:rsidRPr="00832A7F" w14:paraId="72DCD285" w14:textId="77777777">
            <w:pPr>
              <w:rPr>
                <w:rFonts w:eastAsia="Calibri"/>
                <w:bCs/>
                <w:sz w:val="24"/>
                <w:szCs w:val="24"/>
              </w:rPr>
            </w:pPr>
            <w:r w:rsidRPr="00832A7F">
              <w:rPr>
                <w:rFonts w:eastAsia="Calibri"/>
                <w:bCs/>
                <w:sz w:val="24"/>
                <w:szCs w:val="24"/>
              </w:rPr>
              <w:t>Final Retrospective Reports</w:t>
            </w:r>
          </w:p>
        </w:tc>
        <w:tc>
          <w:tcPr>
            <w:tcW w:w="1751" w:type="pct"/>
            <w:shd w:val="clear" w:color="auto" w:fill="auto"/>
          </w:tcPr>
          <w:p w:rsidR="004F7DAA" w:rsidRPr="00832A7F" w14:paraId="1C8530CE" w14:textId="77777777">
            <w:pPr>
              <w:rPr>
                <w:rFonts w:eastAsia="Calibri"/>
                <w:bCs/>
                <w:sz w:val="24"/>
                <w:szCs w:val="24"/>
              </w:rPr>
            </w:pPr>
            <w:r w:rsidRPr="00832A7F">
              <w:rPr>
                <w:rFonts w:eastAsia="Calibri"/>
                <w:bCs/>
                <w:sz w:val="24"/>
                <w:szCs w:val="24"/>
              </w:rPr>
              <w:t xml:space="preserve">6 months after end of data analysis </w:t>
            </w:r>
          </w:p>
        </w:tc>
        <w:tc>
          <w:tcPr>
            <w:tcW w:w="1694" w:type="pct"/>
            <w:shd w:val="clear" w:color="auto" w:fill="auto"/>
          </w:tcPr>
          <w:p w:rsidR="004F7DAA" w:rsidRPr="00832A7F" w14:paraId="3CAE054F" w14:textId="77777777">
            <w:pPr>
              <w:rPr>
                <w:rFonts w:eastAsia="Calibri"/>
                <w:bCs/>
                <w:sz w:val="24"/>
                <w:szCs w:val="24"/>
              </w:rPr>
            </w:pPr>
            <w:r w:rsidRPr="00832A7F">
              <w:rPr>
                <w:rFonts w:eastAsia="Calibri"/>
                <w:bCs/>
                <w:sz w:val="24"/>
                <w:szCs w:val="24"/>
              </w:rPr>
              <w:t xml:space="preserve">12 months after end of data analysis </w:t>
            </w:r>
          </w:p>
        </w:tc>
      </w:tr>
    </w:tbl>
    <w:p w:rsidR="009E13B1" w:rsidRPr="00832A7F" w:rsidP="00C75235" w14:paraId="76D9F94F" w14:textId="77777777">
      <w:pPr>
        <w:tabs>
          <w:tab w:val="left" w:pos="360"/>
        </w:tabs>
        <w:rPr>
          <w:bCs/>
          <w:sz w:val="24"/>
          <w:szCs w:val="24"/>
        </w:rPr>
      </w:pPr>
    </w:p>
    <w:p w:rsidR="009E13B1" w:rsidRPr="00832A7F" w14:paraId="233E4F5A" w14:textId="77777777">
      <w:pPr>
        <w:keepLines/>
        <w:tabs>
          <w:tab w:val="left" w:pos="360"/>
        </w:tabs>
        <w:spacing w:after="80"/>
        <w:ind w:left="360" w:hanging="360"/>
        <w:rPr>
          <w:b/>
          <w:sz w:val="24"/>
          <w:szCs w:val="24"/>
        </w:rPr>
      </w:pPr>
      <w:r w:rsidRPr="00832A7F">
        <w:rPr>
          <w:b/>
          <w:sz w:val="24"/>
          <w:szCs w:val="24"/>
        </w:rPr>
        <w:t>17.</w:t>
      </w:r>
      <w:r w:rsidRPr="00832A7F">
        <w:rPr>
          <w:b/>
          <w:sz w:val="24"/>
          <w:szCs w:val="24"/>
        </w:rPr>
        <w:tab/>
        <w:t>If seeking approval to not display the expiration date for OMB approval of the information collection, explain the reasons that display would be inappropriate.</w:t>
      </w:r>
    </w:p>
    <w:p w:rsidR="00832A7F" w:rsidP="00832A7F" w14:paraId="2876E8B8" w14:textId="77777777">
      <w:pPr>
        <w:pStyle w:val="BodyText"/>
        <w:spacing w:line="240" w:lineRule="auto"/>
        <w:ind w:left="360"/>
        <w:rPr>
          <w:rFonts w:ascii="Times New Roman" w:hAnsi="Times New Roman"/>
          <w:sz w:val="24"/>
          <w:szCs w:val="24"/>
          <w:lang w:eastAsia="zh-CN" w:bidi="hi-IN"/>
        </w:rPr>
      </w:pPr>
    </w:p>
    <w:p w:rsidR="00C75235" w:rsidRPr="00832A7F" w:rsidP="00832A7F" w14:paraId="74CA9715" w14:textId="77777777">
      <w:pPr>
        <w:pStyle w:val="BodyText"/>
        <w:spacing w:line="240" w:lineRule="auto"/>
        <w:ind w:left="360"/>
        <w:rPr>
          <w:rFonts w:ascii="Times New Roman" w:hAnsi="Times New Roman"/>
          <w:sz w:val="24"/>
          <w:szCs w:val="24"/>
          <w:lang w:eastAsia="zh-CN" w:bidi="hi-IN"/>
        </w:rPr>
      </w:pPr>
      <w:r w:rsidRPr="00832A7F">
        <w:rPr>
          <w:rFonts w:ascii="Times New Roman" w:hAnsi="Times New Roman"/>
          <w:sz w:val="24"/>
          <w:szCs w:val="24"/>
          <w:lang w:eastAsia="zh-CN" w:bidi="hi-IN"/>
        </w:rPr>
        <w:t>The expiration date for OMB approval will be displayed on all forms completed as part of the data collection.</w:t>
      </w:r>
    </w:p>
    <w:p w:rsidR="00C75235" w:rsidRPr="00832A7F" w:rsidP="00C75235" w14:paraId="1B130255" w14:textId="77777777">
      <w:pPr>
        <w:keepLines/>
        <w:tabs>
          <w:tab w:val="left" w:pos="360"/>
          <w:tab w:val="left" w:pos="720"/>
        </w:tabs>
        <w:rPr>
          <w:bCs/>
          <w:sz w:val="24"/>
          <w:szCs w:val="24"/>
        </w:rPr>
      </w:pPr>
    </w:p>
    <w:p w:rsidR="009E13B1" w:rsidRPr="00832A7F" w14:paraId="434D3A8A" w14:textId="77777777">
      <w:pPr>
        <w:keepLines/>
        <w:tabs>
          <w:tab w:val="left" w:pos="360"/>
        </w:tabs>
        <w:spacing w:after="80"/>
        <w:ind w:left="360" w:hanging="360"/>
        <w:rPr>
          <w:rFonts w:ascii="Courier" w:hAnsi="Courier"/>
          <w:b/>
          <w:sz w:val="24"/>
          <w:szCs w:val="24"/>
        </w:rPr>
      </w:pPr>
      <w:r w:rsidRPr="00832A7F">
        <w:rPr>
          <w:b/>
          <w:sz w:val="24"/>
          <w:szCs w:val="24"/>
        </w:rPr>
        <w:t>18.</w:t>
      </w:r>
      <w:r w:rsidRPr="00832A7F">
        <w:rPr>
          <w:b/>
          <w:sz w:val="24"/>
          <w:szCs w:val="24"/>
        </w:rPr>
        <w:tab/>
        <w:t>Explain each exception to the certification statement identified in item 19.</w:t>
      </w:r>
    </w:p>
    <w:p w:rsidR="00832A7F" w:rsidP="00832A7F" w14:paraId="04CB9ACD" w14:textId="77777777">
      <w:pPr>
        <w:ind w:left="360"/>
        <w:jc w:val="both"/>
        <w:rPr>
          <w:bCs/>
          <w:sz w:val="24"/>
          <w:szCs w:val="24"/>
        </w:rPr>
      </w:pPr>
    </w:p>
    <w:p w:rsidR="009E13B1" w:rsidRPr="00832A7F" w:rsidP="00832A7F" w14:paraId="11FE55B6" w14:textId="77777777">
      <w:pPr>
        <w:ind w:left="360"/>
        <w:jc w:val="both"/>
        <w:rPr>
          <w:bCs/>
          <w:sz w:val="24"/>
          <w:szCs w:val="24"/>
        </w:rPr>
      </w:pPr>
      <w:r w:rsidRPr="00832A7F">
        <w:rPr>
          <w:bCs/>
          <w:sz w:val="24"/>
          <w:szCs w:val="24"/>
        </w:rPr>
        <w:t>This submission describing data collection requests no exceptions to the Certificate for Paperwork Reduction Act (5 CFR 1320.9).</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0537" w14:paraId="652AD32C" w14:textId="77777777">
      <w:r>
        <w:separator/>
      </w:r>
    </w:p>
  </w:footnote>
  <w:footnote w:type="continuationSeparator" w:id="1">
    <w:p w:rsidR="00DE0537" w14:paraId="5209730B" w14:textId="77777777">
      <w:r>
        <w:continuationSeparator/>
      </w:r>
    </w:p>
  </w:footnote>
  <w:footnote w:id="2">
    <w:p w:rsidR="002C029C" w:rsidRPr="006B1033" w:rsidP="002C029C" w14:paraId="34CFBB01" w14:textId="77777777">
      <w:pPr>
        <w:pStyle w:val="FootnoteText"/>
        <w:rPr>
          <w:sz w:val="16"/>
          <w:szCs w:val="16"/>
        </w:rPr>
      </w:pPr>
      <w:r w:rsidRPr="006B1033">
        <w:rPr>
          <w:rStyle w:val="FootnoteReference"/>
          <w:sz w:val="16"/>
          <w:szCs w:val="16"/>
        </w:rPr>
        <w:footnoteRef/>
      </w:r>
      <w:r w:rsidRPr="006B1033">
        <w:rPr>
          <w:sz w:val="16"/>
          <w:szCs w:val="16"/>
        </w:rPr>
        <w:t xml:space="preserve"> CDBG-DR Grant History Report, January 1</w:t>
      </w:r>
      <w:r w:rsidRPr="006B1033">
        <w:rPr>
          <w:sz w:val="16"/>
          <w:szCs w:val="16"/>
        </w:rPr>
        <w:t xml:space="preserve"> 2023</w:t>
      </w:r>
      <w:r w:rsidRPr="006B1033">
        <w:rPr>
          <w:sz w:val="16"/>
          <w:szCs w:val="16"/>
        </w:rPr>
        <w:t>.</w:t>
      </w:r>
    </w:p>
  </w:footnote>
  <w:footnote w:id="3">
    <w:p w:rsidR="002C029C" w:rsidRPr="006B1033" w:rsidP="002C029C" w14:paraId="2045E923" w14:textId="77777777">
      <w:pPr>
        <w:pStyle w:val="FootnoteText"/>
        <w:rPr>
          <w:rFonts w:eastAsia="Roboto"/>
          <w:color w:val="FFFFFF"/>
        </w:rPr>
      </w:pPr>
      <w:r w:rsidRPr="006B1033">
        <w:rPr>
          <w:rStyle w:val="FootnoteReference"/>
          <w:sz w:val="16"/>
          <w:szCs w:val="16"/>
        </w:rPr>
        <w:footnoteRef/>
      </w:r>
      <w:r w:rsidRPr="006B1033">
        <w:rPr>
          <w:sz w:val="16"/>
          <w:szCs w:val="16"/>
        </w:rPr>
        <w:t xml:space="preserve"> </w:t>
      </w:r>
      <w:r w:rsidRPr="006B1033">
        <w:rPr>
          <w:rFonts w:eastAsia="Roboto"/>
          <w:color w:val="000000"/>
          <w:sz w:val="16"/>
          <w:szCs w:val="16"/>
        </w:rPr>
        <w:t>HUDRD CDBG Disaster Recovery Outcomes of Renter Households NOFO (FR-6600-N-29A) page 7.</w:t>
      </w:r>
    </w:p>
  </w:footnote>
  <w:footnote w:id="4">
    <w:p w:rsidR="002C029C" w:rsidRPr="002C029C" w:rsidP="002C029C" w14:paraId="350D9A0A" w14:textId="77777777">
      <w:pPr>
        <w:pStyle w:val="FootnoteText"/>
        <w:rPr>
          <w:rFonts w:ascii="Lato" w:hAnsi="Lato"/>
          <w:color w:val="000000"/>
          <w:sz w:val="16"/>
          <w:szCs w:val="16"/>
        </w:rPr>
      </w:pPr>
      <w:r w:rsidRPr="006B1033">
        <w:rPr>
          <w:rStyle w:val="FootnoteReference"/>
          <w:color w:val="000000"/>
          <w:sz w:val="16"/>
          <w:szCs w:val="16"/>
        </w:rPr>
        <w:footnoteRef/>
      </w:r>
      <w:r w:rsidRPr="006B1033">
        <w:rPr>
          <w:color w:val="000000"/>
          <w:sz w:val="16"/>
          <w:szCs w:val="16"/>
        </w:rPr>
        <w:t xml:space="preserve"> </w:t>
      </w:r>
      <w:r w:rsidRPr="006B1033">
        <w:rPr>
          <w:rFonts w:eastAsia="Roboto"/>
          <w:color w:val="000000"/>
          <w:sz w:val="16"/>
          <w:szCs w:val="16"/>
        </w:rPr>
        <w:t>HUDRD CDBG Disaster Recovery Outcomes of Renter Households NOFO (FR-6600-N-29A)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3159A0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5D479D"/>
    <w:multiLevelType w:val="hybridMultilevel"/>
    <w:tmpl w:val="E4E00A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87522F"/>
    <w:multiLevelType w:val="hybridMultilevel"/>
    <w:tmpl w:val="B48A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9C1A76"/>
    <w:multiLevelType w:val="hybridMultilevel"/>
    <w:tmpl w:val="CDF01B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206095"/>
    <w:multiLevelType w:val="singleLevel"/>
    <w:tmpl w:val="BD1EE242"/>
    <w:lvl w:ilvl="0">
      <w:start w:val="7"/>
      <w:numFmt w:val="decimal"/>
      <w:lvlText w:val="%1. "/>
      <w:legacy w:legacy="1" w:legacySpace="0" w:legacyIndent="360"/>
      <w:lvlJc w:val="left"/>
      <w:pPr>
        <w:ind w:left="360" w:hanging="360"/>
      </w:pPr>
      <w:rPr>
        <w:rFonts w:ascii="Times New Roman" w:hAnsi="Times New Roman" w:hint="default"/>
        <w:b/>
        <w:bCs/>
        <w:i w:val="0"/>
        <w:sz w:val="24"/>
        <w:szCs w:val="24"/>
        <w:u w:val="none"/>
      </w:rPr>
    </w:lvl>
  </w:abstractNum>
  <w:abstractNum w:abstractNumId="17">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5BDE2CC8"/>
    <w:multiLevelType w:val="hybridMultilevel"/>
    <w:tmpl w:val="8C2C0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79112116">
    <w:abstractNumId w:val="11"/>
  </w:num>
  <w:num w:numId="2" w16cid:durableId="1107851854">
    <w:abstractNumId w:val="4"/>
  </w:num>
  <w:num w:numId="3" w16cid:durableId="1688211868">
    <w:abstractNumId w:val="17"/>
  </w:num>
  <w:num w:numId="4" w16cid:durableId="968122203">
    <w:abstractNumId w:val="13"/>
  </w:num>
  <w:num w:numId="5" w16cid:durableId="1639458510">
    <w:abstractNumId w:val="14"/>
  </w:num>
  <w:num w:numId="6" w16cid:durableId="1967655887">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09866501">
    <w:abstractNumId w:val="5"/>
  </w:num>
  <w:num w:numId="8" w16cid:durableId="393889710">
    <w:abstractNumId w:val="24"/>
  </w:num>
  <w:num w:numId="9" w16cid:durableId="356932909">
    <w:abstractNumId w:val="3"/>
  </w:num>
  <w:num w:numId="10" w16cid:durableId="1635328141">
    <w:abstractNumId w:val="23"/>
  </w:num>
  <w:num w:numId="11" w16cid:durableId="2019380273">
    <w:abstractNumId w:val="22"/>
  </w:num>
  <w:num w:numId="12" w16cid:durableId="1130707850">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267151639">
    <w:abstractNumId w:val="16"/>
  </w:num>
  <w:num w:numId="14" w16cid:durableId="911542982">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96697439">
    <w:abstractNumId w:val="2"/>
  </w:num>
  <w:num w:numId="16" w16cid:durableId="1450708140">
    <w:abstractNumId w:val="19"/>
  </w:num>
  <w:num w:numId="17" w16cid:durableId="1261983781">
    <w:abstractNumId w:val="15"/>
  </w:num>
  <w:num w:numId="18" w16cid:durableId="1182553305">
    <w:abstractNumId w:val="12"/>
  </w:num>
  <w:num w:numId="19" w16cid:durableId="1187325521">
    <w:abstractNumId w:val="7"/>
  </w:num>
  <w:num w:numId="20" w16cid:durableId="809328574">
    <w:abstractNumId w:val="21"/>
  </w:num>
  <w:num w:numId="21" w16cid:durableId="993486971">
    <w:abstractNumId w:val="1"/>
  </w:num>
  <w:num w:numId="22" w16cid:durableId="2011058563">
    <w:abstractNumId w:val="20"/>
  </w:num>
  <w:num w:numId="23" w16cid:durableId="1651323307">
    <w:abstractNumId w:val="10"/>
  </w:num>
  <w:num w:numId="24" w16cid:durableId="821459230">
    <w:abstractNumId w:val="6"/>
  </w:num>
  <w:num w:numId="25" w16cid:durableId="1388800369">
    <w:abstractNumId w:val="8"/>
  </w:num>
  <w:num w:numId="26" w16cid:durableId="1869030313">
    <w:abstractNumId w:val="9"/>
  </w:num>
  <w:num w:numId="27" w16cid:durableId="9312821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A1639"/>
    <w:rsid w:val="000C117C"/>
    <w:rsid w:val="000C38FD"/>
    <w:rsid w:val="000E00A8"/>
    <w:rsid w:val="000E2A89"/>
    <w:rsid w:val="000F6200"/>
    <w:rsid w:val="001007C9"/>
    <w:rsid w:val="00167E53"/>
    <w:rsid w:val="0023256B"/>
    <w:rsid w:val="002C029C"/>
    <w:rsid w:val="002D2718"/>
    <w:rsid w:val="002F6CE8"/>
    <w:rsid w:val="00360090"/>
    <w:rsid w:val="003A6B64"/>
    <w:rsid w:val="003D5BB8"/>
    <w:rsid w:val="003E580C"/>
    <w:rsid w:val="0044281F"/>
    <w:rsid w:val="00450591"/>
    <w:rsid w:val="00493959"/>
    <w:rsid w:val="004D42BD"/>
    <w:rsid w:val="004F7DAA"/>
    <w:rsid w:val="00522D00"/>
    <w:rsid w:val="0058747D"/>
    <w:rsid w:val="00680EB3"/>
    <w:rsid w:val="006A43B0"/>
    <w:rsid w:val="006B1033"/>
    <w:rsid w:val="006B7674"/>
    <w:rsid w:val="006C1CFB"/>
    <w:rsid w:val="006C4830"/>
    <w:rsid w:val="006C7FAE"/>
    <w:rsid w:val="00777332"/>
    <w:rsid w:val="007B4A33"/>
    <w:rsid w:val="007F422B"/>
    <w:rsid w:val="00832A7F"/>
    <w:rsid w:val="008A7175"/>
    <w:rsid w:val="008E6B33"/>
    <w:rsid w:val="009D5D75"/>
    <w:rsid w:val="009E0C3E"/>
    <w:rsid w:val="009E13B1"/>
    <w:rsid w:val="00A83E46"/>
    <w:rsid w:val="00AD26E0"/>
    <w:rsid w:val="00B01940"/>
    <w:rsid w:val="00B03398"/>
    <w:rsid w:val="00B04BA6"/>
    <w:rsid w:val="00B94401"/>
    <w:rsid w:val="00BA0B27"/>
    <w:rsid w:val="00BB4882"/>
    <w:rsid w:val="00BC10AF"/>
    <w:rsid w:val="00BC50C0"/>
    <w:rsid w:val="00BE75D8"/>
    <w:rsid w:val="00C007D9"/>
    <w:rsid w:val="00C06FD4"/>
    <w:rsid w:val="00C113F4"/>
    <w:rsid w:val="00C75235"/>
    <w:rsid w:val="00CA06CC"/>
    <w:rsid w:val="00CE1567"/>
    <w:rsid w:val="00CF4F53"/>
    <w:rsid w:val="00D4074F"/>
    <w:rsid w:val="00D717DB"/>
    <w:rsid w:val="00DC0670"/>
    <w:rsid w:val="00DE0537"/>
    <w:rsid w:val="00DE7609"/>
    <w:rsid w:val="00E2458C"/>
    <w:rsid w:val="00EC1284"/>
    <w:rsid w:val="00F27C8F"/>
    <w:rsid w:val="00F5145B"/>
    <w:rsid w:val="00F76F7B"/>
    <w:rsid w:val="00FF37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465F43"/>
  <w15:chartTrackingRefBased/>
  <w15:docId w15:val="{233886AE-4CCA-4CC8-9B4D-493C69A0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link w:val="ListParagraphChar"/>
    <w:uiPriority w:val="34"/>
    <w:qFormat/>
    <w:rsid w:val="002C029C"/>
    <w:pPr>
      <w:overflowPunct/>
      <w:autoSpaceDE/>
      <w:autoSpaceDN/>
      <w:adjustRightInd/>
      <w:ind w:left="720"/>
      <w:contextualSpacing/>
      <w:textAlignment w:val="auto"/>
    </w:pPr>
    <w:rPr>
      <w:sz w:val="24"/>
      <w:szCs w:val="24"/>
    </w:rPr>
  </w:style>
  <w:style w:type="character" w:styleId="FootnoteReference">
    <w:name w:val="footnote reference"/>
    <w:uiPriority w:val="99"/>
    <w:semiHidden/>
    <w:unhideWhenUsed/>
    <w:rsid w:val="002C029C"/>
    <w:rPr>
      <w:vertAlign w:val="superscript"/>
    </w:rPr>
  </w:style>
  <w:style w:type="character" w:customStyle="1" w:styleId="FootnoteTextChar">
    <w:name w:val="Footnote Text Char"/>
    <w:link w:val="FootnoteText"/>
    <w:uiPriority w:val="99"/>
    <w:semiHidden/>
    <w:rsid w:val="002C029C"/>
  </w:style>
  <w:style w:type="paragraph" w:styleId="FootnoteText">
    <w:name w:val="footnote text"/>
    <w:basedOn w:val="Normal"/>
    <w:link w:val="FootnoteTextChar"/>
    <w:uiPriority w:val="99"/>
    <w:semiHidden/>
    <w:unhideWhenUsed/>
    <w:rsid w:val="002C029C"/>
    <w:pPr>
      <w:overflowPunct/>
      <w:autoSpaceDE/>
      <w:autoSpaceDN/>
      <w:adjustRightInd/>
      <w:textAlignment w:val="auto"/>
    </w:pPr>
  </w:style>
  <w:style w:type="character" w:customStyle="1" w:styleId="FootnoteTextChar1">
    <w:name w:val="Footnote Text Char1"/>
    <w:basedOn w:val="DefaultParagraphFont"/>
    <w:uiPriority w:val="99"/>
    <w:semiHidden/>
    <w:rsid w:val="002C029C"/>
  </w:style>
  <w:style w:type="paragraph" w:styleId="BodyText">
    <w:name w:val="Body Text"/>
    <w:basedOn w:val="Normal"/>
    <w:link w:val="BodyTextChar"/>
    <w:qFormat/>
    <w:rsid w:val="002C029C"/>
    <w:pPr>
      <w:overflowPunct/>
      <w:autoSpaceDE/>
      <w:autoSpaceDN/>
      <w:adjustRightInd/>
      <w:spacing w:after="180" w:line="360" w:lineRule="exact"/>
      <w:textAlignment w:val="auto"/>
    </w:pPr>
    <w:rPr>
      <w:rFonts w:ascii="Lato" w:hAnsi="Lato"/>
      <w:bCs/>
    </w:rPr>
  </w:style>
  <w:style w:type="character" w:customStyle="1" w:styleId="BodyTextChar">
    <w:name w:val="Body Text Char"/>
    <w:link w:val="BodyText"/>
    <w:rsid w:val="002C029C"/>
    <w:rPr>
      <w:rFonts w:ascii="Lato" w:hAnsi="Lato"/>
      <w:bCs/>
    </w:rPr>
  </w:style>
  <w:style w:type="table" w:styleId="GridTable1Light">
    <w:name w:val="Grid Table 1 Light"/>
    <w:basedOn w:val="TableNormal"/>
    <w:uiPriority w:val="46"/>
    <w:rsid w:val="002C029C"/>
    <w:rPr>
      <w:rFonts w:ascii="Calibri" w:eastAsia="Calibri" w:hAnsi="Calibri"/>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2C029C"/>
    <w:rPr>
      <w:sz w:val="24"/>
      <w:szCs w:val="24"/>
    </w:rPr>
  </w:style>
  <w:style w:type="paragraph" w:styleId="NormalWeb">
    <w:name w:val="Normal (Web)"/>
    <w:basedOn w:val="Normal"/>
    <w:uiPriority w:val="99"/>
    <w:unhideWhenUsed/>
    <w:rsid w:val="002D2718"/>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2D271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E7609"/>
    <w:rPr>
      <w:sz w:val="16"/>
      <w:szCs w:val="16"/>
    </w:rPr>
  </w:style>
  <w:style w:type="paragraph" w:styleId="CommentText">
    <w:name w:val="annotation text"/>
    <w:basedOn w:val="Normal"/>
    <w:link w:val="CommentTextChar"/>
    <w:uiPriority w:val="99"/>
    <w:semiHidden/>
    <w:unhideWhenUsed/>
    <w:rsid w:val="00DE7609"/>
  </w:style>
  <w:style w:type="character" w:customStyle="1" w:styleId="CommentTextChar">
    <w:name w:val="Comment Text Char"/>
    <w:basedOn w:val="DefaultParagraphFont"/>
    <w:link w:val="CommentText"/>
    <w:uiPriority w:val="99"/>
    <w:semiHidden/>
    <w:rsid w:val="00DE7609"/>
  </w:style>
  <w:style w:type="paragraph" w:styleId="CommentSubject">
    <w:name w:val="annotation subject"/>
    <w:basedOn w:val="CommentText"/>
    <w:next w:val="CommentText"/>
    <w:link w:val="CommentSubjectChar"/>
    <w:uiPriority w:val="99"/>
    <w:semiHidden/>
    <w:unhideWhenUsed/>
    <w:rsid w:val="00DE7609"/>
    <w:rPr>
      <w:b/>
      <w:bCs/>
    </w:rPr>
  </w:style>
  <w:style w:type="character" w:customStyle="1" w:styleId="CommentSubjectChar">
    <w:name w:val="Comment Subject Char"/>
    <w:link w:val="CommentSubject"/>
    <w:uiPriority w:val="99"/>
    <w:semiHidden/>
    <w:rsid w:val="00DE7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H:\AII.OLD\FORMS\Reports_Mgmt\83-I-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FB392-1B6F-4AAA-A6DC-D2B5EADCBD59}">
  <ds:schemaRefs>
    <ds:schemaRef ds:uri="http://schemas.openxmlformats.org/officeDocument/2006/bibliography"/>
  </ds:schemaRefs>
</ds:datastoreItem>
</file>

<file path=customXml/itemProps4.xml><?xml version="1.0" encoding="utf-8"?>
<ds:datastoreItem xmlns:ds="http://schemas.openxmlformats.org/officeDocument/2006/customXml" ds:itemID="{89C12EFF-D6B3-40CE-94C8-4B1551033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83-I-OMB.DOT</Template>
  <TotalTime>53</TotalTime>
  <Pages>12</Pages>
  <Words>5153</Words>
  <Characters>29377</Characters>
  <Application>Microsoft Office Word</Application>
  <DocSecurity>2</DocSecurity>
  <Lines>244</Lines>
  <Paragraphs>68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Hill, Ronald M</cp:lastModifiedBy>
  <cp:revision>2</cp:revision>
  <cp:lastPrinted>2016-10-19T20:19:00Z</cp:lastPrinted>
  <dcterms:created xsi:type="dcterms:W3CDTF">2023-10-27T18:57:00Z</dcterms:created>
  <dcterms:modified xsi:type="dcterms:W3CDTF">2023-10-27T18:57:00Z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