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710C0D" w:rsidRPr="009501D0" w:rsidP="00710C0D" w14:paraId="39DE6725" w14:textId="77777777">
      <w:pPr>
        <w:jc w:val="center"/>
        <w:rPr>
          <w:b/>
        </w:rPr>
      </w:pPr>
      <w:r w:rsidRPr="009501D0">
        <w:rPr>
          <w:b/>
        </w:rPr>
        <w:t xml:space="preserve">SUPPORTING STATEMENT </w:t>
      </w:r>
    </w:p>
    <w:p w:rsidR="00710C0D" w:rsidRPr="009501D0" w:rsidP="00710C0D" w14:paraId="2427C6FE" w14:textId="772CA4E2">
      <w:pPr>
        <w:jc w:val="center"/>
        <w:rPr>
          <w:b/>
        </w:rPr>
      </w:pPr>
      <w:r w:rsidRPr="009501D0">
        <w:rPr>
          <w:b/>
        </w:rPr>
        <w:t>PART B</w:t>
      </w:r>
    </w:p>
    <w:p w:rsidR="00710C0D" w:rsidRPr="009501D0" w:rsidP="00710C0D" w14:paraId="2509BBDE" w14:textId="77777777">
      <w:pPr>
        <w:jc w:val="center"/>
        <w:rPr>
          <w:b/>
        </w:rPr>
      </w:pPr>
      <w:r w:rsidRPr="009501D0">
        <w:rPr>
          <w:b/>
        </w:rPr>
        <w:t>FOR PAPERWORK REDUCTION ACT SUBMISSION 3048-0004</w:t>
      </w:r>
    </w:p>
    <w:p w:rsidR="00710C0D" w:rsidRPr="009501D0" w:rsidP="00710C0D" w14:paraId="0178F2F8" w14:textId="77777777">
      <w:pPr>
        <w:jc w:val="center"/>
        <w:rPr>
          <w:b/>
        </w:rPr>
      </w:pPr>
      <w:r w:rsidRPr="009501D0">
        <w:rPr>
          <w:b/>
        </w:rPr>
        <w:t>EXIM COMPETITIVENESS REPORT SURVEY EIB 00-02</w:t>
      </w:r>
    </w:p>
    <w:p w:rsidR="00F67350" w:rsidRPr="009501D0" w:rsidP="00F67350" w14:paraId="112A5567" w14:textId="77777777">
      <w:pPr>
        <w:jc w:val="center"/>
      </w:pPr>
    </w:p>
    <w:p w:rsidR="00573820" w:rsidRPr="009501D0" w14:paraId="201B041F" w14:textId="77777777">
      <w:r w:rsidRPr="009501D0">
        <w:t>Agency Information Collection Activities</w:t>
      </w:r>
    </w:p>
    <w:p w:rsidR="00573820" w:rsidRPr="009501D0" w14:paraId="4779D97A" w14:textId="77777777">
      <w:r w:rsidRPr="009501D0">
        <w:t>Submission for OMB Review</w:t>
      </w:r>
    </w:p>
    <w:p w:rsidR="00573820" w:rsidRPr="009501D0" w14:paraId="2898EA59" w14:textId="77777777"/>
    <w:p w:rsidR="00B37EC9" w:rsidRPr="009501D0" w:rsidP="00B37EC9" w14:paraId="0D6327AF" w14:textId="77777777">
      <w:pPr>
        <w:autoSpaceDE w:val="0"/>
        <w:autoSpaceDN w:val="0"/>
        <w:adjustRightInd w:val="0"/>
        <w:rPr>
          <w:b/>
          <w:bCs/>
        </w:rPr>
      </w:pPr>
      <w:r w:rsidRPr="009501D0">
        <w:rPr>
          <w:b/>
          <w:bCs/>
        </w:rPr>
        <w:t>B. Collections of Information Employing Statistical Methods</w:t>
      </w:r>
    </w:p>
    <w:p w:rsidR="00B37EC9" w:rsidRPr="009501D0" w:rsidP="00B37EC9" w14:paraId="2FF625C3" w14:textId="77777777">
      <w:pPr>
        <w:autoSpaceDE w:val="0"/>
        <w:autoSpaceDN w:val="0"/>
        <w:adjustRightInd w:val="0"/>
        <w:rPr>
          <w:b/>
          <w:bCs/>
        </w:rPr>
      </w:pPr>
    </w:p>
    <w:p w:rsidR="005E7176" w:rsidRPr="00411B9D" w:rsidP="00411B9D" w14:paraId="530A30F6" w14:textId="4C525655">
      <w:pPr>
        <w:ind w:left="360"/>
        <w:rPr>
          <w:bCs/>
        </w:rPr>
      </w:pPr>
      <w:r w:rsidRPr="009501D0">
        <w:t xml:space="preserve">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r w:rsidRPr="009501D0">
        <w:t>collection as a whole</w:t>
      </w:r>
      <w:r w:rsidRPr="009501D0">
        <w:t>. If the collection had been conducted previously, include the actual response rate achieved during the last collection.</w:t>
      </w:r>
      <w:r w:rsidRPr="009501D0">
        <w:br/>
      </w:r>
      <w:r w:rsidRPr="009501D0">
        <w:br/>
      </w:r>
      <w:r w:rsidRPr="009501D0" w:rsidR="001340FF">
        <w:rPr>
          <w:bCs/>
        </w:rPr>
        <w:t>The</w:t>
      </w:r>
      <w:r w:rsidRPr="009501D0">
        <w:rPr>
          <w:bCs/>
        </w:rPr>
        <w:t xml:space="preserve"> </w:t>
      </w:r>
      <w:r w:rsidRPr="009501D0" w:rsidR="00B910A8">
        <w:rPr>
          <w:bCs/>
        </w:rPr>
        <w:t>Export-Import Bank of th</w:t>
      </w:r>
      <w:r w:rsidRPr="009501D0" w:rsidR="001340FF">
        <w:rPr>
          <w:bCs/>
        </w:rPr>
        <w:t>e United States (“EXIM”</w:t>
      </w:r>
      <w:r w:rsidRPr="009501D0" w:rsidR="00B910A8">
        <w:rPr>
          <w:bCs/>
        </w:rPr>
        <w:t>)</w:t>
      </w:r>
      <w:r w:rsidRPr="009501D0">
        <w:rPr>
          <w:bCs/>
        </w:rPr>
        <w:t xml:space="preserve"> </w:t>
      </w:r>
      <w:r w:rsidRPr="009501D0" w:rsidR="001340FF">
        <w:rPr>
          <w:bCs/>
        </w:rPr>
        <w:t xml:space="preserve">will </w:t>
      </w:r>
      <w:r w:rsidR="00A26EBD">
        <w:rPr>
          <w:bCs/>
        </w:rPr>
        <w:t xml:space="preserve">survey </w:t>
      </w:r>
      <w:r w:rsidR="00467D0A">
        <w:rPr>
          <w:bCs/>
        </w:rPr>
        <w:t xml:space="preserve">its </w:t>
      </w:r>
      <w:r w:rsidRPr="009501D0" w:rsidR="001340FF">
        <w:rPr>
          <w:bCs/>
        </w:rPr>
        <w:t>clients</w:t>
      </w:r>
      <w:r w:rsidR="00467D0A">
        <w:rPr>
          <w:bCs/>
        </w:rPr>
        <w:t xml:space="preserve"> </w:t>
      </w:r>
      <w:r w:rsidR="004E7528">
        <w:rPr>
          <w:bCs/>
        </w:rPr>
        <w:t xml:space="preserve">(primarily U.S. </w:t>
      </w:r>
      <w:r w:rsidR="00E353AE">
        <w:rPr>
          <w:bCs/>
        </w:rPr>
        <w:t xml:space="preserve">exporters </w:t>
      </w:r>
      <w:r w:rsidR="004E7528">
        <w:rPr>
          <w:bCs/>
        </w:rPr>
        <w:t xml:space="preserve">and </w:t>
      </w:r>
      <w:r w:rsidR="002171AD">
        <w:rPr>
          <w:bCs/>
        </w:rPr>
        <w:t>commercial banks</w:t>
      </w:r>
      <w:r w:rsidR="00E162E0">
        <w:rPr>
          <w:bCs/>
        </w:rPr>
        <w:t xml:space="preserve">, but </w:t>
      </w:r>
      <w:r w:rsidR="00FD4089">
        <w:rPr>
          <w:bCs/>
        </w:rPr>
        <w:t xml:space="preserve">also some </w:t>
      </w:r>
      <w:r w:rsidR="00E162E0">
        <w:rPr>
          <w:bCs/>
        </w:rPr>
        <w:t>project sponsors</w:t>
      </w:r>
      <w:r w:rsidR="00CE49ED">
        <w:rPr>
          <w:bCs/>
        </w:rPr>
        <w:t xml:space="preserve">, </w:t>
      </w:r>
      <w:r w:rsidR="00E162E0">
        <w:rPr>
          <w:bCs/>
        </w:rPr>
        <w:t>buyers</w:t>
      </w:r>
      <w:r w:rsidR="00CE49ED">
        <w:rPr>
          <w:bCs/>
        </w:rPr>
        <w:t xml:space="preserve">, and </w:t>
      </w:r>
      <w:r w:rsidR="00525586">
        <w:rPr>
          <w:bCs/>
        </w:rPr>
        <w:t xml:space="preserve">logistic and other </w:t>
      </w:r>
      <w:r w:rsidR="00CE49ED">
        <w:rPr>
          <w:bCs/>
        </w:rPr>
        <w:t>advisors</w:t>
      </w:r>
      <w:r w:rsidR="00E162E0">
        <w:rPr>
          <w:bCs/>
        </w:rPr>
        <w:t xml:space="preserve"> who</w:t>
      </w:r>
      <w:r w:rsidR="00FD4089">
        <w:rPr>
          <w:bCs/>
        </w:rPr>
        <w:t xml:space="preserve"> are active</w:t>
      </w:r>
      <w:r w:rsidR="00287867">
        <w:rPr>
          <w:bCs/>
        </w:rPr>
        <w:t xml:space="preserve">ly involved in EXIM’s </w:t>
      </w:r>
      <w:r w:rsidR="0090155A">
        <w:rPr>
          <w:bCs/>
        </w:rPr>
        <w:t xml:space="preserve">term </w:t>
      </w:r>
      <w:r w:rsidR="00287867">
        <w:rPr>
          <w:bCs/>
        </w:rPr>
        <w:t>credit programs)</w:t>
      </w:r>
      <w:r w:rsidR="004E4861">
        <w:rPr>
          <w:bCs/>
        </w:rPr>
        <w:t>.</w:t>
      </w:r>
      <w:r w:rsidR="0090155A">
        <w:rPr>
          <w:bCs/>
        </w:rPr>
        <w:t xml:space="preserve"> </w:t>
      </w:r>
      <w:r w:rsidR="00590B41">
        <w:rPr>
          <w:bCs/>
        </w:rPr>
        <w:t xml:space="preserve"> </w:t>
      </w:r>
      <w:r w:rsidRPr="009501D0" w:rsidR="00094260">
        <w:t>EXIM</w:t>
      </w:r>
      <w:r w:rsidR="00AB7BF3">
        <w:t xml:space="preserve"> expects to receive </w:t>
      </w:r>
      <w:r w:rsidR="00550995">
        <w:t xml:space="preserve">an </w:t>
      </w:r>
      <w:r w:rsidR="003C5864">
        <w:t>improved</w:t>
      </w:r>
      <w:r w:rsidR="00550995">
        <w:t xml:space="preserve"> response rate, </w:t>
      </w:r>
      <w:r w:rsidR="003C5864">
        <w:t xml:space="preserve">relative to </w:t>
      </w:r>
      <w:r w:rsidR="008559B1">
        <w:t xml:space="preserve">a poor one this </w:t>
      </w:r>
      <w:r w:rsidR="003C5864">
        <w:t xml:space="preserve">past </w:t>
      </w:r>
      <w:r w:rsidR="008559B1">
        <w:t>year.  T</w:t>
      </w:r>
      <w:r w:rsidR="003D69BE">
        <w:t xml:space="preserve">his is because EXIM has revamped and shortened its survey, </w:t>
      </w:r>
      <w:r w:rsidR="00BD27A0">
        <w:t xml:space="preserve">will have a greater pool of customers to survey due to an uptick in </w:t>
      </w:r>
      <w:r w:rsidR="00F30661">
        <w:t>interest in</w:t>
      </w:r>
      <w:r w:rsidR="0097399A">
        <w:t xml:space="preserve"> EXIM’s</w:t>
      </w:r>
      <w:r w:rsidR="00F30661">
        <w:t xml:space="preserve"> the </w:t>
      </w:r>
      <w:r w:rsidR="00AB6DD0">
        <w:t>medium- and long-term</w:t>
      </w:r>
      <w:r w:rsidR="00F30661">
        <w:t xml:space="preserve"> programs, </w:t>
      </w:r>
      <w:r w:rsidR="00FB26EA">
        <w:t xml:space="preserve">and will </w:t>
      </w:r>
      <w:r w:rsidR="001D48F8">
        <w:t xml:space="preserve">work with </w:t>
      </w:r>
      <w:r w:rsidR="00FB26EA">
        <w:t xml:space="preserve">relationship officers </w:t>
      </w:r>
      <w:r w:rsidR="002A6797">
        <w:t xml:space="preserve">early in the process and where needed as that they </w:t>
      </w:r>
      <w:r w:rsidR="00FB26EA">
        <w:t>personally follow up</w:t>
      </w:r>
      <w:r w:rsidR="007A2EE3">
        <w:t xml:space="preserve">, should entities not respond to the initial </w:t>
      </w:r>
      <w:r w:rsidR="001C162E">
        <w:t xml:space="preserve">request for their participation.  </w:t>
      </w:r>
      <w:r w:rsidR="00235460">
        <w:t>EXIM</w:t>
      </w:r>
      <w:r w:rsidR="00F754A2">
        <w:t xml:space="preserve">’s </w:t>
      </w:r>
      <w:r w:rsidR="00AB6DD0">
        <w:t>medium- and long-term</w:t>
      </w:r>
      <w:r w:rsidR="0042275F">
        <w:t xml:space="preserve"> programs were </w:t>
      </w:r>
      <w:r w:rsidR="00BA47D2">
        <w:t xml:space="preserve">unexpectedly </w:t>
      </w:r>
      <w:r w:rsidR="00F754A2">
        <w:t xml:space="preserve">slow to </w:t>
      </w:r>
      <w:r w:rsidR="00114CE3">
        <w:t>recover</w:t>
      </w:r>
      <w:r w:rsidR="00C30F43">
        <w:t xml:space="preserve"> from </w:t>
      </w:r>
      <w:r w:rsidR="00666C1D">
        <w:t xml:space="preserve">the hiatus </w:t>
      </w:r>
      <w:r w:rsidR="00677ABA">
        <w:t xml:space="preserve">experienced </w:t>
      </w:r>
      <w:r w:rsidR="00A744F7">
        <w:t xml:space="preserve">for </w:t>
      </w:r>
      <w:r w:rsidR="00BF006A">
        <w:t xml:space="preserve">more than </w:t>
      </w:r>
      <w:r w:rsidR="00A744F7">
        <w:t xml:space="preserve">four </w:t>
      </w:r>
      <w:r w:rsidR="007555D3">
        <w:t>years</w:t>
      </w:r>
      <w:r w:rsidR="005C0956">
        <w:t xml:space="preserve"> until </w:t>
      </w:r>
      <w:r w:rsidR="00A26E8B">
        <w:t>the Board of Director’s quorum was restored</w:t>
      </w:r>
      <w:r w:rsidR="006A2B93">
        <w:t xml:space="preserve"> in May 2019</w:t>
      </w:r>
      <w:r w:rsidR="00A26E8B">
        <w:t xml:space="preserve">, and </w:t>
      </w:r>
      <w:r w:rsidR="009230FC">
        <w:t>EXIM was a</w:t>
      </w:r>
      <w:r w:rsidR="00AA470E">
        <w:t>gain a</w:t>
      </w:r>
      <w:r w:rsidR="009230FC">
        <w:t xml:space="preserve">ble to </w:t>
      </w:r>
      <w:r w:rsidR="00F904BC">
        <w:t xml:space="preserve">authorize </w:t>
      </w:r>
      <w:r w:rsidR="005F788A">
        <w:t>medium</w:t>
      </w:r>
      <w:r w:rsidR="47B8EA36">
        <w:t>-</w:t>
      </w:r>
      <w:r w:rsidR="005F788A">
        <w:t xml:space="preserve"> and long</w:t>
      </w:r>
      <w:r w:rsidR="47B8EA36">
        <w:t>-</w:t>
      </w:r>
      <w:r w:rsidR="005F788A">
        <w:t xml:space="preserve">term </w:t>
      </w:r>
      <w:r w:rsidR="00F904BC">
        <w:t xml:space="preserve">sales </w:t>
      </w:r>
      <w:r w:rsidR="00CC17FC">
        <w:t xml:space="preserve">greater than </w:t>
      </w:r>
      <w:r w:rsidR="007D447F">
        <w:t xml:space="preserve">$10 million.  </w:t>
      </w:r>
      <w:r w:rsidR="00FF6BBC">
        <w:t>T</w:t>
      </w:r>
      <w:r w:rsidR="00E03DCE">
        <w:t xml:space="preserve">o </w:t>
      </w:r>
      <w:r w:rsidR="006C30A2">
        <w:t xml:space="preserve">meet </w:t>
      </w:r>
      <w:r w:rsidR="00AF0B2B">
        <w:t xml:space="preserve">its </w:t>
      </w:r>
      <w:r w:rsidR="006C30A2">
        <w:t xml:space="preserve">mandate </w:t>
      </w:r>
      <w:r w:rsidR="00AA11B9">
        <w:t xml:space="preserve">while </w:t>
      </w:r>
      <w:r w:rsidR="00C937A5">
        <w:t xml:space="preserve">rebuilding </w:t>
      </w:r>
      <w:r w:rsidR="00796037">
        <w:t xml:space="preserve">its </w:t>
      </w:r>
      <w:r w:rsidR="00C937A5">
        <w:t xml:space="preserve">brand, </w:t>
      </w:r>
      <w:r w:rsidR="000A6C24">
        <w:t xml:space="preserve">EXIM resorted to </w:t>
      </w:r>
      <w:r w:rsidR="005A2C13">
        <w:t xml:space="preserve">casting a wide net, including </w:t>
      </w:r>
      <w:r w:rsidR="00740CA3">
        <w:t xml:space="preserve">clients from earlier time periods, </w:t>
      </w:r>
      <w:r w:rsidR="00632973">
        <w:t>individuals who attended EXIM’s annual conference, law firms a</w:t>
      </w:r>
      <w:r w:rsidR="00F25A7F">
        <w:t xml:space="preserve">ssociated with </w:t>
      </w:r>
      <w:r w:rsidR="00632973">
        <w:t>international trade</w:t>
      </w:r>
      <w:r w:rsidR="006F78C9">
        <w:t xml:space="preserve"> transactions</w:t>
      </w:r>
      <w:r w:rsidR="00632973">
        <w:t xml:space="preserve">, </w:t>
      </w:r>
      <w:r w:rsidR="006F78C9">
        <w:t xml:space="preserve">some buyers and project sponsors, </w:t>
      </w:r>
      <w:r w:rsidR="00632973">
        <w:t xml:space="preserve">and </w:t>
      </w:r>
      <w:r w:rsidR="000E75BA">
        <w:t>various advisors</w:t>
      </w:r>
      <w:r w:rsidR="008714F2">
        <w:t xml:space="preserve">. </w:t>
      </w:r>
      <w:r w:rsidR="000E75BA">
        <w:t xml:space="preserve"> </w:t>
      </w:r>
      <w:r w:rsidR="006D1774">
        <w:t xml:space="preserve">This </w:t>
      </w:r>
      <w:r w:rsidR="003F54E3">
        <w:t xml:space="preserve">broad reach </w:t>
      </w:r>
      <w:r w:rsidR="007166A3">
        <w:t>greatly increased the number of survey</w:t>
      </w:r>
      <w:r w:rsidR="002108FE">
        <w:t xml:space="preserve">s sent, but </w:t>
      </w:r>
      <w:r w:rsidR="00C34FA0">
        <w:t xml:space="preserve">the </w:t>
      </w:r>
      <w:r w:rsidR="00376AB9">
        <w:t xml:space="preserve">resulting </w:t>
      </w:r>
      <w:r w:rsidR="00C34FA0">
        <w:t xml:space="preserve">response rate </w:t>
      </w:r>
      <w:r w:rsidR="00376AB9">
        <w:t xml:space="preserve">was quite low </w:t>
      </w:r>
      <w:r w:rsidR="003423FD">
        <w:t xml:space="preserve">at </w:t>
      </w:r>
      <w:r w:rsidR="00C34FA0">
        <w:t xml:space="preserve">approximately </w:t>
      </w:r>
      <w:r w:rsidR="00F8254C">
        <w:t xml:space="preserve">12%.  </w:t>
      </w:r>
    </w:p>
    <w:p w:rsidR="00B37EC9" w:rsidRPr="00E10572" w:rsidP="008308FD" w14:paraId="1608219B" w14:textId="713AA7B5">
      <w:pPr>
        <w:autoSpaceDE w:val="0"/>
        <w:autoSpaceDN w:val="0"/>
        <w:adjustRightInd w:val="0"/>
        <w:ind w:left="720"/>
      </w:pPr>
      <w:r w:rsidRPr="00E10572">
        <w:t xml:space="preserve">                                                    </w:t>
      </w:r>
    </w:p>
    <w:p w:rsidR="00B37EC9" w:rsidRPr="009501D0" w:rsidP="00533E76" w14:paraId="1E215D81" w14:textId="6F4F480F">
      <w:pPr>
        <w:keepNext/>
        <w:keepLines/>
        <w:autoSpaceDE w:val="0"/>
        <w:autoSpaceDN w:val="0"/>
        <w:adjustRightInd w:val="0"/>
        <w:rPr>
          <w:b/>
          <w:u w:val="single"/>
        </w:rPr>
      </w:pPr>
      <w:r w:rsidRPr="009501D0">
        <w:rPr>
          <w:b/>
          <w:u w:val="single"/>
        </w:rPr>
        <w:t>EXPECTED RESPONSE RATES</w:t>
      </w:r>
    </w:p>
    <w:p w:rsidR="00B37EC9" w:rsidRPr="009501D0" w:rsidP="00533E76" w14:paraId="010CE307" w14:textId="77777777">
      <w:pPr>
        <w:keepNext/>
        <w:keepLines/>
        <w:autoSpaceDE w:val="0"/>
        <w:autoSpaceDN w:val="0"/>
        <w:adjustRightInd w:val="0"/>
      </w:pPr>
    </w:p>
    <w:p w:rsidR="00B37EC9" w:rsidP="00533E76" w14:paraId="666E29C1" w14:textId="2C0BD315">
      <w:pPr>
        <w:keepNext/>
        <w:keepLines/>
        <w:autoSpaceDE w:val="0"/>
        <w:autoSpaceDN w:val="0"/>
        <w:adjustRightInd w:val="0"/>
        <w:rPr>
          <w:b/>
        </w:rPr>
      </w:pPr>
    </w:p>
    <w:tbl>
      <w:tblPr>
        <w:tblW w:w="9576" w:type="dxa"/>
        <w:tblLook w:val="04A0"/>
      </w:tblPr>
      <w:tblGrid>
        <w:gridCol w:w="5704"/>
        <w:gridCol w:w="3872"/>
      </w:tblGrid>
      <w:tr w14:paraId="7F02B64C" w14:textId="4D907456" w:rsidTr="007555D3">
        <w:tblPrEx>
          <w:tblW w:w="9576" w:type="dxa"/>
          <w:tblLook w:val="04A0"/>
        </w:tblPrEx>
        <w:trPr>
          <w:cantSplit/>
          <w:trHeight w:val="822"/>
        </w:trPr>
        <w:tc>
          <w:tcPr>
            <w:tcW w:w="5704"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7555D3" w14:paraId="7AA6FABA" w14:textId="091AE656">
            <w:pPr>
              <w:rPr>
                <w:b/>
                <w:bCs/>
                <w:color w:val="000000"/>
              </w:rPr>
            </w:pPr>
            <w:r w:rsidRPr="00235893">
              <w:rPr>
                <w:b/>
              </w:rPr>
              <w:t>Composition of the 20</w:t>
            </w:r>
            <w:r>
              <w:rPr>
                <w:b/>
              </w:rPr>
              <w:t>23</w:t>
            </w:r>
            <w:r w:rsidRPr="00235893">
              <w:rPr>
                <w:b/>
              </w:rPr>
              <w:t xml:space="preserve"> Competitiveness Report Survey (Expected)</w:t>
            </w:r>
          </w:p>
        </w:tc>
        <w:tc>
          <w:tcPr>
            <w:tcW w:w="3872" w:type="dxa"/>
            <w:tcBorders>
              <w:top w:val="single" w:sz="8" w:space="0" w:color="auto"/>
              <w:left w:val="nil"/>
              <w:bottom w:val="single" w:sz="8" w:space="0" w:color="auto"/>
              <w:right w:val="single" w:sz="8" w:space="0" w:color="auto"/>
            </w:tcBorders>
            <w:shd w:val="clear" w:color="000000" w:fill="C0C0C0"/>
          </w:tcPr>
          <w:p w:rsidR="007555D3" w14:paraId="39CBD4DF" w14:textId="101571C7">
            <w:pPr>
              <w:jc w:val="center"/>
              <w:rPr>
                <w:b/>
                <w:bCs/>
              </w:rPr>
            </w:pPr>
          </w:p>
        </w:tc>
      </w:tr>
      <w:tr w14:paraId="19FB7316" w14:textId="5BB23704" w:rsidTr="007555D3">
        <w:tblPrEx>
          <w:tblW w:w="9576" w:type="dxa"/>
          <w:tblLook w:val="04A0"/>
        </w:tblPrEx>
        <w:trPr>
          <w:trHeight w:val="595"/>
        </w:trPr>
        <w:tc>
          <w:tcPr>
            <w:tcW w:w="5704"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7555D3" w14:paraId="26188FE6" w14:textId="11449BB0">
            <w:pPr>
              <w:rPr>
                <w:b/>
                <w:bCs/>
                <w:color w:val="000000"/>
              </w:rPr>
            </w:pPr>
            <w:r>
              <w:rPr>
                <w:b/>
                <w:bCs/>
              </w:rPr>
              <w:t>Universe of survey respondents</w:t>
            </w:r>
          </w:p>
        </w:tc>
        <w:tc>
          <w:tcPr>
            <w:tcW w:w="3872" w:type="dxa"/>
            <w:tcBorders>
              <w:top w:val="nil"/>
              <w:left w:val="nil"/>
              <w:bottom w:val="single" w:sz="8" w:space="0" w:color="auto"/>
              <w:right w:val="single" w:sz="8" w:space="0" w:color="auto"/>
            </w:tcBorders>
            <w:vAlign w:val="center"/>
          </w:tcPr>
          <w:p w:rsidR="007555D3" w:rsidRPr="00D90795" w:rsidP="00D90795" w14:paraId="5EF583A5" w14:textId="076767E2">
            <w:pPr>
              <w:jc w:val="center"/>
              <w:rPr>
                <w:color w:val="000000"/>
              </w:rPr>
            </w:pPr>
            <w:r w:rsidRPr="00D90795">
              <w:rPr>
                <w:color w:val="000000"/>
              </w:rPr>
              <w:t>180</w:t>
            </w:r>
          </w:p>
        </w:tc>
      </w:tr>
      <w:tr w14:paraId="7436B485" w14:textId="0BC84010" w:rsidTr="007555D3">
        <w:tblPrEx>
          <w:tblW w:w="9576" w:type="dxa"/>
          <w:tblLook w:val="04A0"/>
        </w:tblPrEx>
        <w:trPr>
          <w:trHeight w:val="311"/>
        </w:trPr>
        <w:tc>
          <w:tcPr>
            <w:tcW w:w="5704"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7555D3" w14:paraId="70FA22C7" w14:textId="77777777">
            <w:pPr>
              <w:rPr>
                <w:b/>
                <w:bCs/>
                <w:color w:val="000000"/>
              </w:rPr>
            </w:pPr>
            <w:r>
              <w:rPr>
                <w:b/>
                <w:bCs/>
              </w:rPr>
              <w:t>Expected responses</w:t>
            </w:r>
          </w:p>
        </w:tc>
        <w:tc>
          <w:tcPr>
            <w:tcW w:w="3872" w:type="dxa"/>
            <w:tcBorders>
              <w:top w:val="nil"/>
              <w:left w:val="nil"/>
              <w:bottom w:val="single" w:sz="8" w:space="0" w:color="auto"/>
              <w:right w:val="single" w:sz="8" w:space="0" w:color="auto"/>
            </w:tcBorders>
            <w:vAlign w:val="center"/>
          </w:tcPr>
          <w:p w:rsidR="007555D3" w:rsidRPr="00D90795" w:rsidP="00D90795" w14:paraId="1C4E679A" w14:textId="2ECFB2D3">
            <w:pPr>
              <w:jc w:val="center"/>
              <w:rPr>
                <w:color w:val="000000"/>
              </w:rPr>
            </w:pPr>
            <w:r w:rsidRPr="00D90795">
              <w:rPr>
                <w:color w:val="000000"/>
              </w:rPr>
              <w:t>112</w:t>
            </w:r>
          </w:p>
        </w:tc>
      </w:tr>
      <w:tr w14:paraId="1357F78D" w14:textId="06E944DB" w:rsidTr="007555D3">
        <w:tblPrEx>
          <w:tblW w:w="9576" w:type="dxa"/>
          <w:tblLook w:val="04A0"/>
        </w:tblPrEx>
        <w:trPr>
          <w:trHeight w:val="311"/>
        </w:trPr>
        <w:tc>
          <w:tcPr>
            <w:tcW w:w="5704" w:type="dxa"/>
            <w:tcBorders>
              <w:top w:val="single" w:sz="8" w:space="0" w:color="auto"/>
              <w:left w:val="single" w:sz="8" w:space="0" w:color="auto"/>
              <w:bottom w:val="single" w:sz="8" w:space="0" w:color="auto"/>
              <w:right w:val="single" w:sz="8" w:space="0" w:color="000000"/>
            </w:tcBorders>
            <w:shd w:val="clear" w:color="000000" w:fill="C0C0C0"/>
            <w:vAlign w:val="center"/>
            <w:hideMark/>
          </w:tcPr>
          <w:p w:rsidR="007555D3" w14:paraId="71B84E18" w14:textId="77777777">
            <w:pPr>
              <w:rPr>
                <w:b/>
                <w:bCs/>
                <w:color w:val="000000"/>
              </w:rPr>
            </w:pPr>
            <w:r>
              <w:rPr>
                <w:b/>
                <w:bCs/>
              </w:rPr>
              <w:t>Expected response rate</w:t>
            </w:r>
          </w:p>
        </w:tc>
        <w:tc>
          <w:tcPr>
            <w:tcW w:w="3872" w:type="dxa"/>
            <w:tcBorders>
              <w:top w:val="nil"/>
              <w:left w:val="nil"/>
              <w:bottom w:val="single" w:sz="8" w:space="0" w:color="auto"/>
              <w:right w:val="single" w:sz="8" w:space="0" w:color="auto"/>
            </w:tcBorders>
            <w:vAlign w:val="center"/>
          </w:tcPr>
          <w:p w:rsidR="007555D3" w:rsidRPr="00D90795" w:rsidP="00D90795" w14:paraId="3E034B18" w14:textId="71E4B982">
            <w:pPr>
              <w:jc w:val="center"/>
              <w:rPr>
                <w:color w:val="000000"/>
              </w:rPr>
            </w:pPr>
            <w:r w:rsidRPr="00D90795">
              <w:rPr>
                <w:color w:val="000000"/>
              </w:rPr>
              <w:t>67%</w:t>
            </w:r>
          </w:p>
        </w:tc>
      </w:tr>
    </w:tbl>
    <w:p w:rsidR="007555D3" w:rsidP="00533E76" w14:paraId="0388E924" w14:textId="77777777">
      <w:pPr>
        <w:keepNext/>
        <w:keepLines/>
        <w:autoSpaceDE w:val="0"/>
        <w:autoSpaceDN w:val="0"/>
        <w:adjustRightInd w:val="0"/>
        <w:rPr>
          <w:b/>
          <w:u w:val="single"/>
        </w:rPr>
      </w:pPr>
    </w:p>
    <w:p w:rsidR="00B37EC9" w:rsidRPr="009501D0" w:rsidP="00533E76" w14:paraId="3B1DAE2D" w14:textId="15C6B7E1">
      <w:pPr>
        <w:keepNext/>
        <w:keepLines/>
        <w:autoSpaceDE w:val="0"/>
        <w:autoSpaceDN w:val="0"/>
        <w:adjustRightInd w:val="0"/>
        <w:rPr>
          <w:b/>
          <w:u w:val="single"/>
        </w:rPr>
      </w:pPr>
      <w:r w:rsidRPr="009501D0">
        <w:rPr>
          <w:b/>
          <w:u w:val="single"/>
        </w:rPr>
        <w:t>PAST RESPONSE RATES</w:t>
      </w:r>
    </w:p>
    <w:p w:rsidR="00B37EC9" w:rsidRPr="009501D0" w:rsidP="00B37EC9" w14:paraId="7CAFD587" w14:textId="77777777">
      <w:pPr>
        <w:autoSpaceDE w:val="0"/>
        <w:autoSpaceDN w:val="0"/>
        <w:adjustRightInd w:val="0"/>
      </w:pPr>
    </w:p>
    <w:p w:rsidR="00B37EC9" w:rsidRPr="009501D0" w:rsidP="00B37EC9" w14:paraId="009F8C71" w14:textId="5988EF68">
      <w:pPr>
        <w:keepNext/>
        <w:rPr>
          <w:b/>
          <w:bCs/>
        </w:rPr>
      </w:pPr>
    </w:p>
    <w:tbl>
      <w:tblPr>
        <w:tblW w:w="93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
      <w:tblGrid>
        <w:gridCol w:w="5644"/>
        <w:gridCol w:w="3736"/>
      </w:tblGrid>
      <w:tr w14:paraId="45BAFFA9" w14:textId="77777777" w:rsidTr="007555D3">
        <w:tblPrEx>
          <w:tblW w:w="938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tblPrEx>
        <w:trPr>
          <w:cantSplit/>
          <w:trHeight w:val="502"/>
        </w:trPr>
        <w:tc>
          <w:tcPr>
            <w:tcW w:w="5644" w:type="dxa"/>
            <w:tcBorders>
              <w:top w:val="single" w:sz="6" w:space="0" w:color="auto"/>
              <w:left w:val="single" w:sz="6" w:space="0" w:color="auto"/>
              <w:bottom w:val="single" w:sz="6" w:space="0" w:color="auto"/>
              <w:right w:val="single" w:sz="4" w:space="0" w:color="auto"/>
            </w:tcBorders>
            <w:shd w:val="clear" w:color="auto" w:fill="C0C0C0"/>
          </w:tcPr>
          <w:p w:rsidR="003F2399" w:rsidRPr="009501D0" w:rsidP="00543DF4" w14:paraId="03DB69DA" w14:textId="7555428B">
            <w:pPr>
              <w:keepNext/>
              <w:rPr>
                <w:b/>
                <w:bCs/>
              </w:rPr>
            </w:pPr>
            <w:r w:rsidRPr="009501D0">
              <w:rPr>
                <w:b/>
                <w:bCs/>
              </w:rPr>
              <w:t>20</w:t>
            </w:r>
            <w:r>
              <w:rPr>
                <w:b/>
                <w:bCs/>
              </w:rPr>
              <w:t>22</w:t>
            </w:r>
            <w:r w:rsidRPr="009501D0">
              <w:rPr>
                <w:b/>
                <w:bCs/>
              </w:rPr>
              <w:t xml:space="preserve"> Competitiveness Report</w:t>
            </w:r>
            <w:r w:rsidRPr="009501D0">
              <w:rPr>
                <w:b/>
              </w:rPr>
              <w:t xml:space="preserve"> Survey</w:t>
            </w:r>
          </w:p>
        </w:tc>
        <w:tc>
          <w:tcPr>
            <w:tcW w:w="3736" w:type="dxa"/>
            <w:tcBorders>
              <w:top w:val="single" w:sz="4" w:space="0" w:color="auto"/>
              <w:left w:val="single" w:sz="4" w:space="0" w:color="auto"/>
              <w:bottom w:val="single" w:sz="4" w:space="0" w:color="auto"/>
              <w:right w:val="single" w:sz="4" w:space="0" w:color="auto"/>
            </w:tcBorders>
            <w:shd w:val="clear" w:color="auto" w:fill="C0C0C0"/>
            <w:vAlign w:val="bottom"/>
          </w:tcPr>
          <w:p w:rsidR="003F2399" w:rsidRPr="009501D0" w:rsidP="00757934" w14:paraId="7507C26F" w14:textId="5F4EF327">
            <w:pPr>
              <w:keepNext/>
              <w:jc w:val="center"/>
              <w:rPr>
                <w:b/>
                <w:bCs/>
              </w:rPr>
            </w:pPr>
          </w:p>
        </w:tc>
      </w:tr>
      <w:tr w14:paraId="13AF5F7E" w14:textId="77777777" w:rsidTr="007555D3">
        <w:tblPrEx>
          <w:tblW w:w="9380" w:type="dxa"/>
          <w:tblInd w:w="108" w:type="dxa"/>
          <w:tblLook w:val="04A0"/>
        </w:tblPrEx>
        <w:trPr>
          <w:trHeight w:val="244"/>
        </w:trPr>
        <w:tc>
          <w:tcPr>
            <w:tcW w:w="5644" w:type="dxa"/>
            <w:tcBorders>
              <w:top w:val="single" w:sz="6" w:space="0" w:color="auto"/>
              <w:left w:val="single" w:sz="6" w:space="0" w:color="auto"/>
              <w:bottom w:val="single" w:sz="6" w:space="0" w:color="auto"/>
              <w:right w:val="single" w:sz="6" w:space="0" w:color="auto"/>
            </w:tcBorders>
            <w:shd w:val="clear" w:color="auto" w:fill="C0C0C0"/>
            <w:hideMark/>
          </w:tcPr>
          <w:p w:rsidR="003F2399" w:rsidRPr="009501D0" w:rsidP="00543DF4" w14:paraId="31EED2A2" w14:textId="77777777">
            <w:pPr>
              <w:keepNext/>
              <w:rPr>
                <w:b/>
                <w:bCs/>
              </w:rPr>
            </w:pPr>
            <w:r w:rsidRPr="009501D0">
              <w:rPr>
                <w:b/>
                <w:bCs/>
              </w:rPr>
              <w:t>Surveyed</w:t>
            </w:r>
          </w:p>
        </w:tc>
        <w:tc>
          <w:tcPr>
            <w:tcW w:w="3736" w:type="dxa"/>
            <w:tcBorders>
              <w:top w:val="single" w:sz="4" w:space="0" w:color="auto"/>
              <w:left w:val="single" w:sz="6" w:space="0" w:color="auto"/>
              <w:bottom w:val="single" w:sz="6" w:space="0" w:color="auto"/>
              <w:right w:val="single" w:sz="6" w:space="0" w:color="auto"/>
            </w:tcBorders>
            <w:vAlign w:val="bottom"/>
          </w:tcPr>
          <w:p w:rsidR="003F2399" w:rsidRPr="009501D0" w:rsidP="00757934" w14:paraId="3D843343" w14:textId="7A24B986">
            <w:pPr>
              <w:keepNext/>
              <w:jc w:val="center"/>
            </w:pPr>
            <w:r>
              <w:t>381</w:t>
            </w:r>
          </w:p>
        </w:tc>
      </w:tr>
      <w:tr w14:paraId="526B312F" w14:textId="77777777" w:rsidTr="007555D3">
        <w:tblPrEx>
          <w:tblW w:w="9380" w:type="dxa"/>
          <w:tblInd w:w="108" w:type="dxa"/>
          <w:tblLook w:val="04A0"/>
        </w:tblPrEx>
        <w:trPr>
          <w:trHeight w:val="257"/>
        </w:trPr>
        <w:tc>
          <w:tcPr>
            <w:tcW w:w="5644" w:type="dxa"/>
            <w:tcBorders>
              <w:top w:val="single" w:sz="6" w:space="0" w:color="auto"/>
              <w:left w:val="single" w:sz="6" w:space="0" w:color="auto"/>
              <w:bottom w:val="single" w:sz="6" w:space="0" w:color="auto"/>
              <w:right w:val="single" w:sz="6" w:space="0" w:color="auto"/>
            </w:tcBorders>
            <w:shd w:val="clear" w:color="auto" w:fill="C0C0C0"/>
            <w:hideMark/>
          </w:tcPr>
          <w:p w:rsidR="003F2399" w:rsidRPr="009501D0" w:rsidP="00543DF4" w14:paraId="49EF298F" w14:textId="77777777">
            <w:pPr>
              <w:keepNext/>
              <w:rPr>
                <w:b/>
                <w:bCs/>
              </w:rPr>
            </w:pPr>
            <w:r w:rsidRPr="009501D0">
              <w:rPr>
                <w:b/>
                <w:bCs/>
              </w:rPr>
              <w:t>Responded</w:t>
            </w:r>
          </w:p>
        </w:tc>
        <w:tc>
          <w:tcPr>
            <w:tcW w:w="3736" w:type="dxa"/>
            <w:tcBorders>
              <w:top w:val="single" w:sz="6" w:space="0" w:color="auto"/>
              <w:left w:val="single" w:sz="6" w:space="0" w:color="auto"/>
              <w:bottom w:val="single" w:sz="6" w:space="0" w:color="auto"/>
            </w:tcBorders>
            <w:vAlign w:val="bottom"/>
          </w:tcPr>
          <w:p w:rsidR="003F2399" w:rsidRPr="00027AEB" w:rsidP="00757934" w14:paraId="096713B1" w14:textId="69223A05">
            <w:pPr>
              <w:keepNext/>
              <w:jc w:val="center"/>
            </w:pPr>
            <w:r w:rsidRPr="00027AEB">
              <w:t>4</w:t>
            </w:r>
            <w:r w:rsidR="00757934">
              <w:t>5</w:t>
            </w:r>
          </w:p>
        </w:tc>
      </w:tr>
      <w:tr w14:paraId="1458ADC0" w14:textId="77777777" w:rsidTr="007555D3">
        <w:tblPrEx>
          <w:tblW w:w="9380" w:type="dxa"/>
          <w:tblInd w:w="108" w:type="dxa"/>
          <w:tblLook w:val="04A0"/>
        </w:tblPrEx>
        <w:trPr>
          <w:trHeight w:val="244"/>
        </w:trPr>
        <w:tc>
          <w:tcPr>
            <w:tcW w:w="5644" w:type="dxa"/>
            <w:tcBorders>
              <w:top w:val="single" w:sz="6" w:space="0" w:color="auto"/>
              <w:left w:val="single" w:sz="6" w:space="0" w:color="auto"/>
              <w:bottom w:val="single" w:sz="6" w:space="0" w:color="auto"/>
              <w:right w:val="single" w:sz="6" w:space="0" w:color="auto"/>
            </w:tcBorders>
            <w:shd w:val="clear" w:color="auto" w:fill="C0C0C0"/>
            <w:hideMark/>
          </w:tcPr>
          <w:p w:rsidR="003F2399" w:rsidRPr="009501D0" w:rsidP="00543DF4" w14:paraId="754AC7A4" w14:textId="77777777">
            <w:pPr>
              <w:keepNext/>
              <w:rPr>
                <w:b/>
                <w:bCs/>
              </w:rPr>
            </w:pPr>
            <w:r w:rsidRPr="009501D0">
              <w:rPr>
                <w:b/>
                <w:bCs/>
              </w:rPr>
              <w:t>Response rate</w:t>
            </w:r>
          </w:p>
        </w:tc>
        <w:tc>
          <w:tcPr>
            <w:tcW w:w="3736" w:type="dxa"/>
            <w:tcBorders>
              <w:top w:val="single" w:sz="6" w:space="0" w:color="auto"/>
              <w:left w:val="single" w:sz="6" w:space="0" w:color="auto"/>
              <w:bottom w:val="single" w:sz="6" w:space="0" w:color="auto"/>
              <w:right w:val="single" w:sz="6" w:space="0" w:color="auto"/>
            </w:tcBorders>
            <w:vAlign w:val="bottom"/>
          </w:tcPr>
          <w:p w:rsidR="003F2399" w:rsidRPr="00027AEB" w:rsidP="00757934" w14:paraId="53F25FF9" w14:textId="0D2FFEAB">
            <w:pPr>
              <w:keepNext/>
              <w:jc w:val="center"/>
            </w:pPr>
            <w:r>
              <w:t>1</w:t>
            </w:r>
            <w:r w:rsidRPr="00803537">
              <w:t>2</w:t>
            </w:r>
            <w:r w:rsidRPr="00027AEB">
              <w:t>%</w:t>
            </w:r>
          </w:p>
        </w:tc>
      </w:tr>
    </w:tbl>
    <w:p w:rsidR="00B37EC9" w:rsidRPr="009501D0" w:rsidP="00B37EC9" w14:paraId="5BAA52B6" w14:textId="77777777">
      <w:pPr>
        <w:autoSpaceDE w:val="0"/>
        <w:autoSpaceDN w:val="0"/>
        <w:adjustRightInd w:val="0"/>
      </w:pPr>
    </w:p>
    <w:p w:rsidR="00B37EC9" w:rsidRPr="009501D0" w:rsidP="00B37EC9" w14:paraId="30340981" w14:textId="77777777">
      <w:pPr>
        <w:autoSpaceDE w:val="0"/>
        <w:autoSpaceDN w:val="0"/>
        <w:adjustRightInd w:val="0"/>
      </w:pPr>
    </w:p>
    <w:p w:rsidR="00B37EC9" w:rsidRPr="00647DF1" w:rsidP="00B37EC9" w14:paraId="575D573A" w14:textId="77777777">
      <w:pPr>
        <w:pStyle w:val="ListParagraph"/>
        <w:numPr>
          <w:ilvl w:val="0"/>
          <w:numId w:val="7"/>
        </w:numPr>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Describe the procedures for the collection of information including:</w:t>
      </w:r>
    </w:p>
    <w:p w:rsidR="00B37EC9" w:rsidRPr="00647DF1" w:rsidP="00B37EC9" w14:paraId="32E84335" w14:textId="77777777">
      <w:pPr>
        <w:pStyle w:val="ListParagraph"/>
        <w:numPr>
          <w:ilvl w:val="0"/>
          <w:numId w:val="6"/>
        </w:numPr>
        <w:autoSpaceDE w:val="0"/>
        <w:autoSpaceDN w:val="0"/>
        <w:adjustRightInd w:val="0"/>
        <w:spacing w:after="0"/>
        <w:rPr>
          <w:rFonts w:ascii="Times New Roman" w:hAnsi="Times New Roman" w:cs="Times New Roman"/>
          <w:sz w:val="24"/>
          <w:szCs w:val="24"/>
        </w:rPr>
      </w:pPr>
      <w:r w:rsidRPr="00647DF1">
        <w:rPr>
          <w:rFonts w:ascii="Times New Roman" w:hAnsi="Times New Roman" w:cs="Times New Roman"/>
          <w:sz w:val="24"/>
          <w:szCs w:val="24"/>
        </w:rPr>
        <w:t>Statistical methodology for stratification and sample selection,</w:t>
      </w:r>
    </w:p>
    <w:p w:rsidR="00B37EC9" w:rsidRPr="00647DF1" w:rsidP="00B37EC9" w14:paraId="13671AC1" w14:textId="77777777">
      <w:pPr>
        <w:pStyle w:val="ListParagraph"/>
        <w:numPr>
          <w:ilvl w:val="0"/>
          <w:numId w:val="6"/>
        </w:numPr>
        <w:autoSpaceDE w:val="0"/>
        <w:autoSpaceDN w:val="0"/>
        <w:adjustRightInd w:val="0"/>
        <w:spacing w:after="0"/>
        <w:rPr>
          <w:rFonts w:ascii="Times New Roman" w:hAnsi="Times New Roman" w:cs="Times New Roman"/>
          <w:sz w:val="24"/>
          <w:szCs w:val="24"/>
        </w:rPr>
      </w:pPr>
      <w:r w:rsidRPr="00647DF1">
        <w:rPr>
          <w:rFonts w:ascii="Times New Roman" w:hAnsi="Times New Roman" w:cs="Times New Roman"/>
          <w:sz w:val="24"/>
          <w:szCs w:val="24"/>
        </w:rPr>
        <w:t>Estimation procedure,</w:t>
      </w:r>
    </w:p>
    <w:p w:rsidR="00B37EC9" w:rsidRPr="00647DF1" w:rsidP="00B37EC9" w14:paraId="757A1110" w14:textId="77777777">
      <w:pPr>
        <w:pStyle w:val="ListParagraph"/>
        <w:numPr>
          <w:ilvl w:val="0"/>
          <w:numId w:val="6"/>
        </w:numPr>
        <w:autoSpaceDE w:val="0"/>
        <w:autoSpaceDN w:val="0"/>
        <w:adjustRightInd w:val="0"/>
        <w:spacing w:after="0"/>
        <w:rPr>
          <w:rFonts w:ascii="Times New Roman" w:hAnsi="Times New Roman" w:cs="Times New Roman"/>
          <w:sz w:val="24"/>
          <w:szCs w:val="24"/>
        </w:rPr>
      </w:pPr>
      <w:r w:rsidRPr="00647DF1">
        <w:rPr>
          <w:rFonts w:ascii="Times New Roman" w:hAnsi="Times New Roman" w:cs="Times New Roman"/>
          <w:sz w:val="24"/>
          <w:szCs w:val="24"/>
        </w:rPr>
        <w:t>Degree of accuracy needed for the purpose described in the justification,</w:t>
      </w:r>
    </w:p>
    <w:p w:rsidR="00B37EC9" w:rsidRPr="00647DF1" w:rsidP="00B37EC9" w14:paraId="66ED806E" w14:textId="77777777">
      <w:pPr>
        <w:pStyle w:val="ListParagraph"/>
        <w:numPr>
          <w:ilvl w:val="0"/>
          <w:numId w:val="6"/>
        </w:numPr>
        <w:autoSpaceDE w:val="0"/>
        <w:autoSpaceDN w:val="0"/>
        <w:adjustRightInd w:val="0"/>
        <w:spacing w:after="0"/>
        <w:rPr>
          <w:rFonts w:ascii="Times New Roman" w:hAnsi="Times New Roman" w:cs="Times New Roman"/>
          <w:sz w:val="24"/>
          <w:szCs w:val="24"/>
        </w:rPr>
      </w:pPr>
      <w:r w:rsidRPr="00647DF1">
        <w:rPr>
          <w:rFonts w:ascii="Times New Roman" w:hAnsi="Times New Roman" w:cs="Times New Roman"/>
          <w:sz w:val="24"/>
          <w:szCs w:val="24"/>
        </w:rPr>
        <w:t>Unusual problems requiring specialized sampling procedures, and</w:t>
      </w:r>
    </w:p>
    <w:p w:rsidR="00B37EC9" w:rsidRPr="00647DF1" w:rsidP="00B37EC9" w14:paraId="4064F246" w14:textId="77777777">
      <w:pPr>
        <w:pStyle w:val="ListParagraph"/>
        <w:numPr>
          <w:ilvl w:val="0"/>
          <w:numId w:val="6"/>
        </w:numPr>
        <w:autoSpaceDE w:val="0"/>
        <w:autoSpaceDN w:val="0"/>
        <w:adjustRightInd w:val="0"/>
        <w:spacing w:after="0"/>
        <w:rPr>
          <w:rFonts w:ascii="Times New Roman" w:hAnsi="Times New Roman" w:cs="Times New Roman"/>
          <w:sz w:val="24"/>
          <w:szCs w:val="24"/>
        </w:rPr>
      </w:pPr>
      <w:r w:rsidRPr="00647DF1">
        <w:rPr>
          <w:rFonts w:ascii="Times New Roman" w:hAnsi="Times New Roman" w:cs="Times New Roman"/>
          <w:sz w:val="24"/>
          <w:szCs w:val="24"/>
        </w:rPr>
        <w:t>Any use of periodic (less frequent than annual) data collection cycles to reduce burden.</w:t>
      </w:r>
      <w:r w:rsidRPr="00647DF1">
        <w:rPr>
          <w:rFonts w:ascii="Times New Roman" w:hAnsi="Times New Roman" w:cs="Times New Roman"/>
          <w:sz w:val="24"/>
          <w:szCs w:val="24"/>
        </w:rPr>
        <w:br/>
      </w:r>
    </w:p>
    <w:p w:rsidR="00B37EC9" w:rsidRPr="00647DF1" w:rsidP="00647DF1" w14:paraId="7BAF39FF" w14:textId="734A1882">
      <w:pPr>
        <w:autoSpaceDE w:val="0"/>
        <w:autoSpaceDN w:val="0"/>
        <w:adjustRightInd w:val="0"/>
        <w:ind w:left="360"/>
      </w:pPr>
      <w:r w:rsidRPr="00647DF1">
        <w:t xml:space="preserve">The survey will be sent to lenders, exporters, </w:t>
      </w:r>
      <w:r w:rsidR="002964F1">
        <w:t>and some other</w:t>
      </w:r>
      <w:r w:rsidR="00B81648">
        <w:t>s such as project sponsors or buyers</w:t>
      </w:r>
      <w:r w:rsidR="001705F3">
        <w:t xml:space="preserve"> that </w:t>
      </w:r>
      <w:r w:rsidR="00752618">
        <w:t xml:space="preserve">sought and received </w:t>
      </w:r>
      <w:r w:rsidR="00AB6DD0">
        <w:t>EXIM support</w:t>
      </w:r>
      <w:r w:rsidR="00752618">
        <w:t xml:space="preserve"> </w:t>
      </w:r>
      <w:r w:rsidR="0041196D">
        <w:t xml:space="preserve">through </w:t>
      </w:r>
      <w:r w:rsidR="00946478">
        <w:t xml:space="preserve">authorizations or approved letters of interest for </w:t>
      </w:r>
      <w:r w:rsidR="00410542">
        <w:t xml:space="preserve">expected </w:t>
      </w:r>
      <w:r w:rsidR="0041196D">
        <w:t xml:space="preserve">export sales, </w:t>
      </w:r>
      <w:r w:rsidR="00752618">
        <w:t xml:space="preserve">and </w:t>
      </w:r>
      <w:r w:rsidR="001705F3">
        <w:t xml:space="preserve">advisors with </w:t>
      </w:r>
      <w:r w:rsidR="00AD1D5E">
        <w:t xml:space="preserve">direct </w:t>
      </w:r>
      <w:r w:rsidR="00E778C1">
        <w:t xml:space="preserve">experience </w:t>
      </w:r>
      <w:r w:rsidR="007724E6">
        <w:t xml:space="preserve">with </w:t>
      </w:r>
      <w:r w:rsidRPr="00647DF1" w:rsidR="00372375">
        <w:t>EXIM’s</w:t>
      </w:r>
      <w:r w:rsidRPr="00647DF1">
        <w:t xml:space="preserve"> medium and long-term programs </w:t>
      </w:r>
      <w:r w:rsidRPr="00647DF1" w:rsidR="00B76F2A">
        <w:t>in the calendar year of interest</w:t>
      </w:r>
      <w:r w:rsidRPr="00647DF1">
        <w:t>.</w:t>
      </w:r>
      <w:r w:rsidRPr="00647DF1" w:rsidR="00B76F2A">
        <w:t xml:space="preserve"> </w:t>
      </w:r>
      <w:r w:rsidRPr="00647DF1">
        <w:t xml:space="preserve">Only </w:t>
      </w:r>
      <w:r w:rsidR="00585780">
        <w:t>the actual results are reported</w:t>
      </w:r>
      <w:r w:rsidR="009D2B8F">
        <w:t xml:space="preserve">.  No </w:t>
      </w:r>
      <w:r w:rsidR="00585780">
        <w:t xml:space="preserve">estimations </w:t>
      </w:r>
      <w:r w:rsidR="009D2B8F">
        <w:t xml:space="preserve">are </w:t>
      </w:r>
      <w:r w:rsidR="00585780">
        <w:t>made</w:t>
      </w:r>
      <w:r w:rsidR="00C154ED">
        <w:t xml:space="preserve">.  Statistical analysis is based on simple </w:t>
      </w:r>
      <w:r w:rsidR="00B73FF6">
        <w:t>ratio analysis</w:t>
      </w:r>
      <w:r w:rsidR="004C0CC6">
        <w:t xml:space="preserve">; no advanced statistical </w:t>
      </w:r>
      <w:r w:rsidR="00CE081E">
        <w:t>methodology</w:t>
      </w:r>
      <w:r w:rsidR="004C0CC6">
        <w:t xml:space="preserve"> is used</w:t>
      </w:r>
      <w:r w:rsidRPr="00647DF1">
        <w:t>.</w:t>
      </w:r>
    </w:p>
    <w:p w:rsidR="00B37EC9" w:rsidRPr="00647DF1" w:rsidP="00647DF1" w14:paraId="0C50F249" w14:textId="77777777">
      <w:pPr>
        <w:autoSpaceDE w:val="0"/>
        <w:autoSpaceDN w:val="0"/>
        <w:adjustRightInd w:val="0"/>
        <w:ind w:left="360"/>
      </w:pPr>
    </w:p>
    <w:p w:rsidR="00B37EC9" w:rsidRPr="00647DF1" w:rsidP="00647DF1" w14:paraId="738EE626" w14:textId="177F4C09">
      <w:pPr>
        <w:autoSpaceDE w:val="0"/>
        <w:autoSpaceDN w:val="0"/>
        <w:adjustRightInd w:val="0"/>
        <w:ind w:left="360"/>
      </w:pPr>
      <w:r w:rsidRPr="00647DF1">
        <w:t xml:space="preserve">The Competitiveness Report is mandated by Congress to </w:t>
      </w:r>
      <w:r w:rsidR="00213874">
        <w:t>cover the previous calendar year</w:t>
      </w:r>
      <w:r w:rsidR="003F5CCA">
        <w:t>.  Thus</w:t>
      </w:r>
      <w:r w:rsidR="6AEB6455">
        <w:t>,</w:t>
      </w:r>
      <w:r w:rsidR="003F5CCA">
        <w:t xml:space="preserve"> </w:t>
      </w:r>
      <w:r w:rsidR="003F5CCA">
        <w:t>partial</w:t>
      </w:r>
      <w:r w:rsidR="003F5CCA">
        <w:t xml:space="preserve"> </w:t>
      </w:r>
      <w:r w:rsidR="00A226E2">
        <w:t>or out</w:t>
      </w:r>
      <w:r w:rsidR="00054E23">
        <w:t>-</w:t>
      </w:r>
      <w:r w:rsidR="00A226E2">
        <w:t>of</w:t>
      </w:r>
      <w:r w:rsidR="00054E23">
        <w:t>-</w:t>
      </w:r>
      <w:r w:rsidR="00A226E2">
        <w:t xml:space="preserve">cycle data cannot be substituted for the annual collection of calendar year data.  </w:t>
      </w:r>
    </w:p>
    <w:p w:rsidR="00B37EC9" w:rsidRPr="00647DF1" w:rsidP="00B37EC9" w14:paraId="4C202A21" w14:textId="77777777">
      <w:pPr>
        <w:autoSpaceDE w:val="0"/>
        <w:autoSpaceDN w:val="0"/>
        <w:adjustRightInd w:val="0"/>
      </w:pPr>
    </w:p>
    <w:p w:rsidR="00EC22A7" w:rsidRPr="00647DF1" w:rsidP="00B37EC9" w14:paraId="4FD3DCF6" w14:textId="77777777">
      <w:pPr>
        <w:pStyle w:val="ListParagraph"/>
        <w:numPr>
          <w:ilvl w:val="0"/>
          <w:numId w:val="7"/>
        </w:numPr>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EC22A7" w:rsidRPr="00647DF1" w:rsidP="00D32956" w14:paraId="1731C404" w14:textId="77777777">
      <w:pPr>
        <w:pStyle w:val="ListParagraph"/>
        <w:autoSpaceDE w:val="0"/>
        <w:autoSpaceDN w:val="0"/>
        <w:adjustRightInd w:val="0"/>
        <w:spacing w:after="0"/>
        <w:ind w:left="360"/>
        <w:rPr>
          <w:rFonts w:ascii="Times New Roman" w:hAnsi="Times New Roman" w:cs="Times New Roman"/>
          <w:sz w:val="24"/>
          <w:szCs w:val="24"/>
        </w:rPr>
      </w:pPr>
    </w:p>
    <w:p w:rsidR="005E7176" w:rsidRPr="00647DF1" w:rsidP="00D32956" w14:paraId="6D98603D" w14:textId="06113A55">
      <w:pPr>
        <w:pStyle w:val="ListParagraph"/>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 xml:space="preserve">Each year the EXIM </w:t>
      </w:r>
      <w:r w:rsidRPr="237531B3">
        <w:rPr>
          <w:rFonts w:ascii="Times New Roman" w:hAnsi="Times New Roman" w:cs="Times New Roman"/>
          <w:sz w:val="24"/>
          <w:szCs w:val="24"/>
        </w:rPr>
        <w:t>Chair</w:t>
      </w:r>
      <w:r w:rsidRPr="00647DF1">
        <w:rPr>
          <w:rFonts w:ascii="Times New Roman" w:hAnsi="Times New Roman" w:cs="Times New Roman"/>
          <w:sz w:val="24"/>
          <w:szCs w:val="24"/>
        </w:rPr>
        <w:t xml:space="preserve"> sends an email </w:t>
      </w:r>
      <w:r w:rsidR="008E7973">
        <w:rPr>
          <w:rFonts w:ascii="Times New Roman" w:hAnsi="Times New Roman" w:cs="Times New Roman"/>
          <w:sz w:val="24"/>
          <w:szCs w:val="24"/>
        </w:rPr>
        <w:t xml:space="preserve">inviting </w:t>
      </w:r>
      <w:r w:rsidRPr="00647DF1">
        <w:rPr>
          <w:rFonts w:ascii="Times New Roman" w:hAnsi="Times New Roman" w:cs="Times New Roman"/>
          <w:sz w:val="24"/>
          <w:szCs w:val="24"/>
        </w:rPr>
        <w:t>recipients</w:t>
      </w:r>
      <w:r w:rsidR="00B33EE3">
        <w:rPr>
          <w:rFonts w:ascii="Times New Roman" w:hAnsi="Times New Roman" w:cs="Times New Roman"/>
          <w:sz w:val="24"/>
          <w:szCs w:val="24"/>
        </w:rPr>
        <w:t xml:space="preserve">’ participation in the annual survey. </w:t>
      </w:r>
      <w:r w:rsidR="007C27A2">
        <w:rPr>
          <w:rFonts w:ascii="Times New Roman" w:hAnsi="Times New Roman" w:cs="Times New Roman"/>
          <w:sz w:val="24"/>
          <w:szCs w:val="24"/>
        </w:rPr>
        <w:t xml:space="preserve">The survey </w:t>
      </w:r>
      <w:r w:rsidR="00A31B6F">
        <w:rPr>
          <w:rFonts w:ascii="Times New Roman" w:hAnsi="Times New Roman" w:cs="Times New Roman"/>
          <w:sz w:val="24"/>
          <w:szCs w:val="24"/>
        </w:rPr>
        <w:t xml:space="preserve">invitation </w:t>
      </w:r>
      <w:r w:rsidR="007C27A2">
        <w:rPr>
          <w:rFonts w:ascii="Times New Roman" w:hAnsi="Times New Roman" w:cs="Times New Roman"/>
          <w:sz w:val="24"/>
          <w:szCs w:val="24"/>
        </w:rPr>
        <w:t>is sent in January</w:t>
      </w:r>
      <w:r w:rsidR="004560F5">
        <w:rPr>
          <w:rFonts w:ascii="Times New Roman" w:hAnsi="Times New Roman" w:cs="Times New Roman"/>
          <w:sz w:val="24"/>
          <w:szCs w:val="24"/>
        </w:rPr>
        <w:t xml:space="preserve">, </w:t>
      </w:r>
      <w:r w:rsidR="005268F7">
        <w:rPr>
          <w:rFonts w:ascii="Times New Roman" w:hAnsi="Times New Roman" w:cs="Times New Roman"/>
          <w:sz w:val="24"/>
          <w:szCs w:val="24"/>
        </w:rPr>
        <w:t>notifying recipients that it will be open for comment</w:t>
      </w:r>
      <w:r w:rsidRPr="237531B3" w:rsidR="00CA7300">
        <w:rPr>
          <w:rFonts w:ascii="Times New Roman" w:hAnsi="Times New Roman" w:cs="Times New Roman"/>
          <w:sz w:val="24"/>
          <w:szCs w:val="24"/>
        </w:rPr>
        <w:t>.</w:t>
      </w:r>
      <w:r w:rsidR="00CA7300">
        <w:rPr>
          <w:rFonts w:ascii="Times New Roman" w:hAnsi="Times New Roman" w:cs="Times New Roman"/>
          <w:sz w:val="24"/>
          <w:szCs w:val="24"/>
        </w:rPr>
        <w:t xml:space="preserve">  </w:t>
      </w:r>
      <w:r w:rsidR="00A97965">
        <w:rPr>
          <w:rFonts w:ascii="Times New Roman" w:hAnsi="Times New Roman" w:cs="Times New Roman"/>
          <w:sz w:val="24"/>
          <w:szCs w:val="24"/>
        </w:rPr>
        <w:t xml:space="preserve">In 2023, a follow-up </w:t>
      </w:r>
      <w:r w:rsidR="000D72EC">
        <w:rPr>
          <w:rFonts w:ascii="Times New Roman" w:hAnsi="Times New Roman" w:cs="Times New Roman"/>
          <w:sz w:val="24"/>
          <w:szCs w:val="24"/>
        </w:rPr>
        <w:t>email reminde</w:t>
      </w:r>
      <w:r w:rsidR="00CA7300">
        <w:rPr>
          <w:rFonts w:ascii="Times New Roman" w:hAnsi="Times New Roman" w:cs="Times New Roman"/>
          <w:sz w:val="24"/>
          <w:szCs w:val="24"/>
        </w:rPr>
        <w:t>r</w:t>
      </w:r>
      <w:r w:rsidR="000D72EC">
        <w:rPr>
          <w:rFonts w:ascii="Times New Roman" w:hAnsi="Times New Roman" w:cs="Times New Roman"/>
          <w:sz w:val="24"/>
          <w:szCs w:val="24"/>
        </w:rPr>
        <w:t xml:space="preserve"> was sent </w:t>
      </w:r>
      <w:r w:rsidR="00C57DCD">
        <w:rPr>
          <w:rFonts w:ascii="Times New Roman" w:hAnsi="Times New Roman" w:cs="Times New Roman"/>
          <w:sz w:val="24"/>
          <w:szCs w:val="24"/>
        </w:rPr>
        <w:t xml:space="preserve">from </w:t>
      </w:r>
      <w:r w:rsidRPr="00834492" w:rsidR="00C57DCD">
        <w:rPr>
          <w:rFonts w:ascii="Times New Roman" w:hAnsi="Times New Roman" w:cs="Times New Roman"/>
          <w:sz w:val="24"/>
          <w:szCs w:val="24"/>
        </w:rPr>
        <w:t xml:space="preserve">EXIM’s Chair </w:t>
      </w:r>
      <w:r w:rsidRPr="00834492" w:rsidR="002165CB">
        <w:rPr>
          <w:rFonts w:ascii="Times New Roman" w:hAnsi="Times New Roman" w:cs="Times New Roman"/>
          <w:sz w:val="24"/>
          <w:szCs w:val="24"/>
        </w:rPr>
        <w:t xml:space="preserve">to those who had not responded by the </w:t>
      </w:r>
      <w:r w:rsidRPr="00834492" w:rsidR="00F514F0">
        <w:rPr>
          <w:rFonts w:ascii="Times New Roman" w:hAnsi="Times New Roman" w:cs="Times New Roman"/>
          <w:sz w:val="24"/>
          <w:szCs w:val="24"/>
        </w:rPr>
        <w:t xml:space="preserve">time the survey was scheduled to close. </w:t>
      </w:r>
      <w:r w:rsidRPr="00834492" w:rsidR="00F514F0">
        <w:rPr>
          <w:rFonts w:ascii="Times New Roman" w:hAnsi="Times New Roman" w:cs="Times New Roman"/>
          <w:sz w:val="24"/>
          <w:szCs w:val="24"/>
        </w:rPr>
        <w:t xml:space="preserve"> </w:t>
      </w:r>
      <w:r w:rsidRPr="00834492" w:rsidR="003C4242">
        <w:rPr>
          <w:rFonts w:ascii="Times New Roman" w:hAnsi="Times New Roman" w:cs="Times New Roman"/>
          <w:sz w:val="24"/>
          <w:szCs w:val="24"/>
        </w:rPr>
        <w:t>T</w:t>
      </w:r>
      <w:r w:rsidRPr="00834492" w:rsidR="003654FF">
        <w:rPr>
          <w:rFonts w:ascii="Times New Roman" w:hAnsi="Times New Roman" w:cs="Times New Roman"/>
          <w:sz w:val="24"/>
          <w:szCs w:val="24"/>
        </w:rPr>
        <w:t xml:space="preserve">his year, </w:t>
      </w:r>
      <w:r w:rsidRPr="00834492" w:rsidR="003C4242">
        <w:rPr>
          <w:rFonts w:ascii="Times New Roman" w:hAnsi="Times New Roman" w:cs="Times New Roman"/>
          <w:sz w:val="24"/>
          <w:szCs w:val="24"/>
        </w:rPr>
        <w:t xml:space="preserve">EXIM plans to </w:t>
      </w:r>
      <w:r w:rsidRPr="00834492" w:rsidR="00BB54C4">
        <w:rPr>
          <w:rFonts w:ascii="Times New Roman" w:hAnsi="Times New Roman" w:cs="Times New Roman"/>
          <w:sz w:val="24"/>
          <w:szCs w:val="24"/>
        </w:rPr>
        <w:t xml:space="preserve">send the survey only to </w:t>
      </w:r>
      <w:r w:rsidRPr="00834492" w:rsidR="00986313">
        <w:rPr>
          <w:rFonts w:ascii="Times New Roman" w:hAnsi="Times New Roman" w:cs="Times New Roman"/>
          <w:sz w:val="24"/>
          <w:szCs w:val="24"/>
        </w:rPr>
        <w:t xml:space="preserve">those entities </w:t>
      </w:r>
      <w:r w:rsidRPr="00834492" w:rsidR="003146AF">
        <w:rPr>
          <w:rFonts w:ascii="Times New Roman" w:hAnsi="Times New Roman" w:cs="Times New Roman"/>
          <w:sz w:val="24"/>
          <w:szCs w:val="24"/>
        </w:rPr>
        <w:t>with direct and relevant experience</w:t>
      </w:r>
      <w:r w:rsidR="00AD6F4B">
        <w:rPr>
          <w:rFonts w:ascii="Times New Roman" w:hAnsi="Times New Roman" w:cs="Times New Roman"/>
          <w:sz w:val="24"/>
          <w:szCs w:val="24"/>
        </w:rPr>
        <w:t xml:space="preserve"> with EXIM</w:t>
      </w:r>
      <w:r w:rsidRPr="00834492" w:rsidR="00A208D2">
        <w:rPr>
          <w:rFonts w:ascii="Times New Roman" w:hAnsi="Times New Roman" w:cs="Times New Roman"/>
          <w:sz w:val="24"/>
          <w:szCs w:val="24"/>
        </w:rPr>
        <w:t xml:space="preserve">.  </w:t>
      </w:r>
      <w:r w:rsidRPr="00834492" w:rsidR="00177D5D">
        <w:rPr>
          <w:rFonts w:ascii="Times New Roman" w:hAnsi="Times New Roman" w:cs="Times New Roman"/>
          <w:sz w:val="24"/>
          <w:szCs w:val="24"/>
        </w:rPr>
        <w:t xml:space="preserve">Additionally, </w:t>
      </w:r>
      <w:r w:rsidRPr="00834492" w:rsidR="00572415">
        <w:rPr>
          <w:rFonts w:ascii="Times New Roman" w:hAnsi="Times New Roman" w:cs="Times New Roman"/>
          <w:sz w:val="24"/>
          <w:szCs w:val="24"/>
        </w:rPr>
        <w:t>relationship officers</w:t>
      </w:r>
      <w:r w:rsidR="00572CFA">
        <w:rPr>
          <w:rFonts w:ascii="Times New Roman" w:hAnsi="Times New Roman" w:cs="Times New Roman"/>
          <w:sz w:val="24"/>
          <w:szCs w:val="24"/>
        </w:rPr>
        <w:t xml:space="preserve"> will be involved earlier in the process and </w:t>
      </w:r>
      <w:r w:rsidR="008F49F1">
        <w:rPr>
          <w:rFonts w:ascii="Times New Roman" w:hAnsi="Times New Roman" w:cs="Times New Roman"/>
          <w:sz w:val="24"/>
          <w:szCs w:val="24"/>
        </w:rPr>
        <w:t>staff will work with them</w:t>
      </w:r>
      <w:r w:rsidR="008E0D8D">
        <w:rPr>
          <w:rFonts w:ascii="Times New Roman" w:hAnsi="Times New Roman" w:cs="Times New Roman"/>
          <w:sz w:val="24"/>
          <w:szCs w:val="24"/>
        </w:rPr>
        <w:t xml:space="preserve"> </w:t>
      </w:r>
      <w:r w:rsidR="008F49F1">
        <w:rPr>
          <w:rFonts w:ascii="Times New Roman" w:hAnsi="Times New Roman" w:cs="Times New Roman"/>
          <w:sz w:val="24"/>
          <w:szCs w:val="24"/>
        </w:rPr>
        <w:t xml:space="preserve">on </w:t>
      </w:r>
      <w:r w:rsidRPr="00834492" w:rsidR="003C4242">
        <w:rPr>
          <w:rFonts w:ascii="Times New Roman" w:hAnsi="Times New Roman" w:cs="Times New Roman"/>
          <w:sz w:val="24"/>
          <w:szCs w:val="24"/>
        </w:rPr>
        <w:t xml:space="preserve">personal </w:t>
      </w:r>
      <w:r w:rsidRPr="00834492" w:rsidR="00E91C0B">
        <w:rPr>
          <w:rFonts w:ascii="Times New Roman" w:hAnsi="Times New Roman" w:cs="Times New Roman"/>
          <w:sz w:val="24"/>
          <w:szCs w:val="24"/>
        </w:rPr>
        <w:t>follow-up</w:t>
      </w:r>
      <w:r w:rsidR="009B0064">
        <w:rPr>
          <w:rFonts w:ascii="Times New Roman" w:hAnsi="Times New Roman" w:cs="Times New Roman"/>
          <w:sz w:val="24"/>
          <w:szCs w:val="24"/>
        </w:rPr>
        <w:t xml:space="preserve"> </w:t>
      </w:r>
      <w:r w:rsidRPr="237531B3" w:rsidR="00E6563B">
        <w:rPr>
          <w:rFonts w:ascii="Times New Roman" w:hAnsi="Times New Roman" w:cs="Times New Roman"/>
          <w:sz w:val="24"/>
          <w:szCs w:val="24"/>
        </w:rPr>
        <w:t>for</w:t>
      </w:r>
      <w:r w:rsidRPr="237531B3" w:rsidR="009B0064">
        <w:rPr>
          <w:rFonts w:ascii="Times New Roman" w:hAnsi="Times New Roman" w:cs="Times New Roman"/>
          <w:sz w:val="24"/>
          <w:szCs w:val="24"/>
        </w:rPr>
        <w:t xml:space="preserve"> </w:t>
      </w:r>
      <w:r w:rsidR="009B0064">
        <w:rPr>
          <w:rFonts w:ascii="Times New Roman" w:hAnsi="Times New Roman" w:cs="Times New Roman"/>
          <w:sz w:val="24"/>
          <w:szCs w:val="24"/>
        </w:rPr>
        <w:t xml:space="preserve">those </w:t>
      </w:r>
      <w:r w:rsidRPr="237531B3" w:rsidR="00354F66">
        <w:rPr>
          <w:rFonts w:ascii="Times New Roman" w:hAnsi="Times New Roman" w:cs="Times New Roman"/>
          <w:sz w:val="24"/>
          <w:szCs w:val="24"/>
        </w:rPr>
        <w:t>who</w:t>
      </w:r>
      <w:r w:rsidRPr="00834492" w:rsidR="001A4730">
        <w:rPr>
          <w:rFonts w:ascii="Times New Roman" w:hAnsi="Times New Roman" w:cs="Times New Roman"/>
          <w:sz w:val="24"/>
          <w:szCs w:val="24"/>
        </w:rPr>
        <w:t xml:space="preserve"> have not </w:t>
      </w:r>
      <w:r w:rsidRPr="00834492" w:rsidR="00354F66">
        <w:rPr>
          <w:rFonts w:ascii="Times New Roman" w:hAnsi="Times New Roman" w:cs="Times New Roman"/>
          <w:sz w:val="24"/>
          <w:szCs w:val="24"/>
        </w:rPr>
        <w:t>responded</w:t>
      </w:r>
      <w:r w:rsidRPr="00834492" w:rsidR="003C4242">
        <w:rPr>
          <w:rFonts w:ascii="Times New Roman" w:hAnsi="Times New Roman" w:cs="Times New Roman"/>
          <w:sz w:val="24"/>
          <w:szCs w:val="24"/>
        </w:rPr>
        <w:t xml:space="preserve"> during the initial response period</w:t>
      </w:r>
      <w:r w:rsidRPr="00834492" w:rsidR="00354F66">
        <w:rPr>
          <w:rFonts w:ascii="Times New Roman" w:hAnsi="Times New Roman" w:cs="Times New Roman"/>
          <w:sz w:val="24"/>
          <w:szCs w:val="24"/>
        </w:rPr>
        <w:t>.</w:t>
      </w:r>
      <w:r w:rsidR="00354F66">
        <w:rPr>
          <w:rFonts w:ascii="Times New Roman" w:hAnsi="Times New Roman" w:cs="Times New Roman"/>
          <w:sz w:val="24"/>
          <w:szCs w:val="24"/>
        </w:rPr>
        <w:t xml:space="preserve">  </w:t>
      </w:r>
      <w:r w:rsidR="00343FE3">
        <w:rPr>
          <w:rFonts w:ascii="Times New Roman" w:hAnsi="Times New Roman" w:cs="Times New Roman"/>
          <w:sz w:val="24"/>
          <w:szCs w:val="24"/>
        </w:rPr>
        <w:t xml:space="preserve"> </w:t>
      </w:r>
      <w:r w:rsidRPr="00647DF1">
        <w:rPr>
          <w:rFonts w:ascii="Times New Roman" w:hAnsi="Times New Roman" w:cs="Times New Roman"/>
          <w:sz w:val="24"/>
          <w:szCs w:val="24"/>
        </w:rPr>
        <w:t xml:space="preserve"> </w:t>
      </w:r>
    </w:p>
    <w:p w:rsidR="00B37EC9" w:rsidRPr="00647DF1" w:rsidP="00B37EC9" w14:paraId="09B0FA53" w14:textId="77777777">
      <w:pPr>
        <w:autoSpaceDE w:val="0"/>
        <w:autoSpaceDN w:val="0"/>
        <w:adjustRightInd w:val="0"/>
      </w:pPr>
    </w:p>
    <w:p w:rsidR="00C07A04" w:rsidRPr="00647DF1" w:rsidP="00574022" w14:paraId="713EAAAB" w14:textId="582BABA7">
      <w:pPr>
        <w:pStyle w:val="ListParagraph"/>
        <w:numPr>
          <w:ilvl w:val="0"/>
          <w:numId w:val="7"/>
        </w:numPr>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r w:rsidR="00803537">
        <w:rPr>
          <w:rFonts w:ascii="Times New Roman" w:hAnsi="Times New Roman" w:cs="Times New Roman"/>
          <w:sz w:val="24"/>
          <w:szCs w:val="24"/>
        </w:rPr>
        <w:t xml:space="preserve"> </w:t>
      </w:r>
      <w:r w:rsidRPr="00647DF1">
        <w:rPr>
          <w:rFonts w:ascii="Times New Roman" w:hAnsi="Times New Roman" w:cs="Times New Roman"/>
          <w:sz w:val="24"/>
          <w:szCs w:val="24"/>
        </w:rPr>
        <w:br/>
      </w:r>
    </w:p>
    <w:p w:rsidR="005E7176" w:rsidRPr="00647DF1" w:rsidP="00C07A04" w14:paraId="3DBE8680" w14:textId="68A92A7B">
      <w:pPr>
        <w:pStyle w:val="ListParagraph"/>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 xml:space="preserve">No further testing of the procedures or methods </w:t>
      </w:r>
      <w:r w:rsidR="000B33B7">
        <w:rPr>
          <w:rFonts w:ascii="Times New Roman" w:hAnsi="Times New Roman" w:cs="Times New Roman"/>
          <w:sz w:val="24"/>
          <w:szCs w:val="24"/>
        </w:rPr>
        <w:t xml:space="preserve">are </w:t>
      </w:r>
      <w:r w:rsidRPr="00647DF1">
        <w:rPr>
          <w:rFonts w:ascii="Times New Roman" w:hAnsi="Times New Roman" w:cs="Times New Roman"/>
          <w:sz w:val="24"/>
          <w:szCs w:val="24"/>
        </w:rPr>
        <w:t xml:space="preserve">necessary </w:t>
      </w:r>
      <w:r w:rsidRPr="00647DF1">
        <w:rPr>
          <w:rFonts w:ascii="Times New Roman" w:hAnsi="Times New Roman" w:cs="Times New Roman"/>
          <w:sz w:val="24"/>
          <w:szCs w:val="24"/>
        </w:rPr>
        <w:t>at this time</w:t>
      </w:r>
      <w:r w:rsidRPr="00647DF1">
        <w:rPr>
          <w:rFonts w:ascii="Times New Roman" w:hAnsi="Times New Roman" w:cs="Times New Roman"/>
          <w:sz w:val="24"/>
          <w:szCs w:val="24"/>
        </w:rPr>
        <w:t xml:space="preserve">. </w:t>
      </w:r>
      <w:r w:rsidR="003473F9">
        <w:rPr>
          <w:rFonts w:ascii="Times New Roman" w:hAnsi="Times New Roman" w:cs="Times New Roman"/>
          <w:sz w:val="24"/>
          <w:szCs w:val="24"/>
        </w:rPr>
        <w:t>The exporters</w:t>
      </w:r>
      <w:r w:rsidR="00364F81">
        <w:rPr>
          <w:rFonts w:ascii="Times New Roman" w:hAnsi="Times New Roman" w:cs="Times New Roman"/>
          <w:sz w:val="24"/>
          <w:szCs w:val="24"/>
        </w:rPr>
        <w:t xml:space="preserve"> and </w:t>
      </w:r>
      <w:r w:rsidR="00F14804">
        <w:rPr>
          <w:rFonts w:ascii="Times New Roman" w:hAnsi="Times New Roman" w:cs="Times New Roman"/>
          <w:sz w:val="24"/>
          <w:szCs w:val="24"/>
        </w:rPr>
        <w:t xml:space="preserve">lenders </w:t>
      </w:r>
      <w:r w:rsidR="003473F9">
        <w:rPr>
          <w:rFonts w:ascii="Times New Roman" w:hAnsi="Times New Roman" w:cs="Times New Roman"/>
          <w:sz w:val="24"/>
          <w:szCs w:val="24"/>
        </w:rPr>
        <w:t>that use EXIM’s medium</w:t>
      </w:r>
      <w:r w:rsidR="00542EBD">
        <w:rPr>
          <w:rFonts w:ascii="Times New Roman" w:hAnsi="Times New Roman" w:cs="Times New Roman"/>
          <w:sz w:val="24"/>
          <w:szCs w:val="24"/>
        </w:rPr>
        <w:t>-</w:t>
      </w:r>
      <w:r w:rsidR="003473F9">
        <w:rPr>
          <w:rFonts w:ascii="Times New Roman" w:hAnsi="Times New Roman" w:cs="Times New Roman"/>
          <w:sz w:val="24"/>
          <w:szCs w:val="24"/>
        </w:rPr>
        <w:t xml:space="preserve"> and long</w:t>
      </w:r>
      <w:r w:rsidR="00542EBD">
        <w:rPr>
          <w:rFonts w:ascii="Times New Roman" w:hAnsi="Times New Roman" w:cs="Times New Roman"/>
          <w:sz w:val="24"/>
          <w:szCs w:val="24"/>
        </w:rPr>
        <w:t>-</w:t>
      </w:r>
      <w:r w:rsidR="003473F9">
        <w:rPr>
          <w:rFonts w:ascii="Times New Roman" w:hAnsi="Times New Roman" w:cs="Times New Roman"/>
          <w:sz w:val="24"/>
          <w:szCs w:val="24"/>
        </w:rPr>
        <w:t xml:space="preserve"> term programs are generally repeat customers.  </w:t>
      </w:r>
      <w:r w:rsidRPr="00647DF1">
        <w:rPr>
          <w:rFonts w:ascii="Times New Roman" w:hAnsi="Times New Roman" w:cs="Times New Roman"/>
          <w:sz w:val="24"/>
          <w:szCs w:val="24"/>
        </w:rPr>
        <w:t>The</w:t>
      </w:r>
      <w:r w:rsidR="003473F9">
        <w:rPr>
          <w:rFonts w:ascii="Times New Roman" w:hAnsi="Times New Roman" w:cs="Times New Roman"/>
          <w:sz w:val="24"/>
          <w:szCs w:val="24"/>
        </w:rPr>
        <w:t xml:space="preserve">y are familiar with the survey process and terminology used in the survey. </w:t>
      </w:r>
      <w:r w:rsidRPr="00647DF1">
        <w:rPr>
          <w:rFonts w:ascii="Times New Roman" w:hAnsi="Times New Roman" w:cs="Times New Roman"/>
          <w:sz w:val="24"/>
          <w:szCs w:val="24"/>
        </w:rPr>
        <w:t xml:space="preserve"> </w:t>
      </w:r>
      <w:r w:rsidRPr="00647DF1">
        <w:rPr>
          <w:rFonts w:ascii="Times New Roman" w:hAnsi="Times New Roman" w:cs="Times New Roman"/>
          <w:sz w:val="24"/>
          <w:szCs w:val="24"/>
        </w:rPr>
        <w:t xml:space="preserve">If current cycle respondents indicate that the survey burden is problematic, </w:t>
      </w:r>
      <w:r w:rsidRPr="00647DF1" w:rsidR="007F6A75">
        <w:rPr>
          <w:rFonts w:ascii="Times New Roman" w:hAnsi="Times New Roman" w:cs="Times New Roman"/>
          <w:sz w:val="24"/>
          <w:szCs w:val="24"/>
        </w:rPr>
        <w:t>the</w:t>
      </w:r>
      <w:r w:rsidRPr="00647DF1">
        <w:rPr>
          <w:rFonts w:ascii="Times New Roman" w:hAnsi="Times New Roman" w:cs="Times New Roman"/>
          <w:sz w:val="24"/>
          <w:szCs w:val="24"/>
        </w:rPr>
        <w:t xml:space="preserve"> Bank will respond to this feedback and </w:t>
      </w:r>
      <w:r w:rsidR="003473F9">
        <w:rPr>
          <w:rFonts w:ascii="Times New Roman" w:hAnsi="Times New Roman" w:cs="Times New Roman"/>
          <w:sz w:val="24"/>
          <w:szCs w:val="24"/>
        </w:rPr>
        <w:t>amend any problematic</w:t>
      </w:r>
      <w:r w:rsidR="004121CB">
        <w:rPr>
          <w:rFonts w:ascii="Times New Roman" w:hAnsi="Times New Roman" w:cs="Times New Roman"/>
          <w:sz w:val="24"/>
          <w:szCs w:val="24"/>
        </w:rPr>
        <w:t xml:space="preserve"> or unnecessary questions</w:t>
      </w:r>
      <w:r w:rsidRPr="00647DF1">
        <w:rPr>
          <w:rFonts w:ascii="Times New Roman" w:hAnsi="Times New Roman" w:cs="Times New Roman"/>
          <w:sz w:val="24"/>
          <w:szCs w:val="24"/>
        </w:rPr>
        <w:t>.</w:t>
      </w:r>
    </w:p>
    <w:p w:rsidR="00B37EC9" w:rsidRPr="00647DF1" w:rsidP="00B37EC9" w14:paraId="521094B2" w14:textId="5F3767E9">
      <w:pPr>
        <w:autoSpaceDE w:val="0"/>
        <w:autoSpaceDN w:val="0"/>
        <w:adjustRightInd w:val="0"/>
      </w:pPr>
    </w:p>
    <w:p w:rsidR="00B37EC9" w:rsidRPr="00647DF1" w:rsidP="00B37EC9" w14:paraId="6125415C" w14:textId="77777777">
      <w:pPr>
        <w:pStyle w:val="ListParagraph"/>
        <w:numPr>
          <w:ilvl w:val="0"/>
          <w:numId w:val="7"/>
        </w:numPr>
        <w:autoSpaceDE w:val="0"/>
        <w:autoSpaceDN w:val="0"/>
        <w:adjustRightInd w:val="0"/>
        <w:spacing w:after="0"/>
        <w:ind w:left="360"/>
        <w:rPr>
          <w:rFonts w:ascii="Times New Roman" w:hAnsi="Times New Roman" w:cs="Times New Roman"/>
          <w:sz w:val="24"/>
          <w:szCs w:val="24"/>
        </w:rPr>
      </w:pPr>
      <w:r w:rsidRPr="00647DF1">
        <w:rPr>
          <w:rFonts w:ascii="Times New Roman" w:hAnsi="Times New Roman" w:cs="Times New Roman"/>
          <w:sz w:val="24"/>
          <w:szCs w:val="24"/>
        </w:rPr>
        <w:t xml:space="preserve">Provide the name and telephone number of individuals consulted on statistical aspects of the design and the name of the agency unit, contractor(s), grantee(s), or other person(s) who will </w:t>
      </w:r>
      <w:r w:rsidRPr="00647DF1">
        <w:rPr>
          <w:rFonts w:ascii="Times New Roman" w:hAnsi="Times New Roman" w:cs="Times New Roman"/>
          <w:sz w:val="24"/>
          <w:szCs w:val="24"/>
        </w:rPr>
        <w:t>actually collect</w:t>
      </w:r>
      <w:r w:rsidRPr="00647DF1">
        <w:rPr>
          <w:rFonts w:ascii="Times New Roman" w:hAnsi="Times New Roman" w:cs="Times New Roman"/>
          <w:sz w:val="24"/>
          <w:szCs w:val="24"/>
        </w:rPr>
        <w:t xml:space="preserve"> and/or analyze the information for the agency.</w:t>
      </w:r>
    </w:p>
    <w:p w:rsidR="00B37EC9" w:rsidRPr="00647DF1" w:rsidP="00B37EC9" w14:paraId="6D49584F" w14:textId="77777777"/>
    <w:p w:rsidR="00DC5422" w:rsidP="00DC5422" w14:paraId="7DD5FC27" w14:textId="77777777">
      <w:pPr>
        <w:ind w:left="360"/>
      </w:pPr>
      <w:r>
        <w:t>Jessica Ernst</w:t>
      </w:r>
    </w:p>
    <w:p w:rsidR="00803537" w:rsidRPr="00803537" w:rsidP="00DC5422" w14:paraId="70A6E079" w14:textId="6E9B58B0">
      <w:pPr>
        <w:ind w:left="360"/>
      </w:pPr>
      <w:r>
        <w:t xml:space="preserve">Senior </w:t>
      </w:r>
      <w:r w:rsidRPr="00803537">
        <w:t xml:space="preserve">Policy Analyst, </w:t>
      </w:r>
      <w:r w:rsidR="000F79D6">
        <w:t xml:space="preserve">Office of Policy </w:t>
      </w:r>
      <w:r w:rsidR="000F79D6">
        <w:t>Analysis</w:t>
      </w:r>
      <w:r w:rsidR="000F79D6">
        <w:t xml:space="preserve"> and </w:t>
      </w:r>
      <w:r w:rsidRPr="00803537">
        <w:t>International Relations</w:t>
      </w:r>
    </w:p>
    <w:p w:rsidR="00803537" w:rsidRPr="00803537" w:rsidP="00DC5422" w14:paraId="4CFE7B1E" w14:textId="28218423">
      <w:pPr>
        <w:ind w:left="360"/>
      </w:pPr>
      <w:r w:rsidRPr="00803537">
        <w:t>Export-Import Bank of the United States</w:t>
      </w:r>
    </w:p>
    <w:p w:rsidR="00803537" w:rsidP="00DC5422" w14:paraId="00241B77" w14:textId="5F4D2F9A">
      <w:pPr>
        <w:ind w:left="360"/>
      </w:pPr>
      <w:r w:rsidRPr="00803537">
        <w:t>202.</w:t>
      </w:r>
      <w:r w:rsidR="006251C1">
        <w:t>565</w:t>
      </w:r>
      <w:r w:rsidRPr="00803537">
        <w:t>.</w:t>
      </w:r>
      <w:r w:rsidR="006251C1">
        <w:t>3711</w:t>
      </w:r>
    </w:p>
    <w:p w:rsidR="000F79D6" w:rsidRPr="00803537" w:rsidP="00DC5422" w14:paraId="386EEDB1" w14:textId="61078A09">
      <w:pPr>
        <w:ind w:left="360"/>
      </w:pPr>
      <w:r>
        <w:t>Jessica.Ernst@</w:t>
      </w:r>
      <w:r w:rsidR="00885573">
        <w:t>Exim.gov</w:t>
      </w:r>
    </w:p>
    <w:sectPr w:rsidSect="006C4EB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B2046A"/>
    <w:multiLevelType w:val="hybridMultilevel"/>
    <w:tmpl w:val="1D0EEB46"/>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
    <w:nsid w:val="283813BF"/>
    <w:multiLevelType w:val="hybridMultilevel"/>
    <w:tmpl w:val="FBC088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
    <w:nsid w:val="2FC43A81"/>
    <w:multiLevelType w:val="hybridMultilevel"/>
    <w:tmpl w:val="441AF4EA"/>
    <w:lvl w:ilvl="0">
      <w:start w:val="1"/>
      <w:numFmt w:val="decimal"/>
      <w:lvlText w:val="%1)"/>
      <w:lvlJc w:val="left"/>
      <w:pPr>
        <w:ind w:left="720" w:hanging="360"/>
      </w:pPr>
      <w:rPr>
        <w:rFonts w:hint="default"/>
        <w:b w:val="0"/>
        <w:color w:val="auto"/>
      </w:rPr>
    </w:lvl>
    <w:lvl w:ilvl="1">
      <w:start w:val="1"/>
      <w:numFmt w:val="bullet"/>
      <w:lvlText w:val=""/>
      <w:lvlJc w:val="left"/>
      <w:pPr>
        <w:ind w:left="1440" w:hanging="360"/>
      </w:pPr>
      <w:rPr>
        <w:rFonts w:ascii="Symbol" w:hAnsi="Symbol"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D8F49EC"/>
    <w:multiLevelType w:val="hybridMultilevel"/>
    <w:tmpl w:val="6BF073BC"/>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588D660C"/>
    <w:multiLevelType w:val="hybridMultilevel"/>
    <w:tmpl w:val="8212646E"/>
    <w:lvl w:ilvl="0">
      <w:start w:val="1"/>
      <w:numFmt w:val="decimal"/>
      <w:lvlText w:val="%1)"/>
      <w:lvlJc w:val="left"/>
      <w:pPr>
        <w:ind w:left="720" w:hanging="360"/>
      </w:pPr>
      <w:rPr>
        <w:rFonts w:hint="default"/>
        <w:b w:val="0"/>
        <w:color w:val="auto"/>
      </w:rPr>
    </w:lvl>
    <w:lvl w:ilvl="1">
      <w:start w:val="1"/>
      <w:numFmt w:val="bullet"/>
      <w:lvlText w:val=""/>
      <w:lvlJc w:val="left"/>
      <w:pPr>
        <w:ind w:left="1440" w:hanging="360"/>
      </w:pPr>
      <w:rPr>
        <w:rFonts w:ascii="Symbol" w:hAnsi="Symbol" w:hint="default"/>
        <w:color w:val="auto"/>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5C1268AC"/>
    <w:multiLevelType w:val="hybridMultilevel"/>
    <w:tmpl w:val="DCD8CA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5EB17173"/>
    <w:multiLevelType w:val="hybridMultilevel"/>
    <w:tmpl w:val="CDD05E90"/>
    <w:lvl w:ilvl="0">
      <w:start w:val="1"/>
      <w:numFmt w:val="decimal"/>
      <w:lvlText w:val="%1)"/>
      <w:lvlJc w:val="left"/>
      <w:pPr>
        <w:ind w:left="720" w:hanging="360"/>
      </w:pPr>
      <w:rPr>
        <w:rFonts w:hint="default"/>
        <w:b w:val="0"/>
        <w:color w:val="auto"/>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517234932">
    <w:abstractNumId w:val="3"/>
  </w:num>
  <w:num w:numId="2" w16cid:durableId="1129862182">
    <w:abstractNumId w:val="1"/>
  </w:num>
  <w:num w:numId="3" w16cid:durableId="2117822922">
    <w:abstractNumId w:val="6"/>
  </w:num>
  <w:num w:numId="4" w16cid:durableId="2136025372">
    <w:abstractNumId w:val="4"/>
  </w:num>
  <w:num w:numId="5" w16cid:durableId="537861784">
    <w:abstractNumId w:val="2"/>
  </w:num>
  <w:num w:numId="6" w16cid:durableId="2040347786">
    <w:abstractNumId w:val="0"/>
  </w:num>
  <w:num w:numId="7" w16cid:durableId="89215484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72"/>
    <w:rsid w:val="00001EF5"/>
    <w:rsid w:val="00005721"/>
    <w:rsid w:val="00007A59"/>
    <w:rsid w:val="00011305"/>
    <w:rsid w:val="000171BC"/>
    <w:rsid w:val="00017309"/>
    <w:rsid w:val="00027AEB"/>
    <w:rsid w:val="0003206B"/>
    <w:rsid w:val="00043102"/>
    <w:rsid w:val="00054E23"/>
    <w:rsid w:val="00071F40"/>
    <w:rsid w:val="00072C34"/>
    <w:rsid w:val="0007592D"/>
    <w:rsid w:val="00080330"/>
    <w:rsid w:val="00084D0B"/>
    <w:rsid w:val="000902F5"/>
    <w:rsid w:val="00094260"/>
    <w:rsid w:val="000A52B8"/>
    <w:rsid w:val="000A6C24"/>
    <w:rsid w:val="000B33B7"/>
    <w:rsid w:val="000B3D1D"/>
    <w:rsid w:val="000C17B7"/>
    <w:rsid w:val="000D07B3"/>
    <w:rsid w:val="000D72EC"/>
    <w:rsid w:val="000E2043"/>
    <w:rsid w:val="000E3F84"/>
    <w:rsid w:val="000E75BA"/>
    <w:rsid w:val="000F79D6"/>
    <w:rsid w:val="0010449B"/>
    <w:rsid w:val="00114CE3"/>
    <w:rsid w:val="001300F2"/>
    <w:rsid w:val="0013366B"/>
    <w:rsid w:val="001340FF"/>
    <w:rsid w:val="001705F3"/>
    <w:rsid w:val="00175A12"/>
    <w:rsid w:val="00177D5D"/>
    <w:rsid w:val="00181EEB"/>
    <w:rsid w:val="0018239F"/>
    <w:rsid w:val="001A4730"/>
    <w:rsid w:val="001A583D"/>
    <w:rsid w:val="001A7E79"/>
    <w:rsid w:val="001B1ADF"/>
    <w:rsid w:val="001C162E"/>
    <w:rsid w:val="001C3ABC"/>
    <w:rsid w:val="001C4488"/>
    <w:rsid w:val="001D48F8"/>
    <w:rsid w:val="001E4B5B"/>
    <w:rsid w:val="002108FE"/>
    <w:rsid w:val="00210CC7"/>
    <w:rsid w:val="00213874"/>
    <w:rsid w:val="002165CB"/>
    <w:rsid w:val="002171AD"/>
    <w:rsid w:val="00222ED6"/>
    <w:rsid w:val="00223776"/>
    <w:rsid w:val="00224BEB"/>
    <w:rsid w:val="00233422"/>
    <w:rsid w:val="00235460"/>
    <w:rsid w:val="00235893"/>
    <w:rsid w:val="00236F14"/>
    <w:rsid w:val="00240ADA"/>
    <w:rsid w:val="00251756"/>
    <w:rsid w:val="00267DBD"/>
    <w:rsid w:val="002823F4"/>
    <w:rsid w:val="00287867"/>
    <w:rsid w:val="002964F1"/>
    <w:rsid w:val="002A6797"/>
    <w:rsid w:val="002B6670"/>
    <w:rsid w:val="002D1729"/>
    <w:rsid w:val="002D362E"/>
    <w:rsid w:val="002D3A7A"/>
    <w:rsid w:val="002F1804"/>
    <w:rsid w:val="00301D7C"/>
    <w:rsid w:val="003123CA"/>
    <w:rsid w:val="003146AF"/>
    <w:rsid w:val="003238E8"/>
    <w:rsid w:val="003423FD"/>
    <w:rsid w:val="00343FE3"/>
    <w:rsid w:val="003469FB"/>
    <w:rsid w:val="003473F9"/>
    <w:rsid w:val="00354F66"/>
    <w:rsid w:val="003607EE"/>
    <w:rsid w:val="003627FF"/>
    <w:rsid w:val="00364F81"/>
    <w:rsid w:val="003654FF"/>
    <w:rsid w:val="003701C5"/>
    <w:rsid w:val="00372375"/>
    <w:rsid w:val="00376AB9"/>
    <w:rsid w:val="00381792"/>
    <w:rsid w:val="00384ADB"/>
    <w:rsid w:val="003902E5"/>
    <w:rsid w:val="003910E2"/>
    <w:rsid w:val="00395BAB"/>
    <w:rsid w:val="0039741B"/>
    <w:rsid w:val="003A1437"/>
    <w:rsid w:val="003B3709"/>
    <w:rsid w:val="003B7893"/>
    <w:rsid w:val="003C4242"/>
    <w:rsid w:val="003C4D83"/>
    <w:rsid w:val="003C5058"/>
    <w:rsid w:val="003C5864"/>
    <w:rsid w:val="003D69BE"/>
    <w:rsid w:val="003E7164"/>
    <w:rsid w:val="003F2399"/>
    <w:rsid w:val="003F54E3"/>
    <w:rsid w:val="003F5CCA"/>
    <w:rsid w:val="003F7B86"/>
    <w:rsid w:val="00410542"/>
    <w:rsid w:val="0041196D"/>
    <w:rsid w:val="00411B9D"/>
    <w:rsid w:val="004121CB"/>
    <w:rsid w:val="0042275F"/>
    <w:rsid w:val="00423B3A"/>
    <w:rsid w:val="004376A8"/>
    <w:rsid w:val="00455E33"/>
    <w:rsid w:val="004560F5"/>
    <w:rsid w:val="00461CC3"/>
    <w:rsid w:val="00467D0A"/>
    <w:rsid w:val="00473FF1"/>
    <w:rsid w:val="00491557"/>
    <w:rsid w:val="00493CAE"/>
    <w:rsid w:val="004958F4"/>
    <w:rsid w:val="004A0C1A"/>
    <w:rsid w:val="004B62CB"/>
    <w:rsid w:val="004B769F"/>
    <w:rsid w:val="004C0CC6"/>
    <w:rsid w:val="004C6A7C"/>
    <w:rsid w:val="004E31D8"/>
    <w:rsid w:val="004E4861"/>
    <w:rsid w:val="004E7528"/>
    <w:rsid w:val="004E7D9F"/>
    <w:rsid w:val="004F0892"/>
    <w:rsid w:val="004F4786"/>
    <w:rsid w:val="004F4E10"/>
    <w:rsid w:val="004F5874"/>
    <w:rsid w:val="00506A3E"/>
    <w:rsid w:val="00517FD9"/>
    <w:rsid w:val="0052551F"/>
    <w:rsid w:val="00525586"/>
    <w:rsid w:val="005268F7"/>
    <w:rsid w:val="0053160C"/>
    <w:rsid w:val="00533E76"/>
    <w:rsid w:val="00540127"/>
    <w:rsid w:val="00541079"/>
    <w:rsid w:val="00542EBD"/>
    <w:rsid w:val="00543DF4"/>
    <w:rsid w:val="0055010C"/>
    <w:rsid w:val="0055098D"/>
    <w:rsid w:val="00550995"/>
    <w:rsid w:val="005635B5"/>
    <w:rsid w:val="00565F1B"/>
    <w:rsid w:val="00572415"/>
    <w:rsid w:val="00572CFA"/>
    <w:rsid w:val="00573820"/>
    <w:rsid w:val="00574022"/>
    <w:rsid w:val="00574D7C"/>
    <w:rsid w:val="00575624"/>
    <w:rsid w:val="005804D7"/>
    <w:rsid w:val="0058050E"/>
    <w:rsid w:val="00585780"/>
    <w:rsid w:val="00590B41"/>
    <w:rsid w:val="005912E9"/>
    <w:rsid w:val="00591B54"/>
    <w:rsid w:val="005A2C13"/>
    <w:rsid w:val="005B7872"/>
    <w:rsid w:val="005C0956"/>
    <w:rsid w:val="005C569A"/>
    <w:rsid w:val="005C697B"/>
    <w:rsid w:val="005D1067"/>
    <w:rsid w:val="005D4AFE"/>
    <w:rsid w:val="005E26F2"/>
    <w:rsid w:val="005E7176"/>
    <w:rsid w:val="005E72B3"/>
    <w:rsid w:val="005F788A"/>
    <w:rsid w:val="006251C1"/>
    <w:rsid w:val="00632973"/>
    <w:rsid w:val="00635CA2"/>
    <w:rsid w:val="00640D40"/>
    <w:rsid w:val="00646D1E"/>
    <w:rsid w:val="00647DF1"/>
    <w:rsid w:val="006511F9"/>
    <w:rsid w:val="00653D96"/>
    <w:rsid w:val="006565E2"/>
    <w:rsid w:val="00663698"/>
    <w:rsid w:val="00666C1D"/>
    <w:rsid w:val="00677ABA"/>
    <w:rsid w:val="00685C4E"/>
    <w:rsid w:val="006A0A44"/>
    <w:rsid w:val="006A18F0"/>
    <w:rsid w:val="006A2B93"/>
    <w:rsid w:val="006A2DFB"/>
    <w:rsid w:val="006A6326"/>
    <w:rsid w:val="006B30D4"/>
    <w:rsid w:val="006B5671"/>
    <w:rsid w:val="006C30A2"/>
    <w:rsid w:val="006C3EAC"/>
    <w:rsid w:val="006C4EBE"/>
    <w:rsid w:val="006C614E"/>
    <w:rsid w:val="006C6832"/>
    <w:rsid w:val="006C780F"/>
    <w:rsid w:val="006D1774"/>
    <w:rsid w:val="006D315F"/>
    <w:rsid w:val="006E19B8"/>
    <w:rsid w:val="006F1EDB"/>
    <w:rsid w:val="006F2A40"/>
    <w:rsid w:val="006F78C9"/>
    <w:rsid w:val="00710586"/>
    <w:rsid w:val="00710C0D"/>
    <w:rsid w:val="00713C5A"/>
    <w:rsid w:val="00714F2C"/>
    <w:rsid w:val="007166A3"/>
    <w:rsid w:val="00721EC9"/>
    <w:rsid w:val="00734145"/>
    <w:rsid w:val="00740A7F"/>
    <w:rsid w:val="00740CA3"/>
    <w:rsid w:val="00751CD1"/>
    <w:rsid w:val="00752618"/>
    <w:rsid w:val="007555B2"/>
    <w:rsid w:val="007555D3"/>
    <w:rsid w:val="00757934"/>
    <w:rsid w:val="007600FE"/>
    <w:rsid w:val="00761CA8"/>
    <w:rsid w:val="00763800"/>
    <w:rsid w:val="007724E6"/>
    <w:rsid w:val="00776834"/>
    <w:rsid w:val="00776B2E"/>
    <w:rsid w:val="00777690"/>
    <w:rsid w:val="0079347B"/>
    <w:rsid w:val="00796037"/>
    <w:rsid w:val="007A2EE3"/>
    <w:rsid w:val="007B2738"/>
    <w:rsid w:val="007C06F1"/>
    <w:rsid w:val="007C27A2"/>
    <w:rsid w:val="007D0200"/>
    <w:rsid w:val="007D447F"/>
    <w:rsid w:val="007F6A75"/>
    <w:rsid w:val="00803537"/>
    <w:rsid w:val="0082307F"/>
    <w:rsid w:val="008308FD"/>
    <w:rsid w:val="00834492"/>
    <w:rsid w:val="00855734"/>
    <w:rsid w:val="008559B1"/>
    <w:rsid w:val="008714F2"/>
    <w:rsid w:val="00872829"/>
    <w:rsid w:val="00873AC5"/>
    <w:rsid w:val="00877228"/>
    <w:rsid w:val="008779E4"/>
    <w:rsid w:val="00885573"/>
    <w:rsid w:val="00892999"/>
    <w:rsid w:val="00896F01"/>
    <w:rsid w:val="008A1B43"/>
    <w:rsid w:val="008A36B3"/>
    <w:rsid w:val="008B0058"/>
    <w:rsid w:val="008C530C"/>
    <w:rsid w:val="008D1727"/>
    <w:rsid w:val="008E0D8D"/>
    <w:rsid w:val="008E29D5"/>
    <w:rsid w:val="008E7973"/>
    <w:rsid w:val="008F49F1"/>
    <w:rsid w:val="0090155A"/>
    <w:rsid w:val="00913167"/>
    <w:rsid w:val="009212E5"/>
    <w:rsid w:val="00922B59"/>
    <w:rsid w:val="009230FC"/>
    <w:rsid w:val="009313B4"/>
    <w:rsid w:val="00946478"/>
    <w:rsid w:val="00947F1C"/>
    <w:rsid w:val="009501D0"/>
    <w:rsid w:val="00963BD9"/>
    <w:rsid w:val="0097399A"/>
    <w:rsid w:val="009813CC"/>
    <w:rsid w:val="00981871"/>
    <w:rsid w:val="00986313"/>
    <w:rsid w:val="0098634A"/>
    <w:rsid w:val="009A2BD3"/>
    <w:rsid w:val="009B0064"/>
    <w:rsid w:val="009B79FF"/>
    <w:rsid w:val="009C58E2"/>
    <w:rsid w:val="009D2B8F"/>
    <w:rsid w:val="009D2EDE"/>
    <w:rsid w:val="00A00AC5"/>
    <w:rsid w:val="00A02AA6"/>
    <w:rsid w:val="00A04606"/>
    <w:rsid w:val="00A172B0"/>
    <w:rsid w:val="00A208D2"/>
    <w:rsid w:val="00A226E2"/>
    <w:rsid w:val="00A23632"/>
    <w:rsid w:val="00A26E8B"/>
    <w:rsid w:val="00A26EBD"/>
    <w:rsid w:val="00A30823"/>
    <w:rsid w:val="00A30B0D"/>
    <w:rsid w:val="00A31B6F"/>
    <w:rsid w:val="00A43B6D"/>
    <w:rsid w:val="00A458C0"/>
    <w:rsid w:val="00A4722D"/>
    <w:rsid w:val="00A744F7"/>
    <w:rsid w:val="00A85D9C"/>
    <w:rsid w:val="00A9664C"/>
    <w:rsid w:val="00A97965"/>
    <w:rsid w:val="00AA11B9"/>
    <w:rsid w:val="00AA3E65"/>
    <w:rsid w:val="00AA470E"/>
    <w:rsid w:val="00AB687B"/>
    <w:rsid w:val="00AB6DD0"/>
    <w:rsid w:val="00AB7BF3"/>
    <w:rsid w:val="00AD1D5E"/>
    <w:rsid w:val="00AD3D36"/>
    <w:rsid w:val="00AD6F4B"/>
    <w:rsid w:val="00AE3DD2"/>
    <w:rsid w:val="00AE4860"/>
    <w:rsid w:val="00AF0B2B"/>
    <w:rsid w:val="00AF4E5C"/>
    <w:rsid w:val="00B002DF"/>
    <w:rsid w:val="00B07C7D"/>
    <w:rsid w:val="00B33EE3"/>
    <w:rsid w:val="00B37EC9"/>
    <w:rsid w:val="00B503B7"/>
    <w:rsid w:val="00B503D9"/>
    <w:rsid w:val="00B6163F"/>
    <w:rsid w:val="00B65EB8"/>
    <w:rsid w:val="00B72E28"/>
    <w:rsid w:val="00B73FF6"/>
    <w:rsid w:val="00B76F2A"/>
    <w:rsid w:val="00B81648"/>
    <w:rsid w:val="00B83302"/>
    <w:rsid w:val="00B910A8"/>
    <w:rsid w:val="00B91D41"/>
    <w:rsid w:val="00B97A37"/>
    <w:rsid w:val="00BA47D2"/>
    <w:rsid w:val="00BA716C"/>
    <w:rsid w:val="00BB3874"/>
    <w:rsid w:val="00BB4E10"/>
    <w:rsid w:val="00BB54C4"/>
    <w:rsid w:val="00BC4945"/>
    <w:rsid w:val="00BC78BB"/>
    <w:rsid w:val="00BD27A0"/>
    <w:rsid w:val="00BD604B"/>
    <w:rsid w:val="00BE261B"/>
    <w:rsid w:val="00BF006A"/>
    <w:rsid w:val="00BF5101"/>
    <w:rsid w:val="00C07A04"/>
    <w:rsid w:val="00C154ED"/>
    <w:rsid w:val="00C16552"/>
    <w:rsid w:val="00C30F43"/>
    <w:rsid w:val="00C34FA0"/>
    <w:rsid w:val="00C42EFD"/>
    <w:rsid w:val="00C57DCD"/>
    <w:rsid w:val="00C6442C"/>
    <w:rsid w:val="00C83961"/>
    <w:rsid w:val="00C90327"/>
    <w:rsid w:val="00C937A5"/>
    <w:rsid w:val="00C94B9B"/>
    <w:rsid w:val="00C9783E"/>
    <w:rsid w:val="00CA1E1D"/>
    <w:rsid w:val="00CA7300"/>
    <w:rsid w:val="00CC01B0"/>
    <w:rsid w:val="00CC172A"/>
    <w:rsid w:val="00CC17FC"/>
    <w:rsid w:val="00CC3351"/>
    <w:rsid w:val="00CC64BB"/>
    <w:rsid w:val="00CC7250"/>
    <w:rsid w:val="00CC752B"/>
    <w:rsid w:val="00CD0913"/>
    <w:rsid w:val="00CD6034"/>
    <w:rsid w:val="00CE081E"/>
    <w:rsid w:val="00CE32B8"/>
    <w:rsid w:val="00CE46C4"/>
    <w:rsid w:val="00CE49ED"/>
    <w:rsid w:val="00CE5762"/>
    <w:rsid w:val="00CF5E31"/>
    <w:rsid w:val="00CF6B0C"/>
    <w:rsid w:val="00CF6FEE"/>
    <w:rsid w:val="00D16B9C"/>
    <w:rsid w:val="00D32956"/>
    <w:rsid w:val="00D34C75"/>
    <w:rsid w:val="00D37283"/>
    <w:rsid w:val="00D5729C"/>
    <w:rsid w:val="00D640D3"/>
    <w:rsid w:val="00D70102"/>
    <w:rsid w:val="00D7397B"/>
    <w:rsid w:val="00D82AED"/>
    <w:rsid w:val="00D90795"/>
    <w:rsid w:val="00D9284B"/>
    <w:rsid w:val="00D93C98"/>
    <w:rsid w:val="00DC4262"/>
    <w:rsid w:val="00DC43A2"/>
    <w:rsid w:val="00DC5422"/>
    <w:rsid w:val="00DC66C7"/>
    <w:rsid w:val="00DD2214"/>
    <w:rsid w:val="00DD291B"/>
    <w:rsid w:val="00DD6CA3"/>
    <w:rsid w:val="00DF14EC"/>
    <w:rsid w:val="00E03DCE"/>
    <w:rsid w:val="00E10572"/>
    <w:rsid w:val="00E14F9A"/>
    <w:rsid w:val="00E162E0"/>
    <w:rsid w:val="00E23DD5"/>
    <w:rsid w:val="00E353AE"/>
    <w:rsid w:val="00E40BDF"/>
    <w:rsid w:val="00E547DA"/>
    <w:rsid w:val="00E6563B"/>
    <w:rsid w:val="00E676CF"/>
    <w:rsid w:val="00E778C1"/>
    <w:rsid w:val="00E82551"/>
    <w:rsid w:val="00E852AB"/>
    <w:rsid w:val="00E91C0B"/>
    <w:rsid w:val="00EC22A7"/>
    <w:rsid w:val="00EF7F68"/>
    <w:rsid w:val="00F00007"/>
    <w:rsid w:val="00F05F01"/>
    <w:rsid w:val="00F14804"/>
    <w:rsid w:val="00F25A7F"/>
    <w:rsid w:val="00F30661"/>
    <w:rsid w:val="00F37C5E"/>
    <w:rsid w:val="00F446E1"/>
    <w:rsid w:val="00F501DE"/>
    <w:rsid w:val="00F514F0"/>
    <w:rsid w:val="00F651D3"/>
    <w:rsid w:val="00F66E93"/>
    <w:rsid w:val="00F67350"/>
    <w:rsid w:val="00F729E8"/>
    <w:rsid w:val="00F74380"/>
    <w:rsid w:val="00F754A2"/>
    <w:rsid w:val="00F8254C"/>
    <w:rsid w:val="00F861C5"/>
    <w:rsid w:val="00F904BC"/>
    <w:rsid w:val="00F91BDC"/>
    <w:rsid w:val="00F9762B"/>
    <w:rsid w:val="00FA1C97"/>
    <w:rsid w:val="00FB238C"/>
    <w:rsid w:val="00FB26EA"/>
    <w:rsid w:val="00FD4089"/>
    <w:rsid w:val="00FD56B0"/>
    <w:rsid w:val="00FE37E3"/>
    <w:rsid w:val="00FE3CC9"/>
    <w:rsid w:val="00FE707F"/>
    <w:rsid w:val="00FE7450"/>
    <w:rsid w:val="00FF12E5"/>
    <w:rsid w:val="00FF2659"/>
    <w:rsid w:val="00FF4E1B"/>
    <w:rsid w:val="00FF6BBC"/>
    <w:rsid w:val="043E7E12"/>
    <w:rsid w:val="06D6F848"/>
    <w:rsid w:val="0ABA717E"/>
    <w:rsid w:val="237531B3"/>
    <w:rsid w:val="2C714E9C"/>
    <w:rsid w:val="2F5DD24C"/>
    <w:rsid w:val="38C1FB4F"/>
    <w:rsid w:val="47B8EA36"/>
    <w:rsid w:val="4E282BBA"/>
    <w:rsid w:val="6AEB6455"/>
    <w:rsid w:val="752505E4"/>
    <w:rsid w:val="76C0D645"/>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3D4EB7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rsid w:val="005B7872"/>
    <w:rPr>
      <w:sz w:val="20"/>
      <w:szCs w:val="20"/>
    </w:rPr>
  </w:style>
  <w:style w:type="character" w:styleId="FootnoteReference">
    <w:name w:val="footnote reference"/>
    <w:uiPriority w:val="99"/>
    <w:semiHidden/>
    <w:rsid w:val="005B7872"/>
    <w:rPr>
      <w:vertAlign w:val="superscript"/>
    </w:rPr>
  </w:style>
  <w:style w:type="paragraph" w:styleId="NormalWeb">
    <w:name w:val="Normal (Web)"/>
    <w:basedOn w:val="Normal"/>
    <w:rsid w:val="005B7872"/>
    <w:pPr>
      <w:spacing w:before="100" w:beforeAutospacing="1" w:after="100" w:afterAutospacing="1"/>
    </w:pPr>
    <w:rPr>
      <w:rFonts w:ascii="Arial" w:hAnsi="Arial" w:cs="Arial"/>
      <w:color w:val="000000"/>
      <w:sz w:val="18"/>
      <w:szCs w:val="18"/>
    </w:rPr>
  </w:style>
  <w:style w:type="character" w:styleId="Emphasis">
    <w:name w:val="Emphasis"/>
    <w:qFormat/>
    <w:rsid w:val="005B7872"/>
    <w:rPr>
      <w:i/>
      <w:iCs/>
    </w:rPr>
  </w:style>
  <w:style w:type="paragraph" w:customStyle="1" w:styleId="pagehdr">
    <w:name w:val="pagehdr"/>
    <w:basedOn w:val="Normal"/>
    <w:rsid w:val="005B7872"/>
    <w:pPr>
      <w:spacing w:before="100" w:beforeAutospacing="1" w:after="100" w:afterAutospacing="1"/>
    </w:pPr>
    <w:rPr>
      <w:rFonts w:ascii="Arial" w:hAnsi="Arial" w:cs="Arial"/>
      <w:b/>
      <w:bCs/>
      <w:color w:val="456994"/>
    </w:rPr>
  </w:style>
  <w:style w:type="character" w:styleId="Strong">
    <w:name w:val="Strong"/>
    <w:qFormat/>
    <w:rsid w:val="005B7872"/>
    <w:rPr>
      <w:b/>
      <w:bCs/>
    </w:rPr>
  </w:style>
  <w:style w:type="character" w:styleId="CommentReference">
    <w:name w:val="annotation reference"/>
    <w:semiHidden/>
    <w:rsid w:val="00FE37E3"/>
    <w:rPr>
      <w:sz w:val="16"/>
      <w:szCs w:val="16"/>
    </w:rPr>
  </w:style>
  <w:style w:type="paragraph" w:styleId="CommentText">
    <w:name w:val="annotation text"/>
    <w:basedOn w:val="Normal"/>
    <w:semiHidden/>
    <w:rsid w:val="00FE37E3"/>
    <w:rPr>
      <w:sz w:val="20"/>
      <w:szCs w:val="20"/>
    </w:rPr>
  </w:style>
  <w:style w:type="paragraph" w:styleId="CommentSubject">
    <w:name w:val="annotation subject"/>
    <w:basedOn w:val="CommentText"/>
    <w:next w:val="CommentText"/>
    <w:semiHidden/>
    <w:rsid w:val="00FE37E3"/>
    <w:rPr>
      <w:b/>
      <w:bCs/>
    </w:rPr>
  </w:style>
  <w:style w:type="paragraph" w:styleId="BalloonText">
    <w:name w:val="Balloon Text"/>
    <w:basedOn w:val="Normal"/>
    <w:semiHidden/>
    <w:rsid w:val="00FE37E3"/>
    <w:rPr>
      <w:rFonts w:ascii="Tahoma" w:hAnsi="Tahoma" w:cs="Tahoma"/>
      <w:sz w:val="16"/>
      <w:szCs w:val="16"/>
    </w:rPr>
  </w:style>
  <w:style w:type="paragraph" w:styleId="Header">
    <w:name w:val="header"/>
    <w:basedOn w:val="Normal"/>
    <w:rsid w:val="00F67350"/>
    <w:pPr>
      <w:tabs>
        <w:tab w:val="center" w:pos="4320"/>
        <w:tab w:val="right" w:pos="8640"/>
      </w:tabs>
    </w:pPr>
  </w:style>
  <w:style w:type="paragraph" w:styleId="Footer">
    <w:name w:val="footer"/>
    <w:basedOn w:val="Normal"/>
    <w:rsid w:val="00F67350"/>
    <w:pPr>
      <w:tabs>
        <w:tab w:val="center" w:pos="4320"/>
        <w:tab w:val="right" w:pos="8640"/>
      </w:tabs>
    </w:pPr>
  </w:style>
  <w:style w:type="character" w:styleId="Hyperlink">
    <w:name w:val="Hyperlink"/>
    <w:basedOn w:val="DefaultParagraphFont"/>
    <w:rsid w:val="003902E5"/>
    <w:rPr>
      <w:color w:val="0000FF"/>
      <w:u w:val="single"/>
    </w:rPr>
  </w:style>
  <w:style w:type="paragraph" w:styleId="ListParagraph">
    <w:name w:val="List Paragraph"/>
    <w:basedOn w:val="Normal"/>
    <w:uiPriority w:val="34"/>
    <w:qFormat/>
    <w:rsid w:val="00B37EC9"/>
    <w:pPr>
      <w:spacing w:after="200"/>
      <w:ind w:left="720"/>
      <w:contextualSpacing/>
    </w:pPr>
    <w:rPr>
      <w:rFonts w:asciiTheme="minorHAnsi" w:eastAsiaTheme="minorHAnsi" w:hAnsiTheme="minorHAnsi" w:cstheme="minorBidi"/>
      <w:sz w:val="22"/>
      <w:szCs w:val="22"/>
    </w:rPr>
  </w:style>
  <w:style w:type="character" w:customStyle="1" w:styleId="FootnoteTextChar">
    <w:name w:val="Footnote Text Char"/>
    <w:basedOn w:val="DefaultParagraphFont"/>
    <w:link w:val="FootnoteText"/>
    <w:uiPriority w:val="99"/>
    <w:semiHidden/>
    <w:rsid w:val="00B37EC9"/>
  </w:style>
  <w:style w:type="character" w:styleId="UnresolvedMention">
    <w:name w:val="Unresolved Mention"/>
    <w:basedOn w:val="DefaultParagraphFont"/>
    <w:uiPriority w:val="99"/>
    <w:semiHidden/>
    <w:unhideWhenUsed/>
    <w:rsid w:val="00803537"/>
    <w:rPr>
      <w:color w:val="605E5C"/>
      <w:shd w:val="clear" w:color="auto" w:fill="E1DFDD"/>
    </w:rPr>
  </w:style>
  <w:style w:type="paragraph" w:styleId="Revision">
    <w:name w:val="Revision"/>
    <w:hidden/>
    <w:uiPriority w:val="99"/>
    <w:semiHidden/>
    <w:rsid w:val="003C58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B04045-7ED5-44ED-B8ED-E88BA9F43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899</Words>
  <Characters>5125</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2023-10-24T16:18:00Z</dcterms:created>
  <dcterms:modified xsi:type="dcterms:W3CDTF">2023-10-24T16:18:00Z</dcterms:modified>
</cp:coreProperties>
</file>