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661" w:rsidRPr="00832810" w:rsidP="00E10661" w14:paraId="7B345A04" w14:textId="77777777">
      <w:pPr>
        <w:keepNext/>
        <w:outlineLvl w:val="2"/>
        <w:rPr>
          <w:u w:val="single"/>
        </w:rPr>
      </w:pPr>
    </w:p>
    <w:p w:rsidR="004903B6" w:rsidRPr="00A320CB" w:rsidP="004903B6" w14:paraId="2877A627" w14:textId="467CAA34">
      <w:pPr>
        <w:keepNext/>
        <w:spacing w:after="120"/>
        <w:jc w:val="center"/>
        <w:outlineLvl w:val="2"/>
        <w:rPr>
          <w:rFonts w:ascii="Times New Roman" w:hAnsi="Times New Roman" w:cs="Times New Roman"/>
          <w:b/>
        </w:rPr>
      </w:pPr>
      <w:r w:rsidRPr="00A320CB">
        <w:rPr>
          <w:rFonts w:ascii="Times New Roman" w:hAnsi="Times New Roman" w:cs="Times New Roman"/>
          <w:b/>
        </w:rPr>
        <w:t>SUPPORTING STATEMENT</w:t>
      </w:r>
    </w:p>
    <w:p w:rsidR="00EB7738" w:rsidP="00832810" w14:paraId="59CA7859" w14:textId="5BAE7AA6">
      <w:pPr>
        <w:spacing w:after="120"/>
        <w:rPr>
          <w:rFonts w:ascii="Times New Roman" w:hAnsi="Times New Roman" w:cs="Times New Roman"/>
        </w:rPr>
      </w:pPr>
      <w:r w:rsidRPr="00A320CB">
        <w:rPr>
          <w:rFonts w:ascii="Times New Roman" w:hAnsi="Times New Roman" w:cs="Times New Roman"/>
        </w:rPr>
        <w:tab/>
      </w:r>
      <w:bookmarkStart w:id="0" w:name="_Hlk131145535"/>
      <w:r w:rsidRPr="00A320CB" w:rsidR="00E6282C">
        <w:rPr>
          <w:rFonts w:ascii="Times New Roman" w:hAnsi="Times New Roman" w:cs="Times New Roman"/>
        </w:rPr>
        <w:t xml:space="preserve">This submission is being made pursuant to 44 U.S.C. § 3507 of the Paperwork Reduction Act of 1995 </w:t>
      </w:r>
      <w:r w:rsidRPr="00A320CB" w:rsidR="00D57942">
        <w:rPr>
          <w:rFonts w:ascii="Times New Roman" w:hAnsi="Times New Roman" w:cs="Times New Roman"/>
        </w:rPr>
        <w:t xml:space="preserve">(PRA) </w:t>
      </w:r>
      <w:r w:rsidRPr="00A320CB" w:rsidR="00E6282C">
        <w:rPr>
          <w:rFonts w:ascii="Times New Roman" w:hAnsi="Times New Roman" w:cs="Times New Roman"/>
        </w:rPr>
        <w:t>to obtain approval from the Office of Management and Budget (OMB) for a new mandatory collection to obtain data and information regarding the provision of incarcerate</w:t>
      </w:r>
      <w:r w:rsidRPr="00A320CB" w:rsidR="0047043F">
        <w:rPr>
          <w:rFonts w:ascii="Times New Roman" w:hAnsi="Times New Roman" w:cs="Times New Roman"/>
        </w:rPr>
        <w:t>d</w:t>
      </w:r>
      <w:r w:rsidRPr="00A320CB" w:rsidR="00E6282C">
        <w:rPr>
          <w:rFonts w:ascii="Times New Roman" w:hAnsi="Times New Roman" w:cs="Times New Roman"/>
        </w:rPr>
        <w:t xml:space="preserve"> people’s communications services (IPCS) from all IPCS providers</w:t>
      </w:r>
      <w:r w:rsidRPr="00A320CB" w:rsidR="00242096">
        <w:rPr>
          <w:rFonts w:ascii="Times New Roman" w:hAnsi="Times New Roman" w:cs="Times New Roman"/>
        </w:rPr>
        <w:t>.</w:t>
      </w:r>
    </w:p>
    <w:p w:rsidR="00A320CB" w:rsidRPr="00A320CB" w:rsidP="00832810" w14:paraId="25E82EDE" w14:textId="77777777">
      <w:pPr>
        <w:spacing w:after="120"/>
        <w:rPr>
          <w:rFonts w:ascii="Times New Roman" w:hAnsi="Times New Roman" w:cs="Times New Roman"/>
        </w:rPr>
      </w:pPr>
    </w:p>
    <w:bookmarkEnd w:id="0"/>
    <w:p w:rsidR="00E10661" w:rsidRPr="00A320CB" w:rsidP="00213B73" w14:paraId="5B29FBEE" w14:textId="77777777">
      <w:pPr>
        <w:pStyle w:val="ListParagraph"/>
        <w:keepNext/>
        <w:numPr>
          <w:ilvl w:val="0"/>
          <w:numId w:val="6"/>
        </w:numPr>
        <w:spacing w:after="120"/>
        <w:contextualSpacing w:val="0"/>
        <w:outlineLvl w:val="2"/>
        <w:rPr>
          <w:rFonts w:ascii="Times New Roman" w:hAnsi="Times New Roman" w:cs="Times New Roman"/>
          <w:b/>
          <w:u w:val="single"/>
        </w:rPr>
      </w:pPr>
      <w:r w:rsidRPr="00A320CB">
        <w:rPr>
          <w:rFonts w:ascii="Times New Roman" w:hAnsi="Times New Roman" w:cs="Times New Roman"/>
          <w:b/>
          <w:u w:val="single"/>
        </w:rPr>
        <w:t>Justification:</w:t>
      </w:r>
    </w:p>
    <w:p w:rsidR="00EB7738" w:rsidRPr="00987F8B" w:rsidP="00213B73" w14:paraId="063F2687" w14:textId="77777777">
      <w:pPr>
        <w:keepNext/>
        <w:spacing w:after="120"/>
        <w:outlineLvl w:val="2"/>
        <w:rPr>
          <w:rFonts w:ascii="Times New Roman" w:hAnsi="Times New Roman" w:cs="Times New Roman"/>
          <w:b/>
          <w:i/>
        </w:rPr>
      </w:pPr>
      <w:r w:rsidRPr="00987F8B">
        <w:rPr>
          <w:rFonts w:ascii="Times New Roman" w:hAnsi="Times New Roman" w:cs="Times New Roman"/>
          <w:b/>
          <w:i/>
        </w:rPr>
        <w:t>Circumstances that make the collection necessary:</w:t>
      </w:r>
    </w:p>
    <w:p w:rsidR="001D7B29" w:rsidRPr="00987F8B" w:rsidP="001D7B29" w14:paraId="765944F6" w14:textId="77777777">
      <w:pPr>
        <w:pStyle w:val="ParaNum"/>
        <w:numPr>
          <w:ilvl w:val="0"/>
          <w:numId w:val="21"/>
        </w:numPr>
        <w:rPr>
          <w:rFonts w:ascii="Times New Roman" w:hAnsi="Times New Roman" w:cs="Times New Roman"/>
        </w:rPr>
      </w:pPr>
      <w:r w:rsidRPr="00987F8B">
        <w:rPr>
          <w:rFonts w:ascii="Times New Roman" w:hAnsi="Times New Roman" w:cs="Times New Roman"/>
        </w:rPr>
        <w:t>On January 5, 2023, the President signed into law the Martha Wright-Reed Just and Reasonable Communications Act,</w:t>
      </w:r>
      <w:r>
        <w:rPr>
          <w:rStyle w:val="FootnoteReference"/>
          <w:rFonts w:cs="Times New Roman"/>
        </w:rPr>
        <w:footnoteReference w:id="3"/>
      </w:r>
      <w:r w:rsidRPr="00987F8B">
        <w:rPr>
          <w:rFonts w:ascii="Times New Roman" w:hAnsi="Times New Roman" w:cs="Times New Roman"/>
        </w:rPr>
        <w:t xml:space="preserve"> which expanded the Commission’s statutory authority over communications between incarcerated people and the non-incarcerated, including “any audio or video communications service used by inmates . . . regardless of technology used.”</w:t>
      </w:r>
      <w:r>
        <w:rPr>
          <w:rFonts w:ascii="Times New Roman" w:hAnsi="Times New Roman" w:cs="Times New Roman"/>
          <w:sz w:val="20"/>
          <w:vertAlign w:val="superscript"/>
        </w:rPr>
        <w:footnoteReference w:id="4"/>
      </w:r>
      <w:r w:rsidRPr="00987F8B">
        <w:rPr>
          <w:rFonts w:ascii="Times New Roman" w:hAnsi="Times New Roman" w:cs="Times New Roman"/>
        </w:rPr>
        <w:t xml:space="preserve">  The new Act also amends section 2(b) of the Communications Act of 1934, as amended (Communications Act), to make clear that the Commission’s authority extends to intrastate as well as interstate and international communications services used by incarcerated people.</w:t>
      </w:r>
      <w:r>
        <w:rPr>
          <w:rStyle w:val="FootnoteReference"/>
          <w:rFonts w:cs="Times New Roman"/>
        </w:rPr>
        <w:footnoteReference w:id="5"/>
      </w:r>
      <w:r w:rsidRPr="00987F8B">
        <w:rPr>
          <w:rFonts w:ascii="Times New Roman" w:hAnsi="Times New Roman" w:cs="Times New Roman"/>
        </w:rPr>
        <w:t xml:space="preserve"> </w:t>
      </w:r>
    </w:p>
    <w:p w:rsidR="001D7B29" w:rsidRPr="00987F8B" w:rsidP="001D7B29" w14:paraId="59B784AE" w14:textId="7956CBEA">
      <w:pPr>
        <w:pStyle w:val="ParaNum"/>
        <w:numPr>
          <w:ilvl w:val="0"/>
          <w:numId w:val="0"/>
        </w:numPr>
        <w:ind w:firstLine="720"/>
        <w:rPr>
          <w:rFonts w:ascii="Times New Roman" w:hAnsi="Times New Roman" w:cs="Times New Roman"/>
        </w:rPr>
      </w:pPr>
      <w:r w:rsidRPr="00987F8B">
        <w:rPr>
          <w:rFonts w:ascii="Times New Roman" w:hAnsi="Times New Roman" w:cs="Times New Roman"/>
        </w:rPr>
        <w:t>The Martha Wright-Reed Act directs the Commission to “promulgate any regulations necessary to implement” the Act, including its mandate that the Commission establish a “compensation plan” ensuring that all rates and charges for IPCS “are just and reasonable,” not earlier than 18 months and not later than 24 months after the Act’s January 5, 2023 enactment date.</w:t>
      </w:r>
      <w:r>
        <w:rPr>
          <w:rFonts w:ascii="Times New Roman" w:hAnsi="Times New Roman" w:cs="Times New Roman"/>
          <w:sz w:val="20"/>
          <w:vertAlign w:val="superscript"/>
        </w:rPr>
        <w:footnoteReference w:id="6"/>
      </w:r>
      <w:r w:rsidRPr="00987F8B">
        <w:rPr>
          <w:rFonts w:ascii="Times New Roman" w:hAnsi="Times New Roman" w:cs="Times New Roman"/>
        </w:rPr>
        <w:t xml:space="preserve">  The Act requires the Commission to consider, as part of its implementation, the costs of “necessary” safety and security measures, as well as “differences in costs” based on facility size, or “other characteristics.”</w:t>
      </w:r>
      <w:r>
        <w:rPr>
          <w:rFonts w:ascii="Times New Roman" w:hAnsi="Times New Roman" w:cs="Times New Roman"/>
          <w:sz w:val="20"/>
          <w:vertAlign w:val="superscript"/>
        </w:rPr>
        <w:footnoteReference w:id="7"/>
      </w:r>
      <w:r w:rsidRPr="00987F8B">
        <w:rPr>
          <w:rFonts w:ascii="Times New Roman" w:hAnsi="Times New Roman" w:cs="Times New Roman"/>
        </w:rPr>
        <w:t xml:space="preserve">  It also allows the Commission to “use industry-wide average costs of telephone service and advanced communications services and the average costs of service of a communications service provider” in determining just and reasonable rates.</w:t>
      </w:r>
      <w:r>
        <w:rPr>
          <w:rFonts w:ascii="Times New Roman" w:hAnsi="Times New Roman" w:cs="Times New Roman"/>
          <w:sz w:val="20"/>
          <w:vertAlign w:val="superscript"/>
        </w:rPr>
        <w:footnoteReference w:id="8"/>
      </w:r>
      <w:r w:rsidRPr="00987F8B">
        <w:rPr>
          <w:rFonts w:ascii="Times New Roman" w:hAnsi="Times New Roman" w:cs="Times New Roman"/>
        </w:rPr>
        <w:t xml:space="preserve"> </w:t>
      </w:r>
    </w:p>
    <w:p w:rsidR="001D7B29" w:rsidRPr="00987F8B" w:rsidP="001D7B29" w14:paraId="7069F607" w14:textId="6A61F85C">
      <w:pPr>
        <w:pStyle w:val="ParaNum"/>
        <w:numPr>
          <w:ilvl w:val="0"/>
          <w:numId w:val="0"/>
        </w:numPr>
        <w:ind w:firstLine="720"/>
        <w:rPr>
          <w:rFonts w:ascii="Times New Roman" w:hAnsi="Times New Roman" w:cs="Times New Roman"/>
        </w:rPr>
      </w:pPr>
      <w:r w:rsidRPr="00987F8B">
        <w:rPr>
          <w:rFonts w:ascii="Times New Roman" w:hAnsi="Times New Roman" w:cs="Times New Roman"/>
        </w:rPr>
        <w:t>Prior to the enactment of the Martha Wright-Reed Act, the Commission had sought provider data related to audio communications services provided to incarcerated persons on three occasions, as part of its ongoing efforts to establish just and reasonable rates for those services, while ensuring that providers are fairly compensated for such services.</w:t>
      </w:r>
      <w:r>
        <w:rPr>
          <w:rStyle w:val="FootnoteReference"/>
          <w:rFonts w:cs="Times New Roman"/>
        </w:rPr>
        <w:footnoteReference w:id="9"/>
      </w:r>
      <w:r w:rsidRPr="00987F8B">
        <w:rPr>
          <w:rFonts w:ascii="Times New Roman" w:hAnsi="Times New Roman" w:cs="Times New Roman"/>
        </w:rPr>
        <w:t xml:space="preserve">  The Martha Wright-Reed Act contemplates an additional data </w:t>
      </w:r>
      <w:r w:rsidRPr="00987F8B">
        <w:rPr>
          <w:rFonts w:ascii="Times New Roman" w:hAnsi="Times New Roman" w:cs="Times New Roman"/>
        </w:rPr>
        <w:t>collection by requiring or allowing the Commission to consider certain types of other costs necessary to its implementation.  To ensure that it will have the data it needs to meet its substantive and procedural responsibilities under the Act, the Commission delegated authority to WCB</w:t>
      </w:r>
      <w:r w:rsidRPr="00987F8B" w:rsidR="00C361AD">
        <w:rPr>
          <w:rFonts w:ascii="Times New Roman" w:hAnsi="Times New Roman" w:cs="Times New Roman"/>
        </w:rPr>
        <w:t xml:space="preserve"> and </w:t>
      </w:r>
      <w:r w:rsidRPr="00987F8B">
        <w:rPr>
          <w:rFonts w:ascii="Times New Roman" w:hAnsi="Times New Roman" w:cs="Times New Roman"/>
        </w:rPr>
        <w:t>OEA to “update and restructure” its most recent data collection (the Third Mandatory Data Collection) “as appropriate in light of the requirements of the new statute.”</w:t>
      </w:r>
      <w:r>
        <w:rPr>
          <w:rStyle w:val="FootnoteReference"/>
          <w:rFonts w:cs="Times New Roman"/>
        </w:rPr>
        <w:footnoteReference w:id="10"/>
      </w:r>
      <w:r w:rsidRPr="00987F8B">
        <w:rPr>
          <w:rFonts w:ascii="Times New Roman" w:hAnsi="Times New Roman" w:cs="Times New Roman"/>
        </w:rPr>
        <w:t xml:space="preserve">  This delegation requires that </w:t>
      </w:r>
      <w:r w:rsidRPr="00987F8B" w:rsidR="00A0786F">
        <w:rPr>
          <w:rFonts w:ascii="Times New Roman" w:hAnsi="Times New Roman" w:cs="Times New Roman"/>
        </w:rPr>
        <w:t>WCB and OEA</w:t>
      </w:r>
      <w:r w:rsidRPr="00987F8B">
        <w:rPr>
          <w:rFonts w:ascii="Times New Roman" w:hAnsi="Times New Roman" w:cs="Times New Roman"/>
        </w:rPr>
        <w:t xml:space="preserve"> collect “data on all incarcerated people’s communications services from all providers of those services now subject to” the Commission’s authority, including, but not limited to, </w:t>
      </w:r>
      <w:bookmarkStart w:id="1" w:name="_Hlk132105083"/>
      <w:r w:rsidRPr="00987F8B">
        <w:rPr>
          <w:rFonts w:ascii="Times New Roman" w:hAnsi="Times New Roman" w:cs="Times New Roman"/>
        </w:rPr>
        <w:t xml:space="preserve">requesting “more recent </w:t>
      </w:r>
      <w:bookmarkEnd w:id="1"/>
      <w:r w:rsidRPr="00987F8B">
        <w:rPr>
          <w:rFonts w:ascii="Times New Roman" w:hAnsi="Times New Roman" w:cs="Times New Roman"/>
        </w:rPr>
        <w:t>data for additional years not covered by the [Third Mandatory Data Collection].”</w:t>
      </w:r>
      <w:r>
        <w:rPr>
          <w:rStyle w:val="FootnoteReference"/>
          <w:rFonts w:cs="Times New Roman"/>
        </w:rPr>
        <w:footnoteReference w:id="11"/>
      </w:r>
    </w:p>
    <w:p w:rsidR="001D7B29" w:rsidRPr="00987F8B" w:rsidP="001D7B29" w14:paraId="7312EDD7" w14:textId="6B4B3A7A">
      <w:pPr>
        <w:pStyle w:val="ParaNum"/>
        <w:numPr>
          <w:ilvl w:val="0"/>
          <w:numId w:val="0"/>
        </w:numPr>
        <w:ind w:firstLine="720"/>
        <w:rPr>
          <w:rFonts w:ascii="Times New Roman" w:hAnsi="Times New Roman" w:cs="Times New Roman"/>
        </w:rPr>
      </w:pPr>
      <w:r w:rsidRPr="00987F8B">
        <w:rPr>
          <w:rFonts w:ascii="Times New Roman" w:hAnsi="Times New Roman" w:cs="Times New Roman"/>
        </w:rPr>
        <w:t xml:space="preserve">In accordance with this delegation, </w:t>
      </w:r>
      <w:r w:rsidRPr="00987F8B" w:rsidR="00502DF3">
        <w:rPr>
          <w:rFonts w:ascii="Times New Roman" w:hAnsi="Times New Roman" w:cs="Times New Roman"/>
        </w:rPr>
        <w:t>WCB and OEA</w:t>
      </w:r>
      <w:r w:rsidRPr="00987F8B">
        <w:rPr>
          <w:rFonts w:ascii="Times New Roman" w:hAnsi="Times New Roman" w:cs="Times New Roman"/>
        </w:rPr>
        <w:t xml:space="preserve"> developed proposals for the 2023 Mandatory Data Collection that updated and expanded the instructions and reporting templates from the Third Mandatory Data Collection, and issued a </w:t>
      </w:r>
      <w:r w:rsidRPr="00987F8B">
        <w:rPr>
          <w:rFonts w:ascii="Times New Roman" w:hAnsi="Times New Roman" w:cs="Times New Roman"/>
          <w:i/>
          <w:iCs/>
        </w:rPr>
        <w:t>Public Notice</w:t>
      </w:r>
      <w:r w:rsidRPr="00987F8B">
        <w:rPr>
          <w:rFonts w:ascii="Times New Roman" w:hAnsi="Times New Roman" w:cs="Times New Roman"/>
        </w:rPr>
        <w:t xml:space="preserve"> seeking comments on all aspects of the proposed revisions to the collection.</w:t>
      </w:r>
      <w:r>
        <w:rPr>
          <w:rStyle w:val="FootnoteReference"/>
          <w:rFonts w:cs="Times New Roman"/>
        </w:rPr>
        <w:footnoteReference w:id="12"/>
      </w:r>
      <w:r w:rsidRPr="00987F8B">
        <w:rPr>
          <w:rFonts w:ascii="Times New Roman" w:hAnsi="Times New Roman" w:cs="Times New Roman"/>
        </w:rPr>
        <w:t xml:space="preserve">  Concurrently, in accordance with the PRA, the Commission published a notice in the Federal Register seeking comment on potential burdens of the proposed reporting requirements.</w:t>
      </w:r>
      <w:r>
        <w:rPr>
          <w:rStyle w:val="FootnoteReference"/>
          <w:rFonts w:cs="Times New Roman"/>
        </w:rPr>
        <w:footnoteReference w:id="13"/>
      </w:r>
      <w:r w:rsidRPr="00987F8B">
        <w:rPr>
          <w:rFonts w:ascii="Times New Roman" w:hAnsi="Times New Roman" w:cs="Times New Roman"/>
        </w:rPr>
        <w:t xml:space="preserve">  </w:t>
      </w:r>
      <w:r w:rsidRPr="00987F8B" w:rsidR="00AA6ACA">
        <w:rPr>
          <w:rFonts w:ascii="Times New Roman" w:hAnsi="Times New Roman" w:cs="Times New Roman"/>
        </w:rPr>
        <w:t xml:space="preserve">The Commission </w:t>
      </w:r>
      <w:r w:rsidRPr="00987F8B">
        <w:rPr>
          <w:rFonts w:ascii="Times New Roman" w:hAnsi="Times New Roman" w:cs="Times New Roman"/>
        </w:rPr>
        <w:t xml:space="preserve">received comments </w:t>
      </w:r>
      <w:r w:rsidRPr="00987F8B" w:rsidR="00225B0D">
        <w:rPr>
          <w:rFonts w:ascii="Times New Roman" w:hAnsi="Times New Roman" w:cs="Times New Roman"/>
        </w:rPr>
        <w:t xml:space="preserve">and reply comments </w:t>
      </w:r>
      <w:r w:rsidRPr="00987F8B">
        <w:rPr>
          <w:rFonts w:ascii="Times New Roman" w:hAnsi="Times New Roman" w:cs="Times New Roman"/>
        </w:rPr>
        <w:t xml:space="preserve">from several IPCS providers, public interest advocates, and other interested parties in response to the </w:t>
      </w:r>
      <w:r w:rsidRPr="00987F8B">
        <w:rPr>
          <w:rFonts w:ascii="Times New Roman" w:hAnsi="Times New Roman" w:cs="Times New Roman"/>
          <w:i/>
        </w:rPr>
        <w:t>Public Notice</w:t>
      </w:r>
      <w:r w:rsidRPr="00987F8B">
        <w:rPr>
          <w:rFonts w:ascii="Times New Roman" w:hAnsi="Times New Roman" w:cs="Times New Roman"/>
        </w:rPr>
        <w:t>,</w:t>
      </w:r>
      <w:r w:rsidRPr="00987F8B" w:rsidR="005C048A">
        <w:rPr>
          <w:rFonts w:ascii="Times New Roman" w:hAnsi="Times New Roman" w:cs="Times New Roman"/>
        </w:rPr>
        <w:t xml:space="preserve"> </w:t>
      </w:r>
      <w:r w:rsidRPr="00987F8B">
        <w:rPr>
          <w:rFonts w:ascii="Times New Roman" w:hAnsi="Times New Roman" w:cs="Times New Roman"/>
        </w:rPr>
        <w:t>and one comment in response to the PRA notice.</w:t>
      </w:r>
      <w:r>
        <w:rPr>
          <w:rStyle w:val="FootnoteReference"/>
          <w:rFonts w:cs="Times New Roman"/>
        </w:rPr>
        <w:footnoteReference w:id="14"/>
      </w:r>
      <w:r w:rsidRPr="00987F8B">
        <w:rPr>
          <w:rFonts w:ascii="Times New Roman" w:hAnsi="Times New Roman" w:cs="Times New Roman"/>
        </w:rPr>
        <w:t xml:space="preserve">  </w:t>
      </w:r>
    </w:p>
    <w:p w:rsidR="006671F6" w:rsidRPr="00987F8B" w:rsidP="003F3A6D" w14:paraId="0978FEDC" w14:textId="0D9610BD">
      <w:pPr>
        <w:pStyle w:val="ParaNum"/>
        <w:numPr>
          <w:ilvl w:val="0"/>
          <w:numId w:val="0"/>
        </w:numPr>
        <w:ind w:firstLine="720"/>
        <w:rPr>
          <w:rFonts w:ascii="Times New Roman" w:hAnsi="Times New Roman" w:cs="Times New Roman"/>
        </w:rPr>
      </w:pPr>
      <w:r w:rsidRPr="00987F8B">
        <w:rPr>
          <w:rFonts w:ascii="Times New Roman" w:hAnsi="Times New Roman" w:cs="Times New Roman"/>
        </w:rPr>
        <w:t xml:space="preserve">After </w:t>
      </w:r>
      <w:r w:rsidRPr="00987F8B" w:rsidR="001D7B29">
        <w:rPr>
          <w:rFonts w:ascii="Times New Roman" w:hAnsi="Times New Roman" w:cs="Times New Roman"/>
        </w:rPr>
        <w:t xml:space="preserve">thoroughly </w:t>
      </w:r>
      <w:r w:rsidRPr="00987F8B">
        <w:rPr>
          <w:rFonts w:ascii="Times New Roman" w:hAnsi="Times New Roman" w:cs="Times New Roman"/>
        </w:rPr>
        <w:t xml:space="preserve">considering </w:t>
      </w:r>
      <w:r w:rsidRPr="00987F8B" w:rsidR="001D7B29">
        <w:rPr>
          <w:rFonts w:ascii="Times New Roman" w:hAnsi="Times New Roman" w:cs="Times New Roman"/>
        </w:rPr>
        <w:t>all of these filings</w:t>
      </w:r>
      <w:r w:rsidRPr="00987F8B" w:rsidR="00A608C1">
        <w:rPr>
          <w:rFonts w:ascii="Times New Roman" w:hAnsi="Times New Roman" w:cs="Times New Roman"/>
        </w:rPr>
        <w:t xml:space="preserve">, </w:t>
      </w:r>
      <w:r w:rsidRPr="00987F8B" w:rsidR="00502DF3">
        <w:rPr>
          <w:rFonts w:ascii="Times New Roman" w:hAnsi="Times New Roman" w:cs="Times New Roman"/>
        </w:rPr>
        <w:t>WCB and OEA</w:t>
      </w:r>
      <w:r w:rsidRPr="00987F8B">
        <w:rPr>
          <w:rFonts w:ascii="Times New Roman" w:hAnsi="Times New Roman" w:cs="Times New Roman"/>
        </w:rPr>
        <w:t xml:space="preserve"> released an Order on July 26, 2023</w:t>
      </w:r>
      <w:r w:rsidRPr="00987F8B" w:rsidR="00C53C61">
        <w:rPr>
          <w:rFonts w:ascii="Times New Roman" w:hAnsi="Times New Roman" w:cs="Times New Roman"/>
        </w:rPr>
        <w:t>,</w:t>
      </w:r>
      <w:r w:rsidRPr="00987F8B">
        <w:rPr>
          <w:rFonts w:ascii="Times New Roman" w:hAnsi="Times New Roman" w:cs="Times New Roman"/>
        </w:rPr>
        <w:t xml:space="preserve"> adopting the </w:t>
      </w:r>
      <w:r w:rsidRPr="00987F8B" w:rsidR="00A608C1">
        <w:rPr>
          <w:rFonts w:ascii="Times New Roman" w:hAnsi="Times New Roman" w:cs="Times New Roman"/>
        </w:rPr>
        <w:t>instructions, a reporting template,</w:t>
      </w:r>
      <w:r>
        <w:rPr>
          <w:rStyle w:val="FootnoteReference"/>
          <w:rFonts w:cs="Times New Roman"/>
        </w:rPr>
        <w:footnoteReference w:id="15"/>
      </w:r>
      <w:r w:rsidRPr="00987F8B" w:rsidR="00A608C1">
        <w:rPr>
          <w:rFonts w:ascii="Times New Roman" w:hAnsi="Times New Roman" w:cs="Times New Roman"/>
        </w:rPr>
        <w:t xml:space="preserve"> and a certification form to implement the 2023 Mandatory Data Collection pursuant to the authority delegated to </w:t>
      </w:r>
      <w:r w:rsidRPr="00987F8B" w:rsidR="00502DF3">
        <w:rPr>
          <w:rFonts w:ascii="Times New Roman" w:hAnsi="Times New Roman" w:cs="Times New Roman"/>
        </w:rPr>
        <w:t>WCB and OEA</w:t>
      </w:r>
      <w:r w:rsidRPr="00987F8B" w:rsidR="00A608C1">
        <w:rPr>
          <w:rFonts w:ascii="Times New Roman" w:hAnsi="Times New Roman" w:cs="Times New Roman"/>
        </w:rPr>
        <w:t xml:space="preserve"> by the Commission</w:t>
      </w:r>
      <w:r w:rsidRPr="00987F8B" w:rsidR="00073ECE">
        <w:rPr>
          <w:rFonts w:ascii="Times New Roman" w:hAnsi="Times New Roman" w:cs="Times New Roman"/>
        </w:rPr>
        <w:t>.</w:t>
      </w:r>
      <w:r>
        <w:rPr>
          <w:rStyle w:val="FootnoteReference"/>
          <w:rFonts w:cs="Times New Roman"/>
        </w:rPr>
        <w:footnoteReference w:id="16"/>
      </w:r>
      <w:r w:rsidRPr="00987F8B" w:rsidR="00073ECE">
        <w:rPr>
          <w:rFonts w:ascii="Times New Roman" w:hAnsi="Times New Roman" w:cs="Times New Roman"/>
        </w:rPr>
        <w:t xml:space="preserve">  The Order</w:t>
      </w:r>
      <w:r w:rsidRPr="00987F8B" w:rsidR="00A608C1">
        <w:rPr>
          <w:rFonts w:ascii="Times New Roman" w:hAnsi="Times New Roman" w:cs="Times New Roman"/>
        </w:rPr>
        <w:t xml:space="preserve"> largely implement</w:t>
      </w:r>
      <w:r w:rsidRPr="00987F8B" w:rsidR="00E17F57">
        <w:rPr>
          <w:rFonts w:ascii="Times New Roman" w:hAnsi="Times New Roman" w:cs="Times New Roman"/>
        </w:rPr>
        <w:t>s</w:t>
      </w:r>
      <w:r w:rsidRPr="00987F8B" w:rsidR="00A608C1">
        <w:rPr>
          <w:rFonts w:ascii="Times New Roman" w:hAnsi="Times New Roman" w:cs="Times New Roman"/>
        </w:rPr>
        <w:t xml:space="preserve"> the proposals set forth in the </w:t>
      </w:r>
      <w:r w:rsidRPr="00987F8B" w:rsidR="00A608C1">
        <w:rPr>
          <w:rFonts w:ascii="Times New Roman" w:hAnsi="Times New Roman" w:cs="Times New Roman"/>
          <w:i/>
          <w:iCs/>
        </w:rPr>
        <w:t>Public Notice</w:t>
      </w:r>
      <w:r w:rsidRPr="00987F8B" w:rsidR="00A608C1">
        <w:rPr>
          <w:rFonts w:ascii="Times New Roman" w:hAnsi="Times New Roman" w:cs="Times New Roman"/>
        </w:rPr>
        <w:t>, with refinements and reevaluations responsive to record comments.</w:t>
      </w:r>
      <w:r w:rsidRPr="00987F8B" w:rsidR="00E17F57">
        <w:rPr>
          <w:rFonts w:ascii="Times New Roman" w:hAnsi="Times New Roman" w:cs="Times New Roman"/>
        </w:rPr>
        <w:t xml:space="preserve">  </w:t>
      </w:r>
      <w:r w:rsidRPr="00987F8B" w:rsidR="009A765D">
        <w:rPr>
          <w:rFonts w:ascii="Times New Roman" w:hAnsi="Times New Roman" w:cs="Times New Roman"/>
        </w:rPr>
        <w:t xml:space="preserve">Under </w:t>
      </w:r>
      <w:r w:rsidRPr="00987F8B" w:rsidR="001656D8">
        <w:rPr>
          <w:rFonts w:ascii="Times New Roman" w:hAnsi="Times New Roman" w:cs="Times New Roman"/>
        </w:rPr>
        <w:t>the</w:t>
      </w:r>
      <w:r w:rsidRPr="00987F8B" w:rsidR="009A765D">
        <w:rPr>
          <w:rFonts w:ascii="Times New Roman" w:hAnsi="Times New Roman" w:cs="Times New Roman"/>
        </w:rPr>
        <w:t xml:space="preserve"> Order, IPCS providers will be required to submit </w:t>
      </w:r>
      <w:r w:rsidRPr="00987F8B" w:rsidR="009A765D">
        <w:rPr>
          <w:rFonts w:ascii="Times New Roman" w:hAnsi="Times New Roman" w:cs="Times New Roman"/>
        </w:rPr>
        <w:t>data using a</w:t>
      </w:r>
      <w:r w:rsidRPr="00987F8B" w:rsidR="00A4561E">
        <w:rPr>
          <w:rFonts w:ascii="Times New Roman" w:hAnsi="Times New Roman" w:cs="Times New Roman"/>
        </w:rPr>
        <w:t xml:space="preserve"> </w:t>
      </w:r>
      <w:r w:rsidRPr="00987F8B" w:rsidR="009A765D">
        <w:rPr>
          <w:rFonts w:ascii="Times New Roman" w:hAnsi="Times New Roman" w:cs="Times New Roman"/>
        </w:rPr>
        <w:t xml:space="preserve">reporting template to be filed through the Commission’s </w:t>
      </w:r>
      <w:r w:rsidRPr="00987F8B" w:rsidR="00230028">
        <w:rPr>
          <w:rFonts w:ascii="Times New Roman" w:hAnsi="Times New Roman" w:cs="Times New Roman"/>
        </w:rPr>
        <w:t xml:space="preserve">Electronic </w:t>
      </w:r>
      <w:r w:rsidRPr="00987F8B" w:rsidR="000F0D43">
        <w:rPr>
          <w:rFonts w:ascii="Times New Roman" w:hAnsi="Times New Roman" w:cs="Times New Roman"/>
        </w:rPr>
        <w:t xml:space="preserve">Comment </w:t>
      </w:r>
      <w:r w:rsidRPr="00987F8B" w:rsidR="00230028">
        <w:rPr>
          <w:rFonts w:ascii="Times New Roman" w:hAnsi="Times New Roman" w:cs="Times New Roman"/>
        </w:rPr>
        <w:t xml:space="preserve">Filing System (ECFS) </w:t>
      </w:r>
      <w:r w:rsidRPr="00987F8B" w:rsidR="00E229B1">
        <w:rPr>
          <w:rFonts w:ascii="Times New Roman" w:hAnsi="Times New Roman" w:cs="Times New Roman"/>
        </w:rPr>
        <w:t xml:space="preserve">in accordance with the instructions adopted by WCB and OEA.  The template consists of a Word document (Appendix A to the instructions) for responses requiring narrative information, and Excel </w:t>
      </w:r>
      <w:r w:rsidRPr="00987F8B" w:rsidR="00B7036A">
        <w:rPr>
          <w:rFonts w:ascii="Times New Roman" w:hAnsi="Times New Roman" w:cs="Times New Roman"/>
        </w:rPr>
        <w:t>work</w:t>
      </w:r>
      <w:r w:rsidRPr="00987F8B" w:rsidR="00E229B1">
        <w:rPr>
          <w:rFonts w:ascii="Times New Roman" w:hAnsi="Times New Roman" w:cs="Times New Roman"/>
        </w:rPr>
        <w:t xml:space="preserve">sheets (Appendix B to the instructions) for responses that require specific numbers and </w:t>
      </w:r>
      <w:r w:rsidRPr="00987F8B" w:rsidR="00FA2C3E">
        <w:rPr>
          <w:rFonts w:ascii="Times New Roman" w:hAnsi="Times New Roman" w:cs="Times New Roman"/>
        </w:rPr>
        <w:t xml:space="preserve"> </w:t>
      </w:r>
      <w:r w:rsidRPr="00987F8B" w:rsidR="00E229B1">
        <w:rPr>
          <w:rFonts w:ascii="Times New Roman" w:hAnsi="Times New Roman" w:cs="Times New Roman"/>
        </w:rPr>
        <w:t xml:space="preserve">information.  IPCS providers would also be required to </w:t>
      </w:r>
      <w:r w:rsidRPr="00987F8B" w:rsidR="00156F8C">
        <w:rPr>
          <w:rFonts w:ascii="Times New Roman" w:hAnsi="Times New Roman" w:cs="Times New Roman"/>
        </w:rPr>
        <w:t>submit an audited financial statement or report for 2022, and a signed certification of truthfulness, accuracy, and completeness.</w:t>
      </w:r>
    </w:p>
    <w:p w:rsidR="001A2354" w:rsidRPr="00987F8B" w:rsidP="00213B73" w14:paraId="3D60BA1C" w14:textId="32EFB30C">
      <w:pPr>
        <w:pStyle w:val="ParaNumChar1"/>
        <w:tabs>
          <w:tab w:val="left" w:pos="720"/>
          <w:tab w:val="clear" w:pos="1080"/>
          <w:tab w:val="clear" w:pos="1440"/>
        </w:tabs>
        <w:spacing w:after="120"/>
        <w:ind w:firstLine="0"/>
        <w:rPr>
          <w:rFonts w:ascii="Times New Roman" w:hAnsi="Times New Roman" w:cs="Times New Roman"/>
        </w:rPr>
      </w:pPr>
      <w:r w:rsidRPr="00987F8B">
        <w:rPr>
          <w:rFonts w:ascii="Times New Roman" w:hAnsi="Times New Roman" w:cs="Times New Roman"/>
        </w:rPr>
        <w:tab/>
      </w:r>
      <w:r w:rsidRPr="00987F8B" w:rsidR="009215AF">
        <w:rPr>
          <w:rFonts w:ascii="Times New Roman" w:hAnsi="Times New Roman" w:cs="Times New Roman"/>
        </w:rPr>
        <w:t xml:space="preserve">We estimate that approximately </w:t>
      </w:r>
      <w:r w:rsidRPr="00987F8B" w:rsidR="00B03726">
        <w:rPr>
          <w:rFonts w:ascii="Times New Roman" w:hAnsi="Times New Roman" w:cs="Times New Roman"/>
        </w:rPr>
        <w:t>30</w:t>
      </w:r>
      <w:r w:rsidRPr="00987F8B" w:rsidR="009215AF">
        <w:rPr>
          <w:rFonts w:ascii="Times New Roman" w:hAnsi="Times New Roman" w:cs="Times New Roman"/>
        </w:rPr>
        <w:t xml:space="preserve"> </w:t>
      </w:r>
      <w:r w:rsidRPr="00987F8B" w:rsidR="00EE25AC">
        <w:rPr>
          <w:rFonts w:ascii="Times New Roman" w:hAnsi="Times New Roman" w:cs="Times New Roman"/>
        </w:rPr>
        <w:t xml:space="preserve">IPCS </w:t>
      </w:r>
      <w:r w:rsidRPr="00987F8B" w:rsidR="009215AF">
        <w:rPr>
          <w:rFonts w:ascii="Times New Roman" w:hAnsi="Times New Roman" w:cs="Times New Roman"/>
        </w:rPr>
        <w:t xml:space="preserve">providers will submit </w:t>
      </w:r>
      <w:r w:rsidRPr="00987F8B" w:rsidR="00713D89">
        <w:rPr>
          <w:rFonts w:ascii="Times New Roman" w:hAnsi="Times New Roman" w:cs="Times New Roman"/>
        </w:rPr>
        <w:t xml:space="preserve">full responses to </w:t>
      </w:r>
      <w:r w:rsidRPr="00987F8B" w:rsidR="0061347C">
        <w:rPr>
          <w:rFonts w:ascii="Times New Roman" w:hAnsi="Times New Roman" w:cs="Times New Roman"/>
        </w:rPr>
        <w:t xml:space="preserve">this </w:t>
      </w:r>
      <w:r w:rsidRPr="00987F8B" w:rsidR="00713D89">
        <w:rPr>
          <w:rFonts w:ascii="Times New Roman" w:hAnsi="Times New Roman" w:cs="Times New Roman"/>
        </w:rPr>
        <w:t>Mandatory Dat</w:t>
      </w:r>
      <w:r w:rsidRPr="00987F8B" w:rsidR="00B66B93">
        <w:rPr>
          <w:rFonts w:ascii="Times New Roman" w:hAnsi="Times New Roman" w:cs="Times New Roman"/>
        </w:rPr>
        <w:t>a</w:t>
      </w:r>
      <w:r w:rsidRPr="00987F8B" w:rsidR="00713D89">
        <w:rPr>
          <w:rFonts w:ascii="Times New Roman" w:hAnsi="Times New Roman" w:cs="Times New Roman"/>
        </w:rPr>
        <w:t xml:space="preserve"> collection, consisting of </w:t>
      </w:r>
      <w:r w:rsidRPr="00987F8B" w:rsidR="009215AF">
        <w:rPr>
          <w:rFonts w:ascii="Times New Roman" w:hAnsi="Times New Roman" w:cs="Times New Roman"/>
        </w:rPr>
        <w:t>the template</w:t>
      </w:r>
      <w:r w:rsidRPr="00987F8B" w:rsidR="00813270">
        <w:rPr>
          <w:rFonts w:ascii="Times New Roman" w:hAnsi="Times New Roman" w:cs="Times New Roman"/>
        </w:rPr>
        <w:t>s</w:t>
      </w:r>
      <w:r w:rsidRPr="00987F8B" w:rsidR="00547764">
        <w:rPr>
          <w:rFonts w:ascii="Times New Roman" w:hAnsi="Times New Roman" w:cs="Times New Roman"/>
        </w:rPr>
        <w:t xml:space="preserve">; an audited financial statement or report for </w:t>
      </w:r>
      <w:r w:rsidRPr="00987F8B" w:rsidR="00813270">
        <w:rPr>
          <w:rFonts w:ascii="Times New Roman" w:hAnsi="Times New Roman" w:cs="Times New Roman"/>
        </w:rPr>
        <w:t xml:space="preserve">Year </w:t>
      </w:r>
      <w:r w:rsidRPr="00987F8B" w:rsidR="00547764">
        <w:rPr>
          <w:rFonts w:ascii="Times New Roman" w:hAnsi="Times New Roman" w:cs="Times New Roman"/>
        </w:rPr>
        <w:t>2022;</w:t>
      </w:r>
      <w:r w:rsidRPr="00987F8B" w:rsidR="009215AF">
        <w:rPr>
          <w:rFonts w:ascii="Times New Roman" w:hAnsi="Times New Roman" w:cs="Times New Roman"/>
        </w:rPr>
        <w:t xml:space="preserve"> and a signed certification of truthfulness, accuracy, and completeness.</w:t>
      </w:r>
    </w:p>
    <w:p w:rsidR="00F9320B" w:rsidRPr="00987F8B" w:rsidP="00213B73" w14:paraId="5894262F" w14:textId="2E63480E">
      <w:pPr>
        <w:pStyle w:val="ParaNumChar1"/>
        <w:tabs>
          <w:tab w:val="left" w:pos="720"/>
          <w:tab w:val="clear" w:pos="1080"/>
          <w:tab w:val="clear" w:pos="1440"/>
        </w:tabs>
        <w:spacing w:after="120"/>
        <w:ind w:firstLine="0"/>
        <w:rPr>
          <w:rFonts w:ascii="Times New Roman" w:hAnsi="Times New Roman" w:cs="Times New Roman"/>
        </w:rPr>
      </w:pPr>
      <w:r w:rsidRPr="00987F8B">
        <w:rPr>
          <w:rFonts w:ascii="Times New Roman" w:hAnsi="Times New Roman" w:cs="Times New Roman"/>
        </w:rPr>
        <w:tab/>
      </w:r>
      <w:r w:rsidRPr="00987F8B" w:rsidR="004D2E28">
        <w:rPr>
          <w:rFonts w:ascii="Times New Roman" w:hAnsi="Times New Roman" w:cs="Times New Roman"/>
        </w:rPr>
        <w:t>Statutory authority for this information collection is contained in sections 1,</w:t>
      </w:r>
      <w:r w:rsidRPr="00987F8B" w:rsidR="00225273">
        <w:rPr>
          <w:rFonts w:ascii="Times New Roman" w:hAnsi="Times New Roman" w:cs="Times New Roman"/>
        </w:rPr>
        <w:t xml:space="preserve"> 2,</w:t>
      </w:r>
      <w:r w:rsidRPr="00987F8B" w:rsidR="004D2E28">
        <w:rPr>
          <w:rFonts w:ascii="Times New Roman" w:hAnsi="Times New Roman" w:cs="Times New Roman"/>
        </w:rPr>
        <w:t xml:space="preserve"> 4(i)-4(j), </w:t>
      </w:r>
      <w:r w:rsidRPr="00987F8B" w:rsidR="006F3900">
        <w:rPr>
          <w:rFonts w:ascii="Times New Roman" w:hAnsi="Times New Roman" w:cs="Times New Roman"/>
        </w:rPr>
        <w:t xml:space="preserve">5(c), </w:t>
      </w:r>
      <w:r w:rsidRPr="00987F8B" w:rsidR="004D2E28">
        <w:rPr>
          <w:rFonts w:ascii="Times New Roman" w:hAnsi="Times New Roman" w:cs="Times New Roman"/>
        </w:rPr>
        <w:t xml:space="preserve">201(b), 218, 220, 225, 255, 276, 403, and </w:t>
      </w:r>
      <w:r w:rsidRPr="00987F8B" w:rsidR="006119C7">
        <w:rPr>
          <w:rFonts w:ascii="Times New Roman" w:hAnsi="Times New Roman" w:cs="Times New Roman"/>
        </w:rPr>
        <w:t>716</w:t>
      </w:r>
      <w:r w:rsidRPr="00987F8B" w:rsidR="0000761D">
        <w:rPr>
          <w:rFonts w:ascii="Times New Roman" w:hAnsi="Times New Roman" w:cs="Times New Roman"/>
        </w:rPr>
        <w:t xml:space="preserve"> </w:t>
      </w:r>
      <w:r w:rsidRPr="00987F8B" w:rsidR="004D2E28">
        <w:rPr>
          <w:rFonts w:ascii="Times New Roman" w:hAnsi="Times New Roman" w:cs="Times New Roman"/>
        </w:rPr>
        <w:t>of the Communications Act,</w:t>
      </w:r>
      <w:r w:rsidRPr="00987F8B" w:rsidR="006F3900">
        <w:rPr>
          <w:rFonts w:ascii="Times New Roman" w:hAnsi="Times New Roman" w:cs="Times New Roman"/>
        </w:rPr>
        <w:t xml:space="preserve"> as amended,</w:t>
      </w:r>
      <w:r w:rsidRPr="00987F8B" w:rsidR="004D2E28">
        <w:rPr>
          <w:rFonts w:ascii="Times New Roman" w:hAnsi="Times New Roman" w:cs="Times New Roman"/>
        </w:rPr>
        <w:t xml:space="preserve"> 47 U.S.C. §§</w:t>
      </w:r>
      <w:r w:rsidRPr="00987F8B" w:rsidR="008C3F12">
        <w:rPr>
          <w:rFonts w:ascii="Times New Roman" w:hAnsi="Times New Roman" w:cs="Times New Roman"/>
        </w:rPr>
        <w:t> </w:t>
      </w:r>
      <w:r w:rsidRPr="00987F8B" w:rsidR="004D2E28">
        <w:rPr>
          <w:rFonts w:ascii="Times New Roman" w:hAnsi="Times New Roman" w:cs="Times New Roman"/>
        </w:rPr>
        <w:t xml:space="preserve">151, </w:t>
      </w:r>
      <w:r w:rsidRPr="00987F8B" w:rsidR="00225273">
        <w:rPr>
          <w:rFonts w:ascii="Times New Roman" w:hAnsi="Times New Roman" w:cs="Times New Roman"/>
        </w:rPr>
        <w:t xml:space="preserve">152, </w:t>
      </w:r>
      <w:r w:rsidRPr="00987F8B" w:rsidR="004D2E28">
        <w:rPr>
          <w:rFonts w:ascii="Times New Roman" w:hAnsi="Times New Roman" w:cs="Times New Roman"/>
        </w:rPr>
        <w:t xml:space="preserve">154(i-j), </w:t>
      </w:r>
      <w:r w:rsidRPr="00987F8B" w:rsidR="006F3900">
        <w:rPr>
          <w:rFonts w:ascii="Times New Roman" w:hAnsi="Times New Roman" w:cs="Times New Roman"/>
        </w:rPr>
        <w:t xml:space="preserve">155(c), </w:t>
      </w:r>
      <w:r w:rsidRPr="00987F8B" w:rsidR="004D2E28">
        <w:rPr>
          <w:rFonts w:ascii="Times New Roman" w:hAnsi="Times New Roman" w:cs="Times New Roman"/>
        </w:rPr>
        <w:t>201(b), 218, 220, 225, 255, 276, 403</w:t>
      </w:r>
      <w:r w:rsidRPr="00987F8B" w:rsidR="00AA0D79">
        <w:rPr>
          <w:rFonts w:ascii="Times New Roman" w:hAnsi="Times New Roman" w:cs="Times New Roman"/>
        </w:rPr>
        <w:t>,</w:t>
      </w:r>
      <w:r w:rsidRPr="00987F8B" w:rsidR="004D2E28">
        <w:rPr>
          <w:rFonts w:ascii="Times New Roman" w:hAnsi="Times New Roman" w:cs="Times New Roman"/>
        </w:rPr>
        <w:t xml:space="preserve"> and </w:t>
      </w:r>
      <w:r w:rsidRPr="00987F8B" w:rsidR="006F3900">
        <w:rPr>
          <w:rFonts w:ascii="Times New Roman" w:hAnsi="Times New Roman" w:cs="Times New Roman"/>
        </w:rPr>
        <w:t>617, and the Martha Wright-Reed Just and Reasonable Communications Act of 2022, Pub. L. No. 117-338, 136 Stat. 6156 (2022).</w:t>
      </w:r>
    </w:p>
    <w:p w:rsidR="00F9320B" w:rsidRPr="00987F8B" w14:paraId="4689B59C" w14:textId="77777777">
      <w:pPr>
        <w:spacing w:after="120"/>
        <w:ind w:firstLine="720"/>
        <w:rPr>
          <w:rFonts w:ascii="Times New Roman" w:hAnsi="Times New Roman" w:cs="Times New Roman"/>
        </w:rPr>
      </w:pPr>
      <w:r w:rsidRPr="00987F8B">
        <w:rPr>
          <w:rFonts w:ascii="Times New Roman" w:hAnsi="Times New Roman" w:cs="Times New Roman"/>
        </w:rPr>
        <w:t>This information collection does not affect individuals or households; thus, there are no impacts under the Privacy Act.</w:t>
      </w:r>
    </w:p>
    <w:p w:rsidR="00631B3B" w:rsidRPr="00987F8B" w:rsidP="00C66E9C" w14:paraId="6C6882AB" w14:textId="27915943">
      <w:pPr>
        <w:spacing w:after="120"/>
        <w:ind w:firstLine="720"/>
        <w:rPr>
          <w:rFonts w:ascii="Times New Roman" w:hAnsi="Times New Roman" w:cs="Times New Roman"/>
        </w:rPr>
      </w:pPr>
      <w:r w:rsidRPr="00987F8B">
        <w:rPr>
          <w:rFonts w:ascii="Times New Roman" w:hAnsi="Times New Roman" w:cs="Times New Roman"/>
        </w:rPr>
        <w:t xml:space="preserve">2. </w:t>
      </w:r>
      <w:r w:rsidRPr="00987F8B" w:rsidR="009D7287">
        <w:rPr>
          <w:rFonts w:ascii="Times New Roman" w:hAnsi="Times New Roman" w:cs="Times New Roman"/>
        </w:rPr>
        <w:t xml:space="preserve"> </w:t>
      </w:r>
      <w:r w:rsidRPr="00987F8B" w:rsidR="00365FA5">
        <w:rPr>
          <w:rFonts w:ascii="Times New Roman" w:hAnsi="Times New Roman" w:cs="Times New Roman"/>
        </w:rPr>
        <w:t xml:space="preserve">The information </w:t>
      </w:r>
      <w:r w:rsidRPr="00987F8B" w:rsidR="009D7287">
        <w:rPr>
          <w:rFonts w:ascii="Times New Roman" w:hAnsi="Times New Roman" w:cs="Times New Roman"/>
        </w:rPr>
        <w:t xml:space="preserve">requirements set forth below </w:t>
      </w:r>
      <w:r w:rsidRPr="00987F8B">
        <w:rPr>
          <w:rFonts w:ascii="Times New Roman" w:hAnsi="Times New Roman" w:cs="Times New Roman"/>
        </w:rPr>
        <w:t xml:space="preserve">will </w:t>
      </w:r>
      <w:r w:rsidRPr="00987F8B" w:rsidR="009D7287">
        <w:rPr>
          <w:rFonts w:ascii="Times New Roman" w:hAnsi="Times New Roman" w:cs="Times New Roman"/>
        </w:rPr>
        <w:t xml:space="preserve">ensure that the Commission has access to the data it needs to </w:t>
      </w:r>
      <w:r w:rsidRPr="00987F8B" w:rsidR="00365FA5">
        <w:rPr>
          <w:rFonts w:ascii="Times New Roman" w:hAnsi="Times New Roman" w:cs="Times New Roman"/>
        </w:rPr>
        <w:t>fulfill its statutory and regulatory responsibilities</w:t>
      </w:r>
      <w:r w:rsidRPr="00987F8B" w:rsidR="006D43E9">
        <w:rPr>
          <w:rFonts w:ascii="Times New Roman" w:hAnsi="Times New Roman" w:cs="Times New Roman"/>
        </w:rPr>
        <w:t xml:space="preserve"> under the </w:t>
      </w:r>
      <w:r w:rsidRPr="00987F8B" w:rsidR="004A6402">
        <w:rPr>
          <w:rFonts w:ascii="Times New Roman" w:hAnsi="Times New Roman" w:cs="Times New Roman"/>
        </w:rPr>
        <w:t xml:space="preserve">Martha Wright-Reed Act and the Communications </w:t>
      </w:r>
      <w:r w:rsidRPr="00987F8B" w:rsidR="006D43E9">
        <w:rPr>
          <w:rFonts w:ascii="Times New Roman" w:hAnsi="Times New Roman" w:cs="Times New Roman"/>
        </w:rPr>
        <w:t>Act</w:t>
      </w:r>
      <w:r w:rsidRPr="00987F8B" w:rsidR="009D7287">
        <w:rPr>
          <w:rFonts w:ascii="Times New Roman" w:hAnsi="Times New Roman" w:cs="Times New Roman"/>
        </w:rPr>
        <w:t xml:space="preserve">, while minimizing the burden </w:t>
      </w:r>
      <w:r w:rsidRPr="00987F8B" w:rsidR="00C17F7F">
        <w:rPr>
          <w:rFonts w:ascii="Times New Roman" w:hAnsi="Times New Roman" w:cs="Times New Roman"/>
        </w:rPr>
        <w:t xml:space="preserve">on </w:t>
      </w:r>
      <w:r w:rsidRPr="00987F8B" w:rsidR="009D7287">
        <w:rPr>
          <w:rFonts w:ascii="Times New Roman" w:hAnsi="Times New Roman" w:cs="Times New Roman"/>
        </w:rPr>
        <w:t xml:space="preserve">IPCS providers.  Requiring providers to submit full responses in the </w:t>
      </w:r>
      <w:r w:rsidRPr="00987F8B" w:rsidR="00114977">
        <w:rPr>
          <w:rFonts w:ascii="Times New Roman" w:hAnsi="Times New Roman" w:cs="Times New Roman"/>
        </w:rPr>
        <w:t xml:space="preserve">revised </w:t>
      </w:r>
      <w:r w:rsidRPr="00987F8B" w:rsidR="009D7287">
        <w:rPr>
          <w:rFonts w:ascii="Times New Roman" w:hAnsi="Times New Roman" w:cs="Times New Roman"/>
        </w:rPr>
        <w:t>template</w:t>
      </w:r>
      <w:r w:rsidRPr="00987F8B" w:rsidR="00F26A9C">
        <w:rPr>
          <w:rFonts w:ascii="Times New Roman" w:hAnsi="Times New Roman" w:cs="Times New Roman"/>
        </w:rPr>
        <w:t>s</w:t>
      </w:r>
      <w:r w:rsidRPr="00987F8B" w:rsidR="009D7287">
        <w:rPr>
          <w:rFonts w:ascii="Times New Roman" w:hAnsi="Times New Roman" w:cs="Times New Roman"/>
        </w:rPr>
        <w:t xml:space="preserve"> will provide </w:t>
      </w:r>
      <w:r w:rsidRPr="00987F8B" w:rsidR="00387611">
        <w:rPr>
          <w:rFonts w:ascii="Times New Roman" w:hAnsi="Times New Roman" w:cs="Times New Roman"/>
        </w:rPr>
        <w:t>data on</w:t>
      </w:r>
      <w:r w:rsidRPr="00987F8B" w:rsidR="00114977">
        <w:rPr>
          <w:rFonts w:ascii="Times New Roman" w:hAnsi="Times New Roman" w:cs="Times New Roman"/>
        </w:rPr>
        <w:t xml:space="preserve"> additional</w:t>
      </w:r>
      <w:r w:rsidRPr="00987F8B" w:rsidR="00387611">
        <w:rPr>
          <w:rFonts w:ascii="Times New Roman" w:hAnsi="Times New Roman" w:cs="Times New Roman"/>
        </w:rPr>
        <w:t xml:space="preserve"> services</w:t>
      </w:r>
      <w:r w:rsidRPr="00987F8B" w:rsidR="00114977">
        <w:rPr>
          <w:rFonts w:ascii="Times New Roman" w:hAnsi="Times New Roman" w:cs="Times New Roman"/>
        </w:rPr>
        <w:t xml:space="preserve"> and providers that were not previously subject to the Commission’s</w:t>
      </w:r>
      <w:r w:rsidRPr="00987F8B" w:rsidR="00C17F7F">
        <w:rPr>
          <w:rFonts w:ascii="Times New Roman" w:hAnsi="Times New Roman" w:cs="Times New Roman"/>
        </w:rPr>
        <w:t xml:space="preserve"> </w:t>
      </w:r>
      <w:r w:rsidRPr="00987F8B">
        <w:rPr>
          <w:rFonts w:ascii="Times New Roman" w:hAnsi="Times New Roman" w:cs="Times New Roman"/>
        </w:rPr>
        <w:t>jurisdiction</w:t>
      </w:r>
      <w:r w:rsidRPr="00987F8B" w:rsidR="00114977">
        <w:rPr>
          <w:rFonts w:ascii="Times New Roman" w:hAnsi="Times New Roman" w:cs="Times New Roman"/>
        </w:rPr>
        <w:t xml:space="preserve">, </w:t>
      </w:r>
      <w:r w:rsidRPr="00987F8B" w:rsidR="00C66E9C">
        <w:rPr>
          <w:rFonts w:ascii="Times New Roman" w:hAnsi="Times New Roman" w:cs="Times New Roman"/>
        </w:rPr>
        <w:t xml:space="preserve">as well as the most recent available data on the prior covered services. </w:t>
      </w:r>
      <w:r w:rsidRPr="00987F8B" w:rsidR="00F26A9C">
        <w:rPr>
          <w:rFonts w:ascii="Times New Roman" w:hAnsi="Times New Roman" w:cs="Times New Roman"/>
        </w:rPr>
        <w:t xml:space="preserve"> </w:t>
      </w:r>
      <w:r w:rsidRPr="00987F8B" w:rsidR="00C66E9C">
        <w:rPr>
          <w:rFonts w:ascii="Times New Roman" w:hAnsi="Times New Roman" w:cs="Times New Roman"/>
        </w:rPr>
        <w:t xml:space="preserve">The revised templates and instructions will ensure that the Commission has data on </w:t>
      </w:r>
      <w:r w:rsidRPr="00987F8B" w:rsidR="00114977">
        <w:rPr>
          <w:rFonts w:ascii="Times New Roman" w:hAnsi="Times New Roman" w:cs="Times New Roman"/>
        </w:rPr>
        <w:t xml:space="preserve">the costs of </w:t>
      </w:r>
      <w:r w:rsidRPr="00987F8B" w:rsidR="00736545">
        <w:rPr>
          <w:rFonts w:ascii="Times New Roman" w:hAnsi="Times New Roman" w:cs="Times New Roman"/>
        </w:rPr>
        <w:t xml:space="preserve">incarcerated people’s </w:t>
      </w:r>
      <w:r w:rsidRPr="00987F8B" w:rsidR="00114977">
        <w:rPr>
          <w:rFonts w:ascii="Times New Roman" w:hAnsi="Times New Roman" w:cs="Times New Roman"/>
        </w:rPr>
        <w:t>advanced communications services (e.g., video</w:t>
      </w:r>
      <w:r w:rsidRPr="00987F8B" w:rsidR="0021719E">
        <w:rPr>
          <w:rFonts w:ascii="Times New Roman" w:hAnsi="Times New Roman" w:cs="Times New Roman"/>
        </w:rPr>
        <w:t xml:space="preserve"> services</w:t>
      </w:r>
      <w:r w:rsidRPr="00987F8B" w:rsidR="006D06DA">
        <w:rPr>
          <w:rFonts w:ascii="Times New Roman" w:hAnsi="Times New Roman" w:cs="Times New Roman"/>
        </w:rPr>
        <w:t>)</w:t>
      </w:r>
      <w:r w:rsidRPr="00987F8B" w:rsidR="00114977">
        <w:rPr>
          <w:rFonts w:ascii="Times New Roman" w:hAnsi="Times New Roman" w:cs="Times New Roman"/>
        </w:rPr>
        <w:t xml:space="preserve"> and intrastate services, as well as detailed data on the costs of safety and security measures</w:t>
      </w:r>
      <w:r w:rsidRPr="00987F8B" w:rsidR="00C66E9C">
        <w:rPr>
          <w:rFonts w:ascii="Times New Roman" w:hAnsi="Times New Roman" w:cs="Times New Roman"/>
        </w:rPr>
        <w:t>.</w:t>
      </w:r>
    </w:p>
    <w:p w:rsidR="00346D45" w:rsidRPr="00987F8B" w:rsidP="00B3259E" w14:paraId="71B14550" w14:textId="04D041A5">
      <w:pPr>
        <w:spacing w:after="120"/>
        <w:rPr>
          <w:rFonts w:ascii="Times New Roman" w:hAnsi="Times New Roman" w:cs="Times New Roman"/>
        </w:rPr>
      </w:pPr>
      <w:r w:rsidRPr="00987F8B">
        <w:rPr>
          <w:rFonts w:ascii="Times New Roman" w:hAnsi="Times New Roman" w:cs="Times New Roman"/>
        </w:rPr>
        <w:tab/>
        <w:t xml:space="preserve">The use of </w:t>
      </w:r>
      <w:r w:rsidRPr="00987F8B" w:rsidR="000022BE">
        <w:rPr>
          <w:rFonts w:ascii="Times New Roman" w:hAnsi="Times New Roman" w:cs="Times New Roman"/>
        </w:rPr>
        <w:t>a</w:t>
      </w:r>
      <w:r w:rsidRPr="00987F8B">
        <w:rPr>
          <w:rFonts w:ascii="Times New Roman" w:hAnsi="Times New Roman" w:cs="Times New Roman"/>
        </w:rPr>
        <w:t xml:space="preserve"> standardized template will minimize the burden on </w:t>
      </w:r>
      <w:r w:rsidRPr="00987F8B" w:rsidR="00FF431A">
        <w:rPr>
          <w:rFonts w:ascii="Times New Roman" w:hAnsi="Times New Roman" w:cs="Times New Roman"/>
        </w:rPr>
        <w:t xml:space="preserve">IPCS </w:t>
      </w:r>
      <w:r w:rsidRPr="00987F8B">
        <w:rPr>
          <w:rFonts w:ascii="Times New Roman" w:hAnsi="Times New Roman" w:cs="Times New Roman"/>
        </w:rPr>
        <w:t xml:space="preserve">providers. </w:t>
      </w:r>
      <w:r w:rsidRPr="00987F8B" w:rsidR="00D44114">
        <w:rPr>
          <w:rFonts w:ascii="Times New Roman" w:hAnsi="Times New Roman" w:cs="Times New Roman"/>
        </w:rPr>
        <w:t xml:space="preserve"> </w:t>
      </w:r>
      <w:r w:rsidRPr="00987F8B">
        <w:rPr>
          <w:rFonts w:ascii="Times New Roman" w:hAnsi="Times New Roman" w:cs="Times New Roman"/>
        </w:rPr>
        <w:t xml:space="preserve">In addition, the specific information </w:t>
      </w:r>
      <w:r w:rsidRPr="00987F8B" w:rsidR="005D1538">
        <w:rPr>
          <w:rFonts w:ascii="Times New Roman" w:hAnsi="Times New Roman" w:cs="Times New Roman"/>
        </w:rPr>
        <w:t xml:space="preserve">to be </w:t>
      </w:r>
      <w:r w:rsidRPr="00987F8B">
        <w:rPr>
          <w:rFonts w:ascii="Times New Roman" w:hAnsi="Times New Roman" w:cs="Times New Roman"/>
        </w:rPr>
        <w:t>collect</w:t>
      </w:r>
      <w:r w:rsidRPr="00987F8B" w:rsidR="0008151A">
        <w:rPr>
          <w:rFonts w:ascii="Times New Roman" w:hAnsi="Times New Roman" w:cs="Times New Roman"/>
        </w:rPr>
        <w:t>ed</w:t>
      </w:r>
      <w:r w:rsidRPr="00987F8B">
        <w:rPr>
          <w:rFonts w:ascii="Times New Roman" w:hAnsi="Times New Roman" w:cs="Times New Roman"/>
        </w:rPr>
        <w:t xml:space="preserve">, and the related instructions (including those relating to cost allocation), </w:t>
      </w:r>
      <w:r w:rsidRPr="00987F8B" w:rsidR="00247716">
        <w:rPr>
          <w:rFonts w:ascii="Times New Roman" w:hAnsi="Times New Roman" w:cs="Times New Roman"/>
        </w:rPr>
        <w:t xml:space="preserve">essentially </w:t>
      </w:r>
      <w:r w:rsidRPr="00987F8B">
        <w:rPr>
          <w:rFonts w:ascii="Times New Roman" w:hAnsi="Times New Roman" w:cs="Times New Roman"/>
        </w:rPr>
        <w:t xml:space="preserve">parallel the information collected by, and the instructions for, the Third Mandatory Data Collection.  Accordingly, </w:t>
      </w:r>
      <w:r w:rsidRPr="00987F8B" w:rsidR="00476A4D">
        <w:rPr>
          <w:rFonts w:ascii="Times New Roman" w:hAnsi="Times New Roman" w:cs="Times New Roman"/>
        </w:rPr>
        <w:t>many</w:t>
      </w:r>
      <w:r w:rsidRPr="00987F8B" w:rsidR="004E58ED">
        <w:rPr>
          <w:rFonts w:ascii="Times New Roman" w:hAnsi="Times New Roman" w:cs="Times New Roman"/>
        </w:rPr>
        <w:t>, if not most,</w:t>
      </w:r>
      <w:r w:rsidRPr="00987F8B" w:rsidR="00FF431A">
        <w:rPr>
          <w:rFonts w:ascii="Times New Roman" w:hAnsi="Times New Roman" w:cs="Times New Roman"/>
        </w:rPr>
        <w:t xml:space="preserve"> of the </w:t>
      </w:r>
      <w:r w:rsidRPr="00987F8B" w:rsidR="000B120F">
        <w:rPr>
          <w:rFonts w:ascii="Times New Roman" w:hAnsi="Times New Roman" w:cs="Times New Roman"/>
        </w:rPr>
        <w:t xml:space="preserve">IPCS </w:t>
      </w:r>
      <w:r w:rsidRPr="00987F8B">
        <w:rPr>
          <w:rFonts w:ascii="Times New Roman" w:hAnsi="Times New Roman" w:cs="Times New Roman"/>
        </w:rPr>
        <w:t xml:space="preserve">providers </w:t>
      </w:r>
      <w:r w:rsidRPr="00987F8B" w:rsidR="00FF431A">
        <w:rPr>
          <w:rFonts w:ascii="Times New Roman" w:hAnsi="Times New Roman" w:cs="Times New Roman"/>
        </w:rPr>
        <w:t xml:space="preserve">subject to this data collection </w:t>
      </w:r>
      <w:r w:rsidRPr="00987F8B">
        <w:rPr>
          <w:rFonts w:ascii="Times New Roman" w:hAnsi="Times New Roman" w:cs="Times New Roman"/>
        </w:rPr>
        <w:t xml:space="preserve">have had experience responding to </w:t>
      </w:r>
      <w:r w:rsidRPr="00987F8B" w:rsidR="00247716">
        <w:rPr>
          <w:rFonts w:ascii="Times New Roman" w:hAnsi="Times New Roman" w:cs="Times New Roman"/>
        </w:rPr>
        <w:t xml:space="preserve">similar </w:t>
      </w:r>
      <w:r w:rsidRPr="00987F8B">
        <w:rPr>
          <w:rFonts w:ascii="Times New Roman" w:hAnsi="Times New Roman" w:cs="Times New Roman"/>
        </w:rPr>
        <w:t>information collection requirements.</w:t>
      </w:r>
    </w:p>
    <w:p w:rsidR="00DF3784" w:rsidRPr="00987F8B" w:rsidP="00B3259E" w14:paraId="0F4BAEE3" w14:textId="0F53FA5D">
      <w:pPr>
        <w:spacing w:after="120"/>
        <w:rPr>
          <w:rFonts w:ascii="Times New Roman" w:hAnsi="Times New Roman" w:cs="Times New Roman"/>
        </w:rPr>
      </w:pPr>
      <w:r w:rsidRPr="00987F8B">
        <w:rPr>
          <w:rFonts w:ascii="Times New Roman" w:hAnsi="Times New Roman" w:cs="Times New Roman"/>
        </w:rPr>
        <w:tab/>
        <w:t xml:space="preserve">The requirement that </w:t>
      </w:r>
      <w:r w:rsidRPr="00987F8B" w:rsidR="00D44114">
        <w:rPr>
          <w:rFonts w:ascii="Times New Roman" w:hAnsi="Times New Roman" w:cs="Times New Roman"/>
        </w:rPr>
        <w:t xml:space="preserve">IPCS </w:t>
      </w:r>
      <w:r w:rsidRPr="00987F8B">
        <w:rPr>
          <w:rFonts w:ascii="Times New Roman" w:hAnsi="Times New Roman" w:cs="Times New Roman"/>
        </w:rPr>
        <w:t>providers submit audited financial statements and a signed certification of truthfulness, accuracy, and completeness of the responses will ensure that the information submitted will provide the Commission with a complete picture of the cost data from each provider, in a uniform manner</w:t>
      </w:r>
      <w:r w:rsidRPr="00987F8B" w:rsidR="002E2FE9">
        <w:rPr>
          <w:rFonts w:ascii="Times New Roman" w:hAnsi="Times New Roman" w:cs="Times New Roman"/>
        </w:rPr>
        <w:t>.</w:t>
      </w:r>
    </w:p>
    <w:p w:rsidR="00E10661" w:rsidRPr="00987F8B" w:rsidP="00213B73" w14:paraId="1EA661E9" w14:textId="31E2AD4A">
      <w:pPr>
        <w:tabs>
          <w:tab w:val="left" w:pos="720"/>
        </w:tabs>
        <w:spacing w:after="120"/>
        <w:rPr>
          <w:rFonts w:ascii="Times New Roman" w:hAnsi="Times New Roman" w:cs="Times New Roman"/>
          <w:b/>
        </w:rPr>
      </w:pPr>
      <w:r w:rsidRPr="00987F8B">
        <w:rPr>
          <w:rFonts w:ascii="Times New Roman" w:hAnsi="Times New Roman" w:cs="Times New Roman"/>
        </w:rPr>
        <w:tab/>
        <w:t xml:space="preserve">3.  </w:t>
      </w:r>
      <w:r w:rsidRPr="00987F8B" w:rsidR="00502DF3">
        <w:rPr>
          <w:rFonts w:ascii="Times New Roman" w:hAnsi="Times New Roman" w:cs="Times New Roman"/>
        </w:rPr>
        <w:t>WCB and OEA</w:t>
      </w:r>
      <w:r w:rsidRPr="00987F8B" w:rsidR="000A400D">
        <w:rPr>
          <w:rFonts w:ascii="Times New Roman" w:hAnsi="Times New Roman" w:cs="Times New Roman"/>
        </w:rPr>
        <w:t xml:space="preserve"> </w:t>
      </w:r>
      <w:r w:rsidRPr="00987F8B" w:rsidR="00C74E29">
        <w:rPr>
          <w:rFonts w:ascii="Times New Roman" w:hAnsi="Times New Roman" w:cs="Times New Roman"/>
        </w:rPr>
        <w:t xml:space="preserve">have </w:t>
      </w:r>
      <w:r w:rsidRPr="00987F8B">
        <w:rPr>
          <w:rFonts w:ascii="Times New Roman" w:hAnsi="Times New Roman" w:cs="Times New Roman"/>
        </w:rPr>
        <w:t>develop</w:t>
      </w:r>
      <w:r w:rsidRPr="00987F8B" w:rsidR="0084191D">
        <w:rPr>
          <w:rFonts w:ascii="Times New Roman" w:hAnsi="Times New Roman" w:cs="Times New Roman"/>
        </w:rPr>
        <w:t>ed</w:t>
      </w:r>
      <w:r w:rsidRPr="00987F8B">
        <w:rPr>
          <w:rFonts w:ascii="Times New Roman" w:hAnsi="Times New Roman" w:cs="Times New Roman"/>
        </w:rPr>
        <w:t xml:space="preserve"> </w:t>
      </w:r>
      <w:r w:rsidRPr="00987F8B" w:rsidR="00A577B2">
        <w:rPr>
          <w:rFonts w:ascii="Times New Roman" w:hAnsi="Times New Roman" w:cs="Times New Roman"/>
        </w:rPr>
        <w:t>instructions aimed at simplifying compliance with, and reducing the burden of, the data collection</w:t>
      </w:r>
      <w:r w:rsidRPr="00987F8B" w:rsidR="00B91848">
        <w:rPr>
          <w:rFonts w:ascii="Times New Roman" w:hAnsi="Times New Roman" w:cs="Times New Roman"/>
        </w:rPr>
        <w:t>,</w:t>
      </w:r>
      <w:r w:rsidRPr="00987F8B" w:rsidR="00A577B2">
        <w:rPr>
          <w:rFonts w:ascii="Times New Roman" w:hAnsi="Times New Roman" w:cs="Times New Roman"/>
        </w:rPr>
        <w:t xml:space="preserve"> as well as </w:t>
      </w:r>
      <w:r w:rsidRPr="00987F8B">
        <w:rPr>
          <w:rFonts w:ascii="Times New Roman" w:hAnsi="Times New Roman" w:cs="Times New Roman"/>
        </w:rPr>
        <w:t xml:space="preserve">standardized </w:t>
      </w:r>
      <w:r w:rsidRPr="00987F8B" w:rsidR="00B04AF8">
        <w:rPr>
          <w:rFonts w:ascii="Times New Roman" w:hAnsi="Times New Roman" w:cs="Times New Roman"/>
        </w:rPr>
        <w:t>template</w:t>
      </w:r>
      <w:r w:rsidRPr="00987F8B" w:rsidR="007C15EB">
        <w:rPr>
          <w:rFonts w:ascii="Times New Roman" w:hAnsi="Times New Roman" w:cs="Times New Roman"/>
        </w:rPr>
        <w:t>s</w:t>
      </w:r>
      <w:r w:rsidRPr="00987F8B" w:rsidR="00B04AF8">
        <w:rPr>
          <w:rFonts w:ascii="Times New Roman" w:hAnsi="Times New Roman" w:cs="Times New Roman"/>
        </w:rPr>
        <w:t xml:space="preserve"> </w:t>
      </w:r>
      <w:r w:rsidRPr="00987F8B" w:rsidR="00B614A0">
        <w:rPr>
          <w:rFonts w:ascii="Times New Roman" w:hAnsi="Times New Roman" w:cs="Times New Roman"/>
        </w:rPr>
        <w:t xml:space="preserve">and </w:t>
      </w:r>
      <w:r w:rsidRPr="00987F8B" w:rsidR="005058F8">
        <w:rPr>
          <w:rFonts w:ascii="Times New Roman" w:hAnsi="Times New Roman" w:cs="Times New Roman"/>
        </w:rPr>
        <w:t xml:space="preserve">a </w:t>
      </w:r>
      <w:r w:rsidRPr="00987F8B" w:rsidR="00B614A0">
        <w:rPr>
          <w:rFonts w:ascii="Times New Roman" w:hAnsi="Times New Roman" w:cs="Times New Roman"/>
        </w:rPr>
        <w:t>certification form</w:t>
      </w:r>
      <w:r w:rsidRPr="00987F8B" w:rsidR="003D356F">
        <w:rPr>
          <w:rFonts w:ascii="Times New Roman" w:hAnsi="Times New Roman" w:cs="Times New Roman"/>
        </w:rPr>
        <w:t xml:space="preserve"> </w:t>
      </w:r>
      <w:r w:rsidRPr="00987F8B">
        <w:rPr>
          <w:rFonts w:ascii="Times New Roman" w:hAnsi="Times New Roman" w:cs="Times New Roman"/>
        </w:rPr>
        <w:t xml:space="preserve">for the submission of </w:t>
      </w:r>
      <w:r w:rsidRPr="00987F8B" w:rsidR="00A577B2">
        <w:rPr>
          <w:rFonts w:ascii="Times New Roman" w:hAnsi="Times New Roman" w:cs="Times New Roman"/>
        </w:rPr>
        <w:t>responses</w:t>
      </w:r>
      <w:r w:rsidRPr="00987F8B">
        <w:rPr>
          <w:rFonts w:ascii="Times New Roman" w:hAnsi="Times New Roman" w:cs="Times New Roman"/>
        </w:rPr>
        <w:t xml:space="preserve">. </w:t>
      </w:r>
      <w:r w:rsidRPr="00987F8B" w:rsidR="009116BE">
        <w:rPr>
          <w:rFonts w:ascii="Times New Roman" w:hAnsi="Times New Roman" w:cs="Times New Roman"/>
        </w:rPr>
        <w:t xml:space="preserve"> </w:t>
      </w:r>
      <w:r w:rsidRPr="00987F8B" w:rsidR="000152E2">
        <w:rPr>
          <w:rFonts w:ascii="Times New Roman" w:hAnsi="Times New Roman" w:cs="Times New Roman"/>
        </w:rPr>
        <w:t xml:space="preserve">The instructions for the collection include relevant diagrams to facilitate providers’ responses. </w:t>
      </w:r>
      <w:r w:rsidRPr="00987F8B">
        <w:rPr>
          <w:rFonts w:ascii="Times New Roman" w:hAnsi="Times New Roman" w:cs="Times New Roman"/>
        </w:rPr>
        <w:t xml:space="preserve"> </w:t>
      </w:r>
    </w:p>
    <w:p w:rsidR="00E10661" w:rsidRPr="00987F8B" w:rsidP="00213B73" w14:paraId="7006EA2E" w14:textId="66FF0267">
      <w:pPr>
        <w:tabs>
          <w:tab w:val="left" w:pos="720"/>
        </w:tabs>
        <w:spacing w:after="120"/>
        <w:rPr>
          <w:rFonts w:ascii="Times New Roman" w:hAnsi="Times New Roman" w:cs="Times New Roman"/>
        </w:rPr>
      </w:pPr>
      <w:r w:rsidRPr="00987F8B">
        <w:rPr>
          <w:rFonts w:ascii="Times New Roman" w:hAnsi="Times New Roman" w:cs="Times New Roman"/>
        </w:rPr>
        <w:tab/>
        <w:t>4.  The Commission is not aware of any similar information already available that can be used or modified for the purposes described in Item 2 above.</w:t>
      </w:r>
    </w:p>
    <w:p w:rsidR="00E10661" w:rsidRPr="00987F8B" w:rsidP="00213B73" w14:paraId="5452CBF0" w14:textId="077500CE">
      <w:pPr>
        <w:tabs>
          <w:tab w:val="left" w:pos="720"/>
        </w:tabs>
        <w:spacing w:after="120"/>
        <w:rPr>
          <w:rFonts w:ascii="Times New Roman" w:hAnsi="Times New Roman" w:cs="Times New Roman"/>
        </w:rPr>
      </w:pPr>
      <w:r w:rsidRPr="00987F8B">
        <w:rPr>
          <w:rFonts w:ascii="Times New Roman" w:hAnsi="Times New Roman" w:cs="Times New Roman"/>
        </w:rPr>
        <w:tab/>
        <w:t xml:space="preserve">5.  Because the Commission’s </w:t>
      </w:r>
      <w:r w:rsidRPr="00987F8B" w:rsidR="000D62F7">
        <w:rPr>
          <w:rFonts w:ascii="Times New Roman" w:hAnsi="Times New Roman" w:cs="Times New Roman"/>
          <w:i/>
        </w:rPr>
        <w:t>202</w:t>
      </w:r>
      <w:r w:rsidRPr="00987F8B" w:rsidR="00FF2FFB">
        <w:rPr>
          <w:rFonts w:ascii="Times New Roman" w:hAnsi="Times New Roman" w:cs="Times New Roman"/>
          <w:i/>
        </w:rPr>
        <w:t>3 IPCS</w:t>
      </w:r>
      <w:r w:rsidRPr="00987F8B" w:rsidR="000D62F7">
        <w:rPr>
          <w:rFonts w:ascii="Times New Roman" w:hAnsi="Times New Roman" w:cs="Times New Roman"/>
          <w:i/>
        </w:rPr>
        <w:t xml:space="preserve"> </w:t>
      </w:r>
      <w:r w:rsidRPr="00987F8B" w:rsidR="000D62F7">
        <w:rPr>
          <w:rFonts w:ascii="Times New Roman" w:hAnsi="Times New Roman" w:cs="Times New Roman"/>
          <w:i/>
          <w:iCs/>
        </w:rPr>
        <w:t>Order</w:t>
      </w:r>
      <w:r w:rsidRPr="00987F8B" w:rsidR="000D62F7">
        <w:rPr>
          <w:rFonts w:ascii="Times New Roman" w:hAnsi="Times New Roman" w:cs="Times New Roman"/>
        </w:rPr>
        <w:t xml:space="preserve"> </w:t>
      </w:r>
      <w:r w:rsidRPr="00987F8B">
        <w:rPr>
          <w:rFonts w:ascii="Times New Roman" w:hAnsi="Times New Roman" w:cs="Times New Roman"/>
        </w:rPr>
        <w:t>requires all I</w:t>
      </w:r>
      <w:r w:rsidRPr="00987F8B" w:rsidR="00FF2FFB">
        <w:rPr>
          <w:rFonts w:ascii="Times New Roman" w:hAnsi="Times New Roman" w:cs="Times New Roman"/>
        </w:rPr>
        <w:t xml:space="preserve">PCS </w:t>
      </w:r>
      <w:r w:rsidRPr="00987F8B">
        <w:rPr>
          <w:rFonts w:ascii="Times New Roman" w:hAnsi="Times New Roman" w:cs="Times New Roman"/>
        </w:rPr>
        <w:t>providers to comply with the mandatory data collection, the collection will affect smaller</w:t>
      </w:r>
      <w:r w:rsidRPr="00987F8B" w:rsidR="00CE2664">
        <w:rPr>
          <w:rFonts w:ascii="Times New Roman" w:hAnsi="Times New Roman" w:cs="Times New Roman"/>
        </w:rPr>
        <w:t>,</w:t>
      </w:r>
      <w:r w:rsidRPr="00987F8B">
        <w:rPr>
          <w:rFonts w:ascii="Times New Roman" w:hAnsi="Times New Roman" w:cs="Times New Roman"/>
        </w:rPr>
        <w:t xml:space="preserve"> as well as larger</w:t>
      </w:r>
      <w:r w:rsidRPr="00987F8B" w:rsidR="00CE2664">
        <w:rPr>
          <w:rFonts w:ascii="Times New Roman" w:hAnsi="Times New Roman" w:cs="Times New Roman"/>
        </w:rPr>
        <w:t>,</w:t>
      </w:r>
      <w:r w:rsidRPr="00987F8B">
        <w:rPr>
          <w:rFonts w:ascii="Times New Roman" w:hAnsi="Times New Roman" w:cs="Times New Roman"/>
        </w:rPr>
        <w:t xml:space="preserve"> I</w:t>
      </w:r>
      <w:r w:rsidRPr="00987F8B" w:rsidR="00FF2FFB">
        <w:rPr>
          <w:rFonts w:ascii="Times New Roman" w:hAnsi="Times New Roman" w:cs="Times New Roman"/>
        </w:rPr>
        <w:t>PCS</w:t>
      </w:r>
      <w:r w:rsidRPr="00987F8B">
        <w:rPr>
          <w:rFonts w:ascii="Times New Roman" w:hAnsi="Times New Roman" w:cs="Times New Roman"/>
        </w:rPr>
        <w:t xml:space="preserve"> providers.  The Commission has taken steps to ensure that the data collection template</w:t>
      </w:r>
      <w:r w:rsidRPr="00987F8B" w:rsidR="00522497">
        <w:rPr>
          <w:rFonts w:ascii="Times New Roman" w:hAnsi="Times New Roman" w:cs="Times New Roman"/>
        </w:rPr>
        <w:t>s are</w:t>
      </w:r>
      <w:r w:rsidRPr="00987F8B">
        <w:rPr>
          <w:rFonts w:ascii="Times New Roman" w:hAnsi="Times New Roman" w:cs="Times New Roman"/>
        </w:rPr>
        <w:t xml:space="preserve"> competitively neutral and not unduly burdensome for any set of providers.</w:t>
      </w:r>
    </w:p>
    <w:p w:rsidR="00E10661" w:rsidRPr="00987F8B" w:rsidP="00631B3B" w14:paraId="07669F51" w14:textId="54CFA712">
      <w:pPr>
        <w:tabs>
          <w:tab w:val="left" w:pos="720"/>
        </w:tabs>
        <w:spacing w:after="120"/>
        <w:rPr>
          <w:rFonts w:ascii="Times New Roman" w:hAnsi="Times New Roman" w:cs="Times New Roman"/>
        </w:rPr>
      </w:pPr>
      <w:r w:rsidRPr="00987F8B">
        <w:rPr>
          <w:rFonts w:ascii="Times New Roman" w:hAnsi="Times New Roman" w:cs="Times New Roman"/>
        </w:rPr>
        <w:tab/>
        <w:t xml:space="preserve">6.  </w:t>
      </w:r>
      <w:r w:rsidRPr="00987F8B" w:rsidR="00842F46">
        <w:rPr>
          <w:rFonts w:ascii="Times New Roman" w:hAnsi="Times New Roman" w:cs="Times New Roman"/>
        </w:rPr>
        <w:t>Th</w:t>
      </w:r>
      <w:r w:rsidRPr="00987F8B" w:rsidR="00FF2FFB">
        <w:rPr>
          <w:rFonts w:ascii="Times New Roman" w:hAnsi="Times New Roman" w:cs="Times New Roman"/>
        </w:rPr>
        <w:t xml:space="preserve">is </w:t>
      </w:r>
      <w:r w:rsidRPr="00987F8B" w:rsidR="003F690A">
        <w:rPr>
          <w:rFonts w:ascii="Times New Roman" w:hAnsi="Times New Roman" w:cs="Times New Roman"/>
        </w:rPr>
        <w:t xml:space="preserve">2023 </w:t>
      </w:r>
      <w:r w:rsidRPr="00987F8B" w:rsidR="00FF2FFB">
        <w:rPr>
          <w:rFonts w:ascii="Times New Roman" w:hAnsi="Times New Roman" w:cs="Times New Roman"/>
        </w:rPr>
        <w:t xml:space="preserve">Mandatory </w:t>
      </w:r>
      <w:r w:rsidRPr="00987F8B" w:rsidR="00842F46">
        <w:rPr>
          <w:rFonts w:ascii="Times New Roman" w:hAnsi="Times New Roman" w:cs="Times New Roman"/>
        </w:rPr>
        <w:t xml:space="preserve">Data Collection is a one-time </w:t>
      </w:r>
      <w:r w:rsidRPr="00987F8B" w:rsidR="00507D5F">
        <w:rPr>
          <w:rFonts w:ascii="Times New Roman" w:hAnsi="Times New Roman" w:cs="Times New Roman"/>
        </w:rPr>
        <w:t>request and does not impose a recurring obligation on providers</w:t>
      </w:r>
      <w:r w:rsidRPr="00987F8B" w:rsidR="00842F46">
        <w:rPr>
          <w:rFonts w:ascii="Times New Roman" w:hAnsi="Times New Roman" w:cs="Times New Roman"/>
        </w:rPr>
        <w:t xml:space="preserve">.  </w:t>
      </w:r>
      <w:r w:rsidRPr="00987F8B" w:rsidR="006D2114">
        <w:rPr>
          <w:rFonts w:ascii="Times New Roman" w:hAnsi="Times New Roman" w:cs="Times New Roman"/>
        </w:rPr>
        <w:t xml:space="preserve">Further, it requires the collection of data for only a single calendar year instead of three calendar years, as in the previous data collection. </w:t>
      </w:r>
      <w:r w:rsidRPr="00987F8B" w:rsidR="000152E2">
        <w:rPr>
          <w:rFonts w:ascii="Times New Roman" w:hAnsi="Times New Roman" w:cs="Times New Roman"/>
        </w:rPr>
        <w:t xml:space="preserve"> </w:t>
      </w:r>
      <w:r w:rsidRPr="00987F8B">
        <w:rPr>
          <w:rFonts w:ascii="Times New Roman" w:hAnsi="Times New Roman" w:cs="Times New Roman"/>
        </w:rPr>
        <w:t>Not conducting the data collection would deprive the Commission of the detailed, industry-wide</w:t>
      </w:r>
      <w:r w:rsidRPr="00987F8B" w:rsidR="000D6BFC">
        <w:rPr>
          <w:rFonts w:ascii="Times New Roman" w:hAnsi="Times New Roman" w:cs="Times New Roman"/>
        </w:rPr>
        <w:t>,</w:t>
      </w:r>
      <w:r w:rsidRPr="00987F8B">
        <w:rPr>
          <w:rFonts w:ascii="Times New Roman" w:hAnsi="Times New Roman" w:cs="Times New Roman"/>
        </w:rPr>
        <w:t xml:space="preserve"> data necessary </w:t>
      </w:r>
      <w:r w:rsidRPr="00987F8B" w:rsidR="00631B3B">
        <w:rPr>
          <w:rFonts w:ascii="Times New Roman" w:hAnsi="Times New Roman" w:cs="Times New Roman"/>
        </w:rPr>
        <w:t xml:space="preserve">to ensure that the rates and charges for all forms of IPCS—whether voice or video, interstate </w:t>
      </w:r>
      <w:r w:rsidRPr="00987F8B" w:rsidR="005056CF">
        <w:rPr>
          <w:rFonts w:ascii="Times New Roman" w:hAnsi="Times New Roman" w:cs="Times New Roman"/>
        </w:rPr>
        <w:t xml:space="preserve">or </w:t>
      </w:r>
      <w:r w:rsidRPr="00987F8B" w:rsidR="00631B3B">
        <w:rPr>
          <w:rFonts w:ascii="Times New Roman" w:hAnsi="Times New Roman" w:cs="Times New Roman"/>
        </w:rPr>
        <w:t xml:space="preserve">intrastate—are just and reasonable and that IPCS providers are </w:t>
      </w:r>
      <w:r w:rsidRPr="00987F8B" w:rsidR="0069320F">
        <w:rPr>
          <w:rFonts w:ascii="Times New Roman" w:hAnsi="Times New Roman" w:cs="Times New Roman"/>
        </w:rPr>
        <w:t xml:space="preserve">fairly </w:t>
      </w:r>
      <w:r w:rsidRPr="00987F8B" w:rsidR="00631B3B">
        <w:rPr>
          <w:rFonts w:ascii="Times New Roman" w:hAnsi="Times New Roman" w:cs="Times New Roman"/>
        </w:rPr>
        <w:t>compensated</w:t>
      </w:r>
      <w:r w:rsidRPr="00987F8B" w:rsidR="00EB5D31">
        <w:rPr>
          <w:rFonts w:ascii="Times New Roman" w:hAnsi="Times New Roman" w:cs="Times New Roman"/>
        </w:rPr>
        <w:t xml:space="preserve">, as mandated by the </w:t>
      </w:r>
      <w:r w:rsidRPr="00987F8B" w:rsidR="00494C65">
        <w:rPr>
          <w:rFonts w:ascii="Times New Roman" w:hAnsi="Times New Roman" w:cs="Times New Roman"/>
        </w:rPr>
        <w:t>Martha Wright-Reed Act</w:t>
      </w:r>
      <w:r w:rsidRPr="00987F8B" w:rsidR="001F393F">
        <w:rPr>
          <w:rFonts w:ascii="Times New Roman" w:hAnsi="Times New Roman" w:cs="Times New Roman"/>
        </w:rPr>
        <w:t>.</w:t>
      </w:r>
      <w:r w:rsidRPr="00987F8B" w:rsidR="00C66E9C">
        <w:rPr>
          <w:rFonts w:ascii="Times New Roman" w:hAnsi="Times New Roman" w:cs="Times New Roman"/>
        </w:rPr>
        <w:t xml:space="preserve">  The information will also provide incarcerated people, their families, their representatives, and the general public with access to information affecting the provision of IPCS.</w:t>
      </w:r>
    </w:p>
    <w:p w:rsidR="00E10661" w:rsidRPr="00987F8B" w:rsidP="00213B73" w14:paraId="06FA93D6" w14:textId="77777777">
      <w:pPr>
        <w:tabs>
          <w:tab w:val="left" w:pos="720"/>
        </w:tabs>
        <w:spacing w:after="120"/>
        <w:rPr>
          <w:rFonts w:ascii="Times New Roman" w:hAnsi="Times New Roman" w:cs="Times New Roman"/>
        </w:rPr>
      </w:pPr>
      <w:r w:rsidRPr="00987F8B">
        <w:rPr>
          <w:rFonts w:ascii="Times New Roman" w:hAnsi="Times New Roman" w:cs="Times New Roman"/>
        </w:rPr>
        <w:tab/>
        <w:t xml:space="preserve">7.  No other special circumstances will apply to this information collection. </w:t>
      </w:r>
    </w:p>
    <w:p w:rsidR="006A0AA4" w:rsidRPr="00987F8B" w:rsidP="00931B56" w14:paraId="04D80954" w14:textId="757CA6B4">
      <w:pPr>
        <w:pStyle w:val="Numberedparagraphs"/>
        <w:numPr>
          <w:ilvl w:val="2"/>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t xml:space="preserve">8.  </w:t>
      </w:r>
      <w:r w:rsidRPr="00987F8B" w:rsidR="00805E59">
        <w:rPr>
          <w:rFonts w:ascii="Times New Roman" w:hAnsi="Times New Roman" w:cs="Times New Roman"/>
          <w:sz w:val="22"/>
        </w:rPr>
        <w:t xml:space="preserve">Pursuant to 5 C.F.R. § 1320.8 (d), the Commission published a 60-day </w:t>
      </w:r>
      <w:r w:rsidRPr="00987F8B" w:rsidR="00E134B0">
        <w:rPr>
          <w:rFonts w:ascii="Times New Roman" w:hAnsi="Times New Roman" w:cs="Times New Roman"/>
          <w:sz w:val="22"/>
        </w:rPr>
        <w:t>N</w:t>
      </w:r>
      <w:r w:rsidRPr="00987F8B" w:rsidR="00805E59">
        <w:rPr>
          <w:rFonts w:ascii="Times New Roman" w:hAnsi="Times New Roman" w:cs="Times New Roman"/>
          <w:sz w:val="22"/>
        </w:rPr>
        <w:t xml:space="preserve">otice in the Federal Register to solicit public comment on </w:t>
      </w:r>
      <w:r w:rsidRPr="00987F8B" w:rsidR="00415F94">
        <w:rPr>
          <w:rFonts w:ascii="Times New Roman" w:hAnsi="Times New Roman" w:cs="Times New Roman"/>
          <w:sz w:val="22"/>
        </w:rPr>
        <w:t>the requirements</w:t>
      </w:r>
      <w:r w:rsidRPr="00987F8B" w:rsidR="00447EF1">
        <w:rPr>
          <w:rFonts w:ascii="Times New Roman" w:hAnsi="Times New Roman" w:cs="Times New Roman"/>
          <w:sz w:val="22"/>
        </w:rPr>
        <w:t xml:space="preserve"> d</w:t>
      </w:r>
      <w:r w:rsidRPr="00987F8B" w:rsidR="009425FB">
        <w:rPr>
          <w:rFonts w:ascii="Times New Roman" w:hAnsi="Times New Roman" w:cs="Times New Roman"/>
          <w:sz w:val="22"/>
        </w:rPr>
        <w:t>escribed below</w:t>
      </w:r>
      <w:r w:rsidRPr="00987F8B" w:rsidR="00415F94">
        <w:rPr>
          <w:rFonts w:ascii="Times New Roman" w:hAnsi="Times New Roman" w:cs="Times New Roman"/>
          <w:sz w:val="22"/>
        </w:rPr>
        <w:t xml:space="preserve"> </w:t>
      </w:r>
      <w:r w:rsidRPr="00987F8B" w:rsidR="00805E59">
        <w:rPr>
          <w:rFonts w:ascii="Times New Roman" w:hAnsi="Times New Roman" w:cs="Times New Roman"/>
          <w:sz w:val="22"/>
        </w:rPr>
        <w:t>on</w:t>
      </w:r>
      <w:r w:rsidRPr="00987F8B" w:rsidR="00384FE3">
        <w:rPr>
          <w:rFonts w:ascii="Times New Roman" w:hAnsi="Times New Roman" w:cs="Times New Roman"/>
          <w:sz w:val="22"/>
        </w:rPr>
        <w:t xml:space="preserve"> </w:t>
      </w:r>
      <w:r w:rsidRPr="00987F8B" w:rsidR="00274047">
        <w:rPr>
          <w:rFonts w:ascii="Times New Roman" w:hAnsi="Times New Roman" w:cs="Times New Roman"/>
          <w:sz w:val="22"/>
        </w:rPr>
        <w:t>May 3,</w:t>
      </w:r>
      <w:r w:rsidRPr="00987F8B" w:rsidR="00891F1F">
        <w:rPr>
          <w:rFonts w:ascii="Times New Roman" w:hAnsi="Times New Roman" w:cs="Times New Roman"/>
          <w:sz w:val="22"/>
        </w:rPr>
        <w:t xml:space="preserve"> 20</w:t>
      </w:r>
      <w:r w:rsidRPr="00987F8B" w:rsidR="007A5C1F">
        <w:rPr>
          <w:rFonts w:ascii="Times New Roman" w:hAnsi="Times New Roman" w:cs="Times New Roman"/>
          <w:sz w:val="22"/>
        </w:rPr>
        <w:t>23</w:t>
      </w:r>
      <w:r w:rsidRPr="00987F8B" w:rsidR="00891F1F">
        <w:rPr>
          <w:rFonts w:ascii="Times New Roman" w:hAnsi="Times New Roman" w:cs="Times New Roman"/>
          <w:sz w:val="22"/>
        </w:rPr>
        <w:t xml:space="preserve"> (</w:t>
      </w:r>
      <w:r w:rsidRPr="00987F8B" w:rsidR="00274047">
        <w:rPr>
          <w:rFonts w:ascii="Times New Roman" w:hAnsi="Times New Roman" w:cs="Times New Roman"/>
          <w:sz w:val="22"/>
        </w:rPr>
        <w:t xml:space="preserve">88 </w:t>
      </w:r>
      <w:r w:rsidRPr="00987F8B" w:rsidR="00E16730">
        <w:rPr>
          <w:rFonts w:ascii="Times New Roman" w:hAnsi="Times New Roman" w:cs="Times New Roman"/>
          <w:sz w:val="22"/>
        </w:rPr>
        <w:t xml:space="preserve">FR </w:t>
      </w:r>
      <w:r w:rsidRPr="00987F8B" w:rsidR="00274047">
        <w:rPr>
          <w:rFonts w:ascii="Times New Roman" w:hAnsi="Times New Roman" w:cs="Times New Roman"/>
          <w:sz w:val="22"/>
        </w:rPr>
        <w:t>27885</w:t>
      </w:r>
      <w:r w:rsidRPr="00987F8B" w:rsidR="00F60C28">
        <w:rPr>
          <w:rFonts w:ascii="Times New Roman" w:hAnsi="Times New Roman" w:cs="Times New Roman"/>
          <w:sz w:val="22"/>
        </w:rPr>
        <w:t xml:space="preserve"> </w:t>
      </w:r>
      <w:r w:rsidRPr="00987F8B" w:rsidR="00E16730">
        <w:rPr>
          <w:rFonts w:ascii="Times New Roman" w:hAnsi="Times New Roman" w:cs="Times New Roman"/>
          <w:sz w:val="22"/>
        </w:rPr>
        <w:t>(</w:t>
      </w:r>
      <w:r w:rsidRPr="00987F8B" w:rsidR="00274047">
        <w:rPr>
          <w:rFonts w:ascii="Times New Roman" w:hAnsi="Times New Roman" w:cs="Times New Roman"/>
          <w:sz w:val="22"/>
        </w:rPr>
        <w:t xml:space="preserve">May 3, </w:t>
      </w:r>
      <w:r w:rsidRPr="00987F8B" w:rsidR="00E16730">
        <w:rPr>
          <w:rFonts w:ascii="Times New Roman" w:hAnsi="Times New Roman" w:cs="Times New Roman"/>
          <w:sz w:val="22"/>
        </w:rPr>
        <w:t>202</w:t>
      </w:r>
      <w:r w:rsidRPr="00987F8B" w:rsidR="007A5C1F">
        <w:rPr>
          <w:rFonts w:ascii="Times New Roman" w:hAnsi="Times New Roman" w:cs="Times New Roman"/>
          <w:sz w:val="22"/>
        </w:rPr>
        <w:t>3</w:t>
      </w:r>
      <w:r w:rsidRPr="00987F8B" w:rsidR="00E16730">
        <w:rPr>
          <w:rFonts w:ascii="Times New Roman" w:hAnsi="Times New Roman" w:cs="Times New Roman"/>
          <w:sz w:val="22"/>
        </w:rPr>
        <w:t>)</w:t>
      </w:r>
      <w:r w:rsidRPr="00987F8B" w:rsidR="002D1700">
        <w:rPr>
          <w:rFonts w:ascii="Times New Roman" w:hAnsi="Times New Roman" w:cs="Times New Roman"/>
          <w:sz w:val="22"/>
        </w:rPr>
        <w:t>)</w:t>
      </w:r>
      <w:r w:rsidRPr="00987F8B" w:rsidR="00E16730">
        <w:rPr>
          <w:rFonts w:ascii="Times New Roman" w:hAnsi="Times New Roman" w:cs="Times New Roman"/>
          <w:sz w:val="22"/>
        </w:rPr>
        <w:t>.</w:t>
      </w:r>
      <w:r w:rsidRPr="00987F8B" w:rsidR="005D5F7E">
        <w:rPr>
          <w:rFonts w:ascii="Times New Roman" w:hAnsi="Times New Roman" w:cs="Times New Roman"/>
          <w:sz w:val="22"/>
        </w:rPr>
        <w:t xml:space="preserve"> </w:t>
      </w:r>
      <w:bookmarkStart w:id="2" w:name="_Hlk93270841"/>
      <w:r w:rsidRPr="00987F8B" w:rsidR="002D1FD9">
        <w:rPr>
          <w:rFonts w:ascii="Times New Roman" w:hAnsi="Times New Roman" w:cs="Times New Roman"/>
          <w:sz w:val="22"/>
        </w:rPr>
        <w:t xml:space="preserve"> </w:t>
      </w:r>
      <w:r w:rsidRPr="00987F8B" w:rsidR="00DB6BAA">
        <w:rPr>
          <w:rFonts w:ascii="Times New Roman" w:hAnsi="Times New Roman" w:cs="Times New Roman"/>
          <w:sz w:val="22"/>
        </w:rPr>
        <w:t xml:space="preserve">As indicated above, the Commission </w:t>
      </w:r>
      <w:r w:rsidRPr="00987F8B" w:rsidR="002D1FD9">
        <w:rPr>
          <w:rFonts w:ascii="Times New Roman" w:hAnsi="Times New Roman" w:cs="Times New Roman"/>
          <w:sz w:val="22"/>
        </w:rPr>
        <w:t>received a single comment</w:t>
      </w:r>
      <w:r w:rsidRPr="00987F8B" w:rsidR="00DB6BAA">
        <w:rPr>
          <w:rFonts w:ascii="Times New Roman" w:hAnsi="Times New Roman" w:cs="Times New Roman"/>
          <w:sz w:val="22"/>
        </w:rPr>
        <w:t xml:space="preserve"> in response to </w:t>
      </w:r>
      <w:r w:rsidRPr="00987F8B" w:rsidR="00647184">
        <w:rPr>
          <w:rFonts w:ascii="Times New Roman" w:hAnsi="Times New Roman" w:cs="Times New Roman"/>
          <w:sz w:val="22"/>
        </w:rPr>
        <w:t xml:space="preserve">this </w:t>
      </w:r>
      <w:r w:rsidRPr="00987F8B" w:rsidR="004F77BF">
        <w:rPr>
          <w:rFonts w:ascii="Times New Roman" w:hAnsi="Times New Roman" w:cs="Times New Roman"/>
          <w:sz w:val="22"/>
        </w:rPr>
        <w:t>request for comm</w:t>
      </w:r>
      <w:r w:rsidRPr="00987F8B" w:rsidR="002E340F">
        <w:rPr>
          <w:rFonts w:ascii="Times New Roman" w:hAnsi="Times New Roman" w:cs="Times New Roman"/>
          <w:sz w:val="22"/>
        </w:rPr>
        <w:t>ents</w:t>
      </w:r>
      <w:r w:rsidRPr="00987F8B" w:rsidR="002D1FD9">
        <w:rPr>
          <w:rFonts w:ascii="Times New Roman" w:hAnsi="Times New Roman" w:cs="Times New Roman"/>
          <w:sz w:val="22"/>
        </w:rPr>
        <w:t xml:space="preserve">, submitted by </w:t>
      </w:r>
      <w:r w:rsidRPr="00987F8B" w:rsidR="002D1FD9">
        <w:rPr>
          <w:rFonts w:ascii="Times New Roman" w:hAnsi="Times New Roman" w:cs="Times New Roman"/>
          <w:sz w:val="22"/>
        </w:rPr>
        <w:t>ViaPath</w:t>
      </w:r>
      <w:r w:rsidRPr="00987F8B" w:rsidR="002D1FD9">
        <w:rPr>
          <w:rFonts w:ascii="Times New Roman" w:hAnsi="Times New Roman" w:cs="Times New Roman"/>
          <w:sz w:val="22"/>
        </w:rPr>
        <w:t xml:space="preserve"> Technologies</w:t>
      </w:r>
      <w:r w:rsidRPr="00987F8B" w:rsidR="00176BA3">
        <w:rPr>
          <w:rFonts w:ascii="Times New Roman" w:hAnsi="Times New Roman" w:cs="Times New Roman"/>
          <w:sz w:val="22"/>
        </w:rPr>
        <w:t xml:space="preserve"> </w:t>
      </w:r>
      <w:bookmarkStart w:id="3" w:name="_Hlk140773485"/>
      <w:r w:rsidRPr="00987F8B" w:rsidR="008965DD">
        <w:rPr>
          <w:rFonts w:ascii="Times New Roman" w:hAnsi="Times New Roman" w:cs="Times New Roman"/>
          <w:sz w:val="22"/>
        </w:rPr>
        <w:t>(</w:t>
      </w:r>
      <w:r w:rsidRPr="00987F8B" w:rsidR="00176BA3">
        <w:rPr>
          <w:rFonts w:ascii="Times New Roman" w:hAnsi="Times New Roman" w:cs="Times New Roman"/>
          <w:sz w:val="22"/>
        </w:rPr>
        <w:t>ViaPath</w:t>
      </w:r>
      <w:r w:rsidRPr="00987F8B" w:rsidR="00176BA3">
        <w:rPr>
          <w:rFonts w:ascii="Times New Roman" w:hAnsi="Times New Roman" w:cs="Times New Roman"/>
          <w:sz w:val="22"/>
        </w:rPr>
        <w:t>).</w:t>
      </w:r>
      <w:r>
        <w:rPr>
          <w:rStyle w:val="FootnoteReference"/>
          <w:rFonts w:cs="Times New Roman"/>
          <w:sz w:val="22"/>
        </w:rPr>
        <w:footnoteReference w:id="17"/>
      </w:r>
      <w:r w:rsidRPr="00987F8B" w:rsidR="00F60C28">
        <w:rPr>
          <w:rFonts w:ascii="Times New Roman" w:hAnsi="Times New Roman" w:cs="Times New Roman"/>
          <w:sz w:val="22"/>
        </w:rPr>
        <w:t xml:space="preserve">  </w:t>
      </w:r>
      <w:r w:rsidRPr="00987F8B" w:rsidR="0021493B">
        <w:rPr>
          <w:rFonts w:ascii="Times New Roman" w:hAnsi="Times New Roman" w:cs="Times New Roman"/>
          <w:sz w:val="22"/>
        </w:rPr>
        <w:t xml:space="preserve">We note that </w:t>
      </w:r>
      <w:r w:rsidRPr="00987F8B" w:rsidR="007D394B">
        <w:rPr>
          <w:rFonts w:ascii="Times New Roman" w:hAnsi="Times New Roman" w:cs="Times New Roman"/>
          <w:sz w:val="22"/>
        </w:rPr>
        <w:t xml:space="preserve">the arguments </w:t>
      </w:r>
      <w:r w:rsidRPr="00987F8B" w:rsidR="002F4C7A">
        <w:rPr>
          <w:rFonts w:ascii="Times New Roman" w:hAnsi="Times New Roman" w:cs="Times New Roman"/>
          <w:sz w:val="22"/>
        </w:rPr>
        <w:t>ViaPath</w:t>
      </w:r>
      <w:r w:rsidRPr="00987F8B" w:rsidR="002F4C7A">
        <w:rPr>
          <w:rFonts w:ascii="Times New Roman" w:hAnsi="Times New Roman" w:cs="Times New Roman"/>
          <w:sz w:val="22"/>
        </w:rPr>
        <w:t xml:space="preserve"> </w:t>
      </w:r>
      <w:r w:rsidRPr="00987F8B" w:rsidR="009A1889">
        <w:rPr>
          <w:rFonts w:ascii="Times New Roman" w:hAnsi="Times New Roman" w:cs="Times New Roman"/>
          <w:sz w:val="22"/>
        </w:rPr>
        <w:t xml:space="preserve">now </w:t>
      </w:r>
      <w:r w:rsidRPr="00987F8B" w:rsidR="002F4C7A">
        <w:rPr>
          <w:rFonts w:ascii="Times New Roman" w:hAnsi="Times New Roman" w:cs="Times New Roman"/>
          <w:sz w:val="22"/>
        </w:rPr>
        <w:t>advance</w:t>
      </w:r>
      <w:r w:rsidRPr="00987F8B" w:rsidR="004F77BF">
        <w:rPr>
          <w:rFonts w:ascii="Times New Roman" w:hAnsi="Times New Roman" w:cs="Times New Roman"/>
          <w:sz w:val="22"/>
        </w:rPr>
        <w:t>s</w:t>
      </w:r>
      <w:r w:rsidRPr="00987F8B" w:rsidR="009A1889">
        <w:rPr>
          <w:rFonts w:ascii="Times New Roman" w:hAnsi="Times New Roman" w:cs="Times New Roman"/>
          <w:sz w:val="22"/>
        </w:rPr>
        <w:t xml:space="preserve"> are similar to </w:t>
      </w:r>
      <w:r w:rsidRPr="00987F8B" w:rsidR="002122CB">
        <w:rPr>
          <w:rFonts w:ascii="Times New Roman" w:hAnsi="Times New Roman" w:cs="Times New Roman"/>
          <w:sz w:val="22"/>
        </w:rPr>
        <w:t xml:space="preserve">the </w:t>
      </w:r>
      <w:r w:rsidRPr="00987F8B" w:rsidR="00060588">
        <w:rPr>
          <w:rFonts w:ascii="Times New Roman" w:hAnsi="Times New Roman" w:cs="Times New Roman"/>
          <w:sz w:val="22"/>
        </w:rPr>
        <w:t xml:space="preserve">arguments </w:t>
      </w:r>
      <w:r w:rsidRPr="00987F8B" w:rsidR="008905AB">
        <w:rPr>
          <w:rFonts w:ascii="Times New Roman" w:hAnsi="Times New Roman" w:cs="Times New Roman"/>
          <w:sz w:val="22"/>
        </w:rPr>
        <w:t xml:space="preserve">it </w:t>
      </w:r>
      <w:r w:rsidRPr="00987F8B" w:rsidR="002122CB">
        <w:rPr>
          <w:rFonts w:ascii="Times New Roman" w:hAnsi="Times New Roman" w:cs="Times New Roman"/>
          <w:sz w:val="22"/>
        </w:rPr>
        <w:t xml:space="preserve">presented </w:t>
      </w:r>
      <w:r w:rsidRPr="00987F8B" w:rsidR="00E24473">
        <w:rPr>
          <w:rFonts w:ascii="Times New Roman" w:hAnsi="Times New Roman" w:cs="Times New Roman"/>
          <w:sz w:val="22"/>
        </w:rPr>
        <w:t xml:space="preserve">prior to OMB’s </w:t>
      </w:r>
      <w:r w:rsidRPr="00987F8B" w:rsidR="00EF0441">
        <w:rPr>
          <w:rFonts w:ascii="Times New Roman" w:hAnsi="Times New Roman" w:cs="Times New Roman"/>
          <w:sz w:val="22"/>
        </w:rPr>
        <w:t>approval of</w:t>
      </w:r>
      <w:r w:rsidRPr="00987F8B" w:rsidR="002122CB">
        <w:rPr>
          <w:rFonts w:ascii="Times New Roman" w:hAnsi="Times New Roman" w:cs="Times New Roman"/>
          <w:sz w:val="22"/>
        </w:rPr>
        <w:t xml:space="preserve"> </w:t>
      </w:r>
      <w:r w:rsidRPr="00987F8B" w:rsidR="00AC458B">
        <w:rPr>
          <w:rFonts w:ascii="Times New Roman" w:hAnsi="Times New Roman" w:cs="Times New Roman"/>
          <w:sz w:val="22"/>
        </w:rPr>
        <w:t xml:space="preserve">the </w:t>
      </w:r>
      <w:r w:rsidRPr="00987F8B" w:rsidR="007D1B4A">
        <w:rPr>
          <w:rFonts w:ascii="Times New Roman" w:hAnsi="Times New Roman" w:cs="Times New Roman"/>
          <w:sz w:val="22"/>
        </w:rPr>
        <w:t xml:space="preserve">Commission’s </w:t>
      </w:r>
      <w:r w:rsidRPr="00987F8B" w:rsidR="00AC458B">
        <w:rPr>
          <w:rFonts w:ascii="Times New Roman" w:hAnsi="Times New Roman" w:cs="Times New Roman"/>
          <w:sz w:val="22"/>
        </w:rPr>
        <w:t>Third Mandatory Data Collection.</w:t>
      </w:r>
      <w:r>
        <w:rPr>
          <w:rStyle w:val="FootnoteReference"/>
          <w:rFonts w:cs="Times New Roman"/>
          <w:sz w:val="22"/>
        </w:rPr>
        <w:footnoteReference w:id="18"/>
      </w:r>
      <w:bookmarkEnd w:id="3"/>
      <w:r w:rsidR="00B968F5">
        <w:rPr>
          <w:rFonts w:ascii="Times New Roman" w:hAnsi="Times New Roman" w:cs="Times New Roman"/>
          <w:sz w:val="22"/>
        </w:rPr>
        <w:t xml:space="preserve">  </w:t>
      </w:r>
    </w:p>
    <w:p w:rsidR="00FB4144" w:rsidRPr="00987F8B" w:rsidP="006A2639" w14:paraId="4AC3A35F" w14:textId="113CD11A">
      <w:pPr>
        <w:pStyle w:val="Numberedparagraphs"/>
        <w:numPr>
          <w:ilvl w:val="2"/>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i/>
          <w:iCs/>
          <w:sz w:val="22"/>
        </w:rPr>
        <w:tab/>
      </w:r>
      <w:r w:rsidRPr="00987F8B" w:rsidR="00A274D7">
        <w:rPr>
          <w:rFonts w:ascii="Times New Roman" w:hAnsi="Times New Roman" w:cs="Times New Roman"/>
          <w:sz w:val="22"/>
        </w:rPr>
        <w:t>a</w:t>
      </w:r>
      <w:r w:rsidRPr="00987F8B" w:rsidR="00EE5D4A">
        <w:rPr>
          <w:rFonts w:ascii="Times New Roman" w:hAnsi="Times New Roman" w:cs="Times New Roman"/>
          <w:sz w:val="22"/>
        </w:rPr>
        <w:t>.</w:t>
      </w:r>
      <w:r w:rsidRPr="00987F8B" w:rsidR="009559DD">
        <w:rPr>
          <w:rFonts w:ascii="Times New Roman" w:hAnsi="Times New Roman" w:cs="Times New Roman"/>
          <w:sz w:val="22"/>
        </w:rPr>
        <w:tab/>
      </w:r>
      <w:r w:rsidRPr="00987F8B" w:rsidR="00176BA3">
        <w:rPr>
          <w:rFonts w:ascii="Times New Roman" w:hAnsi="Times New Roman" w:cs="Times New Roman"/>
          <w:i/>
          <w:iCs/>
          <w:sz w:val="22"/>
        </w:rPr>
        <w:t>Estimated Burden Associated with the Collection</w:t>
      </w:r>
      <w:r w:rsidRPr="00987F8B" w:rsidR="00580AD7">
        <w:rPr>
          <w:rFonts w:ascii="Times New Roman" w:hAnsi="Times New Roman" w:cs="Times New Roman"/>
          <w:i/>
          <w:iCs/>
          <w:sz w:val="22"/>
        </w:rPr>
        <w:t>.</w:t>
      </w:r>
      <w:r w:rsidRPr="00987F8B" w:rsidR="00366D61">
        <w:rPr>
          <w:rFonts w:ascii="Times New Roman" w:hAnsi="Times New Roman" w:cs="Times New Roman"/>
          <w:sz w:val="22"/>
        </w:rPr>
        <w:t xml:space="preserve"> </w:t>
      </w:r>
      <w:r w:rsidRPr="00987F8B" w:rsidR="0005688B">
        <w:rPr>
          <w:rFonts w:ascii="Times New Roman" w:hAnsi="Times New Roman" w:cs="Times New Roman"/>
          <w:sz w:val="22"/>
        </w:rPr>
        <w:t xml:space="preserve"> </w:t>
      </w:r>
      <w:r w:rsidRPr="00987F8B" w:rsidR="00176BA3">
        <w:rPr>
          <w:rFonts w:ascii="Times New Roman" w:hAnsi="Times New Roman" w:cs="Times New Roman"/>
          <w:sz w:val="22"/>
        </w:rPr>
        <w:t>ViaPath</w:t>
      </w:r>
      <w:r w:rsidRPr="00987F8B" w:rsidR="00A5766E">
        <w:rPr>
          <w:rFonts w:ascii="Times New Roman" w:hAnsi="Times New Roman" w:cs="Times New Roman"/>
          <w:sz w:val="22"/>
        </w:rPr>
        <w:t xml:space="preserve"> asserts</w:t>
      </w:r>
      <w:r w:rsidRPr="00987F8B" w:rsidR="00BC7FB4">
        <w:rPr>
          <w:rFonts w:ascii="Times New Roman" w:hAnsi="Times New Roman" w:cs="Times New Roman"/>
          <w:sz w:val="22"/>
        </w:rPr>
        <w:t xml:space="preserve"> </w:t>
      </w:r>
      <w:r w:rsidRPr="00987F8B" w:rsidR="00A5766E">
        <w:rPr>
          <w:rFonts w:ascii="Times New Roman" w:hAnsi="Times New Roman" w:cs="Times New Roman"/>
          <w:sz w:val="22"/>
        </w:rPr>
        <w:t>t</w:t>
      </w:r>
      <w:r w:rsidRPr="00987F8B" w:rsidR="00176BA3">
        <w:rPr>
          <w:rFonts w:ascii="Times New Roman" w:hAnsi="Times New Roman" w:cs="Times New Roman"/>
          <w:sz w:val="22"/>
        </w:rPr>
        <w:t>hat the collection will impose a significant burden on providers</w:t>
      </w:r>
      <w:r w:rsidRPr="00987F8B" w:rsidR="005811AC">
        <w:rPr>
          <w:rFonts w:ascii="Times New Roman" w:hAnsi="Times New Roman" w:cs="Times New Roman"/>
          <w:sz w:val="22"/>
        </w:rPr>
        <w:t xml:space="preserve"> </w:t>
      </w:r>
      <w:r w:rsidRPr="00987F8B" w:rsidR="00171AE9">
        <w:rPr>
          <w:rFonts w:ascii="Times New Roman" w:hAnsi="Times New Roman" w:cs="Times New Roman"/>
          <w:sz w:val="22"/>
        </w:rPr>
        <w:t xml:space="preserve">and that </w:t>
      </w:r>
      <w:r w:rsidRPr="00987F8B" w:rsidR="00C158B8">
        <w:rPr>
          <w:rFonts w:ascii="Times New Roman" w:hAnsi="Times New Roman" w:cs="Times New Roman"/>
          <w:sz w:val="22"/>
        </w:rPr>
        <w:t xml:space="preserve">the average estimated burden of </w:t>
      </w:r>
      <w:r w:rsidRPr="00987F8B" w:rsidR="001C4C0C">
        <w:rPr>
          <w:rFonts w:ascii="Times New Roman" w:hAnsi="Times New Roman" w:cs="Times New Roman"/>
          <w:sz w:val="22"/>
        </w:rPr>
        <w:t xml:space="preserve">230 hours </w:t>
      </w:r>
      <w:r w:rsidRPr="00987F8B" w:rsidR="00F10CE5">
        <w:rPr>
          <w:rFonts w:ascii="Times New Roman" w:hAnsi="Times New Roman" w:cs="Times New Roman"/>
          <w:sz w:val="22"/>
        </w:rPr>
        <w:t>(</w:t>
      </w:r>
      <w:r w:rsidRPr="00987F8B" w:rsidR="000A1B2E">
        <w:rPr>
          <w:rFonts w:ascii="Times New Roman" w:hAnsi="Times New Roman" w:cs="Times New Roman"/>
          <w:sz w:val="22"/>
        </w:rPr>
        <w:t>consisting of</w:t>
      </w:r>
      <w:r w:rsidRPr="00987F8B" w:rsidR="00FA5438">
        <w:rPr>
          <w:rFonts w:ascii="Times New Roman" w:hAnsi="Times New Roman" w:cs="Times New Roman"/>
          <w:sz w:val="22"/>
        </w:rPr>
        <w:t xml:space="preserve"> 225 </w:t>
      </w:r>
      <w:r w:rsidRPr="00987F8B" w:rsidR="005D64B0">
        <w:rPr>
          <w:rFonts w:ascii="Times New Roman" w:hAnsi="Times New Roman" w:cs="Times New Roman"/>
          <w:sz w:val="22"/>
        </w:rPr>
        <w:t xml:space="preserve">hours </w:t>
      </w:r>
      <w:r w:rsidRPr="00987F8B" w:rsidR="0022646A">
        <w:rPr>
          <w:rFonts w:ascii="Times New Roman" w:hAnsi="Times New Roman" w:cs="Times New Roman"/>
          <w:sz w:val="22"/>
        </w:rPr>
        <w:t>for</w:t>
      </w:r>
      <w:r w:rsidRPr="00987F8B" w:rsidR="00FA5438">
        <w:rPr>
          <w:rFonts w:ascii="Times New Roman" w:hAnsi="Times New Roman" w:cs="Times New Roman"/>
          <w:sz w:val="22"/>
        </w:rPr>
        <w:t xml:space="preserve"> the data collection and </w:t>
      </w:r>
      <w:r w:rsidRPr="00987F8B" w:rsidR="00C5590F">
        <w:rPr>
          <w:rFonts w:ascii="Times New Roman" w:hAnsi="Times New Roman" w:cs="Times New Roman"/>
          <w:sz w:val="22"/>
        </w:rPr>
        <w:t>five</w:t>
      </w:r>
      <w:r w:rsidRPr="00987F8B" w:rsidR="001C0D7C">
        <w:rPr>
          <w:rFonts w:ascii="Times New Roman" w:hAnsi="Times New Roman" w:cs="Times New Roman"/>
          <w:sz w:val="22"/>
        </w:rPr>
        <w:t xml:space="preserve"> </w:t>
      </w:r>
      <w:r w:rsidRPr="00987F8B" w:rsidR="0022646A">
        <w:rPr>
          <w:rFonts w:ascii="Times New Roman" w:hAnsi="Times New Roman" w:cs="Times New Roman"/>
          <w:sz w:val="22"/>
        </w:rPr>
        <w:t>hours</w:t>
      </w:r>
      <w:r w:rsidRPr="00987F8B" w:rsidR="001C0D7C">
        <w:rPr>
          <w:rFonts w:ascii="Times New Roman" w:hAnsi="Times New Roman" w:cs="Times New Roman"/>
          <w:sz w:val="22"/>
        </w:rPr>
        <w:t xml:space="preserve"> </w:t>
      </w:r>
      <w:r w:rsidRPr="00987F8B" w:rsidR="000B3708">
        <w:rPr>
          <w:rFonts w:ascii="Times New Roman" w:hAnsi="Times New Roman" w:cs="Times New Roman"/>
          <w:sz w:val="22"/>
        </w:rPr>
        <w:t>for certification)</w:t>
      </w:r>
      <w:r w:rsidRPr="00987F8B" w:rsidR="00FA5438">
        <w:rPr>
          <w:rFonts w:ascii="Times New Roman" w:hAnsi="Times New Roman" w:cs="Times New Roman"/>
          <w:sz w:val="22"/>
        </w:rPr>
        <w:t xml:space="preserve"> </w:t>
      </w:r>
      <w:r w:rsidRPr="00987F8B" w:rsidR="001C4C0C">
        <w:rPr>
          <w:rFonts w:ascii="Times New Roman" w:hAnsi="Times New Roman" w:cs="Times New Roman"/>
          <w:sz w:val="22"/>
        </w:rPr>
        <w:t>per provider</w:t>
      </w:r>
      <w:r w:rsidRPr="00987F8B" w:rsidR="0085646D">
        <w:rPr>
          <w:rFonts w:ascii="Times New Roman" w:hAnsi="Times New Roman" w:cs="Times New Roman"/>
          <w:sz w:val="22"/>
        </w:rPr>
        <w:t xml:space="preserve"> </w:t>
      </w:r>
      <w:r w:rsidRPr="00987F8B" w:rsidR="00176BA3">
        <w:rPr>
          <w:rFonts w:ascii="Times New Roman" w:hAnsi="Times New Roman" w:cs="Times New Roman"/>
          <w:sz w:val="22"/>
        </w:rPr>
        <w:t>“grossly underestimate[s]” the amount of time it will take IPCS providers to respond to the collection.</w:t>
      </w:r>
      <w:r>
        <w:rPr>
          <w:rStyle w:val="FootnoteReference"/>
          <w:rFonts w:cs="Times New Roman"/>
        </w:rPr>
        <w:footnoteReference w:id="19"/>
      </w:r>
      <w:r w:rsidRPr="00987F8B" w:rsidR="00176BA3">
        <w:rPr>
          <w:rFonts w:ascii="Times New Roman" w:hAnsi="Times New Roman" w:cs="Times New Roman"/>
          <w:sz w:val="22"/>
        </w:rPr>
        <w:t xml:space="preserve">  </w:t>
      </w:r>
      <w:r w:rsidRPr="00987F8B" w:rsidR="00225954">
        <w:rPr>
          <w:rFonts w:ascii="Times New Roman" w:hAnsi="Times New Roman" w:cs="Times New Roman"/>
          <w:sz w:val="22"/>
        </w:rPr>
        <w:t xml:space="preserve">Instead of providing an alternative estimate, </w:t>
      </w:r>
      <w:r w:rsidRPr="00987F8B" w:rsidR="00225954">
        <w:rPr>
          <w:rFonts w:ascii="Times New Roman" w:hAnsi="Times New Roman" w:cs="Times New Roman"/>
          <w:sz w:val="22"/>
        </w:rPr>
        <w:t>ViaPath</w:t>
      </w:r>
      <w:r w:rsidRPr="00987F8B" w:rsidR="00225954">
        <w:rPr>
          <w:rFonts w:ascii="Times New Roman" w:hAnsi="Times New Roman" w:cs="Times New Roman"/>
          <w:sz w:val="22"/>
        </w:rPr>
        <w:t xml:space="preserve"> simply points out that it provides IPCS at over 1,500 facilities and that if it spent only “an unrealistically low” 30 minutes per facility to respond to the data collection, its total response time would be 750 hours.</w:t>
      </w:r>
      <w:r>
        <w:rPr>
          <w:rStyle w:val="FootnoteReference"/>
          <w:rFonts w:cs="Times New Roman"/>
        </w:rPr>
        <w:footnoteReference w:id="20"/>
      </w:r>
      <w:r w:rsidRPr="00987F8B" w:rsidR="00225954">
        <w:rPr>
          <w:rFonts w:ascii="Times New Roman" w:hAnsi="Times New Roman" w:cs="Times New Roman"/>
          <w:sz w:val="22"/>
        </w:rPr>
        <w:t xml:space="preserve">  </w:t>
      </w:r>
    </w:p>
    <w:p w:rsidR="00AF528E" w:rsidRPr="00987F8B" w:rsidP="00AF528E" w14:paraId="26E18776" w14:textId="37D89670">
      <w:pPr>
        <w:pStyle w:val="Numberedparagraphs"/>
        <w:numPr>
          <w:ilvl w:val="0"/>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t xml:space="preserve">We disagree that this one-time data collection is overly burdensome.  In the </w:t>
      </w:r>
      <w:r w:rsidRPr="00987F8B">
        <w:rPr>
          <w:rFonts w:ascii="Times New Roman" w:hAnsi="Times New Roman" w:cs="Times New Roman"/>
          <w:i/>
          <w:iCs/>
          <w:sz w:val="22"/>
        </w:rPr>
        <w:t>2023 IPCS Order</w:t>
      </w:r>
      <w:r w:rsidRPr="00987F8B">
        <w:rPr>
          <w:rFonts w:ascii="Times New Roman" w:hAnsi="Times New Roman" w:cs="Times New Roman"/>
          <w:sz w:val="22"/>
        </w:rPr>
        <w:t>, the Commission determined the collection is required under the Martha Wright-Reed Act, which “contemplate[s] and require[s] the collection and analysis of advanced communications services’ costs and related data, especially for video communications, among other data that, prior to the Act, the Commission either had no jurisdiction to collect or reason for doing so.”</w:t>
      </w:r>
      <w:r>
        <w:rPr>
          <w:rStyle w:val="FootnoteReference"/>
          <w:rFonts w:cs="Times New Roman"/>
        </w:rPr>
        <w:footnoteReference w:id="21"/>
      </w:r>
      <w:r w:rsidRPr="00987F8B">
        <w:rPr>
          <w:rFonts w:ascii="Times New Roman" w:hAnsi="Times New Roman" w:cs="Times New Roman"/>
          <w:sz w:val="22"/>
        </w:rPr>
        <w:t xml:space="preserve">  Consequently, the Commission </w:t>
      </w:r>
      <w:r w:rsidRPr="00987F8B" w:rsidR="006F490C">
        <w:rPr>
          <w:rFonts w:ascii="Times New Roman" w:hAnsi="Times New Roman" w:cs="Times New Roman"/>
          <w:sz w:val="22"/>
        </w:rPr>
        <w:t>directed WCB and OEA to</w:t>
      </w:r>
      <w:r w:rsidRPr="00987F8B">
        <w:rPr>
          <w:rFonts w:ascii="Times New Roman" w:hAnsi="Times New Roman" w:cs="Times New Roman"/>
          <w:sz w:val="22"/>
        </w:rPr>
        <w:t xml:space="preserve"> “update the prior data collection to encompass, and collect,” the data addressed by the Martha Wright-Reed Act.</w:t>
      </w:r>
      <w:r>
        <w:rPr>
          <w:rStyle w:val="FootnoteReference"/>
          <w:rFonts w:cs="Times New Roman"/>
        </w:rPr>
        <w:footnoteReference w:id="22"/>
      </w:r>
      <w:r w:rsidRPr="00987F8B">
        <w:rPr>
          <w:rFonts w:ascii="Times New Roman" w:hAnsi="Times New Roman" w:cs="Times New Roman"/>
          <w:sz w:val="22"/>
        </w:rPr>
        <w:t xml:space="preserve">  As implemented, </w:t>
      </w:r>
      <w:r w:rsidRPr="00987F8B" w:rsidR="00225954">
        <w:rPr>
          <w:rFonts w:ascii="Times New Roman" w:hAnsi="Times New Roman" w:cs="Times New Roman"/>
          <w:sz w:val="22"/>
        </w:rPr>
        <w:t xml:space="preserve">the 2023 Mandatory Data </w:t>
      </w:r>
      <w:r w:rsidRPr="00987F8B" w:rsidR="00770341">
        <w:rPr>
          <w:rFonts w:ascii="Times New Roman" w:hAnsi="Times New Roman" w:cs="Times New Roman"/>
          <w:sz w:val="22"/>
        </w:rPr>
        <w:t>C</w:t>
      </w:r>
      <w:r w:rsidRPr="00987F8B">
        <w:rPr>
          <w:rFonts w:ascii="Times New Roman" w:hAnsi="Times New Roman" w:cs="Times New Roman"/>
          <w:sz w:val="22"/>
        </w:rPr>
        <w:t xml:space="preserve">ollection is fully consistent with the Commission’s assessment and </w:t>
      </w:r>
      <w:r w:rsidRPr="00987F8B" w:rsidR="00D30E12">
        <w:rPr>
          <w:rFonts w:ascii="Times New Roman" w:hAnsi="Times New Roman" w:cs="Times New Roman"/>
          <w:sz w:val="22"/>
        </w:rPr>
        <w:t>with the</w:t>
      </w:r>
      <w:r w:rsidRPr="00987F8B" w:rsidR="00866A80">
        <w:rPr>
          <w:rFonts w:ascii="Times New Roman" w:hAnsi="Times New Roman" w:cs="Times New Roman"/>
          <w:sz w:val="22"/>
        </w:rPr>
        <w:t xml:space="preserve"> requirement of the Martha Wright-Reed Act</w:t>
      </w:r>
      <w:r w:rsidRPr="00987F8B" w:rsidR="00BB3D90">
        <w:rPr>
          <w:rFonts w:ascii="Times New Roman" w:hAnsi="Times New Roman" w:cs="Times New Roman"/>
          <w:sz w:val="22"/>
        </w:rPr>
        <w:t>.</w:t>
      </w:r>
    </w:p>
    <w:p w:rsidR="00610C33" w:rsidRPr="00987F8B" w:rsidP="00610C33" w14:paraId="288D1C0B" w14:textId="1F7A58C3">
      <w:pPr>
        <w:pStyle w:val="Numberedparagraphs"/>
        <w:numPr>
          <w:ilvl w:val="2"/>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r>
      <w:r w:rsidRPr="00987F8B" w:rsidR="00363249">
        <w:rPr>
          <w:rFonts w:ascii="Times New Roman" w:hAnsi="Times New Roman" w:cs="Times New Roman"/>
          <w:sz w:val="22"/>
        </w:rPr>
        <w:t>ViaPath</w:t>
      </w:r>
      <w:r w:rsidRPr="00987F8B" w:rsidR="00B469E6">
        <w:rPr>
          <w:rFonts w:ascii="Times New Roman" w:hAnsi="Times New Roman" w:cs="Times New Roman"/>
          <w:sz w:val="22"/>
        </w:rPr>
        <w:t>’s</w:t>
      </w:r>
      <w:r w:rsidRPr="00987F8B" w:rsidR="00B469E6">
        <w:rPr>
          <w:rFonts w:ascii="Times New Roman" w:hAnsi="Times New Roman" w:cs="Times New Roman"/>
          <w:sz w:val="22"/>
        </w:rPr>
        <w:t xml:space="preserve"> argument that </w:t>
      </w:r>
      <w:r w:rsidRPr="00987F8B">
        <w:rPr>
          <w:rFonts w:ascii="Times New Roman" w:hAnsi="Times New Roman" w:cs="Times New Roman"/>
          <w:sz w:val="22"/>
        </w:rPr>
        <w:t xml:space="preserve">WCB and OEA </w:t>
      </w:r>
      <w:r w:rsidRPr="00987F8B" w:rsidR="00B469E6">
        <w:rPr>
          <w:rFonts w:ascii="Times New Roman" w:hAnsi="Times New Roman" w:cs="Times New Roman"/>
          <w:sz w:val="22"/>
        </w:rPr>
        <w:t xml:space="preserve">“grossly underestimated” the burden of the collection </w:t>
      </w:r>
      <w:r w:rsidRPr="00987F8B">
        <w:rPr>
          <w:rFonts w:ascii="Times New Roman" w:hAnsi="Times New Roman" w:cs="Times New Roman"/>
          <w:sz w:val="22"/>
        </w:rPr>
        <w:t xml:space="preserve">ignores </w:t>
      </w:r>
      <w:r w:rsidRPr="00987F8B" w:rsidR="00F3499C">
        <w:rPr>
          <w:rFonts w:ascii="Times New Roman" w:hAnsi="Times New Roman" w:cs="Times New Roman"/>
          <w:sz w:val="22"/>
        </w:rPr>
        <w:t xml:space="preserve">WCB’s and OEA’s </w:t>
      </w:r>
      <w:r w:rsidRPr="00987F8B" w:rsidR="0000252F">
        <w:rPr>
          <w:rFonts w:ascii="Times New Roman" w:hAnsi="Times New Roman" w:cs="Times New Roman"/>
          <w:sz w:val="22"/>
        </w:rPr>
        <w:t xml:space="preserve">prior </w:t>
      </w:r>
      <w:r w:rsidRPr="00987F8B" w:rsidR="00F50F1C">
        <w:rPr>
          <w:rFonts w:ascii="Times New Roman" w:hAnsi="Times New Roman" w:cs="Times New Roman"/>
          <w:sz w:val="22"/>
        </w:rPr>
        <w:t xml:space="preserve">finding that </w:t>
      </w:r>
      <w:r w:rsidRPr="00987F8B" w:rsidR="005D6919">
        <w:rPr>
          <w:rFonts w:ascii="Times New Roman" w:hAnsi="Times New Roman" w:cs="Times New Roman"/>
          <w:sz w:val="22"/>
        </w:rPr>
        <w:t>ViaPath</w:t>
      </w:r>
      <w:r w:rsidRPr="00987F8B" w:rsidR="005D6919">
        <w:rPr>
          <w:rFonts w:ascii="Times New Roman" w:hAnsi="Times New Roman" w:cs="Times New Roman"/>
          <w:sz w:val="22"/>
        </w:rPr>
        <w:t xml:space="preserve"> </w:t>
      </w:r>
      <w:r w:rsidRPr="00987F8B" w:rsidR="00B469E6">
        <w:rPr>
          <w:rFonts w:ascii="Times New Roman" w:hAnsi="Times New Roman" w:cs="Times New Roman"/>
          <w:sz w:val="22"/>
        </w:rPr>
        <w:t>is the largest provider</w:t>
      </w:r>
      <w:r w:rsidRPr="00987F8B" w:rsidR="004D7080">
        <w:rPr>
          <w:rFonts w:ascii="Times New Roman" w:hAnsi="Times New Roman" w:cs="Times New Roman"/>
          <w:sz w:val="22"/>
        </w:rPr>
        <w:t xml:space="preserve"> of IPCS</w:t>
      </w:r>
      <w:r w:rsidRPr="00987F8B" w:rsidR="00B469E6">
        <w:rPr>
          <w:rFonts w:ascii="Times New Roman" w:hAnsi="Times New Roman" w:cs="Times New Roman"/>
          <w:sz w:val="22"/>
        </w:rPr>
        <w:t xml:space="preserve">, “with an estimated </w:t>
      </w:r>
      <w:r w:rsidRPr="00987F8B" w:rsidR="00B469E6">
        <w:rPr>
          <w:rFonts w:ascii="Times New Roman" w:hAnsi="Times New Roman" w:cs="Times New Roman"/>
          <w:sz w:val="22"/>
        </w:rPr>
        <w:t>market share approaching 50%”</w:t>
      </w:r>
      <w:r w:rsidRPr="00987F8B">
        <w:rPr>
          <w:rFonts w:ascii="Times New Roman" w:hAnsi="Times New Roman" w:cs="Times New Roman"/>
          <w:sz w:val="22"/>
        </w:rPr>
        <w:t xml:space="preserve"> and is otherwise unavailing.</w:t>
      </w:r>
      <w:r>
        <w:rPr>
          <w:rStyle w:val="FootnoteReference"/>
          <w:rFonts w:cs="Times New Roman"/>
        </w:rPr>
        <w:footnoteReference w:id="23"/>
      </w:r>
      <w:r w:rsidRPr="00987F8B" w:rsidR="008B22C0">
        <w:rPr>
          <w:rFonts w:ascii="Times New Roman" w:hAnsi="Times New Roman" w:cs="Times New Roman"/>
          <w:sz w:val="22"/>
        </w:rPr>
        <w:t xml:space="preserve"> </w:t>
      </w:r>
      <w:r w:rsidRPr="00987F8B" w:rsidR="002D7FE6">
        <w:rPr>
          <w:rFonts w:ascii="Times New Roman" w:hAnsi="Times New Roman" w:cs="Times New Roman"/>
          <w:sz w:val="22"/>
        </w:rPr>
        <w:t xml:space="preserve"> </w:t>
      </w:r>
      <w:r w:rsidRPr="00987F8B" w:rsidR="002E7B39">
        <w:rPr>
          <w:rFonts w:ascii="Times New Roman" w:hAnsi="Times New Roman" w:cs="Times New Roman"/>
          <w:sz w:val="22"/>
        </w:rPr>
        <w:t>In light</w:t>
      </w:r>
      <w:r w:rsidRPr="00987F8B" w:rsidR="00E33CB3">
        <w:rPr>
          <w:rFonts w:ascii="Times New Roman" w:hAnsi="Times New Roman" w:cs="Times New Roman"/>
          <w:sz w:val="22"/>
        </w:rPr>
        <w:t xml:space="preserve"> of that market share, we would expect that </w:t>
      </w:r>
      <w:r w:rsidRPr="00987F8B" w:rsidR="002E7B39">
        <w:rPr>
          <w:rFonts w:ascii="Times New Roman" w:hAnsi="Times New Roman" w:cs="Times New Roman"/>
          <w:sz w:val="22"/>
        </w:rPr>
        <w:t>ViaPath’s</w:t>
      </w:r>
      <w:r w:rsidRPr="00987F8B" w:rsidR="002E7B39">
        <w:rPr>
          <w:rFonts w:ascii="Times New Roman" w:hAnsi="Times New Roman" w:cs="Times New Roman"/>
          <w:sz w:val="22"/>
        </w:rPr>
        <w:t xml:space="preserve"> </w:t>
      </w:r>
      <w:r w:rsidRPr="00987F8B" w:rsidR="00E33CB3">
        <w:rPr>
          <w:rFonts w:ascii="Times New Roman" w:hAnsi="Times New Roman" w:cs="Times New Roman"/>
          <w:sz w:val="22"/>
        </w:rPr>
        <w:t>total response time would exceed any industry average, regardless of the number of estimated hours.</w:t>
      </w:r>
      <w:r w:rsidRPr="00987F8B" w:rsidR="00181078">
        <w:rPr>
          <w:rFonts w:ascii="Times New Roman" w:hAnsi="Times New Roman" w:cs="Times New Roman"/>
          <w:sz w:val="22"/>
        </w:rPr>
        <w:t xml:space="preserve">  </w:t>
      </w:r>
      <w:r w:rsidRPr="00987F8B" w:rsidR="003C322B">
        <w:rPr>
          <w:rFonts w:ascii="Times New Roman" w:hAnsi="Times New Roman" w:cs="Times New Roman"/>
          <w:sz w:val="22"/>
        </w:rPr>
        <w:t>Nevertheless, we are increasing the average burden hour estimate to account for the additional effort required to comply with the</w:t>
      </w:r>
      <w:r w:rsidRPr="00987F8B" w:rsidR="00BA5CE2">
        <w:rPr>
          <w:rFonts w:ascii="Times New Roman" w:hAnsi="Times New Roman" w:cs="Times New Roman"/>
          <w:sz w:val="22"/>
        </w:rPr>
        <w:t xml:space="preserve"> </w:t>
      </w:r>
      <w:r w:rsidRPr="00987F8B" w:rsidR="003C322B">
        <w:rPr>
          <w:rFonts w:ascii="Times New Roman" w:hAnsi="Times New Roman" w:cs="Times New Roman"/>
          <w:sz w:val="22"/>
        </w:rPr>
        <w:t>changes from the propos</w:t>
      </w:r>
      <w:r w:rsidRPr="00987F8B" w:rsidR="006F239F">
        <w:rPr>
          <w:rFonts w:ascii="Times New Roman" w:hAnsi="Times New Roman" w:cs="Times New Roman"/>
          <w:sz w:val="22"/>
        </w:rPr>
        <w:t xml:space="preserve">ed collection that WCB and OEA made </w:t>
      </w:r>
      <w:r w:rsidRPr="00987F8B" w:rsidR="003E4554">
        <w:rPr>
          <w:rFonts w:ascii="Times New Roman" w:hAnsi="Times New Roman" w:cs="Times New Roman"/>
          <w:sz w:val="22"/>
        </w:rPr>
        <w:t>in response to public comment</w:t>
      </w:r>
      <w:r w:rsidRPr="00987F8B" w:rsidR="003C322B">
        <w:rPr>
          <w:rFonts w:ascii="Times New Roman" w:hAnsi="Times New Roman" w:cs="Times New Roman"/>
          <w:sz w:val="22"/>
        </w:rPr>
        <w:t>.</w:t>
      </w:r>
      <w:r>
        <w:rPr>
          <w:rStyle w:val="FootnoteReference"/>
          <w:rFonts w:cs="Times New Roman"/>
        </w:rPr>
        <w:footnoteReference w:id="24"/>
      </w:r>
      <w:r w:rsidRPr="00987F8B" w:rsidR="003C322B">
        <w:rPr>
          <w:rFonts w:ascii="Times New Roman" w:hAnsi="Times New Roman" w:cs="Times New Roman"/>
          <w:sz w:val="22"/>
        </w:rPr>
        <w:t xml:space="preserve">  Importantly, these changes reflect WCB’s and OEA’s judgment that the benefits from the changes outweigh the additional burden on providers.</w:t>
      </w:r>
    </w:p>
    <w:p w:rsidR="00176BA3" w:rsidRPr="00987F8B" w:rsidP="00EE120C" w14:paraId="0EE0E000" w14:textId="0FCEC3B5">
      <w:pPr>
        <w:pStyle w:val="Numberedparagraphs"/>
        <w:numPr>
          <w:ilvl w:val="2"/>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t xml:space="preserve">Specifically, we are increasing our average </w:t>
      </w:r>
      <w:r w:rsidRPr="00987F8B" w:rsidR="00192AB1">
        <w:rPr>
          <w:rFonts w:ascii="Times New Roman" w:hAnsi="Times New Roman" w:cs="Times New Roman"/>
          <w:sz w:val="22"/>
        </w:rPr>
        <w:t xml:space="preserve">estimated </w:t>
      </w:r>
      <w:r w:rsidRPr="00987F8B">
        <w:rPr>
          <w:rFonts w:ascii="Times New Roman" w:hAnsi="Times New Roman" w:cs="Times New Roman"/>
          <w:sz w:val="22"/>
        </w:rPr>
        <w:t xml:space="preserve">burden </w:t>
      </w:r>
      <w:r w:rsidRPr="00987F8B" w:rsidR="00192AB1">
        <w:rPr>
          <w:rFonts w:ascii="Times New Roman" w:hAnsi="Times New Roman" w:cs="Times New Roman"/>
          <w:sz w:val="22"/>
        </w:rPr>
        <w:t>of</w:t>
      </w:r>
      <w:r w:rsidRPr="00987F8B">
        <w:rPr>
          <w:rFonts w:ascii="Times New Roman" w:hAnsi="Times New Roman" w:cs="Times New Roman"/>
          <w:sz w:val="22"/>
        </w:rPr>
        <w:t xml:space="preserve"> 265 hours</w:t>
      </w:r>
      <w:r w:rsidRPr="00987F8B" w:rsidR="00192AB1">
        <w:rPr>
          <w:rFonts w:ascii="Times New Roman" w:hAnsi="Times New Roman" w:cs="Times New Roman"/>
          <w:sz w:val="22"/>
        </w:rPr>
        <w:t xml:space="preserve"> (consisting of 260 hours for the data collection and five hours for certification) per provider </w:t>
      </w:r>
      <w:r w:rsidRPr="00987F8B">
        <w:rPr>
          <w:rFonts w:ascii="Times New Roman" w:hAnsi="Times New Roman" w:cs="Times New Roman"/>
          <w:sz w:val="22"/>
        </w:rPr>
        <w:t>to account for changes made in finalizing the collection.  This new estimate is sufficient to allow IPCS providers to report the requisite data and certification in the required format, without unduly burdening the providers.</w:t>
      </w:r>
    </w:p>
    <w:p w:rsidR="00176BA3" w:rsidRPr="00987F8B" w:rsidP="00EE120C" w14:paraId="24F90419" w14:textId="7E714505">
      <w:pPr>
        <w:pStyle w:val="Numberedparagraphs"/>
        <w:numPr>
          <w:ilvl w:val="0"/>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r>
      <w:r w:rsidRPr="00987F8B" w:rsidR="00D1538F">
        <w:rPr>
          <w:rFonts w:ascii="Times New Roman" w:hAnsi="Times New Roman" w:cs="Times New Roman"/>
          <w:sz w:val="22"/>
        </w:rPr>
        <w:t>b.</w:t>
      </w:r>
      <w:r w:rsidRPr="00987F8B" w:rsidR="00D1538F">
        <w:rPr>
          <w:rFonts w:ascii="Times New Roman" w:hAnsi="Times New Roman" w:cs="Times New Roman"/>
          <w:sz w:val="22"/>
        </w:rPr>
        <w:tab/>
      </w:r>
      <w:r w:rsidRPr="00987F8B">
        <w:rPr>
          <w:rFonts w:ascii="Times New Roman" w:hAnsi="Times New Roman" w:cs="Times New Roman"/>
          <w:i/>
          <w:sz w:val="22"/>
        </w:rPr>
        <w:t>Types of Data Requested</w:t>
      </w:r>
      <w:r w:rsidRPr="00987F8B" w:rsidR="00C109D3">
        <w:rPr>
          <w:rFonts w:ascii="Times New Roman" w:hAnsi="Times New Roman" w:cs="Times New Roman"/>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w:t>
      </w:r>
      <w:r w:rsidRPr="00987F8B" w:rsidR="00131847">
        <w:rPr>
          <w:rFonts w:ascii="Times New Roman" w:hAnsi="Times New Roman" w:cs="Times New Roman"/>
          <w:sz w:val="22"/>
        </w:rPr>
        <w:t xml:space="preserve">next </w:t>
      </w:r>
      <w:r w:rsidRPr="00987F8B">
        <w:rPr>
          <w:rFonts w:ascii="Times New Roman" w:hAnsi="Times New Roman" w:cs="Times New Roman"/>
          <w:sz w:val="22"/>
        </w:rPr>
        <w:t>contends that certain reporting obligations will be particularly burdensome, while others “will not otherwise yield useful information regarding IPCS costs.”</w:t>
      </w:r>
      <w:r>
        <w:rPr>
          <w:rStyle w:val="FootnoteReference"/>
          <w:rFonts w:cs="Times New Roman"/>
          <w:sz w:val="22"/>
        </w:rPr>
        <w:footnoteReference w:id="25"/>
      </w:r>
      <w:r w:rsidRPr="00987F8B">
        <w:rPr>
          <w:rFonts w:ascii="Times New Roman" w:hAnsi="Times New Roman" w:cs="Times New Roman"/>
          <w:sz w:val="22"/>
        </w:rPr>
        <w:t xml:space="preserve">  </w:t>
      </w:r>
      <w:r w:rsidRPr="00987F8B" w:rsidR="00C720E0">
        <w:rPr>
          <w:rFonts w:ascii="Times New Roman" w:hAnsi="Times New Roman" w:cs="Times New Roman"/>
          <w:sz w:val="22"/>
        </w:rPr>
        <w:t xml:space="preserve">The only specific </w:t>
      </w:r>
      <w:r w:rsidRPr="00987F8B">
        <w:rPr>
          <w:rFonts w:ascii="Times New Roman" w:hAnsi="Times New Roman" w:cs="Times New Roman"/>
          <w:sz w:val="22"/>
        </w:rPr>
        <w:t xml:space="preserve">example </w:t>
      </w:r>
      <w:r w:rsidRPr="00987F8B">
        <w:rPr>
          <w:rFonts w:ascii="Times New Roman" w:hAnsi="Times New Roman" w:cs="Times New Roman"/>
          <w:sz w:val="22"/>
        </w:rPr>
        <w:t>ViaPath</w:t>
      </w:r>
      <w:r w:rsidRPr="00987F8B">
        <w:rPr>
          <w:rFonts w:ascii="Times New Roman" w:hAnsi="Times New Roman" w:cs="Times New Roman"/>
          <w:sz w:val="22"/>
        </w:rPr>
        <w:t xml:space="preserve"> </w:t>
      </w:r>
      <w:r w:rsidRPr="00987F8B" w:rsidR="00FA760B">
        <w:rPr>
          <w:rFonts w:ascii="Times New Roman" w:hAnsi="Times New Roman" w:cs="Times New Roman"/>
          <w:sz w:val="22"/>
        </w:rPr>
        <w:t>raises</w:t>
      </w:r>
      <w:r w:rsidRPr="00987F8B" w:rsidR="00F82670">
        <w:rPr>
          <w:rFonts w:ascii="Times New Roman" w:hAnsi="Times New Roman" w:cs="Times New Roman"/>
          <w:sz w:val="22"/>
        </w:rPr>
        <w:t xml:space="preserve"> in this regard, however,</w:t>
      </w:r>
      <w:r w:rsidRPr="00987F8B" w:rsidR="00FA760B">
        <w:rPr>
          <w:rFonts w:ascii="Times New Roman" w:hAnsi="Times New Roman" w:cs="Times New Roman"/>
          <w:sz w:val="22"/>
        </w:rPr>
        <w:t xml:space="preserve"> </w:t>
      </w:r>
      <w:r w:rsidRPr="00987F8B" w:rsidR="003F4978">
        <w:rPr>
          <w:rFonts w:ascii="Times New Roman" w:hAnsi="Times New Roman" w:cs="Times New Roman"/>
          <w:sz w:val="22"/>
        </w:rPr>
        <w:t xml:space="preserve">concerns </w:t>
      </w:r>
      <w:r w:rsidRPr="00987F8B" w:rsidR="00F3069B">
        <w:rPr>
          <w:rFonts w:ascii="Times New Roman" w:hAnsi="Times New Roman" w:cs="Times New Roman"/>
          <w:sz w:val="22"/>
        </w:rPr>
        <w:t>data on facility</w:t>
      </w:r>
      <w:r w:rsidRPr="00987F8B" w:rsidR="00837B51">
        <w:rPr>
          <w:rFonts w:ascii="Times New Roman" w:hAnsi="Times New Roman" w:cs="Times New Roman"/>
          <w:sz w:val="22"/>
        </w:rPr>
        <w:t xml:space="preserve">’s </w:t>
      </w:r>
      <w:r w:rsidRPr="00987F8B" w:rsidR="00F3069B">
        <w:rPr>
          <w:rFonts w:ascii="Times New Roman" w:hAnsi="Times New Roman" w:cs="Times New Roman"/>
          <w:sz w:val="22"/>
        </w:rPr>
        <w:t>total admissions, total releases, and weekly turnover</w:t>
      </w:r>
      <w:r w:rsidRPr="00987F8B" w:rsidR="0006548D">
        <w:rPr>
          <w:rFonts w:ascii="Times New Roman" w:hAnsi="Times New Roman" w:cs="Times New Roman"/>
          <w:sz w:val="22"/>
        </w:rPr>
        <w:t xml:space="preserve">, </w:t>
      </w:r>
      <w:r w:rsidRPr="00987F8B" w:rsidR="00837B51">
        <w:rPr>
          <w:rFonts w:ascii="Times New Roman" w:hAnsi="Times New Roman" w:cs="Times New Roman"/>
          <w:sz w:val="22"/>
        </w:rPr>
        <w:t xml:space="preserve">which </w:t>
      </w:r>
      <w:r w:rsidRPr="00987F8B" w:rsidR="00837B51">
        <w:rPr>
          <w:rFonts w:ascii="Times New Roman" w:hAnsi="Times New Roman" w:cs="Times New Roman"/>
          <w:sz w:val="22"/>
        </w:rPr>
        <w:t>ViaPath</w:t>
      </w:r>
      <w:r w:rsidRPr="00987F8B" w:rsidR="00837B51">
        <w:rPr>
          <w:rFonts w:ascii="Times New Roman" w:hAnsi="Times New Roman" w:cs="Times New Roman"/>
          <w:sz w:val="22"/>
        </w:rPr>
        <w:t xml:space="preserve"> contends </w:t>
      </w:r>
      <w:r w:rsidRPr="00987F8B" w:rsidR="00F3069B">
        <w:rPr>
          <w:rFonts w:ascii="Times New Roman" w:hAnsi="Times New Roman" w:cs="Times New Roman"/>
          <w:sz w:val="22"/>
        </w:rPr>
        <w:t>“</w:t>
      </w:r>
      <w:r w:rsidRPr="00987F8B">
        <w:rPr>
          <w:rFonts w:ascii="Times New Roman" w:hAnsi="Times New Roman" w:cs="Times New Roman"/>
          <w:sz w:val="22"/>
        </w:rPr>
        <w:t>would provide little benefit to the Commission.”</w:t>
      </w:r>
      <w:r>
        <w:rPr>
          <w:rStyle w:val="FootnoteReference"/>
          <w:rFonts w:cs="Times New Roman"/>
          <w:sz w:val="22"/>
        </w:rPr>
        <w:footnoteReference w:id="26"/>
      </w:r>
      <w:r w:rsidRPr="00987F8B">
        <w:rPr>
          <w:rFonts w:ascii="Times New Roman" w:hAnsi="Times New Roman" w:cs="Times New Roman"/>
          <w:sz w:val="22"/>
        </w:rPr>
        <w:t xml:space="preserve">  </w:t>
      </w:r>
      <w:r w:rsidRPr="00987F8B" w:rsidR="002C5326">
        <w:rPr>
          <w:rFonts w:ascii="Times New Roman" w:hAnsi="Times New Roman" w:cs="Times New Roman"/>
          <w:sz w:val="22"/>
        </w:rPr>
        <w:t xml:space="preserve">Citing its own comments </w:t>
      </w:r>
      <w:r w:rsidRPr="00987F8B" w:rsidR="00215A75">
        <w:rPr>
          <w:rFonts w:ascii="Times New Roman" w:hAnsi="Times New Roman" w:cs="Times New Roman"/>
          <w:sz w:val="22"/>
        </w:rPr>
        <w:t>on</w:t>
      </w:r>
      <w:r w:rsidRPr="00987F8B" w:rsidR="003134F2">
        <w:rPr>
          <w:rFonts w:ascii="Times New Roman" w:hAnsi="Times New Roman" w:cs="Times New Roman"/>
          <w:sz w:val="22"/>
        </w:rPr>
        <w:t xml:space="preserve"> the </w:t>
      </w:r>
      <w:r w:rsidRPr="00987F8B" w:rsidR="003134F2">
        <w:rPr>
          <w:rFonts w:ascii="Times New Roman" w:hAnsi="Times New Roman" w:cs="Times New Roman"/>
          <w:i/>
          <w:iCs/>
          <w:sz w:val="22"/>
        </w:rPr>
        <w:t xml:space="preserve">2023 </w:t>
      </w:r>
      <w:r w:rsidRPr="00987F8B" w:rsidR="007F76CC">
        <w:rPr>
          <w:rFonts w:ascii="Times New Roman" w:hAnsi="Times New Roman" w:cs="Times New Roman"/>
          <w:i/>
          <w:iCs/>
          <w:sz w:val="22"/>
        </w:rPr>
        <w:t>MDC</w:t>
      </w:r>
      <w:r w:rsidRPr="00987F8B" w:rsidR="003134F2">
        <w:rPr>
          <w:rFonts w:ascii="Times New Roman" w:hAnsi="Times New Roman" w:cs="Times New Roman"/>
          <w:i/>
          <w:iCs/>
          <w:sz w:val="22"/>
        </w:rPr>
        <w:t xml:space="preserve"> Public Notice</w:t>
      </w:r>
      <w:r w:rsidRPr="00987F8B" w:rsidR="003134F2">
        <w:rPr>
          <w:rFonts w:ascii="Times New Roman" w:hAnsi="Times New Roman" w:cs="Times New Roman"/>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argues that, based on the record, there are better indicators of IPCS demand</w:t>
      </w:r>
      <w:r w:rsidRPr="00987F8B" w:rsidR="004426FD">
        <w:rPr>
          <w:rFonts w:ascii="Times New Roman" w:hAnsi="Times New Roman" w:cs="Times New Roman"/>
          <w:sz w:val="22"/>
        </w:rPr>
        <w:t>, such as “billed and unbilled minutes and/or communications</w:t>
      </w:r>
      <w:r w:rsidRPr="00987F8B" w:rsidR="003F0B2E">
        <w:rPr>
          <w:rFonts w:ascii="Times New Roman" w:hAnsi="Times New Roman" w:cs="Times New Roman"/>
          <w:sz w:val="22"/>
        </w:rPr>
        <w:t>,</w:t>
      </w:r>
      <w:r w:rsidRPr="00987F8B" w:rsidR="00F7569C">
        <w:rPr>
          <w:rFonts w:ascii="Times New Roman" w:hAnsi="Times New Roman" w:cs="Times New Roman"/>
          <w:sz w:val="22"/>
        </w:rPr>
        <w:t>”</w:t>
      </w:r>
      <w:r w:rsidRPr="00987F8B">
        <w:rPr>
          <w:rFonts w:ascii="Times New Roman" w:hAnsi="Times New Roman" w:cs="Times New Roman"/>
          <w:sz w:val="22"/>
        </w:rPr>
        <w:t xml:space="preserve"> that would be less burdensome for IPCS providers to report than the number of telephones or kiosks available in a particular correctional facility.</w:t>
      </w:r>
      <w:r w:rsidRPr="00987F8B" w:rsidR="004426FD">
        <w:rPr>
          <w:rFonts w:ascii="Times New Roman" w:hAnsi="Times New Roman" w:cs="Times New Roman"/>
          <w:sz w:val="22"/>
        </w:rPr>
        <w:t>”</w:t>
      </w:r>
      <w:r>
        <w:rPr>
          <w:rStyle w:val="FootnoteReference"/>
          <w:rFonts w:cs="Times New Roman"/>
          <w:sz w:val="22"/>
        </w:rPr>
        <w:footnoteReference w:id="27"/>
      </w:r>
      <w:r w:rsidRPr="00987F8B">
        <w:rPr>
          <w:rFonts w:ascii="Times New Roman" w:hAnsi="Times New Roman" w:cs="Times New Roman"/>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claims that WCB</w:t>
      </w:r>
      <w:r w:rsidRPr="00987F8B" w:rsidR="00502DF3">
        <w:rPr>
          <w:rFonts w:ascii="Times New Roman" w:hAnsi="Times New Roman" w:cs="Times New Roman"/>
          <w:sz w:val="22"/>
        </w:rPr>
        <w:t xml:space="preserve"> and OEA</w:t>
      </w:r>
      <w:r w:rsidRPr="00987F8B">
        <w:rPr>
          <w:rFonts w:ascii="Times New Roman" w:hAnsi="Times New Roman" w:cs="Times New Roman"/>
          <w:sz w:val="22"/>
        </w:rPr>
        <w:t xml:space="preserve"> ha</w:t>
      </w:r>
      <w:r w:rsidRPr="00987F8B" w:rsidR="004F37D4">
        <w:rPr>
          <w:rFonts w:ascii="Times New Roman" w:hAnsi="Times New Roman" w:cs="Times New Roman"/>
          <w:sz w:val="22"/>
        </w:rPr>
        <w:t>ve</w:t>
      </w:r>
      <w:r w:rsidRPr="00987F8B">
        <w:rPr>
          <w:rFonts w:ascii="Times New Roman" w:hAnsi="Times New Roman" w:cs="Times New Roman"/>
          <w:sz w:val="22"/>
        </w:rPr>
        <w:t xml:space="preserve"> not </w:t>
      </w:r>
      <w:r w:rsidRPr="00987F8B" w:rsidR="00A40B29">
        <w:rPr>
          <w:rFonts w:ascii="Times New Roman" w:hAnsi="Times New Roman" w:cs="Times New Roman"/>
          <w:sz w:val="22"/>
        </w:rPr>
        <w:t xml:space="preserve">sufficiently </w:t>
      </w:r>
      <w:r w:rsidRPr="00987F8B">
        <w:rPr>
          <w:rFonts w:ascii="Times New Roman" w:hAnsi="Times New Roman" w:cs="Times New Roman"/>
          <w:sz w:val="22"/>
        </w:rPr>
        <w:t>justifie</w:t>
      </w:r>
      <w:r w:rsidRPr="00987F8B" w:rsidR="00A40B29">
        <w:rPr>
          <w:rFonts w:ascii="Times New Roman" w:hAnsi="Times New Roman" w:cs="Times New Roman"/>
          <w:sz w:val="22"/>
        </w:rPr>
        <w:t>d</w:t>
      </w:r>
      <w:r w:rsidRPr="00987F8B">
        <w:rPr>
          <w:rFonts w:ascii="Times New Roman" w:hAnsi="Times New Roman" w:cs="Times New Roman"/>
          <w:sz w:val="22"/>
        </w:rPr>
        <w:t xml:space="preserve"> the significant burden on I</w:t>
      </w:r>
      <w:r w:rsidRPr="00987F8B" w:rsidR="001632D0">
        <w:rPr>
          <w:rFonts w:ascii="Times New Roman" w:hAnsi="Times New Roman" w:cs="Times New Roman"/>
          <w:sz w:val="22"/>
        </w:rPr>
        <w:t>P</w:t>
      </w:r>
      <w:r w:rsidRPr="00987F8B">
        <w:rPr>
          <w:rFonts w:ascii="Times New Roman" w:hAnsi="Times New Roman" w:cs="Times New Roman"/>
          <w:sz w:val="22"/>
        </w:rPr>
        <w:t>CS providers.</w:t>
      </w:r>
      <w:r>
        <w:rPr>
          <w:rStyle w:val="FootnoteReference"/>
          <w:rFonts w:cs="Times New Roman"/>
          <w:sz w:val="22"/>
        </w:rPr>
        <w:footnoteReference w:id="28"/>
      </w:r>
      <w:r w:rsidRPr="00987F8B">
        <w:rPr>
          <w:rFonts w:ascii="Times New Roman" w:hAnsi="Times New Roman" w:cs="Times New Roman"/>
          <w:sz w:val="22"/>
        </w:rPr>
        <w:t xml:space="preserve"> </w:t>
      </w:r>
    </w:p>
    <w:p w:rsidR="00BE1AE2" w:rsidRPr="00987F8B" w:rsidP="00EE120C" w14:paraId="10C45779" w14:textId="4DADC982">
      <w:pPr>
        <w:pStyle w:val="Numberedparagraphs"/>
        <w:numPr>
          <w:ilvl w:val="0"/>
          <w:numId w:val="0"/>
        </w:numPr>
        <w:tabs>
          <w:tab w:val="left" w:pos="720"/>
          <w:tab w:val="clear" w:pos="1440"/>
        </w:tabs>
        <w:spacing w:after="120"/>
        <w:rPr>
          <w:rFonts w:ascii="Times New Roman" w:hAnsi="Times New Roman" w:cs="Times New Roman"/>
          <w:sz w:val="22"/>
        </w:rPr>
      </w:pPr>
      <w:r w:rsidRPr="00987F8B">
        <w:rPr>
          <w:rFonts w:ascii="Times New Roman" w:hAnsi="Times New Roman" w:cs="Times New Roman"/>
          <w:sz w:val="22"/>
        </w:rPr>
        <w:tab/>
      </w:r>
      <w:r w:rsidRPr="00987F8B">
        <w:rPr>
          <w:rFonts w:ascii="Times New Roman" w:hAnsi="Times New Roman" w:cs="Times New Roman"/>
          <w:sz w:val="22"/>
        </w:rPr>
        <w:t>ViaPath’s</w:t>
      </w:r>
      <w:r w:rsidRPr="00987F8B" w:rsidR="00F736F4">
        <w:rPr>
          <w:rFonts w:ascii="Times New Roman" w:hAnsi="Times New Roman" w:cs="Times New Roman"/>
          <w:sz w:val="22"/>
        </w:rPr>
        <w:t xml:space="preserve"> specific </w:t>
      </w:r>
      <w:r w:rsidRPr="00987F8B">
        <w:rPr>
          <w:rFonts w:ascii="Times New Roman" w:hAnsi="Times New Roman" w:cs="Times New Roman"/>
          <w:sz w:val="22"/>
        </w:rPr>
        <w:t xml:space="preserve">argument regarding the </w:t>
      </w:r>
      <w:r w:rsidRPr="00987F8B" w:rsidR="00B47A53">
        <w:rPr>
          <w:rFonts w:ascii="Times New Roman" w:hAnsi="Times New Roman" w:cs="Times New Roman"/>
          <w:sz w:val="22"/>
        </w:rPr>
        <w:t>collection of data on facility’s total admissions, total releases, and weekly turnover is moot because</w:t>
      </w:r>
      <w:r w:rsidRPr="00987F8B" w:rsidR="00A436FD">
        <w:rPr>
          <w:rFonts w:ascii="Times New Roman" w:hAnsi="Times New Roman" w:cs="Times New Roman"/>
          <w:sz w:val="22"/>
        </w:rPr>
        <w:t xml:space="preserve"> </w:t>
      </w:r>
      <w:r w:rsidRPr="00987F8B" w:rsidR="001B619D">
        <w:rPr>
          <w:rFonts w:ascii="Times New Roman" w:hAnsi="Times New Roman" w:cs="Times New Roman"/>
          <w:sz w:val="22"/>
        </w:rPr>
        <w:t>the 2023 Mandatory Data Collection</w:t>
      </w:r>
      <w:r w:rsidRPr="00987F8B" w:rsidR="00C42D55">
        <w:rPr>
          <w:rFonts w:ascii="Times New Roman" w:hAnsi="Times New Roman" w:cs="Times New Roman"/>
          <w:sz w:val="22"/>
        </w:rPr>
        <w:t xml:space="preserve">, as adopted by </w:t>
      </w:r>
      <w:r w:rsidRPr="00987F8B" w:rsidR="00A436FD">
        <w:rPr>
          <w:rFonts w:ascii="Times New Roman" w:hAnsi="Times New Roman" w:cs="Times New Roman"/>
          <w:sz w:val="22"/>
        </w:rPr>
        <w:t>WCB and OEA</w:t>
      </w:r>
      <w:r w:rsidRPr="00987F8B" w:rsidR="00C42D55">
        <w:rPr>
          <w:rFonts w:ascii="Times New Roman" w:hAnsi="Times New Roman" w:cs="Times New Roman"/>
          <w:sz w:val="22"/>
        </w:rPr>
        <w:t xml:space="preserve">, </w:t>
      </w:r>
      <w:r w:rsidRPr="00987F8B" w:rsidR="00A436FD">
        <w:rPr>
          <w:rFonts w:ascii="Times New Roman" w:hAnsi="Times New Roman" w:cs="Times New Roman"/>
          <w:sz w:val="22"/>
        </w:rPr>
        <w:t>make</w:t>
      </w:r>
      <w:r w:rsidRPr="00987F8B" w:rsidR="00C42D55">
        <w:rPr>
          <w:rFonts w:ascii="Times New Roman" w:hAnsi="Times New Roman" w:cs="Times New Roman"/>
          <w:sz w:val="22"/>
        </w:rPr>
        <w:t>s</w:t>
      </w:r>
      <w:r w:rsidRPr="00987F8B" w:rsidR="00A436FD">
        <w:rPr>
          <w:rFonts w:ascii="Times New Roman" w:hAnsi="Times New Roman" w:cs="Times New Roman"/>
          <w:sz w:val="22"/>
        </w:rPr>
        <w:t xml:space="preserve"> the questions regarding these topics optional.</w:t>
      </w:r>
      <w:r>
        <w:rPr>
          <w:rStyle w:val="FootnoteReference"/>
          <w:rFonts w:cs="Times New Roman"/>
        </w:rPr>
        <w:footnoteReference w:id="29"/>
      </w:r>
      <w:r w:rsidRPr="00987F8B" w:rsidR="00C42D55">
        <w:rPr>
          <w:rFonts w:ascii="Times New Roman" w:hAnsi="Times New Roman" w:cs="Times New Roman"/>
          <w:sz w:val="22"/>
        </w:rPr>
        <w:t xml:space="preserve">  More generally, </w:t>
      </w:r>
      <w:r w:rsidRPr="00987F8B" w:rsidR="001431A7">
        <w:rPr>
          <w:rFonts w:ascii="Times New Roman" w:hAnsi="Times New Roman" w:cs="Times New Roman"/>
          <w:sz w:val="22"/>
        </w:rPr>
        <w:t xml:space="preserve">given the requirements of the Martha Wright-Reed Act, </w:t>
      </w:r>
      <w:r w:rsidRPr="00987F8B" w:rsidR="008E1FF0">
        <w:rPr>
          <w:rFonts w:ascii="Times New Roman" w:hAnsi="Times New Roman" w:cs="Times New Roman"/>
          <w:sz w:val="22"/>
        </w:rPr>
        <w:t>th</w:t>
      </w:r>
      <w:r w:rsidRPr="00987F8B" w:rsidR="000C6C10">
        <w:rPr>
          <w:rFonts w:ascii="Times New Roman" w:hAnsi="Times New Roman" w:cs="Times New Roman"/>
          <w:sz w:val="22"/>
        </w:rPr>
        <w:t>e</w:t>
      </w:r>
      <w:r w:rsidRPr="00987F8B" w:rsidR="008E1FF0">
        <w:rPr>
          <w:rFonts w:ascii="Times New Roman" w:hAnsi="Times New Roman" w:cs="Times New Roman"/>
          <w:sz w:val="22"/>
        </w:rPr>
        <w:t xml:space="preserve"> data collection</w:t>
      </w:r>
      <w:r w:rsidRPr="00987F8B" w:rsidR="00A436FD">
        <w:rPr>
          <w:rFonts w:ascii="Times New Roman" w:hAnsi="Times New Roman" w:cs="Times New Roman"/>
          <w:sz w:val="22"/>
        </w:rPr>
        <w:t xml:space="preserve"> </w:t>
      </w:r>
      <w:r w:rsidRPr="00987F8B" w:rsidR="00640442">
        <w:rPr>
          <w:rFonts w:ascii="Times New Roman" w:hAnsi="Times New Roman" w:cs="Times New Roman"/>
          <w:sz w:val="22"/>
        </w:rPr>
        <w:t xml:space="preserve">appropriately balances the </w:t>
      </w:r>
      <w:r w:rsidRPr="00987F8B" w:rsidR="008E1FF0">
        <w:rPr>
          <w:rFonts w:ascii="Times New Roman" w:hAnsi="Times New Roman" w:cs="Times New Roman"/>
          <w:sz w:val="22"/>
        </w:rPr>
        <w:t>Commission</w:t>
      </w:r>
      <w:r w:rsidRPr="00987F8B" w:rsidR="00AC24AF">
        <w:rPr>
          <w:rFonts w:ascii="Times New Roman" w:hAnsi="Times New Roman" w:cs="Times New Roman"/>
          <w:sz w:val="22"/>
        </w:rPr>
        <w:t xml:space="preserve">’s </w:t>
      </w:r>
      <w:r w:rsidRPr="00987F8B" w:rsidR="00640442">
        <w:rPr>
          <w:rFonts w:ascii="Times New Roman" w:hAnsi="Times New Roman" w:cs="Times New Roman"/>
          <w:sz w:val="22"/>
        </w:rPr>
        <w:t xml:space="preserve">need for </w:t>
      </w:r>
      <w:r w:rsidRPr="00987F8B" w:rsidR="00AC24AF">
        <w:rPr>
          <w:rFonts w:ascii="Times New Roman" w:hAnsi="Times New Roman" w:cs="Times New Roman"/>
          <w:sz w:val="22"/>
        </w:rPr>
        <w:t xml:space="preserve">detailed information regarding </w:t>
      </w:r>
      <w:r w:rsidRPr="00987F8B" w:rsidR="00594917">
        <w:rPr>
          <w:rFonts w:ascii="Times New Roman" w:hAnsi="Times New Roman" w:cs="Times New Roman"/>
          <w:sz w:val="22"/>
        </w:rPr>
        <w:t xml:space="preserve">providers’ IPCS operations </w:t>
      </w:r>
      <w:r w:rsidRPr="00987F8B" w:rsidR="00640442">
        <w:rPr>
          <w:rFonts w:ascii="Times New Roman" w:hAnsi="Times New Roman" w:cs="Times New Roman"/>
          <w:sz w:val="22"/>
        </w:rPr>
        <w:t>and the desire to avoid unduly burdening providers</w:t>
      </w:r>
      <w:r w:rsidRPr="00987F8B" w:rsidR="00153845">
        <w:rPr>
          <w:rFonts w:ascii="Times New Roman" w:hAnsi="Times New Roman" w:cs="Times New Roman"/>
          <w:sz w:val="22"/>
        </w:rPr>
        <w:t>.</w:t>
      </w:r>
    </w:p>
    <w:p w:rsidR="00176BA3" w:rsidRPr="00987F8B" w:rsidP="00F73461" w14:paraId="73375D94" w14:textId="7AF3F03E">
      <w:pPr>
        <w:pStyle w:val="Numberedparagraphs"/>
        <w:numPr>
          <w:ilvl w:val="0"/>
          <w:numId w:val="0"/>
        </w:numPr>
        <w:ind w:left="180" w:firstLine="720"/>
        <w:rPr>
          <w:rFonts w:ascii="Times New Roman" w:hAnsi="Times New Roman" w:cs="Times New Roman"/>
          <w:sz w:val="22"/>
        </w:rPr>
      </w:pPr>
      <w:r w:rsidRPr="00987F8B">
        <w:rPr>
          <w:rFonts w:ascii="Times New Roman" w:hAnsi="Times New Roman" w:cs="Times New Roman"/>
          <w:sz w:val="22"/>
        </w:rPr>
        <w:t>c.</w:t>
      </w:r>
      <w:r w:rsidRPr="00987F8B">
        <w:rPr>
          <w:rFonts w:ascii="Times New Roman" w:hAnsi="Times New Roman" w:cs="Times New Roman"/>
          <w:sz w:val="22"/>
        </w:rPr>
        <w:tab/>
      </w:r>
      <w:r w:rsidRPr="00987F8B">
        <w:rPr>
          <w:rFonts w:ascii="Times New Roman" w:hAnsi="Times New Roman" w:cs="Times New Roman"/>
          <w:i/>
        </w:rPr>
        <w:t>Timeframe for Reporting Cost</w:t>
      </w:r>
      <w:r w:rsidRPr="00987F8B" w:rsidR="00AC1ACD">
        <w:rPr>
          <w:rFonts w:ascii="Times New Roman" w:hAnsi="Times New Roman" w:cs="Times New Roman"/>
          <w:i/>
        </w:rPr>
        <w:t xml:space="preserve">s.  </w:t>
      </w:r>
      <w:r w:rsidRPr="00987F8B" w:rsidR="00EA0884">
        <w:rPr>
          <w:rFonts w:ascii="Times New Roman" w:hAnsi="Times New Roman" w:cs="Times New Roman"/>
        </w:rPr>
        <w:t>I</w:t>
      </w:r>
      <w:r w:rsidRPr="00987F8B">
        <w:rPr>
          <w:rFonts w:ascii="Times New Roman" w:hAnsi="Times New Roman" w:cs="Times New Roman"/>
          <w:sz w:val="22"/>
        </w:rPr>
        <w:t xml:space="preserve">n the </w:t>
      </w:r>
      <w:r w:rsidRPr="00987F8B">
        <w:rPr>
          <w:rFonts w:ascii="Times New Roman" w:hAnsi="Times New Roman" w:cs="Times New Roman"/>
          <w:i/>
          <w:sz w:val="22"/>
        </w:rPr>
        <w:t>2023 MDC Adoption Order</w:t>
      </w:r>
      <w:r w:rsidRPr="00987F8B">
        <w:rPr>
          <w:rFonts w:ascii="Times New Roman" w:hAnsi="Times New Roman" w:cs="Times New Roman"/>
          <w:sz w:val="22"/>
        </w:rPr>
        <w:t xml:space="preserve">, after fully considering arguments from providers, including </w:t>
      </w:r>
      <w:r w:rsidRPr="00987F8B">
        <w:rPr>
          <w:rFonts w:ascii="Times New Roman" w:hAnsi="Times New Roman" w:cs="Times New Roman"/>
          <w:sz w:val="22"/>
        </w:rPr>
        <w:t>ViaPath</w:t>
      </w:r>
      <w:r w:rsidRPr="00987F8B">
        <w:rPr>
          <w:rFonts w:ascii="Times New Roman" w:hAnsi="Times New Roman" w:cs="Times New Roman"/>
          <w:sz w:val="22"/>
        </w:rPr>
        <w:t xml:space="preserve">, and public interest groups, WCB/OEA decided to limit the data collection to calendar year 2022, consistent with their proposal in the </w:t>
      </w:r>
      <w:r w:rsidRPr="00987F8B">
        <w:rPr>
          <w:rFonts w:ascii="Times New Roman" w:hAnsi="Times New Roman" w:cs="Times New Roman"/>
          <w:i/>
          <w:sz w:val="22"/>
        </w:rPr>
        <w:t xml:space="preserve">2023 </w:t>
      </w:r>
      <w:r w:rsidRPr="00987F8B">
        <w:rPr>
          <w:rFonts w:ascii="Times New Roman" w:hAnsi="Times New Roman" w:cs="Times New Roman"/>
          <w:i/>
          <w:sz w:val="22"/>
        </w:rPr>
        <w:t xml:space="preserve">MDC Public Notice </w:t>
      </w:r>
      <w:r w:rsidRPr="00987F8B">
        <w:rPr>
          <w:rFonts w:ascii="Times New Roman" w:hAnsi="Times New Roman" w:cs="Times New Roman"/>
          <w:sz w:val="22"/>
        </w:rPr>
        <w:t xml:space="preserve">and </w:t>
      </w:r>
      <w:r w:rsidRPr="00987F8B" w:rsidR="00185B00">
        <w:rPr>
          <w:rFonts w:ascii="Times New Roman" w:hAnsi="Times New Roman" w:cs="Times New Roman"/>
          <w:sz w:val="22"/>
        </w:rPr>
        <w:t xml:space="preserve">consistent </w:t>
      </w:r>
      <w:r w:rsidRPr="00987F8B">
        <w:rPr>
          <w:rFonts w:ascii="Times New Roman" w:hAnsi="Times New Roman" w:cs="Times New Roman"/>
          <w:sz w:val="22"/>
        </w:rPr>
        <w:t xml:space="preserve">with </w:t>
      </w:r>
      <w:r w:rsidRPr="00987F8B">
        <w:rPr>
          <w:rFonts w:ascii="Times New Roman" w:hAnsi="Times New Roman" w:cs="Times New Roman"/>
          <w:sz w:val="22"/>
        </w:rPr>
        <w:t>ViaPath’s</w:t>
      </w:r>
      <w:r w:rsidRPr="00987F8B">
        <w:rPr>
          <w:rFonts w:ascii="Times New Roman" w:hAnsi="Times New Roman" w:cs="Times New Roman"/>
          <w:sz w:val="22"/>
        </w:rPr>
        <w:t xml:space="preserve"> arguments.</w:t>
      </w:r>
      <w:r>
        <w:rPr>
          <w:rStyle w:val="FootnoteReference"/>
          <w:rFonts w:cs="Times New Roman"/>
          <w:sz w:val="22"/>
        </w:rPr>
        <w:footnoteReference w:id="30"/>
      </w:r>
      <w:r w:rsidRPr="00987F8B">
        <w:rPr>
          <w:rFonts w:ascii="Times New Roman" w:hAnsi="Times New Roman" w:cs="Times New Roman"/>
          <w:sz w:val="22"/>
        </w:rPr>
        <w:t xml:space="preserve">  </w:t>
      </w:r>
      <w:r w:rsidRPr="00987F8B" w:rsidR="000441AF">
        <w:rPr>
          <w:rFonts w:ascii="Times New Roman" w:hAnsi="Times New Roman" w:cs="Times New Roman"/>
          <w:sz w:val="22"/>
        </w:rPr>
        <w:t xml:space="preserve">This action moots </w:t>
      </w:r>
      <w:r w:rsidRPr="00987F8B" w:rsidR="000441AF">
        <w:rPr>
          <w:rFonts w:ascii="Times New Roman" w:hAnsi="Times New Roman" w:cs="Times New Roman"/>
          <w:sz w:val="22"/>
        </w:rPr>
        <w:t>ViaPath’s</w:t>
      </w:r>
      <w:r w:rsidRPr="00987F8B" w:rsidR="000441AF">
        <w:rPr>
          <w:rFonts w:ascii="Times New Roman" w:hAnsi="Times New Roman" w:cs="Times New Roman"/>
          <w:sz w:val="22"/>
        </w:rPr>
        <w:t xml:space="preserve"> </w:t>
      </w:r>
      <w:r w:rsidRPr="00987F8B" w:rsidR="00F67876">
        <w:rPr>
          <w:rFonts w:ascii="Times New Roman" w:hAnsi="Times New Roman" w:cs="Times New Roman"/>
          <w:sz w:val="22"/>
        </w:rPr>
        <w:t>similar</w:t>
      </w:r>
      <w:r w:rsidRPr="00987F8B" w:rsidR="009C7D54">
        <w:rPr>
          <w:rFonts w:ascii="Times New Roman" w:hAnsi="Times New Roman" w:cs="Times New Roman"/>
          <w:sz w:val="22"/>
        </w:rPr>
        <w:t xml:space="preserve"> </w:t>
      </w:r>
      <w:r w:rsidRPr="00987F8B" w:rsidR="00FE1DB1">
        <w:rPr>
          <w:rFonts w:ascii="Times New Roman" w:hAnsi="Times New Roman" w:cs="Times New Roman"/>
          <w:sz w:val="22"/>
        </w:rPr>
        <w:t xml:space="preserve">argument in its PRA comments </w:t>
      </w:r>
      <w:r w:rsidRPr="00987F8B" w:rsidR="0089691E">
        <w:rPr>
          <w:rFonts w:ascii="Times New Roman" w:hAnsi="Times New Roman" w:cs="Times New Roman"/>
          <w:sz w:val="22"/>
        </w:rPr>
        <w:t xml:space="preserve">that the Commission </w:t>
      </w:r>
      <w:r w:rsidRPr="00987F8B" w:rsidR="00F407A8">
        <w:rPr>
          <w:rFonts w:ascii="Times New Roman" w:hAnsi="Times New Roman" w:cs="Times New Roman"/>
          <w:sz w:val="22"/>
        </w:rPr>
        <w:t xml:space="preserve">should </w:t>
      </w:r>
      <w:r w:rsidRPr="00987F8B" w:rsidR="0089691E">
        <w:rPr>
          <w:rFonts w:ascii="Times New Roman" w:hAnsi="Times New Roman" w:cs="Times New Roman"/>
          <w:sz w:val="22"/>
        </w:rPr>
        <w:t>collect cost data only for calendar year 2022</w:t>
      </w:r>
      <w:r w:rsidRPr="00987F8B" w:rsidR="00F4060C">
        <w:rPr>
          <w:rFonts w:ascii="Times New Roman" w:hAnsi="Times New Roman" w:cs="Times New Roman"/>
          <w:sz w:val="22"/>
        </w:rPr>
        <w:t>.</w:t>
      </w:r>
    </w:p>
    <w:p w:rsidR="00F11A5E" w:rsidRPr="00987F8B" w:rsidP="00F73461" w14:paraId="0964DC8C" w14:textId="28061209">
      <w:pPr>
        <w:pStyle w:val="ParaNum"/>
        <w:numPr>
          <w:ilvl w:val="0"/>
          <w:numId w:val="0"/>
        </w:numPr>
        <w:ind w:left="90" w:firstLine="720"/>
        <w:rPr>
          <w:rFonts w:ascii="Times New Roman" w:hAnsi="Times New Roman" w:cs="Times New Roman"/>
        </w:rPr>
      </w:pPr>
      <w:r w:rsidRPr="00987F8B">
        <w:rPr>
          <w:rFonts w:ascii="Times New Roman" w:hAnsi="Times New Roman" w:cs="Times New Roman"/>
        </w:rPr>
        <w:t>d.</w:t>
      </w:r>
      <w:r w:rsidRPr="00987F8B">
        <w:rPr>
          <w:rFonts w:ascii="Times New Roman" w:hAnsi="Times New Roman" w:cs="Times New Roman"/>
        </w:rPr>
        <w:tab/>
      </w:r>
      <w:r w:rsidRPr="00987F8B" w:rsidR="00176BA3">
        <w:rPr>
          <w:rFonts w:ascii="Times New Roman" w:hAnsi="Times New Roman" w:cs="Times New Roman"/>
          <w:i/>
          <w:iCs/>
        </w:rPr>
        <w:t>Alleged Availability of Similar Information in the Annual Reports</w:t>
      </w:r>
      <w:r w:rsidRPr="00987F8B" w:rsidR="002A5340">
        <w:rPr>
          <w:rFonts w:ascii="Times New Roman" w:hAnsi="Times New Roman" w:cs="Times New Roman"/>
        </w:rPr>
        <w:t xml:space="preserve">.  </w:t>
      </w:r>
      <w:r w:rsidRPr="00987F8B" w:rsidR="00176BA3">
        <w:rPr>
          <w:rFonts w:ascii="Times New Roman" w:hAnsi="Times New Roman" w:cs="Times New Roman"/>
        </w:rPr>
        <w:t>ViaPath</w:t>
      </w:r>
      <w:r w:rsidRPr="00987F8B" w:rsidR="00176BA3">
        <w:rPr>
          <w:rFonts w:ascii="Times New Roman" w:hAnsi="Times New Roman" w:cs="Times New Roman"/>
        </w:rPr>
        <w:t xml:space="preserve"> </w:t>
      </w:r>
      <w:r w:rsidRPr="00987F8B" w:rsidR="00751909">
        <w:rPr>
          <w:rFonts w:ascii="Times New Roman" w:hAnsi="Times New Roman" w:cs="Times New Roman"/>
        </w:rPr>
        <w:t xml:space="preserve">asserts </w:t>
      </w:r>
      <w:r w:rsidRPr="00987F8B" w:rsidR="00176BA3">
        <w:rPr>
          <w:rFonts w:ascii="Times New Roman" w:hAnsi="Times New Roman" w:cs="Times New Roman"/>
        </w:rPr>
        <w:t xml:space="preserve">that the data collection seeks information that the Commission already receives in Annual Reports, such as </w:t>
      </w:r>
      <w:r w:rsidRPr="00987F8B" w:rsidR="005B338B">
        <w:rPr>
          <w:rFonts w:ascii="Times New Roman" w:hAnsi="Times New Roman" w:cs="Times New Roman"/>
        </w:rPr>
        <w:t>information on</w:t>
      </w:r>
      <w:r w:rsidRPr="00987F8B" w:rsidR="00176BA3">
        <w:rPr>
          <w:rFonts w:ascii="Times New Roman" w:hAnsi="Times New Roman" w:cs="Times New Roman"/>
        </w:rPr>
        <w:t xml:space="preserve"> site commission payments, correctional facilities served, and annual revenues from IPCS and ancillary service charges.</w:t>
      </w:r>
      <w:r>
        <w:rPr>
          <w:rStyle w:val="FootnoteReference"/>
          <w:rFonts w:cs="Times New Roman"/>
        </w:rPr>
        <w:footnoteReference w:id="31"/>
      </w:r>
      <w:r w:rsidRPr="00987F8B" w:rsidR="00176BA3">
        <w:rPr>
          <w:rFonts w:ascii="Times New Roman" w:hAnsi="Times New Roman" w:cs="Times New Roman"/>
        </w:rPr>
        <w:t xml:space="preserve">  </w:t>
      </w:r>
      <w:r w:rsidRPr="00987F8B" w:rsidR="00176BA3">
        <w:rPr>
          <w:rFonts w:ascii="Times New Roman" w:hAnsi="Times New Roman" w:cs="Times New Roman"/>
        </w:rPr>
        <w:t>ViaPath</w:t>
      </w:r>
      <w:r w:rsidRPr="00987F8B" w:rsidR="00176BA3">
        <w:rPr>
          <w:rFonts w:ascii="Times New Roman" w:hAnsi="Times New Roman" w:cs="Times New Roman"/>
        </w:rPr>
        <w:t xml:space="preserve"> contends that WCB</w:t>
      </w:r>
      <w:r w:rsidRPr="00987F8B" w:rsidR="00502DF3">
        <w:rPr>
          <w:rFonts w:ascii="Times New Roman" w:hAnsi="Times New Roman" w:cs="Times New Roman"/>
        </w:rPr>
        <w:t xml:space="preserve"> and OEA</w:t>
      </w:r>
      <w:r w:rsidRPr="00987F8B" w:rsidR="00176BA3">
        <w:rPr>
          <w:rFonts w:ascii="Times New Roman" w:hAnsi="Times New Roman" w:cs="Times New Roman"/>
        </w:rPr>
        <w:t xml:space="preserve"> must make every effort to “tailor the [mandatory data collection] to avoid duplication of other information received by the Commission in the normal course.”</w:t>
      </w:r>
      <w:r>
        <w:rPr>
          <w:rStyle w:val="FootnoteReference"/>
          <w:rFonts w:cs="Times New Roman"/>
        </w:rPr>
        <w:footnoteReference w:id="32"/>
      </w:r>
      <w:r w:rsidRPr="00987F8B" w:rsidR="00176BA3">
        <w:rPr>
          <w:rFonts w:ascii="Times New Roman" w:hAnsi="Times New Roman" w:cs="Times New Roman"/>
        </w:rPr>
        <w:t xml:space="preserve">  </w:t>
      </w:r>
    </w:p>
    <w:p w:rsidR="00176BA3" w:rsidRPr="00987F8B" w:rsidP="00176BA3" w14:paraId="49C44396" w14:textId="241AF7C9">
      <w:pPr>
        <w:pStyle w:val="Numberedparagraphs"/>
        <w:numPr>
          <w:ilvl w:val="0"/>
          <w:numId w:val="0"/>
        </w:numPr>
        <w:tabs>
          <w:tab w:val="left" w:pos="720"/>
        </w:tabs>
        <w:spacing w:after="120"/>
        <w:rPr>
          <w:rFonts w:ascii="Times New Roman" w:hAnsi="Times New Roman" w:cs="Times New Roman"/>
          <w:sz w:val="22"/>
        </w:rPr>
      </w:pPr>
      <w:r w:rsidRPr="00987F8B">
        <w:rPr>
          <w:rFonts w:ascii="Times New Roman" w:hAnsi="Times New Roman" w:cs="Times New Roman"/>
          <w:sz w:val="22"/>
        </w:rPr>
        <w:tab/>
      </w:r>
      <w:r w:rsidRPr="00987F8B" w:rsidR="00D17B10">
        <w:rPr>
          <w:rFonts w:ascii="Times New Roman" w:hAnsi="Times New Roman" w:cs="Times New Roman"/>
          <w:sz w:val="22"/>
        </w:rPr>
        <w:t>We disagree</w:t>
      </w:r>
      <w:r w:rsidRPr="00987F8B" w:rsidR="00447468">
        <w:rPr>
          <w:rFonts w:ascii="Times New Roman" w:hAnsi="Times New Roman" w:cs="Times New Roman"/>
          <w:sz w:val="22"/>
        </w:rPr>
        <w:t xml:space="preserve"> </w:t>
      </w:r>
      <w:r w:rsidRPr="00987F8B" w:rsidR="0040416C">
        <w:rPr>
          <w:rFonts w:ascii="Times New Roman" w:hAnsi="Times New Roman" w:cs="Times New Roman"/>
          <w:sz w:val="22"/>
        </w:rPr>
        <w:t xml:space="preserve">with </w:t>
      </w:r>
      <w:r w:rsidRPr="00987F8B" w:rsidR="0040416C">
        <w:rPr>
          <w:rFonts w:ascii="Times New Roman" w:hAnsi="Times New Roman" w:cs="Times New Roman"/>
          <w:sz w:val="22"/>
        </w:rPr>
        <w:t>ViaPath’s</w:t>
      </w:r>
      <w:r w:rsidRPr="00987F8B" w:rsidR="0040416C">
        <w:rPr>
          <w:rFonts w:ascii="Times New Roman" w:hAnsi="Times New Roman" w:cs="Times New Roman"/>
          <w:sz w:val="22"/>
        </w:rPr>
        <w:t xml:space="preserve"> argument that the </w:t>
      </w:r>
      <w:r w:rsidRPr="00987F8B" w:rsidR="00E14B26">
        <w:rPr>
          <w:rFonts w:ascii="Times New Roman" w:hAnsi="Times New Roman" w:cs="Times New Roman"/>
          <w:sz w:val="22"/>
        </w:rPr>
        <w:t xml:space="preserve">data collection will </w:t>
      </w:r>
      <w:r w:rsidRPr="00987F8B" w:rsidR="00CF20AB">
        <w:rPr>
          <w:rFonts w:ascii="Times New Roman" w:hAnsi="Times New Roman" w:cs="Times New Roman"/>
          <w:sz w:val="22"/>
        </w:rPr>
        <w:t xml:space="preserve">obtain information available through the Annual Reports.  </w:t>
      </w:r>
      <w:r w:rsidRPr="00987F8B" w:rsidR="00D01C21">
        <w:rPr>
          <w:rFonts w:ascii="Times New Roman" w:hAnsi="Times New Roman" w:cs="Times New Roman"/>
          <w:sz w:val="22"/>
        </w:rPr>
        <w:t>Although the</w:t>
      </w:r>
      <w:r w:rsidRPr="00987F8B">
        <w:rPr>
          <w:rFonts w:ascii="Times New Roman" w:hAnsi="Times New Roman" w:cs="Times New Roman"/>
          <w:sz w:val="22"/>
        </w:rPr>
        <w:t xml:space="preserve"> Annual Reports provide the Commission and the public with an overview of the providers’ IPCS operations, </w:t>
      </w:r>
      <w:r w:rsidRPr="00987F8B" w:rsidR="00D01C21">
        <w:rPr>
          <w:rFonts w:ascii="Times New Roman" w:hAnsi="Times New Roman" w:cs="Times New Roman"/>
          <w:sz w:val="22"/>
        </w:rPr>
        <w:t>they</w:t>
      </w:r>
      <w:r w:rsidRPr="00987F8B">
        <w:rPr>
          <w:rFonts w:ascii="Times New Roman" w:hAnsi="Times New Roman" w:cs="Times New Roman"/>
          <w:sz w:val="22"/>
        </w:rPr>
        <w:t xml:space="preserve"> fall far short of providing the type of detailed cost data and other information that the Commission will need to determine the costs of providing IPCS and related ancillary services</w:t>
      </w:r>
      <w:r w:rsidRPr="00987F8B" w:rsidR="008E272E">
        <w:rPr>
          <w:rFonts w:ascii="Times New Roman" w:hAnsi="Times New Roman" w:cs="Times New Roman"/>
          <w:sz w:val="22"/>
        </w:rPr>
        <w:t>,</w:t>
      </w:r>
      <w:r w:rsidRPr="00987F8B">
        <w:rPr>
          <w:rFonts w:ascii="Times New Roman" w:hAnsi="Times New Roman" w:cs="Times New Roman"/>
          <w:sz w:val="22"/>
        </w:rPr>
        <w:t xml:space="preserve"> and </w:t>
      </w:r>
      <w:r w:rsidRPr="00987F8B" w:rsidR="00BC278F">
        <w:rPr>
          <w:rFonts w:ascii="Times New Roman" w:hAnsi="Times New Roman" w:cs="Times New Roman"/>
          <w:sz w:val="22"/>
        </w:rPr>
        <w:t xml:space="preserve">to </w:t>
      </w:r>
      <w:r w:rsidRPr="00987F8B">
        <w:rPr>
          <w:rFonts w:ascii="Times New Roman" w:hAnsi="Times New Roman" w:cs="Times New Roman"/>
          <w:sz w:val="22"/>
        </w:rPr>
        <w:t xml:space="preserve">resolve other issues pending in the </w:t>
      </w:r>
      <w:r w:rsidRPr="00987F8B">
        <w:rPr>
          <w:rFonts w:ascii="Times New Roman" w:hAnsi="Times New Roman" w:cs="Times New Roman"/>
          <w:i/>
          <w:iCs/>
          <w:sz w:val="22"/>
        </w:rPr>
        <w:t xml:space="preserve">IPCS </w:t>
      </w:r>
      <w:r w:rsidRPr="00987F8B">
        <w:rPr>
          <w:rFonts w:ascii="Times New Roman" w:hAnsi="Times New Roman" w:cs="Times New Roman"/>
          <w:sz w:val="22"/>
        </w:rPr>
        <w:t>rulemaking.</w:t>
      </w:r>
      <w:r>
        <w:rPr>
          <w:rStyle w:val="FootnoteReference"/>
          <w:rFonts w:cs="Times New Roman"/>
          <w:sz w:val="22"/>
        </w:rPr>
        <w:footnoteReference w:id="33"/>
      </w:r>
      <w:r w:rsidRPr="00987F8B">
        <w:rPr>
          <w:rFonts w:ascii="Times New Roman" w:hAnsi="Times New Roman" w:cs="Times New Roman"/>
          <w:sz w:val="22"/>
        </w:rPr>
        <w:t xml:space="preserve">  </w:t>
      </w:r>
      <w:r w:rsidRPr="00987F8B" w:rsidR="00D579E9">
        <w:rPr>
          <w:rFonts w:ascii="Times New Roman" w:hAnsi="Times New Roman" w:cs="Times New Roman"/>
          <w:sz w:val="22"/>
        </w:rPr>
        <w:t xml:space="preserve">The Annual Reports do not require the type of detailed and disaggregated cost reporting that we require in this data collection, which the Commission has determined “must immediately” be “update[ed] and </w:t>
      </w:r>
      <w:r w:rsidRPr="00987F8B" w:rsidR="00D579E9">
        <w:rPr>
          <w:rFonts w:ascii="Times New Roman" w:hAnsi="Times New Roman" w:cs="Times New Roman"/>
          <w:sz w:val="22"/>
        </w:rPr>
        <w:t>restructur</w:t>
      </w:r>
      <w:r w:rsidRPr="00987F8B" w:rsidR="00D579E9">
        <w:rPr>
          <w:rFonts w:ascii="Times New Roman" w:hAnsi="Times New Roman" w:cs="Times New Roman"/>
          <w:sz w:val="22"/>
        </w:rPr>
        <w:t>[ed]” in order to comply with the obligations imposed by the Martha Wright-Reed Act and the Communications Act.</w:t>
      </w:r>
      <w:r>
        <w:rPr>
          <w:rStyle w:val="FootnoteReference"/>
          <w:rFonts w:cs="Times New Roman"/>
        </w:rPr>
        <w:footnoteReference w:id="34"/>
      </w:r>
      <w:r w:rsidRPr="00987F8B" w:rsidR="00D579E9">
        <w:rPr>
          <w:rFonts w:ascii="Times New Roman" w:hAnsi="Times New Roman" w:cs="Times New Roman"/>
          <w:sz w:val="22"/>
        </w:rPr>
        <w:t xml:space="preserve"> </w:t>
      </w:r>
      <w:r w:rsidRPr="00987F8B">
        <w:rPr>
          <w:rFonts w:ascii="Times New Roman" w:hAnsi="Times New Roman" w:cs="Times New Roman"/>
          <w:sz w:val="22"/>
        </w:rPr>
        <w:t xml:space="preserve"> The Annual Reports and the data collection serve different purposes and collect very different information, and </w:t>
      </w:r>
      <w:r w:rsidRPr="00987F8B">
        <w:rPr>
          <w:rFonts w:ascii="Times New Roman" w:hAnsi="Times New Roman" w:cs="Times New Roman"/>
          <w:sz w:val="22"/>
        </w:rPr>
        <w:t>ViaPath</w:t>
      </w:r>
      <w:r w:rsidRPr="00987F8B">
        <w:rPr>
          <w:rFonts w:ascii="Times New Roman" w:hAnsi="Times New Roman" w:cs="Times New Roman"/>
          <w:sz w:val="22"/>
        </w:rPr>
        <w:t xml:space="preserve"> </w:t>
      </w:r>
      <w:r w:rsidRPr="00987F8B" w:rsidR="004F433E">
        <w:rPr>
          <w:rFonts w:ascii="Times New Roman" w:hAnsi="Times New Roman" w:cs="Times New Roman"/>
          <w:sz w:val="22"/>
        </w:rPr>
        <w:t xml:space="preserve">has </w:t>
      </w:r>
      <w:r w:rsidRPr="00987F8B">
        <w:rPr>
          <w:rFonts w:ascii="Times New Roman" w:hAnsi="Times New Roman" w:cs="Times New Roman"/>
          <w:sz w:val="22"/>
        </w:rPr>
        <w:t>fail</w:t>
      </w:r>
      <w:r w:rsidRPr="00987F8B" w:rsidR="004F433E">
        <w:rPr>
          <w:rFonts w:ascii="Times New Roman" w:hAnsi="Times New Roman" w:cs="Times New Roman"/>
          <w:sz w:val="22"/>
        </w:rPr>
        <w:t>ed</w:t>
      </w:r>
      <w:r w:rsidRPr="00987F8B">
        <w:rPr>
          <w:rFonts w:ascii="Times New Roman" w:hAnsi="Times New Roman" w:cs="Times New Roman"/>
          <w:sz w:val="22"/>
        </w:rPr>
        <w:t xml:space="preserve"> to explain how the data collection could be scaled back without undermining the purposes behind the collection.  </w:t>
      </w:r>
      <w:r w:rsidRPr="00987F8B" w:rsidR="00D5078F">
        <w:rPr>
          <w:rFonts w:ascii="Times New Roman" w:hAnsi="Times New Roman" w:cs="Times New Roman"/>
          <w:sz w:val="22"/>
        </w:rPr>
        <w:t>Thus</w:t>
      </w:r>
      <w:r w:rsidRPr="00987F8B">
        <w:rPr>
          <w:rFonts w:ascii="Times New Roman" w:hAnsi="Times New Roman" w:cs="Times New Roman"/>
          <w:sz w:val="22"/>
        </w:rPr>
        <w:t xml:space="preserve">, </w:t>
      </w:r>
      <w:r w:rsidRPr="00987F8B">
        <w:rPr>
          <w:rFonts w:ascii="Times New Roman" w:hAnsi="Times New Roman" w:cs="Times New Roman"/>
          <w:sz w:val="22"/>
        </w:rPr>
        <w:t>ViaPath’s</w:t>
      </w:r>
      <w:r w:rsidRPr="00987F8B">
        <w:rPr>
          <w:rFonts w:ascii="Times New Roman" w:hAnsi="Times New Roman" w:cs="Times New Roman"/>
          <w:sz w:val="22"/>
        </w:rPr>
        <w:t xml:space="preserve"> argument provides no basis for not approving the data collection.</w:t>
      </w:r>
    </w:p>
    <w:p w:rsidR="00176BA3" w:rsidRPr="00987F8B" w:rsidP="00CF2812" w14:paraId="0335EAB6" w14:textId="4B740AAF">
      <w:pPr>
        <w:pStyle w:val="Numberedparagraphs"/>
        <w:numPr>
          <w:ilvl w:val="0"/>
          <w:numId w:val="0"/>
        </w:numPr>
        <w:tabs>
          <w:tab w:val="left" w:pos="720"/>
        </w:tabs>
        <w:spacing w:after="120"/>
        <w:rPr>
          <w:rFonts w:ascii="Times New Roman" w:hAnsi="Times New Roman" w:cs="Times New Roman"/>
          <w:sz w:val="22"/>
        </w:rPr>
      </w:pPr>
      <w:r w:rsidRPr="00987F8B">
        <w:rPr>
          <w:rFonts w:ascii="Times New Roman" w:hAnsi="Times New Roman" w:cs="Times New Roman"/>
          <w:sz w:val="22"/>
        </w:rPr>
        <w:tab/>
        <w:t>e.</w:t>
      </w:r>
      <w:r w:rsidRPr="00987F8B">
        <w:rPr>
          <w:rFonts w:ascii="Times New Roman" w:hAnsi="Times New Roman" w:cs="Times New Roman"/>
          <w:sz w:val="22"/>
        </w:rPr>
        <w:tab/>
      </w:r>
      <w:r w:rsidRPr="00987F8B" w:rsidR="0069359D">
        <w:rPr>
          <w:rFonts w:ascii="Times New Roman" w:hAnsi="Times New Roman" w:cs="Times New Roman"/>
          <w:i/>
          <w:sz w:val="22"/>
        </w:rPr>
        <w:t xml:space="preserve">Financial Data Requests.  </w:t>
      </w:r>
      <w:r w:rsidRPr="00987F8B" w:rsidR="0056483D">
        <w:rPr>
          <w:rFonts w:ascii="Times New Roman" w:hAnsi="Times New Roman" w:cs="Times New Roman"/>
          <w:sz w:val="22"/>
        </w:rPr>
        <w:t>Finally,</w:t>
      </w:r>
      <w:r w:rsidRPr="00987F8B">
        <w:rPr>
          <w:rFonts w:ascii="Times New Roman" w:hAnsi="Times New Roman" w:cs="Times New Roman"/>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claims that I</w:t>
      </w:r>
      <w:r w:rsidRPr="00987F8B" w:rsidR="00B00203">
        <w:rPr>
          <w:rFonts w:ascii="Times New Roman" w:hAnsi="Times New Roman" w:cs="Times New Roman"/>
          <w:sz w:val="22"/>
        </w:rPr>
        <w:t>P</w:t>
      </w:r>
      <w:r w:rsidRPr="00987F8B">
        <w:rPr>
          <w:rFonts w:ascii="Times New Roman" w:hAnsi="Times New Roman" w:cs="Times New Roman"/>
          <w:sz w:val="22"/>
        </w:rPr>
        <w:t>CS providers are “non-dominant competitive carriers” that are not required to maintain their records in the same manner required of dominant carriers</w:t>
      </w:r>
      <w:r w:rsidRPr="00987F8B" w:rsidR="001B19FE">
        <w:rPr>
          <w:rFonts w:ascii="Times New Roman" w:hAnsi="Times New Roman" w:cs="Times New Roman"/>
          <w:sz w:val="22"/>
        </w:rPr>
        <w:t>.</w:t>
      </w:r>
      <w:r w:rsidRPr="00987F8B">
        <w:rPr>
          <w:rFonts w:ascii="Times New Roman" w:hAnsi="Times New Roman" w:cs="Times New Roman"/>
          <w:sz w:val="22"/>
        </w:rPr>
        <w:t>”</w:t>
      </w:r>
      <w:r>
        <w:rPr>
          <w:rStyle w:val="FootnoteReference"/>
          <w:rFonts w:cs="Times New Roman"/>
          <w:sz w:val="22"/>
        </w:rPr>
        <w:footnoteReference w:id="35"/>
      </w:r>
      <w:r w:rsidRPr="00987F8B">
        <w:rPr>
          <w:rFonts w:ascii="Times New Roman" w:hAnsi="Times New Roman" w:cs="Times New Roman"/>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contends that WCB</w:t>
      </w:r>
      <w:r w:rsidRPr="00987F8B" w:rsidR="00502DF3">
        <w:rPr>
          <w:rFonts w:ascii="Times New Roman" w:hAnsi="Times New Roman" w:cs="Times New Roman"/>
          <w:sz w:val="22"/>
        </w:rPr>
        <w:t xml:space="preserve"> and OEA</w:t>
      </w:r>
      <w:r w:rsidRPr="00987F8B">
        <w:rPr>
          <w:rFonts w:ascii="Times New Roman" w:hAnsi="Times New Roman" w:cs="Times New Roman"/>
          <w:sz w:val="22"/>
        </w:rPr>
        <w:t xml:space="preserve"> should craft the data collection to allow for flexibility “that reflects how IPCS providers are permitted to conduct their business and maintain their books and records” to reduce the related burden.</w:t>
      </w:r>
      <w:r>
        <w:rPr>
          <w:rStyle w:val="FootnoteReference"/>
          <w:rFonts w:cs="Times New Roman"/>
          <w:sz w:val="22"/>
        </w:rPr>
        <w:footnoteReference w:id="36"/>
      </w:r>
      <w:r w:rsidRPr="00987F8B">
        <w:rPr>
          <w:rFonts w:ascii="Times New Roman" w:hAnsi="Times New Roman" w:cs="Times New Roman"/>
          <w:sz w:val="22"/>
        </w:rPr>
        <w:t xml:space="preserve">  </w:t>
      </w:r>
      <w:r w:rsidRPr="00987F8B" w:rsidR="00480555">
        <w:rPr>
          <w:rFonts w:ascii="Times New Roman" w:hAnsi="Times New Roman" w:cs="Times New Roman"/>
          <w:sz w:val="22"/>
        </w:rPr>
        <w:t xml:space="preserve">Relying on the </w:t>
      </w:r>
      <w:r w:rsidRPr="00987F8B" w:rsidR="003250EA">
        <w:rPr>
          <w:rFonts w:ascii="Times New Roman" w:hAnsi="Times New Roman" w:cs="Times New Roman"/>
          <w:i/>
          <w:sz w:val="22"/>
        </w:rPr>
        <w:t xml:space="preserve">2023 </w:t>
      </w:r>
      <w:r w:rsidRPr="00987F8B" w:rsidR="003E370E">
        <w:rPr>
          <w:rFonts w:ascii="Times New Roman" w:hAnsi="Times New Roman" w:cs="Times New Roman"/>
          <w:i/>
          <w:sz w:val="22"/>
        </w:rPr>
        <w:t>MDC</w:t>
      </w:r>
      <w:r w:rsidRPr="00987F8B" w:rsidR="003250EA">
        <w:rPr>
          <w:rFonts w:ascii="Times New Roman" w:hAnsi="Times New Roman" w:cs="Times New Roman"/>
          <w:i/>
          <w:sz w:val="22"/>
        </w:rPr>
        <w:t xml:space="preserve"> Public Notice</w:t>
      </w:r>
      <w:r w:rsidRPr="00987F8B" w:rsidR="003250EA">
        <w:rPr>
          <w:rFonts w:ascii="Times New Roman" w:hAnsi="Times New Roman" w:cs="Times New Roman"/>
          <w:sz w:val="22"/>
        </w:rPr>
        <w:t>,</w:t>
      </w:r>
      <w:r w:rsidRPr="00987F8B" w:rsidR="003250EA">
        <w:rPr>
          <w:rFonts w:ascii="Times New Roman" w:hAnsi="Times New Roman" w:cs="Times New Roman"/>
          <w:i/>
          <w:sz w:val="22"/>
        </w:rPr>
        <w:t xml:space="preserve"> </w:t>
      </w:r>
      <w:r w:rsidRPr="00987F8B">
        <w:rPr>
          <w:rFonts w:ascii="Times New Roman" w:hAnsi="Times New Roman" w:cs="Times New Roman"/>
          <w:sz w:val="22"/>
        </w:rPr>
        <w:t>ViaPath</w:t>
      </w:r>
      <w:r w:rsidRPr="00987F8B">
        <w:rPr>
          <w:rFonts w:ascii="Times New Roman" w:hAnsi="Times New Roman" w:cs="Times New Roman"/>
          <w:sz w:val="22"/>
        </w:rPr>
        <w:t xml:space="preserve"> </w:t>
      </w:r>
      <w:r w:rsidRPr="00987F8B" w:rsidR="004D2306">
        <w:rPr>
          <w:rFonts w:ascii="Times New Roman" w:hAnsi="Times New Roman" w:cs="Times New Roman"/>
          <w:sz w:val="22"/>
        </w:rPr>
        <w:t>concludes that because</w:t>
      </w:r>
      <w:r w:rsidRPr="00987F8B" w:rsidR="003250EA">
        <w:rPr>
          <w:rFonts w:ascii="Times New Roman" w:hAnsi="Times New Roman" w:cs="Times New Roman"/>
          <w:sz w:val="22"/>
        </w:rPr>
        <w:t xml:space="preserve"> </w:t>
      </w:r>
      <w:r w:rsidRPr="00987F8B">
        <w:rPr>
          <w:rFonts w:ascii="Times New Roman" w:hAnsi="Times New Roman" w:cs="Times New Roman"/>
          <w:sz w:val="22"/>
        </w:rPr>
        <w:t>WCB</w:t>
      </w:r>
      <w:r w:rsidRPr="00987F8B" w:rsidR="002D6B14">
        <w:rPr>
          <w:rFonts w:ascii="Times New Roman" w:hAnsi="Times New Roman" w:cs="Times New Roman"/>
          <w:sz w:val="22"/>
        </w:rPr>
        <w:t xml:space="preserve"> </w:t>
      </w:r>
      <w:r w:rsidRPr="00987F8B" w:rsidR="00D44E27">
        <w:rPr>
          <w:rFonts w:ascii="Times New Roman" w:hAnsi="Times New Roman" w:cs="Times New Roman"/>
          <w:sz w:val="22"/>
        </w:rPr>
        <w:t xml:space="preserve">and </w:t>
      </w:r>
      <w:r w:rsidRPr="00987F8B" w:rsidR="00502DF3">
        <w:rPr>
          <w:rFonts w:ascii="Times New Roman" w:hAnsi="Times New Roman" w:cs="Times New Roman"/>
          <w:sz w:val="22"/>
        </w:rPr>
        <w:t>OEA</w:t>
      </w:r>
      <w:r w:rsidRPr="00987F8B">
        <w:rPr>
          <w:rFonts w:ascii="Times New Roman" w:hAnsi="Times New Roman" w:cs="Times New Roman"/>
          <w:sz w:val="22"/>
        </w:rPr>
        <w:t xml:space="preserve"> “acknowledge that not all IPCS providers track costs at the facility level</w:t>
      </w:r>
      <w:r w:rsidRPr="00987F8B" w:rsidR="004D2306">
        <w:rPr>
          <w:rFonts w:ascii="Times New Roman" w:hAnsi="Times New Roman" w:cs="Times New Roman"/>
          <w:sz w:val="22"/>
        </w:rPr>
        <w:t>,</w:t>
      </w:r>
      <w:r w:rsidRPr="00987F8B">
        <w:rPr>
          <w:rFonts w:ascii="Times New Roman" w:hAnsi="Times New Roman" w:cs="Times New Roman"/>
          <w:sz w:val="22"/>
        </w:rPr>
        <w:t>”</w:t>
      </w:r>
      <w:r>
        <w:rPr>
          <w:rStyle w:val="FootnoteReference"/>
          <w:rFonts w:cs="Times New Roman"/>
          <w:sz w:val="22"/>
        </w:rPr>
        <w:footnoteReference w:id="37"/>
      </w:r>
      <w:r w:rsidRPr="00987F8B">
        <w:rPr>
          <w:rFonts w:ascii="Times New Roman" w:hAnsi="Times New Roman" w:cs="Times New Roman"/>
          <w:sz w:val="22"/>
        </w:rPr>
        <w:t xml:space="preserve"> </w:t>
      </w:r>
      <w:r w:rsidRPr="00987F8B" w:rsidR="004D2306">
        <w:rPr>
          <w:rFonts w:ascii="Times New Roman" w:hAnsi="Times New Roman" w:cs="Times New Roman"/>
          <w:sz w:val="22"/>
        </w:rPr>
        <w:t xml:space="preserve">“an IPCS provider is permitted to use the allocation methodologies that best reflect its business </w:t>
      </w:r>
      <w:r w:rsidRPr="00987F8B" w:rsidR="004D2306">
        <w:rPr>
          <w:rFonts w:ascii="Times New Roman" w:hAnsi="Times New Roman" w:cs="Times New Roman"/>
          <w:sz w:val="22"/>
        </w:rPr>
        <w:t>and the way in which it keeps its books and records as long as the provider documents and explains its methodologies in its MDC response.”</w:t>
      </w:r>
      <w:r>
        <w:rPr>
          <w:rStyle w:val="FootnoteReference"/>
          <w:rFonts w:cs="Times New Roman"/>
          <w:sz w:val="22"/>
        </w:rPr>
        <w:footnoteReference w:id="38"/>
      </w:r>
    </w:p>
    <w:p w:rsidR="004653DA" w:rsidRPr="00987F8B" w:rsidP="00CF2812" w14:paraId="3DF6170D" w14:textId="69BE6B6C">
      <w:pPr>
        <w:pStyle w:val="Numberedparagraphs"/>
        <w:numPr>
          <w:ilvl w:val="0"/>
          <w:numId w:val="0"/>
        </w:numPr>
        <w:tabs>
          <w:tab w:val="left" w:pos="720"/>
        </w:tabs>
        <w:spacing w:after="120"/>
        <w:rPr>
          <w:rFonts w:ascii="Times New Roman" w:hAnsi="Times New Roman" w:cs="Times New Roman"/>
          <w:sz w:val="22"/>
        </w:rPr>
      </w:pPr>
      <w:r w:rsidRPr="00987F8B">
        <w:rPr>
          <w:rFonts w:ascii="Times New Roman" w:hAnsi="Times New Roman" w:cs="Times New Roman"/>
          <w:sz w:val="22"/>
        </w:rPr>
        <w:tab/>
      </w:r>
      <w:r w:rsidRPr="00987F8B" w:rsidR="00752E8D">
        <w:rPr>
          <w:rFonts w:ascii="Times New Roman" w:hAnsi="Times New Roman" w:cs="Times New Roman"/>
          <w:sz w:val="22"/>
        </w:rPr>
        <w:t xml:space="preserve">As an initial matter, </w:t>
      </w:r>
      <w:r w:rsidRPr="00987F8B" w:rsidR="00752E8D">
        <w:rPr>
          <w:rFonts w:ascii="Times New Roman" w:hAnsi="Times New Roman" w:cs="Times New Roman"/>
          <w:sz w:val="22"/>
        </w:rPr>
        <w:t>ViaPath</w:t>
      </w:r>
      <w:r w:rsidRPr="00987F8B" w:rsidR="00483040">
        <w:rPr>
          <w:rFonts w:ascii="Times New Roman" w:hAnsi="Times New Roman" w:cs="Times New Roman"/>
          <w:sz w:val="22"/>
        </w:rPr>
        <w:t>’s</w:t>
      </w:r>
      <w:r w:rsidRPr="00987F8B" w:rsidR="00483040">
        <w:rPr>
          <w:rFonts w:ascii="Times New Roman" w:hAnsi="Times New Roman" w:cs="Times New Roman"/>
          <w:sz w:val="22"/>
        </w:rPr>
        <w:t xml:space="preserve"> argument regarding its status as a nondominant carrier under Commission precedent</w:t>
      </w:r>
      <w:r w:rsidRPr="00987F8B" w:rsidR="001C5DAF">
        <w:rPr>
          <w:rFonts w:ascii="Times New Roman" w:hAnsi="Times New Roman" w:cs="Times New Roman"/>
          <w:sz w:val="22"/>
        </w:rPr>
        <w:t xml:space="preserve"> </w:t>
      </w:r>
      <w:r w:rsidRPr="00987F8B" w:rsidR="005D5A91">
        <w:rPr>
          <w:rFonts w:ascii="Times New Roman" w:hAnsi="Times New Roman" w:cs="Times New Roman"/>
          <w:sz w:val="22"/>
        </w:rPr>
        <w:t xml:space="preserve">is </w:t>
      </w:r>
      <w:r w:rsidRPr="00987F8B" w:rsidR="00863488">
        <w:rPr>
          <w:rFonts w:ascii="Times New Roman" w:hAnsi="Times New Roman" w:cs="Times New Roman"/>
          <w:sz w:val="22"/>
        </w:rPr>
        <w:t>irrelevant</w:t>
      </w:r>
      <w:r w:rsidRPr="00987F8B" w:rsidR="005D5A91">
        <w:rPr>
          <w:rFonts w:ascii="Times New Roman" w:hAnsi="Times New Roman" w:cs="Times New Roman"/>
          <w:sz w:val="22"/>
        </w:rPr>
        <w:t xml:space="preserve">.  </w:t>
      </w:r>
      <w:r w:rsidRPr="00987F8B" w:rsidR="0053620C">
        <w:rPr>
          <w:rFonts w:ascii="Times New Roman" w:hAnsi="Times New Roman" w:cs="Times New Roman"/>
          <w:sz w:val="22"/>
        </w:rPr>
        <w:t xml:space="preserve">As </w:t>
      </w:r>
      <w:r w:rsidRPr="00987F8B" w:rsidR="005D5A91">
        <w:rPr>
          <w:rFonts w:ascii="Times New Roman" w:hAnsi="Times New Roman" w:cs="Times New Roman"/>
          <w:sz w:val="22"/>
        </w:rPr>
        <w:t xml:space="preserve">WCB and OEA </w:t>
      </w:r>
      <w:r w:rsidRPr="00987F8B" w:rsidR="0053620C">
        <w:rPr>
          <w:rFonts w:ascii="Times New Roman" w:hAnsi="Times New Roman" w:cs="Times New Roman"/>
          <w:sz w:val="22"/>
        </w:rPr>
        <w:t>found in adopting the 2023 Mandatory Data Collection</w:t>
      </w:r>
      <w:r w:rsidRPr="00987F8B" w:rsidR="005D5A91">
        <w:rPr>
          <w:rFonts w:ascii="Times New Roman" w:hAnsi="Times New Roman" w:cs="Times New Roman"/>
          <w:sz w:val="22"/>
        </w:rPr>
        <w:t xml:space="preserve"> “[w]</w:t>
      </w:r>
      <w:r w:rsidRPr="00987F8B" w:rsidR="005D5A91">
        <w:rPr>
          <w:rFonts w:ascii="Times New Roman" w:hAnsi="Times New Roman" w:cs="Times New Roman"/>
          <w:sz w:val="22"/>
        </w:rPr>
        <w:t>hether</w:t>
      </w:r>
      <w:r w:rsidRPr="00987F8B" w:rsidR="005D5A91">
        <w:rPr>
          <w:rFonts w:ascii="Times New Roman" w:hAnsi="Times New Roman" w:cs="Times New Roman"/>
          <w:sz w:val="22"/>
        </w:rPr>
        <w:t xml:space="preserve"> providers are dominant has no bearing on the Commission’s authority to mandate the manner in which [IPCS] providers report cost data.”</w:t>
      </w:r>
      <w:r>
        <w:rPr>
          <w:rStyle w:val="FootnoteReference"/>
          <w:rFonts w:cs="Times New Roman"/>
          <w:sz w:val="22"/>
        </w:rPr>
        <w:footnoteReference w:id="39"/>
      </w:r>
      <w:r w:rsidRPr="00987F8B" w:rsidR="00F60715">
        <w:rPr>
          <w:rFonts w:ascii="Times New Roman" w:hAnsi="Times New Roman" w:cs="Times New Roman"/>
          <w:sz w:val="22"/>
        </w:rPr>
        <w:t xml:space="preserve">  </w:t>
      </w:r>
    </w:p>
    <w:p w:rsidR="00353B20" w:rsidRPr="00987F8B" w:rsidP="00353B20" w14:paraId="3923CB88" w14:textId="63C241B4">
      <w:pPr>
        <w:pStyle w:val="Numberedparagraphs"/>
        <w:numPr>
          <w:ilvl w:val="0"/>
          <w:numId w:val="0"/>
        </w:numPr>
        <w:tabs>
          <w:tab w:val="left" w:pos="720"/>
        </w:tabs>
        <w:spacing w:after="120"/>
        <w:rPr>
          <w:rFonts w:ascii="Times New Roman" w:hAnsi="Times New Roman" w:cs="Times New Roman"/>
          <w:sz w:val="22"/>
        </w:rPr>
      </w:pPr>
      <w:r w:rsidRPr="00987F8B">
        <w:rPr>
          <w:rFonts w:ascii="Times New Roman" w:hAnsi="Times New Roman" w:cs="Times New Roman"/>
          <w:sz w:val="22"/>
        </w:rPr>
        <w:tab/>
      </w:r>
      <w:r w:rsidRPr="00987F8B" w:rsidR="007A308B">
        <w:rPr>
          <w:rFonts w:ascii="Times New Roman" w:hAnsi="Times New Roman" w:cs="Times New Roman"/>
          <w:sz w:val="22"/>
        </w:rPr>
        <w:t>More</w:t>
      </w:r>
      <w:r w:rsidRPr="00987F8B" w:rsidR="003D3894">
        <w:rPr>
          <w:rFonts w:ascii="Times New Roman" w:hAnsi="Times New Roman" w:cs="Times New Roman"/>
          <w:sz w:val="22"/>
        </w:rPr>
        <w:t xml:space="preserve"> fundamentally,</w:t>
      </w:r>
      <w:r w:rsidRPr="00987F8B" w:rsidR="004A5DBF">
        <w:rPr>
          <w:rFonts w:ascii="Times New Roman" w:hAnsi="Times New Roman" w:cs="Times New Roman"/>
          <w:sz w:val="22"/>
        </w:rPr>
        <w:t xml:space="preserve"> </w:t>
      </w:r>
      <w:r w:rsidRPr="00987F8B" w:rsidR="00070972">
        <w:rPr>
          <w:rFonts w:ascii="Times New Roman" w:hAnsi="Times New Roman" w:cs="Times New Roman"/>
          <w:sz w:val="22"/>
        </w:rPr>
        <w:t>t</w:t>
      </w:r>
      <w:r w:rsidRPr="00987F8B" w:rsidR="00024574">
        <w:rPr>
          <w:rFonts w:ascii="Times New Roman" w:hAnsi="Times New Roman" w:cs="Times New Roman"/>
          <w:sz w:val="22"/>
        </w:rPr>
        <w:t>he data collection is fully consistent with provider</w:t>
      </w:r>
      <w:r w:rsidRPr="00987F8B" w:rsidR="00BB3D90">
        <w:rPr>
          <w:rFonts w:ascii="Times New Roman" w:hAnsi="Times New Roman" w:cs="Times New Roman"/>
          <w:sz w:val="22"/>
        </w:rPr>
        <w:t>s’</w:t>
      </w:r>
      <w:r w:rsidRPr="00987F8B" w:rsidR="00024574">
        <w:rPr>
          <w:rFonts w:ascii="Times New Roman" w:hAnsi="Times New Roman" w:cs="Times New Roman"/>
          <w:sz w:val="22"/>
        </w:rPr>
        <w:t xml:space="preserve"> accounting practices, which we understand are consistent with generally accepted accounting principles.  </w:t>
      </w:r>
      <w:r w:rsidRPr="00987F8B" w:rsidR="00176BA3">
        <w:rPr>
          <w:rFonts w:ascii="Times New Roman" w:hAnsi="Times New Roman" w:cs="Times New Roman"/>
          <w:sz w:val="22"/>
        </w:rPr>
        <w:t>ViaPath’s</w:t>
      </w:r>
      <w:r w:rsidRPr="00987F8B" w:rsidR="00176BA3">
        <w:rPr>
          <w:rFonts w:ascii="Times New Roman" w:hAnsi="Times New Roman" w:cs="Times New Roman"/>
          <w:sz w:val="22"/>
        </w:rPr>
        <w:t xml:space="preserve"> proposal </w:t>
      </w:r>
      <w:r w:rsidRPr="00987F8B" w:rsidR="00865DD7">
        <w:rPr>
          <w:rFonts w:ascii="Times New Roman" w:hAnsi="Times New Roman" w:cs="Times New Roman"/>
          <w:sz w:val="22"/>
        </w:rPr>
        <w:t xml:space="preserve">that </w:t>
      </w:r>
      <w:r w:rsidRPr="00987F8B" w:rsidR="00284BF6">
        <w:rPr>
          <w:rFonts w:ascii="Times New Roman" w:hAnsi="Times New Roman" w:cs="Times New Roman"/>
          <w:sz w:val="22"/>
        </w:rPr>
        <w:t xml:space="preserve">providers be permitted to </w:t>
      </w:r>
      <w:r w:rsidRPr="00987F8B" w:rsidR="001C6AFB">
        <w:rPr>
          <w:rFonts w:ascii="Times New Roman" w:hAnsi="Times New Roman" w:cs="Times New Roman"/>
          <w:sz w:val="22"/>
        </w:rPr>
        <w:t>implement their own</w:t>
      </w:r>
      <w:r w:rsidRPr="00987F8B" w:rsidR="00525EA7">
        <w:rPr>
          <w:rFonts w:ascii="Times New Roman" w:hAnsi="Times New Roman" w:cs="Times New Roman"/>
          <w:sz w:val="22"/>
        </w:rPr>
        <w:t xml:space="preserve"> allocation methodologies</w:t>
      </w:r>
      <w:r w:rsidRPr="00987F8B" w:rsidR="001E2587">
        <w:rPr>
          <w:rFonts w:ascii="Times New Roman" w:hAnsi="Times New Roman" w:cs="Times New Roman"/>
          <w:sz w:val="22"/>
        </w:rPr>
        <w:t xml:space="preserve"> </w:t>
      </w:r>
      <w:r w:rsidRPr="00987F8B" w:rsidR="00FE3D5E">
        <w:rPr>
          <w:rFonts w:ascii="Times New Roman" w:hAnsi="Times New Roman" w:cs="Times New Roman"/>
          <w:sz w:val="22"/>
        </w:rPr>
        <w:t xml:space="preserve">based on their individual </w:t>
      </w:r>
      <w:r w:rsidRPr="00987F8B" w:rsidR="00625621">
        <w:rPr>
          <w:rFonts w:ascii="Times New Roman" w:hAnsi="Times New Roman" w:cs="Times New Roman"/>
          <w:sz w:val="22"/>
        </w:rPr>
        <w:t>bookkeeping</w:t>
      </w:r>
      <w:r w:rsidRPr="00987F8B" w:rsidR="00FC058E">
        <w:rPr>
          <w:rFonts w:ascii="Times New Roman" w:hAnsi="Times New Roman" w:cs="Times New Roman"/>
          <w:sz w:val="22"/>
        </w:rPr>
        <w:t xml:space="preserve"> and recordkeeping practices</w:t>
      </w:r>
      <w:r w:rsidRPr="00987F8B" w:rsidR="00091316">
        <w:rPr>
          <w:rFonts w:ascii="Times New Roman" w:hAnsi="Times New Roman" w:cs="Times New Roman"/>
          <w:sz w:val="22"/>
        </w:rPr>
        <w:t xml:space="preserve"> ignores</w:t>
      </w:r>
      <w:r w:rsidRPr="00987F8B">
        <w:rPr>
          <w:rFonts w:ascii="Times New Roman" w:hAnsi="Times New Roman" w:cs="Times New Roman"/>
          <w:sz w:val="22"/>
        </w:rPr>
        <w:t xml:space="preserve"> the </w:t>
      </w:r>
      <w:r w:rsidRPr="00987F8B" w:rsidR="00B305F6">
        <w:rPr>
          <w:rFonts w:ascii="Times New Roman" w:hAnsi="Times New Roman" w:cs="Times New Roman"/>
          <w:sz w:val="22"/>
        </w:rPr>
        <w:t xml:space="preserve">effect that </w:t>
      </w:r>
      <w:r w:rsidRPr="00987F8B" w:rsidR="005C245A">
        <w:rPr>
          <w:rFonts w:ascii="Times New Roman" w:hAnsi="Times New Roman" w:cs="Times New Roman"/>
          <w:sz w:val="22"/>
        </w:rPr>
        <w:t xml:space="preserve">such an approach would have on </w:t>
      </w:r>
      <w:r w:rsidRPr="00987F8B" w:rsidR="0095458C">
        <w:rPr>
          <w:rFonts w:ascii="Times New Roman" w:hAnsi="Times New Roman" w:cs="Times New Roman"/>
          <w:sz w:val="22"/>
        </w:rPr>
        <w:t>the utility of the data collection.</w:t>
      </w:r>
      <w:r>
        <w:rPr>
          <w:rStyle w:val="FootnoteReference"/>
          <w:rFonts w:cs="Times New Roman"/>
          <w:sz w:val="22"/>
        </w:rPr>
        <w:footnoteReference w:id="40"/>
      </w:r>
      <w:r w:rsidRPr="00987F8B" w:rsidR="00176BA3">
        <w:rPr>
          <w:rFonts w:ascii="Times New Roman" w:hAnsi="Times New Roman" w:cs="Times New Roman"/>
          <w:sz w:val="22"/>
        </w:rPr>
        <w:t xml:space="preserve">  </w:t>
      </w:r>
      <w:r w:rsidRPr="00987F8B" w:rsidR="003627DF">
        <w:rPr>
          <w:rFonts w:ascii="Times New Roman" w:hAnsi="Times New Roman" w:cs="Times New Roman"/>
          <w:sz w:val="22"/>
        </w:rPr>
        <w:t>Indeed, a</w:t>
      </w:r>
      <w:r w:rsidRPr="00987F8B" w:rsidR="00E86ADB">
        <w:rPr>
          <w:rFonts w:ascii="Times New Roman" w:hAnsi="Times New Roman" w:cs="Times New Roman"/>
          <w:sz w:val="22"/>
        </w:rPr>
        <w:t xml:space="preserve">s </w:t>
      </w:r>
      <w:r w:rsidRPr="00987F8B" w:rsidR="00AD1C4A">
        <w:rPr>
          <w:rFonts w:ascii="Times New Roman" w:hAnsi="Times New Roman" w:cs="Times New Roman"/>
          <w:sz w:val="22"/>
        </w:rPr>
        <w:t xml:space="preserve">the </w:t>
      </w:r>
      <w:r w:rsidRPr="00987F8B" w:rsidR="00AD1C4A">
        <w:rPr>
          <w:rFonts w:ascii="Times New Roman" w:hAnsi="Times New Roman" w:cs="Times New Roman"/>
          <w:i/>
          <w:iCs/>
          <w:sz w:val="22"/>
        </w:rPr>
        <w:t>2023 MDC Adoption Order</w:t>
      </w:r>
      <w:r w:rsidRPr="00987F8B" w:rsidR="00A7458D">
        <w:rPr>
          <w:rFonts w:ascii="Times New Roman" w:hAnsi="Times New Roman" w:cs="Times New Roman"/>
          <w:sz w:val="22"/>
        </w:rPr>
        <w:t xml:space="preserve"> finds,</w:t>
      </w:r>
      <w:r w:rsidRPr="00987F8B" w:rsidR="00AD1C4A">
        <w:rPr>
          <w:rFonts w:ascii="Times New Roman" w:hAnsi="Times New Roman" w:cs="Times New Roman"/>
          <w:i/>
          <w:iCs/>
          <w:sz w:val="22"/>
        </w:rPr>
        <w:t xml:space="preserve"> </w:t>
      </w:r>
      <w:r w:rsidRPr="00987F8B" w:rsidR="00176BA3">
        <w:rPr>
          <w:rFonts w:ascii="Times New Roman" w:hAnsi="Times New Roman" w:cs="Times New Roman"/>
          <w:sz w:val="22"/>
        </w:rPr>
        <w:t xml:space="preserve">allowing providers to devise their own cost allocation methodologies in </w:t>
      </w:r>
      <w:r w:rsidRPr="00987F8B" w:rsidR="00BE3A9B">
        <w:rPr>
          <w:rFonts w:ascii="Times New Roman" w:hAnsi="Times New Roman" w:cs="Times New Roman"/>
          <w:sz w:val="22"/>
        </w:rPr>
        <w:t xml:space="preserve">a </w:t>
      </w:r>
      <w:r w:rsidRPr="00987F8B" w:rsidR="00176BA3">
        <w:rPr>
          <w:rFonts w:ascii="Times New Roman" w:hAnsi="Times New Roman" w:cs="Times New Roman"/>
          <w:sz w:val="22"/>
        </w:rPr>
        <w:t>previous data collection led to “providers assigning costs inconsistently among the categories provided.”</w:t>
      </w:r>
      <w:r>
        <w:rPr>
          <w:rStyle w:val="FootnoteReference"/>
          <w:rFonts w:cs="Times New Roman"/>
          <w:sz w:val="22"/>
        </w:rPr>
        <w:footnoteReference w:id="41"/>
      </w:r>
      <w:r w:rsidRPr="00987F8B" w:rsidR="00176BA3">
        <w:rPr>
          <w:rFonts w:ascii="Times New Roman" w:hAnsi="Times New Roman" w:cs="Times New Roman"/>
          <w:sz w:val="22"/>
        </w:rPr>
        <w:t xml:space="preserve">  </w:t>
      </w:r>
      <w:r w:rsidRPr="00987F8B" w:rsidR="005F7D10">
        <w:rPr>
          <w:rFonts w:ascii="Times New Roman" w:hAnsi="Times New Roman" w:cs="Times New Roman"/>
          <w:sz w:val="22"/>
        </w:rPr>
        <w:t xml:space="preserve">And </w:t>
      </w:r>
      <w:r w:rsidRPr="00987F8B">
        <w:rPr>
          <w:rFonts w:ascii="Times New Roman" w:hAnsi="Times New Roman" w:cs="Times New Roman"/>
          <w:sz w:val="22"/>
        </w:rPr>
        <w:t xml:space="preserve">adopting </w:t>
      </w:r>
      <w:r w:rsidRPr="00987F8B" w:rsidR="005F7D10">
        <w:rPr>
          <w:rFonts w:ascii="Times New Roman" w:hAnsi="Times New Roman" w:cs="Times New Roman"/>
          <w:sz w:val="22"/>
        </w:rPr>
        <w:t>ViaPath’s</w:t>
      </w:r>
      <w:r w:rsidRPr="00987F8B" w:rsidR="005F7D10">
        <w:rPr>
          <w:rFonts w:ascii="Times New Roman" w:hAnsi="Times New Roman" w:cs="Times New Roman"/>
          <w:sz w:val="22"/>
        </w:rPr>
        <w:t xml:space="preserve"> </w:t>
      </w:r>
      <w:r w:rsidRPr="00987F8B">
        <w:rPr>
          <w:rFonts w:ascii="Times New Roman" w:hAnsi="Times New Roman" w:cs="Times New Roman"/>
          <w:sz w:val="22"/>
        </w:rPr>
        <w:t xml:space="preserve">proposal “would </w:t>
      </w:r>
      <w:r w:rsidRPr="00987F8B" w:rsidR="000848D1">
        <w:rPr>
          <w:rFonts w:ascii="Times New Roman" w:hAnsi="Times New Roman" w:cs="Times New Roman"/>
          <w:sz w:val="22"/>
        </w:rPr>
        <w:t xml:space="preserve">[have] </w:t>
      </w:r>
      <w:r w:rsidRPr="00987F8B">
        <w:rPr>
          <w:rFonts w:ascii="Times New Roman" w:hAnsi="Times New Roman" w:cs="Times New Roman"/>
          <w:sz w:val="22"/>
        </w:rPr>
        <w:t>substantially increase</w:t>
      </w:r>
      <w:r w:rsidRPr="00987F8B" w:rsidR="000848D1">
        <w:rPr>
          <w:rFonts w:ascii="Times New Roman" w:hAnsi="Times New Roman" w:cs="Times New Roman"/>
          <w:sz w:val="22"/>
        </w:rPr>
        <w:t>[d]</w:t>
      </w:r>
      <w:r w:rsidRPr="00987F8B">
        <w:rPr>
          <w:rFonts w:ascii="Times New Roman" w:hAnsi="Times New Roman" w:cs="Times New Roman"/>
          <w:sz w:val="22"/>
        </w:rPr>
        <w:t xml:space="preserve"> the back-end burden on all parties that want to process and analyze the reported data, because of the extent and complexity of the adjustments that would be necessary to correct for inconsistencies among providers’ responses.”</w:t>
      </w:r>
      <w:r>
        <w:rPr>
          <w:rStyle w:val="FootnoteReference"/>
          <w:rFonts w:cs="Times New Roman"/>
          <w:sz w:val="22"/>
        </w:rPr>
        <w:footnoteReference w:id="42"/>
      </w:r>
      <w:r w:rsidRPr="00987F8B">
        <w:rPr>
          <w:rFonts w:ascii="Times New Roman" w:hAnsi="Times New Roman" w:cs="Times New Roman"/>
          <w:sz w:val="22"/>
        </w:rPr>
        <w:t xml:space="preserve">  </w:t>
      </w:r>
    </w:p>
    <w:p w:rsidR="00F40CCF" w:rsidP="00CF2812" w14:paraId="6F6088FE" w14:textId="77EB1E08">
      <w:pPr>
        <w:pStyle w:val="Numberedparagraphs"/>
        <w:numPr>
          <w:ilvl w:val="0"/>
          <w:numId w:val="0"/>
        </w:numPr>
        <w:tabs>
          <w:tab w:val="left" w:pos="720"/>
        </w:tabs>
        <w:spacing w:after="120"/>
        <w:rPr>
          <w:rFonts w:ascii="Times New Roman" w:hAnsi="Times New Roman" w:cs="Times New Roman"/>
          <w:sz w:val="22"/>
        </w:rPr>
      </w:pPr>
      <w:r w:rsidRPr="00987F8B">
        <w:rPr>
          <w:rFonts w:ascii="Times New Roman" w:hAnsi="Times New Roman" w:cs="Times New Roman"/>
          <w:sz w:val="22"/>
        </w:rPr>
        <w:tab/>
      </w:r>
      <w:r w:rsidRPr="00987F8B" w:rsidR="00791036">
        <w:rPr>
          <w:rFonts w:ascii="Times New Roman" w:hAnsi="Times New Roman" w:cs="Times New Roman"/>
          <w:sz w:val="22"/>
        </w:rPr>
        <w:t xml:space="preserve">To avoid </w:t>
      </w:r>
      <w:r w:rsidRPr="00987F8B" w:rsidR="00317C9C">
        <w:rPr>
          <w:rFonts w:ascii="Times New Roman" w:hAnsi="Times New Roman" w:cs="Times New Roman"/>
          <w:sz w:val="22"/>
        </w:rPr>
        <w:t xml:space="preserve">these potential </w:t>
      </w:r>
      <w:r w:rsidRPr="00987F8B" w:rsidR="00B9471C">
        <w:rPr>
          <w:rFonts w:ascii="Times New Roman" w:hAnsi="Times New Roman" w:cs="Times New Roman"/>
          <w:sz w:val="22"/>
        </w:rPr>
        <w:t xml:space="preserve">problems, </w:t>
      </w:r>
      <w:r w:rsidRPr="00987F8B" w:rsidR="006B532D">
        <w:rPr>
          <w:rFonts w:ascii="Times New Roman" w:hAnsi="Times New Roman" w:cs="Times New Roman"/>
          <w:sz w:val="22"/>
        </w:rPr>
        <w:t>WCB and OEA designed the 2023 Mandatory Data Collection to</w:t>
      </w:r>
      <w:r w:rsidRPr="00987F8B" w:rsidR="00A76D45">
        <w:rPr>
          <w:rFonts w:ascii="Times New Roman" w:hAnsi="Times New Roman" w:cs="Times New Roman"/>
          <w:sz w:val="22"/>
        </w:rPr>
        <w:t xml:space="preserve"> collect, to the extent practicable</w:t>
      </w:r>
      <w:r w:rsidRPr="00987F8B" w:rsidR="00381B43">
        <w:rPr>
          <w:rFonts w:ascii="Times New Roman" w:hAnsi="Times New Roman" w:cs="Times New Roman"/>
          <w:sz w:val="22"/>
        </w:rPr>
        <w:t>, uniform cost, revenue, and demand data and other information f</w:t>
      </w:r>
      <w:r w:rsidRPr="00987F8B" w:rsidR="006E4B45">
        <w:rPr>
          <w:rFonts w:ascii="Times New Roman" w:hAnsi="Times New Roman" w:cs="Times New Roman"/>
          <w:sz w:val="22"/>
        </w:rPr>
        <w:t xml:space="preserve">rom each provider.  In pursuing this </w:t>
      </w:r>
      <w:r w:rsidRPr="00987F8B" w:rsidR="009B6AE2">
        <w:rPr>
          <w:rFonts w:ascii="Times New Roman" w:hAnsi="Times New Roman" w:cs="Times New Roman"/>
          <w:sz w:val="22"/>
        </w:rPr>
        <w:t xml:space="preserve">goal, WCB and OEA stopped far short of requiring providers to </w:t>
      </w:r>
      <w:r w:rsidRPr="00987F8B" w:rsidR="00F07E1D">
        <w:rPr>
          <w:rFonts w:ascii="Times New Roman" w:hAnsi="Times New Roman" w:cs="Times New Roman"/>
          <w:sz w:val="22"/>
        </w:rPr>
        <w:t xml:space="preserve">pinpoint the exact costs they incur </w:t>
      </w:r>
      <w:r w:rsidRPr="00987F8B" w:rsidR="00D104AB">
        <w:rPr>
          <w:rFonts w:ascii="Times New Roman" w:hAnsi="Times New Roman" w:cs="Times New Roman"/>
          <w:sz w:val="22"/>
        </w:rPr>
        <w:t xml:space="preserve">in providing </w:t>
      </w:r>
      <w:r w:rsidRPr="00987F8B" w:rsidR="00B74A1C">
        <w:rPr>
          <w:rFonts w:ascii="Times New Roman" w:hAnsi="Times New Roman" w:cs="Times New Roman"/>
          <w:sz w:val="22"/>
        </w:rPr>
        <w:t xml:space="preserve">each component of IPCS and related ancillary services.  Instead, </w:t>
      </w:r>
      <w:r w:rsidRPr="00987F8B" w:rsidR="00873361">
        <w:rPr>
          <w:rFonts w:ascii="Times New Roman" w:hAnsi="Times New Roman" w:cs="Times New Roman"/>
          <w:sz w:val="22"/>
        </w:rPr>
        <w:t xml:space="preserve">as indicated above, </w:t>
      </w:r>
      <w:r w:rsidRPr="00987F8B" w:rsidR="00F931F1">
        <w:rPr>
          <w:rFonts w:ascii="Times New Roman" w:hAnsi="Times New Roman" w:cs="Times New Roman"/>
          <w:sz w:val="22"/>
        </w:rPr>
        <w:t xml:space="preserve">WCB and OEA </w:t>
      </w:r>
      <w:r w:rsidRPr="00987F8B" w:rsidR="004A2E4E">
        <w:rPr>
          <w:rFonts w:ascii="Times New Roman" w:hAnsi="Times New Roman" w:cs="Times New Roman"/>
          <w:sz w:val="22"/>
        </w:rPr>
        <w:t>ba</w:t>
      </w:r>
      <w:r w:rsidRPr="00987F8B" w:rsidR="00C54C9B">
        <w:rPr>
          <w:rFonts w:ascii="Times New Roman" w:hAnsi="Times New Roman" w:cs="Times New Roman"/>
          <w:sz w:val="22"/>
        </w:rPr>
        <w:t xml:space="preserve">lanced </w:t>
      </w:r>
      <w:r w:rsidRPr="00987F8B" w:rsidR="00CD1464">
        <w:rPr>
          <w:rFonts w:ascii="Times New Roman" w:hAnsi="Times New Roman" w:cs="Times New Roman"/>
          <w:sz w:val="22"/>
        </w:rPr>
        <w:t>the need for detailed and specific instructions and templates</w:t>
      </w:r>
      <w:r w:rsidRPr="00987F8B" w:rsidR="00320121">
        <w:rPr>
          <w:rFonts w:ascii="Times New Roman" w:hAnsi="Times New Roman" w:cs="Times New Roman"/>
          <w:sz w:val="22"/>
        </w:rPr>
        <w:t xml:space="preserve"> a</w:t>
      </w:r>
      <w:r w:rsidRPr="00987F8B" w:rsidR="00CD1464">
        <w:rPr>
          <w:rFonts w:ascii="Times New Roman" w:hAnsi="Times New Roman" w:cs="Times New Roman"/>
          <w:sz w:val="22"/>
        </w:rPr>
        <w:t>nd the desire to avoid unduly burdening providers.</w:t>
      </w:r>
      <w:r w:rsidRPr="00987F8B" w:rsidR="00C43879">
        <w:rPr>
          <w:rFonts w:ascii="Times New Roman" w:hAnsi="Times New Roman" w:cs="Times New Roman"/>
          <w:sz w:val="22"/>
        </w:rPr>
        <w:t xml:space="preserve">  </w:t>
      </w:r>
      <w:r w:rsidRPr="00987F8B" w:rsidR="00615424">
        <w:rPr>
          <w:rFonts w:ascii="Times New Roman" w:hAnsi="Times New Roman" w:cs="Times New Roman"/>
          <w:sz w:val="22"/>
        </w:rPr>
        <w:t>ViaPath</w:t>
      </w:r>
      <w:r w:rsidRPr="00987F8B" w:rsidR="00C43879">
        <w:rPr>
          <w:rFonts w:ascii="Times New Roman" w:hAnsi="Times New Roman" w:cs="Times New Roman"/>
          <w:sz w:val="22"/>
        </w:rPr>
        <w:t>’s</w:t>
      </w:r>
      <w:r w:rsidRPr="00987F8B" w:rsidR="00973319">
        <w:rPr>
          <w:rFonts w:ascii="Times New Roman" w:hAnsi="Times New Roman" w:cs="Times New Roman"/>
          <w:sz w:val="22"/>
        </w:rPr>
        <w:t xml:space="preserve"> arguments regarding providers’ </w:t>
      </w:r>
      <w:r w:rsidRPr="00987F8B" w:rsidR="009540A5">
        <w:rPr>
          <w:rFonts w:ascii="Times New Roman" w:hAnsi="Times New Roman" w:cs="Times New Roman"/>
          <w:sz w:val="22"/>
        </w:rPr>
        <w:t xml:space="preserve">bookkeeping and </w:t>
      </w:r>
      <w:r w:rsidRPr="00987F8B" w:rsidR="00973319">
        <w:rPr>
          <w:rFonts w:ascii="Times New Roman" w:hAnsi="Times New Roman" w:cs="Times New Roman"/>
          <w:sz w:val="22"/>
        </w:rPr>
        <w:t>recordkeeping practices provide no reason for upsetting this balance.</w:t>
      </w:r>
    </w:p>
    <w:p w:rsidR="00324126" w:rsidRPr="00987F8B" w:rsidP="57492675" w14:paraId="41495A55" w14:textId="7E7E60B2">
      <w:pPr>
        <w:pStyle w:val="Numberedparagraphs"/>
        <w:numPr>
          <w:ilvl w:val="2"/>
          <w:numId w:val="0"/>
        </w:numPr>
        <w:tabs>
          <w:tab w:val="left" w:pos="720"/>
        </w:tabs>
        <w:spacing w:after="120"/>
        <w:rPr>
          <w:rFonts w:ascii="Times New Roman" w:hAnsi="Times New Roman" w:cs="Times New Roman"/>
          <w:sz w:val="22"/>
        </w:rPr>
      </w:pPr>
      <w:r>
        <w:rPr>
          <w:rFonts w:ascii="Times New Roman" w:hAnsi="Times New Roman" w:cs="Times New Roman"/>
          <w:sz w:val="22"/>
        </w:rPr>
        <w:tab/>
      </w:r>
      <w:r w:rsidR="004B182E">
        <w:rPr>
          <w:rFonts w:ascii="Times New Roman" w:hAnsi="Times New Roman" w:cs="Times New Roman"/>
          <w:sz w:val="22"/>
        </w:rPr>
        <w:t xml:space="preserve">On </w:t>
      </w:r>
      <w:r w:rsidR="000D2338">
        <w:rPr>
          <w:rFonts w:ascii="Times New Roman" w:hAnsi="Times New Roman" w:cs="Times New Roman"/>
          <w:sz w:val="22"/>
        </w:rPr>
        <w:t xml:space="preserve">August 1, 2023, the Commission published a 30-Day Notice in the Federal Register to solicit public </w:t>
      </w:r>
      <w:r w:rsidR="00B667B2">
        <w:rPr>
          <w:rFonts w:ascii="Times New Roman" w:hAnsi="Times New Roman" w:cs="Times New Roman"/>
          <w:sz w:val="22"/>
        </w:rPr>
        <w:t>comment</w:t>
      </w:r>
      <w:r w:rsidR="000D2338">
        <w:rPr>
          <w:rFonts w:ascii="Times New Roman" w:hAnsi="Times New Roman" w:cs="Times New Roman"/>
          <w:sz w:val="22"/>
        </w:rPr>
        <w:t xml:space="preserve"> (88 FR 501</w:t>
      </w:r>
      <w:r w:rsidR="00B667B2">
        <w:rPr>
          <w:rFonts w:ascii="Times New Roman" w:hAnsi="Times New Roman" w:cs="Times New Roman"/>
          <w:sz w:val="22"/>
        </w:rPr>
        <w:t>51 (Aug. 1, 2023)).  We received a single comment</w:t>
      </w:r>
      <w:r w:rsidR="006B5372">
        <w:rPr>
          <w:rFonts w:ascii="Times New Roman" w:hAnsi="Times New Roman" w:cs="Times New Roman"/>
          <w:sz w:val="22"/>
        </w:rPr>
        <w:t xml:space="preserve">, submitted by </w:t>
      </w:r>
      <w:r w:rsidR="00227226">
        <w:rPr>
          <w:rFonts w:ascii="Times New Roman" w:hAnsi="Times New Roman" w:cs="Times New Roman"/>
          <w:sz w:val="22"/>
        </w:rPr>
        <w:t>the United Church of Christ Media Justice Ministry</w:t>
      </w:r>
      <w:r w:rsidR="00FE399D">
        <w:rPr>
          <w:rFonts w:ascii="Times New Roman" w:hAnsi="Times New Roman" w:cs="Times New Roman"/>
          <w:sz w:val="22"/>
        </w:rPr>
        <w:t xml:space="preserve"> (UCC Media Justice</w:t>
      </w:r>
      <w:r w:rsidR="002F3412">
        <w:rPr>
          <w:rFonts w:ascii="Times New Roman" w:hAnsi="Times New Roman" w:cs="Times New Roman"/>
          <w:sz w:val="22"/>
        </w:rPr>
        <w:t>)</w:t>
      </w:r>
      <w:r w:rsidR="006B5372">
        <w:rPr>
          <w:rFonts w:ascii="Times New Roman" w:hAnsi="Times New Roman" w:cs="Times New Roman"/>
          <w:sz w:val="22"/>
        </w:rPr>
        <w:t>.</w:t>
      </w:r>
      <w:r>
        <w:rPr>
          <w:rStyle w:val="FootnoteReference"/>
          <w:rFonts w:cs="Times New Roman"/>
        </w:rPr>
        <w:footnoteReference w:id="43"/>
      </w:r>
      <w:r w:rsidR="006B5372">
        <w:rPr>
          <w:rFonts w:ascii="Times New Roman" w:hAnsi="Times New Roman" w:cs="Times New Roman"/>
          <w:sz w:val="22"/>
        </w:rPr>
        <w:t xml:space="preserve">  </w:t>
      </w:r>
      <w:r w:rsidR="00C44A6B">
        <w:rPr>
          <w:rFonts w:ascii="Times New Roman" w:hAnsi="Times New Roman" w:cs="Times New Roman"/>
          <w:sz w:val="22"/>
        </w:rPr>
        <w:t xml:space="preserve">UCC Media Justice fully supports the proposed information collection and does not </w:t>
      </w:r>
      <w:r w:rsidR="00D32B97">
        <w:rPr>
          <w:rFonts w:ascii="Times New Roman" w:hAnsi="Times New Roman" w:cs="Times New Roman"/>
          <w:sz w:val="22"/>
        </w:rPr>
        <w:t xml:space="preserve">request </w:t>
      </w:r>
      <w:r w:rsidR="006E013B">
        <w:rPr>
          <w:rFonts w:ascii="Times New Roman" w:hAnsi="Times New Roman" w:cs="Times New Roman"/>
          <w:sz w:val="22"/>
        </w:rPr>
        <w:t xml:space="preserve">any </w:t>
      </w:r>
      <w:r w:rsidR="00C44A6B">
        <w:rPr>
          <w:rFonts w:ascii="Times New Roman" w:hAnsi="Times New Roman" w:cs="Times New Roman"/>
          <w:sz w:val="22"/>
        </w:rPr>
        <w:t>changes</w:t>
      </w:r>
      <w:r w:rsidR="00221169">
        <w:rPr>
          <w:rFonts w:ascii="Times New Roman" w:hAnsi="Times New Roman" w:cs="Times New Roman"/>
          <w:sz w:val="22"/>
        </w:rPr>
        <w:t xml:space="preserve">. </w:t>
      </w:r>
      <w:r w:rsidR="00B02252">
        <w:rPr>
          <w:rFonts w:ascii="Times New Roman" w:hAnsi="Times New Roman" w:cs="Times New Roman"/>
          <w:sz w:val="22"/>
        </w:rPr>
        <w:t xml:space="preserve"> </w:t>
      </w:r>
      <w:r w:rsidR="006B5372">
        <w:rPr>
          <w:rFonts w:ascii="Times New Roman" w:hAnsi="Times New Roman" w:cs="Times New Roman"/>
          <w:sz w:val="22"/>
        </w:rPr>
        <w:t xml:space="preserve">UCC Media Justice </w:t>
      </w:r>
      <w:r w:rsidR="00C44A6B">
        <w:rPr>
          <w:rFonts w:ascii="Times New Roman" w:hAnsi="Times New Roman" w:cs="Times New Roman"/>
          <w:sz w:val="22"/>
        </w:rPr>
        <w:t xml:space="preserve">asserts that </w:t>
      </w:r>
      <w:r w:rsidR="00C21CCA">
        <w:rPr>
          <w:rFonts w:ascii="Times New Roman" w:hAnsi="Times New Roman" w:cs="Times New Roman"/>
          <w:sz w:val="22"/>
        </w:rPr>
        <w:t>t</w:t>
      </w:r>
      <w:r w:rsidR="00042F16">
        <w:rPr>
          <w:rFonts w:ascii="Times New Roman" w:hAnsi="Times New Roman" w:cs="Times New Roman"/>
          <w:sz w:val="22"/>
        </w:rPr>
        <w:t>he</w:t>
      </w:r>
      <w:r w:rsidR="00C44A6B">
        <w:rPr>
          <w:rFonts w:ascii="Times New Roman" w:hAnsi="Times New Roman" w:cs="Times New Roman"/>
          <w:sz w:val="22"/>
        </w:rPr>
        <w:t xml:space="preserve"> proposed collection </w:t>
      </w:r>
      <w:r w:rsidR="004830C8">
        <w:rPr>
          <w:rFonts w:ascii="Times New Roman" w:hAnsi="Times New Roman" w:cs="Times New Roman"/>
          <w:sz w:val="22"/>
        </w:rPr>
        <w:t>is necessary to implement the Martha</w:t>
      </w:r>
      <w:r w:rsidR="00310B65">
        <w:rPr>
          <w:rFonts w:ascii="Times New Roman" w:hAnsi="Times New Roman" w:cs="Times New Roman"/>
          <w:sz w:val="22"/>
        </w:rPr>
        <w:t xml:space="preserve"> Wright-Reed Ac</w:t>
      </w:r>
      <w:r w:rsidR="005F330E">
        <w:rPr>
          <w:rFonts w:ascii="Times New Roman" w:hAnsi="Times New Roman" w:cs="Times New Roman"/>
          <w:sz w:val="22"/>
        </w:rPr>
        <w:t>t</w:t>
      </w:r>
      <w:r w:rsidR="00EB31F6">
        <w:rPr>
          <w:rFonts w:ascii="Times New Roman" w:hAnsi="Times New Roman" w:cs="Times New Roman"/>
          <w:sz w:val="22"/>
        </w:rPr>
        <w:t xml:space="preserve"> </w:t>
      </w:r>
      <w:r w:rsidR="00C21CCA">
        <w:rPr>
          <w:rFonts w:ascii="Times New Roman" w:hAnsi="Times New Roman" w:cs="Times New Roman"/>
          <w:sz w:val="22"/>
        </w:rPr>
        <w:t xml:space="preserve">within the timeframe </w:t>
      </w:r>
      <w:r w:rsidR="00627FD5">
        <w:rPr>
          <w:rFonts w:ascii="Times New Roman" w:hAnsi="Times New Roman" w:cs="Times New Roman"/>
          <w:sz w:val="22"/>
        </w:rPr>
        <w:t xml:space="preserve">established </w:t>
      </w:r>
      <w:r w:rsidR="00C21CCA">
        <w:rPr>
          <w:rFonts w:ascii="Times New Roman" w:hAnsi="Times New Roman" w:cs="Times New Roman"/>
          <w:sz w:val="22"/>
        </w:rPr>
        <w:t>by</w:t>
      </w:r>
      <w:r w:rsidR="00627FD5">
        <w:rPr>
          <w:rFonts w:ascii="Times New Roman" w:hAnsi="Times New Roman" w:cs="Times New Roman"/>
          <w:sz w:val="22"/>
        </w:rPr>
        <w:t xml:space="preserve"> Congress and </w:t>
      </w:r>
      <w:r w:rsidR="00EB31F6">
        <w:rPr>
          <w:rFonts w:ascii="Times New Roman" w:hAnsi="Times New Roman" w:cs="Times New Roman"/>
          <w:sz w:val="22"/>
        </w:rPr>
        <w:t xml:space="preserve">to ensure that </w:t>
      </w:r>
      <w:r w:rsidR="00B36AF7">
        <w:rPr>
          <w:rFonts w:ascii="Times New Roman" w:hAnsi="Times New Roman" w:cs="Times New Roman"/>
          <w:sz w:val="22"/>
        </w:rPr>
        <w:t xml:space="preserve">incarcerated people and their families </w:t>
      </w:r>
      <w:r w:rsidR="00EB31F6">
        <w:rPr>
          <w:rFonts w:ascii="Times New Roman" w:hAnsi="Times New Roman" w:cs="Times New Roman"/>
          <w:sz w:val="22"/>
        </w:rPr>
        <w:t>pay just and reasonable rat</w:t>
      </w:r>
      <w:r w:rsidR="00597FF4">
        <w:rPr>
          <w:rFonts w:ascii="Times New Roman" w:hAnsi="Times New Roman" w:cs="Times New Roman"/>
          <w:sz w:val="22"/>
        </w:rPr>
        <w:t>es</w:t>
      </w:r>
      <w:r w:rsidR="00EB31F6">
        <w:rPr>
          <w:rFonts w:ascii="Times New Roman" w:hAnsi="Times New Roman" w:cs="Times New Roman"/>
          <w:sz w:val="22"/>
        </w:rPr>
        <w:t>.</w:t>
      </w:r>
      <w:r>
        <w:rPr>
          <w:rStyle w:val="FootnoteReference"/>
          <w:rFonts w:cs="Times New Roman"/>
        </w:rPr>
        <w:footnoteReference w:id="44"/>
      </w:r>
      <w:r w:rsidR="00EB31F6">
        <w:rPr>
          <w:rFonts w:ascii="Times New Roman" w:hAnsi="Times New Roman" w:cs="Times New Roman"/>
          <w:sz w:val="22"/>
        </w:rPr>
        <w:t xml:space="preserve"> </w:t>
      </w:r>
      <w:r w:rsidR="00E769FB">
        <w:rPr>
          <w:rFonts w:ascii="Times New Roman" w:hAnsi="Times New Roman" w:cs="Times New Roman"/>
          <w:sz w:val="22"/>
        </w:rPr>
        <w:t xml:space="preserve"> </w:t>
      </w:r>
      <w:r w:rsidR="003D69F6">
        <w:rPr>
          <w:rFonts w:ascii="Times New Roman" w:hAnsi="Times New Roman" w:cs="Times New Roman"/>
          <w:sz w:val="22"/>
        </w:rPr>
        <w:t xml:space="preserve">UCC Media Justice contends that without </w:t>
      </w:r>
      <w:r w:rsidR="004A5572">
        <w:rPr>
          <w:rFonts w:ascii="Times New Roman" w:hAnsi="Times New Roman" w:cs="Times New Roman"/>
          <w:sz w:val="22"/>
        </w:rPr>
        <w:t xml:space="preserve">accurate </w:t>
      </w:r>
      <w:r w:rsidR="00CA29E2">
        <w:rPr>
          <w:rFonts w:ascii="Times New Roman" w:hAnsi="Times New Roman" w:cs="Times New Roman"/>
          <w:sz w:val="22"/>
        </w:rPr>
        <w:t>data</w:t>
      </w:r>
      <w:r w:rsidR="004A5572">
        <w:rPr>
          <w:rFonts w:ascii="Times New Roman" w:hAnsi="Times New Roman" w:cs="Times New Roman"/>
          <w:sz w:val="22"/>
        </w:rPr>
        <w:t xml:space="preserve">, the Commission cannot fulfill its </w:t>
      </w:r>
      <w:r w:rsidR="004A5572">
        <w:rPr>
          <w:rFonts w:ascii="Times New Roman" w:hAnsi="Times New Roman" w:cs="Times New Roman"/>
          <w:sz w:val="22"/>
        </w:rPr>
        <w:t xml:space="preserve">obligation under the </w:t>
      </w:r>
      <w:r w:rsidR="00C00B2B">
        <w:rPr>
          <w:rFonts w:ascii="Times New Roman" w:hAnsi="Times New Roman" w:cs="Times New Roman"/>
          <w:sz w:val="22"/>
        </w:rPr>
        <w:t>Martha</w:t>
      </w:r>
      <w:r w:rsidR="00DC508B">
        <w:rPr>
          <w:rFonts w:ascii="Times New Roman" w:hAnsi="Times New Roman" w:cs="Times New Roman"/>
          <w:sz w:val="22"/>
        </w:rPr>
        <w:t xml:space="preserve"> Wright-Reed </w:t>
      </w:r>
      <w:r w:rsidR="00465484">
        <w:rPr>
          <w:rFonts w:ascii="Times New Roman" w:hAnsi="Times New Roman" w:cs="Times New Roman"/>
          <w:sz w:val="22"/>
        </w:rPr>
        <w:t>Act</w:t>
      </w:r>
      <w:r w:rsidR="004A5572">
        <w:rPr>
          <w:rFonts w:ascii="Times New Roman" w:hAnsi="Times New Roman" w:cs="Times New Roman"/>
          <w:sz w:val="22"/>
        </w:rPr>
        <w:t>.</w:t>
      </w:r>
      <w:r>
        <w:rPr>
          <w:rStyle w:val="FootnoteReference"/>
          <w:rFonts w:cs="Times New Roman"/>
        </w:rPr>
        <w:footnoteReference w:id="45"/>
      </w:r>
      <w:r w:rsidR="008707EC">
        <w:rPr>
          <w:rFonts w:ascii="Times New Roman" w:hAnsi="Times New Roman" w:cs="Times New Roman"/>
          <w:sz w:val="22"/>
        </w:rPr>
        <w:t xml:space="preserve">  </w:t>
      </w:r>
      <w:r w:rsidR="00E769FB">
        <w:rPr>
          <w:rFonts w:ascii="Times New Roman" w:hAnsi="Times New Roman" w:cs="Times New Roman"/>
          <w:sz w:val="22"/>
        </w:rPr>
        <w:t xml:space="preserve">It </w:t>
      </w:r>
      <w:r>
        <w:rPr>
          <w:rFonts w:ascii="Times New Roman" w:hAnsi="Times New Roman" w:cs="Times New Roman"/>
          <w:sz w:val="22"/>
        </w:rPr>
        <w:t xml:space="preserve">urges OMB to </w:t>
      </w:r>
      <w:r w:rsidR="004E75EC">
        <w:rPr>
          <w:rFonts w:ascii="Times New Roman" w:hAnsi="Times New Roman" w:cs="Times New Roman"/>
          <w:sz w:val="22"/>
        </w:rPr>
        <w:t xml:space="preserve">rapidly </w:t>
      </w:r>
      <w:r>
        <w:rPr>
          <w:rFonts w:ascii="Times New Roman" w:hAnsi="Times New Roman" w:cs="Times New Roman"/>
          <w:sz w:val="22"/>
        </w:rPr>
        <w:t xml:space="preserve">approve the </w:t>
      </w:r>
      <w:r w:rsidR="004E75EC">
        <w:rPr>
          <w:rFonts w:ascii="Times New Roman" w:hAnsi="Times New Roman" w:cs="Times New Roman"/>
          <w:sz w:val="22"/>
        </w:rPr>
        <w:t xml:space="preserve">Commission’s proposed information </w:t>
      </w:r>
      <w:r>
        <w:rPr>
          <w:rFonts w:ascii="Times New Roman" w:hAnsi="Times New Roman" w:cs="Times New Roman"/>
          <w:sz w:val="22"/>
        </w:rPr>
        <w:t>collection</w:t>
      </w:r>
      <w:r w:rsidR="004C6844">
        <w:rPr>
          <w:rFonts w:ascii="Times New Roman" w:hAnsi="Times New Roman" w:cs="Times New Roman"/>
          <w:sz w:val="22"/>
        </w:rPr>
        <w:t>.</w:t>
      </w:r>
      <w:r>
        <w:rPr>
          <w:rStyle w:val="FootnoteReference"/>
          <w:rFonts w:cs="Times New Roman"/>
        </w:rPr>
        <w:footnoteReference w:id="46"/>
      </w:r>
    </w:p>
    <w:bookmarkEnd w:id="2"/>
    <w:p w:rsidR="00E10661" w:rsidRPr="00987F8B" w:rsidP="00213B73" w14:paraId="46486D1A" w14:textId="77777777">
      <w:pPr>
        <w:tabs>
          <w:tab w:val="left" w:pos="720"/>
        </w:tabs>
        <w:spacing w:after="120"/>
        <w:rPr>
          <w:rFonts w:ascii="Times New Roman" w:hAnsi="Times New Roman" w:cs="Times New Roman"/>
          <w:noProof/>
        </w:rPr>
      </w:pPr>
      <w:r w:rsidRPr="00987F8B">
        <w:rPr>
          <w:rFonts w:ascii="Times New Roman" w:hAnsi="Times New Roman" w:cs="Times New Roman"/>
          <w:noProof/>
        </w:rPr>
        <w:tab/>
      </w:r>
      <w:r w:rsidRPr="00987F8B">
        <w:rPr>
          <w:rFonts w:ascii="Times New Roman" w:hAnsi="Times New Roman" w:cs="Times New Roman"/>
        </w:rPr>
        <w:t>9.  The Commission does not anticipate providing any payment or gift to respondents.</w:t>
      </w:r>
    </w:p>
    <w:p w:rsidR="00E10661" w:rsidRPr="00987F8B" w:rsidP="00213B73" w14:paraId="638E54B0" w14:textId="3717AC4C">
      <w:pPr>
        <w:tabs>
          <w:tab w:val="left" w:pos="720"/>
        </w:tabs>
        <w:spacing w:after="120"/>
        <w:rPr>
          <w:rFonts w:ascii="Times New Roman" w:hAnsi="Times New Roman" w:cs="Times New Roman"/>
        </w:rPr>
      </w:pPr>
      <w:r w:rsidRPr="00987F8B">
        <w:rPr>
          <w:rFonts w:ascii="Times New Roman" w:hAnsi="Times New Roman" w:cs="Times New Roman"/>
        </w:rPr>
        <w:tab/>
        <w:t xml:space="preserve">10. </w:t>
      </w:r>
      <w:r w:rsidRPr="00987F8B" w:rsidR="009C552D">
        <w:rPr>
          <w:rFonts w:ascii="Times New Roman" w:hAnsi="Times New Roman" w:cs="Times New Roman"/>
        </w:rPr>
        <w:t xml:space="preserve">The </w:t>
      </w:r>
      <w:r w:rsidRPr="00987F8B" w:rsidR="0040257E">
        <w:rPr>
          <w:rFonts w:ascii="Times New Roman" w:hAnsi="Times New Roman" w:cs="Times New Roman"/>
          <w:i/>
          <w:iCs/>
        </w:rPr>
        <w:t xml:space="preserve">IPCS </w:t>
      </w:r>
      <w:r w:rsidRPr="00987F8B" w:rsidR="009C552D">
        <w:rPr>
          <w:rFonts w:ascii="Times New Roman" w:hAnsi="Times New Roman" w:cs="Times New Roman"/>
          <w:i/>
        </w:rPr>
        <w:t>Protective Order</w:t>
      </w:r>
      <w:r w:rsidRPr="00987F8B" w:rsidR="009C552D">
        <w:rPr>
          <w:rFonts w:ascii="Times New Roman" w:hAnsi="Times New Roman" w:cs="Times New Roman"/>
        </w:rPr>
        <w:t xml:space="preserve"> in the</w:t>
      </w:r>
      <w:r w:rsidRPr="00987F8B" w:rsidR="0084706B">
        <w:rPr>
          <w:rFonts w:ascii="Times New Roman" w:hAnsi="Times New Roman" w:cs="Times New Roman"/>
        </w:rPr>
        <w:t xml:space="preserve">se dockets </w:t>
      </w:r>
      <w:r w:rsidRPr="00987F8B" w:rsidR="009C552D">
        <w:rPr>
          <w:rFonts w:ascii="Times New Roman" w:hAnsi="Times New Roman" w:cs="Times New Roman"/>
        </w:rPr>
        <w:t>provides confidential treatment for the proprietary information submitted by I</w:t>
      </w:r>
      <w:r w:rsidRPr="00987F8B" w:rsidR="00FF2FFB">
        <w:rPr>
          <w:rFonts w:ascii="Times New Roman" w:hAnsi="Times New Roman" w:cs="Times New Roman"/>
        </w:rPr>
        <w:t>PCS</w:t>
      </w:r>
      <w:r w:rsidRPr="00987F8B" w:rsidR="009C552D">
        <w:rPr>
          <w:rFonts w:ascii="Times New Roman" w:hAnsi="Times New Roman" w:cs="Times New Roman"/>
        </w:rPr>
        <w:t xml:space="preserve"> providers in response to the Commission’s directives.</w:t>
      </w:r>
      <w:r>
        <w:rPr>
          <w:rStyle w:val="FootnoteReference"/>
          <w:rFonts w:cs="Times New Roman"/>
          <w:sz w:val="22"/>
        </w:rPr>
        <w:footnoteReference w:id="47"/>
      </w:r>
      <w:r w:rsidRPr="00987F8B" w:rsidR="003B4FD8">
        <w:rPr>
          <w:rFonts w:ascii="Times New Roman" w:hAnsi="Times New Roman" w:cs="Times New Roman"/>
        </w:rPr>
        <w:t xml:space="preserve">  The Commission will treat as presumptively confidential </w:t>
      </w:r>
      <w:r w:rsidRPr="00987F8B" w:rsidR="000C4997">
        <w:rPr>
          <w:rFonts w:ascii="Times New Roman" w:hAnsi="Times New Roman" w:cs="Times New Roman"/>
        </w:rPr>
        <w:t xml:space="preserve">any particular information identified as confidential by the provider in accordance with the Freedom of Information Act and Commission rules.  Each confidential document should be stamped and submitted to the Secretary’s Office with an accompanying cover letter, as specified by the </w:t>
      </w:r>
      <w:r w:rsidRPr="00987F8B" w:rsidR="001542D2">
        <w:rPr>
          <w:rFonts w:ascii="Times New Roman" w:hAnsi="Times New Roman" w:cs="Times New Roman"/>
          <w:i/>
          <w:iCs/>
        </w:rPr>
        <w:t>IPCS</w:t>
      </w:r>
      <w:r w:rsidRPr="00987F8B" w:rsidR="001542D2">
        <w:rPr>
          <w:rFonts w:ascii="Times New Roman" w:hAnsi="Times New Roman" w:cs="Times New Roman"/>
        </w:rPr>
        <w:t xml:space="preserve"> </w:t>
      </w:r>
      <w:r w:rsidRPr="00987F8B" w:rsidR="000C4997">
        <w:rPr>
          <w:rFonts w:ascii="Times New Roman" w:hAnsi="Times New Roman" w:cs="Times New Roman"/>
          <w:i/>
        </w:rPr>
        <w:t>Protective Order</w:t>
      </w:r>
      <w:r w:rsidRPr="00987F8B" w:rsidR="000C4997">
        <w:rPr>
          <w:rFonts w:ascii="Times New Roman" w:hAnsi="Times New Roman" w:cs="Times New Roman"/>
        </w:rPr>
        <w:t xml:space="preserve">.  This is standard practice when the Commission seeks </w:t>
      </w:r>
      <w:r w:rsidRPr="00987F8B" w:rsidR="00B402D6">
        <w:rPr>
          <w:rFonts w:ascii="Times New Roman" w:hAnsi="Times New Roman" w:cs="Times New Roman"/>
        </w:rPr>
        <w:t>completely sensitive information for ratemaking or other purposes.</w:t>
      </w:r>
    </w:p>
    <w:p w:rsidR="00E10661" w:rsidRPr="00987F8B" w:rsidP="00213B73" w14:paraId="6653C066" w14:textId="77777777">
      <w:pPr>
        <w:tabs>
          <w:tab w:val="left" w:pos="720"/>
        </w:tabs>
        <w:spacing w:after="120"/>
        <w:rPr>
          <w:rFonts w:ascii="Times New Roman" w:hAnsi="Times New Roman" w:cs="Times New Roman"/>
        </w:rPr>
      </w:pPr>
      <w:r w:rsidRPr="00987F8B">
        <w:rPr>
          <w:rFonts w:ascii="Times New Roman" w:hAnsi="Times New Roman" w:cs="Times New Roman"/>
        </w:rPr>
        <w:tab/>
        <w:t>11.  The information collection does not address any matters of a sensitive nature.</w:t>
      </w:r>
    </w:p>
    <w:p w:rsidR="001D05DC" w:rsidRPr="00987F8B" w:rsidP="00213B73" w14:paraId="3608E870" w14:textId="77777777">
      <w:pPr>
        <w:tabs>
          <w:tab w:val="left" w:pos="720"/>
        </w:tabs>
        <w:spacing w:after="120"/>
        <w:rPr>
          <w:rFonts w:ascii="Times New Roman" w:hAnsi="Times New Roman" w:cs="Times New Roman"/>
          <w:b/>
          <w:spacing w:val="-3"/>
          <w:u w:val="single"/>
        </w:rPr>
      </w:pPr>
      <w:r w:rsidRPr="00987F8B">
        <w:rPr>
          <w:rFonts w:ascii="Times New Roman" w:hAnsi="Times New Roman" w:cs="Times New Roman"/>
        </w:rPr>
        <w:tab/>
        <w:t xml:space="preserve">12.  The following represents the hour burden on the collections of information discussed herein. </w:t>
      </w:r>
    </w:p>
    <w:p w:rsidR="00903379" w:rsidRPr="00987F8B" w:rsidP="00E50702" w14:paraId="18A97AC6" w14:textId="02DEAB11">
      <w:pPr>
        <w:keepNext/>
        <w:tabs>
          <w:tab w:val="left" w:pos="720"/>
        </w:tabs>
        <w:spacing w:after="120"/>
        <w:rPr>
          <w:rFonts w:ascii="Times New Roman" w:hAnsi="Times New Roman" w:cs="Times New Roman"/>
          <w:spacing w:val="-3"/>
        </w:rPr>
      </w:pPr>
      <w:r w:rsidRPr="00987F8B">
        <w:rPr>
          <w:rFonts w:ascii="Times New Roman" w:hAnsi="Times New Roman" w:cs="Times New Roman"/>
          <w:b/>
          <w:spacing w:val="-3"/>
        </w:rPr>
        <w:t>a.</w:t>
      </w:r>
      <w:r w:rsidRPr="00987F8B">
        <w:rPr>
          <w:rFonts w:ascii="Times New Roman" w:hAnsi="Times New Roman" w:cs="Times New Roman"/>
          <w:b/>
          <w:spacing w:val="-3"/>
        </w:rPr>
        <w:tab/>
      </w:r>
      <w:r w:rsidRPr="00987F8B" w:rsidR="00E10661">
        <w:rPr>
          <w:rFonts w:ascii="Times New Roman" w:hAnsi="Times New Roman" w:cs="Times New Roman"/>
          <w:b/>
          <w:spacing w:val="-3"/>
          <w:u w:val="single"/>
        </w:rPr>
        <w:t>Reporting Requirement</w:t>
      </w:r>
      <w:r w:rsidRPr="00987F8B" w:rsidR="00E55C3A">
        <w:rPr>
          <w:rFonts w:ascii="Times New Roman" w:hAnsi="Times New Roman" w:cs="Times New Roman"/>
          <w:b/>
          <w:spacing w:val="-3"/>
        </w:rPr>
        <w:t>:</w:t>
      </w:r>
    </w:p>
    <w:p w:rsidR="00E10661" w:rsidRPr="00987F8B" w:rsidP="005B056F" w14:paraId="74875F95" w14:textId="1E17241F">
      <w:pPr>
        <w:tabs>
          <w:tab w:val="left" w:pos="720"/>
        </w:tabs>
        <w:spacing w:after="120"/>
        <w:ind w:left="360"/>
        <w:rPr>
          <w:rFonts w:ascii="Times New Roman" w:hAnsi="Times New Roman" w:cs="Times New Roman"/>
          <w:spacing w:val="-3"/>
        </w:rPr>
      </w:pPr>
      <w:r w:rsidRPr="00987F8B">
        <w:rPr>
          <w:rFonts w:ascii="Times New Roman" w:hAnsi="Times New Roman" w:cs="Times New Roman"/>
          <w:spacing w:val="-3"/>
        </w:rPr>
        <w:tab/>
        <w:t xml:space="preserve">(1)  </w:t>
      </w:r>
      <w:r w:rsidRPr="00987F8B">
        <w:rPr>
          <w:rFonts w:ascii="Times New Roman" w:hAnsi="Times New Roman" w:cs="Times New Roman"/>
          <w:spacing w:val="-3"/>
          <w:u w:val="single"/>
        </w:rPr>
        <w:t>Number of respondents</w:t>
      </w:r>
      <w:r w:rsidRPr="00987F8B">
        <w:rPr>
          <w:rFonts w:ascii="Times New Roman" w:hAnsi="Times New Roman" w:cs="Times New Roman"/>
          <w:spacing w:val="-3"/>
        </w:rPr>
        <w:t xml:space="preserve">:  Approximately </w:t>
      </w:r>
      <w:r w:rsidRPr="00987F8B" w:rsidR="00B03726">
        <w:rPr>
          <w:rFonts w:ascii="Times New Roman" w:hAnsi="Times New Roman" w:cs="Times New Roman"/>
          <w:spacing w:val="-3"/>
        </w:rPr>
        <w:t>30.</w:t>
      </w:r>
    </w:p>
    <w:p w:rsidR="00E10661" w:rsidRPr="00987F8B" w:rsidP="00213B73" w14:paraId="027DF01D" w14:textId="46111021">
      <w:pPr>
        <w:keepLines/>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(2)  </w:t>
      </w:r>
      <w:r w:rsidRPr="00987F8B">
        <w:rPr>
          <w:rFonts w:ascii="Times New Roman" w:hAnsi="Times New Roman" w:cs="Times New Roman"/>
          <w:spacing w:val="-3"/>
          <w:u w:val="single"/>
        </w:rPr>
        <w:t>Frequency of response</w:t>
      </w:r>
      <w:r w:rsidRPr="00987F8B">
        <w:rPr>
          <w:rFonts w:ascii="Times New Roman" w:hAnsi="Times New Roman" w:cs="Times New Roman"/>
          <w:spacing w:val="-3"/>
        </w:rPr>
        <w:t>:  One-time reporting</w:t>
      </w:r>
      <w:r w:rsidRPr="00987F8B" w:rsidR="003131A3">
        <w:rPr>
          <w:rFonts w:ascii="Times New Roman" w:hAnsi="Times New Roman" w:cs="Times New Roman"/>
          <w:spacing w:val="-3"/>
        </w:rPr>
        <w:t xml:space="preserve"> </w:t>
      </w:r>
      <w:r w:rsidRPr="00987F8B">
        <w:rPr>
          <w:rFonts w:ascii="Times New Roman" w:hAnsi="Times New Roman" w:cs="Times New Roman"/>
          <w:spacing w:val="-3"/>
        </w:rPr>
        <w:t xml:space="preserve">requirement.  </w:t>
      </w:r>
    </w:p>
    <w:p w:rsidR="00E10661" w:rsidRPr="00987F8B" w:rsidP="00213B73" w14:paraId="78909FD2" w14:textId="33EBB1BE">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(3)  </w:t>
      </w:r>
      <w:r w:rsidRPr="00987F8B">
        <w:rPr>
          <w:rFonts w:ascii="Times New Roman" w:hAnsi="Times New Roman" w:cs="Times New Roman"/>
          <w:spacing w:val="-3"/>
          <w:u w:val="single"/>
        </w:rPr>
        <w:t>Total number of responses annually</w:t>
      </w:r>
      <w:r w:rsidRPr="00987F8B">
        <w:rPr>
          <w:rFonts w:ascii="Times New Roman" w:hAnsi="Times New Roman" w:cs="Times New Roman"/>
          <w:spacing w:val="-3"/>
        </w:rPr>
        <w:t xml:space="preserve">:  Approximately </w:t>
      </w:r>
      <w:r w:rsidRPr="00987F8B" w:rsidR="00B03726">
        <w:rPr>
          <w:rFonts w:ascii="Times New Roman" w:hAnsi="Times New Roman" w:cs="Times New Roman"/>
          <w:spacing w:val="-3"/>
        </w:rPr>
        <w:t>30.</w:t>
      </w:r>
    </w:p>
    <w:p w:rsidR="00E10661" w:rsidRPr="00987F8B" w:rsidP="00213B73" w14:paraId="213E4298" w14:textId="4C287FF3">
      <w:pPr>
        <w:tabs>
          <w:tab w:val="left" w:pos="-720"/>
        </w:tabs>
        <w:suppressAutoHyphens/>
        <w:spacing w:after="120"/>
        <w:ind w:left="720"/>
        <w:rPr>
          <w:rFonts w:ascii="Times New Roman" w:hAnsi="Times New Roman" w:cs="Times New Roman"/>
          <w:spacing w:val="-3"/>
        </w:rPr>
      </w:pPr>
      <w:r w:rsidRPr="00987F8B">
        <w:rPr>
          <w:rFonts w:ascii="Times New Roman" w:hAnsi="Times New Roman" w:cs="Times New Roman"/>
          <w:spacing w:val="-3"/>
        </w:rPr>
        <w:t xml:space="preserve">(4)  </w:t>
      </w:r>
      <w:r w:rsidRPr="00987F8B">
        <w:rPr>
          <w:rFonts w:ascii="Times New Roman" w:hAnsi="Times New Roman" w:cs="Times New Roman"/>
          <w:spacing w:val="-3"/>
          <w:u w:val="single"/>
        </w:rPr>
        <w:t xml:space="preserve">Estimated Time </w:t>
      </w:r>
      <w:r w:rsidRPr="00987F8B" w:rsidR="003C282D">
        <w:rPr>
          <w:rFonts w:ascii="Times New Roman" w:hAnsi="Times New Roman" w:cs="Times New Roman"/>
          <w:spacing w:val="-3"/>
          <w:u w:val="single"/>
        </w:rPr>
        <w:t>per</w:t>
      </w:r>
      <w:r w:rsidRPr="00987F8B">
        <w:rPr>
          <w:rFonts w:ascii="Times New Roman" w:hAnsi="Times New Roman" w:cs="Times New Roman"/>
          <w:spacing w:val="-3"/>
          <w:u w:val="single"/>
        </w:rPr>
        <w:t xml:space="preserve"> Response</w:t>
      </w:r>
      <w:r w:rsidRPr="00987F8B">
        <w:rPr>
          <w:rFonts w:ascii="Times New Roman" w:hAnsi="Times New Roman" w:cs="Times New Roman"/>
          <w:spacing w:val="-3"/>
        </w:rPr>
        <w:t xml:space="preserve">:  </w:t>
      </w:r>
      <w:r w:rsidRPr="00987F8B" w:rsidR="00923130">
        <w:rPr>
          <w:rFonts w:ascii="Times New Roman" w:hAnsi="Times New Roman" w:cs="Times New Roman"/>
          <w:spacing w:val="-3"/>
        </w:rPr>
        <w:t>Approximately</w:t>
      </w:r>
      <w:r w:rsidRPr="00987F8B" w:rsidR="009F52F9">
        <w:rPr>
          <w:rFonts w:ascii="Times New Roman" w:hAnsi="Times New Roman" w:cs="Times New Roman"/>
          <w:spacing w:val="-3"/>
        </w:rPr>
        <w:t xml:space="preserve"> </w:t>
      </w:r>
      <w:r w:rsidRPr="00987F8B" w:rsidR="00B03726">
        <w:rPr>
          <w:rFonts w:ascii="Times New Roman" w:hAnsi="Times New Roman" w:cs="Times New Roman"/>
          <w:spacing w:val="-3"/>
        </w:rPr>
        <w:t>2</w:t>
      </w:r>
      <w:r w:rsidRPr="00987F8B" w:rsidR="008B6F92">
        <w:rPr>
          <w:rFonts w:ascii="Times New Roman" w:hAnsi="Times New Roman" w:cs="Times New Roman"/>
          <w:spacing w:val="-3"/>
        </w:rPr>
        <w:t>60</w:t>
      </w:r>
      <w:r w:rsidRPr="00987F8B" w:rsidR="0034304F">
        <w:rPr>
          <w:rFonts w:ascii="Times New Roman" w:hAnsi="Times New Roman" w:cs="Times New Roman"/>
          <w:spacing w:val="-3"/>
        </w:rPr>
        <w:t xml:space="preserve"> </w:t>
      </w:r>
      <w:r w:rsidRPr="00987F8B">
        <w:rPr>
          <w:rFonts w:ascii="Times New Roman" w:hAnsi="Times New Roman" w:cs="Times New Roman"/>
          <w:spacing w:val="-3"/>
        </w:rPr>
        <w:t>hours.</w:t>
      </w:r>
      <w:r w:rsidRPr="00987F8B" w:rsidR="00827601">
        <w:rPr>
          <w:rFonts w:ascii="Times New Roman" w:hAnsi="Times New Roman" w:cs="Times New Roman"/>
          <w:spacing w:val="-3"/>
        </w:rPr>
        <w:t xml:space="preserve">  </w:t>
      </w:r>
    </w:p>
    <w:p w:rsidR="00E10661" w:rsidRPr="00987F8B" w:rsidP="00953D17" w14:paraId="0E6B8CAB" w14:textId="7B3C6672">
      <w:pPr>
        <w:tabs>
          <w:tab w:val="left" w:pos="-720"/>
        </w:tabs>
        <w:suppressAutoHyphens/>
        <w:spacing w:after="120"/>
        <w:ind w:left="720"/>
        <w:rPr>
          <w:rFonts w:ascii="Times New Roman" w:hAnsi="Times New Roman" w:cs="Times New Roman"/>
          <w:spacing w:val="-3"/>
        </w:rPr>
      </w:pPr>
      <w:r w:rsidRPr="00987F8B">
        <w:rPr>
          <w:rFonts w:ascii="Times New Roman" w:hAnsi="Times New Roman" w:cs="Times New Roman"/>
          <w:spacing w:val="-3"/>
        </w:rPr>
        <w:t xml:space="preserve">Approximately </w:t>
      </w:r>
      <w:r w:rsidRPr="00987F8B" w:rsidR="00B03726">
        <w:rPr>
          <w:rFonts w:ascii="Times New Roman" w:hAnsi="Times New Roman" w:cs="Times New Roman"/>
          <w:spacing w:val="-3"/>
        </w:rPr>
        <w:t xml:space="preserve">30 </w:t>
      </w:r>
      <w:r w:rsidRPr="00987F8B">
        <w:rPr>
          <w:rFonts w:ascii="Times New Roman" w:hAnsi="Times New Roman" w:cs="Times New Roman"/>
          <w:spacing w:val="-3"/>
        </w:rPr>
        <w:t xml:space="preserve">respondents x </w:t>
      </w:r>
      <w:r w:rsidRPr="00987F8B" w:rsidR="00B03726">
        <w:rPr>
          <w:rFonts w:ascii="Times New Roman" w:hAnsi="Times New Roman" w:cs="Times New Roman"/>
          <w:spacing w:val="-3"/>
        </w:rPr>
        <w:t>2</w:t>
      </w:r>
      <w:r w:rsidRPr="00987F8B" w:rsidR="00417794">
        <w:rPr>
          <w:rFonts w:ascii="Times New Roman" w:hAnsi="Times New Roman" w:cs="Times New Roman"/>
          <w:spacing w:val="-3"/>
        </w:rPr>
        <w:t>60</w:t>
      </w:r>
      <w:r w:rsidRPr="00987F8B" w:rsidR="0034304F">
        <w:rPr>
          <w:rFonts w:ascii="Times New Roman" w:hAnsi="Times New Roman" w:cs="Times New Roman"/>
          <w:b/>
          <w:bCs/>
          <w:spacing w:val="-3"/>
        </w:rPr>
        <w:t xml:space="preserve"> </w:t>
      </w:r>
      <w:r w:rsidRPr="00987F8B">
        <w:rPr>
          <w:rFonts w:ascii="Times New Roman" w:hAnsi="Times New Roman" w:cs="Times New Roman"/>
          <w:spacing w:val="-3"/>
        </w:rPr>
        <w:t>hours per response x 1 response per respondent =</w:t>
      </w:r>
      <w:r w:rsidRPr="00987F8B" w:rsidR="00923130">
        <w:rPr>
          <w:rFonts w:ascii="Times New Roman" w:hAnsi="Times New Roman" w:cs="Times New Roman"/>
          <w:spacing w:val="-3"/>
        </w:rPr>
        <w:t xml:space="preserve"> </w:t>
      </w:r>
      <w:r w:rsidRPr="00987F8B" w:rsidR="00B03726">
        <w:rPr>
          <w:rFonts w:ascii="Times New Roman" w:hAnsi="Times New Roman" w:cs="Times New Roman"/>
          <w:spacing w:val="-3"/>
        </w:rPr>
        <w:t xml:space="preserve"> </w:t>
      </w:r>
      <w:r w:rsidRPr="00987F8B" w:rsidR="00857097">
        <w:rPr>
          <w:rFonts w:ascii="Times New Roman" w:hAnsi="Times New Roman" w:cs="Times New Roman"/>
          <w:b/>
          <w:bCs/>
          <w:spacing w:val="-3"/>
        </w:rPr>
        <w:t xml:space="preserve">7,800 </w:t>
      </w:r>
      <w:r w:rsidRPr="00987F8B">
        <w:rPr>
          <w:rFonts w:ascii="Times New Roman" w:hAnsi="Times New Roman" w:cs="Times New Roman"/>
          <w:spacing w:val="-3"/>
        </w:rPr>
        <w:t>hours.</w:t>
      </w:r>
    </w:p>
    <w:p w:rsidR="00E10661" w:rsidRPr="00987F8B" w:rsidP="00213B73" w14:paraId="578A7718" w14:textId="6388BDD1">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(5)  </w:t>
      </w:r>
      <w:r w:rsidRPr="00987F8B">
        <w:rPr>
          <w:rFonts w:ascii="Times New Roman" w:hAnsi="Times New Roman" w:cs="Times New Roman"/>
          <w:spacing w:val="-3"/>
          <w:u w:val="single"/>
        </w:rPr>
        <w:t>Total burden</w:t>
      </w:r>
      <w:r w:rsidRPr="00987F8B">
        <w:rPr>
          <w:rFonts w:ascii="Times New Roman" w:hAnsi="Times New Roman" w:cs="Times New Roman"/>
          <w:spacing w:val="-3"/>
        </w:rPr>
        <w:t xml:space="preserve">:  </w:t>
      </w:r>
      <w:r w:rsidRPr="00987F8B" w:rsidR="000F353D">
        <w:rPr>
          <w:rFonts w:ascii="Times New Roman" w:hAnsi="Times New Roman" w:cs="Times New Roman"/>
          <w:b/>
          <w:bCs/>
          <w:spacing w:val="-3"/>
        </w:rPr>
        <w:t xml:space="preserve">7,800 </w:t>
      </w:r>
      <w:r w:rsidRPr="00987F8B">
        <w:rPr>
          <w:rFonts w:ascii="Times New Roman" w:hAnsi="Times New Roman" w:cs="Times New Roman"/>
          <w:b/>
          <w:spacing w:val="-3"/>
        </w:rPr>
        <w:t>hours</w:t>
      </w:r>
      <w:r w:rsidRPr="00987F8B" w:rsidR="005448FE">
        <w:rPr>
          <w:rFonts w:ascii="Times New Roman" w:hAnsi="Times New Roman" w:cs="Times New Roman"/>
          <w:b/>
          <w:spacing w:val="-3"/>
        </w:rPr>
        <w:t>.</w:t>
      </w:r>
    </w:p>
    <w:p w:rsidR="00E10661" w:rsidRPr="00987F8B" w:rsidP="00086C13" w14:paraId="3A6303BE" w14:textId="127C974C">
      <w:pPr>
        <w:tabs>
          <w:tab w:val="left" w:pos="-720"/>
        </w:tabs>
        <w:suppressAutoHyphens/>
        <w:spacing w:after="120"/>
        <w:ind w:left="1440"/>
        <w:rPr>
          <w:rFonts w:ascii="Times New Roman" w:hAnsi="Times New Roman" w:cs="Times New Roman"/>
          <w:spacing w:val="-3"/>
        </w:rPr>
      </w:pPr>
      <w:r w:rsidRPr="00987F8B">
        <w:rPr>
          <w:rFonts w:ascii="Times New Roman" w:hAnsi="Times New Roman" w:cs="Times New Roman"/>
          <w:spacing w:val="-3"/>
        </w:rPr>
        <w:t xml:space="preserve">The Commission estimates that approximately </w:t>
      </w:r>
      <w:r w:rsidRPr="00987F8B" w:rsidR="00086C13">
        <w:rPr>
          <w:rFonts w:ascii="Times New Roman" w:hAnsi="Times New Roman" w:cs="Times New Roman"/>
          <w:spacing w:val="-3"/>
        </w:rPr>
        <w:t>30</w:t>
      </w:r>
      <w:r w:rsidRPr="00987F8B">
        <w:rPr>
          <w:rFonts w:ascii="Times New Roman" w:hAnsi="Times New Roman" w:cs="Times New Roman"/>
          <w:spacing w:val="-3"/>
        </w:rPr>
        <w:t xml:space="preserve"> I</w:t>
      </w:r>
      <w:r w:rsidRPr="00987F8B" w:rsidR="00FF2FFB">
        <w:rPr>
          <w:rFonts w:ascii="Times New Roman" w:hAnsi="Times New Roman" w:cs="Times New Roman"/>
          <w:spacing w:val="-3"/>
        </w:rPr>
        <w:t>PCS</w:t>
      </w:r>
      <w:r w:rsidRPr="00987F8B">
        <w:rPr>
          <w:rFonts w:ascii="Times New Roman" w:hAnsi="Times New Roman" w:cs="Times New Roman"/>
          <w:spacing w:val="-3"/>
        </w:rPr>
        <w:t xml:space="preserve"> providers will </w:t>
      </w:r>
      <w:r w:rsidRPr="00987F8B" w:rsidR="007F4C87">
        <w:rPr>
          <w:rFonts w:ascii="Times New Roman" w:hAnsi="Times New Roman" w:cs="Times New Roman"/>
          <w:spacing w:val="-3"/>
        </w:rPr>
        <w:t xml:space="preserve">average </w:t>
      </w:r>
      <w:r w:rsidRPr="00987F8B" w:rsidR="0071736E">
        <w:rPr>
          <w:rFonts w:ascii="Times New Roman" w:hAnsi="Times New Roman" w:cs="Times New Roman"/>
          <w:spacing w:val="-3"/>
        </w:rPr>
        <w:t xml:space="preserve">approximately </w:t>
      </w:r>
      <w:r w:rsidRPr="00987F8B" w:rsidR="00086C13">
        <w:rPr>
          <w:rFonts w:ascii="Times New Roman" w:hAnsi="Times New Roman" w:cs="Times New Roman"/>
          <w:spacing w:val="-3"/>
        </w:rPr>
        <w:t>2</w:t>
      </w:r>
      <w:r w:rsidRPr="00987F8B" w:rsidR="008B6F92">
        <w:rPr>
          <w:rFonts w:ascii="Times New Roman" w:hAnsi="Times New Roman" w:cs="Times New Roman"/>
          <w:spacing w:val="-3"/>
        </w:rPr>
        <w:t>60</w:t>
      </w:r>
      <w:r w:rsidRPr="00987F8B" w:rsidR="006A5ABF">
        <w:rPr>
          <w:rFonts w:ascii="Times New Roman" w:hAnsi="Times New Roman" w:cs="Times New Roman"/>
          <w:b/>
          <w:bCs/>
          <w:spacing w:val="-3"/>
        </w:rPr>
        <w:t xml:space="preserve"> </w:t>
      </w:r>
      <w:r w:rsidRPr="00987F8B" w:rsidR="00554FC0">
        <w:rPr>
          <w:rFonts w:ascii="Times New Roman" w:hAnsi="Times New Roman" w:cs="Times New Roman"/>
          <w:spacing w:val="-3"/>
        </w:rPr>
        <w:t>hours o</w:t>
      </w:r>
      <w:r w:rsidRPr="00987F8B">
        <w:rPr>
          <w:rFonts w:ascii="Times New Roman" w:hAnsi="Times New Roman" w:cs="Times New Roman"/>
          <w:spacing w:val="-3"/>
        </w:rPr>
        <w:t>f reporting time</w:t>
      </w:r>
      <w:r w:rsidRPr="00987F8B" w:rsidR="001D05DC">
        <w:rPr>
          <w:rFonts w:ascii="Times New Roman" w:hAnsi="Times New Roman" w:cs="Times New Roman"/>
          <w:spacing w:val="-3"/>
        </w:rPr>
        <w:t xml:space="preserve"> </w:t>
      </w:r>
      <w:r w:rsidRPr="00987F8B" w:rsidR="00B71E51">
        <w:rPr>
          <w:rFonts w:ascii="Times New Roman" w:hAnsi="Times New Roman" w:cs="Times New Roman"/>
          <w:spacing w:val="-3"/>
        </w:rPr>
        <w:t>to</w:t>
      </w:r>
      <w:r w:rsidRPr="00987F8B" w:rsidR="001D05DC">
        <w:rPr>
          <w:rFonts w:ascii="Times New Roman" w:hAnsi="Times New Roman" w:cs="Times New Roman"/>
          <w:spacing w:val="-3"/>
        </w:rPr>
        <w:t xml:space="preserve"> </w:t>
      </w:r>
      <w:r w:rsidRPr="00987F8B" w:rsidR="00DD6AE5">
        <w:rPr>
          <w:rFonts w:ascii="Times New Roman" w:hAnsi="Times New Roman" w:cs="Times New Roman"/>
          <w:spacing w:val="-3"/>
        </w:rPr>
        <w:t xml:space="preserve">read the instructions, look through existing records, gather and </w:t>
      </w:r>
      <w:r w:rsidRPr="00987F8B" w:rsidR="002041D1">
        <w:rPr>
          <w:rFonts w:ascii="Times New Roman" w:hAnsi="Times New Roman" w:cs="Times New Roman"/>
          <w:spacing w:val="-3"/>
        </w:rPr>
        <w:t xml:space="preserve">organize </w:t>
      </w:r>
      <w:r w:rsidRPr="00987F8B" w:rsidR="00DD6AE5">
        <w:rPr>
          <w:rFonts w:ascii="Times New Roman" w:hAnsi="Times New Roman" w:cs="Times New Roman"/>
          <w:spacing w:val="-3"/>
        </w:rPr>
        <w:t>the required data</w:t>
      </w:r>
      <w:r w:rsidRPr="00987F8B" w:rsidR="006207F9">
        <w:rPr>
          <w:rFonts w:ascii="Times New Roman" w:hAnsi="Times New Roman" w:cs="Times New Roman"/>
          <w:spacing w:val="-3"/>
        </w:rPr>
        <w:t xml:space="preserve">, and complete and review the form.  It also includes the time it will take </w:t>
      </w:r>
      <w:r w:rsidRPr="00987F8B" w:rsidR="00AE3323">
        <w:rPr>
          <w:rFonts w:ascii="Times New Roman" w:hAnsi="Times New Roman" w:cs="Times New Roman"/>
          <w:spacing w:val="-3"/>
        </w:rPr>
        <w:t xml:space="preserve">each provider to: (a) submit audited financial statements or </w:t>
      </w:r>
      <w:r w:rsidRPr="00987F8B" w:rsidR="00F25657">
        <w:rPr>
          <w:rFonts w:ascii="Times New Roman" w:hAnsi="Times New Roman" w:cs="Times New Roman"/>
          <w:spacing w:val="-3"/>
        </w:rPr>
        <w:t>reports,</w:t>
      </w:r>
      <w:r w:rsidRPr="00987F8B" w:rsidR="00F75ABE">
        <w:rPr>
          <w:rFonts w:ascii="Times New Roman" w:hAnsi="Times New Roman" w:cs="Times New Roman"/>
          <w:spacing w:val="-3"/>
        </w:rPr>
        <w:t xml:space="preserve"> or similar documentation</w:t>
      </w:r>
      <w:r w:rsidRPr="00987F8B" w:rsidR="00365093">
        <w:rPr>
          <w:rFonts w:ascii="Times New Roman" w:hAnsi="Times New Roman" w:cs="Times New Roman"/>
          <w:spacing w:val="-3"/>
        </w:rPr>
        <w:t>, to the extent they have been</w:t>
      </w:r>
      <w:r w:rsidRPr="00987F8B" w:rsidR="007935AA">
        <w:rPr>
          <w:rFonts w:ascii="Times New Roman" w:hAnsi="Times New Roman" w:cs="Times New Roman"/>
          <w:spacing w:val="-3"/>
        </w:rPr>
        <w:t xml:space="preserve"> produced in the ordinary course of business; (b) respond to any Commission requirement that the provider</w:t>
      </w:r>
      <w:r w:rsidRPr="00987F8B" w:rsidR="00EB0239">
        <w:rPr>
          <w:rFonts w:ascii="Times New Roman" w:hAnsi="Times New Roman" w:cs="Times New Roman"/>
          <w:spacing w:val="-3"/>
        </w:rPr>
        <w:t xml:space="preserve"> </w:t>
      </w:r>
      <w:r w:rsidRPr="00987F8B" w:rsidR="00424C0F">
        <w:rPr>
          <w:rFonts w:ascii="Times New Roman" w:hAnsi="Times New Roman" w:cs="Times New Roman"/>
          <w:spacing w:val="-3"/>
        </w:rPr>
        <w:t xml:space="preserve">clarify </w:t>
      </w:r>
      <w:r w:rsidRPr="00987F8B" w:rsidR="00607FB1">
        <w:rPr>
          <w:rFonts w:ascii="Times New Roman" w:hAnsi="Times New Roman" w:cs="Times New Roman"/>
          <w:spacing w:val="-3"/>
        </w:rPr>
        <w:t xml:space="preserve">or supplement its response to the data collection; and (c) keep all records necessary to </w:t>
      </w:r>
      <w:r w:rsidRPr="00987F8B" w:rsidR="00FD005F">
        <w:rPr>
          <w:rFonts w:ascii="Times New Roman" w:hAnsi="Times New Roman" w:cs="Times New Roman"/>
          <w:spacing w:val="-3"/>
        </w:rPr>
        <w:t xml:space="preserve">implement this collection and make such records available to the Commission upon request.  </w:t>
      </w:r>
    </w:p>
    <w:p w:rsidR="00E10661" w:rsidRPr="00987F8B" w:rsidP="00213B73" w14:paraId="4A98C637" w14:textId="18649A82">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(6)  </w:t>
      </w:r>
      <w:r w:rsidRPr="00987F8B">
        <w:rPr>
          <w:rFonts w:ascii="Times New Roman" w:hAnsi="Times New Roman" w:cs="Times New Roman"/>
          <w:spacing w:val="-3"/>
          <w:u w:val="single"/>
        </w:rPr>
        <w:t>Total estimate of “in house” cost to respondents:</w:t>
      </w:r>
      <w:r w:rsidRPr="00987F8B">
        <w:rPr>
          <w:rFonts w:ascii="Times New Roman" w:hAnsi="Times New Roman" w:cs="Times New Roman"/>
          <w:spacing w:val="-3"/>
        </w:rPr>
        <w:t xml:space="preserve">  </w:t>
      </w:r>
      <w:r w:rsidRPr="00987F8B">
        <w:rPr>
          <w:rFonts w:ascii="Times New Roman" w:hAnsi="Times New Roman" w:cs="Times New Roman"/>
          <w:b/>
        </w:rPr>
        <w:t>$</w:t>
      </w:r>
      <w:r w:rsidRPr="00987F8B" w:rsidR="00AE1B81">
        <w:rPr>
          <w:rFonts w:ascii="Times New Roman" w:hAnsi="Times New Roman" w:cs="Times New Roman"/>
          <w:b/>
        </w:rPr>
        <w:t>474,474.</w:t>
      </w:r>
    </w:p>
    <w:p w:rsidR="00E10661" w:rsidRPr="00987F8B" w:rsidP="00213B73" w14:paraId="27E5AC09" w14:textId="77777777">
      <w:pPr>
        <w:tabs>
          <w:tab w:val="left" w:pos="-720"/>
        </w:tabs>
        <w:suppressAutoHyphens/>
        <w:spacing w:after="120"/>
        <w:rPr>
          <w:rFonts w:ascii="Times New Roman" w:hAnsi="Times New Roman" w:cs="Times New Roman"/>
        </w:rPr>
      </w:pPr>
      <w:r w:rsidRPr="00987F8B">
        <w:rPr>
          <w:rFonts w:ascii="Times New Roman" w:hAnsi="Times New Roman" w:cs="Times New Roman"/>
        </w:rPr>
        <w:tab/>
        <w:t xml:space="preserve">(7)  </w:t>
      </w:r>
      <w:r w:rsidRPr="00987F8B">
        <w:rPr>
          <w:rFonts w:ascii="Times New Roman" w:hAnsi="Times New Roman" w:cs="Times New Roman"/>
          <w:u w:val="single"/>
        </w:rPr>
        <w:t>Explanation of the calculation</w:t>
      </w:r>
      <w:r w:rsidRPr="00987F8B">
        <w:rPr>
          <w:rFonts w:ascii="Times New Roman" w:hAnsi="Times New Roman" w:cs="Times New Roman"/>
        </w:rPr>
        <w:t xml:space="preserve">:  </w:t>
      </w:r>
    </w:p>
    <w:p w:rsidR="00E10661" w:rsidRPr="00987F8B" w:rsidP="00213B73" w14:paraId="3D530DF0" w14:textId="62C24391">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The Commission estimates that approximately </w:t>
      </w:r>
      <w:r w:rsidRPr="00987F8B" w:rsidR="00086C13">
        <w:rPr>
          <w:rFonts w:ascii="Times New Roman" w:hAnsi="Times New Roman" w:cs="Times New Roman"/>
        </w:rPr>
        <w:t>30</w:t>
      </w:r>
      <w:r w:rsidRPr="00987F8B" w:rsidR="00081196">
        <w:rPr>
          <w:rFonts w:ascii="Times New Roman" w:hAnsi="Times New Roman" w:cs="Times New Roman"/>
          <w:b/>
          <w:bCs/>
        </w:rPr>
        <w:t xml:space="preserve"> </w:t>
      </w:r>
      <w:r w:rsidRPr="00987F8B" w:rsidR="00081196">
        <w:rPr>
          <w:rFonts w:ascii="Times New Roman" w:hAnsi="Times New Roman" w:cs="Times New Roman"/>
        </w:rPr>
        <w:t>IPCS</w:t>
      </w:r>
      <w:r w:rsidRPr="00987F8B" w:rsidR="00A224EA">
        <w:rPr>
          <w:rFonts w:ascii="Times New Roman" w:hAnsi="Times New Roman" w:cs="Times New Roman"/>
        </w:rPr>
        <w:t xml:space="preserve"> providers</w:t>
      </w:r>
      <w:r w:rsidRPr="00987F8B">
        <w:rPr>
          <w:rFonts w:ascii="Times New Roman" w:hAnsi="Times New Roman" w:cs="Times New Roman"/>
        </w:rPr>
        <w:t xml:space="preserve"> will be subject to this one-time reporting requirement.</w:t>
      </w:r>
    </w:p>
    <w:p w:rsidR="008538D9" w:rsidRPr="00987F8B" w:rsidP="00213B73" w14:paraId="7946255D" w14:textId="6ECFC94F">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We assume that respondents will use </w:t>
      </w:r>
      <w:r w:rsidRPr="00987F8B" w:rsidR="00902200">
        <w:rPr>
          <w:rFonts w:ascii="Times New Roman" w:hAnsi="Times New Roman" w:cs="Times New Roman"/>
        </w:rPr>
        <w:t xml:space="preserve">personnel comparable in pay to GS 13/Step 5 earning </w:t>
      </w:r>
      <w:r w:rsidRPr="00987F8B" w:rsidR="00FB48A7">
        <w:rPr>
          <w:rFonts w:ascii="Times New Roman" w:hAnsi="Times New Roman" w:cs="Times New Roman"/>
        </w:rPr>
        <w:t>$</w:t>
      </w:r>
      <w:r w:rsidRPr="00987F8B" w:rsidR="00BD6B3E">
        <w:rPr>
          <w:rFonts w:ascii="Times New Roman" w:hAnsi="Times New Roman" w:cs="Times New Roman"/>
        </w:rPr>
        <w:t>60.83</w:t>
      </w:r>
      <w:r w:rsidRPr="00987F8B" w:rsidR="00902200">
        <w:rPr>
          <w:rFonts w:ascii="Times New Roman" w:hAnsi="Times New Roman" w:cs="Times New Roman"/>
        </w:rPr>
        <w:t xml:space="preserve"> per hour.</w:t>
      </w:r>
      <w:r w:rsidRPr="00987F8B" w:rsidR="000E5AEF">
        <w:rPr>
          <w:rFonts w:ascii="Times New Roman" w:hAnsi="Times New Roman" w:cs="Times New Roman"/>
        </w:rPr>
        <w:t xml:space="preserve"> </w:t>
      </w:r>
    </w:p>
    <w:p w:rsidR="009F52F9" w:rsidRPr="00987F8B" w:rsidP="00213B73" w14:paraId="5DB3D214" w14:textId="67CA1D64">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Thus, </w:t>
      </w:r>
      <w:r w:rsidRPr="00987F8B" w:rsidR="00BB67D5">
        <w:rPr>
          <w:rFonts w:ascii="Times New Roman" w:hAnsi="Times New Roman" w:cs="Times New Roman"/>
        </w:rPr>
        <w:t xml:space="preserve">7,800 </w:t>
      </w:r>
      <w:r w:rsidRPr="00987F8B">
        <w:rPr>
          <w:rFonts w:ascii="Times New Roman" w:hAnsi="Times New Roman" w:cs="Times New Roman"/>
        </w:rPr>
        <w:t>hours per year x $</w:t>
      </w:r>
      <w:r w:rsidRPr="00987F8B" w:rsidR="00BD6B3E">
        <w:rPr>
          <w:rFonts w:ascii="Times New Roman" w:hAnsi="Times New Roman" w:cs="Times New Roman"/>
        </w:rPr>
        <w:t>60.83</w:t>
      </w:r>
      <w:r w:rsidRPr="00987F8B">
        <w:rPr>
          <w:rFonts w:ascii="Times New Roman" w:hAnsi="Times New Roman" w:cs="Times New Roman"/>
        </w:rPr>
        <w:t xml:space="preserve"> = </w:t>
      </w:r>
      <w:r w:rsidRPr="00987F8B" w:rsidR="00AE1B81">
        <w:rPr>
          <w:rFonts w:ascii="Times New Roman" w:hAnsi="Times New Roman" w:cs="Times New Roman"/>
          <w:b/>
          <w:bCs/>
        </w:rPr>
        <w:t>$474,474.</w:t>
      </w:r>
    </w:p>
    <w:p w:rsidR="001D05DC" w:rsidRPr="00987F8B" w:rsidP="00A51E2B" w14:paraId="48CF87F0" w14:textId="5B4A0719">
      <w:pPr>
        <w:tabs>
          <w:tab w:val="left" w:pos="720"/>
        </w:tabs>
        <w:spacing w:after="120"/>
        <w:rPr>
          <w:rFonts w:ascii="Times New Roman" w:hAnsi="Times New Roman" w:cs="Times New Roman"/>
          <w:spacing w:val="-3"/>
        </w:rPr>
      </w:pPr>
      <w:r w:rsidRPr="00987F8B">
        <w:rPr>
          <w:rFonts w:ascii="Times New Roman" w:hAnsi="Times New Roman" w:cs="Times New Roman"/>
          <w:b/>
          <w:spacing w:val="-3"/>
        </w:rPr>
        <w:t>b.</w:t>
      </w:r>
      <w:r w:rsidRPr="00987F8B">
        <w:rPr>
          <w:rFonts w:ascii="Times New Roman" w:hAnsi="Times New Roman" w:cs="Times New Roman"/>
          <w:b/>
          <w:spacing w:val="-3"/>
        </w:rPr>
        <w:tab/>
      </w:r>
      <w:r w:rsidRPr="00987F8B">
        <w:rPr>
          <w:rFonts w:ascii="Times New Roman" w:hAnsi="Times New Roman" w:cs="Times New Roman"/>
          <w:b/>
          <w:spacing w:val="-3"/>
          <w:u w:val="single"/>
        </w:rPr>
        <w:t>Certification Requirement</w:t>
      </w:r>
      <w:r w:rsidRPr="00987F8B">
        <w:rPr>
          <w:rFonts w:ascii="Times New Roman" w:hAnsi="Times New Roman" w:cs="Times New Roman"/>
          <w:spacing w:val="-3"/>
        </w:rPr>
        <w:t>:</w:t>
      </w:r>
    </w:p>
    <w:p w:rsidR="001D05DC" w:rsidRPr="00987F8B" w:rsidP="00213B73" w14:paraId="5C9EF055" w14:textId="5E1FBFC7">
      <w:pPr>
        <w:keepLines/>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(1)  </w:t>
      </w:r>
      <w:r w:rsidRPr="00987F8B">
        <w:rPr>
          <w:rFonts w:ascii="Times New Roman" w:hAnsi="Times New Roman" w:cs="Times New Roman"/>
          <w:spacing w:val="-3"/>
          <w:u w:val="single"/>
        </w:rPr>
        <w:t>Number of respondents</w:t>
      </w:r>
      <w:r w:rsidRPr="00987F8B">
        <w:rPr>
          <w:rFonts w:ascii="Times New Roman" w:hAnsi="Times New Roman" w:cs="Times New Roman"/>
          <w:spacing w:val="-3"/>
        </w:rPr>
        <w:t xml:space="preserve">:  Approximately </w:t>
      </w:r>
      <w:r w:rsidRPr="00987F8B" w:rsidR="00953D17">
        <w:rPr>
          <w:rFonts w:ascii="Times New Roman" w:hAnsi="Times New Roman" w:cs="Times New Roman"/>
          <w:spacing w:val="-3"/>
        </w:rPr>
        <w:t>30</w:t>
      </w:r>
      <w:r w:rsidRPr="00987F8B">
        <w:rPr>
          <w:rFonts w:ascii="Times New Roman" w:hAnsi="Times New Roman" w:cs="Times New Roman"/>
          <w:b/>
          <w:bCs/>
          <w:spacing w:val="-3"/>
        </w:rPr>
        <w:t>.</w:t>
      </w:r>
    </w:p>
    <w:p w:rsidR="001D05DC" w:rsidRPr="00987F8B" w:rsidP="00213B73" w14:paraId="5FC391BD" w14:textId="5A107C99">
      <w:pPr>
        <w:keepLines/>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(2)  </w:t>
      </w:r>
      <w:r w:rsidRPr="00987F8B">
        <w:rPr>
          <w:rFonts w:ascii="Times New Roman" w:hAnsi="Times New Roman" w:cs="Times New Roman"/>
          <w:spacing w:val="-3"/>
          <w:u w:val="single"/>
        </w:rPr>
        <w:t>Frequency of response</w:t>
      </w:r>
      <w:r w:rsidRPr="00987F8B">
        <w:rPr>
          <w:rFonts w:ascii="Times New Roman" w:hAnsi="Times New Roman" w:cs="Times New Roman"/>
          <w:spacing w:val="-3"/>
        </w:rPr>
        <w:t xml:space="preserve">:  One-time reporting requirement.  </w:t>
      </w:r>
    </w:p>
    <w:p w:rsidR="001D05DC" w:rsidRPr="00987F8B" w:rsidP="00213B73" w14:paraId="5930BE69" w14:textId="64D96158">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(3)  </w:t>
      </w:r>
      <w:r w:rsidRPr="00987F8B">
        <w:rPr>
          <w:rFonts w:ascii="Times New Roman" w:hAnsi="Times New Roman" w:cs="Times New Roman"/>
          <w:spacing w:val="-3"/>
          <w:u w:val="single"/>
        </w:rPr>
        <w:t>Total number of responses annually</w:t>
      </w:r>
      <w:r w:rsidRPr="00987F8B">
        <w:rPr>
          <w:rFonts w:ascii="Times New Roman" w:hAnsi="Times New Roman" w:cs="Times New Roman"/>
          <w:spacing w:val="-3"/>
        </w:rPr>
        <w:t xml:space="preserve">:  Approximately </w:t>
      </w:r>
      <w:r w:rsidRPr="00987F8B" w:rsidR="00953D17">
        <w:rPr>
          <w:rFonts w:ascii="Times New Roman" w:hAnsi="Times New Roman" w:cs="Times New Roman"/>
          <w:spacing w:val="-3"/>
        </w:rPr>
        <w:t>30.</w:t>
      </w:r>
    </w:p>
    <w:p w:rsidR="00953D17" w:rsidRPr="00987F8B" w:rsidP="00953D17" w14:paraId="3BCD3B9A" w14:textId="77777777">
      <w:pPr>
        <w:tabs>
          <w:tab w:val="left" w:pos="-720"/>
        </w:tabs>
        <w:suppressAutoHyphens/>
        <w:spacing w:after="120"/>
        <w:ind w:left="720"/>
        <w:rPr>
          <w:rFonts w:ascii="Times New Roman" w:hAnsi="Times New Roman" w:cs="Times New Roman"/>
          <w:spacing w:val="-3"/>
        </w:rPr>
      </w:pPr>
      <w:r w:rsidRPr="00987F8B">
        <w:rPr>
          <w:rFonts w:ascii="Times New Roman" w:hAnsi="Times New Roman" w:cs="Times New Roman"/>
          <w:spacing w:val="-3"/>
        </w:rPr>
        <w:t xml:space="preserve">(4)  </w:t>
      </w:r>
      <w:r w:rsidRPr="00987F8B">
        <w:rPr>
          <w:rFonts w:ascii="Times New Roman" w:hAnsi="Times New Roman" w:cs="Times New Roman"/>
          <w:spacing w:val="-3"/>
          <w:u w:val="single"/>
        </w:rPr>
        <w:t>Estimated Time per Response</w:t>
      </w:r>
      <w:r w:rsidRPr="00987F8B">
        <w:rPr>
          <w:rFonts w:ascii="Times New Roman" w:hAnsi="Times New Roman" w:cs="Times New Roman"/>
          <w:spacing w:val="-3"/>
        </w:rPr>
        <w:t xml:space="preserve">:  </w:t>
      </w:r>
      <w:r w:rsidRPr="00987F8B" w:rsidR="00923130">
        <w:rPr>
          <w:rFonts w:ascii="Times New Roman" w:hAnsi="Times New Roman" w:cs="Times New Roman"/>
          <w:spacing w:val="-3"/>
        </w:rPr>
        <w:t xml:space="preserve">Approximately </w:t>
      </w:r>
      <w:r w:rsidRPr="00987F8B">
        <w:rPr>
          <w:rFonts w:ascii="Times New Roman" w:hAnsi="Times New Roman" w:cs="Times New Roman"/>
          <w:spacing w:val="-3"/>
        </w:rPr>
        <w:t>5</w:t>
      </w:r>
      <w:r w:rsidRPr="00987F8B" w:rsidR="00923130">
        <w:rPr>
          <w:rFonts w:ascii="Times New Roman" w:hAnsi="Times New Roman" w:cs="Times New Roman"/>
          <w:spacing w:val="-3"/>
        </w:rPr>
        <w:t xml:space="preserve"> </w:t>
      </w:r>
      <w:r w:rsidRPr="00987F8B">
        <w:rPr>
          <w:rFonts w:ascii="Times New Roman" w:hAnsi="Times New Roman" w:cs="Times New Roman"/>
          <w:spacing w:val="-3"/>
        </w:rPr>
        <w:t xml:space="preserve">hours.  </w:t>
      </w:r>
    </w:p>
    <w:p w:rsidR="001D05DC" w:rsidRPr="00987F8B" w:rsidP="00953D17" w14:paraId="5FF7F084" w14:textId="487E9955">
      <w:pPr>
        <w:tabs>
          <w:tab w:val="left" w:pos="-720"/>
        </w:tabs>
        <w:suppressAutoHyphens/>
        <w:spacing w:after="120"/>
        <w:ind w:left="720"/>
        <w:rPr>
          <w:rFonts w:ascii="Times New Roman" w:hAnsi="Times New Roman" w:cs="Times New Roman"/>
          <w:spacing w:val="-3"/>
        </w:rPr>
      </w:pPr>
      <w:r w:rsidRPr="00987F8B">
        <w:rPr>
          <w:rFonts w:ascii="Times New Roman" w:hAnsi="Times New Roman" w:cs="Times New Roman"/>
          <w:spacing w:val="-3"/>
        </w:rPr>
        <w:t>Approximately 30</w:t>
      </w:r>
      <w:r w:rsidRPr="00987F8B">
        <w:rPr>
          <w:rFonts w:ascii="Times New Roman" w:hAnsi="Times New Roman" w:cs="Times New Roman"/>
          <w:b/>
          <w:bCs/>
          <w:spacing w:val="-3"/>
        </w:rPr>
        <w:t xml:space="preserve"> </w:t>
      </w:r>
      <w:r w:rsidRPr="00987F8B">
        <w:rPr>
          <w:rFonts w:ascii="Times New Roman" w:hAnsi="Times New Roman" w:cs="Times New Roman"/>
          <w:spacing w:val="-3"/>
        </w:rPr>
        <w:t>respondents x 5</w:t>
      </w:r>
      <w:r w:rsidRPr="00987F8B" w:rsidR="00356B1C">
        <w:rPr>
          <w:rFonts w:ascii="Times New Roman" w:hAnsi="Times New Roman" w:cs="Times New Roman"/>
          <w:spacing w:val="-3"/>
        </w:rPr>
        <w:t xml:space="preserve"> </w:t>
      </w:r>
      <w:r w:rsidRPr="00987F8B">
        <w:rPr>
          <w:rFonts w:ascii="Times New Roman" w:hAnsi="Times New Roman" w:cs="Times New Roman"/>
          <w:spacing w:val="-3"/>
        </w:rPr>
        <w:t>hours per response x 1 response per respondent =  150</w:t>
      </w:r>
      <w:r w:rsidRPr="00987F8B" w:rsidR="00612ADA">
        <w:rPr>
          <w:rFonts w:ascii="Times New Roman" w:hAnsi="Times New Roman" w:cs="Times New Roman"/>
          <w:spacing w:val="-3"/>
        </w:rPr>
        <w:t xml:space="preserve"> </w:t>
      </w:r>
      <w:r w:rsidRPr="00987F8B">
        <w:rPr>
          <w:rFonts w:ascii="Times New Roman" w:hAnsi="Times New Roman" w:cs="Times New Roman"/>
          <w:spacing w:val="-3"/>
        </w:rPr>
        <w:t>hours.</w:t>
      </w:r>
    </w:p>
    <w:p w:rsidR="001D05DC" w:rsidRPr="00987F8B" w:rsidP="00213B73" w14:paraId="483F36F2" w14:textId="4C7791A6">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(5)  </w:t>
      </w:r>
      <w:r w:rsidRPr="00987F8B">
        <w:rPr>
          <w:rFonts w:ascii="Times New Roman" w:hAnsi="Times New Roman" w:cs="Times New Roman"/>
          <w:spacing w:val="-3"/>
          <w:u w:val="single"/>
        </w:rPr>
        <w:t>Total burden</w:t>
      </w:r>
      <w:r w:rsidRPr="00987F8B">
        <w:rPr>
          <w:rFonts w:ascii="Times New Roman" w:hAnsi="Times New Roman" w:cs="Times New Roman"/>
          <w:spacing w:val="-3"/>
        </w:rPr>
        <w:t xml:space="preserve">: </w:t>
      </w:r>
      <w:r w:rsidRPr="00987F8B" w:rsidR="007D0FDD">
        <w:rPr>
          <w:rFonts w:ascii="Times New Roman" w:hAnsi="Times New Roman" w:cs="Times New Roman"/>
          <w:spacing w:val="-3"/>
        </w:rPr>
        <w:t xml:space="preserve"> </w:t>
      </w:r>
      <w:r w:rsidRPr="00987F8B" w:rsidR="00953D17">
        <w:rPr>
          <w:rFonts w:ascii="Times New Roman" w:hAnsi="Times New Roman" w:cs="Times New Roman"/>
          <w:b/>
          <w:bCs/>
          <w:spacing w:val="-3"/>
        </w:rPr>
        <w:t>150</w:t>
      </w:r>
      <w:r w:rsidRPr="00987F8B">
        <w:rPr>
          <w:rFonts w:ascii="Times New Roman" w:hAnsi="Times New Roman" w:cs="Times New Roman"/>
          <w:b/>
          <w:bCs/>
          <w:spacing w:val="-3"/>
        </w:rPr>
        <w:t xml:space="preserve"> </w:t>
      </w:r>
      <w:r w:rsidRPr="00987F8B">
        <w:rPr>
          <w:rFonts w:ascii="Times New Roman" w:hAnsi="Times New Roman" w:cs="Times New Roman"/>
          <w:b/>
          <w:spacing w:val="-3"/>
        </w:rPr>
        <w:t>hours</w:t>
      </w:r>
      <w:r w:rsidRPr="00987F8B">
        <w:rPr>
          <w:rFonts w:ascii="Times New Roman" w:hAnsi="Times New Roman" w:cs="Times New Roman"/>
          <w:spacing w:val="-3"/>
        </w:rPr>
        <w:t>.</w:t>
      </w:r>
    </w:p>
    <w:p w:rsidR="001D05DC" w:rsidRPr="00987F8B" w:rsidP="00213B73" w14:paraId="76279D43" w14:textId="0E8843CC">
      <w:pPr>
        <w:tabs>
          <w:tab w:val="left" w:pos="-720"/>
        </w:tabs>
        <w:suppressAutoHyphens/>
        <w:spacing w:after="120"/>
        <w:ind w:left="1440"/>
        <w:rPr>
          <w:rFonts w:ascii="Times New Roman" w:hAnsi="Times New Roman" w:cs="Times New Roman"/>
          <w:spacing w:val="-3"/>
        </w:rPr>
      </w:pPr>
      <w:r w:rsidRPr="00987F8B">
        <w:rPr>
          <w:rFonts w:ascii="Times New Roman" w:hAnsi="Times New Roman" w:cs="Times New Roman"/>
          <w:spacing w:val="-3"/>
        </w:rPr>
        <w:t xml:space="preserve">The Commission estimates that approximately </w:t>
      </w:r>
      <w:r w:rsidRPr="00987F8B" w:rsidR="00953D17">
        <w:rPr>
          <w:rFonts w:ascii="Times New Roman" w:hAnsi="Times New Roman" w:cs="Times New Roman"/>
          <w:spacing w:val="-3"/>
        </w:rPr>
        <w:t>30</w:t>
      </w:r>
      <w:r w:rsidRPr="00987F8B">
        <w:rPr>
          <w:rFonts w:ascii="Times New Roman" w:hAnsi="Times New Roman" w:cs="Times New Roman"/>
          <w:spacing w:val="-3"/>
        </w:rPr>
        <w:t xml:space="preserve"> I</w:t>
      </w:r>
      <w:r w:rsidRPr="00987F8B" w:rsidR="001904A3">
        <w:rPr>
          <w:rFonts w:ascii="Times New Roman" w:hAnsi="Times New Roman" w:cs="Times New Roman"/>
          <w:spacing w:val="-3"/>
        </w:rPr>
        <w:t>PCS</w:t>
      </w:r>
      <w:r w:rsidRPr="00987F8B">
        <w:rPr>
          <w:rFonts w:ascii="Times New Roman" w:hAnsi="Times New Roman" w:cs="Times New Roman"/>
          <w:spacing w:val="-3"/>
        </w:rPr>
        <w:t xml:space="preserve"> providers will require </w:t>
      </w:r>
      <w:r w:rsidRPr="00987F8B" w:rsidR="00953D17">
        <w:rPr>
          <w:rFonts w:ascii="Times New Roman" w:hAnsi="Times New Roman" w:cs="Times New Roman"/>
          <w:spacing w:val="-3"/>
        </w:rPr>
        <w:t>5</w:t>
      </w:r>
      <w:r w:rsidRPr="00987F8B" w:rsidR="004358B8">
        <w:rPr>
          <w:rFonts w:ascii="Times New Roman" w:hAnsi="Times New Roman" w:cs="Times New Roman"/>
          <w:spacing w:val="-3"/>
        </w:rPr>
        <w:t xml:space="preserve"> h</w:t>
      </w:r>
      <w:r w:rsidRPr="00987F8B">
        <w:rPr>
          <w:rFonts w:ascii="Times New Roman" w:hAnsi="Times New Roman" w:cs="Times New Roman"/>
          <w:spacing w:val="-3"/>
        </w:rPr>
        <w:t>ours of reporting time</w:t>
      </w:r>
      <w:r w:rsidRPr="00987F8B" w:rsidR="00D2000B">
        <w:rPr>
          <w:rFonts w:ascii="Times New Roman" w:hAnsi="Times New Roman" w:cs="Times New Roman"/>
          <w:spacing w:val="-3"/>
        </w:rPr>
        <w:t xml:space="preserve"> to complete the certification form.</w:t>
      </w:r>
    </w:p>
    <w:p w:rsidR="001D05DC" w:rsidRPr="00987F8B" w:rsidP="00213B73" w14:paraId="058F46C8" w14:textId="28D53932">
      <w:pPr>
        <w:tabs>
          <w:tab w:val="left" w:pos="-720"/>
        </w:tabs>
        <w:suppressAutoHyphens/>
        <w:spacing w:after="120"/>
        <w:ind w:left="1440"/>
        <w:rPr>
          <w:rFonts w:ascii="Times New Roman" w:hAnsi="Times New Roman" w:cs="Times New Roman"/>
          <w:spacing w:val="-3"/>
        </w:rPr>
      </w:pPr>
      <w:r w:rsidRPr="00987F8B">
        <w:rPr>
          <w:rFonts w:ascii="Times New Roman" w:hAnsi="Times New Roman" w:cs="Times New Roman"/>
          <w:spacing w:val="-3"/>
        </w:rPr>
        <w:t xml:space="preserve">Approximately </w:t>
      </w:r>
      <w:r w:rsidRPr="00987F8B" w:rsidR="00953D17">
        <w:rPr>
          <w:rFonts w:ascii="Times New Roman" w:hAnsi="Times New Roman" w:cs="Times New Roman"/>
          <w:spacing w:val="-3"/>
        </w:rPr>
        <w:t>30</w:t>
      </w:r>
      <w:r w:rsidRPr="00987F8B">
        <w:rPr>
          <w:rFonts w:ascii="Times New Roman" w:hAnsi="Times New Roman" w:cs="Times New Roman"/>
          <w:spacing w:val="-3"/>
        </w:rPr>
        <w:t xml:space="preserve"> respondents x </w:t>
      </w:r>
      <w:r w:rsidRPr="00987F8B" w:rsidR="00953D17">
        <w:rPr>
          <w:rFonts w:ascii="Times New Roman" w:hAnsi="Times New Roman" w:cs="Times New Roman"/>
          <w:spacing w:val="-3"/>
        </w:rPr>
        <w:t>5</w:t>
      </w:r>
      <w:r w:rsidRPr="00987F8B">
        <w:rPr>
          <w:rFonts w:ascii="Times New Roman" w:hAnsi="Times New Roman" w:cs="Times New Roman"/>
          <w:spacing w:val="-3"/>
        </w:rPr>
        <w:t xml:space="preserve"> hours per response </w:t>
      </w:r>
      <w:r w:rsidRPr="00987F8B" w:rsidR="00953D17">
        <w:rPr>
          <w:rFonts w:ascii="Times New Roman" w:hAnsi="Times New Roman" w:cs="Times New Roman"/>
          <w:spacing w:val="-3"/>
        </w:rPr>
        <w:t xml:space="preserve">x 1 response </w:t>
      </w:r>
      <w:r w:rsidRPr="00987F8B">
        <w:rPr>
          <w:rFonts w:ascii="Times New Roman" w:hAnsi="Times New Roman" w:cs="Times New Roman"/>
          <w:spacing w:val="-3"/>
        </w:rPr>
        <w:t xml:space="preserve">= </w:t>
      </w:r>
      <w:r w:rsidRPr="00987F8B" w:rsidR="00517B9F">
        <w:rPr>
          <w:rFonts w:ascii="Times New Roman" w:hAnsi="Times New Roman" w:cs="Times New Roman"/>
          <w:spacing w:val="-3"/>
        </w:rPr>
        <w:t>1</w:t>
      </w:r>
      <w:r w:rsidRPr="00987F8B" w:rsidR="005C5F54">
        <w:rPr>
          <w:rFonts w:ascii="Times New Roman" w:hAnsi="Times New Roman" w:cs="Times New Roman"/>
          <w:spacing w:val="-3"/>
        </w:rPr>
        <w:t>5</w:t>
      </w:r>
      <w:r w:rsidRPr="00987F8B" w:rsidR="00517B9F">
        <w:rPr>
          <w:rFonts w:ascii="Times New Roman" w:hAnsi="Times New Roman" w:cs="Times New Roman"/>
          <w:spacing w:val="-3"/>
        </w:rPr>
        <w:t>0</w:t>
      </w:r>
      <w:r w:rsidRPr="00987F8B">
        <w:rPr>
          <w:rFonts w:ascii="Times New Roman" w:hAnsi="Times New Roman" w:cs="Times New Roman"/>
          <w:spacing w:val="-3"/>
        </w:rPr>
        <w:t xml:space="preserve"> hours.</w:t>
      </w:r>
    </w:p>
    <w:p w:rsidR="001D05DC" w:rsidRPr="00987F8B" w:rsidP="00213B73" w14:paraId="2C1E4958" w14:textId="1B9C3600">
      <w:pPr>
        <w:tabs>
          <w:tab w:val="left" w:pos="-720"/>
        </w:tabs>
        <w:suppressAutoHyphens/>
        <w:spacing w:after="120"/>
        <w:rPr>
          <w:rFonts w:ascii="Times New Roman" w:hAnsi="Times New Roman" w:cs="Times New Roman"/>
          <w:spacing w:val="-3"/>
        </w:rPr>
      </w:pPr>
      <w:r w:rsidRPr="00987F8B">
        <w:rPr>
          <w:rFonts w:ascii="Times New Roman" w:hAnsi="Times New Roman" w:cs="Times New Roman"/>
          <w:spacing w:val="-3"/>
        </w:rPr>
        <w:tab/>
        <w:t xml:space="preserve">(6)  </w:t>
      </w:r>
      <w:r w:rsidRPr="00987F8B">
        <w:rPr>
          <w:rFonts w:ascii="Times New Roman" w:hAnsi="Times New Roman" w:cs="Times New Roman"/>
          <w:spacing w:val="-3"/>
          <w:u w:val="single"/>
        </w:rPr>
        <w:t>Total estimate of “in house” cost to respondents</w:t>
      </w:r>
      <w:r w:rsidRPr="00987F8B">
        <w:rPr>
          <w:rFonts w:ascii="Times New Roman" w:hAnsi="Times New Roman" w:cs="Times New Roman"/>
          <w:spacing w:val="-3"/>
        </w:rPr>
        <w:t xml:space="preserve">:  </w:t>
      </w:r>
      <w:r w:rsidRPr="00987F8B" w:rsidR="00953D17">
        <w:rPr>
          <w:rFonts w:ascii="Times New Roman" w:hAnsi="Times New Roman" w:cs="Times New Roman"/>
          <w:b/>
        </w:rPr>
        <w:t>$</w:t>
      </w:r>
      <w:bookmarkStart w:id="4" w:name="_Hlk133236010"/>
      <w:r w:rsidRPr="00987F8B" w:rsidR="00953D17">
        <w:rPr>
          <w:rFonts w:ascii="Times New Roman" w:hAnsi="Times New Roman" w:cs="Times New Roman"/>
          <w:b/>
        </w:rPr>
        <w:t>18,</w:t>
      </w:r>
      <w:r w:rsidRPr="00987F8B" w:rsidR="00D31D69">
        <w:rPr>
          <w:rFonts w:ascii="Times New Roman" w:hAnsi="Times New Roman" w:cs="Times New Roman"/>
          <w:b/>
        </w:rPr>
        <w:t>750</w:t>
      </w:r>
      <w:bookmarkEnd w:id="4"/>
      <w:r w:rsidRPr="00987F8B" w:rsidR="00D31D69">
        <w:rPr>
          <w:rFonts w:ascii="Times New Roman" w:hAnsi="Times New Roman" w:cs="Times New Roman"/>
          <w:b/>
        </w:rPr>
        <w:t>.</w:t>
      </w:r>
    </w:p>
    <w:p w:rsidR="001D05DC" w:rsidRPr="00987F8B" w:rsidP="00213B73" w14:paraId="47F10961" w14:textId="69E1B3A4">
      <w:pPr>
        <w:tabs>
          <w:tab w:val="left" w:pos="-720"/>
        </w:tabs>
        <w:suppressAutoHyphens/>
        <w:spacing w:after="120"/>
        <w:rPr>
          <w:rFonts w:ascii="Times New Roman" w:hAnsi="Times New Roman" w:cs="Times New Roman"/>
        </w:rPr>
      </w:pPr>
      <w:r w:rsidRPr="00987F8B">
        <w:rPr>
          <w:rFonts w:ascii="Times New Roman" w:hAnsi="Times New Roman" w:cs="Times New Roman"/>
        </w:rPr>
        <w:tab/>
        <w:t xml:space="preserve">(7)  </w:t>
      </w:r>
      <w:r w:rsidRPr="00987F8B">
        <w:rPr>
          <w:rFonts w:ascii="Times New Roman" w:hAnsi="Times New Roman" w:cs="Times New Roman"/>
          <w:u w:val="single"/>
        </w:rPr>
        <w:t>Explanation of the calculation</w:t>
      </w:r>
      <w:r w:rsidRPr="00987F8B">
        <w:rPr>
          <w:rFonts w:ascii="Times New Roman" w:hAnsi="Times New Roman" w:cs="Times New Roman"/>
        </w:rPr>
        <w:t xml:space="preserve">:  </w:t>
      </w:r>
    </w:p>
    <w:p w:rsidR="001D05DC" w:rsidRPr="00987F8B" w:rsidP="00213B73" w14:paraId="2C1B331F" w14:textId="170008CF">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The Commission estimates that approximately </w:t>
      </w:r>
      <w:r w:rsidRPr="00987F8B" w:rsidR="00953D17">
        <w:rPr>
          <w:rFonts w:ascii="Times New Roman" w:hAnsi="Times New Roman" w:cs="Times New Roman"/>
        </w:rPr>
        <w:t>30</w:t>
      </w:r>
      <w:r w:rsidRPr="00987F8B">
        <w:rPr>
          <w:rFonts w:ascii="Times New Roman" w:hAnsi="Times New Roman" w:cs="Times New Roman"/>
        </w:rPr>
        <w:t xml:space="preserve"> </w:t>
      </w:r>
      <w:r w:rsidRPr="00987F8B" w:rsidR="000564A6">
        <w:rPr>
          <w:rFonts w:ascii="Times New Roman" w:hAnsi="Times New Roman" w:cs="Times New Roman"/>
        </w:rPr>
        <w:t xml:space="preserve">providers </w:t>
      </w:r>
      <w:r w:rsidRPr="00987F8B">
        <w:rPr>
          <w:rFonts w:ascii="Times New Roman" w:hAnsi="Times New Roman" w:cs="Times New Roman"/>
        </w:rPr>
        <w:t>will be subject to this one-time reporting requirement.</w:t>
      </w:r>
    </w:p>
    <w:p w:rsidR="001D05DC" w:rsidRPr="00987F8B" w:rsidP="00213B73" w14:paraId="476B3D1D" w14:textId="265F28A7">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We assume that respondents will use </w:t>
      </w:r>
      <w:r w:rsidRPr="00987F8B" w:rsidR="00375E09">
        <w:rPr>
          <w:rFonts w:ascii="Times New Roman" w:hAnsi="Times New Roman" w:cs="Times New Roman"/>
        </w:rPr>
        <w:t xml:space="preserve">approximately </w:t>
      </w:r>
      <w:r w:rsidRPr="00987F8B" w:rsidR="00953D17">
        <w:rPr>
          <w:rFonts w:ascii="Times New Roman" w:hAnsi="Times New Roman" w:cs="Times New Roman"/>
        </w:rPr>
        <w:t>5</w:t>
      </w:r>
      <w:r w:rsidRPr="00987F8B" w:rsidR="00375E09">
        <w:rPr>
          <w:rFonts w:ascii="Times New Roman" w:hAnsi="Times New Roman" w:cs="Times New Roman"/>
        </w:rPr>
        <w:t xml:space="preserve"> hours of an officer of the company’s time </w:t>
      </w:r>
      <w:r w:rsidRPr="00987F8B" w:rsidR="00953D17">
        <w:rPr>
          <w:rFonts w:ascii="Times New Roman" w:hAnsi="Times New Roman" w:cs="Times New Roman"/>
        </w:rPr>
        <w:t>(rate of approximately $125</w:t>
      </w:r>
      <w:r w:rsidRPr="00987F8B" w:rsidR="00375E09">
        <w:rPr>
          <w:rFonts w:ascii="Times New Roman" w:hAnsi="Times New Roman" w:cs="Times New Roman"/>
        </w:rPr>
        <w:t xml:space="preserve"> </w:t>
      </w:r>
      <w:r w:rsidRPr="00987F8B" w:rsidR="00953D17">
        <w:rPr>
          <w:rFonts w:ascii="Times New Roman" w:hAnsi="Times New Roman" w:cs="Times New Roman"/>
        </w:rPr>
        <w:t xml:space="preserve">per hour) </w:t>
      </w:r>
      <w:r w:rsidRPr="00987F8B" w:rsidR="00375E09">
        <w:rPr>
          <w:rFonts w:ascii="Times New Roman" w:hAnsi="Times New Roman" w:cs="Times New Roman"/>
        </w:rPr>
        <w:t>to satisfy the requirement.</w:t>
      </w:r>
    </w:p>
    <w:p w:rsidR="00420E6A" w:rsidRPr="00987F8B" w:rsidP="001A3CFF" w14:paraId="5C910B24" w14:textId="3DB0C749">
      <w:pPr>
        <w:tabs>
          <w:tab w:val="left" w:pos="-720"/>
        </w:tabs>
        <w:suppressAutoHyphens/>
        <w:spacing w:after="120"/>
        <w:ind w:left="1440"/>
        <w:rPr>
          <w:rFonts w:ascii="Times New Roman" w:hAnsi="Times New Roman" w:cs="Times New Roman"/>
        </w:rPr>
      </w:pPr>
      <w:r w:rsidRPr="00987F8B">
        <w:rPr>
          <w:rFonts w:ascii="Times New Roman" w:hAnsi="Times New Roman" w:cs="Times New Roman"/>
        </w:rPr>
        <w:t xml:space="preserve">Thus, </w:t>
      </w:r>
      <w:r w:rsidRPr="00987F8B" w:rsidR="00953D17">
        <w:rPr>
          <w:rFonts w:ascii="Times New Roman" w:hAnsi="Times New Roman" w:cs="Times New Roman"/>
        </w:rPr>
        <w:t xml:space="preserve">150 </w:t>
      </w:r>
      <w:r w:rsidRPr="00987F8B">
        <w:rPr>
          <w:rFonts w:ascii="Times New Roman" w:hAnsi="Times New Roman" w:cs="Times New Roman"/>
        </w:rPr>
        <w:t>hours</w:t>
      </w:r>
      <w:r w:rsidRPr="00987F8B" w:rsidR="00243AC6">
        <w:rPr>
          <w:rFonts w:ascii="Times New Roman" w:hAnsi="Times New Roman" w:cs="Times New Roman"/>
        </w:rPr>
        <w:t xml:space="preserve"> per year</w:t>
      </w:r>
      <w:r w:rsidRPr="00987F8B">
        <w:rPr>
          <w:rFonts w:ascii="Times New Roman" w:hAnsi="Times New Roman" w:cs="Times New Roman"/>
        </w:rPr>
        <w:t xml:space="preserve"> x </w:t>
      </w:r>
      <w:r w:rsidRPr="00987F8B" w:rsidR="00953D17">
        <w:rPr>
          <w:rFonts w:ascii="Times New Roman" w:hAnsi="Times New Roman" w:cs="Times New Roman"/>
        </w:rPr>
        <w:t>$125</w:t>
      </w:r>
      <w:r w:rsidRPr="00987F8B">
        <w:rPr>
          <w:rFonts w:ascii="Times New Roman" w:hAnsi="Times New Roman" w:cs="Times New Roman"/>
        </w:rPr>
        <w:t xml:space="preserve"> per hour = $</w:t>
      </w:r>
      <w:r w:rsidRPr="00987F8B" w:rsidR="00953D17">
        <w:rPr>
          <w:rFonts w:ascii="Times New Roman" w:hAnsi="Times New Roman" w:cs="Times New Roman"/>
        </w:rPr>
        <w:t>18,750.</w:t>
      </w:r>
    </w:p>
    <w:p w:rsidR="009B7D26" w:rsidRPr="00987F8B" w:rsidP="009B7D26" w14:paraId="129A71EA" w14:textId="65DB92B3">
      <w:pPr>
        <w:tabs>
          <w:tab w:val="left" w:pos="-720"/>
        </w:tabs>
        <w:suppressAutoHyphens/>
        <w:spacing w:after="120"/>
        <w:rPr>
          <w:rFonts w:ascii="Times New Roman" w:hAnsi="Times New Roman" w:cs="Times New Roman"/>
          <w:b/>
          <w:bCs/>
        </w:rPr>
      </w:pPr>
      <w:r w:rsidRPr="00987F8B">
        <w:rPr>
          <w:rFonts w:ascii="Times New Roman" w:hAnsi="Times New Roman" w:cs="Times New Roman"/>
        </w:rPr>
        <w:tab/>
      </w:r>
      <w:r w:rsidRPr="00987F8B">
        <w:rPr>
          <w:rFonts w:ascii="Times New Roman" w:hAnsi="Times New Roman" w:cs="Times New Roman"/>
          <w:b/>
          <w:bCs/>
        </w:rPr>
        <w:t xml:space="preserve">Total Respondents:  </w:t>
      </w:r>
      <w:r w:rsidRPr="00987F8B" w:rsidR="004577A5">
        <w:rPr>
          <w:rFonts w:ascii="Times New Roman" w:hAnsi="Times New Roman" w:cs="Times New Roman"/>
          <w:b/>
          <w:bCs/>
        </w:rPr>
        <w:t>30</w:t>
      </w:r>
    </w:p>
    <w:p w:rsidR="009B7D26" w:rsidRPr="00987F8B" w:rsidP="009B7D26" w14:paraId="696A3EED" w14:textId="4F22C2CD">
      <w:pPr>
        <w:tabs>
          <w:tab w:val="left" w:pos="-720"/>
        </w:tabs>
        <w:suppressAutoHyphens/>
        <w:spacing w:after="120"/>
        <w:rPr>
          <w:rFonts w:ascii="Times New Roman" w:hAnsi="Times New Roman" w:cs="Times New Roman"/>
          <w:b/>
          <w:bCs/>
        </w:rPr>
      </w:pPr>
      <w:r w:rsidRPr="00987F8B">
        <w:rPr>
          <w:rFonts w:ascii="Times New Roman" w:hAnsi="Times New Roman" w:cs="Times New Roman"/>
        </w:rPr>
        <w:tab/>
      </w:r>
      <w:r w:rsidRPr="00987F8B">
        <w:rPr>
          <w:rFonts w:ascii="Times New Roman" w:hAnsi="Times New Roman" w:cs="Times New Roman"/>
          <w:b/>
          <w:bCs/>
        </w:rPr>
        <w:t xml:space="preserve">Total Responses:  </w:t>
      </w:r>
      <w:r w:rsidRPr="00987F8B" w:rsidR="004577A5">
        <w:rPr>
          <w:rFonts w:ascii="Times New Roman" w:hAnsi="Times New Roman" w:cs="Times New Roman"/>
          <w:b/>
          <w:bCs/>
        </w:rPr>
        <w:t>30</w:t>
      </w:r>
    </w:p>
    <w:p w:rsidR="00A224EA" w:rsidRPr="00987F8B" w:rsidP="009B7D26" w14:paraId="6236245B" w14:textId="0638C4CF">
      <w:pPr>
        <w:tabs>
          <w:tab w:val="left" w:pos="-720"/>
        </w:tabs>
        <w:suppressAutoHyphens/>
        <w:spacing w:after="120"/>
        <w:rPr>
          <w:rFonts w:ascii="Times New Roman" w:hAnsi="Times New Roman" w:cs="Times New Roman"/>
        </w:rPr>
      </w:pPr>
      <w:r w:rsidRPr="00987F8B">
        <w:rPr>
          <w:rFonts w:ascii="Times New Roman" w:hAnsi="Times New Roman" w:cs="Times New Roman"/>
        </w:rPr>
        <w:tab/>
      </w:r>
      <w:r w:rsidRPr="00987F8B">
        <w:rPr>
          <w:rFonts w:ascii="Times New Roman" w:hAnsi="Times New Roman" w:cs="Times New Roman"/>
          <w:b/>
          <w:bCs/>
        </w:rPr>
        <w:t>Total In-House Costs</w:t>
      </w:r>
      <w:r w:rsidRPr="00987F8B">
        <w:rPr>
          <w:rFonts w:ascii="Times New Roman" w:hAnsi="Times New Roman" w:cs="Times New Roman"/>
        </w:rPr>
        <w:t xml:space="preserve">:  </w:t>
      </w:r>
      <w:r w:rsidRPr="00987F8B">
        <w:rPr>
          <w:rFonts w:ascii="Times New Roman" w:hAnsi="Times New Roman" w:cs="Times New Roman"/>
          <w:b/>
          <w:bCs/>
        </w:rPr>
        <w:t>$</w:t>
      </w:r>
      <w:r w:rsidRPr="00987F8B" w:rsidR="004577A5">
        <w:rPr>
          <w:rFonts w:ascii="Times New Roman" w:hAnsi="Times New Roman" w:cs="Times New Roman"/>
          <w:b/>
          <w:bCs/>
        </w:rPr>
        <w:t>4</w:t>
      </w:r>
      <w:r w:rsidRPr="00987F8B" w:rsidR="00B61DA0">
        <w:rPr>
          <w:rFonts w:ascii="Times New Roman" w:hAnsi="Times New Roman" w:cs="Times New Roman"/>
          <w:b/>
          <w:bCs/>
        </w:rPr>
        <w:t>74,474</w:t>
      </w:r>
      <w:r w:rsidRPr="00987F8B" w:rsidR="008260A4">
        <w:rPr>
          <w:rFonts w:ascii="Times New Roman" w:hAnsi="Times New Roman" w:cs="Times New Roman"/>
          <w:b/>
          <w:bCs/>
        </w:rPr>
        <w:t xml:space="preserve"> </w:t>
      </w:r>
      <w:r w:rsidRPr="00987F8B">
        <w:rPr>
          <w:rFonts w:ascii="Times New Roman" w:hAnsi="Times New Roman" w:cs="Times New Roman"/>
          <w:b/>
          <w:bCs/>
        </w:rPr>
        <w:t>+</w:t>
      </w:r>
      <w:r w:rsidRPr="00987F8B" w:rsidR="00517B9F">
        <w:rPr>
          <w:rFonts w:ascii="Times New Roman" w:hAnsi="Times New Roman" w:cs="Times New Roman"/>
          <w:b/>
          <w:bCs/>
        </w:rPr>
        <w:t xml:space="preserve"> $</w:t>
      </w:r>
      <w:r w:rsidRPr="00987F8B" w:rsidR="004577A5">
        <w:rPr>
          <w:rFonts w:ascii="Times New Roman" w:hAnsi="Times New Roman" w:cs="Times New Roman"/>
          <w:b/>
          <w:bCs/>
        </w:rPr>
        <w:t>18,750</w:t>
      </w:r>
      <w:r w:rsidRPr="00987F8B" w:rsidR="00517B9F">
        <w:rPr>
          <w:rFonts w:ascii="Times New Roman" w:hAnsi="Times New Roman" w:cs="Times New Roman"/>
          <w:b/>
          <w:bCs/>
        </w:rPr>
        <w:t xml:space="preserve"> = $</w:t>
      </w:r>
      <w:r w:rsidRPr="00987F8B" w:rsidR="001A3CFF">
        <w:rPr>
          <w:rFonts w:ascii="Times New Roman" w:hAnsi="Times New Roman" w:cs="Times New Roman"/>
          <w:b/>
          <w:bCs/>
        </w:rPr>
        <w:t>493,224.</w:t>
      </w:r>
    </w:p>
    <w:p w:rsidR="009B7D26" w:rsidRPr="00987F8B" w:rsidP="00A224EA" w14:paraId="75E09D4C" w14:textId="67989663">
      <w:pPr>
        <w:tabs>
          <w:tab w:val="left" w:pos="-720"/>
        </w:tabs>
        <w:suppressAutoHyphens/>
        <w:spacing w:after="120"/>
        <w:rPr>
          <w:rFonts w:ascii="Times New Roman" w:hAnsi="Times New Roman" w:cs="Times New Roman"/>
        </w:rPr>
      </w:pPr>
      <w:r w:rsidRPr="00987F8B">
        <w:rPr>
          <w:rFonts w:ascii="Times New Roman" w:hAnsi="Times New Roman" w:cs="Times New Roman"/>
        </w:rPr>
        <w:tab/>
      </w:r>
      <w:r w:rsidRPr="00987F8B">
        <w:rPr>
          <w:rFonts w:ascii="Times New Roman" w:hAnsi="Times New Roman" w:cs="Times New Roman"/>
          <w:b/>
          <w:bCs/>
        </w:rPr>
        <w:t>Total Annual Burden Hours</w:t>
      </w:r>
      <w:r w:rsidRPr="00987F8B">
        <w:rPr>
          <w:rFonts w:ascii="Times New Roman" w:hAnsi="Times New Roman" w:cs="Times New Roman"/>
        </w:rPr>
        <w:t xml:space="preserve">:  </w:t>
      </w:r>
      <w:r w:rsidRPr="00987F8B" w:rsidR="00B61DA0">
        <w:rPr>
          <w:rFonts w:ascii="Times New Roman" w:hAnsi="Times New Roman" w:cs="Times New Roman"/>
          <w:b/>
          <w:bCs/>
        </w:rPr>
        <w:t>7,800</w:t>
      </w:r>
      <w:r w:rsidRPr="00987F8B" w:rsidR="00A273B7">
        <w:rPr>
          <w:rFonts w:ascii="Times New Roman" w:hAnsi="Times New Roman" w:cs="Times New Roman"/>
          <w:b/>
          <w:bCs/>
        </w:rPr>
        <w:t xml:space="preserve"> </w:t>
      </w:r>
      <w:r w:rsidRPr="00987F8B">
        <w:rPr>
          <w:rFonts w:ascii="Times New Roman" w:hAnsi="Times New Roman" w:cs="Times New Roman"/>
          <w:b/>
          <w:bCs/>
        </w:rPr>
        <w:t xml:space="preserve">+ </w:t>
      </w:r>
      <w:r w:rsidRPr="00987F8B" w:rsidR="004577A5">
        <w:rPr>
          <w:rFonts w:ascii="Times New Roman" w:hAnsi="Times New Roman" w:cs="Times New Roman"/>
          <w:b/>
          <w:bCs/>
        </w:rPr>
        <w:t>150</w:t>
      </w:r>
      <w:r w:rsidRPr="00987F8B">
        <w:rPr>
          <w:rFonts w:ascii="Times New Roman" w:hAnsi="Times New Roman" w:cs="Times New Roman"/>
          <w:b/>
          <w:bCs/>
        </w:rPr>
        <w:t xml:space="preserve"> =</w:t>
      </w:r>
      <w:r w:rsidRPr="00987F8B" w:rsidR="004577A5">
        <w:rPr>
          <w:rFonts w:ascii="Times New Roman" w:hAnsi="Times New Roman" w:cs="Times New Roman"/>
          <w:b/>
          <w:bCs/>
        </w:rPr>
        <w:t xml:space="preserve"> </w:t>
      </w:r>
      <w:r w:rsidRPr="00987F8B" w:rsidR="00B61DA0">
        <w:rPr>
          <w:rFonts w:ascii="Times New Roman" w:hAnsi="Times New Roman" w:cs="Times New Roman"/>
          <w:b/>
          <w:bCs/>
        </w:rPr>
        <w:t>7,950</w:t>
      </w:r>
      <w:r w:rsidRPr="00987F8B" w:rsidR="004577A5">
        <w:rPr>
          <w:rFonts w:ascii="Times New Roman" w:hAnsi="Times New Roman" w:cs="Times New Roman"/>
          <w:b/>
          <w:bCs/>
        </w:rPr>
        <w:t xml:space="preserve"> hours</w:t>
      </w:r>
      <w:r w:rsidRPr="00987F8B" w:rsidR="0072105E">
        <w:rPr>
          <w:rFonts w:ascii="Times New Roman" w:hAnsi="Times New Roman" w:cs="Times New Roman"/>
          <w:b/>
          <w:bCs/>
        </w:rPr>
        <w:t>.</w:t>
      </w:r>
    </w:p>
    <w:p w:rsidR="00E10661" w:rsidRPr="00987F8B" w:rsidP="00213B73" w14:paraId="35B56875" w14:textId="77777777">
      <w:pPr>
        <w:spacing w:after="120"/>
        <w:ind w:firstLine="720"/>
        <w:rPr>
          <w:rFonts w:ascii="Times New Roman" w:hAnsi="Times New Roman" w:cs="Times New Roman"/>
        </w:rPr>
      </w:pPr>
      <w:r w:rsidRPr="00987F8B">
        <w:rPr>
          <w:rFonts w:ascii="Times New Roman" w:hAnsi="Times New Roman" w:cs="Times New Roman"/>
          <w:spacing w:val="-3"/>
        </w:rPr>
        <w:t>13.  E</w:t>
      </w:r>
      <w:r w:rsidRPr="00987F8B">
        <w:rPr>
          <w:rFonts w:ascii="Times New Roman" w:hAnsi="Times New Roman" w:cs="Times New Roman"/>
        </w:rPr>
        <w:t>stimated operations and maintenance (O&amp;M) costs of respondents resulting from the collection of information:</w:t>
      </w:r>
    </w:p>
    <w:p w:rsidR="00832810" w:rsidRPr="00987F8B" w:rsidP="00832810" w14:paraId="00BC6DEC" w14:textId="5AC03690">
      <w:pPr>
        <w:tabs>
          <w:tab w:val="left" w:pos="720"/>
        </w:tabs>
        <w:spacing w:after="120"/>
        <w:rPr>
          <w:rFonts w:ascii="Times New Roman" w:hAnsi="Times New Roman" w:cs="Times New Roman"/>
        </w:rPr>
      </w:pPr>
      <w:r w:rsidRPr="00987F8B">
        <w:rPr>
          <w:rFonts w:ascii="Times New Roman" w:hAnsi="Times New Roman" w:cs="Times New Roman"/>
        </w:rPr>
        <w:tab/>
        <w:t xml:space="preserve">(1)  </w:t>
      </w:r>
      <w:r w:rsidRPr="00987F8B">
        <w:rPr>
          <w:rFonts w:ascii="Times New Roman" w:hAnsi="Times New Roman" w:cs="Times New Roman"/>
          <w:u w:val="single"/>
        </w:rPr>
        <w:t>Total capital start-up costs component annualized over its expected useful life</w:t>
      </w:r>
      <w:r w:rsidRPr="00987F8B">
        <w:rPr>
          <w:rFonts w:ascii="Times New Roman" w:hAnsi="Times New Roman" w:cs="Times New Roman"/>
        </w:rPr>
        <w:t xml:space="preserve">: $0.  </w:t>
      </w:r>
    </w:p>
    <w:p w:rsidR="00E10661" w:rsidRPr="00987F8B" w:rsidP="00213B73" w14:paraId="0B7527CD" w14:textId="73BC1F20">
      <w:pPr>
        <w:tabs>
          <w:tab w:val="left" w:pos="720"/>
        </w:tabs>
        <w:spacing w:after="120"/>
        <w:ind w:left="1440"/>
        <w:rPr>
          <w:rFonts w:ascii="Times New Roman" w:hAnsi="Times New Roman" w:cs="Times New Roman"/>
        </w:rPr>
      </w:pPr>
      <w:r w:rsidRPr="00987F8B">
        <w:rPr>
          <w:rFonts w:ascii="Times New Roman" w:hAnsi="Times New Roman" w:cs="Times New Roman"/>
        </w:rPr>
        <w:t xml:space="preserve">The collections will not result in additional capital expenditures such as computers or software.  </w:t>
      </w:r>
    </w:p>
    <w:p w:rsidR="00E10661" w:rsidRPr="00987F8B" w:rsidP="00213B73" w14:paraId="2884880A" w14:textId="14886502">
      <w:pPr>
        <w:tabs>
          <w:tab w:val="left" w:pos="720"/>
        </w:tabs>
        <w:spacing w:after="120"/>
        <w:rPr>
          <w:rFonts w:ascii="Times New Roman" w:hAnsi="Times New Roman" w:cs="Times New Roman"/>
        </w:rPr>
      </w:pPr>
      <w:r w:rsidRPr="00987F8B">
        <w:rPr>
          <w:rFonts w:ascii="Times New Roman" w:hAnsi="Times New Roman" w:cs="Times New Roman"/>
        </w:rPr>
        <w:tab/>
        <w:t>(</w:t>
      </w:r>
      <w:r w:rsidRPr="00987F8B" w:rsidR="00832810">
        <w:rPr>
          <w:rFonts w:ascii="Times New Roman" w:hAnsi="Times New Roman" w:cs="Times New Roman"/>
        </w:rPr>
        <w:t>2</w:t>
      </w:r>
      <w:r w:rsidRPr="00987F8B">
        <w:rPr>
          <w:rFonts w:ascii="Times New Roman" w:hAnsi="Times New Roman" w:cs="Times New Roman"/>
        </w:rPr>
        <w:t>)</w:t>
      </w:r>
      <w:r w:rsidRPr="00987F8B" w:rsidR="00832810">
        <w:rPr>
          <w:rFonts w:ascii="Times New Roman" w:hAnsi="Times New Roman" w:cs="Times New Roman"/>
        </w:rPr>
        <w:t xml:space="preserve">  </w:t>
      </w:r>
      <w:r w:rsidRPr="00987F8B">
        <w:rPr>
          <w:rFonts w:ascii="Times New Roman" w:hAnsi="Times New Roman" w:cs="Times New Roman"/>
          <w:u w:val="single"/>
        </w:rPr>
        <w:t>Total operation and maintenance and purchase of services component</w:t>
      </w:r>
      <w:r w:rsidRPr="00987F8B">
        <w:rPr>
          <w:rFonts w:ascii="Times New Roman" w:hAnsi="Times New Roman" w:cs="Times New Roman"/>
        </w:rPr>
        <w:t>:  $0.</w:t>
      </w:r>
    </w:p>
    <w:p w:rsidR="00E10661" w:rsidRPr="00987F8B" w:rsidP="00213B73" w14:paraId="7F63B3AE" w14:textId="00FF2B74">
      <w:pPr>
        <w:tabs>
          <w:tab w:val="left" w:pos="720"/>
        </w:tabs>
        <w:spacing w:after="120"/>
        <w:rPr>
          <w:rFonts w:ascii="Times New Roman" w:hAnsi="Times New Roman" w:cs="Times New Roman"/>
        </w:rPr>
      </w:pPr>
      <w:r w:rsidRPr="00987F8B">
        <w:rPr>
          <w:rFonts w:ascii="Times New Roman" w:hAnsi="Times New Roman" w:cs="Times New Roman"/>
        </w:rPr>
        <w:tab/>
        <w:t>(</w:t>
      </w:r>
      <w:r w:rsidRPr="00987F8B" w:rsidR="00832810">
        <w:rPr>
          <w:rFonts w:ascii="Times New Roman" w:hAnsi="Times New Roman" w:cs="Times New Roman"/>
        </w:rPr>
        <w:t>3</w:t>
      </w:r>
      <w:r w:rsidRPr="00987F8B">
        <w:rPr>
          <w:rFonts w:ascii="Times New Roman" w:hAnsi="Times New Roman" w:cs="Times New Roman"/>
        </w:rPr>
        <w:t>)</w:t>
      </w:r>
      <w:r w:rsidRPr="00987F8B" w:rsidR="00832810">
        <w:rPr>
          <w:rFonts w:ascii="Times New Roman" w:hAnsi="Times New Roman" w:cs="Times New Roman"/>
        </w:rPr>
        <w:t xml:space="preserve">  </w:t>
      </w:r>
      <w:r w:rsidRPr="00987F8B">
        <w:rPr>
          <w:rFonts w:ascii="Times New Roman" w:hAnsi="Times New Roman" w:cs="Times New Roman"/>
          <w:u w:val="single"/>
        </w:rPr>
        <w:t>Total annualized cost requested</w:t>
      </w:r>
      <w:r w:rsidRPr="00987F8B">
        <w:rPr>
          <w:rFonts w:ascii="Times New Roman" w:hAnsi="Times New Roman" w:cs="Times New Roman"/>
        </w:rPr>
        <w:t xml:space="preserve">:  </w:t>
      </w:r>
      <w:r w:rsidRPr="00987F8B">
        <w:rPr>
          <w:rFonts w:ascii="Times New Roman" w:hAnsi="Times New Roman" w:cs="Times New Roman"/>
          <w:b/>
        </w:rPr>
        <w:t>$</w:t>
      </w:r>
      <w:r w:rsidRPr="00987F8B" w:rsidR="00DC40D6">
        <w:rPr>
          <w:rFonts w:ascii="Times New Roman" w:hAnsi="Times New Roman" w:cs="Times New Roman"/>
          <w:b/>
          <w:bCs/>
        </w:rPr>
        <w:t>0</w:t>
      </w:r>
      <w:r w:rsidRPr="00987F8B" w:rsidR="00DC40D6">
        <w:rPr>
          <w:rFonts w:ascii="Times New Roman" w:hAnsi="Times New Roman" w:cs="Times New Roman"/>
        </w:rPr>
        <w:t>.</w:t>
      </w:r>
    </w:p>
    <w:p w:rsidR="00E10661" w:rsidRPr="00987F8B" w:rsidP="00213B73" w14:paraId="2EF1286D" w14:textId="77777777">
      <w:pPr>
        <w:spacing w:after="120"/>
        <w:ind w:firstLine="720"/>
        <w:rPr>
          <w:rFonts w:ascii="Times New Roman" w:hAnsi="Times New Roman" w:cs="Times New Roman"/>
        </w:rPr>
      </w:pPr>
      <w:r w:rsidRPr="00987F8B">
        <w:rPr>
          <w:rFonts w:ascii="Times New Roman" w:hAnsi="Times New Roman" w:cs="Times New Roman"/>
        </w:rPr>
        <w:t xml:space="preserve">14.  There will be no additional costs to the Commission to receive these data.  In addition, the data may be submitted via the Commission’s Electronic Comment Filing System, or via the Secretary’s Office, requiring no additional Commission resources to process. </w:t>
      </w:r>
    </w:p>
    <w:p w:rsidR="007A4A37" w:rsidRPr="00987F8B" w:rsidP="00213B73" w14:paraId="1CA82C5F" w14:textId="3F29258A">
      <w:pPr>
        <w:tabs>
          <w:tab w:val="left" w:pos="720"/>
        </w:tabs>
        <w:spacing w:after="120"/>
        <w:rPr>
          <w:rFonts w:ascii="Times New Roman" w:hAnsi="Times New Roman" w:cs="Times New Roman"/>
        </w:rPr>
      </w:pPr>
      <w:r w:rsidRPr="00987F8B">
        <w:rPr>
          <w:rFonts w:ascii="Times New Roman" w:hAnsi="Times New Roman" w:cs="Times New Roman"/>
        </w:rPr>
        <w:tab/>
        <w:t xml:space="preserve">15.  This is a new information collection resulting in a program change/increase of </w:t>
      </w:r>
      <w:r w:rsidRPr="00987F8B" w:rsidR="004577A5">
        <w:rPr>
          <w:rFonts w:ascii="Times New Roman" w:hAnsi="Times New Roman" w:cs="Times New Roman"/>
          <w:b/>
          <w:bCs/>
        </w:rPr>
        <w:t xml:space="preserve">30 </w:t>
      </w:r>
      <w:r w:rsidRPr="00987F8B">
        <w:rPr>
          <w:rFonts w:ascii="Times New Roman" w:hAnsi="Times New Roman" w:cs="Times New Roman"/>
        </w:rPr>
        <w:t xml:space="preserve">respondents, </w:t>
      </w:r>
      <w:r w:rsidRPr="00987F8B" w:rsidR="004577A5">
        <w:rPr>
          <w:rFonts w:ascii="Times New Roman" w:hAnsi="Times New Roman" w:cs="Times New Roman"/>
          <w:b/>
          <w:bCs/>
        </w:rPr>
        <w:t>30</w:t>
      </w:r>
      <w:r w:rsidRPr="00987F8B">
        <w:rPr>
          <w:rFonts w:ascii="Times New Roman" w:hAnsi="Times New Roman" w:cs="Times New Roman"/>
        </w:rPr>
        <w:t xml:space="preserve"> responses, and</w:t>
      </w:r>
      <w:r w:rsidRPr="00987F8B" w:rsidR="00A735A8">
        <w:rPr>
          <w:rFonts w:ascii="Times New Roman" w:hAnsi="Times New Roman" w:cs="Times New Roman"/>
        </w:rPr>
        <w:t xml:space="preserve"> </w:t>
      </w:r>
      <w:r w:rsidRPr="00987F8B" w:rsidR="00B61DA0">
        <w:rPr>
          <w:rFonts w:ascii="Times New Roman" w:hAnsi="Times New Roman" w:cs="Times New Roman"/>
          <w:b/>
          <w:bCs/>
        </w:rPr>
        <w:t>7,950</w:t>
      </w:r>
      <w:r w:rsidRPr="00987F8B" w:rsidR="00B61DA0">
        <w:rPr>
          <w:rFonts w:ascii="Times New Roman" w:hAnsi="Times New Roman" w:cs="Times New Roman"/>
        </w:rPr>
        <w:t xml:space="preserve"> </w:t>
      </w:r>
      <w:r w:rsidR="00800ECA">
        <w:rPr>
          <w:rFonts w:ascii="Times New Roman" w:hAnsi="Times New Roman" w:cs="Times New Roman"/>
        </w:rPr>
        <w:t xml:space="preserve">total </w:t>
      </w:r>
      <w:r w:rsidR="002C6EFF">
        <w:rPr>
          <w:rFonts w:ascii="Times New Roman" w:hAnsi="Times New Roman" w:cs="Times New Roman"/>
        </w:rPr>
        <w:t>b</w:t>
      </w:r>
      <w:r w:rsidRPr="00987F8B">
        <w:rPr>
          <w:rFonts w:ascii="Times New Roman" w:hAnsi="Times New Roman" w:cs="Times New Roman"/>
        </w:rPr>
        <w:t xml:space="preserve">urden hours. </w:t>
      </w:r>
      <w:r w:rsidRPr="00987F8B" w:rsidR="00A66CBF">
        <w:rPr>
          <w:rFonts w:ascii="Times New Roman" w:hAnsi="Times New Roman" w:cs="Times New Roman"/>
        </w:rPr>
        <w:t xml:space="preserve"> </w:t>
      </w:r>
      <w:r w:rsidRPr="00987F8B" w:rsidR="006E2A47">
        <w:rPr>
          <w:rFonts w:ascii="Times New Roman" w:hAnsi="Times New Roman" w:cs="Times New Roman"/>
        </w:rPr>
        <w:t xml:space="preserve">These estimates will be added to OMB’s Active Inventory. This information collection is necessary because the Martha Wright-Reed Act contemplates an </w:t>
      </w:r>
      <w:r w:rsidRPr="00987F8B" w:rsidR="006E2A47">
        <w:rPr>
          <w:rFonts w:ascii="Times New Roman" w:hAnsi="Times New Roman" w:cs="Times New Roman"/>
        </w:rPr>
        <w:t>additional data collection by requiring or allowing the Commission to consider certain types of other costs necessary to its implementation.  Prior to the enactment of the Martha Wright-Reed Act, the Commission had sought provider data related to audio communications services provided to incarcerated persons on three occasions, as part of its ongoing efforts to establish just and reasonable rates for those services, while ensuring that providers are fairly compensated for such services.</w:t>
      </w:r>
      <w:r>
        <w:rPr>
          <w:rStyle w:val="FootnoteReference"/>
          <w:rFonts w:cs="Times New Roman"/>
        </w:rPr>
        <w:footnoteReference w:id="48"/>
      </w:r>
      <w:r w:rsidRPr="00987F8B" w:rsidR="006E2A47">
        <w:rPr>
          <w:rFonts w:ascii="Times New Roman" w:hAnsi="Times New Roman" w:cs="Times New Roman"/>
        </w:rPr>
        <w:t xml:space="preserve">  To ensure that it will have the data it needs to meet its substantive and procedural responsibilities under the Act, the Commission delegated authority to WCB and OEA to “update and restructure” its most recent data collection (the Third Mandatory Data Collection) “as appropriate in light of the requirements of the new statute.”</w:t>
      </w:r>
      <w:r>
        <w:rPr>
          <w:rStyle w:val="FootnoteReference"/>
          <w:rFonts w:cs="Times New Roman"/>
        </w:rPr>
        <w:footnoteReference w:id="49"/>
      </w:r>
      <w:r w:rsidRPr="00987F8B" w:rsidR="006E2A47">
        <w:rPr>
          <w:rFonts w:ascii="Times New Roman" w:hAnsi="Times New Roman" w:cs="Times New Roman"/>
        </w:rPr>
        <w:t xml:space="preserve"> </w:t>
      </w:r>
      <w:r w:rsidR="00775571">
        <w:rPr>
          <w:rFonts w:ascii="Times New Roman" w:hAnsi="Times New Roman" w:cs="Times New Roman"/>
        </w:rPr>
        <w:t xml:space="preserve"> </w:t>
      </w:r>
      <w:r w:rsidRPr="00987F8B" w:rsidR="006E2A47">
        <w:rPr>
          <w:rFonts w:ascii="Times New Roman" w:hAnsi="Times New Roman" w:cs="Times New Roman"/>
        </w:rPr>
        <w:t>This delegation requires that we collect “data on all incarcerated people’s communications services from all providers of those services now subject to” the Commission’s authority, including, but not limited to, requesting “more recent data for additional years not covered by the [Third Mandatory Data Collection].</w:t>
      </w:r>
      <w:r w:rsidR="009E0A37">
        <w:rPr>
          <w:rFonts w:ascii="Times New Roman" w:hAnsi="Times New Roman" w:cs="Times New Roman"/>
        </w:rPr>
        <w:t>”</w:t>
      </w:r>
      <w:r>
        <w:rPr>
          <w:rStyle w:val="FootnoteReference"/>
          <w:rFonts w:cs="Times New Roman"/>
        </w:rPr>
        <w:footnoteReference w:id="50"/>
      </w:r>
      <w:r w:rsidRPr="00987F8B">
        <w:rPr>
          <w:rFonts w:ascii="Times New Roman" w:hAnsi="Times New Roman" w:cs="Times New Roman"/>
        </w:rPr>
        <w:tab/>
      </w:r>
    </w:p>
    <w:p w:rsidR="00B60478" w:rsidRPr="00987F8B" w:rsidP="00213B73" w14:paraId="062DA566" w14:textId="5ECA31C8">
      <w:pPr>
        <w:tabs>
          <w:tab w:val="left" w:pos="720"/>
        </w:tabs>
        <w:spacing w:after="120"/>
        <w:rPr>
          <w:rFonts w:ascii="Times New Roman" w:hAnsi="Times New Roman" w:cs="Times New Roman"/>
        </w:rPr>
      </w:pPr>
      <w:r w:rsidRPr="00987F8B">
        <w:rPr>
          <w:rFonts w:ascii="Times New Roman" w:hAnsi="Times New Roman" w:cs="Times New Roman"/>
        </w:rPr>
        <w:tab/>
      </w:r>
      <w:r w:rsidRPr="00987F8B" w:rsidR="00E10661">
        <w:rPr>
          <w:rFonts w:ascii="Times New Roman" w:hAnsi="Times New Roman" w:cs="Times New Roman"/>
        </w:rPr>
        <w:t xml:space="preserve">16.  The Commission does not anticipate publishing any of the information collected.  Rather, </w:t>
      </w:r>
      <w:r w:rsidRPr="00987F8B" w:rsidR="00FE657A">
        <w:rPr>
          <w:rFonts w:ascii="Times New Roman" w:hAnsi="Times New Roman" w:cs="Times New Roman"/>
        </w:rPr>
        <w:t>any confidential information</w:t>
      </w:r>
      <w:r w:rsidRPr="00987F8B" w:rsidR="00E10661">
        <w:rPr>
          <w:rFonts w:ascii="Times New Roman" w:hAnsi="Times New Roman" w:cs="Times New Roman"/>
        </w:rPr>
        <w:t xml:space="preserve"> submitted by I</w:t>
      </w:r>
      <w:r w:rsidRPr="00987F8B" w:rsidR="001904A3">
        <w:rPr>
          <w:rFonts w:ascii="Times New Roman" w:hAnsi="Times New Roman" w:cs="Times New Roman"/>
        </w:rPr>
        <w:t>PCS</w:t>
      </w:r>
      <w:r w:rsidRPr="00987F8B" w:rsidR="00E10661">
        <w:rPr>
          <w:rFonts w:ascii="Times New Roman" w:hAnsi="Times New Roman" w:cs="Times New Roman"/>
        </w:rPr>
        <w:t xml:space="preserve"> providers will be treated </w:t>
      </w:r>
      <w:r w:rsidRPr="00987F8B" w:rsidR="00FE657A">
        <w:rPr>
          <w:rFonts w:ascii="Times New Roman" w:hAnsi="Times New Roman" w:cs="Times New Roman"/>
        </w:rPr>
        <w:t>in accordance with</w:t>
      </w:r>
      <w:r w:rsidRPr="00987F8B" w:rsidR="00E10661">
        <w:rPr>
          <w:rFonts w:ascii="Times New Roman" w:hAnsi="Times New Roman" w:cs="Times New Roman"/>
        </w:rPr>
        <w:t xml:space="preserve"> the </w:t>
      </w:r>
      <w:r w:rsidRPr="00987F8B" w:rsidR="00534B6D">
        <w:rPr>
          <w:rFonts w:ascii="Times New Roman" w:hAnsi="Times New Roman" w:cs="Times New Roman"/>
          <w:i/>
          <w:iCs/>
        </w:rPr>
        <w:t xml:space="preserve">IPCS </w:t>
      </w:r>
      <w:r w:rsidRPr="00987F8B" w:rsidR="00FE657A">
        <w:rPr>
          <w:rFonts w:ascii="Times New Roman" w:hAnsi="Times New Roman" w:cs="Times New Roman"/>
          <w:i/>
          <w:iCs/>
        </w:rPr>
        <w:t>Protective</w:t>
      </w:r>
      <w:r w:rsidRPr="00987F8B" w:rsidR="00FE657A">
        <w:rPr>
          <w:rFonts w:ascii="Times New Roman" w:hAnsi="Times New Roman" w:cs="Times New Roman"/>
        </w:rPr>
        <w:t xml:space="preserve"> </w:t>
      </w:r>
      <w:r w:rsidRPr="00987F8B" w:rsidR="00FE657A">
        <w:rPr>
          <w:rFonts w:ascii="Times New Roman" w:hAnsi="Times New Roman" w:cs="Times New Roman"/>
          <w:i/>
          <w:iCs/>
        </w:rPr>
        <w:t>Order</w:t>
      </w:r>
      <w:r w:rsidRPr="00987F8B" w:rsidR="00FE657A">
        <w:rPr>
          <w:rFonts w:ascii="Times New Roman" w:hAnsi="Times New Roman" w:cs="Times New Roman"/>
        </w:rPr>
        <w:t xml:space="preserve"> </w:t>
      </w:r>
      <w:r w:rsidRPr="00987F8B" w:rsidR="00E10661">
        <w:rPr>
          <w:rFonts w:ascii="Times New Roman" w:hAnsi="Times New Roman" w:cs="Times New Roman"/>
        </w:rPr>
        <w:t>specific to WC Docket No</w:t>
      </w:r>
      <w:r w:rsidRPr="00987F8B" w:rsidR="00574E28">
        <w:rPr>
          <w:rFonts w:ascii="Times New Roman" w:hAnsi="Times New Roman" w:cs="Times New Roman"/>
        </w:rPr>
        <w:t>s</w:t>
      </w:r>
      <w:r w:rsidRPr="00987F8B" w:rsidR="00E10661">
        <w:rPr>
          <w:rFonts w:ascii="Times New Roman" w:hAnsi="Times New Roman" w:cs="Times New Roman"/>
        </w:rPr>
        <w:t xml:space="preserve">. </w:t>
      </w:r>
      <w:r w:rsidRPr="00987F8B" w:rsidR="00574E28">
        <w:rPr>
          <w:rFonts w:ascii="Times New Roman" w:hAnsi="Times New Roman" w:cs="Times New Roman"/>
        </w:rPr>
        <w:t xml:space="preserve">23-62 and </w:t>
      </w:r>
      <w:r w:rsidRPr="00987F8B" w:rsidR="00E10661">
        <w:rPr>
          <w:rFonts w:ascii="Times New Roman" w:hAnsi="Times New Roman" w:cs="Times New Roman"/>
        </w:rPr>
        <w:t>12-375.</w:t>
      </w:r>
    </w:p>
    <w:p w:rsidR="00B60478" w:rsidRPr="00987F8B" w:rsidP="00213B73" w14:paraId="202EF985" w14:textId="77777777">
      <w:pPr>
        <w:tabs>
          <w:tab w:val="left" w:pos="720"/>
        </w:tabs>
        <w:spacing w:after="120"/>
        <w:rPr>
          <w:rFonts w:ascii="Times New Roman" w:hAnsi="Times New Roman" w:cs="Times New Roman"/>
        </w:rPr>
      </w:pPr>
      <w:r w:rsidRPr="00987F8B">
        <w:rPr>
          <w:rFonts w:ascii="Times New Roman" w:hAnsi="Times New Roman" w:cs="Times New Roman"/>
        </w:rPr>
        <w:tab/>
        <w:t>17.  The Commission is not seeking approval not to display an OMB expiration date.</w:t>
      </w:r>
    </w:p>
    <w:p w:rsidR="00D164AB" w:rsidRPr="00987F8B" w:rsidP="00F908B8" w14:paraId="53A37B99" w14:textId="75510C3C">
      <w:pPr>
        <w:tabs>
          <w:tab w:val="left" w:pos="720"/>
        </w:tabs>
        <w:spacing w:after="120"/>
        <w:rPr>
          <w:rFonts w:ascii="Times New Roman" w:hAnsi="Times New Roman" w:cs="Times New Roman"/>
        </w:rPr>
      </w:pPr>
      <w:r w:rsidRPr="00987F8B">
        <w:rPr>
          <w:rFonts w:ascii="Times New Roman" w:hAnsi="Times New Roman" w:cs="Times New Roman"/>
        </w:rPr>
        <w:tab/>
        <w:t xml:space="preserve">18.  </w:t>
      </w:r>
      <w:r w:rsidRPr="00987F8B" w:rsidR="00F908B8">
        <w:rPr>
          <w:rFonts w:ascii="Times New Roman" w:hAnsi="Times New Roman" w:cs="Times New Roman"/>
        </w:rPr>
        <w:t>Since the 60-Day Notice was published the Federal Register on May 3, 2023 (88 FR 27885), the estimated average burden per provider has increased from 23</w:t>
      </w:r>
      <w:r w:rsidRPr="00987F8B" w:rsidR="00F96A87">
        <w:rPr>
          <w:rFonts w:ascii="Times New Roman" w:hAnsi="Times New Roman" w:cs="Times New Roman"/>
        </w:rPr>
        <w:t xml:space="preserve">0 </w:t>
      </w:r>
      <w:r w:rsidRPr="00987F8B" w:rsidR="00836955">
        <w:rPr>
          <w:rFonts w:ascii="Times New Roman" w:hAnsi="Times New Roman" w:cs="Times New Roman"/>
        </w:rPr>
        <w:t xml:space="preserve">total </w:t>
      </w:r>
      <w:r w:rsidRPr="00987F8B" w:rsidR="00F908B8">
        <w:rPr>
          <w:rFonts w:ascii="Times New Roman" w:hAnsi="Times New Roman" w:cs="Times New Roman"/>
        </w:rPr>
        <w:t>hours to 26</w:t>
      </w:r>
      <w:r w:rsidRPr="00987F8B" w:rsidR="00F96A87">
        <w:rPr>
          <w:rFonts w:ascii="Times New Roman" w:hAnsi="Times New Roman" w:cs="Times New Roman"/>
        </w:rPr>
        <w:t>5</w:t>
      </w:r>
      <w:r w:rsidRPr="00987F8B" w:rsidR="00F908B8">
        <w:rPr>
          <w:rFonts w:ascii="Times New Roman" w:hAnsi="Times New Roman" w:cs="Times New Roman"/>
        </w:rPr>
        <w:t xml:space="preserve"> </w:t>
      </w:r>
      <w:r w:rsidRPr="00987F8B" w:rsidR="00836955">
        <w:rPr>
          <w:rFonts w:ascii="Times New Roman" w:hAnsi="Times New Roman" w:cs="Times New Roman"/>
        </w:rPr>
        <w:t xml:space="preserve">total </w:t>
      </w:r>
      <w:r w:rsidRPr="00987F8B" w:rsidR="00F908B8">
        <w:rPr>
          <w:rFonts w:ascii="Times New Roman" w:hAnsi="Times New Roman" w:cs="Times New Roman"/>
        </w:rPr>
        <w:t xml:space="preserve">hours, resulting in an overall increase in the total burden hours, from </w:t>
      </w:r>
      <w:r w:rsidRPr="00987F8B" w:rsidR="005024F4">
        <w:rPr>
          <w:rFonts w:ascii="Times New Roman" w:hAnsi="Times New Roman" w:cs="Times New Roman"/>
        </w:rPr>
        <w:t>6,900 to</w:t>
      </w:r>
      <w:r w:rsidRPr="00987F8B" w:rsidR="00B61DA0">
        <w:rPr>
          <w:rFonts w:ascii="Times New Roman" w:hAnsi="Times New Roman" w:cs="Times New Roman"/>
        </w:rPr>
        <w:t xml:space="preserve"> 7,950</w:t>
      </w:r>
      <w:r w:rsidRPr="00987F8B" w:rsidR="00560A23">
        <w:rPr>
          <w:rFonts w:ascii="Times New Roman" w:hAnsi="Times New Roman" w:cs="Times New Roman"/>
        </w:rPr>
        <w:t xml:space="preserve"> (+ 1,050)</w:t>
      </w:r>
      <w:r w:rsidRPr="00987F8B" w:rsidR="00F908B8">
        <w:rPr>
          <w:rFonts w:ascii="Times New Roman" w:hAnsi="Times New Roman" w:cs="Times New Roman"/>
        </w:rPr>
        <w:t>.  Th</w:t>
      </w:r>
      <w:r w:rsidRPr="00987F8B" w:rsidR="00B61DA0">
        <w:rPr>
          <w:rFonts w:ascii="Times New Roman" w:hAnsi="Times New Roman" w:cs="Times New Roman"/>
        </w:rPr>
        <w:t>is</w:t>
      </w:r>
      <w:r w:rsidRPr="00987F8B" w:rsidR="00F908B8">
        <w:rPr>
          <w:rFonts w:ascii="Times New Roman" w:hAnsi="Times New Roman" w:cs="Times New Roman"/>
        </w:rPr>
        <w:t xml:space="preserve"> change</w:t>
      </w:r>
      <w:r w:rsidRPr="00987F8B" w:rsidR="00B61DA0">
        <w:rPr>
          <w:rFonts w:ascii="Times New Roman" w:hAnsi="Times New Roman" w:cs="Times New Roman"/>
        </w:rPr>
        <w:t xml:space="preserve"> is</w:t>
      </w:r>
      <w:r w:rsidRPr="00987F8B" w:rsidR="00F908B8">
        <w:rPr>
          <w:rFonts w:ascii="Times New Roman" w:hAnsi="Times New Roman" w:cs="Times New Roman"/>
        </w:rPr>
        <w:t xml:space="preserve"> announced in the 30-Day Notice published in the Federal Register on </w:t>
      </w:r>
      <w:r w:rsidR="0003060E">
        <w:rPr>
          <w:rFonts w:ascii="Times New Roman" w:hAnsi="Times New Roman" w:cs="Times New Roman"/>
        </w:rPr>
        <w:t xml:space="preserve">August </w:t>
      </w:r>
      <w:r w:rsidR="00715630">
        <w:rPr>
          <w:rFonts w:ascii="Times New Roman" w:hAnsi="Times New Roman" w:cs="Times New Roman"/>
        </w:rPr>
        <w:t>1</w:t>
      </w:r>
      <w:r w:rsidR="0003060E">
        <w:rPr>
          <w:rFonts w:ascii="Times New Roman" w:hAnsi="Times New Roman" w:cs="Times New Roman"/>
        </w:rPr>
        <w:t xml:space="preserve">, 2023 </w:t>
      </w:r>
      <w:r w:rsidRPr="00987F8B" w:rsidR="00F908B8">
        <w:rPr>
          <w:rFonts w:ascii="Times New Roman" w:hAnsi="Times New Roman" w:cs="Times New Roman"/>
        </w:rPr>
        <w:t>(</w:t>
      </w:r>
      <w:r w:rsidRPr="00987F8B" w:rsidR="00A12468">
        <w:rPr>
          <w:rFonts w:ascii="Times New Roman" w:hAnsi="Times New Roman" w:cs="Times New Roman"/>
        </w:rPr>
        <w:t xml:space="preserve">88 FR </w:t>
      </w:r>
      <w:r w:rsidRPr="00987F8B" w:rsidR="00DF0661">
        <w:rPr>
          <w:rFonts w:ascii="Times New Roman" w:hAnsi="Times New Roman" w:cs="Times New Roman"/>
        </w:rPr>
        <w:t>50101</w:t>
      </w:r>
      <w:r w:rsidRPr="00987F8B" w:rsidR="00F908B8">
        <w:rPr>
          <w:rFonts w:ascii="Times New Roman" w:hAnsi="Times New Roman" w:cs="Times New Roman"/>
        </w:rPr>
        <w:t xml:space="preserve">), and </w:t>
      </w:r>
      <w:r w:rsidRPr="00987F8B" w:rsidR="00B61DA0">
        <w:rPr>
          <w:rFonts w:ascii="Times New Roman" w:hAnsi="Times New Roman" w:cs="Times New Roman"/>
        </w:rPr>
        <w:t>is</w:t>
      </w:r>
      <w:r w:rsidRPr="00987F8B" w:rsidR="00F908B8">
        <w:rPr>
          <w:rFonts w:ascii="Times New Roman" w:hAnsi="Times New Roman" w:cs="Times New Roman"/>
        </w:rPr>
        <w:t xml:space="preserve"> reflected in this submission to OMB.</w:t>
      </w:r>
    </w:p>
    <w:p w:rsidR="0023228E" w:rsidRPr="00987F8B" w:rsidP="00213B73" w14:paraId="0C84A32A" w14:textId="409A0B20">
      <w:pPr>
        <w:tabs>
          <w:tab w:val="left" w:pos="720"/>
        </w:tabs>
        <w:spacing w:after="120"/>
        <w:rPr>
          <w:rFonts w:ascii="Times New Roman" w:hAnsi="Times New Roman" w:cs="Times New Roman"/>
        </w:rPr>
      </w:pPr>
      <w:r w:rsidRPr="00987F8B">
        <w:rPr>
          <w:rFonts w:ascii="Times New Roman" w:hAnsi="Times New Roman" w:cs="Times New Roman"/>
        </w:rPr>
        <w:t>There are no</w:t>
      </w:r>
      <w:r w:rsidRPr="00987F8B" w:rsidR="001B0CE3">
        <w:rPr>
          <w:rFonts w:ascii="Times New Roman" w:hAnsi="Times New Roman" w:cs="Times New Roman"/>
        </w:rPr>
        <w:t xml:space="preserve"> </w:t>
      </w:r>
      <w:r w:rsidRPr="00987F8B" w:rsidR="00F908B8">
        <w:rPr>
          <w:rFonts w:ascii="Times New Roman" w:hAnsi="Times New Roman" w:cs="Times New Roman"/>
        </w:rPr>
        <w:t xml:space="preserve">other </w:t>
      </w:r>
      <w:r w:rsidRPr="00987F8B">
        <w:rPr>
          <w:rFonts w:ascii="Times New Roman" w:hAnsi="Times New Roman" w:cs="Times New Roman"/>
        </w:rPr>
        <w:t>exceptions to the Certification Statement.</w:t>
      </w:r>
    </w:p>
    <w:p w:rsidR="00E10661" w:rsidRPr="00987F8B" w:rsidP="00213B73" w14:paraId="57743FB3" w14:textId="775EB846">
      <w:pPr>
        <w:spacing w:after="120"/>
        <w:rPr>
          <w:rFonts w:ascii="Times New Roman" w:hAnsi="Times New Roman" w:cs="Times New Roman"/>
          <w:b/>
        </w:rPr>
      </w:pPr>
      <w:r w:rsidRPr="00987F8B">
        <w:rPr>
          <w:rFonts w:ascii="Times New Roman" w:hAnsi="Times New Roman" w:cs="Times New Roman"/>
          <w:b/>
        </w:rPr>
        <w:t xml:space="preserve">B.  </w:t>
      </w:r>
      <w:r w:rsidRPr="00987F8B">
        <w:rPr>
          <w:rFonts w:ascii="Times New Roman" w:hAnsi="Times New Roman" w:cs="Times New Roman"/>
          <w:b/>
        </w:rPr>
        <w:tab/>
      </w:r>
      <w:r w:rsidRPr="00987F8B">
        <w:rPr>
          <w:rFonts w:ascii="Times New Roman" w:hAnsi="Times New Roman" w:cs="Times New Roman"/>
          <w:b/>
          <w:u w:val="single"/>
        </w:rPr>
        <w:t>Collections of Information Employing Statistical Methods</w:t>
      </w:r>
    </w:p>
    <w:p w:rsidR="00E10661" w:rsidRPr="00987F8B" w:rsidP="00213B73" w14:paraId="59978CF1" w14:textId="3DEBCF34">
      <w:pPr>
        <w:tabs>
          <w:tab w:val="left" w:pos="720"/>
        </w:tabs>
        <w:spacing w:after="120"/>
        <w:rPr>
          <w:rFonts w:ascii="Times New Roman" w:hAnsi="Times New Roman" w:cs="Times New Roman"/>
          <w:bCs/>
        </w:rPr>
      </w:pPr>
      <w:r w:rsidRPr="00987F8B">
        <w:rPr>
          <w:rFonts w:ascii="Times New Roman" w:hAnsi="Times New Roman" w:cs="Times New Roman"/>
          <w:b/>
        </w:rPr>
        <w:tab/>
      </w:r>
      <w:r w:rsidRPr="00987F8B" w:rsidR="009E4916">
        <w:rPr>
          <w:rFonts w:ascii="Times New Roman" w:hAnsi="Times New Roman" w:cs="Times New Roman"/>
          <w:bCs/>
        </w:rPr>
        <w:t>The Commission does not anticipate that the collection of information will employ statistical methods.</w:t>
      </w:r>
    </w:p>
    <w:p w:rsidR="00A94885" w:rsidRPr="00987F8B" w14:paraId="2606D33E" w14:textId="77777777">
      <w:pPr>
        <w:rPr>
          <w:rFonts w:ascii="Times New Roman" w:hAnsi="Times New Roman" w:cs="Times New Roman"/>
        </w:rPr>
      </w:pPr>
    </w:p>
    <w:sectPr w:rsidSect="00696EA3">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EA3" w:rsidP="00776D8D" w14:paraId="6106EA0B" w14:textId="093D56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002">
      <w:rPr>
        <w:rStyle w:val="PageNumber"/>
        <w:noProof/>
      </w:rPr>
      <w:t>2</w:t>
    </w:r>
    <w:r>
      <w:rPr>
        <w:rStyle w:val="PageNumber"/>
      </w:rPr>
      <w:fldChar w:fldCharType="end"/>
    </w:r>
  </w:p>
  <w:p w:rsidR="00696EA3" w:rsidP="00313CF9" w14:paraId="614D8D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28857938"/>
      <w:docPartObj>
        <w:docPartGallery w:val="Page Numbers (Bottom of Page)"/>
        <w:docPartUnique/>
      </w:docPartObj>
    </w:sdtPr>
    <w:sdtEndPr>
      <w:rPr>
        <w:rStyle w:val="PageNumber"/>
      </w:rPr>
    </w:sdtEndPr>
    <w:sdtContent>
      <w:p w:rsidR="00313CF9" w:rsidRPr="00FA7B36" w:rsidP="00776D8D" w14:paraId="1E768780" w14:textId="77777777">
        <w:pPr>
          <w:pStyle w:val="Footer"/>
          <w:framePr w:wrap="none" w:vAnchor="text" w:hAnchor="margin" w:xAlign="center" w:y="1"/>
          <w:rPr>
            <w:rStyle w:val="PageNumber"/>
          </w:rPr>
        </w:pPr>
        <w:r w:rsidRPr="004E1A67">
          <w:rPr>
            <w:rStyle w:val="PageNumber"/>
            <w:rFonts w:ascii="Times New Roman" w:hAnsi="Times New Roman" w:cs="Times New Roman"/>
          </w:rPr>
          <w:fldChar w:fldCharType="begin"/>
        </w:r>
        <w:r w:rsidRPr="004E1A67">
          <w:rPr>
            <w:rStyle w:val="PageNumber"/>
            <w:rFonts w:ascii="Times New Roman" w:hAnsi="Times New Roman" w:cs="Times New Roman"/>
          </w:rPr>
          <w:instrText xml:space="preserve"> PAGE </w:instrText>
        </w:r>
        <w:r w:rsidRPr="004E1A67">
          <w:rPr>
            <w:rStyle w:val="PageNumber"/>
            <w:rFonts w:ascii="Times New Roman" w:hAnsi="Times New Roman" w:cs="Times New Roman"/>
          </w:rPr>
          <w:fldChar w:fldCharType="separate"/>
        </w:r>
        <w:r w:rsidRPr="004E1A67">
          <w:rPr>
            <w:rStyle w:val="PageNumber"/>
            <w:rFonts w:ascii="Times New Roman" w:hAnsi="Times New Roman" w:cs="Times New Roman"/>
            <w:noProof/>
          </w:rPr>
          <w:t>3</w:t>
        </w:r>
        <w:r w:rsidRPr="004E1A67">
          <w:rPr>
            <w:rStyle w:val="PageNumber"/>
            <w:rFonts w:ascii="Times New Roman" w:hAnsi="Times New Roman" w:cs="Times New Roman"/>
          </w:rPr>
          <w:fldChar w:fldCharType="end"/>
        </w:r>
      </w:p>
    </w:sdtContent>
  </w:sdt>
  <w:p w:rsidR="00696EA3" w:rsidRPr="00FA7B36" w:rsidP="00313CF9" w14:paraId="4438F345" w14:textId="21D69BC5">
    <w:pPr>
      <w:pStyle w:val="Footer"/>
      <w:ind w:right="360"/>
      <w:jc w:val="center"/>
    </w:pPr>
  </w:p>
  <w:p w:rsidR="00696EA3" w14:paraId="57D979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BF4" w:rsidP="00E10661" w14:paraId="22ABA007" w14:textId="77777777">
      <w:r>
        <w:separator/>
      </w:r>
    </w:p>
  </w:footnote>
  <w:footnote w:type="continuationSeparator" w:id="1">
    <w:p w:rsidR="00A97BF4" w:rsidP="00E10661" w14:paraId="4B104796" w14:textId="77777777">
      <w:r>
        <w:continuationSeparator/>
      </w:r>
    </w:p>
  </w:footnote>
  <w:footnote w:type="continuationNotice" w:id="2">
    <w:p w:rsidR="00A97BF4" w14:paraId="23A80565" w14:textId="77777777"/>
  </w:footnote>
  <w:footnote w:id="3">
    <w:p w:rsidR="001D7B29" w:rsidP="001D7B29" w14:paraId="7545415E" w14:textId="77777777">
      <w:pPr>
        <w:pStyle w:val="FootnoteText"/>
      </w:pPr>
      <w:r>
        <w:rPr>
          <w:rStyle w:val="FootnoteReference"/>
        </w:rPr>
        <w:footnoteRef/>
      </w:r>
      <w:r>
        <w:t xml:space="preserve"> </w:t>
      </w:r>
      <w:r w:rsidRPr="00620A54">
        <w:t>Martha Wright-Reed Just and Reasonable Communications Act of 2022, Pub. L. No. 117-338, 136 Stat. 6156 (Martha Wright-Reed Act or Act); 47 U.S.C. §§ 152(b), 153(1)(E), 276(b)(1)(A), (d)</w:t>
      </w:r>
      <w:r>
        <w:t xml:space="preserve">.  </w:t>
      </w:r>
    </w:p>
  </w:footnote>
  <w:footnote w:id="4">
    <w:p w:rsidR="001D7B29" w:rsidRPr="00620A54" w:rsidP="001D7B29" w14:paraId="7CE9A868" w14:textId="2BBD8014">
      <w:pPr>
        <w:pStyle w:val="FootnoteText"/>
      </w:pPr>
      <w:r w:rsidRPr="0049397B">
        <w:rPr>
          <w:rStyle w:val="FootnoteReference"/>
        </w:rPr>
        <w:footnoteRef/>
      </w:r>
      <w:r w:rsidRPr="00620A54">
        <w:t xml:space="preserve"> </w:t>
      </w:r>
      <w:r w:rsidR="00EE0AAE">
        <w:t>Martha Wr</w:t>
      </w:r>
      <w:r w:rsidR="00EF23F9">
        <w:t xml:space="preserve">ight-Reed Act at </w:t>
      </w:r>
      <w:r w:rsidRPr="00620A54">
        <w:t>§ 2(a)(2), (b).</w:t>
      </w:r>
      <w:r>
        <w:t xml:space="preserve">  </w:t>
      </w:r>
    </w:p>
  </w:footnote>
  <w:footnote w:id="5">
    <w:p w:rsidR="001D7B29" w:rsidP="001D7B29" w14:paraId="2AEEA853" w14:textId="410719AC">
      <w:pPr>
        <w:pStyle w:val="FootnoteText"/>
      </w:pPr>
      <w:r w:rsidRPr="0049397B">
        <w:rPr>
          <w:rStyle w:val="FootnoteReference"/>
        </w:rPr>
        <w:footnoteRef/>
      </w:r>
      <w:r>
        <w:t xml:space="preserve"> </w:t>
      </w:r>
      <w:r w:rsidRPr="00EF23F9" w:rsidR="00EE0AAE">
        <w:rPr>
          <w:i/>
          <w:iCs/>
        </w:rPr>
        <w:t>Id</w:t>
      </w:r>
      <w:r w:rsidR="00EE0AAE">
        <w:t xml:space="preserve">. at </w:t>
      </w:r>
      <w:r>
        <w:t xml:space="preserve">§ 2(c).  </w:t>
      </w:r>
    </w:p>
  </w:footnote>
  <w:footnote w:id="6">
    <w:p w:rsidR="001D7B29" w:rsidRPr="00620A54" w:rsidP="001D7B29" w14:paraId="20BC4C73" w14:textId="2592F237">
      <w:pPr>
        <w:pStyle w:val="FootnoteText"/>
      </w:pPr>
      <w:r w:rsidRPr="0049397B">
        <w:rPr>
          <w:rStyle w:val="FootnoteReference"/>
        </w:rPr>
        <w:footnoteRef/>
      </w:r>
      <w:r w:rsidRPr="00620A54">
        <w:t xml:space="preserve"> </w:t>
      </w:r>
      <w:r w:rsidRPr="00EF23F9" w:rsidR="00EE0AAE">
        <w:rPr>
          <w:i/>
          <w:iCs/>
        </w:rPr>
        <w:t>Id</w:t>
      </w:r>
      <w:r w:rsidR="00EE0AAE">
        <w:t xml:space="preserve">. at </w:t>
      </w:r>
      <w:r w:rsidRPr="00620A54">
        <w:t>§</w:t>
      </w:r>
      <w:r>
        <w:t>§ 2,</w:t>
      </w:r>
      <w:r w:rsidRPr="00620A54">
        <w:t> 3(a)</w:t>
      </w:r>
      <w:r>
        <w:t xml:space="preserve">; 47 U.S.C. </w:t>
      </w:r>
      <w:r w:rsidRPr="00620A54">
        <w:t>§ </w:t>
      </w:r>
      <w:r>
        <w:t>276(b)(1)(A).</w:t>
      </w:r>
    </w:p>
  </w:footnote>
  <w:footnote w:id="7">
    <w:p w:rsidR="001D7B29" w:rsidRPr="00620A54" w:rsidP="001D7B29" w14:paraId="72CD9883" w14:textId="7B37D55A">
      <w:pPr>
        <w:pStyle w:val="FootnoteText"/>
      </w:pPr>
      <w:r w:rsidRPr="0049397B">
        <w:rPr>
          <w:rStyle w:val="FootnoteReference"/>
        </w:rPr>
        <w:footnoteRef/>
      </w:r>
      <w:r w:rsidR="00EE0AAE">
        <w:t xml:space="preserve"> </w:t>
      </w:r>
      <w:r w:rsidRPr="00620A54">
        <w:t>Martha Wright-Reed Act § 3(b)(2).</w:t>
      </w:r>
    </w:p>
  </w:footnote>
  <w:footnote w:id="8">
    <w:p w:rsidR="001D7B29" w:rsidRPr="00620A54" w:rsidP="001D7B29" w14:paraId="5460D765" w14:textId="1CF95618">
      <w:pPr>
        <w:pStyle w:val="FootnoteText"/>
      </w:pPr>
      <w:r w:rsidRPr="0049397B">
        <w:rPr>
          <w:rStyle w:val="FootnoteReference"/>
        </w:rPr>
        <w:footnoteRef/>
      </w:r>
      <w:r w:rsidRPr="00620A54">
        <w:t xml:space="preserve"> </w:t>
      </w:r>
      <w:r w:rsidRPr="00EF23F9" w:rsidR="00EE0AAE">
        <w:rPr>
          <w:i/>
          <w:iCs/>
        </w:rPr>
        <w:t>Id</w:t>
      </w:r>
      <w:r w:rsidR="00EE0AAE">
        <w:t xml:space="preserve">. at </w:t>
      </w:r>
      <w:r w:rsidRPr="00620A54">
        <w:t>§ 3(b)(1).</w:t>
      </w:r>
    </w:p>
  </w:footnote>
  <w:footnote w:id="9">
    <w:p w:rsidR="001D7B29" w:rsidP="001D7B29" w14:paraId="223416A2" w14:textId="1DA15CF0">
      <w:pPr>
        <w:pStyle w:val="FootnoteText"/>
      </w:pPr>
      <w:r w:rsidRPr="0049397B">
        <w:rPr>
          <w:rStyle w:val="FootnoteReference"/>
        </w:rPr>
        <w:footnoteRef/>
      </w:r>
      <w:r>
        <w:t xml:space="preserve"> </w:t>
      </w:r>
      <w:r w:rsidRPr="00DD2DBE">
        <w:rPr>
          <w:i/>
          <w:iCs/>
        </w:rPr>
        <w:t>Rates for Interstate Inmate Calling Services</w:t>
      </w:r>
      <w:r>
        <w:t>, WC Docket No. 12</w:t>
      </w:r>
      <w:r>
        <w:noBreakHyphen/>
        <w:t xml:space="preserve">375, Report and Order and Further Notice of Proposed Rulemaking, 28 FCC Rcd 14107, 14172-73, paras. 124-26 (2013) (adopting the First Mandatory Data Collection); </w:t>
      </w:r>
      <w:r w:rsidRPr="00D521B1">
        <w:rPr>
          <w:i/>
          <w:iCs/>
        </w:rPr>
        <w:t>Rates for Interstate Inmate Calling Services</w:t>
      </w:r>
      <w:r>
        <w:t>, WC Docket No. 12-375, Second Report and Order and Third Further Notice of Proposed Rulemaking, 30 FCC Rcd 12763, 12862, para. 198 (2015) (adopting</w:t>
      </w:r>
      <w:r w:rsidRPr="007E5A0F">
        <w:t xml:space="preserve"> the </w:t>
      </w:r>
      <w:r>
        <w:t>Second Mandatory Data Collection)</w:t>
      </w:r>
      <w:r>
        <w:rPr>
          <w:iCs/>
        </w:rPr>
        <w:t xml:space="preserve">; </w:t>
      </w:r>
      <w:r w:rsidRPr="00EF52E4">
        <w:rPr>
          <w:i/>
          <w:iCs/>
        </w:rPr>
        <w:t>Rates for Interstate Inmate Calling Services</w:t>
      </w:r>
      <w:r w:rsidRPr="00EF52E4">
        <w:t xml:space="preserve">, WC Docket No. 12-375, Third Report and Order, Order on Reconsideration, and Fifth Further Notice of Proposed Rulemaking, </w:t>
      </w:r>
      <w:r>
        <w:t>36 FCC Rcd 9519, 9619-20, para. 221</w:t>
      </w:r>
      <w:r w:rsidRPr="00EF52E4">
        <w:t xml:space="preserve"> (2021) (</w:t>
      </w:r>
      <w:r>
        <w:rPr>
          <w:i/>
          <w:iCs/>
        </w:rPr>
        <w:t>2021 ICS Order</w:t>
      </w:r>
      <w:r w:rsidRPr="003865B5">
        <w:t>)</w:t>
      </w:r>
      <w:r w:rsidRPr="00E00DBF">
        <w:t xml:space="preserve"> </w:t>
      </w:r>
      <w:r>
        <w:t>(adopting</w:t>
      </w:r>
      <w:r w:rsidRPr="007E5A0F">
        <w:t xml:space="preserve"> the </w:t>
      </w:r>
      <w:r>
        <w:t>Third Mandatory Data Collection)</w:t>
      </w:r>
      <w:r w:rsidRPr="00ED7AFE">
        <w:t>.</w:t>
      </w:r>
    </w:p>
  </w:footnote>
  <w:footnote w:id="10">
    <w:p w:rsidR="001D7B29" w:rsidP="001D7B29" w14:paraId="43550FA1" w14:textId="141AFB99">
      <w:pPr>
        <w:pStyle w:val="FootnoteText"/>
      </w:pPr>
      <w:r w:rsidRPr="0049397B">
        <w:rPr>
          <w:rStyle w:val="FootnoteReference"/>
        </w:rPr>
        <w:footnoteRef/>
      </w:r>
      <w:r>
        <w:t xml:space="preserve"> </w:t>
      </w:r>
      <w:r w:rsidRPr="0005535D">
        <w:rPr>
          <w:i/>
          <w:iCs/>
        </w:rPr>
        <w:t>Incarcerated People’s Communications Services</w:t>
      </w:r>
      <w:r w:rsidRPr="0049397B">
        <w:t>;</w:t>
      </w:r>
      <w:r w:rsidRPr="0005535D">
        <w:rPr>
          <w:i/>
          <w:iCs/>
        </w:rPr>
        <w:t xml:space="preserve"> Implementation of the Martha Wright-Reed Act</w:t>
      </w:r>
      <w:r w:rsidRPr="0049397B">
        <w:t>;</w:t>
      </w:r>
      <w:r>
        <w:rPr>
          <w:i/>
          <w:iCs/>
        </w:rPr>
        <w:t xml:space="preserve"> Rates for Interstate Inmate Calling Services</w:t>
      </w:r>
      <w:r>
        <w:t xml:space="preserve">, WC Docket Nos. 23-62, 12-375, </w:t>
      </w:r>
      <w:r w:rsidRPr="0005535D">
        <w:t>Notice of Proposed Rulemaking</w:t>
      </w:r>
      <w:r>
        <w:t xml:space="preserve"> and Order, FCC 23-19, at 33, para. 84 (2023) (</w:t>
      </w:r>
      <w:r>
        <w:rPr>
          <w:i/>
          <w:iCs/>
        </w:rPr>
        <w:t>2023 IPCS Order</w:t>
      </w:r>
      <w:r>
        <w:t>).</w:t>
      </w:r>
    </w:p>
  </w:footnote>
  <w:footnote w:id="11">
    <w:p w:rsidR="001D7B29" w:rsidP="001D7B29" w14:paraId="314577F8" w14:textId="0589E532">
      <w:pPr>
        <w:pStyle w:val="FootnoteText"/>
      </w:pPr>
      <w:r w:rsidRPr="0049397B">
        <w:rPr>
          <w:rStyle w:val="FootnoteReference"/>
        </w:rPr>
        <w:footnoteRef/>
      </w:r>
      <w:r>
        <w:t xml:space="preserve"> </w:t>
      </w:r>
      <w:r w:rsidRPr="4B988647">
        <w:rPr>
          <w:i/>
          <w:iCs/>
        </w:rPr>
        <w:t>2023 IPCS Order</w:t>
      </w:r>
      <w:r>
        <w:t xml:space="preserve"> at 33-34, paras. 84-85.</w:t>
      </w:r>
      <w:r w:rsidRPr="00A77767">
        <w:t xml:space="preserve"> </w:t>
      </w:r>
      <w:r>
        <w:t xml:space="preserve"> The Commission </w:t>
      </w:r>
      <w:r w:rsidRPr="00A01B32">
        <w:t>direct</w:t>
      </w:r>
      <w:r>
        <w:t>ed</w:t>
      </w:r>
      <w:r w:rsidRPr="00A01B32">
        <w:t xml:space="preserve"> </w:t>
      </w:r>
      <w:r w:rsidR="00502DF3">
        <w:t>WCB and OEA</w:t>
      </w:r>
      <w:r w:rsidRPr="00A01B32">
        <w:t xml:space="preserve"> to </w:t>
      </w:r>
      <w:r>
        <w:t xml:space="preserve">“implement </w:t>
      </w:r>
      <w:r w:rsidRPr="00A01B32">
        <w:t>any appropriate modifications</w:t>
      </w:r>
      <w:r>
        <w:t>”</w:t>
      </w:r>
      <w:r w:rsidRPr="00A01B32">
        <w:t xml:space="preserve"> to </w:t>
      </w:r>
      <w:r>
        <w:t>the Third Mandatory D</w:t>
      </w:r>
      <w:r w:rsidRPr="00A01B32">
        <w:t xml:space="preserve">ata </w:t>
      </w:r>
      <w:r>
        <w:t>C</w:t>
      </w:r>
      <w:r w:rsidRPr="00A01B32">
        <w:t>ollection</w:t>
      </w:r>
      <w:r>
        <w:t xml:space="preserve">, including updating </w:t>
      </w:r>
      <w:r w:rsidRPr="00A01B32">
        <w:t>the instructions</w:t>
      </w:r>
      <w:r>
        <w:t xml:space="preserve"> and</w:t>
      </w:r>
      <w:r w:rsidRPr="00A01B32">
        <w:t xml:space="preserve"> </w:t>
      </w:r>
      <w:r>
        <w:t xml:space="preserve">reporting </w:t>
      </w:r>
      <w:r w:rsidRPr="00A01B32">
        <w:t xml:space="preserve">template </w:t>
      </w:r>
      <w:r>
        <w:t>for that collection, “</w:t>
      </w:r>
      <w:r w:rsidRPr="00A01B32">
        <w:t>to the extent appropriate to timely collect</w:t>
      </w:r>
      <w:r>
        <w:t xml:space="preserve"> . . .</w:t>
      </w:r>
      <w:r w:rsidRPr="00A01B32">
        <w:t xml:space="preserve"> information to cover the additional services and providers now subject to </w:t>
      </w:r>
      <w:r>
        <w:t>[the Commission’s]</w:t>
      </w:r>
      <w:r w:rsidRPr="00A01B32">
        <w:t xml:space="preserve"> authority</w:t>
      </w:r>
      <w:r>
        <w:t xml:space="preserve">.”  </w:t>
      </w:r>
      <w:r w:rsidR="00F439CF">
        <w:rPr>
          <w:i/>
          <w:iCs/>
        </w:rPr>
        <w:t>Id.</w:t>
      </w:r>
      <w:r>
        <w:t xml:space="preserve"> at 33-34, para. 85.  </w:t>
      </w:r>
    </w:p>
  </w:footnote>
  <w:footnote w:id="12">
    <w:p w:rsidR="001D7B29" w:rsidRPr="00EF52E4" w:rsidP="001D7B29" w14:paraId="51182ED3" w14:textId="2A4BF17C">
      <w:pPr>
        <w:pStyle w:val="FootnoteText"/>
      </w:pPr>
      <w:r w:rsidRPr="00EF52E4">
        <w:rPr>
          <w:rStyle w:val="FootnoteReference"/>
        </w:rPr>
        <w:footnoteRef/>
      </w:r>
      <w:r w:rsidRPr="00EF52E4">
        <w:t xml:space="preserve"> </w:t>
      </w:r>
      <w:r w:rsidRPr="005C048A" w:rsidR="005C048A">
        <w:rPr>
          <w:i/>
          <w:iCs/>
        </w:rPr>
        <w:t>WCB and OEA Seek Comment on Proposed 2023 Mandatory Data Collection for Incarcerated People’s Communication Services</w:t>
      </w:r>
      <w:r w:rsidRPr="005C048A" w:rsidR="005C048A">
        <w:t>, WC Docket Nos. 23-62, 12-375, Public Notice, DA 23-355 (WCB/</w:t>
      </w:r>
      <w:r w:rsidR="00502DF3">
        <w:t>OEA</w:t>
      </w:r>
      <w:r w:rsidRPr="005C048A" w:rsidR="005C048A">
        <w:t xml:space="preserve"> Apr. 28, 2023) (</w:t>
      </w:r>
      <w:r w:rsidR="003B1346">
        <w:rPr>
          <w:i/>
          <w:iCs/>
        </w:rPr>
        <w:t xml:space="preserve">2023 MDC Public Notice </w:t>
      </w:r>
      <w:r w:rsidR="003B1346">
        <w:t xml:space="preserve">or </w:t>
      </w:r>
      <w:r w:rsidRPr="00545998" w:rsidR="005C048A">
        <w:rPr>
          <w:i/>
          <w:iCs/>
        </w:rPr>
        <w:t>Public Notice</w:t>
      </w:r>
      <w:r w:rsidRPr="005C048A" w:rsidR="005C048A">
        <w:t>).</w:t>
      </w:r>
      <w:r w:rsidR="005C048A">
        <w:t xml:space="preserve"> </w:t>
      </w:r>
    </w:p>
  </w:footnote>
  <w:footnote w:id="13">
    <w:p w:rsidR="001D7B29" w:rsidRPr="00921609" w:rsidP="001D7B29" w14:paraId="27C9244E" w14:textId="77777777">
      <w:pPr>
        <w:pStyle w:val="FootnoteText"/>
        <w:rPr>
          <w:lang w:eastAsia="ko-KR"/>
        </w:rPr>
      </w:pPr>
      <w:r w:rsidRPr="00EF52E4">
        <w:rPr>
          <w:rStyle w:val="FootnoteReference"/>
        </w:rPr>
        <w:footnoteRef/>
      </w:r>
      <w:r w:rsidRPr="00EF52E4">
        <w:t xml:space="preserve"> </w:t>
      </w:r>
      <w:r>
        <w:t xml:space="preserve">Federal Communications Commission, Information Collection Being Reviewed by the </w:t>
      </w:r>
      <w:r w:rsidRPr="00EF52E4">
        <w:t xml:space="preserve">Federal Communications Commission, </w:t>
      </w:r>
      <w:r w:rsidRPr="00D545A2">
        <w:t>88 Fed. Reg. 27</w:t>
      </w:r>
      <w:r>
        <w:t>885</w:t>
      </w:r>
      <w:r w:rsidRPr="00D545A2">
        <w:t xml:space="preserve"> (</w:t>
      </w:r>
      <w:r>
        <w:t>May 3,</w:t>
      </w:r>
      <w:r w:rsidRPr="00EF52E4">
        <w:t xml:space="preserve"> 202</w:t>
      </w:r>
      <w:r>
        <w:t>3</w:t>
      </w:r>
      <w:r w:rsidRPr="00EF52E4">
        <w:t>)</w:t>
      </w:r>
      <w:r>
        <w:t>.</w:t>
      </w:r>
      <w:r w:rsidRPr="00EF52E4">
        <w:t xml:space="preserve">  </w:t>
      </w:r>
    </w:p>
  </w:footnote>
  <w:footnote w:id="14">
    <w:p w:rsidR="001D7B29" w:rsidP="001D7B29" w14:paraId="2AB6D2AD" w14:textId="77777777">
      <w:pPr>
        <w:pStyle w:val="FootnoteText"/>
      </w:pPr>
      <w:r>
        <w:rPr>
          <w:rStyle w:val="FootnoteReference"/>
        </w:rPr>
        <w:footnoteRef/>
      </w:r>
      <w:r>
        <w:t xml:space="preserve"> </w:t>
      </w:r>
      <w:r>
        <w:t>ViaPath</w:t>
      </w:r>
      <w:r>
        <w:t xml:space="preserve"> Paperwork Reduction Act Comments (filed July 3, 2023) (</w:t>
      </w:r>
      <w:r>
        <w:t>ViaPath</w:t>
      </w:r>
      <w:r>
        <w:t xml:space="preserve"> PRA Comments).</w:t>
      </w:r>
    </w:p>
  </w:footnote>
  <w:footnote w:id="15">
    <w:p w:rsidR="00A608C1" w:rsidP="00A608C1" w14:paraId="02D47D53" w14:textId="1782C10F">
      <w:pPr>
        <w:pStyle w:val="FootnoteText"/>
      </w:pPr>
      <w:r>
        <w:rPr>
          <w:rStyle w:val="FootnoteReference"/>
        </w:rPr>
        <w:footnoteRef/>
      </w:r>
      <w:r>
        <w:t xml:space="preserve"> The reporting template consists of a Word document and Excel </w:t>
      </w:r>
      <w:r w:rsidR="00DC176F">
        <w:t>worksheets</w:t>
      </w:r>
      <w:r>
        <w:t>.  For simplicity, we refer to these respective portions of the reporting template as the Word template and the Excel template.</w:t>
      </w:r>
    </w:p>
  </w:footnote>
  <w:footnote w:id="16">
    <w:p w:rsidR="000A35BE" w14:paraId="79955D67" w14:textId="74F8D551">
      <w:pPr>
        <w:pStyle w:val="FootnoteText"/>
      </w:pPr>
      <w:r>
        <w:rPr>
          <w:rStyle w:val="FootnoteReference"/>
        </w:rPr>
        <w:footnoteRef/>
      </w:r>
      <w:r>
        <w:t xml:space="preserve"> </w:t>
      </w:r>
      <w:r w:rsidRPr="00275799" w:rsidR="0044259C">
        <w:rPr>
          <w:i/>
          <w:iCs/>
        </w:rPr>
        <w:t xml:space="preserve">See </w:t>
      </w:r>
      <w:r w:rsidRPr="0083078D" w:rsidR="0044259C">
        <w:rPr>
          <w:i/>
          <w:iCs/>
        </w:rPr>
        <w:t>Incarcerated People’s Communications Services; Implementation of the Martha Wright-Reed Act</w:t>
      </w:r>
      <w:r w:rsidR="0044259C">
        <w:rPr>
          <w:i/>
          <w:iCs/>
        </w:rPr>
        <w:t>; Rates for Interstate Inmate Callin</w:t>
      </w:r>
      <w:r w:rsidRPr="0083078D" w:rsidR="0044259C">
        <w:rPr>
          <w:i/>
          <w:iCs/>
        </w:rPr>
        <w:t>g Services</w:t>
      </w:r>
      <w:r w:rsidR="0044259C">
        <w:t>, WC Docket Nos. 23-62 and 12-375, Order, DA-</w:t>
      </w:r>
      <w:r w:rsidR="0020071C">
        <w:t>23-638</w:t>
      </w:r>
      <w:r w:rsidR="0044259C">
        <w:t xml:space="preserve"> (WCB/OEA July 26, 2023) </w:t>
      </w:r>
      <w:r w:rsidRPr="00F620CD" w:rsidR="0044259C">
        <w:rPr>
          <w:i/>
        </w:rPr>
        <w:t>2023</w:t>
      </w:r>
      <w:r w:rsidR="0044259C">
        <w:rPr>
          <w:i/>
          <w:iCs/>
        </w:rPr>
        <w:t xml:space="preserve"> MDC Adoption Order </w:t>
      </w:r>
      <w:r w:rsidR="0044259C">
        <w:t>at 3, para. 8 (</w:t>
      </w:r>
      <w:r w:rsidRPr="002C2B2C" w:rsidR="0044259C">
        <w:rPr>
          <w:i/>
        </w:rPr>
        <w:t>2023</w:t>
      </w:r>
      <w:r w:rsidR="0044259C">
        <w:rPr>
          <w:i/>
          <w:iCs/>
        </w:rPr>
        <w:t xml:space="preserve"> MDC Adoption Order</w:t>
      </w:r>
      <w:r w:rsidR="0044259C">
        <w:t>).</w:t>
      </w:r>
    </w:p>
  </w:footnote>
  <w:footnote w:id="17">
    <w:p w:rsidR="00176BA3" w:rsidRPr="00B27E58" w:rsidP="00176BA3" w14:paraId="02F45362" w14:textId="57A33CC8">
      <w:pPr>
        <w:pStyle w:val="FootnoteText"/>
      </w:pPr>
      <w:r>
        <w:rPr>
          <w:rStyle w:val="FootnoteReference"/>
        </w:rPr>
        <w:footnoteRef/>
      </w:r>
      <w:r>
        <w:t xml:space="preserve"> </w:t>
      </w:r>
      <w:r>
        <w:t>ViaPath</w:t>
      </w:r>
      <w:r w:rsidRPr="00C37EC3">
        <w:t xml:space="preserve"> </w:t>
      </w:r>
      <w:r>
        <w:t>Paperwork Reduction Act Comments (filed July 3, 2023)</w:t>
      </w:r>
      <w:r w:rsidR="00310871">
        <w:t>.</w:t>
      </w:r>
      <w:r>
        <w:t xml:space="preserve"> </w:t>
      </w:r>
    </w:p>
  </w:footnote>
  <w:footnote w:id="18">
    <w:p w:rsidR="009A0282" w14:paraId="7C722A91" w14:textId="57C8FFF3">
      <w:pPr>
        <w:pStyle w:val="FootnoteText"/>
      </w:pPr>
      <w:r>
        <w:rPr>
          <w:rStyle w:val="FootnoteReference"/>
        </w:rPr>
        <w:footnoteRef/>
      </w:r>
      <w:r>
        <w:t xml:space="preserve"> </w:t>
      </w:r>
      <w:r w:rsidR="002E3FD3">
        <w:t>Inmate Calling Services (ICS) 2022 One-Time Data Collection, WC Docket No. 12-375, OMB Control No. 3060-1300, Supporting Statement at 4.</w:t>
      </w:r>
      <w:r w:rsidR="009D0E3D">
        <w:t xml:space="preserve">  OMB accepted </w:t>
      </w:r>
      <w:r w:rsidR="00574583">
        <w:t xml:space="preserve">the Commission’s responses to </w:t>
      </w:r>
      <w:r w:rsidR="00574583">
        <w:t>ViaPath’s</w:t>
      </w:r>
      <w:r w:rsidR="00574583">
        <w:t xml:space="preserve"> </w:t>
      </w:r>
      <w:r w:rsidR="00102E88">
        <w:t>arguments and approved the data collection on March 1, 2022.</w:t>
      </w:r>
    </w:p>
  </w:footnote>
  <w:footnote w:id="19">
    <w:p w:rsidR="00176BA3" w:rsidRPr="00895AE3" w:rsidP="00176BA3" w14:paraId="722F80EF" w14:textId="77777777">
      <w:pPr>
        <w:pStyle w:val="FootnoteText"/>
      </w:pPr>
      <w:r>
        <w:rPr>
          <w:rStyle w:val="FootnoteReference"/>
        </w:rPr>
        <w:footnoteRef/>
      </w:r>
      <w:r>
        <w:t xml:space="preserve"> </w:t>
      </w:r>
      <w:r>
        <w:t>ViaPath</w:t>
      </w:r>
      <w:r>
        <w:t xml:space="preserve"> PRA Comments at 3. </w:t>
      </w:r>
    </w:p>
  </w:footnote>
  <w:footnote w:id="20">
    <w:p w:rsidR="00225954" w:rsidRPr="00954695" w:rsidP="00225954" w14:paraId="7A7190E3" w14:textId="77777777">
      <w:pPr>
        <w:pStyle w:val="FootnoteText"/>
      </w:pPr>
      <w:r>
        <w:rPr>
          <w:rStyle w:val="FootnoteReference"/>
        </w:rPr>
        <w:footnoteRef/>
      </w:r>
      <w:r>
        <w:t xml:space="preserve"> </w:t>
      </w:r>
      <w:r>
        <w:rPr>
          <w:i/>
          <w:iCs/>
        </w:rPr>
        <w:t xml:space="preserve">Id </w:t>
      </w:r>
      <w:r>
        <w:t xml:space="preserve">at 3-4.  </w:t>
      </w:r>
    </w:p>
  </w:footnote>
  <w:footnote w:id="21">
    <w:p w:rsidR="00AF528E" w:rsidP="00AF528E" w14:paraId="3BC36B3C" w14:textId="77777777">
      <w:pPr>
        <w:pStyle w:val="FootnoteText"/>
      </w:pPr>
      <w:r>
        <w:rPr>
          <w:rStyle w:val="FootnoteReference"/>
        </w:rPr>
        <w:footnoteRef/>
      </w:r>
      <w:r>
        <w:t xml:space="preserve"> </w:t>
      </w:r>
      <w:r w:rsidRPr="00F170A9">
        <w:rPr>
          <w:i/>
          <w:iCs/>
        </w:rPr>
        <w:t>2023 IPCS Order</w:t>
      </w:r>
      <w:r w:rsidRPr="00F170A9">
        <w:t xml:space="preserve"> at 33, para. 83</w:t>
      </w:r>
      <w:r>
        <w:t>.</w:t>
      </w:r>
    </w:p>
  </w:footnote>
  <w:footnote w:id="22">
    <w:p w:rsidR="00AF528E" w:rsidP="00AF528E" w14:paraId="52F5B0CA" w14:textId="38DE1D41">
      <w:pPr>
        <w:pStyle w:val="FootnoteText"/>
      </w:pPr>
      <w:r w:rsidRPr="00D0439A">
        <w:rPr>
          <w:rStyle w:val="FootnoteReference"/>
        </w:rPr>
        <w:footnoteRef/>
      </w:r>
      <w:r w:rsidRPr="00C27D61">
        <w:rPr>
          <w:i/>
          <w:iCs/>
        </w:rPr>
        <w:t xml:space="preserve"> </w:t>
      </w:r>
      <w:r w:rsidRPr="00F170A9">
        <w:rPr>
          <w:i/>
          <w:iCs/>
        </w:rPr>
        <w:t>Id</w:t>
      </w:r>
      <w:r>
        <w:t xml:space="preserve">. at 33, </w:t>
      </w:r>
      <w:r w:rsidRPr="00F170A9">
        <w:t>para</w:t>
      </w:r>
      <w:r>
        <w:t>. 84.</w:t>
      </w:r>
    </w:p>
  </w:footnote>
  <w:footnote w:id="23">
    <w:p w:rsidR="00B469E6" w:rsidRPr="00053E61" w:rsidP="00B469E6" w14:paraId="5EAA72F9" w14:textId="091C841B">
      <w:pPr>
        <w:pStyle w:val="FootnoteText"/>
      </w:pPr>
      <w:r>
        <w:rPr>
          <w:rStyle w:val="FootnoteReference"/>
        </w:rPr>
        <w:footnoteRef/>
      </w:r>
      <w:r>
        <w:t xml:space="preserve"> </w:t>
      </w:r>
      <w:r>
        <w:rPr>
          <w:i/>
          <w:iCs/>
        </w:rPr>
        <w:t>Third MDC</w:t>
      </w:r>
      <w:r w:rsidRPr="00275799">
        <w:rPr>
          <w:i/>
          <w:iCs/>
        </w:rPr>
        <w:t xml:space="preserve"> Adoption Order</w:t>
      </w:r>
      <w:r>
        <w:t xml:space="preserve"> at 12-14 n.105 (citing</w:t>
      </w:r>
      <w:r w:rsidRPr="00275799">
        <w:rPr>
          <w:i/>
          <w:iCs/>
        </w:rPr>
        <w:t xml:space="preserve"> </w:t>
      </w:r>
      <w:r w:rsidRPr="00A439E9">
        <w:rPr>
          <w:i/>
          <w:iCs/>
        </w:rPr>
        <w:t>2021 ICS Order</w:t>
      </w:r>
      <w:r>
        <w:t xml:space="preserve">, </w:t>
      </w:r>
      <w:r w:rsidRPr="00275799">
        <w:t xml:space="preserve">36 FCC Rcd at </w:t>
      </w:r>
      <w:r w:rsidRPr="00F7099D">
        <w:t>9550, para. 74</w:t>
      </w:r>
      <w:r>
        <w:t>) (internal quotations omitted)</w:t>
      </w:r>
      <w:r w:rsidR="00053E61">
        <w:t xml:space="preserve">; </w:t>
      </w:r>
      <w:r w:rsidR="00053E61">
        <w:rPr>
          <w:i/>
          <w:iCs/>
        </w:rPr>
        <w:t>see 2023 MDC Adoption Order</w:t>
      </w:r>
      <w:r w:rsidR="00053E61">
        <w:t xml:space="preserve"> at </w:t>
      </w:r>
      <w:r w:rsidR="008D3BF9">
        <w:t>n.27 (</w:t>
      </w:r>
      <w:r w:rsidR="00455186">
        <w:t xml:space="preserve">stating that the </w:t>
      </w:r>
      <w:r w:rsidRPr="004946CE" w:rsidR="00455186">
        <w:t xml:space="preserve">record provides no indication that </w:t>
      </w:r>
      <w:r w:rsidRPr="004946CE" w:rsidR="00455186">
        <w:t>ViaPath’s</w:t>
      </w:r>
      <w:r w:rsidRPr="004946CE" w:rsidR="00455186">
        <w:t xml:space="preserve"> market status ha</w:t>
      </w:r>
      <w:r w:rsidR="00455186">
        <w:t>d</w:t>
      </w:r>
      <w:r w:rsidRPr="004946CE" w:rsidR="00455186">
        <w:t xml:space="preserve"> changed</w:t>
      </w:r>
      <w:r w:rsidR="00574103">
        <w:t>)</w:t>
      </w:r>
      <w:r w:rsidR="008D3BF9">
        <w:t>.</w:t>
      </w:r>
    </w:p>
  </w:footnote>
  <w:footnote w:id="24">
    <w:p w:rsidR="003C322B" w:rsidP="003C322B" w14:paraId="44F5508D" w14:textId="2055A70D">
      <w:pPr>
        <w:pStyle w:val="FootnoteText"/>
      </w:pPr>
      <w:r>
        <w:rPr>
          <w:rStyle w:val="FootnoteReference"/>
        </w:rPr>
        <w:footnoteRef/>
      </w:r>
      <w:r>
        <w:t xml:space="preserve"> </w:t>
      </w:r>
      <w:r w:rsidRPr="00F620CD" w:rsidR="000F5D1B">
        <w:rPr>
          <w:i/>
          <w:iCs/>
        </w:rPr>
        <w:t>See 2023 MDC Adoption Order</w:t>
      </w:r>
      <w:r w:rsidR="000F5D1B">
        <w:t xml:space="preserve"> at n.27.</w:t>
      </w:r>
      <w:r w:rsidR="003E4554">
        <w:t xml:space="preserve">  We note that while some of these changes increased the burden on providers, others partially offset that increase by </w:t>
      </w:r>
      <w:r w:rsidR="002A53B4">
        <w:t xml:space="preserve">eliminating or streaming some of the proposed </w:t>
      </w:r>
      <w:r w:rsidR="008861D9">
        <w:t>requirements.</w:t>
      </w:r>
    </w:p>
  </w:footnote>
  <w:footnote w:id="25">
    <w:p w:rsidR="00176BA3" w:rsidRPr="003B0640" w:rsidP="00176BA3" w14:paraId="4D3822C9" w14:textId="77777777">
      <w:pPr>
        <w:pStyle w:val="FootnoteText"/>
      </w:pPr>
      <w:r>
        <w:rPr>
          <w:rStyle w:val="FootnoteReference"/>
        </w:rPr>
        <w:footnoteRef/>
      </w:r>
      <w:r>
        <w:t xml:space="preserve"> </w:t>
      </w:r>
      <w:r>
        <w:t>ViaPath</w:t>
      </w:r>
      <w:r w:rsidRPr="00BF6335">
        <w:t xml:space="preserve"> PRA Comments at </w:t>
      </w:r>
      <w:r>
        <w:t>6</w:t>
      </w:r>
      <w:r w:rsidRPr="00BF6335">
        <w:t>.</w:t>
      </w:r>
    </w:p>
  </w:footnote>
  <w:footnote w:id="26">
    <w:p w:rsidR="00176BA3" w:rsidRPr="00B27E58" w:rsidP="00176BA3" w14:paraId="7D9B6404" w14:textId="126E1246">
      <w:pPr>
        <w:pStyle w:val="FootnoteText"/>
      </w:pPr>
      <w:r>
        <w:rPr>
          <w:rStyle w:val="FootnoteReference"/>
        </w:rPr>
        <w:footnoteRef/>
      </w:r>
      <w:r>
        <w:t xml:space="preserve"> </w:t>
      </w:r>
      <w:r>
        <w:rPr>
          <w:i/>
          <w:iCs/>
        </w:rPr>
        <w:t>Id.</w:t>
      </w:r>
      <w:r w:rsidRPr="00C37EC3">
        <w:t xml:space="preserve"> at 6</w:t>
      </w:r>
      <w:r>
        <w:t xml:space="preserve">.  </w:t>
      </w:r>
    </w:p>
  </w:footnote>
  <w:footnote w:id="27">
    <w:p w:rsidR="004426FD" w:rsidRPr="009D5E2B" w14:paraId="47BA2261" w14:textId="651754F6">
      <w:pPr>
        <w:pStyle w:val="FootnoteText"/>
      </w:pPr>
      <w:r>
        <w:rPr>
          <w:rStyle w:val="FootnoteReference"/>
        </w:rPr>
        <w:footnoteRef/>
      </w:r>
      <w:r>
        <w:t xml:space="preserve"> </w:t>
      </w:r>
      <w:r w:rsidR="009D5E2B">
        <w:rPr>
          <w:i/>
          <w:iCs/>
        </w:rPr>
        <w:t>Id.</w:t>
      </w:r>
      <w:r w:rsidR="009D5E2B">
        <w:t xml:space="preserve"> (citing </w:t>
      </w:r>
      <w:r w:rsidR="009D5E2B">
        <w:t>ViaPath</w:t>
      </w:r>
      <w:r w:rsidR="004D0D8A">
        <w:t xml:space="preserve"> </w:t>
      </w:r>
      <w:r w:rsidR="009544BF">
        <w:t xml:space="preserve">June 2, 2023 </w:t>
      </w:r>
      <w:r w:rsidR="004D0D8A">
        <w:t>Comments</w:t>
      </w:r>
      <w:r w:rsidR="009544BF">
        <w:t xml:space="preserve"> at 7</w:t>
      </w:r>
      <w:r w:rsidR="002D3744">
        <w:t>)</w:t>
      </w:r>
      <w:r w:rsidR="00172722">
        <w:t>; Securus June 2, 2023</w:t>
      </w:r>
      <w:r w:rsidR="00E00F80">
        <w:t xml:space="preserve"> Comments at 6</w:t>
      </w:r>
      <w:r w:rsidR="002D3744">
        <w:t>.</w:t>
      </w:r>
      <w:r w:rsidR="001D700C">
        <w:t xml:space="preserve">  </w:t>
      </w:r>
      <w:r w:rsidR="009926C0">
        <w:t xml:space="preserve">We note </w:t>
      </w:r>
      <w:r w:rsidR="001D700C">
        <w:t xml:space="preserve">that </w:t>
      </w:r>
      <w:r w:rsidR="001D700C">
        <w:t>ViaPath’s</w:t>
      </w:r>
      <w:r w:rsidR="001D700C">
        <w:t xml:space="preserve"> June 2, 2023 Comments </w:t>
      </w:r>
      <w:r w:rsidR="00DB1C52">
        <w:t>do not address the potential burden on providers and are instead made in the context</w:t>
      </w:r>
      <w:r w:rsidR="0097117A">
        <w:t xml:space="preserve"> of </w:t>
      </w:r>
      <w:r w:rsidR="00AB1382">
        <w:t>suggesting alternatives for requested data.</w:t>
      </w:r>
    </w:p>
  </w:footnote>
  <w:footnote w:id="28">
    <w:p w:rsidR="00176BA3" w:rsidRPr="003B0640" w:rsidP="00176BA3" w14:paraId="6415C0A5" w14:textId="77777777">
      <w:pPr>
        <w:pStyle w:val="FootnoteText"/>
      </w:pPr>
      <w:r>
        <w:rPr>
          <w:rStyle w:val="FootnoteReference"/>
        </w:rPr>
        <w:footnoteRef/>
      </w:r>
      <w:r>
        <w:t xml:space="preserve"> </w:t>
      </w:r>
      <w:r>
        <w:rPr>
          <w:i/>
          <w:iCs/>
        </w:rPr>
        <w:t>Id.</w:t>
      </w:r>
      <w:r w:rsidRPr="00C37EC3">
        <w:t xml:space="preserve"> </w:t>
      </w:r>
    </w:p>
  </w:footnote>
  <w:footnote w:id="29">
    <w:p w:rsidR="00A436FD" w:rsidP="00A436FD" w14:paraId="608B350F" w14:textId="68BC35CB">
      <w:pPr>
        <w:pStyle w:val="FootnoteText"/>
      </w:pPr>
      <w:r>
        <w:rPr>
          <w:rStyle w:val="FootnoteReference"/>
        </w:rPr>
        <w:footnoteRef/>
      </w:r>
      <w:r>
        <w:t xml:space="preserve"> </w:t>
      </w:r>
      <w:r w:rsidR="007D26DA">
        <w:rPr>
          <w:i/>
          <w:iCs/>
        </w:rPr>
        <w:t xml:space="preserve">2023 MDC </w:t>
      </w:r>
      <w:r w:rsidRPr="00502C9F" w:rsidR="007D26DA">
        <w:rPr>
          <w:i/>
          <w:iCs/>
        </w:rPr>
        <w:t>Adoption Order</w:t>
      </w:r>
      <w:r w:rsidRPr="00502C9F" w:rsidR="007D26DA">
        <w:t xml:space="preserve"> at </w:t>
      </w:r>
      <w:r w:rsidR="002F05EE">
        <w:t>19</w:t>
      </w:r>
      <w:r w:rsidR="007D26DA">
        <w:t xml:space="preserve">, </w:t>
      </w:r>
      <w:r w:rsidRPr="00502C9F" w:rsidR="007D26DA">
        <w:t>para</w:t>
      </w:r>
      <w:r w:rsidR="007D26DA">
        <w:t>s. 50-51.</w:t>
      </w:r>
    </w:p>
  </w:footnote>
  <w:footnote w:id="30">
    <w:p w:rsidR="00176BA3" w:rsidRPr="003B0640" w:rsidP="00176BA3" w14:paraId="2DABCFC0" w14:textId="216FE99D">
      <w:pPr>
        <w:pStyle w:val="FootnoteText"/>
      </w:pPr>
      <w:r>
        <w:rPr>
          <w:rStyle w:val="FootnoteReference"/>
        </w:rPr>
        <w:footnoteRef/>
      </w:r>
      <w:r>
        <w:t xml:space="preserve"> </w:t>
      </w:r>
      <w:r w:rsidR="002F05EE">
        <w:rPr>
          <w:i/>
          <w:iCs/>
        </w:rPr>
        <w:t>Id.</w:t>
      </w:r>
      <w:r w:rsidRPr="00502C9F">
        <w:t xml:space="preserve"> at </w:t>
      </w:r>
      <w:r>
        <w:t xml:space="preserve">4, </w:t>
      </w:r>
      <w:r w:rsidRPr="00502C9F">
        <w:t xml:space="preserve">para. </w:t>
      </w:r>
      <w:r>
        <w:t>11</w:t>
      </w:r>
      <w:r w:rsidRPr="00502C9F">
        <w:t>.</w:t>
      </w:r>
    </w:p>
  </w:footnote>
  <w:footnote w:id="31">
    <w:p w:rsidR="00176BA3" w:rsidRPr="003B0640" w:rsidP="00176BA3" w14:paraId="334DD0A4" w14:textId="4B2349E4">
      <w:pPr>
        <w:pStyle w:val="FootnoteText"/>
      </w:pPr>
      <w:r>
        <w:rPr>
          <w:rStyle w:val="FootnoteReference"/>
        </w:rPr>
        <w:footnoteRef/>
      </w:r>
      <w:r>
        <w:t xml:space="preserve"> </w:t>
      </w:r>
      <w:r>
        <w:t>ViaPath</w:t>
      </w:r>
      <w:r w:rsidRPr="00C37EC3">
        <w:t xml:space="preserve"> PRA Comments at </w:t>
      </w:r>
      <w:r w:rsidR="0000523B">
        <w:t>5</w:t>
      </w:r>
      <w:r w:rsidRPr="00C37EC3">
        <w:t>.</w:t>
      </w:r>
    </w:p>
  </w:footnote>
  <w:footnote w:id="32">
    <w:p w:rsidR="00176BA3" w:rsidRPr="003B0640" w:rsidP="00176BA3" w14:paraId="4B49FFE4" w14:textId="77777777">
      <w:pPr>
        <w:pStyle w:val="FootnoteText"/>
      </w:pPr>
      <w:r>
        <w:rPr>
          <w:rStyle w:val="FootnoteReference"/>
        </w:rPr>
        <w:footnoteRef/>
      </w:r>
      <w:r>
        <w:t xml:space="preserve"> </w:t>
      </w:r>
      <w:r>
        <w:rPr>
          <w:i/>
          <w:iCs/>
        </w:rPr>
        <w:t>Id.</w:t>
      </w:r>
      <w:r w:rsidRPr="00C37EC3">
        <w:t xml:space="preserve"> </w:t>
      </w:r>
    </w:p>
  </w:footnote>
  <w:footnote w:id="33">
    <w:p w:rsidR="00176BA3" w:rsidRPr="009B33C0" w:rsidP="00176BA3" w14:paraId="70EA9F46" w14:textId="2E5F76D3">
      <w:pPr>
        <w:pStyle w:val="FootnoteText"/>
      </w:pPr>
      <w:r w:rsidRPr="00087932">
        <w:rPr>
          <w:rStyle w:val="FootnoteReference"/>
        </w:rPr>
        <w:footnoteRef/>
      </w:r>
      <w:r w:rsidRPr="00087932">
        <w:t xml:space="preserve"> </w:t>
      </w:r>
      <w:r>
        <w:rPr>
          <w:i/>
          <w:iCs/>
        </w:rPr>
        <w:t xml:space="preserve">See </w:t>
      </w:r>
      <w:r w:rsidRPr="009B33C0">
        <w:rPr>
          <w:i/>
          <w:iCs/>
        </w:rPr>
        <w:t>2021 ICS Order</w:t>
      </w:r>
      <w:r w:rsidRPr="001F44A0">
        <w:t>, 36 FCC Rcd at 9620, para. 222</w:t>
      </w:r>
      <w:r>
        <w:t xml:space="preserve"> (stating that </w:t>
      </w:r>
      <w:r w:rsidRPr="009B33C0">
        <w:t>“while the Annual Reports contain useful and relevant marketplace information on providers’ rates and charges, we disagree with the contention that the Annual Reports provide sufficient data to establish just and reasonable interstate inmate calling services rates”</w:t>
      </w:r>
      <w:r>
        <w:t xml:space="preserve">).  </w:t>
      </w:r>
    </w:p>
  </w:footnote>
  <w:footnote w:id="34">
    <w:p w:rsidR="00D579E9" w14:paraId="0C331E9A" w14:textId="1C54E99E">
      <w:pPr>
        <w:pStyle w:val="FootnoteText"/>
      </w:pPr>
      <w:r>
        <w:rPr>
          <w:rStyle w:val="FootnoteReference"/>
        </w:rPr>
        <w:footnoteRef/>
      </w:r>
      <w:r>
        <w:t xml:space="preserve"> </w:t>
      </w:r>
      <w:r w:rsidRPr="00AE5D7B">
        <w:rPr>
          <w:i/>
          <w:iCs/>
        </w:rPr>
        <w:t xml:space="preserve">2023 IPCS Order </w:t>
      </w:r>
      <w:r w:rsidRPr="00AE5D7B">
        <w:t>at 34, para. 85</w:t>
      </w:r>
      <w:r>
        <w:t>.</w:t>
      </w:r>
    </w:p>
  </w:footnote>
  <w:footnote w:id="35">
    <w:p w:rsidR="00176BA3" w:rsidRPr="008B4301" w:rsidP="00176BA3" w14:paraId="73ED2B46" w14:textId="77777777">
      <w:pPr>
        <w:pStyle w:val="FootnoteText"/>
      </w:pPr>
      <w:r w:rsidRPr="008B4301">
        <w:rPr>
          <w:rStyle w:val="FootnoteReference"/>
        </w:rPr>
        <w:footnoteRef/>
      </w:r>
      <w:r w:rsidRPr="008B4301">
        <w:t xml:space="preserve"> </w:t>
      </w:r>
      <w:r>
        <w:t>ViaPath</w:t>
      </w:r>
      <w:r>
        <w:t xml:space="preserve"> PRA Comments at 4-5.</w:t>
      </w:r>
    </w:p>
  </w:footnote>
  <w:footnote w:id="36">
    <w:p w:rsidR="00176BA3" w:rsidRPr="003B0640" w:rsidP="00176BA3" w14:paraId="6CA21D87" w14:textId="77777777">
      <w:pPr>
        <w:pStyle w:val="FootnoteText"/>
      </w:pPr>
      <w:r>
        <w:rPr>
          <w:rStyle w:val="FootnoteReference"/>
        </w:rPr>
        <w:footnoteRef/>
      </w:r>
      <w:r>
        <w:t xml:space="preserve"> </w:t>
      </w:r>
      <w:r>
        <w:rPr>
          <w:i/>
          <w:iCs/>
        </w:rPr>
        <w:t>Id.</w:t>
      </w:r>
      <w:r w:rsidRPr="00B71B3E">
        <w:t xml:space="preserve"> at 4.</w:t>
      </w:r>
    </w:p>
  </w:footnote>
  <w:footnote w:id="37">
    <w:p w:rsidR="003250EA" w:rsidRPr="003250EA" w14:paraId="083B6310" w14:textId="215F0E77">
      <w:pPr>
        <w:pStyle w:val="FootnoteText"/>
      </w:pPr>
      <w:r>
        <w:rPr>
          <w:rStyle w:val="FootnoteReference"/>
        </w:rPr>
        <w:footnoteRef/>
      </w:r>
      <w:r>
        <w:t xml:space="preserve"> </w:t>
      </w:r>
      <w:r w:rsidRPr="00344A25" w:rsidR="00D94FFA">
        <w:rPr>
          <w:i/>
        </w:rPr>
        <w:t>2023 MDC</w:t>
      </w:r>
      <w:r w:rsidR="00D94FFA">
        <w:t xml:space="preserve"> </w:t>
      </w:r>
      <w:r>
        <w:rPr>
          <w:i/>
          <w:iCs/>
        </w:rPr>
        <w:t xml:space="preserve">Public Notice </w:t>
      </w:r>
      <w:r>
        <w:t>at 4.</w:t>
      </w:r>
    </w:p>
  </w:footnote>
  <w:footnote w:id="38">
    <w:p w:rsidR="004D2306" w14:paraId="7509F886" w14:textId="685A105C">
      <w:pPr>
        <w:pStyle w:val="FootnoteText"/>
      </w:pPr>
      <w:r>
        <w:rPr>
          <w:rStyle w:val="FootnoteReference"/>
        </w:rPr>
        <w:footnoteRef/>
      </w:r>
      <w:r>
        <w:t xml:space="preserve"> </w:t>
      </w:r>
      <w:r w:rsidR="00B26558">
        <w:t>ViaPath</w:t>
      </w:r>
      <w:r w:rsidR="00B26558">
        <w:t xml:space="preserve"> PRA Comments at 3 n.14.</w:t>
      </w:r>
    </w:p>
  </w:footnote>
  <w:footnote w:id="39">
    <w:p w:rsidR="005D5A91" w:rsidRPr="00E16C9A" w:rsidP="005D5A91" w14:paraId="561776B8" w14:textId="05F2597B">
      <w:pPr>
        <w:pStyle w:val="FootnoteText"/>
      </w:pPr>
      <w:r w:rsidRPr="00E16C9A">
        <w:rPr>
          <w:rStyle w:val="FootnoteReference"/>
        </w:rPr>
        <w:footnoteRef/>
      </w:r>
      <w:r w:rsidRPr="00E16C9A">
        <w:t xml:space="preserve"> </w:t>
      </w:r>
      <w:r w:rsidRPr="005663AE" w:rsidR="009D7ABE">
        <w:rPr>
          <w:i/>
          <w:iCs/>
        </w:rPr>
        <w:t>See</w:t>
      </w:r>
      <w:r w:rsidRPr="00E16C9A">
        <w:t xml:space="preserve"> </w:t>
      </w:r>
      <w:r w:rsidRPr="00E16C9A">
        <w:rPr>
          <w:i/>
          <w:iCs/>
        </w:rPr>
        <w:t>2023 MDC Adoption Order</w:t>
      </w:r>
      <w:r w:rsidRPr="00E16C9A">
        <w:t xml:space="preserve"> at 6 n.34 (quoting </w:t>
      </w:r>
      <w:r w:rsidRPr="00E16C9A">
        <w:rPr>
          <w:i/>
          <w:iCs/>
        </w:rPr>
        <w:t>Third MDC Adoption Order</w:t>
      </w:r>
      <w:r w:rsidRPr="00E16C9A">
        <w:t xml:space="preserve">, 37 FCC Rcd at 381, n.109). </w:t>
      </w:r>
    </w:p>
  </w:footnote>
  <w:footnote w:id="40">
    <w:p w:rsidR="00176BA3" w:rsidRPr="00D50DE5" w:rsidP="00176BA3" w14:paraId="034BD070" w14:textId="4263D0A8">
      <w:pPr>
        <w:pStyle w:val="FootnoteText"/>
      </w:pPr>
      <w:r w:rsidRPr="00D50DE5">
        <w:rPr>
          <w:rStyle w:val="FootnoteReference"/>
        </w:rPr>
        <w:footnoteRef/>
      </w:r>
      <w:r w:rsidRPr="00D50DE5">
        <w:t xml:space="preserve"> </w:t>
      </w:r>
      <w:r w:rsidRPr="00185464" w:rsidR="00185464">
        <w:rPr>
          <w:i/>
          <w:iCs/>
        </w:rPr>
        <w:t>Id</w:t>
      </w:r>
      <w:r w:rsidR="00185464">
        <w:t xml:space="preserve">. </w:t>
      </w:r>
      <w:r w:rsidRPr="00D50DE5">
        <w:t>at 6, para. 16.</w:t>
      </w:r>
    </w:p>
  </w:footnote>
  <w:footnote w:id="41">
    <w:p w:rsidR="00176BA3" w:rsidRPr="00177282" w:rsidP="00176BA3" w14:paraId="0E88087F" w14:textId="77777777">
      <w:pPr>
        <w:pStyle w:val="FootnoteText"/>
      </w:pPr>
      <w:r w:rsidRPr="00177282">
        <w:rPr>
          <w:rStyle w:val="FootnoteReference"/>
        </w:rPr>
        <w:footnoteRef/>
      </w:r>
      <w:r w:rsidRPr="00177282">
        <w:t xml:space="preserve"> </w:t>
      </w:r>
      <w:r w:rsidRPr="00177282">
        <w:rPr>
          <w:i/>
          <w:iCs/>
        </w:rPr>
        <w:t>Id.</w:t>
      </w:r>
    </w:p>
  </w:footnote>
  <w:footnote w:id="42">
    <w:p w:rsidR="00353B20" w:rsidRPr="00177282" w:rsidP="00353B20" w14:paraId="206EBC65" w14:textId="77777777">
      <w:pPr>
        <w:pStyle w:val="FootnoteText"/>
      </w:pPr>
      <w:r w:rsidRPr="00177282">
        <w:rPr>
          <w:rStyle w:val="FootnoteReference"/>
        </w:rPr>
        <w:footnoteRef/>
      </w:r>
      <w:r w:rsidRPr="00177282">
        <w:t xml:space="preserve"> </w:t>
      </w:r>
      <w:r w:rsidRPr="00177282">
        <w:rPr>
          <w:i/>
          <w:iCs/>
        </w:rPr>
        <w:t>Id.</w:t>
      </w:r>
    </w:p>
  </w:footnote>
  <w:footnote w:id="43">
    <w:p w:rsidR="006B5372" w14:paraId="04FC74A5" w14:textId="1878D7FA">
      <w:pPr>
        <w:pStyle w:val="FootnoteText"/>
      </w:pPr>
      <w:r>
        <w:rPr>
          <w:rStyle w:val="FootnoteReference"/>
        </w:rPr>
        <w:footnoteRef/>
      </w:r>
      <w:r>
        <w:t xml:space="preserve"> UCC Media Justice </w:t>
      </w:r>
      <w:r w:rsidR="00BD443D">
        <w:t xml:space="preserve">Paperwork Reduction Act </w:t>
      </w:r>
      <w:r>
        <w:t>Comments (filed Aug. 31, 2023).</w:t>
      </w:r>
    </w:p>
  </w:footnote>
  <w:footnote w:id="44">
    <w:p w:rsidR="001D6972" w14:paraId="104E65EB" w14:textId="7ADD7D0D">
      <w:pPr>
        <w:pStyle w:val="FootnoteText"/>
      </w:pPr>
      <w:r>
        <w:rPr>
          <w:rStyle w:val="FootnoteReference"/>
        </w:rPr>
        <w:footnoteRef/>
      </w:r>
      <w:r>
        <w:t xml:space="preserve"> </w:t>
      </w:r>
      <w:r w:rsidRPr="00A4045F" w:rsidR="00A4045F">
        <w:rPr>
          <w:i/>
          <w:iCs/>
        </w:rPr>
        <w:t>Id</w:t>
      </w:r>
      <w:r w:rsidR="00A4045F">
        <w:t xml:space="preserve">. </w:t>
      </w:r>
      <w:r w:rsidR="002511CD">
        <w:t xml:space="preserve">at </w:t>
      </w:r>
      <w:r w:rsidR="00A140DC">
        <w:t>1-2</w:t>
      </w:r>
      <w:r w:rsidR="0004102A">
        <w:t>.</w:t>
      </w:r>
    </w:p>
  </w:footnote>
  <w:footnote w:id="45">
    <w:p w:rsidR="004A5572" w14:paraId="77983240" w14:textId="30079A60">
      <w:pPr>
        <w:pStyle w:val="FootnoteText"/>
      </w:pPr>
      <w:r>
        <w:rPr>
          <w:rStyle w:val="FootnoteReference"/>
        </w:rPr>
        <w:footnoteRef/>
      </w:r>
      <w:r>
        <w:t xml:space="preserve"> </w:t>
      </w:r>
      <w:r w:rsidRPr="004A5572">
        <w:rPr>
          <w:i/>
          <w:iCs/>
        </w:rPr>
        <w:t>Id</w:t>
      </w:r>
      <w:r>
        <w:t xml:space="preserve">. </w:t>
      </w:r>
      <w:r w:rsidR="00851D19">
        <w:t>at 1</w:t>
      </w:r>
      <w:r w:rsidR="00491209">
        <w:t>-2,</w:t>
      </w:r>
      <w:r w:rsidR="004C390D">
        <w:t xml:space="preserve"> 8-9.</w:t>
      </w:r>
    </w:p>
  </w:footnote>
  <w:footnote w:id="46">
    <w:p w:rsidR="00324126" w14:paraId="2B02B8C7" w14:textId="2BAD9DD9">
      <w:pPr>
        <w:pStyle w:val="FootnoteText"/>
      </w:pPr>
      <w:r>
        <w:rPr>
          <w:rStyle w:val="FootnoteReference"/>
        </w:rPr>
        <w:footnoteRef/>
      </w:r>
      <w:r>
        <w:t xml:space="preserve"> </w:t>
      </w:r>
      <w:r w:rsidRPr="00714E03">
        <w:rPr>
          <w:i/>
          <w:iCs/>
        </w:rPr>
        <w:t>Id</w:t>
      </w:r>
      <w:r>
        <w:t>.</w:t>
      </w:r>
    </w:p>
  </w:footnote>
  <w:footnote w:id="47">
    <w:p w:rsidR="009C552D" w:rsidRPr="00832810" w:rsidP="003B0640" w14:paraId="1E9E1042" w14:textId="7EB8F892">
      <w:pPr>
        <w:pStyle w:val="FootnoteText"/>
      </w:pPr>
      <w:r w:rsidRPr="00832810">
        <w:rPr>
          <w:rStyle w:val="FootnoteReference"/>
        </w:rPr>
        <w:footnoteRef/>
      </w:r>
      <w:r w:rsidRPr="00832810">
        <w:t xml:space="preserve"> </w:t>
      </w:r>
      <w:r w:rsidRPr="003316DF" w:rsidR="003316DF">
        <w:rPr>
          <w:i/>
          <w:iCs/>
        </w:rPr>
        <w:t>Incarcerated People’s Communications Services; Implementation of the Martha Wright-Reed Act; Rates for Interstate Services</w:t>
      </w:r>
      <w:r w:rsidR="003316DF">
        <w:t xml:space="preserve">, </w:t>
      </w:r>
      <w:r w:rsidRPr="00832810">
        <w:t>WC Docket</w:t>
      </w:r>
      <w:r w:rsidR="0010019C">
        <w:t xml:space="preserve"> Nos. 23-62,</w:t>
      </w:r>
      <w:r w:rsidRPr="00832810">
        <w:t xml:space="preserve"> 12-375, Protective Order,</w:t>
      </w:r>
      <w:r w:rsidR="0010019C">
        <w:t xml:space="preserve"> DA 23-</w:t>
      </w:r>
      <w:r w:rsidR="003316DF">
        <w:t>298</w:t>
      </w:r>
      <w:r w:rsidRPr="00832810" w:rsidR="003B4FD8">
        <w:t xml:space="preserve"> (</w:t>
      </w:r>
      <w:r w:rsidRPr="0010019C" w:rsidR="0010019C">
        <w:rPr>
          <w:i/>
          <w:iCs/>
        </w:rPr>
        <w:t>IPCS</w:t>
      </w:r>
      <w:r w:rsidR="0010019C">
        <w:t xml:space="preserve"> </w:t>
      </w:r>
      <w:r w:rsidRPr="00832810" w:rsidR="003B4FD8">
        <w:rPr>
          <w:i/>
        </w:rPr>
        <w:t>Protective Order</w:t>
      </w:r>
      <w:r w:rsidR="0010019C">
        <w:t>).</w:t>
      </w:r>
    </w:p>
  </w:footnote>
  <w:footnote w:id="48">
    <w:p w:rsidR="00CF58D9" w14:paraId="3760BFD4" w14:textId="57C0A861">
      <w:pPr>
        <w:pStyle w:val="FootnoteText"/>
      </w:pPr>
      <w:r>
        <w:rPr>
          <w:rStyle w:val="FootnoteReference"/>
        </w:rPr>
        <w:footnoteRef/>
      </w:r>
      <w:r>
        <w:t xml:space="preserve"> </w:t>
      </w:r>
      <w:r w:rsidRPr="004E1A67">
        <w:rPr>
          <w:i/>
          <w:iCs/>
        </w:rPr>
        <w:t>See supra</w:t>
      </w:r>
      <w:r>
        <w:t xml:space="preserve">, n.7.  </w:t>
      </w:r>
    </w:p>
  </w:footnote>
  <w:footnote w:id="49">
    <w:p w:rsidR="00054413" w14:paraId="02AE541A" w14:textId="49EC05D7">
      <w:pPr>
        <w:pStyle w:val="FootnoteText"/>
      </w:pPr>
      <w:r>
        <w:rPr>
          <w:rStyle w:val="FootnoteReference"/>
        </w:rPr>
        <w:footnoteRef/>
      </w:r>
      <w:r>
        <w:t xml:space="preserve"> </w:t>
      </w:r>
      <w:r w:rsidRPr="00054413">
        <w:rPr>
          <w:i/>
          <w:iCs/>
        </w:rPr>
        <w:t>2023 IPCS Order</w:t>
      </w:r>
      <w:r w:rsidRPr="00054413">
        <w:t xml:space="preserve"> at 33, para. 84</w:t>
      </w:r>
      <w:r>
        <w:t xml:space="preserve">.  </w:t>
      </w:r>
    </w:p>
  </w:footnote>
  <w:footnote w:id="50">
    <w:p w:rsidR="009E0A37" w14:paraId="2572EA59" w14:textId="54712CE1">
      <w:pPr>
        <w:pStyle w:val="FootnoteText"/>
      </w:pPr>
      <w:r>
        <w:rPr>
          <w:rStyle w:val="FootnoteReference"/>
        </w:rPr>
        <w:footnoteRef/>
      </w:r>
      <w:r>
        <w:t xml:space="preserve"> </w:t>
      </w:r>
      <w:r>
        <w:rPr>
          <w:i/>
          <w:iCs/>
        </w:rPr>
        <w:t>Id.</w:t>
      </w:r>
      <w:r w:rsidRPr="004E1A67">
        <w:t xml:space="preserve"> </w:t>
      </w:r>
      <w:r w:rsidRPr="009E0A37">
        <w:t xml:space="preserve">at 33-34, paras. 84-85.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7DC" w:rsidRPr="00987F8B" w:rsidP="00987F8B" w14:paraId="3CBD9946" w14:textId="1D2F5DC8">
    <w:pPr>
      <w:pStyle w:val="Header"/>
      <w:rPr>
        <w:u w:val="none"/>
      </w:rPr>
    </w:pPr>
    <w:bookmarkStart w:id="5" w:name="_Hlk132272195"/>
    <w:r w:rsidRPr="00987F8B">
      <w:rPr>
        <w:u w:val="none"/>
      </w:rPr>
      <w:t xml:space="preserve">New Collection:  </w:t>
    </w:r>
    <w:r w:rsidRPr="00987F8B" w:rsidR="00FB51DC">
      <w:rPr>
        <w:u w:val="none"/>
      </w:rPr>
      <w:t>Incarcerated People’s Communications Services (IPCS)</w:t>
    </w:r>
    <w:r w:rsidRPr="00987F8B" w:rsidR="00FB51DC">
      <w:rPr>
        <w:u w:val="none"/>
      </w:rPr>
      <w:tab/>
      <w:t>3060-</w:t>
    </w:r>
    <w:r w:rsidRPr="00987F8B">
      <w:rPr>
        <w:u w:val="none"/>
      </w:rPr>
      <w:t>XXXX</w:t>
    </w:r>
    <w:r w:rsidRPr="00987F8B" w:rsidR="00DF0661">
      <w:rPr>
        <w:u w:val="none"/>
      </w:rPr>
      <w:t xml:space="preserve">                              </w:t>
    </w:r>
    <w:r w:rsidRPr="00987F8B" w:rsidR="00FB51DC">
      <w:rPr>
        <w:u w:val="none"/>
      </w:rPr>
      <w:t>2023 Mandatory Data Collection, WC Docket Nos. 23-62</w:t>
    </w:r>
    <w:r w:rsidRPr="00987F8B" w:rsidR="00D40D29">
      <w:rPr>
        <w:u w:val="none"/>
      </w:rPr>
      <w:t xml:space="preserve">, </w:t>
    </w:r>
    <w:r w:rsidRPr="00987F8B" w:rsidR="00FB51DC">
      <w:rPr>
        <w:u w:val="none"/>
      </w:rPr>
      <w:t xml:space="preserve">12-375, </w:t>
    </w:r>
    <w:r w:rsidRPr="00987F8B" w:rsidR="00DA30F7">
      <w:rPr>
        <w:u w:val="none"/>
      </w:rPr>
      <w:t>DA</w:t>
    </w:r>
    <w:r w:rsidRPr="00987F8B" w:rsidR="00FB51DC">
      <w:rPr>
        <w:u w:val="none"/>
      </w:rPr>
      <w:t xml:space="preserve"> 23-</w:t>
    </w:r>
    <w:bookmarkEnd w:id="5"/>
    <w:r w:rsidRPr="00987F8B" w:rsidR="00DA30F7">
      <w:rPr>
        <w:u w:val="none"/>
      </w:rPr>
      <w:t>638</w:t>
    </w:r>
    <w:r w:rsidRPr="00987F8B">
      <w:rPr>
        <w:u w:val="none"/>
      </w:rPr>
      <w:tab/>
    </w:r>
    <w:r w:rsidR="00E35E63">
      <w:rPr>
        <w:u w:val="none"/>
      </w:rPr>
      <w:t xml:space="preserve"> September </w:t>
    </w:r>
    <w:r w:rsidRPr="00987F8B">
      <w:rPr>
        <w:u w:val="none"/>
      </w:rPr>
      <w:t>2023</w:t>
    </w:r>
  </w:p>
  <w:p w:rsidR="00FB51DC" w:rsidRPr="00987F8B" w:rsidP="00987F8B" w14:paraId="7B9B72FD" w14:textId="64863D41">
    <w:pPr>
      <w:pStyle w:val="Header"/>
      <w:rPr>
        <w:u w:val="none"/>
      </w:rPr>
    </w:pPr>
    <w:r w:rsidRPr="00987F8B">
      <w:rPr>
        <w:u w: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7B51E8E"/>
    <w:multiLevelType w:val="hybridMultilevel"/>
    <w:tmpl w:val="3D3C87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437F2F"/>
    <w:multiLevelType w:val="hybridMultilevel"/>
    <w:tmpl w:val="685C2584"/>
    <w:lvl w:ilvl="0">
      <w:start w:val="1"/>
      <w:numFmt w:val="lowerLetter"/>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585AC7"/>
    <w:multiLevelType w:val="hybridMultilevel"/>
    <w:tmpl w:val="8A708A5E"/>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864EB"/>
    <w:multiLevelType w:val="hybridMultilevel"/>
    <w:tmpl w:val="9746C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3285663A"/>
    <w:multiLevelType w:val="hybridMultilevel"/>
    <w:tmpl w:val="25605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7D5534"/>
    <w:multiLevelType w:val="hybridMultilevel"/>
    <w:tmpl w:val="EB5023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3E5206BD"/>
    <w:multiLevelType w:val="hybridMultilevel"/>
    <w:tmpl w:val="E31AFE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A1FCD"/>
    <w:multiLevelType w:val="hybridMultilevel"/>
    <w:tmpl w:val="5A92214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8E3E7C"/>
    <w:multiLevelType w:val="hybridMultilevel"/>
    <w:tmpl w:val="8EDCFC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7C03A99"/>
    <w:multiLevelType w:val="hybridMultilevel"/>
    <w:tmpl w:val="DEEA3A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EFB1191"/>
    <w:multiLevelType w:val="hybridMultilevel"/>
    <w:tmpl w:val="BAF852E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8F13DF1"/>
    <w:multiLevelType w:val="hybridMultilevel"/>
    <w:tmpl w:val="8E688FB8"/>
    <w:lvl w:ilvl="0">
      <w:start w:val="1"/>
      <w:numFmt w:val="upperLetter"/>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794CD8"/>
    <w:multiLevelType w:val="hybridMultilevel"/>
    <w:tmpl w:val="8C44A5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8336986">
    <w:abstractNumId w:val="10"/>
  </w:num>
  <w:num w:numId="2" w16cid:durableId="1712070808">
    <w:abstractNumId w:val="19"/>
  </w:num>
  <w:num w:numId="3" w16cid:durableId="1029336425">
    <w:abstractNumId w:val="8"/>
  </w:num>
  <w:num w:numId="4" w16cid:durableId="1544781458">
    <w:abstractNumId w:val="4"/>
  </w:num>
  <w:num w:numId="5" w16cid:durableId="592321408">
    <w:abstractNumId w:val="9"/>
  </w:num>
  <w:num w:numId="6" w16cid:durableId="188876727">
    <w:abstractNumId w:val="18"/>
  </w:num>
  <w:num w:numId="7" w16cid:durableId="1402757249">
    <w:abstractNumId w:val="12"/>
  </w:num>
  <w:num w:numId="8" w16cid:durableId="752971797">
    <w:abstractNumId w:val="15"/>
  </w:num>
  <w:num w:numId="9" w16cid:durableId="2127502068">
    <w:abstractNumId w:val="2"/>
  </w:num>
  <w:num w:numId="10" w16cid:durableId="951862712">
    <w:abstractNumId w:val="3"/>
  </w:num>
  <w:num w:numId="11" w16cid:durableId="1415515785">
    <w:abstractNumId w:val="13"/>
  </w:num>
  <w:num w:numId="12" w16cid:durableId="1650282578">
    <w:abstractNumId w:val="11"/>
  </w:num>
  <w:num w:numId="13" w16cid:durableId="104734669">
    <w:abstractNumId w:val="1"/>
  </w:num>
  <w:num w:numId="14" w16cid:durableId="855119275">
    <w:abstractNumId w:val="16"/>
  </w:num>
  <w:num w:numId="15" w16cid:durableId="342128558">
    <w:abstractNumId w:val="5"/>
  </w:num>
  <w:num w:numId="16" w16cid:durableId="712776205">
    <w:abstractNumId w:val="17"/>
  </w:num>
  <w:num w:numId="17" w16cid:durableId="1459912460">
    <w:abstractNumId w:val="7"/>
  </w:num>
  <w:num w:numId="18" w16cid:durableId="711228039">
    <w:abstractNumId w:val="14"/>
  </w:num>
  <w:num w:numId="19" w16cid:durableId="160048076">
    <w:abstractNumId w:val="6"/>
  </w:num>
  <w:num w:numId="20" w16cid:durableId="576131039">
    <w:abstractNumId w:val="0"/>
  </w:num>
  <w:num w:numId="21" w16cid:durableId="1216239862">
    <w:abstractNumId w:val="17"/>
    <w:lvlOverride w:ilvl="0">
      <w:startOverride w:val="1"/>
    </w:lvlOverride>
  </w:num>
  <w:num w:numId="22" w16cid:durableId="1978335898">
    <w:abstractNumId w:val="17"/>
    <w:lvlOverride w:ilvl="0">
      <w:startOverride w:val="1"/>
    </w:lvlOverride>
  </w:num>
  <w:num w:numId="23" w16cid:durableId="196433737">
    <w:abstractNumId w:val="17"/>
  </w:num>
  <w:num w:numId="24" w16cid:durableId="1944993667">
    <w:abstractNumId w:val="10"/>
  </w:num>
  <w:num w:numId="25" w16cid:durableId="1691180125">
    <w:abstractNumId w:val="10"/>
  </w:num>
  <w:num w:numId="26" w16cid:durableId="1037000740">
    <w:abstractNumId w:val="10"/>
  </w:num>
  <w:num w:numId="27" w16cid:durableId="1131358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61"/>
    <w:rsid w:val="0000151E"/>
    <w:rsid w:val="00001AB3"/>
    <w:rsid w:val="00001CDC"/>
    <w:rsid w:val="000022BE"/>
    <w:rsid w:val="0000252F"/>
    <w:rsid w:val="00002844"/>
    <w:rsid w:val="00002C23"/>
    <w:rsid w:val="00003376"/>
    <w:rsid w:val="00003612"/>
    <w:rsid w:val="00004526"/>
    <w:rsid w:val="00004563"/>
    <w:rsid w:val="00004F8E"/>
    <w:rsid w:val="0000523B"/>
    <w:rsid w:val="00005B46"/>
    <w:rsid w:val="000062D6"/>
    <w:rsid w:val="00006CD4"/>
    <w:rsid w:val="00006DD0"/>
    <w:rsid w:val="0000761D"/>
    <w:rsid w:val="00010608"/>
    <w:rsid w:val="00010E6D"/>
    <w:rsid w:val="00010FD5"/>
    <w:rsid w:val="00012339"/>
    <w:rsid w:val="0001286F"/>
    <w:rsid w:val="00012A8B"/>
    <w:rsid w:val="000138E8"/>
    <w:rsid w:val="00014B97"/>
    <w:rsid w:val="00014F68"/>
    <w:rsid w:val="00014FBC"/>
    <w:rsid w:val="0001518B"/>
    <w:rsid w:val="000152E2"/>
    <w:rsid w:val="00015AAC"/>
    <w:rsid w:val="00016052"/>
    <w:rsid w:val="00016817"/>
    <w:rsid w:val="00016CA8"/>
    <w:rsid w:val="000170D9"/>
    <w:rsid w:val="000174FA"/>
    <w:rsid w:val="00017629"/>
    <w:rsid w:val="000178CA"/>
    <w:rsid w:val="00020262"/>
    <w:rsid w:val="00020D60"/>
    <w:rsid w:val="00021500"/>
    <w:rsid w:val="00021719"/>
    <w:rsid w:val="00021F43"/>
    <w:rsid w:val="00022510"/>
    <w:rsid w:val="00023FB7"/>
    <w:rsid w:val="00024557"/>
    <w:rsid w:val="00024574"/>
    <w:rsid w:val="00025639"/>
    <w:rsid w:val="0002585E"/>
    <w:rsid w:val="000269BE"/>
    <w:rsid w:val="00026B9E"/>
    <w:rsid w:val="00026F33"/>
    <w:rsid w:val="000278F9"/>
    <w:rsid w:val="00030076"/>
    <w:rsid w:val="000300A5"/>
    <w:rsid w:val="000302A7"/>
    <w:rsid w:val="0003060E"/>
    <w:rsid w:val="00030D5F"/>
    <w:rsid w:val="000314DD"/>
    <w:rsid w:val="00031A99"/>
    <w:rsid w:val="00031E91"/>
    <w:rsid w:val="0003287F"/>
    <w:rsid w:val="00032905"/>
    <w:rsid w:val="00033506"/>
    <w:rsid w:val="00033BCA"/>
    <w:rsid w:val="00033F0C"/>
    <w:rsid w:val="00034A57"/>
    <w:rsid w:val="00034D0A"/>
    <w:rsid w:val="00035D74"/>
    <w:rsid w:val="0004102A"/>
    <w:rsid w:val="000415A4"/>
    <w:rsid w:val="00041DDE"/>
    <w:rsid w:val="00042E00"/>
    <w:rsid w:val="00042F16"/>
    <w:rsid w:val="0004303E"/>
    <w:rsid w:val="00043146"/>
    <w:rsid w:val="00043BB8"/>
    <w:rsid w:val="00043CBE"/>
    <w:rsid w:val="00043DEC"/>
    <w:rsid w:val="00044148"/>
    <w:rsid w:val="000441AF"/>
    <w:rsid w:val="000450BB"/>
    <w:rsid w:val="00046330"/>
    <w:rsid w:val="00046596"/>
    <w:rsid w:val="00046CA6"/>
    <w:rsid w:val="0004750F"/>
    <w:rsid w:val="00047EF1"/>
    <w:rsid w:val="00050454"/>
    <w:rsid w:val="00050875"/>
    <w:rsid w:val="00050BF5"/>
    <w:rsid w:val="0005182D"/>
    <w:rsid w:val="0005219B"/>
    <w:rsid w:val="00052653"/>
    <w:rsid w:val="000529E8"/>
    <w:rsid w:val="000533A8"/>
    <w:rsid w:val="000539AC"/>
    <w:rsid w:val="00053DB7"/>
    <w:rsid w:val="00053E61"/>
    <w:rsid w:val="00054413"/>
    <w:rsid w:val="000551DD"/>
    <w:rsid w:val="0005535D"/>
    <w:rsid w:val="000564A6"/>
    <w:rsid w:val="0005688B"/>
    <w:rsid w:val="00056B1C"/>
    <w:rsid w:val="00057313"/>
    <w:rsid w:val="00057739"/>
    <w:rsid w:val="00057A4F"/>
    <w:rsid w:val="00057F10"/>
    <w:rsid w:val="00060214"/>
    <w:rsid w:val="00060548"/>
    <w:rsid w:val="00060588"/>
    <w:rsid w:val="0006136B"/>
    <w:rsid w:val="00061C0D"/>
    <w:rsid w:val="00062403"/>
    <w:rsid w:val="00062523"/>
    <w:rsid w:val="00062E1F"/>
    <w:rsid w:val="00064400"/>
    <w:rsid w:val="00064670"/>
    <w:rsid w:val="0006548D"/>
    <w:rsid w:val="0006564B"/>
    <w:rsid w:val="00065BAF"/>
    <w:rsid w:val="00065DB0"/>
    <w:rsid w:val="00065FE7"/>
    <w:rsid w:val="00066227"/>
    <w:rsid w:val="000666FA"/>
    <w:rsid w:val="0006709B"/>
    <w:rsid w:val="000670EC"/>
    <w:rsid w:val="000673F0"/>
    <w:rsid w:val="00067FBC"/>
    <w:rsid w:val="00070375"/>
    <w:rsid w:val="0007074A"/>
    <w:rsid w:val="00070972"/>
    <w:rsid w:val="00070F8B"/>
    <w:rsid w:val="000717CF"/>
    <w:rsid w:val="00071B22"/>
    <w:rsid w:val="000721CC"/>
    <w:rsid w:val="000723A0"/>
    <w:rsid w:val="00072A01"/>
    <w:rsid w:val="00073073"/>
    <w:rsid w:val="00073E65"/>
    <w:rsid w:val="00073ECE"/>
    <w:rsid w:val="00075273"/>
    <w:rsid w:val="000757C5"/>
    <w:rsid w:val="00076171"/>
    <w:rsid w:val="000766CB"/>
    <w:rsid w:val="000773C3"/>
    <w:rsid w:val="0007756C"/>
    <w:rsid w:val="000775C3"/>
    <w:rsid w:val="00081196"/>
    <w:rsid w:val="0008151A"/>
    <w:rsid w:val="00081897"/>
    <w:rsid w:val="00081927"/>
    <w:rsid w:val="00081D68"/>
    <w:rsid w:val="00081EAE"/>
    <w:rsid w:val="00081F87"/>
    <w:rsid w:val="0008247A"/>
    <w:rsid w:val="000825E0"/>
    <w:rsid w:val="00082807"/>
    <w:rsid w:val="00082EC8"/>
    <w:rsid w:val="00083113"/>
    <w:rsid w:val="00083299"/>
    <w:rsid w:val="00083F03"/>
    <w:rsid w:val="00083FB0"/>
    <w:rsid w:val="000847D6"/>
    <w:rsid w:val="000848D1"/>
    <w:rsid w:val="00084F05"/>
    <w:rsid w:val="00084F0B"/>
    <w:rsid w:val="00085A4F"/>
    <w:rsid w:val="00085A67"/>
    <w:rsid w:val="00085CD5"/>
    <w:rsid w:val="0008606F"/>
    <w:rsid w:val="00086113"/>
    <w:rsid w:val="00086C13"/>
    <w:rsid w:val="00086F38"/>
    <w:rsid w:val="00086FC2"/>
    <w:rsid w:val="000875AA"/>
    <w:rsid w:val="00087932"/>
    <w:rsid w:val="00090898"/>
    <w:rsid w:val="00090EDB"/>
    <w:rsid w:val="00091316"/>
    <w:rsid w:val="000917D9"/>
    <w:rsid w:val="00091BCA"/>
    <w:rsid w:val="000923E8"/>
    <w:rsid w:val="00092983"/>
    <w:rsid w:val="00092F90"/>
    <w:rsid w:val="00093007"/>
    <w:rsid w:val="00093B1B"/>
    <w:rsid w:val="000940DA"/>
    <w:rsid w:val="00094936"/>
    <w:rsid w:val="00094FBA"/>
    <w:rsid w:val="0009558F"/>
    <w:rsid w:val="000957CF"/>
    <w:rsid w:val="00096610"/>
    <w:rsid w:val="00096967"/>
    <w:rsid w:val="00096A52"/>
    <w:rsid w:val="00096F3B"/>
    <w:rsid w:val="000971C4"/>
    <w:rsid w:val="00097A5A"/>
    <w:rsid w:val="00097AD2"/>
    <w:rsid w:val="00097BDB"/>
    <w:rsid w:val="000A002D"/>
    <w:rsid w:val="000A05D2"/>
    <w:rsid w:val="000A0862"/>
    <w:rsid w:val="000A0E50"/>
    <w:rsid w:val="000A1B2E"/>
    <w:rsid w:val="000A21F6"/>
    <w:rsid w:val="000A2B45"/>
    <w:rsid w:val="000A2DAE"/>
    <w:rsid w:val="000A35BE"/>
    <w:rsid w:val="000A3FBC"/>
    <w:rsid w:val="000A400D"/>
    <w:rsid w:val="000A479D"/>
    <w:rsid w:val="000A4962"/>
    <w:rsid w:val="000A5316"/>
    <w:rsid w:val="000A5446"/>
    <w:rsid w:val="000A599D"/>
    <w:rsid w:val="000A6E5C"/>
    <w:rsid w:val="000A70AA"/>
    <w:rsid w:val="000A7300"/>
    <w:rsid w:val="000A7332"/>
    <w:rsid w:val="000A7652"/>
    <w:rsid w:val="000B009A"/>
    <w:rsid w:val="000B0B86"/>
    <w:rsid w:val="000B120F"/>
    <w:rsid w:val="000B1D1B"/>
    <w:rsid w:val="000B1F0B"/>
    <w:rsid w:val="000B3708"/>
    <w:rsid w:val="000B3714"/>
    <w:rsid w:val="000B3C1B"/>
    <w:rsid w:val="000B4367"/>
    <w:rsid w:val="000B47D0"/>
    <w:rsid w:val="000B5D84"/>
    <w:rsid w:val="000B7521"/>
    <w:rsid w:val="000B796B"/>
    <w:rsid w:val="000B7B13"/>
    <w:rsid w:val="000C04BB"/>
    <w:rsid w:val="000C083D"/>
    <w:rsid w:val="000C0C19"/>
    <w:rsid w:val="000C1F24"/>
    <w:rsid w:val="000C3137"/>
    <w:rsid w:val="000C3F2B"/>
    <w:rsid w:val="000C46BE"/>
    <w:rsid w:val="000C4997"/>
    <w:rsid w:val="000C50AC"/>
    <w:rsid w:val="000C5C06"/>
    <w:rsid w:val="000C5C52"/>
    <w:rsid w:val="000C5CCF"/>
    <w:rsid w:val="000C6475"/>
    <w:rsid w:val="000C6C10"/>
    <w:rsid w:val="000C6FEC"/>
    <w:rsid w:val="000C7048"/>
    <w:rsid w:val="000C7194"/>
    <w:rsid w:val="000C7399"/>
    <w:rsid w:val="000C75F2"/>
    <w:rsid w:val="000C7681"/>
    <w:rsid w:val="000C77D5"/>
    <w:rsid w:val="000D0F9A"/>
    <w:rsid w:val="000D1629"/>
    <w:rsid w:val="000D16EE"/>
    <w:rsid w:val="000D1738"/>
    <w:rsid w:val="000D231D"/>
    <w:rsid w:val="000D2338"/>
    <w:rsid w:val="000D2C5D"/>
    <w:rsid w:val="000D3359"/>
    <w:rsid w:val="000D347B"/>
    <w:rsid w:val="000D3610"/>
    <w:rsid w:val="000D3B2B"/>
    <w:rsid w:val="000D3E13"/>
    <w:rsid w:val="000D3E35"/>
    <w:rsid w:val="000D5101"/>
    <w:rsid w:val="000D54DD"/>
    <w:rsid w:val="000D6285"/>
    <w:rsid w:val="000D62F7"/>
    <w:rsid w:val="000D6BFC"/>
    <w:rsid w:val="000D76AF"/>
    <w:rsid w:val="000E07F4"/>
    <w:rsid w:val="000E08B5"/>
    <w:rsid w:val="000E116F"/>
    <w:rsid w:val="000E16A5"/>
    <w:rsid w:val="000E2355"/>
    <w:rsid w:val="000E2F4B"/>
    <w:rsid w:val="000E3208"/>
    <w:rsid w:val="000E3305"/>
    <w:rsid w:val="000E3A61"/>
    <w:rsid w:val="000E3F6F"/>
    <w:rsid w:val="000E43B4"/>
    <w:rsid w:val="000E4C4D"/>
    <w:rsid w:val="000E4F17"/>
    <w:rsid w:val="000E5764"/>
    <w:rsid w:val="000E5A01"/>
    <w:rsid w:val="000E5AEF"/>
    <w:rsid w:val="000E64A2"/>
    <w:rsid w:val="000E65E2"/>
    <w:rsid w:val="000E661E"/>
    <w:rsid w:val="000E73DC"/>
    <w:rsid w:val="000E7592"/>
    <w:rsid w:val="000E798A"/>
    <w:rsid w:val="000E7DCB"/>
    <w:rsid w:val="000E7EB1"/>
    <w:rsid w:val="000F020E"/>
    <w:rsid w:val="000F048E"/>
    <w:rsid w:val="000F0D43"/>
    <w:rsid w:val="000F137E"/>
    <w:rsid w:val="000F1A2C"/>
    <w:rsid w:val="000F1C76"/>
    <w:rsid w:val="000F30E0"/>
    <w:rsid w:val="000F353D"/>
    <w:rsid w:val="000F3678"/>
    <w:rsid w:val="000F38C4"/>
    <w:rsid w:val="000F4155"/>
    <w:rsid w:val="000F431F"/>
    <w:rsid w:val="000F5519"/>
    <w:rsid w:val="000F5D1B"/>
    <w:rsid w:val="000F5E1B"/>
    <w:rsid w:val="000F5FFF"/>
    <w:rsid w:val="000F6341"/>
    <w:rsid w:val="000F643A"/>
    <w:rsid w:val="000F7361"/>
    <w:rsid w:val="000F7B3A"/>
    <w:rsid w:val="0010019C"/>
    <w:rsid w:val="001003DD"/>
    <w:rsid w:val="00100636"/>
    <w:rsid w:val="001008B1"/>
    <w:rsid w:val="00100904"/>
    <w:rsid w:val="00100C41"/>
    <w:rsid w:val="00100EA8"/>
    <w:rsid w:val="0010111B"/>
    <w:rsid w:val="00102434"/>
    <w:rsid w:val="001026C7"/>
    <w:rsid w:val="0010279E"/>
    <w:rsid w:val="00102910"/>
    <w:rsid w:val="00102E88"/>
    <w:rsid w:val="00103C6F"/>
    <w:rsid w:val="00103DE9"/>
    <w:rsid w:val="0010431C"/>
    <w:rsid w:val="0010516E"/>
    <w:rsid w:val="00105BFD"/>
    <w:rsid w:val="001062F6"/>
    <w:rsid w:val="00106D82"/>
    <w:rsid w:val="00107F80"/>
    <w:rsid w:val="00110200"/>
    <w:rsid w:val="001103AB"/>
    <w:rsid w:val="00110674"/>
    <w:rsid w:val="00110A0B"/>
    <w:rsid w:val="001115D3"/>
    <w:rsid w:val="00112215"/>
    <w:rsid w:val="00112645"/>
    <w:rsid w:val="00112EAF"/>
    <w:rsid w:val="00113F44"/>
    <w:rsid w:val="00114184"/>
    <w:rsid w:val="0011420B"/>
    <w:rsid w:val="00114307"/>
    <w:rsid w:val="0011483E"/>
    <w:rsid w:val="00114977"/>
    <w:rsid w:val="00115B7A"/>
    <w:rsid w:val="001165D8"/>
    <w:rsid w:val="0011689D"/>
    <w:rsid w:val="001177A7"/>
    <w:rsid w:val="00117A8D"/>
    <w:rsid w:val="00120585"/>
    <w:rsid w:val="00120E35"/>
    <w:rsid w:val="00120EB3"/>
    <w:rsid w:val="00120FDD"/>
    <w:rsid w:val="00121257"/>
    <w:rsid w:val="001226ED"/>
    <w:rsid w:val="00125418"/>
    <w:rsid w:val="00125C71"/>
    <w:rsid w:val="001272EB"/>
    <w:rsid w:val="00127520"/>
    <w:rsid w:val="00127676"/>
    <w:rsid w:val="001301F5"/>
    <w:rsid w:val="00130493"/>
    <w:rsid w:val="0013103F"/>
    <w:rsid w:val="00131847"/>
    <w:rsid w:val="001322B5"/>
    <w:rsid w:val="001323B1"/>
    <w:rsid w:val="00132989"/>
    <w:rsid w:val="00132D1F"/>
    <w:rsid w:val="00132D9F"/>
    <w:rsid w:val="001335D0"/>
    <w:rsid w:val="001339B3"/>
    <w:rsid w:val="00134244"/>
    <w:rsid w:val="001347BD"/>
    <w:rsid w:val="001363F7"/>
    <w:rsid w:val="0014132E"/>
    <w:rsid w:val="0014137B"/>
    <w:rsid w:val="001415AE"/>
    <w:rsid w:val="00141798"/>
    <w:rsid w:val="0014189B"/>
    <w:rsid w:val="00141F12"/>
    <w:rsid w:val="0014206B"/>
    <w:rsid w:val="00142786"/>
    <w:rsid w:val="00142A8F"/>
    <w:rsid w:val="00142D7F"/>
    <w:rsid w:val="001431A7"/>
    <w:rsid w:val="0014405F"/>
    <w:rsid w:val="00144522"/>
    <w:rsid w:val="00144896"/>
    <w:rsid w:val="0014513B"/>
    <w:rsid w:val="00145177"/>
    <w:rsid w:val="001456B9"/>
    <w:rsid w:val="001459E0"/>
    <w:rsid w:val="0014608C"/>
    <w:rsid w:val="00146B9D"/>
    <w:rsid w:val="00146DC5"/>
    <w:rsid w:val="001470FE"/>
    <w:rsid w:val="0015139D"/>
    <w:rsid w:val="00151611"/>
    <w:rsid w:val="001517B7"/>
    <w:rsid w:val="00151AA0"/>
    <w:rsid w:val="00152169"/>
    <w:rsid w:val="001524D6"/>
    <w:rsid w:val="001525E0"/>
    <w:rsid w:val="00152FA8"/>
    <w:rsid w:val="00153547"/>
    <w:rsid w:val="001536B2"/>
    <w:rsid w:val="00153845"/>
    <w:rsid w:val="0015419D"/>
    <w:rsid w:val="001542D2"/>
    <w:rsid w:val="00154EB3"/>
    <w:rsid w:val="00155A8B"/>
    <w:rsid w:val="00156B63"/>
    <w:rsid w:val="00156C0E"/>
    <w:rsid w:val="00156F8C"/>
    <w:rsid w:val="001572E4"/>
    <w:rsid w:val="00157E73"/>
    <w:rsid w:val="00160715"/>
    <w:rsid w:val="00161818"/>
    <w:rsid w:val="00161F22"/>
    <w:rsid w:val="00161F80"/>
    <w:rsid w:val="00162CFE"/>
    <w:rsid w:val="00162FDE"/>
    <w:rsid w:val="001632D0"/>
    <w:rsid w:val="00164E84"/>
    <w:rsid w:val="001656D8"/>
    <w:rsid w:val="00165F9B"/>
    <w:rsid w:val="001662FC"/>
    <w:rsid w:val="001679A0"/>
    <w:rsid w:val="0017019A"/>
    <w:rsid w:val="00170CC1"/>
    <w:rsid w:val="00171499"/>
    <w:rsid w:val="00171AE9"/>
    <w:rsid w:val="00171D9B"/>
    <w:rsid w:val="001721B9"/>
    <w:rsid w:val="00172722"/>
    <w:rsid w:val="00172D66"/>
    <w:rsid w:val="00173076"/>
    <w:rsid w:val="0017387D"/>
    <w:rsid w:val="0017392D"/>
    <w:rsid w:val="0017513F"/>
    <w:rsid w:val="001766E6"/>
    <w:rsid w:val="00176BA3"/>
    <w:rsid w:val="00177282"/>
    <w:rsid w:val="001774A3"/>
    <w:rsid w:val="00180E8B"/>
    <w:rsid w:val="00181078"/>
    <w:rsid w:val="00182427"/>
    <w:rsid w:val="001825B5"/>
    <w:rsid w:val="001826BE"/>
    <w:rsid w:val="00182C2F"/>
    <w:rsid w:val="001833A9"/>
    <w:rsid w:val="001840B5"/>
    <w:rsid w:val="001841A4"/>
    <w:rsid w:val="00184621"/>
    <w:rsid w:val="0018469F"/>
    <w:rsid w:val="00184A0B"/>
    <w:rsid w:val="00184E52"/>
    <w:rsid w:val="00185464"/>
    <w:rsid w:val="00185741"/>
    <w:rsid w:val="00185B00"/>
    <w:rsid w:val="001861F2"/>
    <w:rsid w:val="00186525"/>
    <w:rsid w:val="001871F2"/>
    <w:rsid w:val="00187B7C"/>
    <w:rsid w:val="00187FB6"/>
    <w:rsid w:val="001903D5"/>
    <w:rsid w:val="001904A3"/>
    <w:rsid w:val="00190964"/>
    <w:rsid w:val="00190F3E"/>
    <w:rsid w:val="00191AB9"/>
    <w:rsid w:val="001920A2"/>
    <w:rsid w:val="00192AB1"/>
    <w:rsid w:val="00192AEC"/>
    <w:rsid w:val="00193664"/>
    <w:rsid w:val="001938FF"/>
    <w:rsid w:val="00193CE9"/>
    <w:rsid w:val="00194068"/>
    <w:rsid w:val="00194094"/>
    <w:rsid w:val="00194100"/>
    <w:rsid w:val="0019520C"/>
    <w:rsid w:val="00195297"/>
    <w:rsid w:val="0019626D"/>
    <w:rsid w:val="001965E6"/>
    <w:rsid w:val="00196FA1"/>
    <w:rsid w:val="001A058A"/>
    <w:rsid w:val="001A0D96"/>
    <w:rsid w:val="001A1029"/>
    <w:rsid w:val="001A1D07"/>
    <w:rsid w:val="001A2354"/>
    <w:rsid w:val="001A29A2"/>
    <w:rsid w:val="001A3CFF"/>
    <w:rsid w:val="001A4524"/>
    <w:rsid w:val="001A60ED"/>
    <w:rsid w:val="001A6452"/>
    <w:rsid w:val="001A6983"/>
    <w:rsid w:val="001A70AB"/>
    <w:rsid w:val="001A741F"/>
    <w:rsid w:val="001A7449"/>
    <w:rsid w:val="001A7B31"/>
    <w:rsid w:val="001B00AB"/>
    <w:rsid w:val="001B061A"/>
    <w:rsid w:val="001B0B94"/>
    <w:rsid w:val="001B0C8C"/>
    <w:rsid w:val="001B0CE3"/>
    <w:rsid w:val="001B14A8"/>
    <w:rsid w:val="001B19FE"/>
    <w:rsid w:val="001B1A0C"/>
    <w:rsid w:val="001B1B45"/>
    <w:rsid w:val="001B1F4E"/>
    <w:rsid w:val="001B5601"/>
    <w:rsid w:val="001B619D"/>
    <w:rsid w:val="001B62B0"/>
    <w:rsid w:val="001B69DC"/>
    <w:rsid w:val="001B6F09"/>
    <w:rsid w:val="001B764A"/>
    <w:rsid w:val="001B7DCA"/>
    <w:rsid w:val="001B7F2E"/>
    <w:rsid w:val="001B7FF7"/>
    <w:rsid w:val="001C025E"/>
    <w:rsid w:val="001C0CC1"/>
    <w:rsid w:val="001C0D7C"/>
    <w:rsid w:val="001C1977"/>
    <w:rsid w:val="001C1BC5"/>
    <w:rsid w:val="001C2723"/>
    <w:rsid w:val="001C282E"/>
    <w:rsid w:val="001C319D"/>
    <w:rsid w:val="001C407B"/>
    <w:rsid w:val="001C4A55"/>
    <w:rsid w:val="001C4C0C"/>
    <w:rsid w:val="001C4F1F"/>
    <w:rsid w:val="001C5CA6"/>
    <w:rsid w:val="001C5DAF"/>
    <w:rsid w:val="001C6293"/>
    <w:rsid w:val="001C6418"/>
    <w:rsid w:val="001C6637"/>
    <w:rsid w:val="001C6AFB"/>
    <w:rsid w:val="001C7742"/>
    <w:rsid w:val="001D05DC"/>
    <w:rsid w:val="001D06FF"/>
    <w:rsid w:val="001D0CBD"/>
    <w:rsid w:val="001D1CC5"/>
    <w:rsid w:val="001D22A7"/>
    <w:rsid w:val="001D3E35"/>
    <w:rsid w:val="001D44F2"/>
    <w:rsid w:val="001D568B"/>
    <w:rsid w:val="001D6972"/>
    <w:rsid w:val="001D700C"/>
    <w:rsid w:val="001D7077"/>
    <w:rsid w:val="001D76BD"/>
    <w:rsid w:val="001D7B29"/>
    <w:rsid w:val="001D7B7A"/>
    <w:rsid w:val="001D7F1B"/>
    <w:rsid w:val="001E0092"/>
    <w:rsid w:val="001E061B"/>
    <w:rsid w:val="001E0C96"/>
    <w:rsid w:val="001E0CA8"/>
    <w:rsid w:val="001E221A"/>
    <w:rsid w:val="001E24E6"/>
    <w:rsid w:val="001E2587"/>
    <w:rsid w:val="001E27AB"/>
    <w:rsid w:val="001E3143"/>
    <w:rsid w:val="001E4458"/>
    <w:rsid w:val="001E47EB"/>
    <w:rsid w:val="001E4DBE"/>
    <w:rsid w:val="001E570A"/>
    <w:rsid w:val="001E6474"/>
    <w:rsid w:val="001E742D"/>
    <w:rsid w:val="001E76D4"/>
    <w:rsid w:val="001E77F0"/>
    <w:rsid w:val="001E79D4"/>
    <w:rsid w:val="001E7A35"/>
    <w:rsid w:val="001F01E3"/>
    <w:rsid w:val="001F069E"/>
    <w:rsid w:val="001F11BC"/>
    <w:rsid w:val="001F132C"/>
    <w:rsid w:val="001F2422"/>
    <w:rsid w:val="001F2B1D"/>
    <w:rsid w:val="001F393F"/>
    <w:rsid w:val="001F3DF8"/>
    <w:rsid w:val="001F3EDD"/>
    <w:rsid w:val="001F438C"/>
    <w:rsid w:val="001F44A0"/>
    <w:rsid w:val="001F4AF2"/>
    <w:rsid w:val="001F4D7F"/>
    <w:rsid w:val="001F515A"/>
    <w:rsid w:val="001F52DD"/>
    <w:rsid w:val="001F5360"/>
    <w:rsid w:val="001F54C7"/>
    <w:rsid w:val="001F5D70"/>
    <w:rsid w:val="001F60D1"/>
    <w:rsid w:val="0020071C"/>
    <w:rsid w:val="00200EDB"/>
    <w:rsid w:val="0020145B"/>
    <w:rsid w:val="0020208F"/>
    <w:rsid w:val="002029C2"/>
    <w:rsid w:val="00202ABF"/>
    <w:rsid w:val="002034A8"/>
    <w:rsid w:val="00203D08"/>
    <w:rsid w:val="002040F7"/>
    <w:rsid w:val="002041D1"/>
    <w:rsid w:val="00204796"/>
    <w:rsid w:val="00204805"/>
    <w:rsid w:val="00205C77"/>
    <w:rsid w:val="002061B8"/>
    <w:rsid w:val="00206747"/>
    <w:rsid w:val="00206905"/>
    <w:rsid w:val="00206B19"/>
    <w:rsid w:val="002073AF"/>
    <w:rsid w:val="00207D2A"/>
    <w:rsid w:val="0021064C"/>
    <w:rsid w:val="00210EB5"/>
    <w:rsid w:val="0021148B"/>
    <w:rsid w:val="00211835"/>
    <w:rsid w:val="002122CB"/>
    <w:rsid w:val="00212811"/>
    <w:rsid w:val="00212A98"/>
    <w:rsid w:val="00212B5A"/>
    <w:rsid w:val="00213887"/>
    <w:rsid w:val="00213B73"/>
    <w:rsid w:val="00214229"/>
    <w:rsid w:val="0021492C"/>
    <w:rsid w:val="0021493B"/>
    <w:rsid w:val="0021505B"/>
    <w:rsid w:val="00215A75"/>
    <w:rsid w:val="00215ED4"/>
    <w:rsid w:val="00215F57"/>
    <w:rsid w:val="002160E6"/>
    <w:rsid w:val="0021637A"/>
    <w:rsid w:val="00216B58"/>
    <w:rsid w:val="00216DA2"/>
    <w:rsid w:val="00216FA5"/>
    <w:rsid w:val="0021719E"/>
    <w:rsid w:val="002206FE"/>
    <w:rsid w:val="002208C8"/>
    <w:rsid w:val="00220903"/>
    <w:rsid w:val="00220907"/>
    <w:rsid w:val="00220A0A"/>
    <w:rsid w:val="00221169"/>
    <w:rsid w:val="00221407"/>
    <w:rsid w:val="002214B9"/>
    <w:rsid w:val="00221831"/>
    <w:rsid w:val="0022206C"/>
    <w:rsid w:val="00222D95"/>
    <w:rsid w:val="002239ED"/>
    <w:rsid w:val="00223F91"/>
    <w:rsid w:val="00223F99"/>
    <w:rsid w:val="002243F2"/>
    <w:rsid w:val="00224440"/>
    <w:rsid w:val="002247BA"/>
    <w:rsid w:val="00224AFE"/>
    <w:rsid w:val="002250E2"/>
    <w:rsid w:val="00225273"/>
    <w:rsid w:val="00225954"/>
    <w:rsid w:val="002259F8"/>
    <w:rsid w:val="00225B0D"/>
    <w:rsid w:val="0022646A"/>
    <w:rsid w:val="0022686D"/>
    <w:rsid w:val="00226DEA"/>
    <w:rsid w:val="00226FA6"/>
    <w:rsid w:val="00227226"/>
    <w:rsid w:val="00227A11"/>
    <w:rsid w:val="00230028"/>
    <w:rsid w:val="00230072"/>
    <w:rsid w:val="0023010D"/>
    <w:rsid w:val="00230397"/>
    <w:rsid w:val="0023222F"/>
    <w:rsid w:val="0023228E"/>
    <w:rsid w:val="002323C8"/>
    <w:rsid w:val="00232AF6"/>
    <w:rsid w:val="002330F5"/>
    <w:rsid w:val="002339F7"/>
    <w:rsid w:val="00233B3C"/>
    <w:rsid w:val="00233E54"/>
    <w:rsid w:val="00234693"/>
    <w:rsid w:val="00234FBB"/>
    <w:rsid w:val="00235353"/>
    <w:rsid w:val="002363FF"/>
    <w:rsid w:val="00236C1E"/>
    <w:rsid w:val="00236EB4"/>
    <w:rsid w:val="002376C7"/>
    <w:rsid w:val="0024037F"/>
    <w:rsid w:val="0024070A"/>
    <w:rsid w:val="0024169E"/>
    <w:rsid w:val="00242096"/>
    <w:rsid w:val="00243A3F"/>
    <w:rsid w:val="00243A94"/>
    <w:rsid w:val="00243AC6"/>
    <w:rsid w:val="00243D86"/>
    <w:rsid w:val="00243F80"/>
    <w:rsid w:val="0024404A"/>
    <w:rsid w:val="002442C0"/>
    <w:rsid w:val="00244E63"/>
    <w:rsid w:val="0024654B"/>
    <w:rsid w:val="0024678E"/>
    <w:rsid w:val="00246A26"/>
    <w:rsid w:val="00246F4C"/>
    <w:rsid w:val="0024737C"/>
    <w:rsid w:val="00247716"/>
    <w:rsid w:val="00247B55"/>
    <w:rsid w:val="0025035B"/>
    <w:rsid w:val="00250A5C"/>
    <w:rsid w:val="00250F8D"/>
    <w:rsid w:val="00250FE8"/>
    <w:rsid w:val="002511CD"/>
    <w:rsid w:val="0025389B"/>
    <w:rsid w:val="0025395E"/>
    <w:rsid w:val="00253EA1"/>
    <w:rsid w:val="00254178"/>
    <w:rsid w:val="00254E8A"/>
    <w:rsid w:val="002552FE"/>
    <w:rsid w:val="00255735"/>
    <w:rsid w:val="00255B22"/>
    <w:rsid w:val="00255C6C"/>
    <w:rsid w:val="0025627E"/>
    <w:rsid w:val="002562D4"/>
    <w:rsid w:val="002570F9"/>
    <w:rsid w:val="0025759E"/>
    <w:rsid w:val="00257C00"/>
    <w:rsid w:val="00260525"/>
    <w:rsid w:val="0026088E"/>
    <w:rsid w:val="002608EA"/>
    <w:rsid w:val="002612D0"/>
    <w:rsid w:val="00261667"/>
    <w:rsid w:val="002617C7"/>
    <w:rsid w:val="00261BD1"/>
    <w:rsid w:val="002627C5"/>
    <w:rsid w:val="00262CD1"/>
    <w:rsid w:val="00262D8A"/>
    <w:rsid w:val="00262F65"/>
    <w:rsid w:val="002630F3"/>
    <w:rsid w:val="00263137"/>
    <w:rsid w:val="0026316D"/>
    <w:rsid w:val="002646AC"/>
    <w:rsid w:val="002646F5"/>
    <w:rsid w:val="00264AE7"/>
    <w:rsid w:val="00264C68"/>
    <w:rsid w:val="002660FD"/>
    <w:rsid w:val="002664AD"/>
    <w:rsid w:val="00266DBE"/>
    <w:rsid w:val="00267D9D"/>
    <w:rsid w:val="00270563"/>
    <w:rsid w:val="00270732"/>
    <w:rsid w:val="00270B23"/>
    <w:rsid w:val="00270E61"/>
    <w:rsid w:val="00272279"/>
    <w:rsid w:val="002724EF"/>
    <w:rsid w:val="0027269D"/>
    <w:rsid w:val="00272A06"/>
    <w:rsid w:val="002734C3"/>
    <w:rsid w:val="00273D39"/>
    <w:rsid w:val="00274047"/>
    <w:rsid w:val="00274A79"/>
    <w:rsid w:val="00275799"/>
    <w:rsid w:val="00277620"/>
    <w:rsid w:val="00277676"/>
    <w:rsid w:val="00277981"/>
    <w:rsid w:val="00277DCD"/>
    <w:rsid w:val="00280B26"/>
    <w:rsid w:val="002811ED"/>
    <w:rsid w:val="002815E1"/>
    <w:rsid w:val="00282162"/>
    <w:rsid w:val="002834B1"/>
    <w:rsid w:val="00283AEB"/>
    <w:rsid w:val="00283D78"/>
    <w:rsid w:val="00284059"/>
    <w:rsid w:val="0028439D"/>
    <w:rsid w:val="002844C9"/>
    <w:rsid w:val="00284652"/>
    <w:rsid w:val="002848AE"/>
    <w:rsid w:val="00284929"/>
    <w:rsid w:val="00284B87"/>
    <w:rsid w:val="00284BF6"/>
    <w:rsid w:val="0028564C"/>
    <w:rsid w:val="00285C9E"/>
    <w:rsid w:val="00286162"/>
    <w:rsid w:val="00286719"/>
    <w:rsid w:val="00286F0B"/>
    <w:rsid w:val="00287BB9"/>
    <w:rsid w:val="0029041F"/>
    <w:rsid w:val="0029054F"/>
    <w:rsid w:val="00290FCE"/>
    <w:rsid w:val="00291344"/>
    <w:rsid w:val="00292047"/>
    <w:rsid w:val="00292757"/>
    <w:rsid w:val="002927CA"/>
    <w:rsid w:val="002927EC"/>
    <w:rsid w:val="0029296F"/>
    <w:rsid w:val="002947BA"/>
    <w:rsid w:val="00294BE5"/>
    <w:rsid w:val="00294DA6"/>
    <w:rsid w:val="00295162"/>
    <w:rsid w:val="0029577C"/>
    <w:rsid w:val="002960EB"/>
    <w:rsid w:val="002965EF"/>
    <w:rsid w:val="0029666A"/>
    <w:rsid w:val="00296958"/>
    <w:rsid w:val="00296CAE"/>
    <w:rsid w:val="0029712F"/>
    <w:rsid w:val="002973EC"/>
    <w:rsid w:val="00297EF4"/>
    <w:rsid w:val="002A010C"/>
    <w:rsid w:val="002A030C"/>
    <w:rsid w:val="002A0B23"/>
    <w:rsid w:val="002A0BC7"/>
    <w:rsid w:val="002A0EB7"/>
    <w:rsid w:val="002A0EE3"/>
    <w:rsid w:val="002A16E2"/>
    <w:rsid w:val="002A1D95"/>
    <w:rsid w:val="002A3A9E"/>
    <w:rsid w:val="002A40CA"/>
    <w:rsid w:val="002A48E7"/>
    <w:rsid w:val="002A4A4E"/>
    <w:rsid w:val="002A5340"/>
    <w:rsid w:val="002A53B4"/>
    <w:rsid w:val="002A6B94"/>
    <w:rsid w:val="002A7461"/>
    <w:rsid w:val="002A7855"/>
    <w:rsid w:val="002A7FB7"/>
    <w:rsid w:val="002A7FE9"/>
    <w:rsid w:val="002B0517"/>
    <w:rsid w:val="002B0C9E"/>
    <w:rsid w:val="002B1407"/>
    <w:rsid w:val="002B2062"/>
    <w:rsid w:val="002B22E8"/>
    <w:rsid w:val="002B2361"/>
    <w:rsid w:val="002B30D5"/>
    <w:rsid w:val="002B318B"/>
    <w:rsid w:val="002B4143"/>
    <w:rsid w:val="002B5758"/>
    <w:rsid w:val="002B635B"/>
    <w:rsid w:val="002B6E09"/>
    <w:rsid w:val="002B738B"/>
    <w:rsid w:val="002B76F4"/>
    <w:rsid w:val="002B7E6D"/>
    <w:rsid w:val="002C01C7"/>
    <w:rsid w:val="002C0715"/>
    <w:rsid w:val="002C0D59"/>
    <w:rsid w:val="002C2B2C"/>
    <w:rsid w:val="002C2B97"/>
    <w:rsid w:val="002C2DB6"/>
    <w:rsid w:val="002C2FB5"/>
    <w:rsid w:val="002C309C"/>
    <w:rsid w:val="002C349F"/>
    <w:rsid w:val="002C3C7C"/>
    <w:rsid w:val="002C42FB"/>
    <w:rsid w:val="002C473E"/>
    <w:rsid w:val="002C4FEB"/>
    <w:rsid w:val="002C5326"/>
    <w:rsid w:val="002C5BCE"/>
    <w:rsid w:val="002C622F"/>
    <w:rsid w:val="002C6D9F"/>
    <w:rsid w:val="002C6EFF"/>
    <w:rsid w:val="002C723B"/>
    <w:rsid w:val="002D0878"/>
    <w:rsid w:val="002D0C88"/>
    <w:rsid w:val="002D10A0"/>
    <w:rsid w:val="002D1700"/>
    <w:rsid w:val="002D18D7"/>
    <w:rsid w:val="002D1FD9"/>
    <w:rsid w:val="002D27BF"/>
    <w:rsid w:val="002D2B0A"/>
    <w:rsid w:val="002D3744"/>
    <w:rsid w:val="002D3F6D"/>
    <w:rsid w:val="002D4A22"/>
    <w:rsid w:val="002D504B"/>
    <w:rsid w:val="002D6B14"/>
    <w:rsid w:val="002D7126"/>
    <w:rsid w:val="002D7367"/>
    <w:rsid w:val="002D7907"/>
    <w:rsid w:val="002D7DAF"/>
    <w:rsid w:val="002D7FE6"/>
    <w:rsid w:val="002E092A"/>
    <w:rsid w:val="002E0FEB"/>
    <w:rsid w:val="002E1601"/>
    <w:rsid w:val="002E19BC"/>
    <w:rsid w:val="002E2919"/>
    <w:rsid w:val="002E2B66"/>
    <w:rsid w:val="002E2FE9"/>
    <w:rsid w:val="002E340F"/>
    <w:rsid w:val="002E3B1C"/>
    <w:rsid w:val="002E3CF6"/>
    <w:rsid w:val="002E3FD3"/>
    <w:rsid w:val="002E45EC"/>
    <w:rsid w:val="002E4C56"/>
    <w:rsid w:val="002E4F12"/>
    <w:rsid w:val="002E50C5"/>
    <w:rsid w:val="002E5226"/>
    <w:rsid w:val="002E5BE7"/>
    <w:rsid w:val="002E5E6C"/>
    <w:rsid w:val="002E610D"/>
    <w:rsid w:val="002E61A9"/>
    <w:rsid w:val="002E7B39"/>
    <w:rsid w:val="002E7DE7"/>
    <w:rsid w:val="002F05EE"/>
    <w:rsid w:val="002F08DA"/>
    <w:rsid w:val="002F0BFF"/>
    <w:rsid w:val="002F17BC"/>
    <w:rsid w:val="002F219A"/>
    <w:rsid w:val="002F2A0C"/>
    <w:rsid w:val="002F2CF7"/>
    <w:rsid w:val="002F3412"/>
    <w:rsid w:val="002F43D2"/>
    <w:rsid w:val="002F46A1"/>
    <w:rsid w:val="002F4C7A"/>
    <w:rsid w:val="002F4E04"/>
    <w:rsid w:val="002F5158"/>
    <w:rsid w:val="002F6384"/>
    <w:rsid w:val="0030050F"/>
    <w:rsid w:val="003007EB"/>
    <w:rsid w:val="003009D0"/>
    <w:rsid w:val="00301AAA"/>
    <w:rsid w:val="00301C3F"/>
    <w:rsid w:val="003022A3"/>
    <w:rsid w:val="003027AC"/>
    <w:rsid w:val="00302AC1"/>
    <w:rsid w:val="003036D0"/>
    <w:rsid w:val="003036FF"/>
    <w:rsid w:val="00303FB4"/>
    <w:rsid w:val="00304139"/>
    <w:rsid w:val="00305364"/>
    <w:rsid w:val="0030546F"/>
    <w:rsid w:val="00305CA4"/>
    <w:rsid w:val="00306247"/>
    <w:rsid w:val="00306770"/>
    <w:rsid w:val="00307E85"/>
    <w:rsid w:val="00310032"/>
    <w:rsid w:val="003100FB"/>
    <w:rsid w:val="0031076A"/>
    <w:rsid w:val="00310871"/>
    <w:rsid w:val="003108D8"/>
    <w:rsid w:val="00310B65"/>
    <w:rsid w:val="00310DF9"/>
    <w:rsid w:val="003110F8"/>
    <w:rsid w:val="003112A7"/>
    <w:rsid w:val="003119BE"/>
    <w:rsid w:val="0031210F"/>
    <w:rsid w:val="00312F3A"/>
    <w:rsid w:val="003131A3"/>
    <w:rsid w:val="003134F2"/>
    <w:rsid w:val="00313CF9"/>
    <w:rsid w:val="003157F1"/>
    <w:rsid w:val="00315847"/>
    <w:rsid w:val="003171CA"/>
    <w:rsid w:val="003177FB"/>
    <w:rsid w:val="00317C9C"/>
    <w:rsid w:val="00320121"/>
    <w:rsid w:val="00320885"/>
    <w:rsid w:val="00320C04"/>
    <w:rsid w:val="00321A88"/>
    <w:rsid w:val="003236AC"/>
    <w:rsid w:val="00323BBA"/>
    <w:rsid w:val="00323C8D"/>
    <w:rsid w:val="00324126"/>
    <w:rsid w:val="00324DD4"/>
    <w:rsid w:val="003250EA"/>
    <w:rsid w:val="003264A4"/>
    <w:rsid w:val="003273E3"/>
    <w:rsid w:val="003309F6"/>
    <w:rsid w:val="00331403"/>
    <w:rsid w:val="00331547"/>
    <w:rsid w:val="003316DF"/>
    <w:rsid w:val="0033175B"/>
    <w:rsid w:val="00331F26"/>
    <w:rsid w:val="0033368A"/>
    <w:rsid w:val="0033469F"/>
    <w:rsid w:val="0033536F"/>
    <w:rsid w:val="00335376"/>
    <w:rsid w:val="00336DC0"/>
    <w:rsid w:val="00336FE6"/>
    <w:rsid w:val="00337A1E"/>
    <w:rsid w:val="00337AA1"/>
    <w:rsid w:val="003408A8"/>
    <w:rsid w:val="0034126F"/>
    <w:rsid w:val="00341C60"/>
    <w:rsid w:val="003421E1"/>
    <w:rsid w:val="00342B96"/>
    <w:rsid w:val="0034304F"/>
    <w:rsid w:val="00343786"/>
    <w:rsid w:val="0034393F"/>
    <w:rsid w:val="00344189"/>
    <w:rsid w:val="00344802"/>
    <w:rsid w:val="00344A25"/>
    <w:rsid w:val="00344CD2"/>
    <w:rsid w:val="00344EA5"/>
    <w:rsid w:val="00344F28"/>
    <w:rsid w:val="00345466"/>
    <w:rsid w:val="003454C4"/>
    <w:rsid w:val="003460A3"/>
    <w:rsid w:val="00346B5E"/>
    <w:rsid w:val="00346D45"/>
    <w:rsid w:val="00346D59"/>
    <w:rsid w:val="00347671"/>
    <w:rsid w:val="00347D64"/>
    <w:rsid w:val="00347D98"/>
    <w:rsid w:val="00351823"/>
    <w:rsid w:val="00351962"/>
    <w:rsid w:val="003525D5"/>
    <w:rsid w:val="003526DA"/>
    <w:rsid w:val="00352BCC"/>
    <w:rsid w:val="00352FDF"/>
    <w:rsid w:val="00353B20"/>
    <w:rsid w:val="00353E45"/>
    <w:rsid w:val="00354D40"/>
    <w:rsid w:val="003550DA"/>
    <w:rsid w:val="003550F9"/>
    <w:rsid w:val="00355A1B"/>
    <w:rsid w:val="00355F9D"/>
    <w:rsid w:val="00356B1C"/>
    <w:rsid w:val="00357708"/>
    <w:rsid w:val="003578A0"/>
    <w:rsid w:val="0035796F"/>
    <w:rsid w:val="003579C8"/>
    <w:rsid w:val="003604A9"/>
    <w:rsid w:val="00360D8B"/>
    <w:rsid w:val="00360FBB"/>
    <w:rsid w:val="003624A2"/>
    <w:rsid w:val="00362523"/>
    <w:rsid w:val="003627DF"/>
    <w:rsid w:val="003629C8"/>
    <w:rsid w:val="00363249"/>
    <w:rsid w:val="0036326E"/>
    <w:rsid w:val="00363992"/>
    <w:rsid w:val="00363CDE"/>
    <w:rsid w:val="00363ECC"/>
    <w:rsid w:val="00363EE3"/>
    <w:rsid w:val="0036413F"/>
    <w:rsid w:val="0036490A"/>
    <w:rsid w:val="00364FC9"/>
    <w:rsid w:val="00365093"/>
    <w:rsid w:val="003653B3"/>
    <w:rsid w:val="00365974"/>
    <w:rsid w:val="00365F69"/>
    <w:rsid w:val="00365FA5"/>
    <w:rsid w:val="00366878"/>
    <w:rsid w:val="00366A27"/>
    <w:rsid w:val="00366D61"/>
    <w:rsid w:val="00367308"/>
    <w:rsid w:val="003673BA"/>
    <w:rsid w:val="003674E3"/>
    <w:rsid w:val="0036776C"/>
    <w:rsid w:val="003677CC"/>
    <w:rsid w:val="00367F2E"/>
    <w:rsid w:val="00371AC5"/>
    <w:rsid w:val="00372A3D"/>
    <w:rsid w:val="00372AC0"/>
    <w:rsid w:val="003732A2"/>
    <w:rsid w:val="00373B0E"/>
    <w:rsid w:val="00373ED5"/>
    <w:rsid w:val="00374DC0"/>
    <w:rsid w:val="003759DA"/>
    <w:rsid w:val="00375C2D"/>
    <w:rsid w:val="00375E09"/>
    <w:rsid w:val="003764A0"/>
    <w:rsid w:val="00376648"/>
    <w:rsid w:val="00376AE9"/>
    <w:rsid w:val="00377476"/>
    <w:rsid w:val="00377559"/>
    <w:rsid w:val="00381308"/>
    <w:rsid w:val="003813A3"/>
    <w:rsid w:val="00381438"/>
    <w:rsid w:val="00381B43"/>
    <w:rsid w:val="00381BBB"/>
    <w:rsid w:val="00382270"/>
    <w:rsid w:val="003824E4"/>
    <w:rsid w:val="00382B6C"/>
    <w:rsid w:val="00382D54"/>
    <w:rsid w:val="003831D8"/>
    <w:rsid w:val="00383800"/>
    <w:rsid w:val="003842BC"/>
    <w:rsid w:val="003842CA"/>
    <w:rsid w:val="00384D80"/>
    <w:rsid w:val="00384FE3"/>
    <w:rsid w:val="00386077"/>
    <w:rsid w:val="003865B5"/>
    <w:rsid w:val="00386C14"/>
    <w:rsid w:val="00386D5C"/>
    <w:rsid w:val="00386F54"/>
    <w:rsid w:val="00386FC4"/>
    <w:rsid w:val="00387611"/>
    <w:rsid w:val="00387ECB"/>
    <w:rsid w:val="003900E0"/>
    <w:rsid w:val="00391008"/>
    <w:rsid w:val="0039123F"/>
    <w:rsid w:val="00391669"/>
    <w:rsid w:val="00391DED"/>
    <w:rsid w:val="00392B4D"/>
    <w:rsid w:val="00392DA5"/>
    <w:rsid w:val="00392F56"/>
    <w:rsid w:val="00393488"/>
    <w:rsid w:val="00393727"/>
    <w:rsid w:val="00393D03"/>
    <w:rsid w:val="00394103"/>
    <w:rsid w:val="00394CE0"/>
    <w:rsid w:val="0039579C"/>
    <w:rsid w:val="00396850"/>
    <w:rsid w:val="003969E3"/>
    <w:rsid w:val="0039783B"/>
    <w:rsid w:val="00397E44"/>
    <w:rsid w:val="003A01AD"/>
    <w:rsid w:val="003A0B86"/>
    <w:rsid w:val="003A100E"/>
    <w:rsid w:val="003A1115"/>
    <w:rsid w:val="003A120A"/>
    <w:rsid w:val="003A1280"/>
    <w:rsid w:val="003A1766"/>
    <w:rsid w:val="003A2FCE"/>
    <w:rsid w:val="003A3D9C"/>
    <w:rsid w:val="003A3EDA"/>
    <w:rsid w:val="003A4611"/>
    <w:rsid w:val="003A4D87"/>
    <w:rsid w:val="003A50A9"/>
    <w:rsid w:val="003A643F"/>
    <w:rsid w:val="003A6519"/>
    <w:rsid w:val="003A6F02"/>
    <w:rsid w:val="003A71FE"/>
    <w:rsid w:val="003A7802"/>
    <w:rsid w:val="003A7D3F"/>
    <w:rsid w:val="003A7D70"/>
    <w:rsid w:val="003B0640"/>
    <w:rsid w:val="003B0C2B"/>
    <w:rsid w:val="003B1346"/>
    <w:rsid w:val="003B3999"/>
    <w:rsid w:val="003B4432"/>
    <w:rsid w:val="003B4546"/>
    <w:rsid w:val="003B4FD8"/>
    <w:rsid w:val="003B52DE"/>
    <w:rsid w:val="003B5B06"/>
    <w:rsid w:val="003B5FAF"/>
    <w:rsid w:val="003B609D"/>
    <w:rsid w:val="003B6470"/>
    <w:rsid w:val="003B7A1B"/>
    <w:rsid w:val="003B7F4D"/>
    <w:rsid w:val="003C0311"/>
    <w:rsid w:val="003C03BE"/>
    <w:rsid w:val="003C1206"/>
    <w:rsid w:val="003C1375"/>
    <w:rsid w:val="003C155E"/>
    <w:rsid w:val="003C1584"/>
    <w:rsid w:val="003C2008"/>
    <w:rsid w:val="003C282D"/>
    <w:rsid w:val="003C2FFB"/>
    <w:rsid w:val="003C3057"/>
    <w:rsid w:val="003C320F"/>
    <w:rsid w:val="003C322B"/>
    <w:rsid w:val="003C3351"/>
    <w:rsid w:val="003C378B"/>
    <w:rsid w:val="003C4FF0"/>
    <w:rsid w:val="003C584C"/>
    <w:rsid w:val="003C6495"/>
    <w:rsid w:val="003D06E0"/>
    <w:rsid w:val="003D0A0E"/>
    <w:rsid w:val="003D0B4D"/>
    <w:rsid w:val="003D1B29"/>
    <w:rsid w:val="003D1E3E"/>
    <w:rsid w:val="003D1E62"/>
    <w:rsid w:val="003D2B6A"/>
    <w:rsid w:val="003D2C9C"/>
    <w:rsid w:val="003D356F"/>
    <w:rsid w:val="003D3894"/>
    <w:rsid w:val="003D4511"/>
    <w:rsid w:val="003D45C0"/>
    <w:rsid w:val="003D47FE"/>
    <w:rsid w:val="003D48A6"/>
    <w:rsid w:val="003D4B54"/>
    <w:rsid w:val="003D5EE2"/>
    <w:rsid w:val="003D624F"/>
    <w:rsid w:val="003D632C"/>
    <w:rsid w:val="003D69F6"/>
    <w:rsid w:val="003D6B61"/>
    <w:rsid w:val="003D6FF5"/>
    <w:rsid w:val="003E08E7"/>
    <w:rsid w:val="003E13BE"/>
    <w:rsid w:val="003E25A1"/>
    <w:rsid w:val="003E2D01"/>
    <w:rsid w:val="003E2EC7"/>
    <w:rsid w:val="003E370E"/>
    <w:rsid w:val="003E39B0"/>
    <w:rsid w:val="003E3C47"/>
    <w:rsid w:val="003E4554"/>
    <w:rsid w:val="003E5A0B"/>
    <w:rsid w:val="003E6F38"/>
    <w:rsid w:val="003F059D"/>
    <w:rsid w:val="003F0B2E"/>
    <w:rsid w:val="003F131A"/>
    <w:rsid w:val="003F13F3"/>
    <w:rsid w:val="003F1FBA"/>
    <w:rsid w:val="003F2991"/>
    <w:rsid w:val="003F2F2A"/>
    <w:rsid w:val="003F2F31"/>
    <w:rsid w:val="003F3699"/>
    <w:rsid w:val="003F3A6D"/>
    <w:rsid w:val="003F4579"/>
    <w:rsid w:val="003F4978"/>
    <w:rsid w:val="003F4E1D"/>
    <w:rsid w:val="003F4EB5"/>
    <w:rsid w:val="003F55DC"/>
    <w:rsid w:val="003F650F"/>
    <w:rsid w:val="003F690A"/>
    <w:rsid w:val="003F77A1"/>
    <w:rsid w:val="003F78D8"/>
    <w:rsid w:val="003F7AC3"/>
    <w:rsid w:val="0040008E"/>
    <w:rsid w:val="004006AA"/>
    <w:rsid w:val="0040087C"/>
    <w:rsid w:val="00401348"/>
    <w:rsid w:val="004014E7"/>
    <w:rsid w:val="00401A9E"/>
    <w:rsid w:val="00402406"/>
    <w:rsid w:val="0040257E"/>
    <w:rsid w:val="00402ABD"/>
    <w:rsid w:val="00402B09"/>
    <w:rsid w:val="00402D05"/>
    <w:rsid w:val="0040360E"/>
    <w:rsid w:val="0040410C"/>
    <w:rsid w:val="0040416C"/>
    <w:rsid w:val="004042AA"/>
    <w:rsid w:val="0040437B"/>
    <w:rsid w:val="00404518"/>
    <w:rsid w:val="00404E48"/>
    <w:rsid w:val="00405147"/>
    <w:rsid w:val="004057E5"/>
    <w:rsid w:val="00405972"/>
    <w:rsid w:val="004062D1"/>
    <w:rsid w:val="00407A06"/>
    <w:rsid w:val="00410076"/>
    <w:rsid w:val="00410D52"/>
    <w:rsid w:val="004127CD"/>
    <w:rsid w:val="004127E4"/>
    <w:rsid w:val="00413653"/>
    <w:rsid w:val="004144B6"/>
    <w:rsid w:val="004149C6"/>
    <w:rsid w:val="00414BC2"/>
    <w:rsid w:val="00415197"/>
    <w:rsid w:val="00415687"/>
    <w:rsid w:val="0041571E"/>
    <w:rsid w:val="00415864"/>
    <w:rsid w:val="00415C92"/>
    <w:rsid w:val="00415F94"/>
    <w:rsid w:val="004163EA"/>
    <w:rsid w:val="00417306"/>
    <w:rsid w:val="00417328"/>
    <w:rsid w:val="0041750F"/>
    <w:rsid w:val="00417794"/>
    <w:rsid w:val="004178EC"/>
    <w:rsid w:val="004207D4"/>
    <w:rsid w:val="00420E6A"/>
    <w:rsid w:val="00421372"/>
    <w:rsid w:val="00422F7B"/>
    <w:rsid w:val="00423336"/>
    <w:rsid w:val="00424C0F"/>
    <w:rsid w:val="0042513D"/>
    <w:rsid w:val="00426BC8"/>
    <w:rsid w:val="00426D69"/>
    <w:rsid w:val="00427175"/>
    <w:rsid w:val="00427D28"/>
    <w:rsid w:val="004303F0"/>
    <w:rsid w:val="00430856"/>
    <w:rsid w:val="00430883"/>
    <w:rsid w:val="00431EDF"/>
    <w:rsid w:val="004332D8"/>
    <w:rsid w:val="0043403B"/>
    <w:rsid w:val="004346EA"/>
    <w:rsid w:val="004358B8"/>
    <w:rsid w:val="0043625B"/>
    <w:rsid w:val="00436659"/>
    <w:rsid w:val="0043777A"/>
    <w:rsid w:val="00437B37"/>
    <w:rsid w:val="00437CC5"/>
    <w:rsid w:val="0044038E"/>
    <w:rsid w:val="0044091C"/>
    <w:rsid w:val="00440DD5"/>
    <w:rsid w:val="00440E3D"/>
    <w:rsid w:val="0044170E"/>
    <w:rsid w:val="00441CFC"/>
    <w:rsid w:val="00441E30"/>
    <w:rsid w:val="004422B3"/>
    <w:rsid w:val="00442353"/>
    <w:rsid w:val="0044259C"/>
    <w:rsid w:val="004426FD"/>
    <w:rsid w:val="00442CC8"/>
    <w:rsid w:val="0044306E"/>
    <w:rsid w:val="00443D01"/>
    <w:rsid w:val="00443DF7"/>
    <w:rsid w:val="00444279"/>
    <w:rsid w:val="00444F33"/>
    <w:rsid w:val="00445C50"/>
    <w:rsid w:val="00445FF1"/>
    <w:rsid w:val="004462D8"/>
    <w:rsid w:val="004469FB"/>
    <w:rsid w:val="00447468"/>
    <w:rsid w:val="00447EF1"/>
    <w:rsid w:val="0045264A"/>
    <w:rsid w:val="0045268D"/>
    <w:rsid w:val="00453956"/>
    <w:rsid w:val="00453B53"/>
    <w:rsid w:val="00453C33"/>
    <w:rsid w:val="0045441A"/>
    <w:rsid w:val="0045492C"/>
    <w:rsid w:val="004549AD"/>
    <w:rsid w:val="00454D57"/>
    <w:rsid w:val="00454FAB"/>
    <w:rsid w:val="00455186"/>
    <w:rsid w:val="004566D3"/>
    <w:rsid w:val="004577A5"/>
    <w:rsid w:val="00457AC2"/>
    <w:rsid w:val="00460326"/>
    <w:rsid w:val="00461463"/>
    <w:rsid w:val="0046180E"/>
    <w:rsid w:val="00461AA2"/>
    <w:rsid w:val="00462930"/>
    <w:rsid w:val="00462B47"/>
    <w:rsid w:val="00462F41"/>
    <w:rsid w:val="004653DA"/>
    <w:rsid w:val="00465484"/>
    <w:rsid w:val="0046657B"/>
    <w:rsid w:val="00466AF9"/>
    <w:rsid w:val="00467069"/>
    <w:rsid w:val="004675FD"/>
    <w:rsid w:val="0046764C"/>
    <w:rsid w:val="0047043F"/>
    <w:rsid w:val="00470AD4"/>
    <w:rsid w:val="00470CF7"/>
    <w:rsid w:val="00471862"/>
    <w:rsid w:val="00471A16"/>
    <w:rsid w:val="0047217A"/>
    <w:rsid w:val="0047248B"/>
    <w:rsid w:val="004732B2"/>
    <w:rsid w:val="004732C7"/>
    <w:rsid w:val="00473DC9"/>
    <w:rsid w:val="004744E8"/>
    <w:rsid w:val="00474D76"/>
    <w:rsid w:val="004754FD"/>
    <w:rsid w:val="00476A4D"/>
    <w:rsid w:val="00476D4D"/>
    <w:rsid w:val="00477669"/>
    <w:rsid w:val="00477C11"/>
    <w:rsid w:val="00480164"/>
    <w:rsid w:val="0048047D"/>
    <w:rsid w:val="00480555"/>
    <w:rsid w:val="0048082B"/>
    <w:rsid w:val="00480A16"/>
    <w:rsid w:val="0048135E"/>
    <w:rsid w:val="004817DC"/>
    <w:rsid w:val="00481D02"/>
    <w:rsid w:val="00482042"/>
    <w:rsid w:val="00482269"/>
    <w:rsid w:val="004829E6"/>
    <w:rsid w:val="00483040"/>
    <w:rsid w:val="004830C8"/>
    <w:rsid w:val="0048311B"/>
    <w:rsid w:val="0048399A"/>
    <w:rsid w:val="00483B98"/>
    <w:rsid w:val="00484132"/>
    <w:rsid w:val="0048421C"/>
    <w:rsid w:val="004849E5"/>
    <w:rsid w:val="00484A8A"/>
    <w:rsid w:val="00484D2A"/>
    <w:rsid w:val="00485441"/>
    <w:rsid w:val="00486AFA"/>
    <w:rsid w:val="00486D28"/>
    <w:rsid w:val="00487725"/>
    <w:rsid w:val="004903B6"/>
    <w:rsid w:val="00490987"/>
    <w:rsid w:val="00490B82"/>
    <w:rsid w:val="00490CE0"/>
    <w:rsid w:val="00491209"/>
    <w:rsid w:val="00491F0F"/>
    <w:rsid w:val="004923EF"/>
    <w:rsid w:val="00492691"/>
    <w:rsid w:val="0049397B"/>
    <w:rsid w:val="00494388"/>
    <w:rsid w:val="004946CE"/>
    <w:rsid w:val="004947B7"/>
    <w:rsid w:val="0049484B"/>
    <w:rsid w:val="00494C65"/>
    <w:rsid w:val="00495FCE"/>
    <w:rsid w:val="00496F80"/>
    <w:rsid w:val="00497469"/>
    <w:rsid w:val="004A0178"/>
    <w:rsid w:val="004A08EA"/>
    <w:rsid w:val="004A0A59"/>
    <w:rsid w:val="004A1DBD"/>
    <w:rsid w:val="004A22CB"/>
    <w:rsid w:val="004A2A80"/>
    <w:rsid w:val="004A2E4E"/>
    <w:rsid w:val="004A4821"/>
    <w:rsid w:val="004A4EDA"/>
    <w:rsid w:val="004A5572"/>
    <w:rsid w:val="004A5D71"/>
    <w:rsid w:val="004A5DBF"/>
    <w:rsid w:val="004A605C"/>
    <w:rsid w:val="004A634A"/>
    <w:rsid w:val="004A6402"/>
    <w:rsid w:val="004A6732"/>
    <w:rsid w:val="004A6C15"/>
    <w:rsid w:val="004A6F43"/>
    <w:rsid w:val="004A7BD3"/>
    <w:rsid w:val="004A7D01"/>
    <w:rsid w:val="004B0868"/>
    <w:rsid w:val="004B139C"/>
    <w:rsid w:val="004B182E"/>
    <w:rsid w:val="004B22A2"/>
    <w:rsid w:val="004B3730"/>
    <w:rsid w:val="004B4C99"/>
    <w:rsid w:val="004B572A"/>
    <w:rsid w:val="004B5D7B"/>
    <w:rsid w:val="004B696A"/>
    <w:rsid w:val="004B6E84"/>
    <w:rsid w:val="004B7055"/>
    <w:rsid w:val="004B78E9"/>
    <w:rsid w:val="004B7FC0"/>
    <w:rsid w:val="004C0B25"/>
    <w:rsid w:val="004C1C38"/>
    <w:rsid w:val="004C23C1"/>
    <w:rsid w:val="004C2A05"/>
    <w:rsid w:val="004C390D"/>
    <w:rsid w:val="004C44D9"/>
    <w:rsid w:val="004C4CDF"/>
    <w:rsid w:val="004C516F"/>
    <w:rsid w:val="004C62DB"/>
    <w:rsid w:val="004C6589"/>
    <w:rsid w:val="004C6844"/>
    <w:rsid w:val="004C68EA"/>
    <w:rsid w:val="004C6FE1"/>
    <w:rsid w:val="004C75E9"/>
    <w:rsid w:val="004D09E2"/>
    <w:rsid w:val="004D0D8A"/>
    <w:rsid w:val="004D10A2"/>
    <w:rsid w:val="004D2306"/>
    <w:rsid w:val="004D2469"/>
    <w:rsid w:val="004D2656"/>
    <w:rsid w:val="004D26E9"/>
    <w:rsid w:val="004D2B4E"/>
    <w:rsid w:val="004D2C00"/>
    <w:rsid w:val="004D2E28"/>
    <w:rsid w:val="004D3B4C"/>
    <w:rsid w:val="004D3B4F"/>
    <w:rsid w:val="004D3BE5"/>
    <w:rsid w:val="004D3E06"/>
    <w:rsid w:val="004D418A"/>
    <w:rsid w:val="004D4760"/>
    <w:rsid w:val="004D4A81"/>
    <w:rsid w:val="004D4CE2"/>
    <w:rsid w:val="004D55A6"/>
    <w:rsid w:val="004D5BEF"/>
    <w:rsid w:val="004D5E08"/>
    <w:rsid w:val="004D5E69"/>
    <w:rsid w:val="004D6D20"/>
    <w:rsid w:val="004D7080"/>
    <w:rsid w:val="004D7559"/>
    <w:rsid w:val="004D7D09"/>
    <w:rsid w:val="004D7FA7"/>
    <w:rsid w:val="004E01FC"/>
    <w:rsid w:val="004E02B9"/>
    <w:rsid w:val="004E047B"/>
    <w:rsid w:val="004E0530"/>
    <w:rsid w:val="004E136B"/>
    <w:rsid w:val="004E1550"/>
    <w:rsid w:val="004E1A67"/>
    <w:rsid w:val="004E1DB1"/>
    <w:rsid w:val="004E23DE"/>
    <w:rsid w:val="004E4E26"/>
    <w:rsid w:val="004E54F8"/>
    <w:rsid w:val="004E58ED"/>
    <w:rsid w:val="004E5966"/>
    <w:rsid w:val="004E6170"/>
    <w:rsid w:val="004E673D"/>
    <w:rsid w:val="004E75EC"/>
    <w:rsid w:val="004F0A0E"/>
    <w:rsid w:val="004F0E38"/>
    <w:rsid w:val="004F30C6"/>
    <w:rsid w:val="004F33AE"/>
    <w:rsid w:val="004F345F"/>
    <w:rsid w:val="004F35A6"/>
    <w:rsid w:val="004F37D4"/>
    <w:rsid w:val="004F3A25"/>
    <w:rsid w:val="004F3D74"/>
    <w:rsid w:val="004F433E"/>
    <w:rsid w:val="004F4E39"/>
    <w:rsid w:val="004F58C8"/>
    <w:rsid w:val="004F5F2B"/>
    <w:rsid w:val="004F607D"/>
    <w:rsid w:val="004F75C9"/>
    <w:rsid w:val="004F7633"/>
    <w:rsid w:val="004F77BF"/>
    <w:rsid w:val="004F784B"/>
    <w:rsid w:val="00500122"/>
    <w:rsid w:val="0050017E"/>
    <w:rsid w:val="005004EA"/>
    <w:rsid w:val="0050081A"/>
    <w:rsid w:val="00501BA7"/>
    <w:rsid w:val="0050223C"/>
    <w:rsid w:val="0050227A"/>
    <w:rsid w:val="005024AD"/>
    <w:rsid w:val="005024F4"/>
    <w:rsid w:val="00502884"/>
    <w:rsid w:val="00502C9F"/>
    <w:rsid w:val="00502DF3"/>
    <w:rsid w:val="00502FA0"/>
    <w:rsid w:val="00503D9D"/>
    <w:rsid w:val="00503DAF"/>
    <w:rsid w:val="0050431D"/>
    <w:rsid w:val="00504707"/>
    <w:rsid w:val="00504C69"/>
    <w:rsid w:val="00505076"/>
    <w:rsid w:val="00505380"/>
    <w:rsid w:val="005056CF"/>
    <w:rsid w:val="005057FD"/>
    <w:rsid w:val="005058F8"/>
    <w:rsid w:val="00506C06"/>
    <w:rsid w:val="005070A2"/>
    <w:rsid w:val="0050735A"/>
    <w:rsid w:val="005078DF"/>
    <w:rsid w:val="00507D5F"/>
    <w:rsid w:val="00507DE0"/>
    <w:rsid w:val="00507FD1"/>
    <w:rsid w:val="0051025E"/>
    <w:rsid w:val="00510827"/>
    <w:rsid w:val="00511548"/>
    <w:rsid w:val="0051223D"/>
    <w:rsid w:val="005124EF"/>
    <w:rsid w:val="00512C29"/>
    <w:rsid w:val="00512D97"/>
    <w:rsid w:val="005136F2"/>
    <w:rsid w:val="0051382E"/>
    <w:rsid w:val="00513CDB"/>
    <w:rsid w:val="0051554A"/>
    <w:rsid w:val="00515F11"/>
    <w:rsid w:val="00516301"/>
    <w:rsid w:val="005170C9"/>
    <w:rsid w:val="00517684"/>
    <w:rsid w:val="00517807"/>
    <w:rsid w:val="00517B9F"/>
    <w:rsid w:val="00517D37"/>
    <w:rsid w:val="00517EDC"/>
    <w:rsid w:val="005208C0"/>
    <w:rsid w:val="00520DDE"/>
    <w:rsid w:val="00521FD0"/>
    <w:rsid w:val="00522497"/>
    <w:rsid w:val="00523280"/>
    <w:rsid w:val="00523516"/>
    <w:rsid w:val="00524010"/>
    <w:rsid w:val="00525EA7"/>
    <w:rsid w:val="0052635A"/>
    <w:rsid w:val="005265C4"/>
    <w:rsid w:val="00526B5F"/>
    <w:rsid w:val="005302B7"/>
    <w:rsid w:val="005314ED"/>
    <w:rsid w:val="0053178D"/>
    <w:rsid w:val="00531DD9"/>
    <w:rsid w:val="005338B0"/>
    <w:rsid w:val="00533D49"/>
    <w:rsid w:val="00533F01"/>
    <w:rsid w:val="00534B6D"/>
    <w:rsid w:val="00534C08"/>
    <w:rsid w:val="00535499"/>
    <w:rsid w:val="0053556D"/>
    <w:rsid w:val="00535D7C"/>
    <w:rsid w:val="0053620C"/>
    <w:rsid w:val="00540090"/>
    <w:rsid w:val="0054063D"/>
    <w:rsid w:val="00540A45"/>
    <w:rsid w:val="00541BF1"/>
    <w:rsid w:val="00541CB6"/>
    <w:rsid w:val="005421FB"/>
    <w:rsid w:val="00542AE2"/>
    <w:rsid w:val="005438C8"/>
    <w:rsid w:val="00543D6D"/>
    <w:rsid w:val="005448FE"/>
    <w:rsid w:val="0054544D"/>
    <w:rsid w:val="00545998"/>
    <w:rsid w:val="0054681A"/>
    <w:rsid w:val="00546E08"/>
    <w:rsid w:val="0054706A"/>
    <w:rsid w:val="005472BE"/>
    <w:rsid w:val="00547764"/>
    <w:rsid w:val="00550529"/>
    <w:rsid w:val="00550700"/>
    <w:rsid w:val="0055172D"/>
    <w:rsid w:val="00551B1D"/>
    <w:rsid w:val="005520F6"/>
    <w:rsid w:val="00552706"/>
    <w:rsid w:val="00552F1B"/>
    <w:rsid w:val="005537D3"/>
    <w:rsid w:val="00554383"/>
    <w:rsid w:val="005544E4"/>
    <w:rsid w:val="00554A1B"/>
    <w:rsid w:val="00554BA7"/>
    <w:rsid w:val="00554FC0"/>
    <w:rsid w:val="00555EF4"/>
    <w:rsid w:val="00556B1C"/>
    <w:rsid w:val="00556D2C"/>
    <w:rsid w:val="005571B6"/>
    <w:rsid w:val="00560472"/>
    <w:rsid w:val="0056053F"/>
    <w:rsid w:val="00560A23"/>
    <w:rsid w:val="00560B7B"/>
    <w:rsid w:val="005619B1"/>
    <w:rsid w:val="00561AC4"/>
    <w:rsid w:val="00561BD8"/>
    <w:rsid w:val="00561D2E"/>
    <w:rsid w:val="00561ED7"/>
    <w:rsid w:val="00562C9D"/>
    <w:rsid w:val="00562FFF"/>
    <w:rsid w:val="00563DB9"/>
    <w:rsid w:val="00564537"/>
    <w:rsid w:val="0056483D"/>
    <w:rsid w:val="0056521A"/>
    <w:rsid w:val="00565353"/>
    <w:rsid w:val="00565801"/>
    <w:rsid w:val="005663AE"/>
    <w:rsid w:val="005664C5"/>
    <w:rsid w:val="00566FBD"/>
    <w:rsid w:val="00567339"/>
    <w:rsid w:val="005679C7"/>
    <w:rsid w:val="00567B72"/>
    <w:rsid w:val="00567BBE"/>
    <w:rsid w:val="0057010B"/>
    <w:rsid w:val="00570119"/>
    <w:rsid w:val="005704EA"/>
    <w:rsid w:val="005713ED"/>
    <w:rsid w:val="00571E8E"/>
    <w:rsid w:val="00572B83"/>
    <w:rsid w:val="00572D2B"/>
    <w:rsid w:val="005734BD"/>
    <w:rsid w:val="005735F1"/>
    <w:rsid w:val="00573A34"/>
    <w:rsid w:val="00573A7C"/>
    <w:rsid w:val="00574103"/>
    <w:rsid w:val="00574243"/>
    <w:rsid w:val="00574583"/>
    <w:rsid w:val="00574E28"/>
    <w:rsid w:val="00574EF8"/>
    <w:rsid w:val="005752D3"/>
    <w:rsid w:val="00575842"/>
    <w:rsid w:val="005758FF"/>
    <w:rsid w:val="00575B6B"/>
    <w:rsid w:val="00575D27"/>
    <w:rsid w:val="00576184"/>
    <w:rsid w:val="00577542"/>
    <w:rsid w:val="005800EC"/>
    <w:rsid w:val="00580AD7"/>
    <w:rsid w:val="005811AC"/>
    <w:rsid w:val="00581C65"/>
    <w:rsid w:val="005822CC"/>
    <w:rsid w:val="00583446"/>
    <w:rsid w:val="00583495"/>
    <w:rsid w:val="0058388A"/>
    <w:rsid w:val="00583ABB"/>
    <w:rsid w:val="00583C26"/>
    <w:rsid w:val="005852AD"/>
    <w:rsid w:val="00585E92"/>
    <w:rsid w:val="00586267"/>
    <w:rsid w:val="00586B6D"/>
    <w:rsid w:val="00586DE9"/>
    <w:rsid w:val="00586E90"/>
    <w:rsid w:val="00590349"/>
    <w:rsid w:val="00592195"/>
    <w:rsid w:val="0059240E"/>
    <w:rsid w:val="00592BFE"/>
    <w:rsid w:val="00592EA9"/>
    <w:rsid w:val="005935DE"/>
    <w:rsid w:val="0059384C"/>
    <w:rsid w:val="00594917"/>
    <w:rsid w:val="00594A28"/>
    <w:rsid w:val="005954CC"/>
    <w:rsid w:val="00597FF4"/>
    <w:rsid w:val="005A003D"/>
    <w:rsid w:val="005A0CD6"/>
    <w:rsid w:val="005A1091"/>
    <w:rsid w:val="005A1A5C"/>
    <w:rsid w:val="005A3066"/>
    <w:rsid w:val="005A3526"/>
    <w:rsid w:val="005A35FE"/>
    <w:rsid w:val="005A37C2"/>
    <w:rsid w:val="005A3FD4"/>
    <w:rsid w:val="005A46CE"/>
    <w:rsid w:val="005A77B3"/>
    <w:rsid w:val="005A7D53"/>
    <w:rsid w:val="005B056F"/>
    <w:rsid w:val="005B06CB"/>
    <w:rsid w:val="005B0AB2"/>
    <w:rsid w:val="005B0AF4"/>
    <w:rsid w:val="005B162C"/>
    <w:rsid w:val="005B1E9F"/>
    <w:rsid w:val="005B1F0F"/>
    <w:rsid w:val="005B2068"/>
    <w:rsid w:val="005B20DC"/>
    <w:rsid w:val="005B22F8"/>
    <w:rsid w:val="005B2A2D"/>
    <w:rsid w:val="005B2D05"/>
    <w:rsid w:val="005B2E27"/>
    <w:rsid w:val="005B30F0"/>
    <w:rsid w:val="005B338B"/>
    <w:rsid w:val="005B3391"/>
    <w:rsid w:val="005B3643"/>
    <w:rsid w:val="005B4222"/>
    <w:rsid w:val="005B47F1"/>
    <w:rsid w:val="005B4B98"/>
    <w:rsid w:val="005B4D38"/>
    <w:rsid w:val="005B5CCB"/>
    <w:rsid w:val="005B668D"/>
    <w:rsid w:val="005B6CA2"/>
    <w:rsid w:val="005B7B00"/>
    <w:rsid w:val="005B7F09"/>
    <w:rsid w:val="005C048A"/>
    <w:rsid w:val="005C0A44"/>
    <w:rsid w:val="005C0C1A"/>
    <w:rsid w:val="005C188E"/>
    <w:rsid w:val="005C245A"/>
    <w:rsid w:val="005C397F"/>
    <w:rsid w:val="005C3A81"/>
    <w:rsid w:val="005C3BF5"/>
    <w:rsid w:val="005C3D9D"/>
    <w:rsid w:val="005C53E5"/>
    <w:rsid w:val="005C5F54"/>
    <w:rsid w:val="005C66EF"/>
    <w:rsid w:val="005C688E"/>
    <w:rsid w:val="005C6D72"/>
    <w:rsid w:val="005C7543"/>
    <w:rsid w:val="005C782B"/>
    <w:rsid w:val="005C7D4D"/>
    <w:rsid w:val="005C7E4F"/>
    <w:rsid w:val="005C7EAB"/>
    <w:rsid w:val="005D05FF"/>
    <w:rsid w:val="005D0B7E"/>
    <w:rsid w:val="005D1107"/>
    <w:rsid w:val="005D1538"/>
    <w:rsid w:val="005D16E2"/>
    <w:rsid w:val="005D1E4D"/>
    <w:rsid w:val="005D2566"/>
    <w:rsid w:val="005D2902"/>
    <w:rsid w:val="005D2CCE"/>
    <w:rsid w:val="005D2D47"/>
    <w:rsid w:val="005D3946"/>
    <w:rsid w:val="005D3953"/>
    <w:rsid w:val="005D4051"/>
    <w:rsid w:val="005D4087"/>
    <w:rsid w:val="005D4726"/>
    <w:rsid w:val="005D4F95"/>
    <w:rsid w:val="005D5109"/>
    <w:rsid w:val="005D522C"/>
    <w:rsid w:val="005D5A91"/>
    <w:rsid w:val="005D5F0C"/>
    <w:rsid w:val="005D5F7E"/>
    <w:rsid w:val="005D64B0"/>
    <w:rsid w:val="005D6919"/>
    <w:rsid w:val="005D6AC8"/>
    <w:rsid w:val="005E0162"/>
    <w:rsid w:val="005E0CFC"/>
    <w:rsid w:val="005E0EB3"/>
    <w:rsid w:val="005E1377"/>
    <w:rsid w:val="005E164E"/>
    <w:rsid w:val="005E1C5D"/>
    <w:rsid w:val="005E1C98"/>
    <w:rsid w:val="005E29A6"/>
    <w:rsid w:val="005E3B66"/>
    <w:rsid w:val="005E5ECE"/>
    <w:rsid w:val="005E5F52"/>
    <w:rsid w:val="005E63DD"/>
    <w:rsid w:val="005E7374"/>
    <w:rsid w:val="005E7A19"/>
    <w:rsid w:val="005E7A59"/>
    <w:rsid w:val="005F009E"/>
    <w:rsid w:val="005F05E1"/>
    <w:rsid w:val="005F12FE"/>
    <w:rsid w:val="005F2987"/>
    <w:rsid w:val="005F330E"/>
    <w:rsid w:val="005F332E"/>
    <w:rsid w:val="005F374C"/>
    <w:rsid w:val="005F47FF"/>
    <w:rsid w:val="005F67D6"/>
    <w:rsid w:val="005F6AA0"/>
    <w:rsid w:val="005F6C96"/>
    <w:rsid w:val="005F774A"/>
    <w:rsid w:val="005F7CE1"/>
    <w:rsid w:val="005F7D10"/>
    <w:rsid w:val="0060009C"/>
    <w:rsid w:val="00600504"/>
    <w:rsid w:val="0060052B"/>
    <w:rsid w:val="00600908"/>
    <w:rsid w:val="00602DBF"/>
    <w:rsid w:val="006031E2"/>
    <w:rsid w:val="00604843"/>
    <w:rsid w:val="0060496C"/>
    <w:rsid w:val="00604E87"/>
    <w:rsid w:val="00605336"/>
    <w:rsid w:val="006059C6"/>
    <w:rsid w:val="00605EAD"/>
    <w:rsid w:val="00606442"/>
    <w:rsid w:val="0060679F"/>
    <w:rsid w:val="00606C7F"/>
    <w:rsid w:val="00607255"/>
    <w:rsid w:val="00607967"/>
    <w:rsid w:val="00607FB1"/>
    <w:rsid w:val="00610C33"/>
    <w:rsid w:val="00610C6A"/>
    <w:rsid w:val="00611719"/>
    <w:rsid w:val="006119C7"/>
    <w:rsid w:val="00611A1D"/>
    <w:rsid w:val="00611ADE"/>
    <w:rsid w:val="00611BF8"/>
    <w:rsid w:val="00611E5A"/>
    <w:rsid w:val="006126C6"/>
    <w:rsid w:val="00612869"/>
    <w:rsid w:val="00612ADA"/>
    <w:rsid w:val="0061347C"/>
    <w:rsid w:val="00613694"/>
    <w:rsid w:val="00613737"/>
    <w:rsid w:val="0061386A"/>
    <w:rsid w:val="00613A99"/>
    <w:rsid w:val="00613ADC"/>
    <w:rsid w:val="00615424"/>
    <w:rsid w:val="00615696"/>
    <w:rsid w:val="00615E83"/>
    <w:rsid w:val="00616E88"/>
    <w:rsid w:val="00616FBB"/>
    <w:rsid w:val="006204DA"/>
    <w:rsid w:val="00620545"/>
    <w:rsid w:val="00620640"/>
    <w:rsid w:val="006207F9"/>
    <w:rsid w:val="00620A54"/>
    <w:rsid w:val="006219BD"/>
    <w:rsid w:val="00622E61"/>
    <w:rsid w:val="006232F8"/>
    <w:rsid w:val="006249C6"/>
    <w:rsid w:val="00624D18"/>
    <w:rsid w:val="00625423"/>
    <w:rsid w:val="00625621"/>
    <w:rsid w:val="006256F7"/>
    <w:rsid w:val="00626333"/>
    <w:rsid w:val="00627122"/>
    <w:rsid w:val="006274A6"/>
    <w:rsid w:val="00627562"/>
    <w:rsid w:val="00627C4B"/>
    <w:rsid w:val="00627DBC"/>
    <w:rsid w:val="00627FD5"/>
    <w:rsid w:val="0063053B"/>
    <w:rsid w:val="006309FC"/>
    <w:rsid w:val="00631437"/>
    <w:rsid w:val="006319BA"/>
    <w:rsid w:val="00631B3B"/>
    <w:rsid w:val="0063200E"/>
    <w:rsid w:val="006320E7"/>
    <w:rsid w:val="00632801"/>
    <w:rsid w:val="006328AD"/>
    <w:rsid w:val="006329A6"/>
    <w:rsid w:val="0063319D"/>
    <w:rsid w:val="00633406"/>
    <w:rsid w:val="0063388E"/>
    <w:rsid w:val="00634104"/>
    <w:rsid w:val="0063484E"/>
    <w:rsid w:val="00634DC6"/>
    <w:rsid w:val="00635225"/>
    <w:rsid w:val="006358E6"/>
    <w:rsid w:val="00635DC1"/>
    <w:rsid w:val="006362CD"/>
    <w:rsid w:val="006364D3"/>
    <w:rsid w:val="00636D38"/>
    <w:rsid w:val="00637175"/>
    <w:rsid w:val="006379E6"/>
    <w:rsid w:val="00637EDE"/>
    <w:rsid w:val="00640442"/>
    <w:rsid w:val="0064185D"/>
    <w:rsid w:val="00642D69"/>
    <w:rsid w:val="0064303C"/>
    <w:rsid w:val="006436CC"/>
    <w:rsid w:val="006443AF"/>
    <w:rsid w:val="00644E09"/>
    <w:rsid w:val="00645403"/>
    <w:rsid w:val="00645CE6"/>
    <w:rsid w:val="00647184"/>
    <w:rsid w:val="00647617"/>
    <w:rsid w:val="00647974"/>
    <w:rsid w:val="00647B19"/>
    <w:rsid w:val="00651680"/>
    <w:rsid w:val="00651F59"/>
    <w:rsid w:val="00652059"/>
    <w:rsid w:val="00652868"/>
    <w:rsid w:val="00653E4B"/>
    <w:rsid w:val="006541C5"/>
    <w:rsid w:val="00654D20"/>
    <w:rsid w:val="0065504E"/>
    <w:rsid w:val="0065520A"/>
    <w:rsid w:val="00655B2E"/>
    <w:rsid w:val="00655D7A"/>
    <w:rsid w:val="00656613"/>
    <w:rsid w:val="00657543"/>
    <w:rsid w:val="00657628"/>
    <w:rsid w:val="006607F8"/>
    <w:rsid w:val="00660964"/>
    <w:rsid w:val="0066189D"/>
    <w:rsid w:val="00661935"/>
    <w:rsid w:val="006622C4"/>
    <w:rsid w:val="0066232E"/>
    <w:rsid w:val="0066232F"/>
    <w:rsid w:val="006623E6"/>
    <w:rsid w:val="00662EFA"/>
    <w:rsid w:val="006633A3"/>
    <w:rsid w:val="00664B0E"/>
    <w:rsid w:val="00665360"/>
    <w:rsid w:val="00665DB6"/>
    <w:rsid w:val="00665EB8"/>
    <w:rsid w:val="006661D2"/>
    <w:rsid w:val="00666D1A"/>
    <w:rsid w:val="006671F6"/>
    <w:rsid w:val="006678B7"/>
    <w:rsid w:val="00667907"/>
    <w:rsid w:val="00667B36"/>
    <w:rsid w:val="0067057F"/>
    <w:rsid w:val="00670BB2"/>
    <w:rsid w:val="00671E49"/>
    <w:rsid w:val="00671FF6"/>
    <w:rsid w:val="006721FE"/>
    <w:rsid w:val="0067234A"/>
    <w:rsid w:val="00672F64"/>
    <w:rsid w:val="0067300A"/>
    <w:rsid w:val="006731E3"/>
    <w:rsid w:val="0067320D"/>
    <w:rsid w:val="006737ED"/>
    <w:rsid w:val="006740A1"/>
    <w:rsid w:val="006749BA"/>
    <w:rsid w:val="0067544C"/>
    <w:rsid w:val="00675ACD"/>
    <w:rsid w:val="006767B7"/>
    <w:rsid w:val="0067682C"/>
    <w:rsid w:val="00676893"/>
    <w:rsid w:val="00676DEA"/>
    <w:rsid w:val="00676EE6"/>
    <w:rsid w:val="00677472"/>
    <w:rsid w:val="00677C98"/>
    <w:rsid w:val="006804D5"/>
    <w:rsid w:val="006805FC"/>
    <w:rsid w:val="006808FB"/>
    <w:rsid w:val="00680C2F"/>
    <w:rsid w:val="00680CDF"/>
    <w:rsid w:val="006818FD"/>
    <w:rsid w:val="00681E99"/>
    <w:rsid w:val="00681F4C"/>
    <w:rsid w:val="00682B72"/>
    <w:rsid w:val="0068385A"/>
    <w:rsid w:val="006857BB"/>
    <w:rsid w:val="00686286"/>
    <w:rsid w:val="00686396"/>
    <w:rsid w:val="00686E80"/>
    <w:rsid w:val="00687216"/>
    <w:rsid w:val="0068748B"/>
    <w:rsid w:val="0068765F"/>
    <w:rsid w:val="00687AF3"/>
    <w:rsid w:val="00690123"/>
    <w:rsid w:val="00690ADA"/>
    <w:rsid w:val="00691203"/>
    <w:rsid w:val="006917F8"/>
    <w:rsid w:val="0069217A"/>
    <w:rsid w:val="00692809"/>
    <w:rsid w:val="00692B46"/>
    <w:rsid w:val="0069320F"/>
    <w:rsid w:val="0069359D"/>
    <w:rsid w:val="00693EB5"/>
    <w:rsid w:val="00693FE1"/>
    <w:rsid w:val="00694DC6"/>
    <w:rsid w:val="006963AF"/>
    <w:rsid w:val="0069677D"/>
    <w:rsid w:val="00696D65"/>
    <w:rsid w:val="00696D72"/>
    <w:rsid w:val="00696EA3"/>
    <w:rsid w:val="00697C78"/>
    <w:rsid w:val="006A0593"/>
    <w:rsid w:val="006A0AA4"/>
    <w:rsid w:val="006A1843"/>
    <w:rsid w:val="006A1AEA"/>
    <w:rsid w:val="006A2174"/>
    <w:rsid w:val="006A21D9"/>
    <w:rsid w:val="006A2639"/>
    <w:rsid w:val="006A2BBB"/>
    <w:rsid w:val="006A4186"/>
    <w:rsid w:val="006A4396"/>
    <w:rsid w:val="006A44D4"/>
    <w:rsid w:val="006A4EA7"/>
    <w:rsid w:val="006A55A4"/>
    <w:rsid w:val="006A567C"/>
    <w:rsid w:val="006A5A10"/>
    <w:rsid w:val="006A5ABF"/>
    <w:rsid w:val="006A6FC6"/>
    <w:rsid w:val="006A788A"/>
    <w:rsid w:val="006B06EB"/>
    <w:rsid w:val="006B0830"/>
    <w:rsid w:val="006B16DC"/>
    <w:rsid w:val="006B1A88"/>
    <w:rsid w:val="006B1EE4"/>
    <w:rsid w:val="006B21B0"/>
    <w:rsid w:val="006B25B3"/>
    <w:rsid w:val="006B26B0"/>
    <w:rsid w:val="006B2DBA"/>
    <w:rsid w:val="006B300C"/>
    <w:rsid w:val="006B30C0"/>
    <w:rsid w:val="006B3725"/>
    <w:rsid w:val="006B3D07"/>
    <w:rsid w:val="006B532D"/>
    <w:rsid w:val="006B5372"/>
    <w:rsid w:val="006B57E4"/>
    <w:rsid w:val="006B64B5"/>
    <w:rsid w:val="006B667D"/>
    <w:rsid w:val="006B6B1D"/>
    <w:rsid w:val="006B7CAA"/>
    <w:rsid w:val="006C035D"/>
    <w:rsid w:val="006C0619"/>
    <w:rsid w:val="006C0894"/>
    <w:rsid w:val="006C0CC7"/>
    <w:rsid w:val="006C0E6E"/>
    <w:rsid w:val="006C1425"/>
    <w:rsid w:val="006C184A"/>
    <w:rsid w:val="006C1901"/>
    <w:rsid w:val="006C1B5E"/>
    <w:rsid w:val="006C23BD"/>
    <w:rsid w:val="006C29AB"/>
    <w:rsid w:val="006C34B8"/>
    <w:rsid w:val="006C3536"/>
    <w:rsid w:val="006C5006"/>
    <w:rsid w:val="006C58A9"/>
    <w:rsid w:val="006C659D"/>
    <w:rsid w:val="006C6C54"/>
    <w:rsid w:val="006C780C"/>
    <w:rsid w:val="006C7F7A"/>
    <w:rsid w:val="006D00B6"/>
    <w:rsid w:val="006D06AE"/>
    <w:rsid w:val="006D06DA"/>
    <w:rsid w:val="006D0A58"/>
    <w:rsid w:val="006D0D1A"/>
    <w:rsid w:val="006D1028"/>
    <w:rsid w:val="006D1A0C"/>
    <w:rsid w:val="006D2114"/>
    <w:rsid w:val="006D2705"/>
    <w:rsid w:val="006D2C1C"/>
    <w:rsid w:val="006D2CFF"/>
    <w:rsid w:val="006D3DF6"/>
    <w:rsid w:val="006D40C1"/>
    <w:rsid w:val="006D43E9"/>
    <w:rsid w:val="006D537F"/>
    <w:rsid w:val="006D54D8"/>
    <w:rsid w:val="006D583B"/>
    <w:rsid w:val="006D5FD3"/>
    <w:rsid w:val="006D674F"/>
    <w:rsid w:val="006D7FC9"/>
    <w:rsid w:val="006E013B"/>
    <w:rsid w:val="006E1623"/>
    <w:rsid w:val="006E1679"/>
    <w:rsid w:val="006E1B41"/>
    <w:rsid w:val="006E2940"/>
    <w:rsid w:val="006E2A47"/>
    <w:rsid w:val="006E2A59"/>
    <w:rsid w:val="006E2D97"/>
    <w:rsid w:val="006E34EE"/>
    <w:rsid w:val="006E4B45"/>
    <w:rsid w:val="006E6915"/>
    <w:rsid w:val="006E6BBD"/>
    <w:rsid w:val="006E76B2"/>
    <w:rsid w:val="006E7C87"/>
    <w:rsid w:val="006F16A9"/>
    <w:rsid w:val="006F17A8"/>
    <w:rsid w:val="006F1F68"/>
    <w:rsid w:val="006F239F"/>
    <w:rsid w:val="006F2A9D"/>
    <w:rsid w:val="006F3727"/>
    <w:rsid w:val="006F3900"/>
    <w:rsid w:val="006F4519"/>
    <w:rsid w:val="006F490C"/>
    <w:rsid w:val="006F4DE0"/>
    <w:rsid w:val="006F6151"/>
    <w:rsid w:val="006F6A29"/>
    <w:rsid w:val="006F6F77"/>
    <w:rsid w:val="006F7695"/>
    <w:rsid w:val="007001C0"/>
    <w:rsid w:val="00700BC4"/>
    <w:rsid w:val="007010AC"/>
    <w:rsid w:val="00701516"/>
    <w:rsid w:val="00701542"/>
    <w:rsid w:val="00701CD3"/>
    <w:rsid w:val="00701E4E"/>
    <w:rsid w:val="00701FAF"/>
    <w:rsid w:val="007025C3"/>
    <w:rsid w:val="007025D7"/>
    <w:rsid w:val="00702A47"/>
    <w:rsid w:val="00703487"/>
    <w:rsid w:val="0070359A"/>
    <w:rsid w:val="00703D40"/>
    <w:rsid w:val="00706C43"/>
    <w:rsid w:val="0070774C"/>
    <w:rsid w:val="007101E3"/>
    <w:rsid w:val="00710F23"/>
    <w:rsid w:val="00711B88"/>
    <w:rsid w:val="00712408"/>
    <w:rsid w:val="007125E8"/>
    <w:rsid w:val="007137E0"/>
    <w:rsid w:val="00713B98"/>
    <w:rsid w:val="00713D89"/>
    <w:rsid w:val="00713E6D"/>
    <w:rsid w:val="00714344"/>
    <w:rsid w:val="0071435F"/>
    <w:rsid w:val="00714E03"/>
    <w:rsid w:val="00714E52"/>
    <w:rsid w:val="00715630"/>
    <w:rsid w:val="00715C42"/>
    <w:rsid w:val="00715E55"/>
    <w:rsid w:val="0071736E"/>
    <w:rsid w:val="00717A0A"/>
    <w:rsid w:val="00717ADE"/>
    <w:rsid w:val="0072071F"/>
    <w:rsid w:val="007207DC"/>
    <w:rsid w:val="00720EEA"/>
    <w:rsid w:val="0072105E"/>
    <w:rsid w:val="00721210"/>
    <w:rsid w:val="007229B4"/>
    <w:rsid w:val="00723022"/>
    <w:rsid w:val="00723191"/>
    <w:rsid w:val="0072360F"/>
    <w:rsid w:val="00723EAF"/>
    <w:rsid w:val="007242CE"/>
    <w:rsid w:val="007243D8"/>
    <w:rsid w:val="00724B3B"/>
    <w:rsid w:val="00724C4F"/>
    <w:rsid w:val="007257D5"/>
    <w:rsid w:val="0072586B"/>
    <w:rsid w:val="007267EF"/>
    <w:rsid w:val="0072691F"/>
    <w:rsid w:val="00727181"/>
    <w:rsid w:val="00727964"/>
    <w:rsid w:val="00730362"/>
    <w:rsid w:val="007303A6"/>
    <w:rsid w:val="007315D6"/>
    <w:rsid w:val="00732167"/>
    <w:rsid w:val="007322EA"/>
    <w:rsid w:val="00732784"/>
    <w:rsid w:val="0073284F"/>
    <w:rsid w:val="00732F80"/>
    <w:rsid w:val="00733665"/>
    <w:rsid w:val="00734F71"/>
    <w:rsid w:val="00735037"/>
    <w:rsid w:val="00735A49"/>
    <w:rsid w:val="00735CAB"/>
    <w:rsid w:val="00736023"/>
    <w:rsid w:val="007360E7"/>
    <w:rsid w:val="007364F7"/>
    <w:rsid w:val="00736545"/>
    <w:rsid w:val="00736B5E"/>
    <w:rsid w:val="00736D0F"/>
    <w:rsid w:val="007374DF"/>
    <w:rsid w:val="00737665"/>
    <w:rsid w:val="00740ACB"/>
    <w:rsid w:val="007415AB"/>
    <w:rsid w:val="00742B47"/>
    <w:rsid w:val="00742F9D"/>
    <w:rsid w:val="007430A4"/>
    <w:rsid w:val="007435F5"/>
    <w:rsid w:val="00743DB3"/>
    <w:rsid w:val="00744715"/>
    <w:rsid w:val="007447A8"/>
    <w:rsid w:val="007449F1"/>
    <w:rsid w:val="00745950"/>
    <w:rsid w:val="00745EC8"/>
    <w:rsid w:val="007460BC"/>
    <w:rsid w:val="007465EF"/>
    <w:rsid w:val="00746E80"/>
    <w:rsid w:val="0074750A"/>
    <w:rsid w:val="007475CF"/>
    <w:rsid w:val="00747734"/>
    <w:rsid w:val="00747A60"/>
    <w:rsid w:val="00747ACF"/>
    <w:rsid w:val="00747EAD"/>
    <w:rsid w:val="0075039B"/>
    <w:rsid w:val="00750B3F"/>
    <w:rsid w:val="00751695"/>
    <w:rsid w:val="007518E7"/>
    <w:rsid w:val="00751909"/>
    <w:rsid w:val="00751E1F"/>
    <w:rsid w:val="00751F60"/>
    <w:rsid w:val="0075200D"/>
    <w:rsid w:val="007521CC"/>
    <w:rsid w:val="0075248F"/>
    <w:rsid w:val="00752704"/>
    <w:rsid w:val="00752A66"/>
    <w:rsid w:val="00752E8D"/>
    <w:rsid w:val="0075329F"/>
    <w:rsid w:val="0075362E"/>
    <w:rsid w:val="007536A0"/>
    <w:rsid w:val="00753760"/>
    <w:rsid w:val="007537F5"/>
    <w:rsid w:val="00753959"/>
    <w:rsid w:val="00754147"/>
    <w:rsid w:val="00754233"/>
    <w:rsid w:val="00755B62"/>
    <w:rsid w:val="00755DF6"/>
    <w:rsid w:val="007568B1"/>
    <w:rsid w:val="007571E0"/>
    <w:rsid w:val="00760376"/>
    <w:rsid w:val="0076111B"/>
    <w:rsid w:val="00761DBB"/>
    <w:rsid w:val="0076255B"/>
    <w:rsid w:val="007625B0"/>
    <w:rsid w:val="00762B6F"/>
    <w:rsid w:val="00762BD5"/>
    <w:rsid w:val="00763D79"/>
    <w:rsid w:val="00763E0D"/>
    <w:rsid w:val="00765CA7"/>
    <w:rsid w:val="00765D27"/>
    <w:rsid w:val="007667C8"/>
    <w:rsid w:val="007671E3"/>
    <w:rsid w:val="00767E4F"/>
    <w:rsid w:val="0077015D"/>
    <w:rsid w:val="0077029C"/>
    <w:rsid w:val="00770341"/>
    <w:rsid w:val="00770C72"/>
    <w:rsid w:val="00770D49"/>
    <w:rsid w:val="00771C9B"/>
    <w:rsid w:val="00772F67"/>
    <w:rsid w:val="00773D58"/>
    <w:rsid w:val="0077418B"/>
    <w:rsid w:val="00774FE2"/>
    <w:rsid w:val="00775571"/>
    <w:rsid w:val="00775647"/>
    <w:rsid w:val="00775BEB"/>
    <w:rsid w:val="0077648D"/>
    <w:rsid w:val="00776D8D"/>
    <w:rsid w:val="00777521"/>
    <w:rsid w:val="007805F5"/>
    <w:rsid w:val="0078071A"/>
    <w:rsid w:val="00780B02"/>
    <w:rsid w:val="00780C40"/>
    <w:rsid w:val="00780CB2"/>
    <w:rsid w:val="00781050"/>
    <w:rsid w:val="00781DCD"/>
    <w:rsid w:val="00782EE3"/>
    <w:rsid w:val="00782F53"/>
    <w:rsid w:val="0078478B"/>
    <w:rsid w:val="0078489E"/>
    <w:rsid w:val="00784D2A"/>
    <w:rsid w:val="00784DC8"/>
    <w:rsid w:val="0078659A"/>
    <w:rsid w:val="00786A91"/>
    <w:rsid w:val="00787370"/>
    <w:rsid w:val="00787A08"/>
    <w:rsid w:val="00791036"/>
    <w:rsid w:val="00791447"/>
    <w:rsid w:val="0079165B"/>
    <w:rsid w:val="00791871"/>
    <w:rsid w:val="00791D4D"/>
    <w:rsid w:val="00792B63"/>
    <w:rsid w:val="007935AA"/>
    <w:rsid w:val="00793725"/>
    <w:rsid w:val="00793923"/>
    <w:rsid w:val="00794227"/>
    <w:rsid w:val="00794537"/>
    <w:rsid w:val="007951E6"/>
    <w:rsid w:val="00795F98"/>
    <w:rsid w:val="00796190"/>
    <w:rsid w:val="00796AB7"/>
    <w:rsid w:val="00797B9C"/>
    <w:rsid w:val="00797BB9"/>
    <w:rsid w:val="007A0CF3"/>
    <w:rsid w:val="007A1836"/>
    <w:rsid w:val="007A2A5C"/>
    <w:rsid w:val="007A2BE3"/>
    <w:rsid w:val="007A2C1B"/>
    <w:rsid w:val="007A308B"/>
    <w:rsid w:val="007A39F3"/>
    <w:rsid w:val="007A3D1A"/>
    <w:rsid w:val="007A3FA9"/>
    <w:rsid w:val="007A4467"/>
    <w:rsid w:val="007A4A37"/>
    <w:rsid w:val="007A506A"/>
    <w:rsid w:val="007A51F8"/>
    <w:rsid w:val="007A58A3"/>
    <w:rsid w:val="007A5C1F"/>
    <w:rsid w:val="007A664E"/>
    <w:rsid w:val="007A7E7C"/>
    <w:rsid w:val="007B026F"/>
    <w:rsid w:val="007B107E"/>
    <w:rsid w:val="007B19AD"/>
    <w:rsid w:val="007B1C6A"/>
    <w:rsid w:val="007B1EF8"/>
    <w:rsid w:val="007B2431"/>
    <w:rsid w:val="007B245B"/>
    <w:rsid w:val="007B2564"/>
    <w:rsid w:val="007B2CB2"/>
    <w:rsid w:val="007B3007"/>
    <w:rsid w:val="007B348F"/>
    <w:rsid w:val="007B543E"/>
    <w:rsid w:val="007B5FC6"/>
    <w:rsid w:val="007B6148"/>
    <w:rsid w:val="007B6160"/>
    <w:rsid w:val="007B6E2E"/>
    <w:rsid w:val="007B6F40"/>
    <w:rsid w:val="007B74B1"/>
    <w:rsid w:val="007C0DC5"/>
    <w:rsid w:val="007C0F03"/>
    <w:rsid w:val="007C1031"/>
    <w:rsid w:val="007C1183"/>
    <w:rsid w:val="007C144D"/>
    <w:rsid w:val="007C15EB"/>
    <w:rsid w:val="007C1831"/>
    <w:rsid w:val="007C2221"/>
    <w:rsid w:val="007C2772"/>
    <w:rsid w:val="007C3AEB"/>
    <w:rsid w:val="007C3C71"/>
    <w:rsid w:val="007C4A38"/>
    <w:rsid w:val="007C5963"/>
    <w:rsid w:val="007C5C1E"/>
    <w:rsid w:val="007C7702"/>
    <w:rsid w:val="007C7816"/>
    <w:rsid w:val="007D0112"/>
    <w:rsid w:val="007D0DAD"/>
    <w:rsid w:val="007D0FDD"/>
    <w:rsid w:val="007D1119"/>
    <w:rsid w:val="007D120C"/>
    <w:rsid w:val="007D1B4A"/>
    <w:rsid w:val="007D1BB9"/>
    <w:rsid w:val="007D2186"/>
    <w:rsid w:val="007D266C"/>
    <w:rsid w:val="007D26DA"/>
    <w:rsid w:val="007D2C84"/>
    <w:rsid w:val="007D369F"/>
    <w:rsid w:val="007D394B"/>
    <w:rsid w:val="007D39A7"/>
    <w:rsid w:val="007D3AAC"/>
    <w:rsid w:val="007D3F36"/>
    <w:rsid w:val="007D4098"/>
    <w:rsid w:val="007D4315"/>
    <w:rsid w:val="007D4FEB"/>
    <w:rsid w:val="007D5391"/>
    <w:rsid w:val="007D5A1B"/>
    <w:rsid w:val="007D5ADA"/>
    <w:rsid w:val="007D73DC"/>
    <w:rsid w:val="007D7D05"/>
    <w:rsid w:val="007E19DA"/>
    <w:rsid w:val="007E2215"/>
    <w:rsid w:val="007E3CF6"/>
    <w:rsid w:val="007E4438"/>
    <w:rsid w:val="007E5A0F"/>
    <w:rsid w:val="007E703A"/>
    <w:rsid w:val="007F01A1"/>
    <w:rsid w:val="007F02C8"/>
    <w:rsid w:val="007F0F9A"/>
    <w:rsid w:val="007F1016"/>
    <w:rsid w:val="007F1131"/>
    <w:rsid w:val="007F13D7"/>
    <w:rsid w:val="007F15B7"/>
    <w:rsid w:val="007F1689"/>
    <w:rsid w:val="007F17E6"/>
    <w:rsid w:val="007F1BD5"/>
    <w:rsid w:val="007F1DED"/>
    <w:rsid w:val="007F228A"/>
    <w:rsid w:val="007F3087"/>
    <w:rsid w:val="007F397A"/>
    <w:rsid w:val="007F3A83"/>
    <w:rsid w:val="007F3C51"/>
    <w:rsid w:val="007F3F20"/>
    <w:rsid w:val="007F48E7"/>
    <w:rsid w:val="007F4C87"/>
    <w:rsid w:val="007F523A"/>
    <w:rsid w:val="007F596D"/>
    <w:rsid w:val="007F63E7"/>
    <w:rsid w:val="007F7105"/>
    <w:rsid w:val="007F734F"/>
    <w:rsid w:val="007F76CC"/>
    <w:rsid w:val="008001F4"/>
    <w:rsid w:val="008005B8"/>
    <w:rsid w:val="00800ECA"/>
    <w:rsid w:val="00801194"/>
    <w:rsid w:val="008026FE"/>
    <w:rsid w:val="00802A00"/>
    <w:rsid w:val="008030AE"/>
    <w:rsid w:val="00805743"/>
    <w:rsid w:val="008057D1"/>
    <w:rsid w:val="008058F2"/>
    <w:rsid w:val="00805E59"/>
    <w:rsid w:val="008066BC"/>
    <w:rsid w:val="00806A35"/>
    <w:rsid w:val="00807B58"/>
    <w:rsid w:val="00807E9A"/>
    <w:rsid w:val="008106C9"/>
    <w:rsid w:val="008110CC"/>
    <w:rsid w:val="00811608"/>
    <w:rsid w:val="008118DD"/>
    <w:rsid w:val="00811BD7"/>
    <w:rsid w:val="00811C81"/>
    <w:rsid w:val="00813270"/>
    <w:rsid w:val="008139D9"/>
    <w:rsid w:val="00813E19"/>
    <w:rsid w:val="00814E5D"/>
    <w:rsid w:val="00815566"/>
    <w:rsid w:val="00815707"/>
    <w:rsid w:val="00815E43"/>
    <w:rsid w:val="00816052"/>
    <w:rsid w:val="00816153"/>
    <w:rsid w:val="0081622A"/>
    <w:rsid w:val="008168D5"/>
    <w:rsid w:val="00816D55"/>
    <w:rsid w:val="008171BA"/>
    <w:rsid w:val="00817E8F"/>
    <w:rsid w:val="00820150"/>
    <w:rsid w:val="0082117F"/>
    <w:rsid w:val="0082165F"/>
    <w:rsid w:val="00821CC1"/>
    <w:rsid w:val="008220AF"/>
    <w:rsid w:val="00822D63"/>
    <w:rsid w:val="00822FD6"/>
    <w:rsid w:val="008231F5"/>
    <w:rsid w:val="00823376"/>
    <w:rsid w:val="00823C28"/>
    <w:rsid w:val="00824122"/>
    <w:rsid w:val="00824A0D"/>
    <w:rsid w:val="00824E38"/>
    <w:rsid w:val="00825CC5"/>
    <w:rsid w:val="00825D29"/>
    <w:rsid w:val="00825ECB"/>
    <w:rsid w:val="008260A4"/>
    <w:rsid w:val="008262A9"/>
    <w:rsid w:val="0082641A"/>
    <w:rsid w:val="0082664A"/>
    <w:rsid w:val="008274B0"/>
    <w:rsid w:val="00827601"/>
    <w:rsid w:val="00827824"/>
    <w:rsid w:val="0082798C"/>
    <w:rsid w:val="00827B1A"/>
    <w:rsid w:val="00827CC9"/>
    <w:rsid w:val="008301F1"/>
    <w:rsid w:val="008305BC"/>
    <w:rsid w:val="0083078D"/>
    <w:rsid w:val="00831E3E"/>
    <w:rsid w:val="008322E6"/>
    <w:rsid w:val="00832810"/>
    <w:rsid w:val="00832CB9"/>
    <w:rsid w:val="00832FDB"/>
    <w:rsid w:val="00833277"/>
    <w:rsid w:val="008332C8"/>
    <w:rsid w:val="00833509"/>
    <w:rsid w:val="00833832"/>
    <w:rsid w:val="00834019"/>
    <w:rsid w:val="0083456A"/>
    <w:rsid w:val="00836021"/>
    <w:rsid w:val="00836277"/>
    <w:rsid w:val="00836311"/>
    <w:rsid w:val="0083640C"/>
    <w:rsid w:val="00836955"/>
    <w:rsid w:val="00836D09"/>
    <w:rsid w:val="00836E65"/>
    <w:rsid w:val="008377E5"/>
    <w:rsid w:val="00837964"/>
    <w:rsid w:val="00837B51"/>
    <w:rsid w:val="008417F9"/>
    <w:rsid w:val="0084191D"/>
    <w:rsid w:val="00842E97"/>
    <w:rsid w:val="00842F46"/>
    <w:rsid w:val="00843126"/>
    <w:rsid w:val="00843611"/>
    <w:rsid w:val="00843E85"/>
    <w:rsid w:val="00844671"/>
    <w:rsid w:val="00845990"/>
    <w:rsid w:val="00845FD0"/>
    <w:rsid w:val="008465D9"/>
    <w:rsid w:val="008467D1"/>
    <w:rsid w:val="00846F30"/>
    <w:rsid w:val="0084706B"/>
    <w:rsid w:val="00847E3D"/>
    <w:rsid w:val="0085091B"/>
    <w:rsid w:val="008510E4"/>
    <w:rsid w:val="008511E9"/>
    <w:rsid w:val="008513CA"/>
    <w:rsid w:val="00851D19"/>
    <w:rsid w:val="00851D37"/>
    <w:rsid w:val="00851D47"/>
    <w:rsid w:val="0085234A"/>
    <w:rsid w:val="0085255E"/>
    <w:rsid w:val="00852B45"/>
    <w:rsid w:val="00853311"/>
    <w:rsid w:val="008535BD"/>
    <w:rsid w:val="008538D9"/>
    <w:rsid w:val="00853AAA"/>
    <w:rsid w:val="00853CAD"/>
    <w:rsid w:val="00853EC5"/>
    <w:rsid w:val="008547D5"/>
    <w:rsid w:val="00855AE6"/>
    <w:rsid w:val="00855F60"/>
    <w:rsid w:val="00856462"/>
    <w:rsid w:val="0085646D"/>
    <w:rsid w:val="00856586"/>
    <w:rsid w:val="00857097"/>
    <w:rsid w:val="008576CC"/>
    <w:rsid w:val="008603BB"/>
    <w:rsid w:val="00860492"/>
    <w:rsid w:val="00860A6F"/>
    <w:rsid w:val="00860B39"/>
    <w:rsid w:val="00860FD0"/>
    <w:rsid w:val="008611E7"/>
    <w:rsid w:val="0086121F"/>
    <w:rsid w:val="008615A2"/>
    <w:rsid w:val="00861B44"/>
    <w:rsid w:val="00862BF4"/>
    <w:rsid w:val="00862D68"/>
    <w:rsid w:val="00862DAF"/>
    <w:rsid w:val="0086323C"/>
    <w:rsid w:val="00863488"/>
    <w:rsid w:val="00864395"/>
    <w:rsid w:val="008649C3"/>
    <w:rsid w:val="008652DA"/>
    <w:rsid w:val="0086567E"/>
    <w:rsid w:val="008656D4"/>
    <w:rsid w:val="00865ACF"/>
    <w:rsid w:val="00865CED"/>
    <w:rsid w:val="00865DD7"/>
    <w:rsid w:val="00865E34"/>
    <w:rsid w:val="00866100"/>
    <w:rsid w:val="008662E9"/>
    <w:rsid w:val="0086633C"/>
    <w:rsid w:val="00866A80"/>
    <w:rsid w:val="00866D9A"/>
    <w:rsid w:val="00867223"/>
    <w:rsid w:val="008675BB"/>
    <w:rsid w:val="008704D1"/>
    <w:rsid w:val="00870583"/>
    <w:rsid w:val="008707EC"/>
    <w:rsid w:val="00871076"/>
    <w:rsid w:val="00871120"/>
    <w:rsid w:val="00872550"/>
    <w:rsid w:val="0087299E"/>
    <w:rsid w:val="00873361"/>
    <w:rsid w:val="00873929"/>
    <w:rsid w:val="00873CE9"/>
    <w:rsid w:val="00873F44"/>
    <w:rsid w:val="00874CEB"/>
    <w:rsid w:val="0087595A"/>
    <w:rsid w:val="00875DA1"/>
    <w:rsid w:val="00876042"/>
    <w:rsid w:val="00876CDF"/>
    <w:rsid w:val="008774B5"/>
    <w:rsid w:val="00877723"/>
    <w:rsid w:val="008777AC"/>
    <w:rsid w:val="0087789F"/>
    <w:rsid w:val="00877CB2"/>
    <w:rsid w:val="00877D43"/>
    <w:rsid w:val="00880627"/>
    <w:rsid w:val="00880FF1"/>
    <w:rsid w:val="0088167B"/>
    <w:rsid w:val="00882AD1"/>
    <w:rsid w:val="00882E78"/>
    <w:rsid w:val="00883F1D"/>
    <w:rsid w:val="00883F2B"/>
    <w:rsid w:val="0088409C"/>
    <w:rsid w:val="0088455C"/>
    <w:rsid w:val="008845BB"/>
    <w:rsid w:val="00884BEB"/>
    <w:rsid w:val="008861D9"/>
    <w:rsid w:val="0088625A"/>
    <w:rsid w:val="008900C0"/>
    <w:rsid w:val="008905AB"/>
    <w:rsid w:val="00890974"/>
    <w:rsid w:val="00891278"/>
    <w:rsid w:val="00891840"/>
    <w:rsid w:val="008919EE"/>
    <w:rsid w:val="00891F1F"/>
    <w:rsid w:val="00892516"/>
    <w:rsid w:val="008926CF"/>
    <w:rsid w:val="008928FD"/>
    <w:rsid w:val="00892A0E"/>
    <w:rsid w:val="00892B0C"/>
    <w:rsid w:val="008931B9"/>
    <w:rsid w:val="00893680"/>
    <w:rsid w:val="008936EE"/>
    <w:rsid w:val="0089466D"/>
    <w:rsid w:val="008952C6"/>
    <w:rsid w:val="0089572C"/>
    <w:rsid w:val="00895830"/>
    <w:rsid w:val="00895AE3"/>
    <w:rsid w:val="00895D5A"/>
    <w:rsid w:val="008965DD"/>
    <w:rsid w:val="0089691E"/>
    <w:rsid w:val="00897778"/>
    <w:rsid w:val="008A07F5"/>
    <w:rsid w:val="008A094F"/>
    <w:rsid w:val="008A14C0"/>
    <w:rsid w:val="008A1E5D"/>
    <w:rsid w:val="008A2227"/>
    <w:rsid w:val="008A2C3C"/>
    <w:rsid w:val="008A302C"/>
    <w:rsid w:val="008A379C"/>
    <w:rsid w:val="008A5A4E"/>
    <w:rsid w:val="008A5E26"/>
    <w:rsid w:val="008A6033"/>
    <w:rsid w:val="008A6435"/>
    <w:rsid w:val="008A6BF5"/>
    <w:rsid w:val="008A6E77"/>
    <w:rsid w:val="008A7808"/>
    <w:rsid w:val="008A7CC7"/>
    <w:rsid w:val="008B0B04"/>
    <w:rsid w:val="008B0F92"/>
    <w:rsid w:val="008B128A"/>
    <w:rsid w:val="008B16C2"/>
    <w:rsid w:val="008B1D1D"/>
    <w:rsid w:val="008B22C0"/>
    <w:rsid w:val="008B2724"/>
    <w:rsid w:val="008B3085"/>
    <w:rsid w:val="008B31EE"/>
    <w:rsid w:val="008B368F"/>
    <w:rsid w:val="008B3910"/>
    <w:rsid w:val="008B3DB5"/>
    <w:rsid w:val="008B3EBC"/>
    <w:rsid w:val="008B4301"/>
    <w:rsid w:val="008B5263"/>
    <w:rsid w:val="008B52B3"/>
    <w:rsid w:val="008B5CDD"/>
    <w:rsid w:val="008B5FE6"/>
    <w:rsid w:val="008B64E3"/>
    <w:rsid w:val="008B6CBA"/>
    <w:rsid w:val="008B6F92"/>
    <w:rsid w:val="008B7B8B"/>
    <w:rsid w:val="008B7CFE"/>
    <w:rsid w:val="008C0BBE"/>
    <w:rsid w:val="008C1502"/>
    <w:rsid w:val="008C1AEE"/>
    <w:rsid w:val="008C224F"/>
    <w:rsid w:val="008C3CD8"/>
    <w:rsid w:val="008C3F12"/>
    <w:rsid w:val="008C4AF2"/>
    <w:rsid w:val="008C4DB1"/>
    <w:rsid w:val="008C4EC6"/>
    <w:rsid w:val="008C531F"/>
    <w:rsid w:val="008C5464"/>
    <w:rsid w:val="008C577F"/>
    <w:rsid w:val="008C5913"/>
    <w:rsid w:val="008C6F05"/>
    <w:rsid w:val="008C73AD"/>
    <w:rsid w:val="008C7670"/>
    <w:rsid w:val="008C76D3"/>
    <w:rsid w:val="008C7805"/>
    <w:rsid w:val="008D1021"/>
    <w:rsid w:val="008D10F5"/>
    <w:rsid w:val="008D2289"/>
    <w:rsid w:val="008D3865"/>
    <w:rsid w:val="008D3BF9"/>
    <w:rsid w:val="008D41FC"/>
    <w:rsid w:val="008D4692"/>
    <w:rsid w:val="008D4A6F"/>
    <w:rsid w:val="008D53CB"/>
    <w:rsid w:val="008D5896"/>
    <w:rsid w:val="008D595B"/>
    <w:rsid w:val="008D5ADE"/>
    <w:rsid w:val="008D78BB"/>
    <w:rsid w:val="008E0D93"/>
    <w:rsid w:val="008E0F28"/>
    <w:rsid w:val="008E1388"/>
    <w:rsid w:val="008E1828"/>
    <w:rsid w:val="008E1E71"/>
    <w:rsid w:val="008E1FF0"/>
    <w:rsid w:val="008E1FFE"/>
    <w:rsid w:val="008E272E"/>
    <w:rsid w:val="008E3025"/>
    <w:rsid w:val="008E33E5"/>
    <w:rsid w:val="008E472E"/>
    <w:rsid w:val="008E5AFF"/>
    <w:rsid w:val="008E6E73"/>
    <w:rsid w:val="008E73D9"/>
    <w:rsid w:val="008F0D8B"/>
    <w:rsid w:val="008F0E59"/>
    <w:rsid w:val="008F1463"/>
    <w:rsid w:val="008F19BF"/>
    <w:rsid w:val="008F1C1D"/>
    <w:rsid w:val="008F1E4C"/>
    <w:rsid w:val="008F2725"/>
    <w:rsid w:val="008F28ED"/>
    <w:rsid w:val="008F2EC8"/>
    <w:rsid w:val="008F341C"/>
    <w:rsid w:val="008F44AC"/>
    <w:rsid w:val="008F4A53"/>
    <w:rsid w:val="008F4D5C"/>
    <w:rsid w:val="008F4EDF"/>
    <w:rsid w:val="008F529E"/>
    <w:rsid w:val="008F55EE"/>
    <w:rsid w:val="008F5E48"/>
    <w:rsid w:val="008F6494"/>
    <w:rsid w:val="008F685C"/>
    <w:rsid w:val="008F698A"/>
    <w:rsid w:val="008F6A84"/>
    <w:rsid w:val="008F7529"/>
    <w:rsid w:val="008F7D72"/>
    <w:rsid w:val="008F7E62"/>
    <w:rsid w:val="009003F5"/>
    <w:rsid w:val="009010F8"/>
    <w:rsid w:val="009012E7"/>
    <w:rsid w:val="00901F63"/>
    <w:rsid w:val="00902200"/>
    <w:rsid w:val="0090226E"/>
    <w:rsid w:val="0090228B"/>
    <w:rsid w:val="00902329"/>
    <w:rsid w:val="00902AAA"/>
    <w:rsid w:val="00902D87"/>
    <w:rsid w:val="00902E00"/>
    <w:rsid w:val="00903049"/>
    <w:rsid w:val="00903379"/>
    <w:rsid w:val="009033CC"/>
    <w:rsid w:val="00903623"/>
    <w:rsid w:val="00903EEF"/>
    <w:rsid w:val="00903F07"/>
    <w:rsid w:val="00903F0C"/>
    <w:rsid w:val="0090439E"/>
    <w:rsid w:val="00906D41"/>
    <w:rsid w:val="0091028B"/>
    <w:rsid w:val="00910F57"/>
    <w:rsid w:val="009116BE"/>
    <w:rsid w:val="009131EE"/>
    <w:rsid w:val="009133B5"/>
    <w:rsid w:val="00913B77"/>
    <w:rsid w:val="00914E47"/>
    <w:rsid w:val="0091593D"/>
    <w:rsid w:val="0091594C"/>
    <w:rsid w:val="00915A4D"/>
    <w:rsid w:val="00916CA2"/>
    <w:rsid w:val="00916CA3"/>
    <w:rsid w:val="00917CBE"/>
    <w:rsid w:val="00920813"/>
    <w:rsid w:val="00920904"/>
    <w:rsid w:val="00920D99"/>
    <w:rsid w:val="009215AF"/>
    <w:rsid w:val="00921609"/>
    <w:rsid w:val="00921EB9"/>
    <w:rsid w:val="00923130"/>
    <w:rsid w:val="0092318F"/>
    <w:rsid w:val="009232C7"/>
    <w:rsid w:val="009234DD"/>
    <w:rsid w:val="00923853"/>
    <w:rsid w:val="0092387D"/>
    <w:rsid w:val="009239E7"/>
    <w:rsid w:val="00924165"/>
    <w:rsid w:val="009254F0"/>
    <w:rsid w:val="00925D76"/>
    <w:rsid w:val="00926F8D"/>
    <w:rsid w:val="0092701C"/>
    <w:rsid w:val="0092709F"/>
    <w:rsid w:val="00927563"/>
    <w:rsid w:val="0093020F"/>
    <w:rsid w:val="00931074"/>
    <w:rsid w:val="00931248"/>
    <w:rsid w:val="009313E3"/>
    <w:rsid w:val="00931B56"/>
    <w:rsid w:val="00931DEB"/>
    <w:rsid w:val="0093214F"/>
    <w:rsid w:val="009325EB"/>
    <w:rsid w:val="009328D4"/>
    <w:rsid w:val="00932968"/>
    <w:rsid w:val="00932A9A"/>
    <w:rsid w:val="009333A3"/>
    <w:rsid w:val="009349A4"/>
    <w:rsid w:val="00935A3E"/>
    <w:rsid w:val="00936D61"/>
    <w:rsid w:val="009377E8"/>
    <w:rsid w:val="0093798C"/>
    <w:rsid w:val="00937A36"/>
    <w:rsid w:val="0094152E"/>
    <w:rsid w:val="00941693"/>
    <w:rsid w:val="00941C9C"/>
    <w:rsid w:val="00941EB5"/>
    <w:rsid w:val="009425FB"/>
    <w:rsid w:val="00942689"/>
    <w:rsid w:val="00942D8E"/>
    <w:rsid w:val="00942F72"/>
    <w:rsid w:val="00943AB2"/>
    <w:rsid w:val="00943C52"/>
    <w:rsid w:val="009440D7"/>
    <w:rsid w:val="009459EB"/>
    <w:rsid w:val="00945B63"/>
    <w:rsid w:val="00946428"/>
    <w:rsid w:val="00946464"/>
    <w:rsid w:val="00946D34"/>
    <w:rsid w:val="00947D6D"/>
    <w:rsid w:val="0095091A"/>
    <w:rsid w:val="00950B76"/>
    <w:rsid w:val="00950CD7"/>
    <w:rsid w:val="00950CF5"/>
    <w:rsid w:val="00951DBF"/>
    <w:rsid w:val="0095213D"/>
    <w:rsid w:val="009537C3"/>
    <w:rsid w:val="009537E8"/>
    <w:rsid w:val="00953D17"/>
    <w:rsid w:val="009540A5"/>
    <w:rsid w:val="009544BF"/>
    <w:rsid w:val="0095458C"/>
    <w:rsid w:val="00954695"/>
    <w:rsid w:val="0095494A"/>
    <w:rsid w:val="009549D1"/>
    <w:rsid w:val="00955339"/>
    <w:rsid w:val="0095569A"/>
    <w:rsid w:val="009557C0"/>
    <w:rsid w:val="009559DD"/>
    <w:rsid w:val="009560CB"/>
    <w:rsid w:val="0095630F"/>
    <w:rsid w:val="00956416"/>
    <w:rsid w:val="009564AE"/>
    <w:rsid w:val="009600C3"/>
    <w:rsid w:val="00960509"/>
    <w:rsid w:val="00960789"/>
    <w:rsid w:val="00960862"/>
    <w:rsid w:val="00960C45"/>
    <w:rsid w:val="00960C5A"/>
    <w:rsid w:val="009611B5"/>
    <w:rsid w:val="0096140F"/>
    <w:rsid w:val="009615AD"/>
    <w:rsid w:val="00961AF1"/>
    <w:rsid w:val="00961BF8"/>
    <w:rsid w:val="00961CAC"/>
    <w:rsid w:val="00963401"/>
    <w:rsid w:val="00964CBE"/>
    <w:rsid w:val="00965337"/>
    <w:rsid w:val="00965797"/>
    <w:rsid w:val="009658D7"/>
    <w:rsid w:val="009663C4"/>
    <w:rsid w:val="0096651A"/>
    <w:rsid w:val="009668BA"/>
    <w:rsid w:val="00966B6C"/>
    <w:rsid w:val="009675EB"/>
    <w:rsid w:val="009678AA"/>
    <w:rsid w:val="009710ED"/>
    <w:rsid w:val="0097117A"/>
    <w:rsid w:val="00971A1B"/>
    <w:rsid w:val="00971E8A"/>
    <w:rsid w:val="00972107"/>
    <w:rsid w:val="009721AF"/>
    <w:rsid w:val="009721BF"/>
    <w:rsid w:val="00973319"/>
    <w:rsid w:val="00974D58"/>
    <w:rsid w:val="00975298"/>
    <w:rsid w:val="009752B8"/>
    <w:rsid w:val="0097699C"/>
    <w:rsid w:val="00976B3F"/>
    <w:rsid w:val="00976D85"/>
    <w:rsid w:val="00977550"/>
    <w:rsid w:val="00977643"/>
    <w:rsid w:val="00977688"/>
    <w:rsid w:val="009777B8"/>
    <w:rsid w:val="009777BA"/>
    <w:rsid w:val="00977B67"/>
    <w:rsid w:val="00980A14"/>
    <w:rsid w:val="00981F71"/>
    <w:rsid w:val="009820F5"/>
    <w:rsid w:val="00982A89"/>
    <w:rsid w:val="009843C0"/>
    <w:rsid w:val="00984B1A"/>
    <w:rsid w:val="009859C3"/>
    <w:rsid w:val="00985AA6"/>
    <w:rsid w:val="00985EE0"/>
    <w:rsid w:val="00985F08"/>
    <w:rsid w:val="00986021"/>
    <w:rsid w:val="00986050"/>
    <w:rsid w:val="00986662"/>
    <w:rsid w:val="00986CAF"/>
    <w:rsid w:val="00986DD3"/>
    <w:rsid w:val="00987F8B"/>
    <w:rsid w:val="0099038B"/>
    <w:rsid w:val="009903E8"/>
    <w:rsid w:val="009905EC"/>
    <w:rsid w:val="00990C54"/>
    <w:rsid w:val="0099211D"/>
    <w:rsid w:val="009926C0"/>
    <w:rsid w:val="009927C2"/>
    <w:rsid w:val="00992853"/>
    <w:rsid w:val="00992983"/>
    <w:rsid w:val="00992CE2"/>
    <w:rsid w:val="009933A4"/>
    <w:rsid w:val="00993CD9"/>
    <w:rsid w:val="00993DA8"/>
    <w:rsid w:val="0099416C"/>
    <w:rsid w:val="009944C5"/>
    <w:rsid w:val="009947EE"/>
    <w:rsid w:val="00994ED0"/>
    <w:rsid w:val="00995425"/>
    <w:rsid w:val="0099615E"/>
    <w:rsid w:val="009963B8"/>
    <w:rsid w:val="009A0282"/>
    <w:rsid w:val="009A1889"/>
    <w:rsid w:val="009A1AE1"/>
    <w:rsid w:val="009A1B00"/>
    <w:rsid w:val="009A2646"/>
    <w:rsid w:val="009A312D"/>
    <w:rsid w:val="009A36EB"/>
    <w:rsid w:val="009A4378"/>
    <w:rsid w:val="009A4436"/>
    <w:rsid w:val="009A4813"/>
    <w:rsid w:val="009A4D99"/>
    <w:rsid w:val="009A50C8"/>
    <w:rsid w:val="009A5DB0"/>
    <w:rsid w:val="009A765D"/>
    <w:rsid w:val="009A7FAD"/>
    <w:rsid w:val="009B00F4"/>
    <w:rsid w:val="009B055C"/>
    <w:rsid w:val="009B0D0B"/>
    <w:rsid w:val="009B1643"/>
    <w:rsid w:val="009B1BAC"/>
    <w:rsid w:val="009B1D79"/>
    <w:rsid w:val="009B27B9"/>
    <w:rsid w:val="009B2AB1"/>
    <w:rsid w:val="009B2E21"/>
    <w:rsid w:val="009B33C0"/>
    <w:rsid w:val="009B3623"/>
    <w:rsid w:val="009B3E0E"/>
    <w:rsid w:val="009B51BB"/>
    <w:rsid w:val="009B65C0"/>
    <w:rsid w:val="009B6AE2"/>
    <w:rsid w:val="009B6ED1"/>
    <w:rsid w:val="009B7D26"/>
    <w:rsid w:val="009C0544"/>
    <w:rsid w:val="009C0940"/>
    <w:rsid w:val="009C1001"/>
    <w:rsid w:val="009C1167"/>
    <w:rsid w:val="009C1370"/>
    <w:rsid w:val="009C160D"/>
    <w:rsid w:val="009C22CB"/>
    <w:rsid w:val="009C2802"/>
    <w:rsid w:val="009C2BF6"/>
    <w:rsid w:val="009C2C8C"/>
    <w:rsid w:val="009C3747"/>
    <w:rsid w:val="009C3887"/>
    <w:rsid w:val="009C41A2"/>
    <w:rsid w:val="009C44F8"/>
    <w:rsid w:val="009C4E78"/>
    <w:rsid w:val="009C526F"/>
    <w:rsid w:val="009C5520"/>
    <w:rsid w:val="009C552D"/>
    <w:rsid w:val="009C56F6"/>
    <w:rsid w:val="009C59E0"/>
    <w:rsid w:val="009C5EBC"/>
    <w:rsid w:val="009C7D54"/>
    <w:rsid w:val="009D0334"/>
    <w:rsid w:val="009D054B"/>
    <w:rsid w:val="009D0644"/>
    <w:rsid w:val="009D0E3D"/>
    <w:rsid w:val="009D143F"/>
    <w:rsid w:val="009D1D26"/>
    <w:rsid w:val="009D2D67"/>
    <w:rsid w:val="009D3381"/>
    <w:rsid w:val="009D5183"/>
    <w:rsid w:val="009D5775"/>
    <w:rsid w:val="009D5E2B"/>
    <w:rsid w:val="009D6D3F"/>
    <w:rsid w:val="009D7092"/>
    <w:rsid w:val="009D7287"/>
    <w:rsid w:val="009D788F"/>
    <w:rsid w:val="009D7969"/>
    <w:rsid w:val="009D7ABE"/>
    <w:rsid w:val="009E0A37"/>
    <w:rsid w:val="009E1C3C"/>
    <w:rsid w:val="009E1F11"/>
    <w:rsid w:val="009E20CD"/>
    <w:rsid w:val="009E214A"/>
    <w:rsid w:val="009E2573"/>
    <w:rsid w:val="009E2790"/>
    <w:rsid w:val="009E2874"/>
    <w:rsid w:val="009E2E50"/>
    <w:rsid w:val="009E2F1B"/>
    <w:rsid w:val="009E3229"/>
    <w:rsid w:val="009E3AE1"/>
    <w:rsid w:val="009E3C4C"/>
    <w:rsid w:val="009E3D04"/>
    <w:rsid w:val="009E402B"/>
    <w:rsid w:val="009E4916"/>
    <w:rsid w:val="009E4CFB"/>
    <w:rsid w:val="009E4FF7"/>
    <w:rsid w:val="009E6148"/>
    <w:rsid w:val="009E7351"/>
    <w:rsid w:val="009F1096"/>
    <w:rsid w:val="009F1FEC"/>
    <w:rsid w:val="009F21EB"/>
    <w:rsid w:val="009F2424"/>
    <w:rsid w:val="009F2649"/>
    <w:rsid w:val="009F269E"/>
    <w:rsid w:val="009F4515"/>
    <w:rsid w:val="009F4BA6"/>
    <w:rsid w:val="009F52C9"/>
    <w:rsid w:val="009F52F9"/>
    <w:rsid w:val="009F5591"/>
    <w:rsid w:val="009F5687"/>
    <w:rsid w:val="009F57E8"/>
    <w:rsid w:val="009F6370"/>
    <w:rsid w:val="009F6A3E"/>
    <w:rsid w:val="009F6B1E"/>
    <w:rsid w:val="009F70C5"/>
    <w:rsid w:val="009F736B"/>
    <w:rsid w:val="009F7702"/>
    <w:rsid w:val="00A00C45"/>
    <w:rsid w:val="00A0163F"/>
    <w:rsid w:val="00A018D1"/>
    <w:rsid w:val="00A01B32"/>
    <w:rsid w:val="00A03340"/>
    <w:rsid w:val="00A0374F"/>
    <w:rsid w:val="00A04718"/>
    <w:rsid w:val="00A04946"/>
    <w:rsid w:val="00A05353"/>
    <w:rsid w:val="00A06823"/>
    <w:rsid w:val="00A071A9"/>
    <w:rsid w:val="00A0743F"/>
    <w:rsid w:val="00A07617"/>
    <w:rsid w:val="00A0783E"/>
    <w:rsid w:val="00A0786F"/>
    <w:rsid w:val="00A07C29"/>
    <w:rsid w:val="00A114D3"/>
    <w:rsid w:val="00A12164"/>
    <w:rsid w:val="00A12468"/>
    <w:rsid w:val="00A1304C"/>
    <w:rsid w:val="00A1325D"/>
    <w:rsid w:val="00A140DC"/>
    <w:rsid w:val="00A14B63"/>
    <w:rsid w:val="00A14F5D"/>
    <w:rsid w:val="00A15163"/>
    <w:rsid w:val="00A15D1F"/>
    <w:rsid w:val="00A17098"/>
    <w:rsid w:val="00A170CC"/>
    <w:rsid w:val="00A17583"/>
    <w:rsid w:val="00A17783"/>
    <w:rsid w:val="00A20375"/>
    <w:rsid w:val="00A20D96"/>
    <w:rsid w:val="00A2195B"/>
    <w:rsid w:val="00A219AA"/>
    <w:rsid w:val="00A21A24"/>
    <w:rsid w:val="00A22264"/>
    <w:rsid w:val="00A224EA"/>
    <w:rsid w:val="00A226C4"/>
    <w:rsid w:val="00A226CF"/>
    <w:rsid w:val="00A22A6E"/>
    <w:rsid w:val="00A23784"/>
    <w:rsid w:val="00A2385F"/>
    <w:rsid w:val="00A238CC"/>
    <w:rsid w:val="00A23FCF"/>
    <w:rsid w:val="00A2428C"/>
    <w:rsid w:val="00A24A11"/>
    <w:rsid w:val="00A2554F"/>
    <w:rsid w:val="00A26BE3"/>
    <w:rsid w:val="00A27118"/>
    <w:rsid w:val="00A271A7"/>
    <w:rsid w:val="00A2726A"/>
    <w:rsid w:val="00A273B7"/>
    <w:rsid w:val="00A274D7"/>
    <w:rsid w:val="00A27D79"/>
    <w:rsid w:val="00A27DAE"/>
    <w:rsid w:val="00A27F91"/>
    <w:rsid w:val="00A30321"/>
    <w:rsid w:val="00A303D1"/>
    <w:rsid w:val="00A306D5"/>
    <w:rsid w:val="00A30800"/>
    <w:rsid w:val="00A31404"/>
    <w:rsid w:val="00A31BCA"/>
    <w:rsid w:val="00A31BD0"/>
    <w:rsid w:val="00A320CB"/>
    <w:rsid w:val="00A32859"/>
    <w:rsid w:val="00A32A26"/>
    <w:rsid w:val="00A32E4C"/>
    <w:rsid w:val="00A33044"/>
    <w:rsid w:val="00A33392"/>
    <w:rsid w:val="00A334CB"/>
    <w:rsid w:val="00A348A4"/>
    <w:rsid w:val="00A35AA1"/>
    <w:rsid w:val="00A35F9F"/>
    <w:rsid w:val="00A36080"/>
    <w:rsid w:val="00A368A0"/>
    <w:rsid w:val="00A36915"/>
    <w:rsid w:val="00A3694C"/>
    <w:rsid w:val="00A3697F"/>
    <w:rsid w:val="00A36E0D"/>
    <w:rsid w:val="00A37B58"/>
    <w:rsid w:val="00A4045F"/>
    <w:rsid w:val="00A409E2"/>
    <w:rsid w:val="00A40B29"/>
    <w:rsid w:val="00A4125D"/>
    <w:rsid w:val="00A41CCA"/>
    <w:rsid w:val="00A424D8"/>
    <w:rsid w:val="00A42B4A"/>
    <w:rsid w:val="00A42EB4"/>
    <w:rsid w:val="00A43214"/>
    <w:rsid w:val="00A436FD"/>
    <w:rsid w:val="00A439E9"/>
    <w:rsid w:val="00A43A0B"/>
    <w:rsid w:val="00A44B19"/>
    <w:rsid w:val="00A44BCF"/>
    <w:rsid w:val="00A4521F"/>
    <w:rsid w:val="00A452FD"/>
    <w:rsid w:val="00A4561E"/>
    <w:rsid w:val="00A45639"/>
    <w:rsid w:val="00A45B78"/>
    <w:rsid w:val="00A45EBC"/>
    <w:rsid w:val="00A46515"/>
    <w:rsid w:val="00A4669F"/>
    <w:rsid w:val="00A47495"/>
    <w:rsid w:val="00A47807"/>
    <w:rsid w:val="00A47FD1"/>
    <w:rsid w:val="00A5023E"/>
    <w:rsid w:val="00A50FB2"/>
    <w:rsid w:val="00A5118E"/>
    <w:rsid w:val="00A51E2B"/>
    <w:rsid w:val="00A5252B"/>
    <w:rsid w:val="00A52940"/>
    <w:rsid w:val="00A52CA0"/>
    <w:rsid w:val="00A52CC9"/>
    <w:rsid w:val="00A538BA"/>
    <w:rsid w:val="00A53C21"/>
    <w:rsid w:val="00A544E2"/>
    <w:rsid w:val="00A54C21"/>
    <w:rsid w:val="00A563D0"/>
    <w:rsid w:val="00A565A6"/>
    <w:rsid w:val="00A56842"/>
    <w:rsid w:val="00A5766E"/>
    <w:rsid w:val="00A577B2"/>
    <w:rsid w:val="00A57986"/>
    <w:rsid w:val="00A60077"/>
    <w:rsid w:val="00A6054A"/>
    <w:rsid w:val="00A605A7"/>
    <w:rsid w:val="00A608C1"/>
    <w:rsid w:val="00A60B01"/>
    <w:rsid w:val="00A610A0"/>
    <w:rsid w:val="00A610CC"/>
    <w:rsid w:val="00A61230"/>
    <w:rsid w:val="00A614E3"/>
    <w:rsid w:val="00A61D3B"/>
    <w:rsid w:val="00A620EE"/>
    <w:rsid w:val="00A62A86"/>
    <w:rsid w:val="00A64811"/>
    <w:rsid w:val="00A649F8"/>
    <w:rsid w:val="00A65834"/>
    <w:rsid w:val="00A65F13"/>
    <w:rsid w:val="00A66BDC"/>
    <w:rsid w:val="00A66CBF"/>
    <w:rsid w:val="00A66CD8"/>
    <w:rsid w:val="00A672D7"/>
    <w:rsid w:val="00A67859"/>
    <w:rsid w:val="00A70DFA"/>
    <w:rsid w:val="00A70E79"/>
    <w:rsid w:val="00A7143C"/>
    <w:rsid w:val="00A71F22"/>
    <w:rsid w:val="00A72EA4"/>
    <w:rsid w:val="00A73068"/>
    <w:rsid w:val="00A73356"/>
    <w:rsid w:val="00A735A8"/>
    <w:rsid w:val="00A73AC5"/>
    <w:rsid w:val="00A742EA"/>
    <w:rsid w:val="00A7458D"/>
    <w:rsid w:val="00A74707"/>
    <w:rsid w:val="00A75384"/>
    <w:rsid w:val="00A755C3"/>
    <w:rsid w:val="00A765EF"/>
    <w:rsid w:val="00A76611"/>
    <w:rsid w:val="00A76A03"/>
    <w:rsid w:val="00A76D45"/>
    <w:rsid w:val="00A770E8"/>
    <w:rsid w:val="00A77767"/>
    <w:rsid w:val="00A77C8A"/>
    <w:rsid w:val="00A807E6"/>
    <w:rsid w:val="00A81253"/>
    <w:rsid w:val="00A813A9"/>
    <w:rsid w:val="00A831F2"/>
    <w:rsid w:val="00A83545"/>
    <w:rsid w:val="00A83A7B"/>
    <w:rsid w:val="00A8424C"/>
    <w:rsid w:val="00A846B9"/>
    <w:rsid w:val="00A86D0D"/>
    <w:rsid w:val="00A87787"/>
    <w:rsid w:val="00A900C7"/>
    <w:rsid w:val="00A9033A"/>
    <w:rsid w:val="00A9033F"/>
    <w:rsid w:val="00A904F1"/>
    <w:rsid w:val="00A90C55"/>
    <w:rsid w:val="00A912F4"/>
    <w:rsid w:val="00A92077"/>
    <w:rsid w:val="00A92BD5"/>
    <w:rsid w:val="00A92E7C"/>
    <w:rsid w:val="00A9425B"/>
    <w:rsid w:val="00A94450"/>
    <w:rsid w:val="00A94885"/>
    <w:rsid w:val="00A94D2F"/>
    <w:rsid w:val="00A958E0"/>
    <w:rsid w:val="00A95C3D"/>
    <w:rsid w:val="00A95F15"/>
    <w:rsid w:val="00A9666B"/>
    <w:rsid w:val="00A96753"/>
    <w:rsid w:val="00A96814"/>
    <w:rsid w:val="00A96D12"/>
    <w:rsid w:val="00A971CA"/>
    <w:rsid w:val="00A9738C"/>
    <w:rsid w:val="00A979DF"/>
    <w:rsid w:val="00A97BF4"/>
    <w:rsid w:val="00AA0A07"/>
    <w:rsid w:val="00AA0D79"/>
    <w:rsid w:val="00AA0EFA"/>
    <w:rsid w:val="00AA1CED"/>
    <w:rsid w:val="00AA2394"/>
    <w:rsid w:val="00AA24EA"/>
    <w:rsid w:val="00AA2A22"/>
    <w:rsid w:val="00AA2C1E"/>
    <w:rsid w:val="00AA32CB"/>
    <w:rsid w:val="00AA40C1"/>
    <w:rsid w:val="00AA42D7"/>
    <w:rsid w:val="00AA47CE"/>
    <w:rsid w:val="00AA4D2A"/>
    <w:rsid w:val="00AA5B92"/>
    <w:rsid w:val="00AA6845"/>
    <w:rsid w:val="00AA6933"/>
    <w:rsid w:val="00AA6ACA"/>
    <w:rsid w:val="00AA6DEE"/>
    <w:rsid w:val="00AA6E51"/>
    <w:rsid w:val="00AA6EDB"/>
    <w:rsid w:val="00AA7248"/>
    <w:rsid w:val="00AA7A24"/>
    <w:rsid w:val="00AA7FF9"/>
    <w:rsid w:val="00AB07B8"/>
    <w:rsid w:val="00AB1382"/>
    <w:rsid w:val="00AB13FE"/>
    <w:rsid w:val="00AB1B52"/>
    <w:rsid w:val="00AB1E14"/>
    <w:rsid w:val="00AB1E22"/>
    <w:rsid w:val="00AB20D0"/>
    <w:rsid w:val="00AB344E"/>
    <w:rsid w:val="00AB3BB7"/>
    <w:rsid w:val="00AB48C2"/>
    <w:rsid w:val="00AB58F3"/>
    <w:rsid w:val="00AB5EE0"/>
    <w:rsid w:val="00AB7144"/>
    <w:rsid w:val="00AC090E"/>
    <w:rsid w:val="00AC0CD5"/>
    <w:rsid w:val="00AC1433"/>
    <w:rsid w:val="00AC17B0"/>
    <w:rsid w:val="00AC1ACD"/>
    <w:rsid w:val="00AC1FAA"/>
    <w:rsid w:val="00AC2463"/>
    <w:rsid w:val="00AC24AF"/>
    <w:rsid w:val="00AC2B0E"/>
    <w:rsid w:val="00AC34CE"/>
    <w:rsid w:val="00AC37FE"/>
    <w:rsid w:val="00AC458B"/>
    <w:rsid w:val="00AC4A30"/>
    <w:rsid w:val="00AC526E"/>
    <w:rsid w:val="00AC54CB"/>
    <w:rsid w:val="00AC5829"/>
    <w:rsid w:val="00AC5B98"/>
    <w:rsid w:val="00AC5C15"/>
    <w:rsid w:val="00AC5E34"/>
    <w:rsid w:val="00AC62F0"/>
    <w:rsid w:val="00AD013C"/>
    <w:rsid w:val="00AD0479"/>
    <w:rsid w:val="00AD09E8"/>
    <w:rsid w:val="00AD0AC2"/>
    <w:rsid w:val="00AD142A"/>
    <w:rsid w:val="00AD1C4A"/>
    <w:rsid w:val="00AD2681"/>
    <w:rsid w:val="00AD270C"/>
    <w:rsid w:val="00AD2726"/>
    <w:rsid w:val="00AD2934"/>
    <w:rsid w:val="00AD338C"/>
    <w:rsid w:val="00AD3E95"/>
    <w:rsid w:val="00AD44CA"/>
    <w:rsid w:val="00AD4668"/>
    <w:rsid w:val="00AD55DD"/>
    <w:rsid w:val="00AD5F8B"/>
    <w:rsid w:val="00AD5FF5"/>
    <w:rsid w:val="00AD60D3"/>
    <w:rsid w:val="00AD69E8"/>
    <w:rsid w:val="00AD6D13"/>
    <w:rsid w:val="00AD74E9"/>
    <w:rsid w:val="00AD7690"/>
    <w:rsid w:val="00AD76AA"/>
    <w:rsid w:val="00AD77DE"/>
    <w:rsid w:val="00AD7FDC"/>
    <w:rsid w:val="00AE129A"/>
    <w:rsid w:val="00AE12BC"/>
    <w:rsid w:val="00AE14BD"/>
    <w:rsid w:val="00AE1B81"/>
    <w:rsid w:val="00AE2C55"/>
    <w:rsid w:val="00AE2C58"/>
    <w:rsid w:val="00AE3323"/>
    <w:rsid w:val="00AE35F4"/>
    <w:rsid w:val="00AE3655"/>
    <w:rsid w:val="00AE36A7"/>
    <w:rsid w:val="00AE49E1"/>
    <w:rsid w:val="00AE4A38"/>
    <w:rsid w:val="00AE5D7B"/>
    <w:rsid w:val="00AE6750"/>
    <w:rsid w:val="00AE7881"/>
    <w:rsid w:val="00AF0706"/>
    <w:rsid w:val="00AF0BA9"/>
    <w:rsid w:val="00AF0C1A"/>
    <w:rsid w:val="00AF1FC2"/>
    <w:rsid w:val="00AF2435"/>
    <w:rsid w:val="00AF35D3"/>
    <w:rsid w:val="00AF3AC4"/>
    <w:rsid w:val="00AF43E2"/>
    <w:rsid w:val="00AF5111"/>
    <w:rsid w:val="00AF528E"/>
    <w:rsid w:val="00AF5644"/>
    <w:rsid w:val="00AF7AC1"/>
    <w:rsid w:val="00AF7DCE"/>
    <w:rsid w:val="00B00203"/>
    <w:rsid w:val="00B002A5"/>
    <w:rsid w:val="00B00301"/>
    <w:rsid w:val="00B00495"/>
    <w:rsid w:val="00B00520"/>
    <w:rsid w:val="00B00E3A"/>
    <w:rsid w:val="00B01728"/>
    <w:rsid w:val="00B01EE3"/>
    <w:rsid w:val="00B0209C"/>
    <w:rsid w:val="00B02252"/>
    <w:rsid w:val="00B02DAC"/>
    <w:rsid w:val="00B03271"/>
    <w:rsid w:val="00B03726"/>
    <w:rsid w:val="00B0486D"/>
    <w:rsid w:val="00B04AF8"/>
    <w:rsid w:val="00B056FE"/>
    <w:rsid w:val="00B05905"/>
    <w:rsid w:val="00B05CCA"/>
    <w:rsid w:val="00B06A54"/>
    <w:rsid w:val="00B06EB6"/>
    <w:rsid w:val="00B077C8"/>
    <w:rsid w:val="00B077D2"/>
    <w:rsid w:val="00B07C5F"/>
    <w:rsid w:val="00B07DCD"/>
    <w:rsid w:val="00B10641"/>
    <w:rsid w:val="00B10775"/>
    <w:rsid w:val="00B10BF3"/>
    <w:rsid w:val="00B10C42"/>
    <w:rsid w:val="00B11BCF"/>
    <w:rsid w:val="00B11C80"/>
    <w:rsid w:val="00B121FD"/>
    <w:rsid w:val="00B12546"/>
    <w:rsid w:val="00B1286E"/>
    <w:rsid w:val="00B12A3B"/>
    <w:rsid w:val="00B12F13"/>
    <w:rsid w:val="00B13004"/>
    <w:rsid w:val="00B1386B"/>
    <w:rsid w:val="00B138F1"/>
    <w:rsid w:val="00B14541"/>
    <w:rsid w:val="00B1522B"/>
    <w:rsid w:val="00B15DA7"/>
    <w:rsid w:val="00B17B0D"/>
    <w:rsid w:val="00B17C85"/>
    <w:rsid w:val="00B17C92"/>
    <w:rsid w:val="00B203DA"/>
    <w:rsid w:val="00B203FF"/>
    <w:rsid w:val="00B20B90"/>
    <w:rsid w:val="00B21A88"/>
    <w:rsid w:val="00B21EC0"/>
    <w:rsid w:val="00B2224D"/>
    <w:rsid w:val="00B2275E"/>
    <w:rsid w:val="00B22FB3"/>
    <w:rsid w:val="00B232E1"/>
    <w:rsid w:val="00B234B3"/>
    <w:rsid w:val="00B2460E"/>
    <w:rsid w:val="00B24708"/>
    <w:rsid w:val="00B2537D"/>
    <w:rsid w:val="00B25BE6"/>
    <w:rsid w:val="00B26403"/>
    <w:rsid w:val="00B26558"/>
    <w:rsid w:val="00B2674B"/>
    <w:rsid w:val="00B277C6"/>
    <w:rsid w:val="00B27CB4"/>
    <w:rsid w:val="00B27E58"/>
    <w:rsid w:val="00B305F6"/>
    <w:rsid w:val="00B30785"/>
    <w:rsid w:val="00B30D63"/>
    <w:rsid w:val="00B3129A"/>
    <w:rsid w:val="00B3166F"/>
    <w:rsid w:val="00B31BB3"/>
    <w:rsid w:val="00B31E7F"/>
    <w:rsid w:val="00B320DF"/>
    <w:rsid w:val="00B3259E"/>
    <w:rsid w:val="00B3357A"/>
    <w:rsid w:val="00B338D4"/>
    <w:rsid w:val="00B34239"/>
    <w:rsid w:val="00B34DA6"/>
    <w:rsid w:val="00B352CC"/>
    <w:rsid w:val="00B35A45"/>
    <w:rsid w:val="00B365BF"/>
    <w:rsid w:val="00B36AC2"/>
    <w:rsid w:val="00B36AF7"/>
    <w:rsid w:val="00B37ABA"/>
    <w:rsid w:val="00B402D6"/>
    <w:rsid w:val="00B40C46"/>
    <w:rsid w:val="00B40CA9"/>
    <w:rsid w:val="00B40DEB"/>
    <w:rsid w:val="00B43493"/>
    <w:rsid w:val="00B4374D"/>
    <w:rsid w:val="00B440AD"/>
    <w:rsid w:val="00B447EE"/>
    <w:rsid w:val="00B4522E"/>
    <w:rsid w:val="00B45285"/>
    <w:rsid w:val="00B45505"/>
    <w:rsid w:val="00B455B1"/>
    <w:rsid w:val="00B469E6"/>
    <w:rsid w:val="00B46B19"/>
    <w:rsid w:val="00B4761B"/>
    <w:rsid w:val="00B47A53"/>
    <w:rsid w:val="00B50190"/>
    <w:rsid w:val="00B50289"/>
    <w:rsid w:val="00B518B6"/>
    <w:rsid w:val="00B51F0B"/>
    <w:rsid w:val="00B52628"/>
    <w:rsid w:val="00B527FB"/>
    <w:rsid w:val="00B52A21"/>
    <w:rsid w:val="00B52E17"/>
    <w:rsid w:val="00B530C1"/>
    <w:rsid w:val="00B53252"/>
    <w:rsid w:val="00B548DD"/>
    <w:rsid w:val="00B5496A"/>
    <w:rsid w:val="00B549F0"/>
    <w:rsid w:val="00B54B78"/>
    <w:rsid w:val="00B54B86"/>
    <w:rsid w:val="00B55160"/>
    <w:rsid w:val="00B5557B"/>
    <w:rsid w:val="00B55EFA"/>
    <w:rsid w:val="00B5749A"/>
    <w:rsid w:val="00B57B4F"/>
    <w:rsid w:val="00B60478"/>
    <w:rsid w:val="00B604BA"/>
    <w:rsid w:val="00B6057E"/>
    <w:rsid w:val="00B60EA5"/>
    <w:rsid w:val="00B61114"/>
    <w:rsid w:val="00B614A0"/>
    <w:rsid w:val="00B61911"/>
    <w:rsid w:val="00B61938"/>
    <w:rsid w:val="00B61A8D"/>
    <w:rsid w:val="00B61D7F"/>
    <w:rsid w:val="00B61DA0"/>
    <w:rsid w:val="00B61F05"/>
    <w:rsid w:val="00B62812"/>
    <w:rsid w:val="00B63285"/>
    <w:rsid w:val="00B636B2"/>
    <w:rsid w:val="00B63BF1"/>
    <w:rsid w:val="00B640C9"/>
    <w:rsid w:val="00B64569"/>
    <w:rsid w:val="00B647D8"/>
    <w:rsid w:val="00B656BE"/>
    <w:rsid w:val="00B65C3B"/>
    <w:rsid w:val="00B667B2"/>
    <w:rsid w:val="00B66B93"/>
    <w:rsid w:val="00B66F4C"/>
    <w:rsid w:val="00B67187"/>
    <w:rsid w:val="00B7036A"/>
    <w:rsid w:val="00B703E1"/>
    <w:rsid w:val="00B71B13"/>
    <w:rsid w:val="00B71B3E"/>
    <w:rsid w:val="00B71E51"/>
    <w:rsid w:val="00B734BC"/>
    <w:rsid w:val="00B74821"/>
    <w:rsid w:val="00B74A1C"/>
    <w:rsid w:val="00B74F8D"/>
    <w:rsid w:val="00B75063"/>
    <w:rsid w:val="00B755C5"/>
    <w:rsid w:val="00B76788"/>
    <w:rsid w:val="00B76CF2"/>
    <w:rsid w:val="00B77134"/>
    <w:rsid w:val="00B77E0C"/>
    <w:rsid w:val="00B80ED7"/>
    <w:rsid w:val="00B8119F"/>
    <w:rsid w:val="00B81C53"/>
    <w:rsid w:val="00B81F83"/>
    <w:rsid w:val="00B8396D"/>
    <w:rsid w:val="00B83B58"/>
    <w:rsid w:val="00B83F9C"/>
    <w:rsid w:val="00B85593"/>
    <w:rsid w:val="00B85C69"/>
    <w:rsid w:val="00B8675A"/>
    <w:rsid w:val="00B86BA0"/>
    <w:rsid w:val="00B86EF9"/>
    <w:rsid w:val="00B870A1"/>
    <w:rsid w:val="00B8776E"/>
    <w:rsid w:val="00B90F5A"/>
    <w:rsid w:val="00B910B8"/>
    <w:rsid w:val="00B91848"/>
    <w:rsid w:val="00B92BD5"/>
    <w:rsid w:val="00B92C4C"/>
    <w:rsid w:val="00B92CA0"/>
    <w:rsid w:val="00B92F7B"/>
    <w:rsid w:val="00B9306D"/>
    <w:rsid w:val="00B931FC"/>
    <w:rsid w:val="00B9459F"/>
    <w:rsid w:val="00B9471C"/>
    <w:rsid w:val="00B95378"/>
    <w:rsid w:val="00B963E8"/>
    <w:rsid w:val="00B9683A"/>
    <w:rsid w:val="00B968F5"/>
    <w:rsid w:val="00B96D4C"/>
    <w:rsid w:val="00B972BB"/>
    <w:rsid w:val="00BA06D1"/>
    <w:rsid w:val="00BA08F7"/>
    <w:rsid w:val="00BA0C00"/>
    <w:rsid w:val="00BA1B50"/>
    <w:rsid w:val="00BA2A69"/>
    <w:rsid w:val="00BA2CCE"/>
    <w:rsid w:val="00BA2FAB"/>
    <w:rsid w:val="00BA30A0"/>
    <w:rsid w:val="00BA3174"/>
    <w:rsid w:val="00BA37FE"/>
    <w:rsid w:val="00BA38CA"/>
    <w:rsid w:val="00BA431D"/>
    <w:rsid w:val="00BA44FF"/>
    <w:rsid w:val="00BA4516"/>
    <w:rsid w:val="00BA5504"/>
    <w:rsid w:val="00BA5CE2"/>
    <w:rsid w:val="00BA5E9C"/>
    <w:rsid w:val="00BA71A5"/>
    <w:rsid w:val="00BA7221"/>
    <w:rsid w:val="00BA7D72"/>
    <w:rsid w:val="00BB1002"/>
    <w:rsid w:val="00BB15B9"/>
    <w:rsid w:val="00BB25DD"/>
    <w:rsid w:val="00BB366F"/>
    <w:rsid w:val="00BB3D90"/>
    <w:rsid w:val="00BB4651"/>
    <w:rsid w:val="00BB6160"/>
    <w:rsid w:val="00BB61A4"/>
    <w:rsid w:val="00BB6344"/>
    <w:rsid w:val="00BB67D5"/>
    <w:rsid w:val="00BB7A96"/>
    <w:rsid w:val="00BB7B93"/>
    <w:rsid w:val="00BC055E"/>
    <w:rsid w:val="00BC08C4"/>
    <w:rsid w:val="00BC20AD"/>
    <w:rsid w:val="00BC20C8"/>
    <w:rsid w:val="00BC20EE"/>
    <w:rsid w:val="00BC2183"/>
    <w:rsid w:val="00BC246B"/>
    <w:rsid w:val="00BC278F"/>
    <w:rsid w:val="00BC2D40"/>
    <w:rsid w:val="00BC300B"/>
    <w:rsid w:val="00BC3081"/>
    <w:rsid w:val="00BC3431"/>
    <w:rsid w:val="00BC5568"/>
    <w:rsid w:val="00BC628D"/>
    <w:rsid w:val="00BC6AFF"/>
    <w:rsid w:val="00BC7FB4"/>
    <w:rsid w:val="00BD01B1"/>
    <w:rsid w:val="00BD04C9"/>
    <w:rsid w:val="00BD09F5"/>
    <w:rsid w:val="00BD0EA3"/>
    <w:rsid w:val="00BD12B4"/>
    <w:rsid w:val="00BD145B"/>
    <w:rsid w:val="00BD1746"/>
    <w:rsid w:val="00BD1D5E"/>
    <w:rsid w:val="00BD20F9"/>
    <w:rsid w:val="00BD24C2"/>
    <w:rsid w:val="00BD2503"/>
    <w:rsid w:val="00BD2A19"/>
    <w:rsid w:val="00BD2CCC"/>
    <w:rsid w:val="00BD2EDF"/>
    <w:rsid w:val="00BD32EF"/>
    <w:rsid w:val="00BD3748"/>
    <w:rsid w:val="00BD3754"/>
    <w:rsid w:val="00BD443D"/>
    <w:rsid w:val="00BD4472"/>
    <w:rsid w:val="00BD45B1"/>
    <w:rsid w:val="00BD5010"/>
    <w:rsid w:val="00BD522E"/>
    <w:rsid w:val="00BD5A35"/>
    <w:rsid w:val="00BD5DAE"/>
    <w:rsid w:val="00BD61DE"/>
    <w:rsid w:val="00BD6B3E"/>
    <w:rsid w:val="00BD6CAA"/>
    <w:rsid w:val="00BD7392"/>
    <w:rsid w:val="00BE0BE5"/>
    <w:rsid w:val="00BE1AE2"/>
    <w:rsid w:val="00BE27EB"/>
    <w:rsid w:val="00BE364E"/>
    <w:rsid w:val="00BE396A"/>
    <w:rsid w:val="00BE3A9B"/>
    <w:rsid w:val="00BE3AAA"/>
    <w:rsid w:val="00BE44C8"/>
    <w:rsid w:val="00BE49CA"/>
    <w:rsid w:val="00BE4D6E"/>
    <w:rsid w:val="00BE5145"/>
    <w:rsid w:val="00BE5E9F"/>
    <w:rsid w:val="00BE6A6A"/>
    <w:rsid w:val="00BE6BE1"/>
    <w:rsid w:val="00BF01CF"/>
    <w:rsid w:val="00BF0225"/>
    <w:rsid w:val="00BF0B00"/>
    <w:rsid w:val="00BF0CFE"/>
    <w:rsid w:val="00BF0DF3"/>
    <w:rsid w:val="00BF1249"/>
    <w:rsid w:val="00BF1C4D"/>
    <w:rsid w:val="00BF22C4"/>
    <w:rsid w:val="00BF24FD"/>
    <w:rsid w:val="00BF27B1"/>
    <w:rsid w:val="00BF2E98"/>
    <w:rsid w:val="00BF4194"/>
    <w:rsid w:val="00BF5AB9"/>
    <w:rsid w:val="00BF5C79"/>
    <w:rsid w:val="00BF5C8A"/>
    <w:rsid w:val="00BF6335"/>
    <w:rsid w:val="00BF7E58"/>
    <w:rsid w:val="00C004B7"/>
    <w:rsid w:val="00C00B2B"/>
    <w:rsid w:val="00C01224"/>
    <w:rsid w:val="00C01B8F"/>
    <w:rsid w:val="00C025D7"/>
    <w:rsid w:val="00C026FE"/>
    <w:rsid w:val="00C0293C"/>
    <w:rsid w:val="00C02DD5"/>
    <w:rsid w:val="00C02F12"/>
    <w:rsid w:val="00C02F27"/>
    <w:rsid w:val="00C02FBE"/>
    <w:rsid w:val="00C0434C"/>
    <w:rsid w:val="00C043CA"/>
    <w:rsid w:val="00C04469"/>
    <w:rsid w:val="00C04896"/>
    <w:rsid w:val="00C04974"/>
    <w:rsid w:val="00C04F43"/>
    <w:rsid w:val="00C0547E"/>
    <w:rsid w:val="00C06741"/>
    <w:rsid w:val="00C069C0"/>
    <w:rsid w:val="00C06A64"/>
    <w:rsid w:val="00C07438"/>
    <w:rsid w:val="00C07A04"/>
    <w:rsid w:val="00C07F47"/>
    <w:rsid w:val="00C104CA"/>
    <w:rsid w:val="00C10526"/>
    <w:rsid w:val="00C109D3"/>
    <w:rsid w:val="00C11316"/>
    <w:rsid w:val="00C118C6"/>
    <w:rsid w:val="00C118E0"/>
    <w:rsid w:val="00C1191B"/>
    <w:rsid w:val="00C11C78"/>
    <w:rsid w:val="00C11F6C"/>
    <w:rsid w:val="00C125CE"/>
    <w:rsid w:val="00C12D5D"/>
    <w:rsid w:val="00C12EAB"/>
    <w:rsid w:val="00C13A60"/>
    <w:rsid w:val="00C1414A"/>
    <w:rsid w:val="00C1455E"/>
    <w:rsid w:val="00C147B0"/>
    <w:rsid w:val="00C158B8"/>
    <w:rsid w:val="00C15CA2"/>
    <w:rsid w:val="00C15EBE"/>
    <w:rsid w:val="00C17920"/>
    <w:rsid w:val="00C17A5D"/>
    <w:rsid w:val="00C17F7F"/>
    <w:rsid w:val="00C20FAD"/>
    <w:rsid w:val="00C21875"/>
    <w:rsid w:val="00C21A09"/>
    <w:rsid w:val="00C21CCA"/>
    <w:rsid w:val="00C21DDA"/>
    <w:rsid w:val="00C22AEF"/>
    <w:rsid w:val="00C22AF4"/>
    <w:rsid w:val="00C22BA5"/>
    <w:rsid w:val="00C2378B"/>
    <w:rsid w:val="00C237FA"/>
    <w:rsid w:val="00C23BAE"/>
    <w:rsid w:val="00C245DF"/>
    <w:rsid w:val="00C24838"/>
    <w:rsid w:val="00C26FA2"/>
    <w:rsid w:val="00C279F1"/>
    <w:rsid w:val="00C27D61"/>
    <w:rsid w:val="00C27DFB"/>
    <w:rsid w:val="00C30033"/>
    <w:rsid w:val="00C31025"/>
    <w:rsid w:val="00C32157"/>
    <w:rsid w:val="00C324F6"/>
    <w:rsid w:val="00C32566"/>
    <w:rsid w:val="00C32758"/>
    <w:rsid w:val="00C3292F"/>
    <w:rsid w:val="00C32AD5"/>
    <w:rsid w:val="00C32E37"/>
    <w:rsid w:val="00C32FAD"/>
    <w:rsid w:val="00C33618"/>
    <w:rsid w:val="00C33873"/>
    <w:rsid w:val="00C33BA4"/>
    <w:rsid w:val="00C34118"/>
    <w:rsid w:val="00C342A3"/>
    <w:rsid w:val="00C342B0"/>
    <w:rsid w:val="00C361AD"/>
    <w:rsid w:val="00C366DF"/>
    <w:rsid w:val="00C37505"/>
    <w:rsid w:val="00C37750"/>
    <w:rsid w:val="00C37E31"/>
    <w:rsid w:val="00C37EC3"/>
    <w:rsid w:val="00C40E45"/>
    <w:rsid w:val="00C416C1"/>
    <w:rsid w:val="00C4191A"/>
    <w:rsid w:val="00C41C4F"/>
    <w:rsid w:val="00C421F7"/>
    <w:rsid w:val="00C428EE"/>
    <w:rsid w:val="00C42970"/>
    <w:rsid w:val="00C42D55"/>
    <w:rsid w:val="00C4368D"/>
    <w:rsid w:val="00C43706"/>
    <w:rsid w:val="00C43879"/>
    <w:rsid w:val="00C43E5E"/>
    <w:rsid w:val="00C44A6B"/>
    <w:rsid w:val="00C45C67"/>
    <w:rsid w:val="00C463CF"/>
    <w:rsid w:val="00C469F4"/>
    <w:rsid w:val="00C46C86"/>
    <w:rsid w:val="00C470DF"/>
    <w:rsid w:val="00C470FB"/>
    <w:rsid w:val="00C4749A"/>
    <w:rsid w:val="00C479A0"/>
    <w:rsid w:val="00C47E4A"/>
    <w:rsid w:val="00C51071"/>
    <w:rsid w:val="00C51309"/>
    <w:rsid w:val="00C51AFA"/>
    <w:rsid w:val="00C51CCB"/>
    <w:rsid w:val="00C52862"/>
    <w:rsid w:val="00C5325E"/>
    <w:rsid w:val="00C532F7"/>
    <w:rsid w:val="00C53C61"/>
    <w:rsid w:val="00C545F6"/>
    <w:rsid w:val="00C54983"/>
    <w:rsid w:val="00C54C9B"/>
    <w:rsid w:val="00C5590F"/>
    <w:rsid w:val="00C559E6"/>
    <w:rsid w:val="00C57574"/>
    <w:rsid w:val="00C61627"/>
    <w:rsid w:val="00C61E10"/>
    <w:rsid w:val="00C61FEC"/>
    <w:rsid w:val="00C62BA4"/>
    <w:rsid w:val="00C62C21"/>
    <w:rsid w:val="00C62DA4"/>
    <w:rsid w:val="00C63166"/>
    <w:rsid w:val="00C631BF"/>
    <w:rsid w:val="00C636AE"/>
    <w:rsid w:val="00C6417A"/>
    <w:rsid w:val="00C6470C"/>
    <w:rsid w:val="00C6479E"/>
    <w:rsid w:val="00C6656C"/>
    <w:rsid w:val="00C66E9C"/>
    <w:rsid w:val="00C70469"/>
    <w:rsid w:val="00C705C7"/>
    <w:rsid w:val="00C708B1"/>
    <w:rsid w:val="00C708FE"/>
    <w:rsid w:val="00C71DA8"/>
    <w:rsid w:val="00C720E0"/>
    <w:rsid w:val="00C730B3"/>
    <w:rsid w:val="00C73CB1"/>
    <w:rsid w:val="00C73FC1"/>
    <w:rsid w:val="00C743C0"/>
    <w:rsid w:val="00C74861"/>
    <w:rsid w:val="00C74E0D"/>
    <w:rsid w:val="00C74E29"/>
    <w:rsid w:val="00C74F2C"/>
    <w:rsid w:val="00C75419"/>
    <w:rsid w:val="00C75B3A"/>
    <w:rsid w:val="00C75E0D"/>
    <w:rsid w:val="00C76E27"/>
    <w:rsid w:val="00C80694"/>
    <w:rsid w:val="00C809F4"/>
    <w:rsid w:val="00C8177E"/>
    <w:rsid w:val="00C81818"/>
    <w:rsid w:val="00C819D2"/>
    <w:rsid w:val="00C81DFA"/>
    <w:rsid w:val="00C82232"/>
    <w:rsid w:val="00C825EC"/>
    <w:rsid w:val="00C8265F"/>
    <w:rsid w:val="00C82845"/>
    <w:rsid w:val="00C82D6A"/>
    <w:rsid w:val="00C830A1"/>
    <w:rsid w:val="00C8376F"/>
    <w:rsid w:val="00C83FBF"/>
    <w:rsid w:val="00C841FC"/>
    <w:rsid w:val="00C844B5"/>
    <w:rsid w:val="00C84A21"/>
    <w:rsid w:val="00C84ECB"/>
    <w:rsid w:val="00C85ABD"/>
    <w:rsid w:val="00C860D0"/>
    <w:rsid w:val="00C86821"/>
    <w:rsid w:val="00C879A2"/>
    <w:rsid w:val="00C87C22"/>
    <w:rsid w:val="00C900CB"/>
    <w:rsid w:val="00C912F8"/>
    <w:rsid w:val="00C91F27"/>
    <w:rsid w:val="00C92657"/>
    <w:rsid w:val="00C92DAA"/>
    <w:rsid w:val="00C93BD0"/>
    <w:rsid w:val="00C9471B"/>
    <w:rsid w:val="00C95824"/>
    <w:rsid w:val="00C96A72"/>
    <w:rsid w:val="00C97023"/>
    <w:rsid w:val="00CA0F20"/>
    <w:rsid w:val="00CA116C"/>
    <w:rsid w:val="00CA131A"/>
    <w:rsid w:val="00CA25C3"/>
    <w:rsid w:val="00CA29E2"/>
    <w:rsid w:val="00CA2D20"/>
    <w:rsid w:val="00CA4E34"/>
    <w:rsid w:val="00CA5201"/>
    <w:rsid w:val="00CA53DF"/>
    <w:rsid w:val="00CA5502"/>
    <w:rsid w:val="00CA5AE7"/>
    <w:rsid w:val="00CA5D56"/>
    <w:rsid w:val="00CA626A"/>
    <w:rsid w:val="00CA68DB"/>
    <w:rsid w:val="00CA6F6B"/>
    <w:rsid w:val="00CA786F"/>
    <w:rsid w:val="00CA7BEF"/>
    <w:rsid w:val="00CA7F5A"/>
    <w:rsid w:val="00CA7FCC"/>
    <w:rsid w:val="00CB0041"/>
    <w:rsid w:val="00CB0CC5"/>
    <w:rsid w:val="00CB11E3"/>
    <w:rsid w:val="00CB1E26"/>
    <w:rsid w:val="00CB29F3"/>
    <w:rsid w:val="00CB2ECB"/>
    <w:rsid w:val="00CB3557"/>
    <w:rsid w:val="00CB3669"/>
    <w:rsid w:val="00CB3853"/>
    <w:rsid w:val="00CB42D4"/>
    <w:rsid w:val="00CB586C"/>
    <w:rsid w:val="00CB5AF6"/>
    <w:rsid w:val="00CB5B02"/>
    <w:rsid w:val="00CB6A45"/>
    <w:rsid w:val="00CB6F74"/>
    <w:rsid w:val="00CB7270"/>
    <w:rsid w:val="00CB7348"/>
    <w:rsid w:val="00CB75D9"/>
    <w:rsid w:val="00CC0366"/>
    <w:rsid w:val="00CC1456"/>
    <w:rsid w:val="00CC1A7C"/>
    <w:rsid w:val="00CC1DF8"/>
    <w:rsid w:val="00CC23C9"/>
    <w:rsid w:val="00CC243E"/>
    <w:rsid w:val="00CC2CB8"/>
    <w:rsid w:val="00CC444D"/>
    <w:rsid w:val="00CC486B"/>
    <w:rsid w:val="00CC4A7D"/>
    <w:rsid w:val="00CC4BC3"/>
    <w:rsid w:val="00CC552B"/>
    <w:rsid w:val="00CC60E4"/>
    <w:rsid w:val="00CC6276"/>
    <w:rsid w:val="00CC67E2"/>
    <w:rsid w:val="00CC6B9C"/>
    <w:rsid w:val="00CC7788"/>
    <w:rsid w:val="00CC7DC1"/>
    <w:rsid w:val="00CD0FF5"/>
    <w:rsid w:val="00CD1464"/>
    <w:rsid w:val="00CD24B8"/>
    <w:rsid w:val="00CD2E19"/>
    <w:rsid w:val="00CD3231"/>
    <w:rsid w:val="00CD3735"/>
    <w:rsid w:val="00CD3D98"/>
    <w:rsid w:val="00CD4F03"/>
    <w:rsid w:val="00CD5998"/>
    <w:rsid w:val="00CD6143"/>
    <w:rsid w:val="00CD65FC"/>
    <w:rsid w:val="00CD6622"/>
    <w:rsid w:val="00CD6CDD"/>
    <w:rsid w:val="00CD79FA"/>
    <w:rsid w:val="00CE0BD1"/>
    <w:rsid w:val="00CE2664"/>
    <w:rsid w:val="00CE26A8"/>
    <w:rsid w:val="00CE3279"/>
    <w:rsid w:val="00CE34B9"/>
    <w:rsid w:val="00CE3A13"/>
    <w:rsid w:val="00CE3A34"/>
    <w:rsid w:val="00CE3B45"/>
    <w:rsid w:val="00CE3D37"/>
    <w:rsid w:val="00CE4139"/>
    <w:rsid w:val="00CE477D"/>
    <w:rsid w:val="00CE4D4A"/>
    <w:rsid w:val="00CE5CA2"/>
    <w:rsid w:val="00CE661B"/>
    <w:rsid w:val="00CE6779"/>
    <w:rsid w:val="00CE6800"/>
    <w:rsid w:val="00CE69A4"/>
    <w:rsid w:val="00CE6C37"/>
    <w:rsid w:val="00CE7BBA"/>
    <w:rsid w:val="00CE7D00"/>
    <w:rsid w:val="00CF0113"/>
    <w:rsid w:val="00CF09B8"/>
    <w:rsid w:val="00CF10E9"/>
    <w:rsid w:val="00CF11EE"/>
    <w:rsid w:val="00CF1526"/>
    <w:rsid w:val="00CF15F3"/>
    <w:rsid w:val="00CF1B98"/>
    <w:rsid w:val="00CF1EE5"/>
    <w:rsid w:val="00CF20AB"/>
    <w:rsid w:val="00CF2812"/>
    <w:rsid w:val="00CF2857"/>
    <w:rsid w:val="00CF2D10"/>
    <w:rsid w:val="00CF2DB8"/>
    <w:rsid w:val="00CF2E7F"/>
    <w:rsid w:val="00CF3894"/>
    <w:rsid w:val="00CF3A14"/>
    <w:rsid w:val="00CF42FF"/>
    <w:rsid w:val="00CF4FF2"/>
    <w:rsid w:val="00CF589A"/>
    <w:rsid w:val="00CF58D9"/>
    <w:rsid w:val="00CF620B"/>
    <w:rsid w:val="00CF6C34"/>
    <w:rsid w:val="00CF6E1D"/>
    <w:rsid w:val="00CF72E5"/>
    <w:rsid w:val="00CF7699"/>
    <w:rsid w:val="00CF777A"/>
    <w:rsid w:val="00D000D9"/>
    <w:rsid w:val="00D0068B"/>
    <w:rsid w:val="00D00C6D"/>
    <w:rsid w:val="00D01117"/>
    <w:rsid w:val="00D01567"/>
    <w:rsid w:val="00D01A7B"/>
    <w:rsid w:val="00D01C21"/>
    <w:rsid w:val="00D038E8"/>
    <w:rsid w:val="00D03976"/>
    <w:rsid w:val="00D04195"/>
    <w:rsid w:val="00D0439A"/>
    <w:rsid w:val="00D04E00"/>
    <w:rsid w:val="00D05426"/>
    <w:rsid w:val="00D0553F"/>
    <w:rsid w:val="00D06939"/>
    <w:rsid w:val="00D078F6"/>
    <w:rsid w:val="00D104AB"/>
    <w:rsid w:val="00D10FC7"/>
    <w:rsid w:val="00D119CD"/>
    <w:rsid w:val="00D11AA6"/>
    <w:rsid w:val="00D11CF1"/>
    <w:rsid w:val="00D12575"/>
    <w:rsid w:val="00D12B03"/>
    <w:rsid w:val="00D130BD"/>
    <w:rsid w:val="00D13761"/>
    <w:rsid w:val="00D140C5"/>
    <w:rsid w:val="00D15085"/>
    <w:rsid w:val="00D1538F"/>
    <w:rsid w:val="00D15446"/>
    <w:rsid w:val="00D155FB"/>
    <w:rsid w:val="00D164AB"/>
    <w:rsid w:val="00D16808"/>
    <w:rsid w:val="00D17B10"/>
    <w:rsid w:val="00D2000B"/>
    <w:rsid w:val="00D206C1"/>
    <w:rsid w:val="00D216B1"/>
    <w:rsid w:val="00D216CF"/>
    <w:rsid w:val="00D22139"/>
    <w:rsid w:val="00D22286"/>
    <w:rsid w:val="00D225DC"/>
    <w:rsid w:val="00D22F5A"/>
    <w:rsid w:val="00D23C3F"/>
    <w:rsid w:val="00D243A6"/>
    <w:rsid w:val="00D248A6"/>
    <w:rsid w:val="00D249CE"/>
    <w:rsid w:val="00D25755"/>
    <w:rsid w:val="00D259FE"/>
    <w:rsid w:val="00D26078"/>
    <w:rsid w:val="00D26ED8"/>
    <w:rsid w:val="00D27B61"/>
    <w:rsid w:val="00D27BAF"/>
    <w:rsid w:val="00D27D8E"/>
    <w:rsid w:val="00D3003C"/>
    <w:rsid w:val="00D3050B"/>
    <w:rsid w:val="00D30BEE"/>
    <w:rsid w:val="00D30E12"/>
    <w:rsid w:val="00D31277"/>
    <w:rsid w:val="00D315A8"/>
    <w:rsid w:val="00D31941"/>
    <w:rsid w:val="00D319DD"/>
    <w:rsid w:val="00D31D69"/>
    <w:rsid w:val="00D31D88"/>
    <w:rsid w:val="00D31E21"/>
    <w:rsid w:val="00D31E45"/>
    <w:rsid w:val="00D31F09"/>
    <w:rsid w:val="00D32298"/>
    <w:rsid w:val="00D329C1"/>
    <w:rsid w:val="00D32B97"/>
    <w:rsid w:val="00D3348E"/>
    <w:rsid w:val="00D33732"/>
    <w:rsid w:val="00D354B6"/>
    <w:rsid w:val="00D354B9"/>
    <w:rsid w:val="00D357F6"/>
    <w:rsid w:val="00D3599B"/>
    <w:rsid w:val="00D360EE"/>
    <w:rsid w:val="00D369F5"/>
    <w:rsid w:val="00D377C2"/>
    <w:rsid w:val="00D404DC"/>
    <w:rsid w:val="00D40564"/>
    <w:rsid w:val="00D407F4"/>
    <w:rsid w:val="00D40CD2"/>
    <w:rsid w:val="00D40D29"/>
    <w:rsid w:val="00D412CA"/>
    <w:rsid w:val="00D41452"/>
    <w:rsid w:val="00D41C20"/>
    <w:rsid w:val="00D41FBC"/>
    <w:rsid w:val="00D42122"/>
    <w:rsid w:val="00D422C9"/>
    <w:rsid w:val="00D425AB"/>
    <w:rsid w:val="00D42F64"/>
    <w:rsid w:val="00D4319C"/>
    <w:rsid w:val="00D438CB"/>
    <w:rsid w:val="00D43B1A"/>
    <w:rsid w:val="00D44114"/>
    <w:rsid w:val="00D4414B"/>
    <w:rsid w:val="00D446B9"/>
    <w:rsid w:val="00D4475B"/>
    <w:rsid w:val="00D44E27"/>
    <w:rsid w:val="00D45741"/>
    <w:rsid w:val="00D458A5"/>
    <w:rsid w:val="00D4592D"/>
    <w:rsid w:val="00D47E25"/>
    <w:rsid w:val="00D50441"/>
    <w:rsid w:val="00D50594"/>
    <w:rsid w:val="00D5078F"/>
    <w:rsid w:val="00D50DE5"/>
    <w:rsid w:val="00D51512"/>
    <w:rsid w:val="00D521B1"/>
    <w:rsid w:val="00D52439"/>
    <w:rsid w:val="00D52C8A"/>
    <w:rsid w:val="00D53450"/>
    <w:rsid w:val="00D5356A"/>
    <w:rsid w:val="00D53610"/>
    <w:rsid w:val="00D5371F"/>
    <w:rsid w:val="00D538E2"/>
    <w:rsid w:val="00D53A7D"/>
    <w:rsid w:val="00D53B2F"/>
    <w:rsid w:val="00D53C9F"/>
    <w:rsid w:val="00D5412B"/>
    <w:rsid w:val="00D545A2"/>
    <w:rsid w:val="00D552C2"/>
    <w:rsid w:val="00D55A2A"/>
    <w:rsid w:val="00D56AF9"/>
    <w:rsid w:val="00D57256"/>
    <w:rsid w:val="00D57316"/>
    <w:rsid w:val="00D5733A"/>
    <w:rsid w:val="00D57681"/>
    <w:rsid w:val="00D57942"/>
    <w:rsid w:val="00D57983"/>
    <w:rsid w:val="00D579E9"/>
    <w:rsid w:val="00D57D77"/>
    <w:rsid w:val="00D57FBA"/>
    <w:rsid w:val="00D60913"/>
    <w:rsid w:val="00D60EF1"/>
    <w:rsid w:val="00D60F63"/>
    <w:rsid w:val="00D61933"/>
    <w:rsid w:val="00D6317F"/>
    <w:rsid w:val="00D63B82"/>
    <w:rsid w:val="00D64192"/>
    <w:rsid w:val="00D6420C"/>
    <w:rsid w:val="00D64836"/>
    <w:rsid w:val="00D64A87"/>
    <w:rsid w:val="00D64EF6"/>
    <w:rsid w:val="00D6532D"/>
    <w:rsid w:val="00D657A5"/>
    <w:rsid w:val="00D65DD5"/>
    <w:rsid w:val="00D66634"/>
    <w:rsid w:val="00D66A1F"/>
    <w:rsid w:val="00D675A9"/>
    <w:rsid w:val="00D67857"/>
    <w:rsid w:val="00D67C9A"/>
    <w:rsid w:val="00D67E06"/>
    <w:rsid w:val="00D67FDE"/>
    <w:rsid w:val="00D71A16"/>
    <w:rsid w:val="00D72892"/>
    <w:rsid w:val="00D7402B"/>
    <w:rsid w:val="00D75209"/>
    <w:rsid w:val="00D754AF"/>
    <w:rsid w:val="00D7574E"/>
    <w:rsid w:val="00D7591A"/>
    <w:rsid w:val="00D76FF4"/>
    <w:rsid w:val="00D776AA"/>
    <w:rsid w:val="00D77795"/>
    <w:rsid w:val="00D77E68"/>
    <w:rsid w:val="00D800AF"/>
    <w:rsid w:val="00D804E9"/>
    <w:rsid w:val="00D80B7D"/>
    <w:rsid w:val="00D80D98"/>
    <w:rsid w:val="00D82697"/>
    <w:rsid w:val="00D82A85"/>
    <w:rsid w:val="00D83E60"/>
    <w:rsid w:val="00D8468B"/>
    <w:rsid w:val="00D84704"/>
    <w:rsid w:val="00D850CB"/>
    <w:rsid w:val="00D85B83"/>
    <w:rsid w:val="00D86C5E"/>
    <w:rsid w:val="00D87975"/>
    <w:rsid w:val="00D9046A"/>
    <w:rsid w:val="00D90472"/>
    <w:rsid w:val="00D90CC6"/>
    <w:rsid w:val="00D91018"/>
    <w:rsid w:val="00D91093"/>
    <w:rsid w:val="00D91B26"/>
    <w:rsid w:val="00D92870"/>
    <w:rsid w:val="00D9287E"/>
    <w:rsid w:val="00D92B50"/>
    <w:rsid w:val="00D92CA2"/>
    <w:rsid w:val="00D93345"/>
    <w:rsid w:val="00D93442"/>
    <w:rsid w:val="00D93450"/>
    <w:rsid w:val="00D93D03"/>
    <w:rsid w:val="00D94635"/>
    <w:rsid w:val="00D9467E"/>
    <w:rsid w:val="00D94C0A"/>
    <w:rsid w:val="00D94FFA"/>
    <w:rsid w:val="00D96424"/>
    <w:rsid w:val="00D96574"/>
    <w:rsid w:val="00D966AB"/>
    <w:rsid w:val="00D969F2"/>
    <w:rsid w:val="00D972E1"/>
    <w:rsid w:val="00D973EF"/>
    <w:rsid w:val="00D97920"/>
    <w:rsid w:val="00D97D1D"/>
    <w:rsid w:val="00DA1835"/>
    <w:rsid w:val="00DA1896"/>
    <w:rsid w:val="00DA1CE6"/>
    <w:rsid w:val="00DA30BC"/>
    <w:rsid w:val="00DA30F7"/>
    <w:rsid w:val="00DA4451"/>
    <w:rsid w:val="00DA45A4"/>
    <w:rsid w:val="00DA4684"/>
    <w:rsid w:val="00DA4E43"/>
    <w:rsid w:val="00DA4FA5"/>
    <w:rsid w:val="00DA4FF7"/>
    <w:rsid w:val="00DA5306"/>
    <w:rsid w:val="00DA580B"/>
    <w:rsid w:val="00DA5DA4"/>
    <w:rsid w:val="00DA6881"/>
    <w:rsid w:val="00DA6B4E"/>
    <w:rsid w:val="00DA6BAD"/>
    <w:rsid w:val="00DA6BDD"/>
    <w:rsid w:val="00DA70D8"/>
    <w:rsid w:val="00DA724A"/>
    <w:rsid w:val="00DA766E"/>
    <w:rsid w:val="00DA7C9C"/>
    <w:rsid w:val="00DB06F9"/>
    <w:rsid w:val="00DB0EE9"/>
    <w:rsid w:val="00DB14F3"/>
    <w:rsid w:val="00DB1BC5"/>
    <w:rsid w:val="00DB1C52"/>
    <w:rsid w:val="00DB1CE1"/>
    <w:rsid w:val="00DB2237"/>
    <w:rsid w:val="00DB362A"/>
    <w:rsid w:val="00DB3DB1"/>
    <w:rsid w:val="00DB414F"/>
    <w:rsid w:val="00DB488D"/>
    <w:rsid w:val="00DB5464"/>
    <w:rsid w:val="00DB56B1"/>
    <w:rsid w:val="00DB5FFB"/>
    <w:rsid w:val="00DB6BAA"/>
    <w:rsid w:val="00DB6E1D"/>
    <w:rsid w:val="00DB7BBE"/>
    <w:rsid w:val="00DC0133"/>
    <w:rsid w:val="00DC0318"/>
    <w:rsid w:val="00DC044F"/>
    <w:rsid w:val="00DC1102"/>
    <w:rsid w:val="00DC1328"/>
    <w:rsid w:val="00DC176F"/>
    <w:rsid w:val="00DC1F1A"/>
    <w:rsid w:val="00DC2668"/>
    <w:rsid w:val="00DC2A82"/>
    <w:rsid w:val="00DC3FE4"/>
    <w:rsid w:val="00DC40D6"/>
    <w:rsid w:val="00DC479D"/>
    <w:rsid w:val="00DC5022"/>
    <w:rsid w:val="00DC508B"/>
    <w:rsid w:val="00DC76A8"/>
    <w:rsid w:val="00DC7857"/>
    <w:rsid w:val="00DD00C4"/>
    <w:rsid w:val="00DD04F1"/>
    <w:rsid w:val="00DD0A20"/>
    <w:rsid w:val="00DD1067"/>
    <w:rsid w:val="00DD1084"/>
    <w:rsid w:val="00DD15D7"/>
    <w:rsid w:val="00DD193A"/>
    <w:rsid w:val="00DD1AE7"/>
    <w:rsid w:val="00DD1D4C"/>
    <w:rsid w:val="00DD1EB8"/>
    <w:rsid w:val="00DD22C5"/>
    <w:rsid w:val="00DD2826"/>
    <w:rsid w:val="00DD2DBE"/>
    <w:rsid w:val="00DD2FF3"/>
    <w:rsid w:val="00DD3839"/>
    <w:rsid w:val="00DD3935"/>
    <w:rsid w:val="00DD3E9F"/>
    <w:rsid w:val="00DD436D"/>
    <w:rsid w:val="00DD4C63"/>
    <w:rsid w:val="00DD4EC6"/>
    <w:rsid w:val="00DD51D4"/>
    <w:rsid w:val="00DD6AE5"/>
    <w:rsid w:val="00DD7080"/>
    <w:rsid w:val="00DD7724"/>
    <w:rsid w:val="00DD772E"/>
    <w:rsid w:val="00DD7AFE"/>
    <w:rsid w:val="00DD7F9D"/>
    <w:rsid w:val="00DE06EB"/>
    <w:rsid w:val="00DE07E7"/>
    <w:rsid w:val="00DE14A2"/>
    <w:rsid w:val="00DE1C4A"/>
    <w:rsid w:val="00DE33FB"/>
    <w:rsid w:val="00DE37DD"/>
    <w:rsid w:val="00DE46D8"/>
    <w:rsid w:val="00DE4833"/>
    <w:rsid w:val="00DE486E"/>
    <w:rsid w:val="00DE4AA8"/>
    <w:rsid w:val="00DE4DD8"/>
    <w:rsid w:val="00DE7146"/>
    <w:rsid w:val="00DE7435"/>
    <w:rsid w:val="00DF00AD"/>
    <w:rsid w:val="00DF0661"/>
    <w:rsid w:val="00DF0681"/>
    <w:rsid w:val="00DF07F4"/>
    <w:rsid w:val="00DF0C81"/>
    <w:rsid w:val="00DF0D0F"/>
    <w:rsid w:val="00DF1EB7"/>
    <w:rsid w:val="00DF274C"/>
    <w:rsid w:val="00DF2C21"/>
    <w:rsid w:val="00DF2E41"/>
    <w:rsid w:val="00DF32FE"/>
    <w:rsid w:val="00DF3499"/>
    <w:rsid w:val="00DF3784"/>
    <w:rsid w:val="00DF3B94"/>
    <w:rsid w:val="00DF4806"/>
    <w:rsid w:val="00DF4D0C"/>
    <w:rsid w:val="00DF4EEE"/>
    <w:rsid w:val="00DF60EB"/>
    <w:rsid w:val="00DF67BB"/>
    <w:rsid w:val="00DF683D"/>
    <w:rsid w:val="00DF6EAC"/>
    <w:rsid w:val="00DF7022"/>
    <w:rsid w:val="00E008FC"/>
    <w:rsid w:val="00E00DBF"/>
    <w:rsid w:val="00E00F80"/>
    <w:rsid w:val="00E031E7"/>
    <w:rsid w:val="00E056E3"/>
    <w:rsid w:val="00E0626A"/>
    <w:rsid w:val="00E07A90"/>
    <w:rsid w:val="00E104CB"/>
    <w:rsid w:val="00E10661"/>
    <w:rsid w:val="00E10A61"/>
    <w:rsid w:val="00E11544"/>
    <w:rsid w:val="00E11580"/>
    <w:rsid w:val="00E1186C"/>
    <w:rsid w:val="00E11CA7"/>
    <w:rsid w:val="00E11E9A"/>
    <w:rsid w:val="00E12265"/>
    <w:rsid w:val="00E12596"/>
    <w:rsid w:val="00E1327F"/>
    <w:rsid w:val="00E134B0"/>
    <w:rsid w:val="00E138A5"/>
    <w:rsid w:val="00E13E20"/>
    <w:rsid w:val="00E149E5"/>
    <w:rsid w:val="00E14A9F"/>
    <w:rsid w:val="00E14B26"/>
    <w:rsid w:val="00E14C07"/>
    <w:rsid w:val="00E14FD0"/>
    <w:rsid w:val="00E15504"/>
    <w:rsid w:val="00E159C2"/>
    <w:rsid w:val="00E16417"/>
    <w:rsid w:val="00E16730"/>
    <w:rsid w:val="00E16C9A"/>
    <w:rsid w:val="00E16F76"/>
    <w:rsid w:val="00E173BF"/>
    <w:rsid w:val="00E17B48"/>
    <w:rsid w:val="00E17CB1"/>
    <w:rsid w:val="00E17E8D"/>
    <w:rsid w:val="00E17F57"/>
    <w:rsid w:val="00E20ACC"/>
    <w:rsid w:val="00E216A9"/>
    <w:rsid w:val="00E21C2A"/>
    <w:rsid w:val="00E221B4"/>
    <w:rsid w:val="00E229B1"/>
    <w:rsid w:val="00E229D2"/>
    <w:rsid w:val="00E22D0E"/>
    <w:rsid w:val="00E23024"/>
    <w:rsid w:val="00E24473"/>
    <w:rsid w:val="00E247A5"/>
    <w:rsid w:val="00E25001"/>
    <w:rsid w:val="00E2510F"/>
    <w:rsid w:val="00E25985"/>
    <w:rsid w:val="00E25EB0"/>
    <w:rsid w:val="00E264E1"/>
    <w:rsid w:val="00E266AF"/>
    <w:rsid w:val="00E26770"/>
    <w:rsid w:val="00E26776"/>
    <w:rsid w:val="00E26CDB"/>
    <w:rsid w:val="00E309C1"/>
    <w:rsid w:val="00E309D9"/>
    <w:rsid w:val="00E31254"/>
    <w:rsid w:val="00E328AB"/>
    <w:rsid w:val="00E32BF8"/>
    <w:rsid w:val="00E32D21"/>
    <w:rsid w:val="00E33095"/>
    <w:rsid w:val="00E330D9"/>
    <w:rsid w:val="00E33A9E"/>
    <w:rsid w:val="00E33CB3"/>
    <w:rsid w:val="00E34374"/>
    <w:rsid w:val="00E34402"/>
    <w:rsid w:val="00E3442F"/>
    <w:rsid w:val="00E349CF"/>
    <w:rsid w:val="00E356FA"/>
    <w:rsid w:val="00E35CA8"/>
    <w:rsid w:val="00E35E63"/>
    <w:rsid w:val="00E35E68"/>
    <w:rsid w:val="00E35F2F"/>
    <w:rsid w:val="00E366C0"/>
    <w:rsid w:val="00E36AA5"/>
    <w:rsid w:val="00E37F52"/>
    <w:rsid w:val="00E40B20"/>
    <w:rsid w:val="00E42CBE"/>
    <w:rsid w:val="00E42F9B"/>
    <w:rsid w:val="00E43B20"/>
    <w:rsid w:val="00E43B82"/>
    <w:rsid w:val="00E44084"/>
    <w:rsid w:val="00E45556"/>
    <w:rsid w:val="00E45AB6"/>
    <w:rsid w:val="00E46212"/>
    <w:rsid w:val="00E466C3"/>
    <w:rsid w:val="00E46B28"/>
    <w:rsid w:val="00E47036"/>
    <w:rsid w:val="00E471B2"/>
    <w:rsid w:val="00E471C5"/>
    <w:rsid w:val="00E475CE"/>
    <w:rsid w:val="00E47CFD"/>
    <w:rsid w:val="00E47FDA"/>
    <w:rsid w:val="00E50702"/>
    <w:rsid w:val="00E50CE9"/>
    <w:rsid w:val="00E51033"/>
    <w:rsid w:val="00E51E10"/>
    <w:rsid w:val="00E526CD"/>
    <w:rsid w:val="00E526E4"/>
    <w:rsid w:val="00E53838"/>
    <w:rsid w:val="00E5388C"/>
    <w:rsid w:val="00E55C3A"/>
    <w:rsid w:val="00E569D4"/>
    <w:rsid w:val="00E56C97"/>
    <w:rsid w:val="00E573BC"/>
    <w:rsid w:val="00E57715"/>
    <w:rsid w:val="00E57D30"/>
    <w:rsid w:val="00E57D7F"/>
    <w:rsid w:val="00E606BA"/>
    <w:rsid w:val="00E60BAD"/>
    <w:rsid w:val="00E60D98"/>
    <w:rsid w:val="00E610FC"/>
    <w:rsid w:val="00E61152"/>
    <w:rsid w:val="00E612BB"/>
    <w:rsid w:val="00E619F7"/>
    <w:rsid w:val="00E61FC3"/>
    <w:rsid w:val="00E62295"/>
    <w:rsid w:val="00E6282C"/>
    <w:rsid w:val="00E6286B"/>
    <w:rsid w:val="00E635E8"/>
    <w:rsid w:val="00E63E5B"/>
    <w:rsid w:val="00E63EB4"/>
    <w:rsid w:val="00E65340"/>
    <w:rsid w:val="00E65D22"/>
    <w:rsid w:val="00E66ED9"/>
    <w:rsid w:val="00E67861"/>
    <w:rsid w:val="00E67C6F"/>
    <w:rsid w:val="00E67C8D"/>
    <w:rsid w:val="00E70357"/>
    <w:rsid w:val="00E7035A"/>
    <w:rsid w:val="00E711CF"/>
    <w:rsid w:val="00E71300"/>
    <w:rsid w:val="00E71430"/>
    <w:rsid w:val="00E7147D"/>
    <w:rsid w:val="00E71AD6"/>
    <w:rsid w:val="00E73F92"/>
    <w:rsid w:val="00E75094"/>
    <w:rsid w:val="00E76442"/>
    <w:rsid w:val="00E769FB"/>
    <w:rsid w:val="00E77844"/>
    <w:rsid w:val="00E806DC"/>
    <w:rsid w:val="00E80CB4"/>
    <w:rsid w:val="00E80ECA"/>
    <w:rsid w:val="00E8172E"/>
    <w:rsid w:val="00E81EAA"/>
    <w:rsid w:val="00E8214C"/>
    <w:rsid w:val="00E8224B"/>
    <w:rsid w:val="00E82768"/>
    <w:rsid w:val="00E82B5C"/>
    <w:rsid w:val="00E82CFF"/>
    <w:rsid w:val="00E839C4"/>
    <w:rsid w:val="00E83E43"/>
    <w:rsid w:val="00E842D3"/>
    <w:rsid w:val="00E84606"/>
    <w:rsid w:val="00E84C22"/>
    <w:rsid w:val="00E84DE2"/>
    <w:rsid w:val="00E84F48"/>
    <w:rsid w:val="00E85725"/>
    <w:rsid w:val="00E85E64"/>
    <w:rsid w:val="00E860B6"/>
    <w:rsid w:val="00E866F5"/>
    <w:rsid w:val="00E86ADB"/>
    <w:rsid w:val="00E879E9"/>
    <w:rsid w:val="00E87BC9"/>
    <w:rsid w:val="00E87DA0"/>
    <w:rsid w:val="00E91566"/>
    <w:rsid w:val="00E91A1C"/>
    <w:rsid w:val="00E93B9E"/>
    <w:rsid w:val="00E940F5"/>
    <w:rsid w:val="00E94A1B"/>
    <w:rsid w:val="00E94B8E"/>
    <w:rsid w:val="00E94E49"/>
    <w:rsid w:val="00E95D2B"/>
    <w:rsid w:val="00E96607"/>
    <w:rsid w:val="00E96D70"/>
    <w:rsid w:val="00E97A78"/>
    <w:rsid w:val="00EA05D1"/>
    <w:rsid w:val="00EA0884"/>
    <w:rsid w:val="00EA09D0"/>
    <w:rsid w:val="00EA0B70"/>
    <w:rsid w:val="00EA0CDD"/>
    <w:rsid w:val="00EA21E8"/>
    <w:rsid w:val="00EA236C"/>
    <w:rsid w:val="00EA317E"/>
    <w:rsid w:val="00EA3ECD"/>
    <w:rsid w:val="00EA41F0"/>
    <w:rsid w:val="00EA66AD"/>
    <w:rsid w:val="00EA744F"/>
    <w:rsid w:val="00EA7CA6"/>
    <w:rsid w:val="00EA7ED9"/>
    <w:rsid w:val="00EB0239"/>
    <w:rsid w:val="00EB0AD0"/>
    <w:rsid w:val="00EB0BD6"/>
    <w:rsid w:val="00EB10A8"/>
    <w:rsid w:val="00EB14E4"/>
    <w:rsid w:val="00EB160B"/>
    <w:rsid w:val="00EB166F"/>
    <w:rsid w:val="00EB1742"/>
    <w:rsid w:val="00EB17F1"/>
    <w:rsid w:val="00EB31F6"/>
    <w:rsid w:val="00EB3361"/>
    <w:rsid w:val="00EB3428"/>
    <w:rsid w:val="00EB508B"/>
    <w:rsid w:val="00EB5170"/>
    <w:rsid w:val="00EB51F7"/>
    <w:rsid w:val="00EB544B"/>
    <w:rsid w:val="00EB5A61"/>
    <w:rsid w:val="00EB5D31"/>
    <w:rsid w:val="00EB6742"/>
    <w:rsid w:val="00EB68C4"/>
    <w:rsid w:val="00EB7738"/>
    <w:rsid w:val="00EC00D4"/>
    <w:rsid w:val="00EC0A5D"/>
    <w:rsid w:val="00EC0AD6"/>
    <w:rsid w:val="00EC1945"/>
    <w:rsid w:val="00EC25AD"/>
    <w:rsid w:val="00EC32AB"/>
    <w:rsid w:val="00EC42B3"/>
    <w:rsid w:val="00EC4BF1"/>
    <w:rsid w:val="00EC5A63"/>
    <w:rsid w:val="00EC5BC2"/>
    <w:rsid w:val="00EC7F6B"/>
    <w:rsid w:val="00ED1E01"/>
    <w:rsid w:val="00ED1E9D"/>
    <w:rsid w:val="00ED2273"/>
    <w:rsid w:val="00ED2935"/>
    <w:rsid w:val="00ED353B"/>
    <w:rsid w:val="00ED3DF8"/>
    <w:rsid w:val="00ED45C4"/>
    <w:rsid w:val="00ED4885"/>
    <w:rsid w:val="00ED5D16"/>
    <w:rsid w:val="00ED5FF3"/>
    <w:rsid w:val="00ED7720"/>
    <w:rsid w:val="00ED7AFE"/>
    <w:rsid w:val="00EE0015"/>
    <w:rsid w:val="00EE09D4"/>
    <w:rsid w:val="00EE0AAE"/>
    <w:rsid w:val="00EE120C"/>
    <w:rsid w:val="00EE12E8"/>
    <w:rsid w:val="00EE25AC"/>
    <w:rsid w:val="00EE28CB"/>
    <w:rsid w:val="00EE3628"/>
    <w:rsid w:val="00EE3AFE"/>
    <w:rsid w:val="00EE3B5D"/>
    <w:rsid w:val="00EE405C"/>
    <w:rsid w:val="00EE4361"/>
    <w:rsid w:val="00EE4D0A"/>
    <w:rsid w:val="00EE56EA"/>
    <w:rsid w:val="00EE5D4A"/>
    <w:rsid w:val="00EE63D1"/>
    <w:rsid w:val="00EE651D"/>
    <w:rsid w:val="00EE6AEB"/>
    <w:rsid w:val="00EE7538"/>
    <w:rsid w:val="00EF0441"/>
    <w:rsid w:val="00EF0920"/>
    <w:rsid w:val="00EF0C42"/>
    <w:rsid w:val="00EF0F5C"/>
    <w:rsid w:val="00EF1054"/>
    <w:rsid w:val="00EF1628"/>
    <w:rsid w:val="00EF16D0"/>
    <w:rsid w:val="00EF23F9"/>
    <w:rsid w:val="00EF2446"/>
    <w:rsid w:val="00EF2E55"/>
    <w:rsid w:val="00EF30C7"/>
    <w:rsid w:val="00EF336C"/>
    <w:rsid w:val="00EF3D30"/>
    <w:rsid w:val="00EF3D45"/>
    <w:rsid w:val="00EF4E78"/>
    <w:rsid w:val="00EF4FDD"/>
    <w:rsid w:val="00EF52E4"/>
    <w:rsid w:val="00EF69F0"/>
    <w:rsid w:val="00EF70B7"/>
    <w:rsid w:val="00EF7701"/>
    <w:rsid w:val="00F00058"/>
    <w:rsid w:val="00F0069A"/>
    <w:rsid w:val="00F00A17"/>
    <w:rsid w:val="00F01092"/>
    <w:rsid w:val="00F01666"/>
    <w:rsid w:val="00F01775"/>
    <w:rsid w:val="00F019CA"/>
    <w:rsid w:val="00F02834"/>
    <w:rsid w:val="00F02924"/>
    <w:rsid w:val="00F02929"/>
    <w:rsid w:val="00F04341"/>
    <w:rsid w:val="00F0494A"/>
    <w:rsid w:val="00F05448"/>
    <w:rsid w:val="00F05A35"/>
    <w:rsid w:val="00F05C63"/>
    <w:rsid w:val="00F07E1D"/>
    <w:rsid w:val="00F07F9C"/>
    <w:rsid w:val="00F10616"/>
    <w:rsid w:val="00F10791"/>
    <w:rsid w:val="00F10AF2"/>
    <w:rsid w:val="00F10CE5"/>
    <w:rsid w:val="00F1103E"/>
    <w:rsid w:val="00F1105F"/>
    <w:rsid w:val="00F114B3"/>
    <w:rsid w:val="00F115A7"/>
    <w:rsid w:val="00F11A5E"/>
    <w:rsid w:val="00F12F16"/>
    <w:rsid w:val="00F1313F"/>
    <w:rsid w:val="00F1345A"/>
    <w:rsid w:val="00F13673"/>
    <w:rsid w:val="00F13A98"/>
    <w:rsid w:val="00F13E87"/>
    <w:rsid w:val="00F13FC1"/>
    <w:rsid w:val="00F14326"/>
    <w:rsid w:val="00F14420"/>
    <w:rsid w:val="00F14CE2"/>
    <w:rsid w:val="00F15C21"/>
    <w:rsid w:val="00F162C9"/>
    <w:rsid w:val="00F16F79"/>
    <w:rsid w:val="00F170A9"/>
    <w:rsid w:val="00F17D59"/>
    <w:rsid w:val="00F20080"/>
    <w:rsid w:val="00F20390"/>
    <w:rsid w:val="00F20A80"/>
    <w:rsid w:val="00F21611"/>
    <w:rsid w:val="00F219A1"/>
    <w:rsid w:val="00F2214F"/>
    <w:rsid w:val="00F22B57"/>
    <w:rsid w:val="00F22D59"/>
    <w:rsid w:val="00F23322"/>
    <w:rsid w:val="00F2409D"/>
    <w:rsid w:val="00F24FD4"/>
    <w:rsid w:val="00F25657"/>
    <w:rsid w:val="00F2583A"/>
    <w:rsid w:val="00F25A2D"/>
    <w:rsid w:val="00F25BC8"/>
    <w:rsid w:val="00F26A98"/>
    <w:rsid w:val="00F26A9C"/>
    <w:rsid w:val="00F27552"/>
    <w:rsid w:val="00F27781"/>
    <w:rsid w:val="00F27BAD"/>
    <w:rsid w:val="00F3069B"/>
    <w:rsid w:val="00F307CC"/>
    <w:rsid w:val="00F3169D"/>
    <w:rsid w:val="00F31E42"/>
    <w:rsid w:val="00F31FE2"/>
    <w:rsid w:val="00F321DA"/>
    <w:rsid w:val="00F32340"/>
    <w:rsid w:val="00F3341A"/>
    <w:rsid w:val="00F335AF"/>
    <w:rsid w:val="00F33DF5"/>
    <w:rsid w:val="00F343C0"/>
    <w:rsid w:val="00F3466A"/>
    <w:rsid w:val="00F3499C"/>
    <w:rsid w:val="00F34E88"/>
    <w:rsid w:val="00F35E33"/>
    <w:rsid w:val="00F36291"/>
    <w:rsid w:val="00F36E64"/>
    <w:rsid w:val="00F375DC"/>
    <w:rsid w:val="00F37B62"/>
    <w:rsid w:val="00F37FBE"/>
    <w:rsid w:val="00F40367"/>
    <w:rsid w:val="00F4060C"/>
    <w:rsid w:val="00F407A8"/>
    <w:rsid w:val="00F4087D"/>
    <w:rsid w:val="00F40B7A"/>
    <w:rsid w:val="00F40CCF"/>
    <w:rsid w:val="00F40CD8"/>
    <w:rsid w:val="00F410D2"/>
    <w:rsid w:val="00F41549"/>
    <w:rsid w:val="00F4222C"/>
    <w:rsid w:val="00F422B4"/>
    <w:rsid w:val="00F42C4D"/>
    <w:rsid w:val="00F432ED"/>
    <w:rsid w:val="00F439CF"/>
    <w:rsid w:val="00F445A4"/>
    <w:rsid w:val="00F448DD"/>
    <w:rsid w:val="00F44B7D"/>
    <w:rsid w:val="00F4573B"/>
    <w:rsid w:val="00F459D1"/>
    <w:rsid w:val="00F45B63"/>
    <w:rsid w:val="00F45C69"/>
    <w:rsid w:val="00F45F36"/>
    <w:rsid w:val="00F46322"/>
    <w:rsid w:val="00F46B6B"/>
    <w:rsid w:val="00F474E9"/>
    <w:rsid w:val="00F47551"/>
    <w:rsid w:val="00F50069"/>
    <w:rsid w:val="00F507B0"/>
    <w:rsid w:val="00F50A3D"/>
    <w:rsid w:val="00F50D60"/>
    <w:rsid w:val="00F50F1C"/>
    <w:rsid w:val="00F5126F"/>
    <w:rsid w:val="00F517BA"/>
    <w:rsid w:val="00F51FB0"/>
    <w:rsid w:val="00F52112"/>
    <w:rsid w:val="00F52C13"/>
    <w:rsid w:val="00F5382C"/>
    <w:rsid w:val="00F53A4F"/>
    <w:rsid w:val="00F54ADF"/>
    <w:rsid w:val="00F54CA7"/>
    <w:rsid w:val="00F54E63"/>
    <w:rsid w:val="00F54FC1"/>
    <w:rsid w:val="00F57901"/>
    <w:rsid w:val="00F57A31"/>
    <w:rsid w:val="00F57F73"/>
    <w:rsid w:val="00F57FF4"/>
    <w:rsid w:val="00F605D9"/>
    <w:rsid w:val="00F60715"/>
    <w:rsid w:val="00F608BE"/>
    <w:rsid w:val="00F60C28"/>
    <w:rsid w:val="00F612EF"/>
    <w:rsid w:val="00F61C65"/>
    <w:rsid w:val="00F620CD"/>
    <w:rsid w:val="00F62719"/>
    <w:rsid w:val="00F635DA"/>
    <w:rsid w:val="00F63C33"/>
    <w:rsid w:val="00F64D31"/>
    <w:rsid w:val="00F64E67"/>
    <w:rsid w:val="00F6526A"/>
    <w:rsid w:val="00F6590F"/>
    <w:rsid w:val="00F670CC"/>
    <w:rsid w:val="00F67876"/>
    <w:rsid w:val="00F67A77"/>
    <w:rsid w:val="00F7007F"/>
    <w:rsid w:val="00F7099D"/>
    <w:rsid w:val="00F7105B"/>
    <w:rsid w:val="00F71096"/>
    <w:rsid w:val="00F71A27"/>
    <w:rsid w:val="00F72331"/>
    <w:rsid w:val="00F72ACA"/>
    <w:rsid w:val="00F72EC1"/>
    <w:rsid w:val="00F73461"/>
    <w:rsid w:val="00F736F4"/>
    <w:rsid w:val="00F738C8"/>
    <w:rsid w:val="00F73D18"/>
    <w:rsid w:val="00F73E5D"/>
    <w:rsid w:val="00F73E7B"/>
    <w:rsid w:val="00F7569C"/>
    <w:rsid w:val="00F75813"/>
    <w:rsid w:val="00F75ABE"/>
    <w:rsid w:val="00F75BF8"/>
    <w:rsid w:val="00F75C91"/>
    <w:rsid w:val="00F75F56"/>
    <w:rsid w:val="00F760C0"/>
    <w:rsid w:val="00F80326"/>
    <w:rsid w:val="00F81CB5"/>
    <w:rsid w:val="00F81E92"/>
    <w:rsid w:val="00F82079"/>
    <w:rsid w:val="00F820F6"/>
    <w:rsid w:val="00F82292"/>
    <w:rsid w:val="00F8231E"/>
    <w:rsid w:val="00F824E6"/>
    <w:rsid w:val="00F82670"/>
    <w:rsid w:val="00F82B91"/>
    <w:rsid w:val="00F83078"/>
    <w:rsid w:val="00F832D7"/>
    <w:rsid w:val="00F83F56"/>
    <w:rsid w:val="00F8408F"/>
    <w:rsid w:val="00F8495D"/>
    <w:rsid w:val="00F84C67"/>
    <w:rsid w:val="00F84F5B"/>
    <w:rsid w:val="00F86183"/>
    <w:rsid w:val="00F86D14"/>
    <w:rsid w:val="00F903A2"/>
    <w:rsid w:val="00F90623"/>
    <w:rsid w:val="00F908B8"/>
    <w:rsid w:val="00F92008"/>
    <w:rsid w:val="00F92A27"/>
    <w:rsid w:val="00F92BD9"/>
    <w:rsid w:val="00F92CBD"/>
    <w:rsid w:val="00F931F1"/>
    <w:rsid w:val="00F9320B"/>
    <w:rsid w:val="00F933D6"/>
    <w:rsid w:val="00F93F21"/>
    <w:rsid w:val="00F95132"/>
    <w:rsid w:val="00F9565C"/>
    <w:rsid w:val="00F96561"/>
    <w:rsid w:val="00F96A87"/>
    <w:rsid w:val="00F96E37"/>
    <w:rsid w:val="00F972A8"/>
    <w:rsid w:val="00F97EAA"/>
    <w:rsid w:val="00FA0143"/>
    <w:rsid w:val="00FA04B2"/>
    <w:rsid w:val="00FA093A"/>
    <w:rsid w:val="00FA14E0"/>
    <w:rsid w:val="00FA17EF"/>
    <w:rsid w:val="00FA2940"/>
    <w:rsid w:val="00FA2C3E"/>
    <w:rsid w:val="00FA3761"/>
    <w:rsid w:val="00FA3C3A"/>
    <w:rsid w:val="00FA4A4C"/>
    <w:rsid w:val="00FA4A6E"/>
    <w:rsid w:val="00FA5438"/>
    <w:rsid w:val="00FA5A63"/>
    <w:rsid w:val="00FA6C40"/>
    <w:rsid w:val="00FA7065"/>
    <w:rsid w:val="00FA7357"/>
    <w:rsid w:val="00FA760B"/>
    <w:rsid w:val="00FA7B36"/>
    <w:rsid w:val="00FB0C6C"/>
    <w:rsid w:val="00FB0FE5"/>
    <w:rsid w:val="00FB1BF7"/>
    <w:rsid w:val="00FB1F4C"/>
    <w:rsid w:val="00FB2A6A"/>
    <w:rsid w:val="00FB322B"/>
    <w:rsid w:val="00FB35DE"/>
    <w:rsid w:val="00FB3B06"/>
    <w:rsid w:val="00FB4144"/>
    <w:rsid w:val="00FB42EA"/>
    <w:rsid w:val="00FB43AB"/>
    <w:rsid w:val="00FB48A7"/>
    <w:rsid w:val="00FB51DC"/>
    <w:rsid w:val="00FB5ADE"/>
    <w:rsid w:val="00FB6082"/>
    <w:rsid w:val="00FB6B08"/>
    <w:rsid w:val="00FB6EAF"/>
    <w:rsid w:val="00FB7496"/>
    <w:rsid w:val="00FB74C9"/>
    <w:rsid w:val="00FB7C73"/>
    <w:rsid w:val="00FC058E"/>
    <w:rsid w:val="00FC06A4"/>
    <w:rsid w:val="00FC0AA6"/>
    <w:rsid w:val="00FC0FF3"/>
    <w:rsid w:val="00FC173F"/>
    <w:rsid w:val="00FC1B67"/>
    <w:rsid w:val="00FC1C0C"/>
    <w:rsid w:val="00FC2B23"/>
    <w:rsid w:val="00FC39B9"/>
    <w:rsid w:val="00FC4AC2"/>
    <w:rsid w:val="00FC5370"/>
    <w:rsid w:val="00FC5388"/>
    <w:rsid w:val="00FC5712"/>
    <w:rsid w:val="00FC5961"/>
    <w:rsid w:val="00FC5F05"/>
    <w:rsid w:val="00FC76BA"/>
    <w:rsid w:val="00FD005F"/>
    <w:rsid w:val="00FD0676"/>
    <w:rsid w:val="00FD108D"/>
    <w:rsid w:val="00FD2F47"/>
    <w:rsid w:val="00FD347D"/>
    <w:rsid w:val="00FD3D38"/>
    <w:rsid w:val="00FD4BCC"/>
    <w:rsid w:val="00FD513F"/>
    <w:rsid w:val="00FD5FB5"/>
    <w:rsid w:val="00FD677B"/>
    <w:rsid w:val="00FD67B5"/>
    <w:rsid w:val="00FD705C"/>
    <w:rsid w:val="00FD7960"/>
    <w:rsid w:val="00FE03E1"/>
    <w:rsid w:val="00FE0430"/>
    <w:rsid w:val="00FE194A"/>
    <w:rsid w:val="00FE1DB1"/>
    <w:rsid w:val="00FE1E36"/>
    <w:rsid w:val="00FE230B"/>
    <w:rsid w:val="00FE26F6"/>
    <w:rsid w:val="00FE2FD2"/>
    <w:rsid w:val="00FE311F"/>
    <w:rsid w:val="00FE3672"/>
    <w:rsid w:val="00FE3920"/>
    <w:rsid w:val="00FE399D"/>
    <w:rsid w:val="00FE3D5E"/>
    <w:rsid w:val="00FE428E"/>
    <w:rsid w:val="00FE433F"/>
    <w:rsid w:val="00FE4C1C"/>
    <w:rsid w:val="00FE549B"/>
    <w:rsid w:val="00FE58F8"/>
    <w:rsid w:val="00FE5A0F"/>
    <w:rsid w:val="00FE657A"/>
    <w:rsid w:val="00FE6A00"/>
    <w:rsid w:val="00FE71ED"/>
    <w:rsid w:val="00FF266A"/>
    <w:rsid w:val="00FF2702"/>
    <w:rsid w:val="00FF2FFB"/>
    <w:rsid w:val="00FF3980"/>
    <w:rsid w:val="00FF3A93"/>
    <w:rsid w:val="00FF3CDF"/>
    <w:rsid w:val="00FF431A"/>
    <w:rsid w:val="00FF48C0"/>
    <w:rsid w:val="00FF4B7F"/>
    <w:rsid w:val="00FF5585"/>
    <w:rsid w:val="00FF6539"/>
    <w:rsid w:val="00FF70A0"/>
    <w:rsid w:val="00FF71E9"/>
    <w:rsid w:val="00FF79F5"/>
    <w:rsid w:val="059989F8"/>
    <w:rsid w:val="07B2B4CB"/>
    <w:rsid w:val="0AC2820F"/>
    <w:rsid w:val="103D0481"/>
    <w:rsid w:val="1ECDBDC0"/>
    <w:rsid w:val="1F6F0D93"/>
    <w:rsid w:val="21774655"/>
    <w:rsid w:val="27A68582"/>
    <w:rsid w:val="2C0F3009"/>
    <w:rsid w:val="3120059F"/>
    <w:rsid w:val="32C22EF4"/>
    <w:rsid w:val="3377B893"/>
    <w:rsid w:val="3C32C56C"/>
    <w:rsid w:val="4292F728"/>
    <w:rsid w:val="47A146A5"/>
    <w:rsid w:val="49C737B5"/>
    <w:rsid w:val="4B988647"/>
    <w:rsid w:val="53505F12"/>
    <w:rsid w:val="5423A39A"/>
    <w:rsid w:val="562BA6F0"/>
    <w:rsid w:val="57492675"/>
    <w:rsid w:val="5A5D30C8"/>
    <w:rsid w:val="6759A18A"/>
    <w:rsid w:val="6AF35CAC"/>
    <w:rsid w:val="6BC964B6"/>
    <w:rsid w:val="73E2EEEB"/>
    <w:rsid w:val="74B1D3B8"/>
    <w:rsid w:val="774AECF6"/>
    <w:rsid w:val="77C1A0FC"/>
    <w:rsid w:val="7F6DAE87"/>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D83DE0D"/>
  <w15:docId w15:val="{70545797-0757-4BAC-8DBF-F100749B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E63"/>
    <w:rPr>
      <w:kern w:val="2"/>
      <w14:ligatures w14:val="standardContextual"/>
    </w:rPr>
  </w:style>
  <w:style w:type="paragraph" w:styleId="Heading1">
    <w:name w:val="heading 1"/>
    <w:basedOn w:val="Normal"/>
    <w:next w:val="ParaNum"/>
    <w:link w:val="Heading1Char"/>
    <w:qFormat/>
    <w:rsid w:val="006E2A47"/>
    <w:pPr>
      <w:keepNext/>
      <w:numPr>
        <w:numId w:val="17"/>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E2A47"/>
    <w:pPr>
      <w:keepNext/>
      <w:numPr>
        <w:ilvl w:val="1"/>
        <w:numId w:val="17"/>
      </w:numPr>
      <w:spacing w:after="120"/>
      <w:outlineLvl w:val="1"/>
    </w:pPr>
    <w:rPr>
      <w:b/>
    </w:rPr>
  </w:style>
  <w:style w:type="paragraph" w:styleId="Heading3">
    <w:name w:val="heading 3"/>
    <w:basedOn w:val="Normal"/>
    <w:next w:val="ParaNum"/>
    <w:link w:val="Heading3Char"/>
    <w:qFormat/>
    <w:rsid w:val="006E2A47"/>
    <w:pPr>
      <w:keepNext/>
      <w:numPr>
        <w:ilvl w:val="2"/>
        <w:numId w:val="17"/>
      </w:numPr>
      <w:tabs>
        <w:tab w:val="left" w:pos="2160"/>
      </w:tabs>
      <w:spacing w:after="120"/>
      <w:outlineLvl w:val="2"/>
    </w:pPr>
    <w:rPr>
      <w:b/>
    </w:rPr>
  </w:style>
  <w:style w:type="paragraph" w:styleId="Heading4">
    <w:name w:val="heading 4"/>
    <w:basedOn w:val="Normal"/>
    <w:next w:val="ParaNum"/>
    <w:link w:val="Heading4Char"/>
    <w:qFormat/>
    <w:rsid w:val="006E2A47"/>
    <w:pPr>
      <w:keepNext/>
      <w:numPr>
        <w:ilvl w:val="3"/>
        <w:numId w:val="17"/>
      </w:numPr>
      <w:tabs>
        <w:tab w:val="left" w:pos="2880"/>
      </w:tabs>
      <w:spacing w:after="120"/>
      <w:outlineLvl w:val="3"/>
    </w:pPr>
    <w:rPr>
      <w:b/>
    </w:rPr>
  </w:style>
  <w:style w:type="paragraph" w:styleId="Heading5">
    <w:name w:val="heading 5"/>
    <w:basedOn w:val="Normal"/>
    <w:next w:val="ParaNum"/>
    <w:link w:val="Heading5Char"/>
    <w:qFormat/>
    <w:rsid w:val="006E2A47"/>
    <w:pPr>
      <w:keepNext/>
      <w:numPr>
        <w:ilvl w:val="4"/>
        <w:numId w:val="17"/>
      </w:numPr>
      <w:tabs>
        <w:tab w:val="left" w:pos="3600"/>
      </w:tabs>
      <w:suppressAutoHyphens/>
      <w:spacing w:after="120"/>
      <w:outlineLvl w:val="4"/>
    </w:pPr>
    <w:rPr>
      <w:b/>
    </w:rPr>
  </w:style>
  <w:style w:type="paragraph" w:styleId="Heading6">
    <w:name w:val="heading 6"/>
    <w:basedOn w:val="Normal"/>
    <w:next w:val="ParaNum"/>
    <w:link w:val="Heading6Char"/>
    <w:qFormat/>
    <w:rsid w:val="006E2A47"/>
    <w:pPr>
      <w:numPr>
        <w:ilvl w:val="5"/>
        <w:numId w:val="17"/>
      </w:numPr>
      <w:tabs>
        <w:tab w:val="left" w:pos="4320"/>
      </w:tabs>
      <w:spacing w:after="120"/>
      <w:outlineLvl w:val="5"/>
    </w:pPr>
    <w:rPr>
      <w:b/>
    </w:rPr>
  </w:style>
  <w:style w:type="paragraph" w:styleId="Heading7">
    <w:name w:val="heading 7"/>
    <w:basedOn w:val="Normal"/>
    <w:next w:val="ParaNum"/>
    <w:link w:val="Heading7Char"/>
    <w:qFormat/>
    <w:rsid w:val="006E2A47"/>
    <w:pPr>
      <w:numPr>
        <w:ilvl w:val="6"/>
        <w:numId w:val="17"/>
      </w:numPr>
      <w:tabs>
        <w:tab w:val="left" w:pos="5040"/>
      </w:tabs>
      <w:spacing w:after="120"/>
      <w:ind w:left="5040" w:hanging="720"/>
      <w:outlineLvl w:val="6"/>
    </w:pPr>
    <w:rPr>
      <w:b/>
    </w:rPr>
  </w:style>
  <w:style w:type="paragraph" w:styleId="Heading8">
    <w:name w:val="heading 8"/>
    <w:basedOn w:val="Normal"/>
    <w:next w:val="ParaNum"/>
    <w:link w:val="Heading8Char"/>
    <w:qFormat/>
    <w:rsid w:val="006E2A47"/>
    <w:pPr>
      <w:numPr>
        <w:ilvl w:val="7"/>
        <w:numId w:val="17"/>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E2A47"/>
    <w:pPr>
      <w:numPr>
        <w:ilvl w:val="8"/>
        <w:numId w:val="17"/>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35E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E63"/>
  </w:style>
  <w:style w:type="paragraph" w:styleId="FootnoteText">
    <w:name w:val="footnote text"/>
    <w:aliases w:val="Footnote Text Char2,Footnote Text Char2 Char1 Char1 Char,Footnote Text Char2 Char1 Char1 Char Char Char,Footnote Text Char2 Char4 Char,Footnote Text Char3 Char1 Char2,Footnote Text Char3 Char1 Char2 Char Char,Footnote Text Char5 Char,f,fn"/>
    <w:link w:val="FootnoteTextChar"/>
    <w:rsid w:val="006E2A4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2 Char1 Char1 Char Char,Footnote Text Char2 Char1 Char1 Char Char Char Char,Footnote Text Char2 Char4 Char Char,Footnote Text Char3 Char1 Char2 Char,Footnote Text Char5 Char Char,f Char"/>
    <w:basedOn w:val="DefaultParagraphFont"/>
    <w:link w:val="FootnoteText"/>
    <w:rsid w:val="00E10661"/>
    <w:rPr>
      <w:rFonts w:ascii="Times New Roman" w:eastAsia="Times New Roman" w:hAnsi="Times New Roman" w:cs="Times New Roman"/>
      <w:sz w:val="20"/>
      <w:szCs w:val="20"/>
    </w:rPr>
  </w:style>
  <w:style w:type="paragraph" w:styleId="Footer">
    <w:name w:val="footer"/>
    <w:basedOn w:val="Normal"/>
    <w:link w:val="FooterChar"/>
    <w:uiPriority w:val="99"/>
    <w:rsid w:val="006E2A47"/>
    <w:pPr>
      <w:tabs>
        <w:tab w:val="center" w:pos="4320"/>
        <w:tab w:val="right" w:pos="8640"/>
      </w:tabs>
    </w:pPr>
  </w:style>
  <w:style w:type="character" w:customStyle="1" w:styleId="FooterChar">
    <w:name w:val="Footer Char"/>
    <w:link w:val="Footer"/>
    <w:uiPriority w:val="99"/>
    <w:rsid w:val="006E2A47"/>
    <w:rPr>
      <w:rFonts w:ascii="Times New Roman" w:eastAsia="Times New Roman" w:hAnsi="Times New Roman" w:cs="Times New Roman"/>
      <w:snapToGrid w:val="0"/>
      <w:kern w:val="28"/>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6E2A47"/>
    <w:rPr>
      <w:rFonts w:ascii="Times New Roman" w:hAnsi="Times New Roman"/>
      <w:dstrike w:val="0"/>
      <w:color w:val="auto"/>
      <w:sz w:val="20"/>
      <w:vertAlign w:val="superscript"/>
    </w:rPr>
  </w:style>
  <w:style w:type="character" w:styleId="PageNumber">
    <w:name w:val="page number"/>
    <w:basedOn w:val="DefaultParagraphFont"/>
    <w:rsid w:val="006E2A47"/>
  </w:style>
  <w:style w:type="paragraph" w:customStyle="1" w:styleId="ParaNumChar1">
    <w:name w:val="ParaNum Char1"/>
    <w:basedOn w:val="Normal"/>
    <w:link w:val="ParaNumChar1Char"/>
    <w:rsid w:val="000A7332"/>
    <w:pPr>
      <w:tabs>
        <w:tab w:val="num" w:pos="1080"/>
        <w:tab w:val="left" w:pos="1440"/>
      </w:tabs>
      <w:spacing w:after="220"/>
      <w:ind w:firstLine="720"/>
    </w:pPr>
  </w:style>
  <w:style w:type="character" w:customStyle="1" w:styleId="ParaNumChar1Char">
    <w:name w:val="ParaNum Char1 Char"/>
    <w:link w:val="ParaNumChar1"/>
    <w:rsid w:val="000A73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A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32"/>
    <w:rPr>
      <w:rFonts w:ascii="Segoe UI" w:hAnsi="Segoe UI" w:cs="Segoe UI"/>
      <w:sz w:val="18"/>
      <w:szCs w:val="18"/>
    </w:rPr>
  </w:style>
  <w:style w:type="character" w:customStyle="1" w:styleId="Heading2Char">
    <w:name w:val="Heading 2 Char"/>
    <w:basedOn w:val="DefaultParagraphFont"/>
    <w:link w:val="Heading2"/>
    <w:rsid w:val="00805E59"/>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805E59"/>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805E59"/>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805E59"/>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805E59"/>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805E59"/>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805E59"/>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805E59"/>
    <w:pPr>
      <w:numPr>
        <w:ilvl w:val="2"/>
        <w:numId w:val="1"/>
      </w:numPr>
      <w:tabs>
        <w:tab w:val="left" w:pos="1440"/>
      </w:tabs>
      <w:spacing w:after="220"/>
    </w:pPr>
    <w:rPr>
      <w:sz w:val="24"/>
    </w:rPr>
  </w:style>
  <w:style w:type="character" w:styleId="CommentReference">
    <w:name w:val="annotation reference"/>
    <w:basedOn w:val="DefaultParagraphFont"/>
    <w:uiPriority w:val="99"/>
    <w:semiHidden/>
    <w:unhideWhenUsed/>
    <w:rsid w:val="00033BCA"/>
    <w:rPr>
      <w:sz w:val="16"/>
      <w:szCs w:val="16"/>
    </w:rPr>
  </w:style>
  <w:style w:type="paragraph" w:styleId="CommentText">
    <w:name w:val="annotation text"/>
    <w:basedOn w:val="Normal"/>
    <w:link w:val="CommentTextChar"/>
    <w:uiPriority w:val="99"/>
    <w:unhideWhenUsed/>
    <w:rsid w:val="00033BCA"/>
    <w:rPr>
      <w:sz w:val="20"/>
    </w:rPr>
  </w:style>
  <w:style w:type="character" w:customStyle="1" w:styleId="CommentTextChar">
    <w:name w:val="Comment Text Char"/>
    <w:basedOn w:val="DefaultParagraphFont"/>
    <w:link w:val="CommentText"/>
    <w:uiPriority w:val="99"/>
    <w:rsid w:val="00033BCA"/>
    <w:rPr>
      <w:sz w:val="20"/>
      <w:szCs w:val="20"/>
    </w:rPr>
  </w:style>
  <w:style w:type="paragraph" w:styleId="CommentSubject">
    <w:name w:val="annotation subject"/>
    <w:basedOn w:val="CommentText"/>
    <w:next w:val="CommentText"/>
    <w:link w:val="CommentSubjectChar"/>
    <w:uiPriority w:val="99"/>
    <w:semiHidden/>
    <w:unhideWhenUsed/>
    <w:rsid w:val="00033BCA"/>
    <w:rPr>
      <w:b/>
      <w:bCs/>
    </w:rPr>
  </w:style>
  <w:style w:type="character" w:customStyle="1" w:styleId="CommentSubjectChar">
    <w:name w:val="Comment Subject Char"/>
    <w:basedOn w:val="CommentTextChar"/>
    <w:link w:val="CommentSubject"/>
    <w:uiPriority w:val="99"/>
    <w:semiHidden/>
    <w:rsid w:val="00033BCA"/>
    <w:rPr>
      <w:b/>
      <w:bCs/>
      <w:sz w:val="20"/>
      <w:szCs w:val="20"/>
    </w:rPr>
  </w:style>
  <w:style w:type="paragraph" w:styleId="Header">
    <w:name w:val="header"/>
    <w:basedOn w:val="Normal"/>
    <w:link w:val="HeaderChar"/>
    <w:autoRedefine/>
    <w:rsid w:val="00987F8B"/>
    <w:pPr>
      <w:tabs>
        <w:tab w:val="center" w:pos="4680"/>
        <w:tab w:val="right" w:pos="9360"/>
      </w:tabs>
    </w:pPr>
    <w:rPr>
      <w:rFonts w:ascii="Times New Roman" w:hAnsi="Times New Roman" w:cs="Times New Roman"/>
      <w:b/>
      <w:u w:val="single"/>
    </w:rPr>
  </w:style>
  <w:style w:type="character" w:customStyle="1" w:styleId="HeaderChar">
    <w:name w:val="Header Char"/>
    <w:basedOn w:val="DefaultParagraphFont"/>
    <w:link w:val="Header"/>
    <w:rsid w:val="00987F8B"/>
    <w:rPr>
      <w:rFonts w:ascii="Times New Roman" w:hAnsi="Times New Roman" w:cs="Times New Roman"/>
      <w:b/>
      <w:kern w:val="2"/>
      <w:u w:val="single"/>
      <w14:ligatures w14:val="standardContextual"/>
    </w:rPr>
  </w:style>
  <w:style w:type="paragraph" w:styleId="ListParagraph">
    <w:name w:val="List Paragraph"/>
    <w:basedOn w:val="Normal"/>
    <w:uiPriority w:val="34"/>
    <w:qFormat/>
    <w:rsid w:val="00B60478"/>
    <w:pPr>
      <w:ind w:left="720"/>
      <w:contextualSpacing/>
    </w:pPr>
  </w:style>
  <w:style w:type="paragraph" w:styleId="Revision">
    <w:name w:val="Revision"/>
    <w:hidden/>
    <w:uiPriority w:val="99"/>
    <w:semiHidden/>
    <w:rsid w:val="005448FE"/>
    <w:pPr>
      <w:spacing w:after="0" w:line="240" w:lineRule="auto"/>
    </w:pPr>
  </w:style>
  <w:style w:type="character" w:styleId="Hyperlink">
    <w:name w:val="Hyperlink"/>
    <w:rsid w:val="006E2A47"/>
    <w:rPr>
      <w:color w:val="0000FF"/>
      <w:u w:val="single"/>
    </w:rPr>
  </w:style>
  <w:style w:type="character" w:styleId="UnresolvedMention">
    <w:name w:val="Unresolved Mention"/>
    <w:basedOn w:val="DefaultParagraphFont"/>
    <w:uiPriority w:val="99"/>
    <w:semiHidden/>
    <w:unhideWhenUsed/>
    <w:rsid w:val="0035796F"/>
    <w:rPr>
      <w:color w:val="605E5C"/>
      <w:shd w:val="clear" w:color="auto" w:fill="E1DFDD"/>
    </w:rPr>
  </w:style>
  <w:style w:type="character" w:customStyle="1" w:styleId="Heading1Char">
    <w:name w:val="Heading 1 Char"/>
    <w:basedOn w:val="DefaultParagraphFont"/>
    <w:link w:val="Heading1"/>
    <w:rsid w:val="00BC6AFF"/>
    <w:rPr>
      <w:rFonts w:ascii="Times New Roman Bold" w:eastAsia="Times New Roman" w:hAnsi="Times New Roman Bold" w:cs="Times New Roman"/>
      <w:b/>
      <w:caps/>
      <w:snapToGrid w:val="0"/>
      <w:kern w:val="28"/>
      <w:szCs w:val="20"/>
    </w:rPr>
  </w:style>
  <w:style w:type="character" w:customStyle="1" w:styleId="Heading3Char">
    <w:name w:val="Heading 3 Char"/>
    <w:basedOn w:val="DefaultParagraphFont"/>
    <w:link w:val="Heading3"/>
    <w:rsid w:val="00BC6AFF"/>
    <w:rPr>
      <w:rFonts w:ascii="Times New Roman" w:eastAsia="Times New Roman" w:hAnsi="Times New Roman" w:cs="Times New Roman"/>
      <w:b/>
      <w:snapToGrid w:val="0"/>
      <w:kern w:val="28"/>
      <w:szCs w:val="20"/>
    </w:rPr>
  </w:style>
  <w:style w:type="paragraph" w:customStyle="1" w:styleId="ParaNum">
    <w:name w:val="ParaNum"/>
    <w:basedOn w:val="Normal"/>
    <w:link w:val="ParaNumCharChar1"/>
    <w:rsid w:val="006E2A47"/>
    <w:pPr>
      <w:numPr>
        <w:numId w:val="16"/>
      </w:numPr>
      <w:tabs>
        <w:tab w:val="clear" w:pos="1080"/>
        <w:tab w:val="num" w:pos="1440"/>
      </w:tabs>
      <w:spacing w:after="120"/>
    </w:pPr>
  </w:style>
  <w:style w:type="paragraph" w:styleId="EndnoteText">
    <w:name w:val="endnote text"/>
    <w:basedOn w:val="Normal"/>
    <w:link w:val="EndnoteTextChar"/>
    <w:semiHidden/>
    <w:rsid w:val="006E2A47"/>
    <w:rPr>
      <w:sz w:val="20"/>
    </w:rPr>
  </w:style>
  <w:style w:type="character" w:customStyle="1" w:styleId="EndnoteTextChar">
    <w:name w:val="Endnote Text Char"/>
    <w:basedOn w:val="DefaultParagraphFont"/>
    <w:link w:val="EndnoteText"/>
    <w:semiHidden/>
    <w:rsid w:val="00BC6AFF"/>
    <w:rPr>
      <w:rFonts w:ascii="Times New Roman" w:eastAsia="Times New Roman" w:hAnsi="Times New Roman" w:cs="Times New Roman"/>
      <w:snapToGrid w:val="0"/>
      <w:kern w:val="28"/>
      <w:sz w:val="20"/>
      <w:szCs w:val="20"/>
    </w:rPr>
  </w:style>
  <w:style w:type="character" w:styleId="EndnoteReference">
    <w:name w:val="endnote reference"/>
    <w:semiHidden/>
    <w:rsid w:val="006E2A47"/>
    <w:rPr>
      <w:vertAlign w:val="superscript"/>
    </w:rPr>
  </w:style>
  <w:style w:type="paragraph" w:styleId="TOC1">
    <w:name w:val="toc 1"/>
    <w:basedOn w:val="Normal"/>
    <w:next w:val="Normal"/>
    <w:semiHidden/>
    <w:rsid w:val="006E2A4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E2A47"/>
    <w:pPr>
      <w:tabs>
        <w:tab w:val="left" w:pos="720"/>
        <w:tab w:val="right" w:leader="dot" w:pos="9360"/>
      </w:tabs>
      <w:suppressAutoHyphens/>
      <w:ind w:left="720" w:right="720" w:hanging="360"/>
    </w:pPr>
    <w:rPr>
      <w:noProof/>
    </w:rPr>
  </w:style>
  <w:style w:type="paragraph" w:styleId="TOC3">
    <w:name w:val="toc 3"/>
    <w:basedOn w:val="Normal"/>
    <w:next w:val="Normal"/>
    <w:semiHidden/>
    <w:rsid w:val="006E2A4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E2A4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E2A4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E2A4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E2A4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E2A4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E2A4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E2A47"/>
    <w:pPr>
      <w:tabs>
        <w:tab w:val="right" w:pos="9360"/>
      </w:tabs>
      <w:suppressAutoHyphens/>
    </w:pPr>
  </w:style>
  <w:style w:type="character" w:customStyle="1" w:styleId="EquationCaption">
    <w:name w:val="_Equation Caption"/>
    <w:rsid w:val="006E2A47"/>
  </w:style>
  <w:style w:type="paragraph" w:styleId="BlockText">
    <w:name w:val="Block Text"/>
    <w:basedOn w:val="Normal"/>
    <w:rsid w:val="006E2A47"/>
    <w:pPr>
      <w:spacing w:after="240"/>
      <w:ind w:left="1440" w:right="1440"/>
    </w:pPr>
  </w:style>
  <w:style w:type="paragraph" w:customStyle="1" w:styleId="Paratitle">
    <w:name w:val="Para title"/>
    <w:basedOn w:val="Normal"/>
    <w:rsid w:val="006E2A47"/>
    <w:pPr>
      <w:tabs>
        <w:tab w:val="center" w:pos="9270"/>
      </w:tabs>
      <w:spacing w:after="240"/>
    </w:pPr>
    <w:rPr>
      <w:spacing w:val="-2"/>
    </w:rPr>
  </w:style>
  <w:style w:type="paragraph" w:customStyle="1" w:styleId="Bullet">
    <w:name w:val="Bullet"/>
    <w:basedOn w:val="Normal"/>
    <w:rsid w:val="006E2A47"/>
    <w:pPr>
      <w:tabs>
        <w:tab w:val="left" w:pos="2160"/>
      </w:tabs>
      <w:spacing w:after="220"/>
      <w:ind w:left="2160" w:hanging="720"/>
    </w:pPr>
  </w:style>
  <w:style w:type="paragraph" w:customStyle="1" w:styleId="TableFormat">
    <w:name w:val="TableFormat"/>
    <w:basedOn w:val="Bullet"/>
    <w:rsid w:val="006E2A47"/>
    <w:pPr>
      <w:tabs>
        <w:tab w:val="clear" w:pos="2160"/>
        <w:tab w:val="left" w:pos="5040"/>
      </w:tabs>
      <w:ind w:left="5040" w:hanging="3600"/>
    </w:pPr>
  </w:style>
  <w:style w:type="paragraph" w:customStyle="1" w:styleId="TOCTitle">
    <w:name w:val="TOC Title"/>
    <w:basedOn w:val="Normal"/>
    <w:rsid w:val="006E2A4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E2A47"/>
    <w:pPr>
      <w:jc w:val="center"/>
    </w:pPr>
    <w:rPr>
      <w:rFonts w:ascii="Times New Roman Bold" w:hAnsi="Times New Roman Bold"/>
      <w:b/>
      <w:bCs/>
      <w:caps/>
    </w:rPr>
  </w:style>
  <w:style w:type="character" w:customStyle="1" w:styleId="ParaNumCharChar1">
    <w:name w:val="ParaNum Char Char1"/>
    <w:link w:val="ParaNum"/>
    <w:locked/>
    <w:rsid w:val="0050081A"/>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aa45f9a1b4bb1cc5e1d60d73c3e85cf">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0ee51d0762cd3e5904d0853e7cace1ad"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278C3-8BF6-3445-B0F1-02BC96485E4B}">
  <ds:schemaRefs>
    <ds:schemaRef ds:uri="http://schemas.openxmlformats.org/officeDocument/2006/bibliography"/>
  </ds:schemaRefs>
</ds:datastoreItem>
</file>

<file path=customXml/itemProps2.xml><?xml version="1.0" encoding="utf-8"?>
<ds:datastoreItem xmlns:ds="http://schemas.openxmlformats.org/officeDocument/2006/customXml" ds:itemID="{02047EEC-7208-4FD1-B16D-6A88ACDDC030}">
  <ds:schemaRefs>
    <ds:schemaRef ds:uri="http://schemas.microsoft.com/sharepoint/v3/contenttype/forms"/>
  </ds:schemaRefs>
</ds:datastoreItem>
</file>

<file path=customXml/itemProps3.xml><?xml version="1.0" encoding="utf-8"?>
<ds:datastoreItem xmlns:ds="http://schemas.openxmlformats.org/officeDocument/2006/customXml" ds:itemID="{DCEAAE48-6C25-48A9-B52F-C00A04E23C10}">
  <ds:schemaRefs>
    <ds:schemaRef ds:uri="http://schemas.microsoft.com/office/2006/metadata/properties"/>
    <ds:schemaRef ds:uri="http://schemas.microsoft.com/office/infopath/2007/PartnerControls"/>
    <ds:schemaRef ds:uri="82584e1f-e9e7-4133-a51b-3f2e12b8b212"/>
  </ds:schemaRefs>
</ds:datastoreItem>
</file>

<file path=customXml/itemProps4.xml><?xml version="1.0" encoding="utf-8"?>
<ds:datastoreItem xmlns:ds="http://schemas.openxmlformats.org/officeDocument/2006/customXml" ds:itemID="{34F2C84E-F34E-44C1-9FD9-9AE0ED5A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2</cp:revision>
  <cp:lastPrinted>2023-07-26T04:11:00Z</cp:lastPrinted>
  <dcterms:created xsi:type="dcterms:W3CDTF">2023-09-08T20:59:00Z</dcterms:created>
  <dcterms:modified xsi:type="dcterms:W3CDTF">2023-09-08T20:59:00Z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