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7D7A" w:rsidP="008E7D7A" w14:paraId="71624EAA" w14:textId="77777777">
      <w:pPr>
        <w:jc w:val="center"/>
        <w:rPr>
          <w:b/>
          <w:sz w:val="24"/>
          <w:szCs w:val="24"/>
        </w:rPr>
      </w:pPr>
      <w:r w:rsidRPr="00873E76">
        <w:rPr>
          <w:b/>
          <w:sz w:val="24"/>
          <w:szCs w:val="24"/>
        </w:rPr>
        <w:t>SUPPORTING STATEMENT</w:t>
      </w:r>
    </w:p>
    <w:p w:rsidR="008768DE" w:rsidRPr="00873E76" w:rsidP="008E7D7A" w14:paraId="6370D6ED" w14:textId="77777777">
      <w:pPr>
        <w:jc w:val="center"/>
        <w:rPr>
          <w:b/>
          <w:sz w:val="24"/>
          <w:szCs w:val="24"/>
        </w:rPr>
      </w:pPr>
      <w:r w:rsidRPr="00873E76">
        <w:rPr>
          <w:b/>
          <w:sz w:val="24"/>
          <w:szCs w:val="24"/>
        </w:rPr>
        <w:t>for the Paperwork Reduction Act Information Collection Submission for</w:t>
      </w:r>
      <w:r w:rsidR="008E7D7A">
        <w:rPr>
          <w:b/>
          <w:sz w:val="24"/>
          <w:szCs w:val="24"/>
        </w:rPr>
        <w:t xml:space="preserve"> </w:t>
      </w:r>
      <w:r w:rsidRPr="00873E76">
        <w:rPr>
          <w:b/>
          <w:sz w:val="24"/>
          <w:szCs w:val="24"/>
        </w:rPr>
        <w:t>Rule 17g-</w:t>
      </w:r>
      <w:r w:rsidRPr="00873E76" w:rsidR="00787432">
        <w:rPr>
          <w:b/>
          <w:sz w:val="24"/>
          <w:szCs w:val="24"/>
        </w:rPr>
        <w:t>2</w:t>
      </w:r>
      <w:r w:rsidR="008E7D7A">
        <w:rPr>
          <w:sz w:val="24"/>
          <w:szCs w:val="24"/>
        </w:rPr>
        <w:t>--</w:t>
      </w:r>
      <w:bookmarkStart w:id="0" w:name="OLE_LINK2"/>
      <w:bookmarkStart w:id="1" w:name="OLE_LINK3"/>
      <w:bookmarkStart w:id="2" w:name="OLE_LINK4"/>
      <w:r w:rsidRPr="008E7D7A" w:rsidR="001706C9">
        <w:rPr>
          <w:b/>
          <w:i/>
          <w:iCs/>
          <w:sz w:val="24"/>
          <w:szCs w:val="24"/>
        </w:rPr>
        <w:t xml:space="preserve">Records to be </w:t>
      </w:r>
      <w:r w:rsidRPr="008E7D7A" w:rsidR="00E40068">
        <w:rPr>
          <w:b/>
          <w:i/>
          <w:iCs/>
          <w:sz w:val="24"/>
          <w:szCs w:val="24"/>
        </w:rPr>
        <w:t>M</w:t>
      </w:r>
      <w:r w:rsidRPr="008E7D7A" w:rsidR="001706C9">
        <w:rPr>
          <w:b/>
          <w:i/>
          <w:iCs/>
          <w:sz w:val="24"/>
          <w:szCs w:val="24"/>
        </w:rPr>
        <w:t xml:space="preserve">ade and </w:t>
      </w:r>
      <w:r w:rsidRPr="008E7D7A" w:rsidR="00E40068">
        <w:rPr>
          <w:b/>
          <w:i/>
          <w:iCs/>
          <w:sz w:val="24"/>
          <w:szCs w:val="24"/>
        </w:rPr>
        <w:t>R</w:t>
      </w:r>
      <w:r w:rsidRPr="008E7D7A" w:rsidR="001706C9">
        <w:rPr>
          <w:b/>
          <w:i/>
          <w:iCs/>
          <w:sz w:val="24"/>
          <w:szCs w:val="24"/>
        </w:rPr>
        <w:t xml:space="preserve">etained by </w:t>
      </w:r>
      <w:r w:rsidRPr="008E7D7A" w:rsidR="00E40068">
        <w:rPr>
          <w:b/>
          <w:i/>
          <w:iCs/>
          <w:sz w:val="24"/>
          <w:szCs w:val="24"/>
        </w:rPr>
        <w:t>N</w:t>
      </w:r>
      <w:r w:rsidRPr="008E7D7A" w:rsidR="001706C9">
        <w:rPr>
          <w:b/>
          <w:i/>
          <w:iCs/>
          <w:sz w:val="24"/>
          <w:szCs w:val="24"/>
        </w:rPr>
        <w:t>ational</w:t>
      </w:r>
      <w:r w:rsidRPr="008E7D7A" w:rsidR="00443C3D">
        <w:rPr>
          <w:b/>
          <w:i/>
          <w:iCs/>
          <w:sz w:val="24"/>
          <w:szCs w:val="24"/>
        </w:rPr>
        <w:t>ly</w:t>
      </w:r>
      <w:r w:rsidRPr="008E7D7A" w:rsidR="001706C9">
        <w:rPr>
          <w:b/>
          <w:i/>
          <w:iCs/>
          <w:sz w:val="24"/>
          <w:szCs w:val="24"/>
        </w:rPr>
        <w:t xml:space="preserve"> </w:t>
      </w:r>
      <w:r w:rsidRPr="008E7D7A" w:rsidR="00E40068">
        <w:rPr>
          <w:b/>
          <w:i/>
          <w:iCs/>
          <w:sz w:val="24"/>
          <w:szCs w:val="24"/>
        </w:rPr>
        <w:t>R</w:t>
      </w:r>
      <w:r w:rsidRPr="008E7D7A" w:rsidR="001706C9">
        <w:rPr>
          <w:b/>
          <w:i/>
          <w:iCs/>
          <w:sz w:val="24"/>
          <w:szCs w:val="24"/>
        </w:rPr>
        <w:t xml:space="preserve">ecognized </w:t>
      </w:r>
      <w:r w:rsidRPr="008E7D7A" w:rsidR="00E40068">
        <w:rPr>
          <w:b/>
          <w:i/>
          <w:iCs/>
          <w:sz w:val="24"/>
          <w:szCs w:val="24"/>
        </w:rPr>
        <w:t>S</w:t>
      </w:r>
      <w:r w:rsidRPr="008E7D7A" w:rsidR="001706C9">
        <w:rPr>
          <w:b/>
          <w:i/>
          <w:iCs/>
          <w:sz w:val="24"/>
          <w:szCs w:val="24"/>
        </w:rPr>
        <w:t xml:space="preserve">tatistical </w:t>
      </w:r>
      <w:r w:rsidRPr="008E7D7A" w:rsidR="00E40068">
        <w:rPr>
          <w:b/>
          <w:i/>
          <w:iCs/>
          <w:sz w:val="24"/>
          <w:szCs w:val="24"/>
        </w:rPr>
        <w:t>R</w:t>
      </w:r>
      <w:r w:rsidRPr="008E7D7A" w:rsidR="001706C9">
        <w:rPr>
          <w:b/>
          <w:i/>
          <w:iCs/>
          <w:sz w:val="24"/>
          <w:szCs w:val="24"/>
        </w:rPr>
        <w:t xml:space="preserve">ating </w:t>
      </w:r>
      <w:r w:rsidRPr="008E7D7A" w:rsidR="00E40068">
        <w:rPr>
          <w:b/>
          <w:i/>
          <w:iCs/>
          <w:sz w:val="24"/>
          <w:szCs w:val="24"/>
        </w:rPr>
        <w:t>O</w:t>
      </w:r>
      <w:r w:rsidRPr="008E7D7A" w:rsidR="001706C9">
        <w:rPr>
          <w:b/>
          <w:i/>
          <w:iCs/>
          <w:sz w:val="24"/>
          <w:szCs w:val="24"/>
        </w:rPr>
        <w:t>rganizations</w:t>
      </w:r>
    </w:p>
    <w:bookmarkEnd w:id="0"/>
    <w:bookmarkEnd w:id="1"/>
    <w:bookmarkEnd w:id="2"/>
    <w:p w:rsidR="008768DE" w:rsidP="00743D8F" w14:paraId="7AF23602" w14:textId="77777777">
      <w:pPr>
        <w:tabs>
          <w:tab w:val="center" w:pos="4680"/>
        </w:tabs>
        <w:suppressAutoHyphens/>
        <w:rPr>
          <w:sz w:val="24"/>
          <w:szCs w:val="24"/>
          <w:u w:val="single"/>
        </w:rPr>
      </w:pPr>
    </w:p>
    <w:p w:rsidR="000C788C" w:rsidP="00743D8F" w14:paraId="390EEADB" w14:textId="77777777">
      <w:pPr>
        <w:tabs>
          <w:tab w:val="center" w:pos="4680"/>
        </w:tabs>
        <w:suppressAutoHyphens/>
        <w:rPr>
          <w:sz w:val="24"/>
          <w:szCs w:val="24"/>
          <w:u w:val="single"/>
        </w:rPr>
      </w:pPr>
    </w:p>
    <w:p w:rsidR="008768DE" w:rsidRPr="002C2560" w:rsidP="00743D8F" w14:paraId="0C549E6A" w14:textId="77777777">
      <w:pPr>
        <w:keepNext/>
        <w:tabs>
          <w:tab w:val="left" w:pos="-720"/>
          <w:tab w:val="left" w:pos="0"/>
        </w:tabs>
        <w:suppressAutoHyphens/>
        <w:ind w:left="720" w:hanging="720"/>
        <w:rPr>
          <w:b/>
          <w:sz w:val="24"/>
          <w:szCs w:val="24"/>
        </w:rPr>
      </w:pPr>
      <w:r w:rsidRPr="002C2560">
        <w:rPr>
          <w:b/>
          <w:sz w:val="24"/>
          <w:szCs w:val="24"/>
        </w:rPr>
        <w:t>A.</w:t>
      </w:r>
      <w:r w:rsidRPr="002C2560">
        <w:rPr>
          <w:b/>
          <w:sz w:val="24"/>
          <w:szCs w:val="24"/>
        </w:rPr>
        <w:tab/>
        <w:t>J</w:t>
      </w:r>
      <w:r w:rsidRPr="002C2560" w:rsidR="00873E76">
        <w:rPr>
          <w:b/>
          <w:sz w:val="24"/>
          <w:szCs w:val="24"/>
        </w:rPr>
        <w:t>USTIFICATION</w:t>
      </w:r>
    </w:p>
    <w:p w:rsidR="008768DE" w:rsidRPr="00743D8F" w:rsidP="00743D8F" w14:paraId="254E0D98" w14:textId="77777777">
      <w:pPr>
        <w:keepNext/>
        <w:tabs>
          <w:tab w:val="left" w:pos="-720"/>
        </w:tabs>
        <w:suppressAutoHyphens/>
        <w:rPr>
          <w:sz w:val="24"/>
          <w:szCs w:val="24"/>
        </w:rPr>
      </w:pPr>
    </w:p>
    <w:p w:rsidR="008768DE" w:rsidRPr="00956D8C" w:rsidP="00743D8F" w14:paraId="3E6C45D4" w14:textId="77777777">
      <w:pPr>
        <w:keepNext/>
        <w:tabs>
          <w:tab w:val="left" w:pos="-720"/>
          <w:tab w:val="left" w:pos="0"/>
        </w:tabs>
        <w:suppressAutoHyphens/>
        <w:rPr>
          <w:b/>
          <w:sz w:val="24"/>
          <w:szCs w:val="24"/>
        </w:rPr>
      </w:pPr>
      <w:r w:rsidRPr="00956D8C">
        <w:rPr>
          <w:b/>
          <w:sz w:val="24"/>
          <w:szCs w:val="24"/>
        </w:rPr>
        <w:t>1.</w:t>
      </w:r>
      <w:r w:rsidRPr="00956D8C">
        <w:rPr>
          <w:b/>
          <w:sz w:val="24"/>
          <w:szCs w:val="24"/>
        </w:rPr>
        <w:tab/>
        <w:t>Ne</w:t>
      </w:r>
      <w:r w:rsidRPr="00956D8C" w:rsidR="00873E76">
        <w:rPr>
          <w:b/>
          <w:sz w:val="24"/>
          <w:szCs w:val="24"/>
        </w:rPr>
        <w:t xml:space="preserve">cessity of </w:t>
      </w:r>
      <w:r w:rsidRPr="00956D8C">
        <w:rPr>
          <w:b/>
          <w:sz w:val="24"/>
          <w:szCs w:val="24"/>
        </w:rPr>
        <w:t>Information Collection</w:t>
      </w:r>
    </w:p>
    <w:p w:rsidR="008768DE" w:rsidRPr="00743D8F" w:rsidP="00743D8F" w14:paraId="5ABFA60A" w14:textId="77777777">
      <w:pPr>
        <w:keepNext/>
        <w:tabs>
          <w:tab w:val="left" w:pos="-720"/>
        </w:tabs>
        <w:suppressAutoHyphens/>
        <w:rPr>
          <w:sz w:val="24"/>
          <w:szCs w:val="24"/>
        </w:rPr>
      </w:pPr>
    </w:p>
    <w:p w:rsidR="006937D4" w:rsidP="00880624" w14:paraId="4391B2C3" w14:textId="29F77A5D">
      <w:pPr>
        <w:ind w:firstLine="720"/>
        <w:rPr>
          <w:sz w:val="24"/>
          <w:szCs w:val="24"/>
        </w:rPr>
      </w:pPr>
      <w:r w:rsidRPr="00743D8F">
        <w:rPr>
          <w:sz w:val="24"/>
          <w:szCs w:val="24"/>
        </w:rPr>
        <w:t>The Credit Rating Agency Reform Act of 2006</w:t>
      </w:r>
      <w:r>
        <w:rPr>
          <w:rStyle w:val="FootnoteReference"/>
          <w:sz w:val="24"/>
          <w:szCs w:val="24"/>
        </w:rPr>
        <w:footnoteReference w:id="3"/>
      </w:r>
      <w:r w:rsidRPr="00743D8F">
        <w:rPr>
          <w:sz w:val="24"/>
          <w:szCs w:val="24"/>
        </w:rPr>
        <w:t xml:space="preserve"> (“</w:t>
      </w:r>
      <w:r w:rsidRPr="00743D8F" w:rsidR="009A5B42">
        <w:rPr>
          <w:sz w:val="24"/>
          <w:szCs w:val="24"/>
        </w:rPr>
        <w:t xml:space="preserve">Rating Agency </w:t>
      </w:r>
      <w:r w:rsidRPr="00743D8F">
        <w:rPr>
          <w:sz w:val="24"/>
          <w:szCs w:val="24"/>
        </w:rPr>
        <w:t xml:space="preserve">Act”), enacted on September 29, 2006, </w:t>
      </w:r>
      <w:r w:rsidR="00161CEB">
        <w:rPr>
          <w:sz w:val="24"/>
          <w:szCs w:val="24"/>
        </w:rPr>
        <w:t xml:space="preserve">established </w:t>
      </w:r>
      <w:r w:rsidR="00374DB6">
        <w:rPr>
          <w:sz w:val="24"/>
          <w:szCs w:val="24"/>
        </w:rPr>
        <w:t xml:space="preserve">a registration and oversight program for </w:t>
      </w:r>
      <w:r w:rsidR="00C815FE">
        <w:rPr>
          <w:sz w:val="24"/>
          <w:szCs w:val="24"/>
        </w:rPr>
        <w:t xml:space="preserve">credit rating agencies registered as </w:t>
      </w:r>
      <w:r w:rsidRPr="00743D8F">
        <w:rPr>
          <w:sz w:val="24"/>
          <w:szCs w:val="24"/>
        </w:rPr>
        <w:t xml:space="preserve">“nationally recognized statistical </w:t>
      </w:r>
      <w:r w:rsidR="00D02136">
        <w:rPr>
          <w:sz w:val="24"/>
          <w:szCs w:val="24"/>
        </w:rPr>
        <w:t>rating organization</w:t>
      </w:r>
      <w:r w:rsidR="00C815FE">
        <w:rPr>
          <w:sz w:val="24"/>
          <w:szCs w:val="24"/>
        </w:rPr>
        <w:t>s</w:t>
      </w:r>
      <w:r w:rsidR="00D02136">
        <w:rPr>
          <w:sz w:val="24"/>
          <w:szCs w:val="24"/>
        </w:rPr>
        <w:t>,” or “NRSRO</w:t>
      </w:r>
      <w:r w:rsidR="00C815FE">
        <w:rPr>
          <w:sz w:val="24"/>
          <w:szCs w:val="24"/>
        </w:rPr>
        <w:t>s</w:t>
      </w:r>
      <w:r w:rsidR="0080374E">
        <w:rPr>
          <w:sz w:val="24"/>
          <w:szCs w:val="24"/>
        </w:rPr>
        <w:t>,</w:t>
      </w:r>
      <w:r w:rsidRPr="00743D8F">
        <w:rPr>
          <w:sz w:val="24"/>
          <w:szCs w:val="24"/>
        </w:rPr>
        <w:t xml:space="preserve">” </w:t>
      </w:r>
      <w:r w:rsidR="00D02136">
        <w:rPr>
          <w:sz w:val="24"/>
          <w:szCs w:val="24"/>
        </w:rPr>
        <w:t xml:space="preserve">and </w:t>
      </w:r>
      <w:r w:rsidRPr="00743D8F">
        <w:rPr>
          <w:sz w:val="24"/>
          <w:szCs w:val="24"/>
        </w:rPr>
        <w:t>provide</w:t>
      </w:r>
      <w:r w:rsidR="00C815FE">
        <w:rPr>
          <w:sz w:val="24"/>
          <w:szCs w:val="24"/>
        </w:rPr>
        <w:t>d</w:t>
      </w:r>
      <w:r w:rsidRPr="00743D8F">
        <w:rPr>
          <w:sz w:val="24"/>
          <w:szCs w:val="24"/>
        </w:rPr>
        <w:t xml:space="preserve"> authority for the Securities and Exchange Commission (“Commission”) </w:t>
      </w:r>
      <w:r w:rsidRPr="004F07F9" w:rsidR="004F07F9">
        <w:rPr>
          <w:sz w:val="24"/>
          <w:szCs w:val="24"/>
        </w:rPr>
        <w:t xml:space="preserve">to implement registration, recordkeeping, financial reporting, and oversight rules </w:t>
      </w:r>
      <w:r w:rsidR="00E066D8">
        <w:rPr>
          <w:sz w:val="24"/>
          <w:szCs w:val="24"/>
        </w:rPr>
        <w:t>with respect to</w:t>
      </w:r>
      <w:r w:rsidRPr="004F07F9" w:rsidR="004F07F9">
        <w:rPr>
          <w:sz w:val="24"/>
          <w:szCs w:val="24"/>
        </w:rPr>
        <w:t xml:space="preserve"> NRSROs</w:t>
      </w:r>
      <w:r w:rsidR="008B2C39">
        <w:rPr>
          <w:sz w:val="24"/>
          <w:szCs w:val="24"/>
        </w:rPr>
        <w:t xml:space="preserve">.  </w:t>
      </w:r>
    </w:p>
    <w:p w:rsidR="006937D4" w:rsidP="00880624" w14:paraId="2FFB75F3" w14:textId="77777777">
      <w:pPr>
        <w:ind w:firstLine="720"/>
        <w:rPr>
          <w:sz w:val="24"/>
          <w:szCs w:val="24"/>
        </w:rPr>
      </w:pPr>
    </w:p>
    <w:p w:rsidR="00044F77" w:rsidRPr="00743D8F" w:rsidP="008B3B00" w14:paraId="6325C827" w14:textId="1B800CA1">
      <w:pPr>
        <w:ind w:firstLine="720"/>
        <w:rPr>
          <w:sz w:val="24"/>
          <w:szCs w:val="24"/>
        </w:rPr>
      </w:pPr>
      <w:r>
        <w:rPr>
          <w:sz w:val="24"/>
          <w:szCs w:val="24"/>
        </w:rPr>
        <w:t>T</w:t>
      </w:r>
      <w:r w:rsidRPr="00257777" w:rsidR="00257777">
        <w:rPr>
          <w:sz w:val="24"/>
          <w:szCs w:val="24"/>
        </w:rPr>
        <w:t xml:space="preserve">he Rating Agency Act amended section 17(a)(1) of the </w:t>
      </w:r>
      <w:r w:rsidR="0077423F">
        <w:rPr>
          <w:sz w:val="24"/>
          <w:szCs w:val="24"/>
        </w:rPr>
        <w:t xml:space="preserve">Securities </w:t>
      </w:r>
      <w:r w:rsidRPr="00257777" w:rsidR="00257777">
        <w:rPr>
          <w:sz w:val="24"/>
          <w:szCs w:val="24"/>
        </w:rPr>
        <w:t xml:space="preserve">Exchange Act </w:t>
      </w:r>
      <w:r w:rsidR="0077423F">
        <w:rPr>
          <w:sz w:val="24"/>
          <w:szCs w:val="24"/>
        </w:rPr>
        <w:t xml:space="preserve">of 1934 (“Exchange Act”) </w:t>
      </w:r>
      <w:r w:rsidRPr="00257777" w:rsidR="00257777">
        <w:rPr>
          <w:sz w:val="24"/>
          <w:szCs w:val="24"/>
        </w:rPr>
        <w:t xml:space="preserve">to add NRSROs to the list of entities required to make and keep such records, and make and disseminate such reports, as the Commission </w:t>
      </w:r>
      <w:r w:rsidR="002022EA">
        <w:rPr>
          <w:sz w:val="24"/>
          <w:szCs w:val="24"/>
        </w:rPr>
        <w:t xml:space="preserve">may </w:t>
      </w:r>
      <w:r w:rsidRPr="00257777" w:rsidR="00257777">
        <w:rPr>
          <w:sz w:val="24"/>
          <w:szCs w:val="24"/>
        </w:rPr>
        <w:t>prescribe by rule as necessary or appropriate in the public interest, for the protection of investors, or otherwise in furtherance of the Exchange Act.</w:t>
      </w:r>
      <w:r>
        <w:rPr>
          <w:rStyle w:val="FootnoteReference"/>
          <w:sz w:val="24"/>
          <w:szCs w:val="24"/>
        </w:rPr>
        <w:footnoteReference w:id="4"/>
      </w:r>
      <w:r w:rsidRPr="00257777" w:rsidR="00257777">
        <w:rPr>
          <w:sz w:val="24"/>
          <w:szCs w:val="24"/>
        </w:rPr>
        <w:t xml:space="preserve">  The inclusion of NRSROs on th</w:t>
      </w:r>
      <w:r w:rsidR="008A7A0D">
        <w:rPr>
          <w:sz w:val="24"/>
          <w:szCs w:val="24"/>
        </w:rPr>
        <w:t>is</w:t>
      </w:r>
      <w:r w:rsidRPr="00257777" w:rsidR="00257777">
        <w:rPr>
          <w:sz w:val="24"/>
          <w:szCs w:val="24"/>
        </w:rPr>
        <w:t xml:space="preserve"> list </w:t>
      </w:r>
      <w:r w:rsidR="008A7A0D">
        <w:rPr>
          <w:sz w:val="24"/>
          <w:szCs w:val="24"/>
        </w:rPr>
        <w:t xml:space="preserve">of entities </w:t>
      </w:r>
      <w:r w:rsidRPr="00257777" w:rsidR="00257777">
        <w:rPr>
          <w:sz w:val="24"/>
          <w:szCs w:val="24"/>
        </w:rPr>
        <w:t>provide</w:t>
      </w:r>
      <w:r w:rsidR="00556D5D">
        <w:rPr>
          <w:sz w:val="24"/>
          <w:szCs w:val="24"/>
        </w:rPr>
        <w:t>d</w:t>
      </w:r>
      <w:r w:rsidRPr="00257777" w:rsidR="00257777">
        <w:rPr>
          <w:sz w:val="24"/>
          <w:szCs w:val="24"/>
        </w:rPr>
        <w:t xml:space="preserve"> the Commission with authority to examine all the records of an NRSRO.</w:t>
      </w:r>
      <w:r>
        <w:rPr>
          <w:rStyle w:val="FootnoteReference"/>
          <w:sz w:val="24"/>
          <w:szCs w:val="24"/>
        </w:rPr>
        <w:footnoteReference w:id="5"/>
      </w:r>
      <w:r w:rsidR="005379B0">
        <w:rPr>
          <w:sz w:val="24"/>
          <w:szCs w:val="24"/>
        </w:rPr>
        <w:t xml:space="preserve">  </w:t>
      </w:r>
      <w:r w:rsidR="00F55A07">
        <w:rPr>
          <w:sz w:val="24"/>
          <w:szCs w:val="24"/>
        </w:rPr>
        <w:t xml:space="preserve">Pursuant to </w:t>
      </w:r>
      <w:r w:rsidR="00D67CB9">
        <w:rPr>
          <w:sz w:val="24"/>
          <w:szCs w:val="24"/>
        </w:rPr>
        <w:t xml:space="preserve">its rulemaking </w:t>
      </w:r>
      <w:r w:rsidR="00F55A07">
        <w:rPr>
          <w:sz w:val="24"/>
          <w:szCs w:val="24"/>
        </w:rPr>
        <w:t>authority, t</w:t>
      </w:r>
      <w:r w:rsidR="006672B4">
        <w:rPr>
          <w:sz w:val="24"/>
          <w:szCs w:val="24"/>
        </w:rPr>
        <w:t xml:space="preserve">he Commission </w:t>
      </w:r>
      <w:r w:rsidR="00D66B12">
        <w:rPr>
          <w:sz w:val="24"/>
          <w:szCs w:val="24"/>
        </w:rPr>
        <w:t>adopt</w:t>
      </w:r>
      <w:r w:rsidR="00AD2094">
        <w:rPr>
          <w:sz w:val="24"/>
          <w:szCs w:val="24"/>
        </w:rPr>
        <w:t>ed</w:t>
      </w:r>
      <w:r w:rsidR="00D66B12">
        <w:rPr>
          <w:sz w:val="24"/>
          <w:szCs w:val="24"/>
        </w:rPr>
        <w:t xml:space="preserve"> </w:t>
      </w:r>
      <w:r w:rsidRPr="00257777" w:rsidR="00257777">
        <w:rPr>
          <w:sz w:val="24"/>
          <w:szCs w:val="24"/>
        </w:rPr>
        <w:t>Rule 17g-2</w:t>
      </w:r>
      <w:r w:rsidR="00AD2094">
        <w:rPr>
          <w:sz w:val="24"/>
          <w:szCs w:val="24"/>
        </w:rPr>
        <w:t xml:space="preserve"> to</w:t>
      </w:r>
      <w:r w:rsidR="00067BEB">
        <w:rPr>
          <w:sz w:val="24"/>
          <w:szCs w:val="24"/>
        </w:rPr>
        <w:t xml:space="preserve"> </w:t>
      </w:r>
      <w:r w:rsidR="003C597A">
        <w:rPr>
          <w:sz w:val="24"/>
          <w:szCs w:val="24"/>
        </w:rPr>
        <w:t>requir</w:t>
      </w:r>
      <w:r w:rsidR="00067BEB">
        <w:rPr>
          <w:sz w:val="24"/>
          <w:szCs w:val="24"/>
        </w:rPr>
        <w:t>e</w:t>
      </w:r>
      <w:r w:rsidRPr="00257777" w:rsidR="00216307">
        <w:rPr>
          <w:sz w:val="24"/>
          <w:szCs w:val="24"/>
        </w:rPr>
        <w:t xml:space="preserve"> NRSRO</w:t>
      </w:r>
      <w:r w:rsidR="0024761E">
        <w:rPr>
          <w:sz w:val="24"/>
          <w:szCs w:val="24"/>
        </w:rPr>
        <w:t>s</w:t>
      </w:r>
      <w:r w:rsidRPr="00257777" w:rsidR="00216307">
        <w:rPr>
          <w:sz w:val="24"/>
          <w:szCs w:val="24"/>
        </w:rPr>
        <w:t xml:space="preserve"> to make and retain certain records relating to </w:t>
      </w:r>
      <w:r w:rsidR="006A0248">
        <w:rPr>
          <w:sz w:val="24"/>
          <w:szCs w:val="24"/>
        </w:rPr>
        <w:t>their</w:t>
      </w:r>
      <w:r w:rsidRPr="00257777" w:rsidR="00216307">
        <w:rPr>
          <w:sz w:val="24"/>
          <w:szCs w:val="24"/>
        </w:rPr>
        <w:t xml:space="preserve"> business and to retain certain other business </w:t>
      </w:r>
      <w:r w:rsidRPr="00257777" w:rsidR="00216307">
        <w:rPr>
          <w:sz w:val="24"/>
          <w:szCs w:val="24"/>
        </w:rPr>
        <w:t>records</w:t>
      </w:r>
      <w:r w:rsidR="00147BF2">
        <w:rPr>
          <w:sz w:val="24"/>
          <w:szCs w:val="24"/>
        </w:rPr>
        <w:t>, if</w:t>
      </w:r>
      <w:r w:rsidR="00147BF2">
        <w:rPr>
          <w:sz w:val="24"/>
          <w:szCs w:val="24"/>
        </w:rPr>
        <w:t xml:space="preserve"> such records are made.</w:t>
      </w:r>
      <w:r w:rsidR="00D72D0D">
        <w:rPr>
          <w:sz w:val="24"/>
          <w:szCs w:val="24"/>
        </w:rPr>
        <w:t xml:space="preserve"> </w:t>
      </w:r>
      <w:r w:rsidR="00FF4490">
        <w:rPr>
          <w:sz w:val="24"/>
          <w:szCs w:val="24"/>
        </w:rPr>
        <w:t>Th</w:t>
      </w:r>
      <w:r w:rsidR="006B78D7">
        <w:rPr>
          <w:sz w:val="24"/>
          <w:szCs w:val="24"/>
        </w:rPr>
        <w:t xml:space="preserve">e rule also prescribes the time periods and </w:t>
      </w:r>
      <w:r w:rsidR="006B78D7">
        <w:rPr>
          <w:sz w:val="24"/>
          <w:szCs w:val="24"/>
        </w:rPr>
        <w:t>manner in which</w:t>
      </w:r>
      <w:r w:rsidR="006B78D7">
        <w:rPr>
          <w:sz w:val="24"/>
          <w:szCs w:val="24"/>
        </w:rPr>
        <w:t xml:space="preserve"> all of these records must be retained.</w:t>
      </w:r>
    </w:p>
    <w:p w:rsidR="00F61E2D" w:rsidP="00763A47" w14:paraId="39651661" w14:textId="77777777">
      <w:r>
        <w:tab/>
      </w:r>
    </w:p>
    <w:p w:rsidR="00B4789B" w:rsidRPr="008845BB" w:rsidP="00873E76" w14:paraId="1FE2F3E3" w14:textId="12FCB43D">
      <w:pPr>
        <w:ind w:firstLine="720"/>
        <w:rPr>
          <w:sz w:val="24"/>
          <w:szCs w:val="24"/>
        </w:rPr>
      </w:pPr>
      <w:r w:rsidRPr="00135689">
        <w:rPr>
          <w:sz w:val="24"/>
          <w:szCs w:val="24"/>
        </w:rPr>
        <w:t>The Dodd-Frank Wall Street Reform and Consumer Protection Act (“Dodd-Frank Act”) was enacted on July 21, 2010.</w:t>
      </w:r>
      <w:r>
        <w:rPr>
          <w:rStyle w:val="FootnoteReference"/>
          <w:sz w:val="24"/>
          <w:szCs w:val="24"/>
        </w:rPr>
        <w:footnoteReference w:id="6"/>
      </w:r>
      <w:r w:rsidRPr="00135689">
        <w:rPr>
          <w:sz w:val="24"/>
          <w:szCs w:val="24"/>
        </w:rPr>
        <w:t xml:space="preserve">  </w:t>
      </w:r>
      <w:r w:rsidRPr="00F82A51" w:rsidR="00F82A51">
        <w:rPr>
          <w:sz w:val="24"/>
          <w:szCs w:val="24"/>
        </w:rPr>
        <w:t xml:space="preserve">Title IX, Subtitle C of the Dodd-Frank </w:t>
      </w:r>
      <w:r w:rsidRPr="00135689">
        <w:rPr>
          <w:sz w:val="24"/>
          <w:szCs w:val="24"/>
        </w:rPr>
        <w:t>Act,</w:t>
      </w:r>
      <w:r w:rsidRPr="00F82A51" w:rsidR="00F82A51">
        <w:rPr>
          <w:color w:val="000000"/>
          <w:sz w:val="24"/>
          <w:szCs w:val="24"/>
        </w:rPr>
        <w:t xml:space="preserve"> </w:t>
      </w:r>
      <w:r w:rsidRPr="00F82A51" w:rsidR="00F82A51">
        <w:rPr>
          <w:sz w:val="24"/>
          <w:szCs w:val="24"/>
        </w:rPr>
        <w:t>“Improvements to the Regulation of Credit Rating Agencies,” require</w:t>
      </w:r>
      <w:r w:rsidR="00475D80">
        <w:rPr>
          <w:sz w:val="24"/>
          <w:szCs w:val="24"/>
        </w:rPr>
        <w:t>d</w:t>
      </w:r>
      <w:r w:rsidRPr="00F82A51" w:rsidR="00F82A51">
        <w:rPr>
          <w:sz w:val="24"/>
          <w:szCs w:val="24"/>
        </w:rPr>
        <w:t xml:space="preserve"> the Commission </w:t>
      </w:r>
      <w:r w:rsidR="00FD120F">
        <w:rPr>
          <w:sz w:val="24"/>
          <w:szCs w:val="24"/>
        </w:rPr>
        <w:t xml:space="preserve">to </w:t>
      </w:r>
      <w:r w:rsidRPr="00F82A51" w:rsidR="00F82A51">
        <w:rPr>
          <w:sz w:val="24"/>
          <w:szCs w:val="24"/>
        </w:rPr>
        <w:t xml:space="preserve">adopt rules applicable to NRSROs in </w:t>
      </w:r>
      <w:r w:rsidRPr="00F82A51" w:rsidR="00F82A51">
        <w:rPr>
          <w:sz w:val="24"/>
          <w:szCs w:val="24"/>
        </w:rPr>
        <w:t>a number of</w:t>
      </w:r>
      <w:r w:rsidRPr="00F82A51" w:rsidR="00F82A51">
        <w:rPr>
          <w:sz w:val="24"/>
          <w:szCs w:val="24"/>
        </w:rPr>
        <w:t xml:space="preserve"> areas.</w:t>
      </w:r>
      <w:r>
        <w:rPr>
          <w:rStyle w:val="FootnoteReference"/>
          <w:sz w:val="24"/>
          <w:szCs w:val="24"/>
        </w:rPr>
        <w:footnoteReference w:id="7"/>
      </w:r>
      <w:r w:rsidRPr="00F82A51" w:rsidR="00F82A51">
        <w:rPr>
          <w:sz w:val="24"/>
          <w:szCs w:val="24"/>
        </w:rPr>
        <w:t xml:space="preserve">  </w:t>
      </w:r>
      <w:r w:rsidRPr="008E345B" w:rsidR="008E345B">
        <w:rPr>
          <w:sz w:val="24"/>
          <w:szCs w:val="24"/>
        </w:rPr>
        <w:t>On August 27, 2014, the Commission adopted rules and rule amendments</w:t>
      </w:r>
      <w:r w:rsidR="00FD120F">
        <w:rPr>
          <w:sz w:val="24"/>
          <w:szCs w:val="24"/>
        </w:rPr>
        <w:t>,</w:t>
      </w:r>
      <w:r w:rsidRPr="008E345B" w:rsidR="008E345B">
        <w:rPr>
          <w:sz w:val="24"/>
          <w:szCs w:val="24"/>
        </w:rPr>
        <w:t xml:space="preserve"> including amendments to Rule 17g-</w:t>
      </w:r>
      <w:r w:rsidR="006E7F59">
        <w:rPr>
          <w:sz w:val="24"/>
          <w:szCs w:val="24"/>
        </w:rPr>
        <w:t>2</w:t>
      </w:r>
      <w:r w:rsidRPr="008E345B" w:rsidR="008E345B">
        <w:rPr>
          <w:sz w:val="24"/>
          <w:szCs w:val="24"/>
        </w:rPr>
        <w:t>.</w:t>
      </w:r>
      <w:r w:rsidR="00036F26">
        <w:rPr>
          <w:sz w:val="24"/>
          <w:szCs w:val="24"/>
        </w:rPr>
        <w:t xml:space="preserve">  These amendments included</w:t>
      </w:r>
      <w:r w:rsidR="005C0D7D">
        <w:rPr>
          <w:sz w:val="24"/>
          <w:szCs w:val="24"/>
        </w:rPr>
        <w:t xml:space="preserve"> </w:t>
      </w:r>
      <w:r w:rsidR="00036F26">
        <w:rPr>
          <w:iCs/>
          <w:sz w:val="24"/>
          <w:szCs w:val="24"/>
        </w:rPr>
        <w:t xml:space="preserve">the </w:t>
      </w:r>
      <w:r w:rsidRPr="003F08B3" w:rsidR="00036F26">
        <w:rPr>
          <w:iCs/>
          <w:sz w:val="24"/>
          <w:szCs w:val="24"/>
        </w:rPr>
        <w:t>repeal</w:t>
      </w:r>
      <w:r w:rsidR="00036F26">
        <w:rPr>
          <w:iCs/>
          <w:sz w:val="24"/>
          <w:szCs w:val="24"/>
        </w:rPr>
        <w:t xml:space="preserve"> of</w:t>
      </w:r>
      <w:r w:rsidRPr="003F08B3" w:rsidR="003F08B3">
        <w:rPr>
          <w:iCs/>
          <w:sz w:val="24"/>
          <w:szCs w:val="24"/>
        </w:rPr>
        <w:t xml:space="preserve"> paragraph (d</w:t>
      </w:r>
      <w:r w:rsidR="009D651C">
        <w:rPr>
          <w:iCs/>
          <w:sz w:val="24"/>
          <w:szCs w:val="24"/>
        </w:rPr>
        <w:t xml:space="preserve">)(2) of Rule 17g-2 </w:t>
      </w:r>
      <w:r w:rsidR="0018224E">
        <w:rPr>
          <w:iCs/>
          <w:sz w:val="24"/>
          <w:szCs w:val="24"/>
        </w:rPr>
        <w:t xml:space="preserve"> and the addition of</w:t>
      </w:r>
      <w:r w:rsidR="009D651C">
        <w:rPr>
          <w:sz w:val="24"/>
          <w:szCs w:val="24"/>
        </w:rPr>
        <w:t xml:space="preserve"> </w:t>
      </w:r>
      <w:r w:rsidR="008845BB">
        <w:rPr>
          <w:sz w:val="24"/>
          <w:szCs w:val="24"/>
        </w:rPr>
        <w:t xml:space="preserve">paragraph (a)(9) to Rule 17g-2 to identify the policies and procedures an NRSRO is required to establish, maintain, and enforce pursuant to </w:t>
      </w:r>
      <w:r w:rsidR="008F1BAD">
        <w:rPr>
          <w:sz w:val="24"/>
          <w:szCs w:val="24"/>
        </w:rPr>
        <w:t xml:space="preserve">Section </w:t>
      </w:r>
      <w:r w:rsidR="008845BB">
        <w:rPr>
          <w:sz w:val="24"/>
          <w:szCs w:val="24"/>
        </w:rPr>
        <w:t xml:space="preserve">15E(h)(4)(A) of the Exchange Act and paragraph (c) of </w:t>
      </w:r>
      <w:r w:rsidR="001530E3">
        <w:rPr>
          <w:sz w:val="24"/>
          <w:szCs w:val="24"/>
        </w:rPr>
        <w:t xml:space="preserve">new </w:t>
      </w:r>
      <w:r w:rsidR="008845BB">
        <w:rPr>
          <w:sz w:val="24"/>
          <w:szCs w:val="24"/>
        </w:rPr>
        <w:t xml:space="preserve">Rule 17g-8 as a record that must be </w:t>
      </w:r>
      <w:r w:rsidR="004D0B63">
        <w:rPr>
          <w:sz w:val="24"/>
          <w:szCs w:val="24"/>
        </w:rPr>
        <w:t>made</w:t>
      </w:r>
      <w:r w:rsidR="008845BB">
        <w:rPr>
          <w:sz w:val="24"/>
          <w:szCs w:val="24"/>
        </w:rPr>
        <w:t xml:space="preserve"> and retained.</w:t>
      </w:r>
      <w:r>
        <w:rPr>
          <w:rStyle w:val="FootnoteReference"/>
          <w:sz w:val="24"/>
          <w:szCs w:val="24"/>
        </w:rPr>
        <w:footnoteReference w:id="8"/>
      </w:r>
      <w:r w:rsidR="008845BB">
        <w:rPr>
          <w:sz w:val="24"/>
          <w:szCs w:val="24"/>
        </w:rPr>
        <w:t xml:space="preserve"> </w:t>
      </w:r>
      <w:r w:rsidR="009D651C">
        <w:rPr>
          <w:sz w:val="24"/>
          <w:szCs w:val="24"/>
        </w:rPr>
        <w:t xml:space="preserve"> In addition, the Commission </w:t>
      </w:r>
      <w:r w:rsidR="008845BB">
        <w:rPr>
          <w:sz w:val="24"/>
          <w:szCs w:val="24"/>
        </w:rPr>
        <w:t>add</w:t>
      </w:r>
      <w:r w:rsidR="009D651C">
        <w:rPr>
          <w:sz w:val="24"/>
          <w:szCs w:val="24"/>
        </w:rPr>
        <w:t>ed</w:t>
      </w:r>
      <w:r w:rsidR="008845BB">
        <w:rPr>
          <w:sz w:val="24"/>
          <w:szCs w:val="24"/>
        </w:rPr>
        <w:t xml:space="preserve"> paragraphs to Rule 17g-2 to identif</w:t>
      </w:r>
      <w:r w:rsidR="009D651C">
        <w:rPr>
          <w:sz w:val="24"/>
          <w:szCs w:val="24"/>
        </w:rPr>
        <w:t>y records that must be retained</w:t>
      </w:r>
      <w:r w:rsidR="00FF092B">
        <w:rPr>
          <w:sz w:val="24"/>
          <w:szCs w:val="24"/>
        </w:rPr>
        <w:t xml:space="preserve"> and to provide </w:t>
      </w:r>
      <w:r w:rsidR="002B3531">
        <w:rPr>
          <w:sz w:val="24"/>
          <w:szCs w:val="24"/>
        </w:rPr>
        <w:t xml:space="preserve">that records identified in paragraphs (a)(9), (b)(12), (b)(13), (b)(14), and (b)(15) of Rule 17g-2 must be retained until three years after </w:t>
      </w:r>
      <w:r w:rsidR="00EB5479">
        <w:rPr>
          <w:sz w:val="24"/>
          <w:szCs w:val="24"/>
        </w:rPr>
        <w:t xml:space="preserve">the </w:t>
      </w:r>
      <w:r w:rsidR="00EB5479">
        <w:rPr>
          <w:sz w:val="24"/>
          <w:szCs w:val="24"/>
        </w:rPr>
        <w:t xml:space="preserve">date </w:t>
      </w:r>
      <w:r w:rsidR="002B3531">
        <w:rPr>
          <w:sz w:val="24"/>
          <w:szCs w:val="24"/>
        </w:rPr>
        <w:t xml:space="preserve">the record is replaced with an updated record, instead of three years after the record </w:t>
      </w:r>
      <w:r w:rsidR="00234DE4">
        <w:rPr>
          <w:sz w:val="24"/>
          <w:szCs w:val="24"/>
        </w:rPr>
        <w:t xml:space="preserve">is </w:t>
      </w:r>
      <w:r w:rsidR="002B3531">
        <w:rPr>
          <w:sz w:val="24"/>
          <w:szCs w:val="24"/>
        </w:rPr>
        <w:t>made or received, which is the retention period for other records identified in paragraphs (a) and (b) of Rule 17g-2.</w:t>
      </w:r>
      <w:r>
        <w:rPr>
          <w:rStyle w:val="FootnoteReference"/>
          <w:sz w:val="24"/>
          <w:szCs w:val="24"/>
        </w:rPr>
        <w:footnoteReference w:id="9"/>
      </w:r>
      <w:r w:rsidRPr="00946597" w:rsidR="00946597">
        <w:t xml:space="preserve"> </w:t>
      </w:r>
    </w:p>
    <w:p w:rsidR="00D25AB4" w:rsidP="00D25AB4" w14:paraId="2B514E79" w14:textId="77777777">
      <w:pPr>
        <w:ind w:firstLine="720"/>
        <w:rPr>
          <w:sz w:val="24"/>
          <w:szCs w:val="24"/>
        </w:rPr>
      </w:pPr>
    </w:p>
    <w:p w:rsidR="00D25AB4" w:rsidP="001D6DB8" w14:paraId="5CDC7300" w14:textId="6B276307">
      <w:pPr>
        <w:ind w:firstLine="720"/>
        <w:rPr>
          <w:sz w:val="24"/>
          <w:szCs w:val="24"/>
        </w:rPr>
      </w:pPr>
      <w:r>
        <w:rPr>
          <w:sz w:val="24"/>
          <w:szCs w:val="24"/>
        </w:rPr>
        <w:t>T</w:t>
      </w:r>
      <w:r w:rsidRPr="00161B9F">
        <w:rPr>
          <w:iCs/>
          <w:sz w:val="24"/>
          <w:szCs w:val="24"/>
        </w:rPr>
        <w:t xml:space="preserve">he </w:t>
      </w:r>
      <w:r w:rsidR="00544A4F">
        <w:rPr>
          <w:iCs/>
          <w:sz w:val="24"/>
          <w:szCs w:val="24"/>
        </w:rPr>
        <w:t xml:space="preserve">collections </w:t>
      </w:r>
      <w:r w:rsidRPr="00161B9F">
        <w:rPr>
          <w:iCs/>
          <w:sz w:val="24"/>
          <w:szCs w:val="24"/>
        </w:rPr>
        <w:t xml:space="preserve">of information </w:t>
      </w:r>
      <w:r w:rsidR="001D0DBB">
        <w:rPr>
          <w:iCs/>
          <w:sz w:val="24"/>
          <w:szCs w:val="24"/>
        </w:rPr>
        <w:t>in</w:t>
      </w:r>
      <w:r>
        <w:rPr>
          <w:iCs/>
          <w:sz w:val="24"/>
          <w:szCs w:val="24"/>
        </w:rPr>
        <w:t xml:space="preserve"> Rule 17g-2</w:t>
      </w:r>
      <w:r w:rsidRPr="00161B9F">
        <w:rPr>
          <w:iCs/>
          <w:sz w:val="24"/>
          <w:szCs w:val="24"/>
        </w:rPr>
        <w:t xml:space="preserve"> </w:t>
      </w:r>
      <w:r>
        <w:rPr>
          <w:iCs/>
          <w:sz w:val="24"/>
          <w:szCs w:val="24"/>
        </w:rPr>
        <w:t xml:space="preserve">are </w:t>
      </w:r>
      <w:r w:rsidRPr="00161B9F">
        <w:rPr>
          <w:iCs/>
          <w:sz w:val="24"/>
          <w:szCs w:val="24"/>
        </w:rPr>
        <w:t>mandatory</w:t>
      </w:r>
      <w:r w:rsidR="00F810AD">
        <w:rPr>
          <w:iCs/>
          <w:sz w:val="24"/>
          <w:szCs w:val="24"/>
        </w:rPr>
        <w:t xml:space="preserve"> for all</w:t>
      </w:r>
      <w:r w:rsidRPr="00161B9F">
        <w:rPr>
          <w:iCs/>
          <w:sz w:val="24"/>
          <w:szCs w:val="24"/>
        </w:rPr>
        <w:t xml:space="preserve"> credit rating agencies that are</w:t>
      </w:r>
      <w:r w:rsidR="00CD215B">
        <w:rPr>
          <w:iCs/>
          <w:sz w:val="24"/>
          <w:szCs w:val="24"/>
        </w:rPr>
        <w:t xml:space="preserve"> registered with the Commission as </w:t>
      </w:r>
      <w:r w:rsidR="00F106C3">
        <w:rPr>
          <w:iCs/>
          <w:sz w:val="24"/>
          <w:szCs w:val="24"/>
        </w:rPr>
        <w:t>NRSROs</w:t>
      </w:r>
      <w:r w:rsidRPr="00161B9F">
        <w:rPr>
          <w:iCs/>
          <w:sz w:val="24"/>
          <w:szCs w:val="24"/>
        </w:rPr>
        <w:t>.</w:t>
      </w:r>
      <w:r>
        <w:rPr>
          <w:rStyle w:val="FootnoteReference"/>
          <w:sz w:val="24"/>
          <w:szCs w:val="24"/>
        </w:rPr>
        <w:footnoteReference w:id="10"/>
      </w:r>
      <w:r w:rsidRPr="00161B9F" w:rsidR="00430EA8">
        <w:rPr>
          <w:iCs/>
          <w:sz w:val="24"/>
          <w:szCs w:val="24"/>
        </w:rPr>
        <w:t xml:space="preserve"> </w:t>
      </w:r>
      <w:r>
        <w:rPr>
          <w:sz w:val="24"/>
          <w:szCs w:val="24"/>
        </w:rPr>
        <w:t xml:space="preserve">  </w:t>
      </w:r>
    </w:p>
    <w:p w:rsidR="0038269A" w:rsidP="00743D8F" w14:paraId="1905D971" w14:textId="77777777">
      <w:pPr>
        <w:ind w:left="1440" w:hanging="720"/>
        <w:rPr>
          <w:sz w:val="24"/>
          <w:szCs w:val="24"/>
        </w:rPr>
      </w:pPr>
    </w:p>
    <w:p w:rsidR="00D144C0" w:rsidRPr="00956D8C" w:rsidP="0038269A" w14:paraId="5144C67A" w14:textId="77777777">
      <w:pPr>
        <w:ind w:left="720" w:hanging="720"/>
        <w:rPr>
          <w:b/>
          <w:sz w:val="24"/>
          <w:szCs w:val="24"/>
        </w:rPr>
      </w:pPr>
      <w:r w:rsidRPr="00956D8C">
        <w:rPr>
          <w:b/>
          <w:sz w:val="24"/>
          <w:szCs w:val="24"/>
        </w:rPr>
        <w:t>2.</w:t>
      </w:r>
      <w:r w:rsidRPr="00956D8C">
        <w:rPr>
          <w:b/>
          <w:sz w:val="24"/>
          <w:szCs w:val="24"/>
        </w:rPr>
        <w:tab/>
        <w:t xml:space="preserve">Purpose </w:t>
      </w:r>
      <w:r w:rsidRPr="00956D8C" w:rsidR="0038269A">
        <w:rPr>
          <w:b/>
          <w:sz w:val="24"/>
          <w:szCs w:val="24"/>
        </w:rPr>
        <w:t>and Use of the</w:t>
      </w:r>
      <w:r w:rsidRPr="00956D8C">
        <w:rPr>
          <w:b/>
          <w:sz w:val="24"/>
          <w:szCs w:val="24"/>
        </w:rPr>
        <w:t xml:space="preserve"> Information Collection</w:t>
      </w:r>
      <w:r w:rsidRPr="00956D8C">
        <w:rPr>
          <w:b/>
          <w:sz w:val="24"/>
          <w:szCs w:val="24"/>
        </w:rPr>
        <w:t xml:space="preserve"> </w:t>
      </w:r>
    </w:p>
    <w:p w:rsidR="00727CE2" w:rsidRPr="00727CE2" w:rsidP="00743D8F" w14:paraId="567F22E4" w14:textId="77777777">
      <w:pPr>
        <w:pStyle w:val="BodyText"/>
        <w:ind w:firstLine="720"/>
        <w:jc w:val="left"/>
        <w:rPr>
          <w:i/>
          <w:iCs/>
          <w:u w:val="single"/>
        </w:rPr>
      </w:pPr>
    </w:p>
    <w:p w:rsidR="009369BE" w:rsidP="00743D8F" w14:paraId="666A663C" w14:textId="794BC088">
      <w:pPr>
        <w:pStyle w:val="BodyText"/>
        <w:ind w:firstLine="720"/>
        <w:jc w:val="left"/>
        <w:rPr>
          <w:iCs/>
        </w:rPr>
      </w:pPr>
      <w:r w:rsidRPr="00743D8F">
        <w:rPr>
          <w:iCs/>
        </w:rPr>
        <w:t xml:space="preserve">The collections of information in </w:t>
      </w:r>
      <w:r w:rsidR="00301300">
        <w:rPr>
          <w:iCs/>
        </w:rPr>
        <w:t>Rule 17g-2</w:t>
      </w:r>
      <w:r w:rsidRPr="00743D8F">
        <w:rPr>
          <w:iCs/>
        </w:rPr>
        <w:t xml:space="preserve"> are designed to allow the Commission to determine whether an NRSRO</w:t>
      </w:r>
      <w:r w:rsidR="00301300">
        <w:rPr>
          <w:iCs/>
        </w:rPr>
        <w:t xml:space="preserve"> continues to meet the requirements for registration and </w:t>
      </w:r>
      <w:r w:rsidR="00486095">
        <w:rPr>
          <w:iCs/>
        </w:rPr>
        <w:t>is</w:t>
      </w:r>
      <w:r w:rsidR="00301300">
        <w:rPr>
          <w:iCs/>
        </w:rPr>
        <w:t xml:space="preserve"> complying with applicable laws and regulations</w:t>
      </w:r>
      <w:r w:rsidRPr="00743D8F">
        <w:rPr>
          <w:iCs/>
        </w:rPr>
        <w:t xml:space="preserve">.  </w:t>
      </w:r>
      <w:r w:rsidR="00443C3D">
        <w:rPr>
          <w:iCs/>
        </w:rPr>
        <w:t>In particular, the collections of information in</w:t>
      </w:r>
      <w:r w:rsidR="00D02136">
        <w:rPr>
          <w:iCs/>
        </w:rPr>
        <w:t xml:space="preserve"> </w:t>
      </w:r>
      <w:r w:rsidR="00443C3D">
        <w:rPr>
          <w:iCs/>
        </w:rPr>
        <w:t xml:space="preserve">Rule 17g-2 </w:t>
      </w:r>
      <w:r w:rsidR="00486095">
        <w:rPr>
          <w:iCs/>
        </w:rPr>
        <w:t>will</w:t>
      </w:r>
      <w:r w:rsidRPr="00743D8F">
        <w:rPr>
          <w:iCs/>
        </w:rPr>
        <w:t xml:space="preserve"> assist Commission</w:t>
      </w:r>
      <w:r w:rsidR="00BE68EC">
        <w:rPr>
          <w:iCs/>
        </w:rPr>
        <w:t xml:space="preserve"> staff</w:t>
      </w:r>
      <w:r w:rsidRPr="00743D8F">
        <w:rPr>
          <w:iCs/>
        </w:rPr>
        <w:t xml:space="preserve"> in effectively monitoring, through its examination function, whether an NRSRO is conducting its activities in accordance with </w:t>
      </w:r>
      <w:r w:rsidR="007D174D">
        <w:rPr>
          <w:iCs/>
        </w:rPr>
        <w:t>S</w:t>
      </w:r>
      <w:r w:rsidRPr="00743D8F">
        <w:rPr>
          <w:iCs/>
        </w:rPr>
        <w:t>ection 15E</w:t>
      </w:r>
      <w:r w:rsidR="009D4935">
        <w:rPr>
          <w:iCs/>
        </w:rPr>
        <w:t xml:space="preserve"> </w:t>
      </w:r>
      <w:r w:rsidR="003D2944">
        <w:rPr>
          <w:iCs/>
        </w:rPr>
        <w:t xml:space="preserve">of the </w:t>
      </w:r>
      <w:r w:rsidRPr="00743D8F" w:rsidR="009D4935">
        <w:t>Exchange Act</w:t>
      </w:r>
      <w:r>
        <w:rPr>
          <w:rStyle w:val="FootnoteReference"/>
        </w:rPr>
        <w:footnoteReference w:id="11"/>
      </w:r>
      <w:r w:rsidRPr="00743D8F" w:rsidR="009D4935">
        <w:t xml:space="preserve"> </w:t>
      </w:r>
      <w:r w:rsidRPr="00743D8F">
        <w:rPr>
          <w:iCs/>
        </w:rPr>
        <w:t xml:space="preserve">and </w:t>
      </w:r>
      <w:r w:rsidR="0048779B">
        <w:rPr>
          <w:iCs/>
        </w:rPr>
        <w:t xml:space="preserve">applicable </w:t>
      </w:r>
      <w:r w:rsidRPr="00743D8F">
        <w:rPr>
          <w:iCs/>
        </w:rPr>
        <w:t xml:space="preserve">Exchange Act rules.  </w:t>
      </w:r>
    </w:p>
    <w:p w:rsidR="009369BE" w:rsidRPr="00743D8F" w:rsidP="00743D8F" w14:paraId="59975D92" w14:textId="77777777">
      <w:pPr>
        <w:pStyle w:val="BodyText"/>
        <w:ind w:firstLine="720"/>
        <w:jc w:val="left"/>
        <w:rPr>
          <w:iCs/>
        </w:rPr>
      </w:pPr>
    </w:p>
    <w:p w:rsidR="003E276C" w:rsidRPr="00956D8C" w:rsidP="00956D8C" w14:paraId="1EED92DE" w14:textId="77777777">
      <w:pPr>
        <w:keepNext/>
        <w:tabs>
          <w:tab w:val="left" w:pos="-720"/>
          <w:tab w:val="left" w:pos="720"/>
        </w:tabs>
        <w:suppressAutoHyphens/>
        <w:ind w:left="720" w:hanging="720"/>
        <w:rPr>
          <w:b/>
          <w:sz w:val="24"/>
          <w:szCs w:val="24"/>
        </w:rPr>
      </w:pPr>
      <w:r w:rsidRPr="00956D8C">
        <w:rPr>
          <w:b/>
          <w:sz w:val="24"/>
          <w:szCs w:val="24"/>
        </w:rPr>
        <w:t>3.</w:t>
      </w:r>
      <w:r w:rsidRPr="00956D8C">
        <w:rPr>
          <w:b/>
          <w:sz w:val="24"/>
          <w:szCs w:val="24"/>
        </w:rPr>
        <w:tab/>
      </w:r>
      <w:r w:rsidRPr="00956D8C" w:rsidR="00956D8C">
        <w:rPr>
          <w:b/>
          <w:sz w:val="24"/>
          <w:szCs w:val="24"/>
        </w:rPr>
        <w:t>Consideration Gi</w:t>
      </w:r>
      <w:r w:rsidR="00956D8C">
        <w:rPr>
          <w:b/>
          <w:sz w:val="24"/>
          <w:szCs w:val="24"/>
        </w:rPr>
        <w:t>ven to Information Technology</w:t>
      </w:r>
    </w:p>
    <w:p w:rsidR="003E276C" w:rsidRPr="00743D8F" w:rsidP="00743D8F" w14:paraId="1B28068C" w14:textId="77777777">
      <w:pPr>
        <w:keepNext/>
        <w:tabs>
          <w:tab w:val="left" w:pos="-720"/>
        </w:tabs>
        <w:suppressAutoHyphens/>
        <w:rPr>
          <w:sz w:val="24"/>
          <w:szCs w:val="24"/>
        </w:rPr>
      </w:pPr>
    </w:p>
    <w:p w:rsidR="003E276C" w:rsidP="00743D8F" w14:paraId="698FEFAA" w14:textId="13FBFF49">
      <w:pPr>
        <w:pStyle w:val="BodyText"/>
        <w:ind w:firstLine="720"/>
        <w:jc w:val="left"/>
        <w:rPr>
          <w:rFonts w:ascii="CG Times" w:hAnsi="CG Times"/>
        </w:rPr>
      </w:pPr>
      <w:r w:rsidRPr="00743D8F">
        <w:t>The records that Rule 17g-2 require</w:t>
      </w:r>
      <w:r w:rsidR="00883533">
        <w:t>s</w:t>
      </w:r>
      <w:r w:rsidRPr="00743D8F">
        <w:t xml:space="preserve"> NRSROs to make and retain could be made and retained electronically.</w:t>
      </w:r>
      <w:r w:rsidRPr="00BE7158" w:rsidR="00BE7158">
        <w:rPr>
          <w:rFonts w:ascii="CG Times" w:hAnsi="CG Times"/>
        </w:rPr>
        <w:t xml:space="preserve"> </w:t>
      </w:r>
      <w:r w:rsidR="00FD4A88">
        <w:rPr>
          <w:rFonts w:ascii="CG Times" w:hAnsi="CG Times"/>
        </w:rPr>
        <w:t xml:space="preserve"> </w:t>
      </w:r>
      <w:r w:rsidRPr="008B4570" w:rsidR="00BE7158">
        <w:rPr>
          <w:rFonts w:ascii="CG Times" w:hAnsi="CG Times"/>
        </w:rPr>
        <w:t>Commission</w:t>
      </w:r>
      <w:r w:rsidR="00971D5F">
        <w:rPr>
          <w:rFonts w:ascii="CG Times" w:hAnsi="CG Times"/>
        </w:rPr>
        <w:t xml:space="preserve"> staff</w:t>
      </w:r>
      <w:r w:rsidRPr="008B4570" w:rsidR="00BE7158">
        <w:rPr>
          <w:rFonts w:ascii="CG Times" w:hAnsi="CG Times"/>
        </w:rPr>
        <w:t xml:space="preserve"> believes that improvements in telecommunications and data processing technology may reduce any burdens </w:t>
      </w:r>
      <w:r w:rsidRPr="008B4570" w:rsidR="009970EB">
        <w:rPr>
          <w:rFonts w:ascii="CG Times" w:hAnsi="CG Times"/>
        </w:rPr>
        <w:t xml:space="preserve">associated with </w:t>
      </w:r>
      <w:r w:rsidRPr="008B4570" w:rsidR="00DD5E10">
        <w:rPr>
          <w:rFonts w:ascii="CG Times" w:hAnsi="CG Times"/>
        </w:rPr>
        <w:t xml:space="preserve">the amendments to </w:t>
      </w:r>
      <w:r w:rsidRPr="008B4570" w:rsidR="0048779B">
        <w:rPr>
          <w:rFonts w:ascii="CG Times" w:hAnsi="CG Times"/>
        </w:rPr>
        <w:t>R</w:t>
      </w:r>
      <w:r w:rsidRPr="008B4570" w:rsidR="009970EB">
        <w:rPr>
          <w:rFonts w:ascii="CG Times" w:hAnsi="CG Times"/>
        </w:rPr>
        <w:t>ule 17g-2</w:t>
      </w:r>
      <w:r w:rsidRPr="008B4570" w:rsidR="00BE7158">
        <w:rPr>
          <w:rFonts w:ascii="CG Times" w:hAnsi="CG Times"/>
        </w:rPr>
        <w:t>.</w:t>
      </w:r>
      <w:r w:rsidR="00BE7158">
        <w:rPr>
          <w:rFonts w:ascii="CG Times" w:hAnsi="CG Times"/>
        </w:rPr>
        <w:t xml:space="preserve">  </w:t>
      </w:r>
    </w:p>
    <w:p w:rsidR="00486095" w:rsidP="00743D8F" w14:paraId="51EA3F8C" w14:textId="77777777">
      <w:pPr>
        <w:pStyle w:val="BodyText"/>
        <w:ind w:firstLine="720"/>
        <w:jc w:val="left"/>
        <w:rPr>
          <w:rFonts w:ascii="CG Times" w:hAnsi="CG Times"/>
        </w:rPr>
      </w:pPr>
    </w:p>
    <w:p w:rsidR="003E276C" w:rsidRPr="00956D8C" w:rsidP="00743D8F" w14:paraId="2294C231" w14:textId="77777777">
      <w:pPr>
        <w:keepNext/>
        <w:tabs>
          <w:tab w:val="left" w:pos="-720"/>
          <w:tab w:val="left" w:pos="0"/>
          <w:tab w:val="left" w:pos="720"/>
        </w:tabs>
        <w:suppressAutoHyphens/>
        <w:ind w:left="1440" w:hanging="1440"/>
        <w:rPr>
          <w:b/>
          <w:sz w:val="24"/>
          <w:szCs w:val="24"/>
        </w:rPr>
      </w:pPr>
      <w:r w:rsidRPr="00956D8C">
        <w:rPr>
          <w:b/>
          <w:sz w:val="24"/>
          <w:szCs w:val="24"/>
        </w:rPr>
        <w:t>4.</w:t>
      </w:r>
      <w:r w:rsidRPr="00956D8C">
        <w:rPr>
          <w:b/>
          <w:sz w:val="24"/>
          <w:szCs w:val="24"/>
        </w:rPr>
        <w:tab/>
        <w:t>Duplication</w:t>
      </w:r>
    </w:p>
    <w:p w:rsidR="003E276C" w:rsidRPr="00743D8F" w:rsidP="00743D8F" w14:paraId="3FEA8D98" w14:textId="77777777">
      <w:pPr>
        <w:keepNext/>
        <w:tabs>
          <w:tab w:val="left" w:pos="-720"/>
        </w:tabs>
        <w:suppressAutoHyphens/>
        <w:rPr>
          <w:sz w:val="24"/>
          <w:szCs w:val="24"/>
        </w:rPr>
      </w:pPr>
    </w:p>
    <w:p w:rsidR="003E276C" w:rsidRPr="00743D8F" w:rsidP="00486095" w14:paraId="2446D81D" w14:textId="1A72AA32">
      <w:pPr>
        <w:tabs>
          <w:tab w:val="left" w:pos="-720"/>
        </w:tabs>
        <w:suppressAutoHyphens/>
        <w:rPr>
          <w:sz w:val="24"/>
          <w:szCs w:val="24"/>
        </w:rPr>
      </w:pPr>
      <w:r w:rsidRPr="00743D8F">
        <w:rPr>
          <w:sz w:val="24"/>
          <w:szCs w:val="24"/>
        </w:rPr>
        <w:tab/>
      </w:r>
      <w:r w:rsidR="00956D8C">
        <w:rPr>
          <w:sz w:val="24"/>
          <w:szCs w:val="24"/>
        </w:rPr>
        <w:t>Commission</w:t>
      </w:r>
      <w:r w:rsidR="00B51C32">
        <w:rPr>
          <w:sz w:val="24"/>
          <w:szCs w:val="24"/>
        </w:rPr>
        <w:t xml:space="preserve"> staff</w:t>
      </w:r>
      <w:r w:rsidR="00956D8C">
        <w:rPr>
          <w:sz w:val="24"/>
          <w:szCs w:val="24"/>
        </w:rPr>
        <w:t xml:space="preserve"> has not identified any duplication with respect to the information required by Rule 17g-2.</w:t>
      </w:r>
    </w:p>
    <w:p w:rsidR="003E276C" w:rsidRPr="00743D8F" w:rsidP="00743D8F" w14:paraId="4CDD867C" w14:textId="77777777">
      <w:pPr>
        <w:tabs>
          <w:tab w:val="left" w:pos="-720"/>
        </w:tabs>
        <w:suppressAutoHyphens/>
        <w:rPr>
          <w:sz w:val="24"/>
          <w:szCs w:val="24"/>
        </w:rPr>
      </w:pPr>
    </w:p>
    <w:p w:rsidR="003E276C" w:rsidRPr="00571BF4" w:rsidP="00571BF4" w14:paraId="697D147E" w14:textId="77777777">
      <w:pPr>
        <w:keepNext/>
        <w:tabs>
          <w:tab w:val="left" w:pos="-720"/>
          <w:tab w:val="left" w:pos="0"/>
          <w:tab w:val="left" w:pos="720"/>
        </w:tabs>
        <w:suppressAutoHyphens/>
        <w:ind w:left="720" w:hanging="1440"/>
        <w:rPr>
          <w:b/>
          <w:sz w:val="24"/>
          <w:szCs w:val="24"/>
        </w:rPr>
      </w:pPr>
      <w:r w:rsidRPr="00743D8F">
        <w:rPr>
          <w:sz w:val="24"/>
          <w:szCs w:val="24"/>
        </w:rPr>
        <w:tab/>
      </w:r>
      <w:r w:rsidRPr="00571BF4">
        <w:rPr>
          <w:b/>
          <w:sz w:val="24"/>
          <w:szCs w:val="24"/>
        </w:rPr>
        <w:t>5.</w:t>
      </w:r>
      <w:r w:rsidRPr="00571BF4">
        <w:rPr>
          <w:b/>
          <w:sz w:val="24"/>
          <w:szCs w:val="24"/>
        </w:rPr>
        <w:tab/>
        <w:t>Effect on Small Entities</w:t>
      </w:r>
    </w:p>
    <w:p w:rsidR="003E276C" w:rsidRPr="00743D8F" w:rsidP="00743D8F" w14:paraId="7E88109E" w14:textId="77777777">
      <w:pPr>
        <w:keepNext/>
        <w:tabs>
          <w:tab w:val="left" w:pos="-720"/>
        </w:tabs>
        <w:suppressAutoHyphens/>
        <w:rPr>
          <w:sz w:val="24"/>
          <w:szCs w:val="24"/>
        </w:rPr>
      </w:pPr>
    </w:p>
    <w:p w:rsidR="003E276C" w:rsidP="00743D8F" w14:paraId="44F27E5A" w14:textId="2BBB82FA">
      <w:pPr>
        <w:tabs>
          <w:tab w:val="left" w:pos="-720"/>
        </w:tabs>
        <w:suppressAutoHyphens/>
        <w:rPr>
          <w:sz w:val="24"/>
          <w:szCs w:val="24"/>
        </w:rPr>
      </w:pPr>
      <w:r w:rsidRPr="00743D8F">
        <w:rPr>
          <w:sz w:val="24"/>
          <w:szCs w:val="24"/>
        </w:rPr>
        <w:tab/>
        <w:t xml:space="preserve">Small entities may be </w:t>
      </w:r>
      <w:r w:rsidRPr="00743D8F" w:rsidR="00B9764F">
        <w:rPr>
          <w:sz w:val="24"/>
          <w:szCs w:val="24"/>
        </w:rPr>
        <w:t>a</w:t>
      </w:r>
      <w:r w:rsidRPr="00743D8F">
        <w:rPr>
          <w:sz w:val="24"/>
          <w:szCs w:val="24"/>
        </w:rPr>
        <w:t xml:space="preserve">ffected by the rule </w:t>
      </w:r>
      <w:r w:rsidRPr="00743D8F" w:rsidR="009369BE">
        <w:rPr>
          <w:sz w:val="24"/>
          <w:szCs w:val="24"/>
        </w:rPr>
        <w:t>because</w:t>
      </w:r>
      <w:r w:rsidRPr="00743D8F">
        <w:rPr>
          <w:sz w:val="24"/>
          <w:szCs w:val="24"/>
        </w:rPr>
        <w:t xml:space="preserve"> all </w:t>
      </w:r>
      <w:r w:rsidRPr="00743D8F" w:rsidR="00B9764F">
        <w:rPr>
          <w:sz w:val="24"/>
          <w:szCs w:val="24"/>
        </w:rPr>
        <w:t>credit rating agencies,</w:t>
      </w:r>
      <w:r w:rsidRPr="00743D8F">
        <w:rPr>
          <w:sz w:val="24"/>
          <w:szCs w:val="24"/>
        </w:rPr>
        <w:t xml:space="preserve"> regardless of size</w:t>
      </w:r>
      <w:r w:rsidRPr="00743D8F" w:rsidR="00B9764F">
        <w:rPr>
          <w:sz w:val="24"/>
          <w:szCs w:val="24"/>
        </w:rPr>
        <w:t xml:space="preserve">, that </w:t>
      </w:r>
      <w:r w:rsidRPr="00743D8F" w:rsidR="001706C9">
        <w:rPr>
          <w:sz w:val="24"/>
          <w:szCs w:val="24"/>
        </w:rPr>
        <w:t>are registered as NRSROs</w:t>
      </w:r>
      <w:r w:rsidR="0034552B">
        <w:rPr>
          <w:sz w:val="24"/>
          <w:szCs w:val="24"/>
        </w:rPr>
        <w:t xml:space="preserve"> </w:t>
      </w:r>
      <w:r w:rsidR="00F703E7">
        <w:rPr>
          <w:sz w:val="24"/>
          <w:szCs w:val="24"/>
        </w:rPr>
        <w:t>are</w:t>
      </w:r>
      <w:r w:rsidRPr="00743D8F" w:rsidR="00C60448">
        <w:rPr>
          <w:sz w:val="24"/>
          <w:szCs w:val="24"/>
        </w:rPr>
        <w:t xml:space="preserve"> required to </w:t>
      </w:r>
      <w:r w:rsidRPr="00743D8F" w:rsidR="001706C9">
        <w:rPr>
          <w:sz w:val="24"/>
          <w:szCs w:val="24"/>
        </w:rPr>
        <w:t xml:space="preserve">make and retain records </w:t>
      </w:r>
      <w:r w:rsidRPr="00743D8F" w:rsidR="00B9764F">
        <w:rPr>
          <w:sz w:val="24"/>
          <w:szCs w:val="24"/>
        </w:rPr>
        <w:t xml:space="preserve">in accordance with </w:t>
      </w:r>
      <w:r w:rsidR="00486095">
        <w:rPr>
          <w:sz w:val="24"/>
          <w:szCs w:val="24"/>
        </w:rPr>
        <w:t>Rule 17g-2</w:t>
      </w:r>
      <w:r w:rsidRPr="00743D8F" w:rsidR="00B9764F">
        <w:rPr>
          <w:sz w:val="24"/>
          <w:szCs w:val="24"/>
        </w:rPr>
        <w:t>.</w:t>
      </w:r>
      <w:r w:rsidR="00571BF4">
        <w:rPr>
          <w:sz w:val="24"/>
          <w:szCs w:val="24"/>
        </w:rPr>
        <w:t xml:space="preserve"> </w:t>
      </w:r>
      <w:r w:rsidR="002B4BC7">
        <w:rPr>
          <w:sz w:val="24"/>
          <w:szCs w:val="24"/>
        </w:rPr>
        <w:t xml:space="preserve"> </w:t>
      </w:r>
      <w:r w:rsidRPr="002B4BC7" w:rsidR="002B4BC7">
        <w:rPr>
          <w:sz w:val="24"/>
          <w:szCs w:val="24"/>
        </w:rPr>
        <w:t xml:space="preserve">Currently, there are </w:t>
      </w:r>
      <w:r w:rsidR="002B4BC7">
        <w:rPr>
          <w:sz w:val="24"/>
          <w:szCs w:val="24"/>
        </w:rPr>
        <w:t>10</w:t>
      </w:r>
      <w:r w:rsidRPr="002B4BC7" w:rsidR="002B4BC7">
        <w:rPr>
          <w:sz w:val="24"/>
          <w:szCs w:val="24"/>
        </w:rPr>
        <w:t xml:space="preserve"> NRSROs and, based on their most recently filed annual reports pursuant to Rule 17g-3, </w:t>
      </w:r>
      <w:r w:rsidR="000652BE">
        <w:rPr>
          <w:sz w:val="24"/>
          <w:szCs w:val="24"/>
        </w:rPr>
        <w:t>one</w:t>
      </w:r>
      <w:r w:rsidRPr="002B4BC7" w:rsidR="002B4BC7">
        <w:rPr>
          <w:sz w:val="24"/>
          <w:szCs w:val="24"/>
        </w:rPr>
        <w:t xml:space="preserve"> NRSRO </w:t>
      </w:r>
      <w:r w:rsidR="000652BE">
        <w:rPr>
          <w:sz w:val="24"/>
          <w:szCs w:val="24"/>
        </w:rPr>
        <w:t>is a</w:t>
      </w:r>
      <w:r w:rsidRPr="002B4BC7" w:rsidR="002B4BC7">
        <w:rPr>
          <w:sz w:val="24"/>
          <w:szCs w:val="24"/>
        </w:rPr>
        <w:t xml:space="preserve"> small </w:t>
      </w:r>
      <w:r w:rsidR="000652BE">
        <w:rPr>
          <w:sz w:val="24"/>
          <w:szCs w:val="24"/>
        </w:rPr>
        <w:t>entity for pur</w:t>
      </w:r>
      <w:r w:rsidR="003464C4">
        <w:rPr>
          <w:sz w:val="24"/>
          <w:szCs w:val="24"/>
        </w:rPr>
        <w:t xml:space="preserve">poses </w:t>
      </w:r>
      <w:r w:rsidRPr="002B4BC7" w:rsidR="002B4BC7">
        <w:rPr>
          <w:sz w:val="24"/>
          <w:szCs w:val="24"/>
        </w:rPr>
        <w:t>of the Regulatory Flexibility Act</w:t>
      </w:r>
      <w:r w:rsidRPr="0060799F" w:rsidR="00C92122">
        <w:rPr>
          <w:sz w:val="24"/>
          <w:szCs w:val="24"/>
        </w:rPr>
        <w:t>.</w:t>
      </w:r>
      <w:r w:rsidR="008C55EA">
        <w:rPr>
          <w:rStyle w:val="FootnoteReference"/>
          <w:sz w:val="24"/>
          <w:szCs w:val="24"/>
        </w:rPr>
        <w:t xml:space="preserve"> </w:t>
      </w:r>
    </w:p>
    <w:p w:rsidR="00955EB4" w:rsidRPr="00743D8F" w:rsidP="00743D8F" w14:paraId="30AA8952" w14:textId="77777777">
      <w:pPr>
        <w:tabs>
          <w:tab w:val="left" w:pos="-720"/>
        </w:tabs>
        <w:suppressAutoHyphens/>
        <w:rPr>
          <w:sz w:val="24"/>
          <w:szCs w:val="24"/>
        </w:rPr>
      </w:pPr>
    </w:p>
    <w:p w:rsidR="003E276C" w:rsidRPr="00571BF4" w:rsidP="00571BF4" w14:paraId="1962C929" w14:textId="77777777">
      <w:pPr>
        <w:keepNext/>
        <w:tabs>
          <w:tab w:val="left" w:pos="-720"/>
          <w:tab w:val="left" w:pos="0"/>
          <w:tab w:val="left" w:pos="720"/>
        </w:tabs>
        <w:suppressAutoHyphens/>
        <w:ind w:left="720" w:hanging="720"/>
        <w:rPr>
          <w:b/>
          <w:sz w:val="24"/>
          <w:szCs w:val="24"/>
        </w:rPr>
      </w:pPr>
      <w:r w:rsidRPr="00571BF4">
        <w:rPr>
          <w:b/>
          <w:sz w:val="24"/>
          <w:szCs w:val="24"/>
        </w:rPr>
        <w:t>6.</w:t>
      </w:r>
      <w:r w:rsidRPr="00571BF4">
        <w:rPr>
          <w:b/>
          <w:sz w:val="24"/>
          <w:szCs w:val="24"/>
        </w:rPr>
        <w:tab/>
        <w:t xml:space="preserve">Consequences of </w:t>
      </w:r>
      <w:r w:rsidR="000E14C7">
        <w:rPr>
          <w:b/>
          <w:sz w:val="24"/>
          <w:szCs w:val="24"/>
        </w:rPr>
        <w:t>Not Conducting</w:t>
      </w:r>
      <w:r w:rsidRPr="00571BF4">
        <w:rPr>
          <w:b/>
          <w:sz w:val="24"/>
          <w:szCs w:val="24"/>
        </w:rPr>
        <w:t xml:space="preserve"> Collection</w:t>
      </w:r>
    </w:p>
    <w:p w:rsidR="003E276C" w:rsidRPr="00743D8F" w:rsidP="00743D8F" w14:paraId="7DCBF079" w14:textId="77777777">
      <w:pPr>
        <w:keepNext/>
        <w:tabs>
          <w:tab w:val="left" w:pos="-720"/>
        </w:tabs>
        <w:suppressAutoHyphens/>
        <w:rPr>
          <w:sz w:val="24"/>
          <w:szCs w:val="24"/>
        </w:rPr>
      </w:pPr>
    </w:p>
    <w:p w:rsidR="003E276C" w:rsidP="00743D8F" w14:paraId="13D55635" w14:textId="1747D2EC">
      <w:pPr>
        <w:pStyle w:val="BodyText"/>
        <w:jc w:val="left"/>
      </w:pPr>
      <w:r w:rsidRPr="00743D8F">
        <w:tab/>
      </w:r>
      <w:r w:rsidRPr="00743D8F" w:rsidR="00F43086">
        <w:t>Up</w:t>
      </w:r>
      <w:r w:rsidR="00C5604C">
        <w:t>-</w:t>
      </w:r>
      <w:r w:rsidRPr="00743D8F" w:rsidR="00F43086">
        <w:t>to</w:t>
      </w:r>
      <w:r w:rsidR="00C5604C">
        <w:t>-</w:t>
      </w:r>
      <w:r w:rsidRPr="00743D8F" w:rsidR="00F43086">
        <w:t>date records are essential for Commission</w:t>
      </w:r>
      <w:r w:rsidR="00E32D3D">
        <w:t xml:space="preserve"> staff</w:t>
      </w:r>
      <w:r w:rsidRPr="00743D8F" w:rsidR="00F43086">
        <w:t xml:space="preserve"> to monitor whether an NRSRO </w:t>
      </w:r>
      <w:r w:rsidR="00734EEC">
        <w:t xml:space="preserve">is conducting its activities in accordance with Section </w:t>
      </w:r>
      <w:r w:rsidR="00B01FB8">
        <w:t xml:space="preserve">15E of the Exchange Act and the Exchange Act </w:t>
      </w:r>
      <w:r w:rsidR="00A0490F">
        <w:t>r</w:t>
      </w:r>
      <w:r w:rsidR="00B01FB8">
        <w:t>ules</w:t>
      </w:r>
      <w:r w:rsidRPr="00743D8F" w:rsidR="00F43086">
        <w:t>.</w:t>
      </w:r>
    </w:p>
    <w:p w:rsidR="007660FC" w:rsidRPr="00743D8F" w:rsidP="00743D8F" w14:paraId="7A58F9A8" w14:textId="77777777">
      <w:pPr>
        <w:pStyle w:val="BodyText"/>
        <w:jc w:val="left"/>
      </w:pPr>
    </w:p>
    <w:p w:rsidR="003E276C" w:rsidRPr="009E69E9" w:rsidP="009E69E9" w14:paraId="426E8A08" w14:textId="77777777">
      <w:pPr>
        <w:keepNext/>
        <w:tabs>
          <w:tab w:val="left" w:pos="-720"/>
          <w:tab w:val="left" w:pos="0"/>
          <w:tab w:val="left" w:pos="720"/>
        </w:tabs>
        <w:suppressAutoHyphens/>
        <w:ind w:left="720" w:hanging="720"/>
        <w:rPr>
          <w:b/>
          <w:sz w:val="24"/>
          <w:szCs w:val="24"/>
        </w:rPr>
      </w:pPr>
      <w:r w:rsidRPr="009E69E9">
        <w:rPr>
          <w:b/>
          <w:sz w:val="24"/>
          <w:szCs w:val="24"/>
        </w:rPr>
        <w:t>7.</w:t>
      </w:r>
      <w:r w:rsidRPr="009E69E9">
        <w:rPr>
          <w:b/>
          <w:sz w:val="24"/>
          <w:szCs w:val="24"/>
        </w:rPr>
        <w:tab/>
        <w:t xml:space="preserve">Inconsistencies </w:t>
      </w:r>
      <w:r w:rsidR="000E65F5">
        <w:rPr>
          <w:b/>
          <w:sz w:val="24"/>
          <w:szCs w:val="24"/>
        </w:rPr>
        <w:t>w</w:t>
      </w:r>
      <w:r w:rsidRPr="009E69E9">
        <w:rPr>
          <w:b/>
          <w:sz w:val="24"/>
          <w:szCs w:val="24"/>
        </w:rPr>
        <w:t xml:space="preserve">ith Guidelines </w:t>
      </w:r>
      <w:r w:rsidR="009E69E9">
        <w:rPr>
          <w:b/>
          <w:sz w:val="24"/>
          <w:szCs w:val="24"/>
        </w:rPr>
        <w:t>i</w:t>
      </w:r>
      <w:r w:rsidRPr="009E69E9">
        <w:rPr>
          <w:b/>
          <w:sz w:val="24"/>
          <w:szCs w:val="24"/>
        </w:rPr>
        <w:t>n 5 CFR 1320.</w:t>
      </w:r>
      <w:r w:rsidR="009E69E9">
        <w:rPr>
          <w:b/>
          <w:sz w:val="24"/>
          <w:szCs w:val="24"/>
        </w:rPr>
        <w:t>8</w:t>
      </w:r>
      <w:r w:rsidRPr="009E69E9">
        <w:rPr>
          <w:b/>
          <w:sz w:val="24"/>
          <w:szCs w:val="24"/>
        </w:rPr>
        <w:t>(d)</w:t>
      </w:r>
    </w:p>
    <w:p w:rsidR="003E276C" w:rsidRPr="00743D8F" w:rsidP="00743D8F" w14:paraId="25B2333E" w14:textId="77777777">
      <w:pPr>
        <w:keepNext/>
        <w:tabs>
          <w:tab w:val="left" w:pos="-720"/>
        </w:tabs>
        <w:suppressAutoHyphens/>
        <w:rPr>
          <w:sz w:val="24"/>
          <w:szCs w:val="24"/>
        </w:rPr>
      </w:pPr>
    </w:p>
    <w:p w:rsidR="003E276C" w:rsidRPr="00743D8F" w:rsidP="00743D8F" w14:paraId="40649F4D" w14:textId="77777777">
      <w:pPr>
        <w:tabs>
          <w:tab w:val="left" w:pos="-720"/>
        </w:tabs>
        <w:suppressAutoHyphens/>
        <w:rPr>
          <w:sz w:val="24"/>
          <w:szCs w:val="24"/>
        </w:rPr>
      </w:pPr>
      <w:r w:rsidRPr="00743D8F">
        <w:rPr>
          <w:sz w:val="24"/>
          <w:szCs w:val="24"/>
        </w:rPr>
        <w:tab/>
      </w:r>
      <w:r w:rsidRPr="000E65F5" w:rsidR="000E65F5">
        <w:rPr>
          <w:sz w:val="24"/>
          <w:szCs w:val="24"/>
        </w:rPr>
        <w:t>There are no special circumstances.  This collection is consistent with 5 CFR 1320.8(d).</w:t>
      </w:r>
    </w:p>
    <w:p w:rsidR="003E276C" w:rsidRPr="00743D8F" w:rsidP="00743D8F" w14:paraId="6F401547" w14:textId="77777777">
      <w:pPr>
        <w:tabs>
          <w:tab w:val="left" w:pos="-720"/>
          <w:tab w:val="left" w:pos="0"/>
          <w:tab w:val="left" w:pos="720"/>
        </w:tabs>
        <w:suppressAutoHyphens/>
        <w:ind w:left="1440" w:hanging="1440"/>
        <w:rPr>
          <w:sz w:val="24"/>
          <w:szCs w:val="24"/>
        </w:rPr>
      </w:pPr>
    </w:p>
    <w:p w:rsidR="003E276C" w:rsidRPr="006055CD" w:rsidP="006055CD" w14:paraId="087D2980" w14:textId="77777777">
      <w:pPr>
        <w:keepNext/>
        <w:tabs>
          <w:tab w:val="left" w:pos="-720"/>
          <w:tab w:val="left" w:pos="0"/>
          <w:tab w:val="left" w:pos="720"/>
        </w:tabs>
        <w:suppressAutoHyphens/>
        <w:ind w:left="720" w:hanging="720"/>
        <w:rPr>
          <w:b/>
          <w:sz w:val="24"/>
          <w:szCs w:val="24"/>
        </w:rPr>
      </w:pPr>
      <w:r w:rsidRPr="006055CD">
        <w:rPr>
          <w:b/>
          <w:sz w:val="24"/>
          <w:szCs w:val="24"/>
        </w:rPr>
        <w:t>8.</w:t>
      </w:r>
      <w:r w:rsidRPr="006055CD">
        <w:rPr>
          <w:b/>
          <w:sz w:val="24"/>
          <w:szCs w:val="24"/>
        </w:rPr>
        <w:tab/>
      </w:r>
      <w:r w:rsidRPr="00B9584C">
        <w:rPr>
          <w:b/>
          <w:sz w:val="24"/>
          <w:szCs w:val="24"/>
        </w:rPr>
        <w:t>Consultations Outside the Agency</w:t>
      </w:r>
    </w:p>
    <w:p w:rsidR="003E276C" w:rsidRPr="00743D8F" w:rsidP="00743D8F" w14:paraId="44ADCBC5" w14:textId="77777777">
      <w:pPr>
        <w:keepNext/>
        <w:tabs>
          <w:tab w:val="left" w:pos="-720"/>
        </w:tabs>
        <w:suppressAutoHyphens/>
        <w:rPr>
          <w:sz w:val="24"/>
          <w:szCs w:val="24"/>
        </w:rPr>
      </w:pPr>
    </w:p>
    <w:p w:rsidR="00411BC3" w:rsidP="00411BC3" w14:paraId="5A6F2E37" w14:textId="50BEEA0A">
      <w:pPr>
        <w:keepNext/>
        <w:tabs>
          <w:tab w:val="left" w:pos="-720"/>
        </w:tabs>
        <w:suppressAutoHyphens/>
        <w:rPr>
          <w:sz w:val="24"/>
          <w:szCs w:val="24"/>
        </w:rPr>
      </w:pPr>
      <w:r w:rsidRPr="009D651C">
        <w:rPr>
          <w:sz w:val="24"/>
          <w:szCs w:val="24"/>
        </w:rPr>
        <w:tab/>
      </w:r>
      <w:r w:rsidRPr="007D0435" w:rsidR="009D651C">
        <w:rPr>
          <w:sz w:val="24"/>
          <w:szCs w:val="24"/>
        </w:rPr>
        <w:t xml:space="preserve">The required notice with a 60-day comment period soliciting comments on this collection of information was published in the Federal Register </w:t>
      </w:r>
      <w:r w:rsidRPr="007D0435" w:rsidR="007D0435">
        <w:rPr>
          <w:sz w:val="24"/>
          <w:szCs w:val="24"/>
        </w:rPr>
        <w:t xml:space="preserve">on </w:t>
      </w:r>
      <w:r w:rsidRPr="00DF13A3" w:rsidR="00B6647B">
        <w:rPr>
          <w:sz w:val="24"/>
          <w:szCs w:val="24"/>
        </w:rPr>
        <w:t>July 12</w:t>
      </w:r>
      <w:r w:rsidR="00BC62BD">
        <w:rPr>
          <w:sz w:val="24"/>
          <w:szCs w:val="24"/>
        </w:rPr>
        <w:t>,</w:t>
      </w:r>
      <w:r w:rsidRPr="007D0435" w:rsidR="009D651C">
        <w:rPr>
          <w:sz w:val="24"/>
          <w:szCs w:val="24"/>
        </w:rPr>
        <w:t xml:space="preserve"> </w:t>
      </w:r>
      <w:r w:rsidR="00BC62BD">
        <w:rPr>
          <w:sz w:val="24"/>
          <w:szCs w:val="24"/>
        </w:rPr>
        <w:t>2023</w:t>
      </w:r>
      <w:r w:rsidR="009D651C">
        <w:t>.</w:t>
      </w:r>
      <w:r>
        <w:rPr>
          <w:rStyle w:val="FootnoteReference"/>
        </w:rPr>
        <w:footnoteReference w:id="12"/>
      </w:r>
      <w:r w:rsidR="009D651C">
        <w:t xml:space="preserve"> </w:t>
      </w:r>
      <w:r w:rsidRPr="009D651C" w:rsidR="009D651C">
        <w:rPr>
          <w:sz w:val="24"/>
          <w:szCs w:val="24"/>
        </w:rPr>
        <w:t xml:space="preserve"> </w:t>
      </w:r>
    </w:p>
    <w:p w:rsidR="0060627E" w:rsidP="00411BC3" w14:paraId="68F7C1F9" w14:textId="3E9330E9">
      <w:pPr>
        <w:keepNext/>
        <w:tabs>
          <w:tab w:val="left" w:pos="-720"/>
        </w:tabs>
        <w:suppressAutoHyphens/>
        <w:rPr>
          <w:sz w:val="24"/>
          <w:szCs w:val="24"/>
        </w:rPr>
      </w:pPr>
    </w:p>
    <w:p w:rsidR="00865E3B" w:rsidP="0060627E" w14:paraId="4BB650EC" w14:textId="57CD656D">
      <w:pPr>
        <w:keepNext/>
        <w:tabs>
          <w:tab w:val="left" w:pos="-720"/>
        </w:tabs>
        <w:suppressAutoHyphens/>
        <w:rPr>
          <w:sz w:val="24"/>
          <w:szCs w:val="24"/>
        </w:rPr>
      </w:pPr>
      <w:r>
        <w:rPr>
          <w:sz w:val="24"/>
          <w:szCs w:val="24"/>
        </w:rPr>
        <w:tab/>
      </w:r>
      <w:r w:rsidRPr="0060627E">
        <w:rPr>
          <w:sz w:val="24"/>
          <w:szCs w:val="24"/>
        </w:rPr>
        <w:t>The Commission received one comment letter in response to the notice.  The commenter asserted that the Commission underestimated the burden associated with Rule 17g-</w:t>
      </w:r>
      <w:r>
        <w:rPr>
          <w:sz w:val="24"/>
          <w:szCs w:val="24"/>
        </w:rPr>
        <w:t>2.</w:t>
      </w:r>
      <w:r>
        <w:rPr>
          <w:sz w:val="24"/>
          <w:szCs w:val="24"/>
          <w:vertAlign w:val="superscript"/>
        </w:rPr>
        <w:footnoteReference w:id="13"/>
      </w:r>
      <w:r w:rsidRPr="0060627E">
        <w:rPr>
          <w:sz w:val="24"/>
          <w:szCs w:val="24"/>
        </w:rPr>
        <w:t xml:space="preserve">  </w:t>
      </w:r>
      <w:r w:rsidR="003B4135">
        <w:rPr>
          <w:sz w:val="24"/>
          <w:szCs w:val="24"/>
        </w:rPr>
        <w:t xml:space="preserve">In particular, </w:t>
      </w:r>
      <w:r w:rsidR="005D3F19">
        <w:rPr>
          <w:sz w:val="24"/>
          <w:szCs w:val="24"/>
        </w:rPr>
        <w:t>the</w:t>
      </w:r>
      <w:r w:rsidR="003B4135">
        <w:rPr>
          <w:sz w:val="24"/>
          <w:szCs w:val="24"/>
        </w:rPr>
        <w:t xml:space="preserve"> commenter </w:t>
      </w:r>
      <w:r w:rsidR="00E0356B">
        <w:rPr>
          <w:sz w:val="24"/>
          <w:szCs w:val="24"/>
        </w:rPr>
        <w:t>stated</w:t>
      </w:r>
      <w:r w:rsidR="003B4135">
        <w:rPr>
          <w:sz w:val="24"/>
          <w:szCs w:val="24"/>
        </w:rPr>
        <w:t xml:space="preserve"> that a wide range of functions and personnel is required for record creation, maintenance, and retention</w:t>
      </w:r>
      <w:r w:rsidR="00677305">
        <w:rPr>
          <w:sz w:val="24"/>
          <w:szCs w:val="24"/>
        </w:rPr>
        <w:t xml:space="preserve">, which are not reflected in the current </w:t>
      </w:r>
      <w:r w:rsidR="008C047B">
        <w:rPr>
          <w:sz w:val="24"/>
          <w:szCs w:val="24"/>
        </w:rPr>
        <w:t>hourly burden</w:t>
      </w:r>
      <w:r w:rsidR="003B4135">
        <w:rPr>
          <w:sz w:val="24"/>
          <w:szCs w:val="24"/>
        </w:rPr>
        <w:t xml:space="preserve">.  </w:t>
      </w:r>
      <w:r w:rsidR="002805AE">
        <w:rPr>
          <w:sz w:val="24"/>
          <w:szCs w:val="24"/>
        </w:rPr>
        <w:t>T</w:t>
      </w:r>
      <w:r w:rsidR="000104A8">
        <w:rPr>
          <w:sz w:val="24"/>
          <w:szCs w:val="24"/>
        </w:rPr>
        <w:t xml:space="preserve">he commenter </w:t>
      </w:r>
      <w:r w:rsidR="000104A8">
        <w:rPr>
          <w:sz w:val="24"/>
          <w:szCs w:val="24"/>
        </w:rPr>
        <w:t>not</w:t>
      </w:r>
      <w:r w:rsidR="000104A8">
        <w:rPr>
          <w:sz w:val="24"/>
          <w:szCs w:val="24"/>
        </w:rPr>
        <w:t>ed</w:t>
      </w:r>
      <w:r w:rsidR="000104A8">
        <w:rPr>
          <w:sz w:val="24"/>
          <w:szCs w:val="24"/>
        </w:rPr>
        <w:t xml:space="preserve"> that the rule requires a substantial supporting infrastructure that is not static.  </w:t>
      </w:r>
      <w:r w:rsidR="00F0052B">
        <w:rPr>
          <w:sz w:val="24"/>
          <w:szCs w:val="24"/>
        </w:rPr>
        <w:t>In this regard,</w:t>
      </w:r>
      <w:r w:rsidR="000104A8">
        <w:rPr>
          <w:sz w:val="24"/>
          <w:szCs w:val="24"/>
        </w:rPr>
        <w:t xml:space="preserve"> the commenter</w:t>
      </w:r>
      <w:r w:rsidR="00F0052B">
        <w:rPr>
          <w:sz w:val="24"/>
          <w:szCs w:val="24"/>
        </w:rPr>
        <w:t xml:space="preserve"> stated that</w:t>
      </w:r>
      <w:r w:rsidR="000104A8">
        <w:rPr>
          <w:sz w:val="24"/>
          <w:szCs w:val="24"/>
        </w:rPr>
        <w:t xml:space="preserve"> NRSROs conduct an ongoing assessment of the technology deployed to support its recordkeeping efforts and such systems evolve over time.</w:t>
      </w:r>
      <w:r>
        <w:rPr>
          <w:sz w:val="24"/>
          <w:szCs w:val="24"/>
        </w:rPr>
        <w:t xml:space="preserve">  </w:t>
      </w:r>
      <w:r w:rsidR="000104A8">
        <w:rPr>
          <w:sz w:val="24"/>
          <w:szCs w:val="24"/>
        </w:rPr>
        <w:t xml:space="preserve">For instance, post-pandemic changes in remote work practices </w:t>
      </w:r>
      <w:r w:rsidR="00866C8D">
        <w:rPr>
          <w:sz w:val="24"/>
          <w:szCs w:val="24"/>
        </w:rPr>
        <w:t xml:space="preserve">have </w:t>
      </w:r>
      <w:r w:rsidR="001D26E5">
        <w:rPr>
          <w:sz w:val="24"/>
          <w:szCs w:val="24"/>
        </w:rPr>
        <w:t>nece</w:t>
      </w:r>
      <w:r w:rsidR="00375986">
        <w:rPr>
          <w:sz w:val="24"/>
          <w:szCs w:val="24"/>
        </w:rPr>
        <w:t xml:space="preserve">ssitated a reassessment </w:t>
      </w:r>
      <w:r w:rsidR="00367EEB">
        <w:rPr>
          <w:sz w:val="24"/>
          <w:szCs w:val="24"/>
        </w:rPr>
        <w:t xml:space="preserve">of </w:t>
      </w:r>
      <w:r w:rsidR="00496ADD">
        <w:rPr>
          <w:sz w:val="24"/>
          <w:szCs w:val="24"/>
        </w:rPr>
        <w:t xml:space="preserve">the </w:t>
      </w:r>
      <w:r w:rsidR="00367EEB">
        <w:rPr>
          <w:sz w:val="24"/>
          <w:szCs w:val="24"/>
        </w:rPr>
        <w:t>infrastructure</w:t>
      </w:r>
      <w:r w:rsidR="00AD2E51">
        <w:rPr>
          <w:sz w:val="24"/>
          <w:szCs w:val="24"/>
        </w:rPr>
        <w:t>s supporting</w:t>
      </w:r>
      <w:r w:rsidR="004E731F">
        <w:rPr>
          <w:sz w:val="24"/>
          <w:szCs w:val="24"/>
        </w:rPr>
        <w:t xml:space="preserve"> NRSROs’</w:t>
      </w:r>
      <w:r w:rsidR="00502947">
        <w:rPr>
          <w:sz w:val="24"/>
          <w:szCs w:val="24"/>
        </w:rPr>
        <w:t xml:space="preserve"> </w:t>
      </w:r>
      <w:r w:rsidR="00AD2E51">
        <w:rPr>
          <w:sz w:val="24"/>
          <w:szCs w:val="24"/>
        </w:rPr>
        <w:t>recordkeeping</w:t>
      </w:r>
      <w:r w:rsidR="00367EEB">
        <w:rPr>
          <w:sz w:val="24"/>
          <w:szCs w:val="24"/>
        </w:rPr>
        <w:t xml:space="preserve"> </w:t>
      </w:r>
      <w:r w:rsidR="00B50789">
        <w:rPr>
          <w:sz w:val="24"/>
          <w:szCs w:val="24"/>
        </w:rPr>
        <w:t>process</w:t>
      </w:r>
      <w:r w:rsidR="005F330A">
        <w:rPr>
          <w:sz w:val="24"/>
          <w:szCs w:val="24"/>
        </w:rPr>
        <w:t>es</w:t>
      </w:r>
      <w:r w:rsidR="00B50789">
        <w:rPr>
          <w:sz w:val="24"/>
          <w:szCs w:val="24"/>
        </w:rPr>
        <w:t xml:space="preserve"> </w:t>
      </w:r>
      <w:r w:rsidR="000104A8">
        <w:rPr>
          <w:sz w:val="24"/>
          <w:szCs w:val="24"/>
        </w:rPr>
        <w:t xml:space="preserve">to ensure </w:t>
      </w:r>
      <w:r w:rsidR="00FC6D0E">
        <w:rPr>
          <w:sz w:val="24"/>
          <w:szCs w:val="24"/>
        </w:rPr>
        <w:t xml:space="preserve">that </w:t>
      </w:r>
      <w:r w:rsidR="000104A8">
        <w:rPr>
          <w:sz w:val="24"/>
          <w:szCs w:val="24"/>
        </w:rPr>
        <w:t xml:space="preserve">systems and practices function properly in </w:t>
      </w:r>
      <w:r w:rsidR="00FC6D0E">
        <w:rPr>
          <w:sz w:val="24"/>
          <w:szCs w:val="24"/>
        </w:rPr>
        <w:t>that</w:t>
      </w:r>
      <w:r w:rsidR="00690125">
        <w:rPr>
          <w:sz w:val="24"/>
          <w:szCs w:val="24"/>
        </w:rPr>
        <w:t xml:space="preserve"> </w:t>
      </w:r>
      <w:r w:rsidR="000104A8">
        <w:rPr>
          <w:sz w:val="24"/>
          <w:szCs w:val="24"/>
        </w:rPr>
        <w:t xml:space="preserve">environment.  </w:t>
      </w:r>
      <w:r w:rsidRPr="0060627E">
        <w:rPr>
          <w:sz w:val="24"/>
          <w:szCs w:val="24"/>
        </w:rPr>
        <w:t>The comment</w:t>
      </w:r>
      <w:r w:rsidR="00603BB4">
        <w:rPr>
          <w:sz w:val="24"/>
          <w:szCs w:val="24"/>
        </w:rPr>
        <w:t>er</w:t>
      </w:r>
      <w:r w:rsidRPr="0060627E">
        <w:rPr>
          <w:sz w:val="24"/>
          <w:szCs w:val="24"/>
        </w:rPr>
        <w:t xml:space="preserve"> also </w:t>
      </w:r>
      <w:r w:rsidR="00B6647C">
        <w:rPr>
          <w:sz w:val="24"/>
          <w:szCs w:val="24"/>
        </w:rPr>
        <w:t>state</w:t>
      </w:r>
      <w:r w:rsidRPr="0060627E" w:rsidR="00B6647C">
        <w:rPr>
          <w:sz w:val="24"/>
          <w:szCs w:val="24"/>
        </w:rPr>
        <w:t>d</w:t>
      </w:r>
      <w:r w:rsidRPr="0060627E">
        <w:rPr>
          <w:sz w:val="24"/>
          <w:szCs w:val="24"/>
        </w:rPr>
        <w:t xml:space="preserve"> that</w:t>
      </w:r>
      <w:r w:rsidR="00603BB4">
        <w:rPr>
          <w:sz w:val="24"/>
          <w:szCs w:val="24"/>
        </w:rPr>
        <w:t xml:space="preserve"> some NRSROs utilize</w:t>
      </w:r>
      <w:r w:rsidRPr="0060627E">
        <w:rPr>
          <w:sz w:val="24"/>
          <w:szCs w:val="24"/>
        </w:rPr>
        <w:t xml:space="preserve"> external </w:t>
      </w:r>
      <w:r>
        <w:rPr>
          <w:sz w:val="24"/>
          <w:szCs w:val="24"/>
        </w:rPr>
        <w:t>service</w:t>
      </w:r>
      <w:r w:rsidR="000C279B">
        <w:rPr>
          <w:sz w:val="24"/>
          <w:szCs w:val="24"/>
        </w:rPr>
        <w:t>s</w:t>
      </w:r>
      <w:r w:rsidR="001F3EFE">
        <w:rPr>
          <w:sz w:val="24"/>
          <w:szCs w:val="24"/>
        </w:rPr>
        <w:t xml:space="preserve"> </w:t>
      </w:r>
      <w:r w:rsidR="002A2BB6">
        <w:rPr>
          <w:sz w:val="24"/>
          <w:szCs w:val="24"/>
        </w:rPr>
        <w:t>that</w:t>
      </w:r>
      <w:r w:rsidR="001F3EFE">
        <w:rPr>
          <w:sz w:val="24"/>
          <w:szCs w:val="24"/>
        </w:rPr>
        <w:t>, among other things,</w:t>
      </w:r>
      <w:r w:rsidRPr="0060627E">
        <w:rPr>
          <w:sz w:val="24"/>
          <w:szCs w:val="24"/>
        </w:rPr>
        <w:t xml:space="preserve"> assist with </w:t>
      </w:r>
      <w:r>
        <w:rPr>
          <w:sz w:val="24"/>
          <w:szCs w:val="24"/>
        </w:rPr>
        <w:t>hosting</w:t>
      </w:r>
      <w:r w:rsidRPr="0060627E">
        <w:rPr>
          <w:sz w:val="24"/>
          <w:szCs w:val="24"/>
        </w:rPr>
        <w:t xml:space="preserve"> and software development services. </w:t>
      </w:r>
      <w:r w:rsidR="006D6E48">
        <w:rPr>
          <w:sz w:val="24"/>
          <w:szCs w:val="24"/>
        </w:rPr>
        <w:t xml:space="preserve"> </w:t>
      </w:r>
    </w:p>
    <w:p w:rsidR="00865E3B" w:rsidP="0060627E" w14:paraId="56A1F4CC" w14:textId="77777777">
      <w:pPr>
        <w:keepNext/>
        <w:tabs>
          <w:tab w:val="left" w:pos="-720"/>
        </w:tabs>
        <w:suppressAutoHyphens/>
        <w:rPr>
          <w:sz w:val="24"/>
          <w:szCs w:val="24"/>
        </w:rPr>
      </w:pPr>
    </w:p>
    <w:p w:rsidR="0060627E" w:rsidRPr="0060627E" w:rsidP="0060627E" w14:paraId="7969081C" w14:textId="25B07844">
      <w:pPr>
        <w:keepNext/>
        <w:tabs>
          <w:tab w:val="left" w:pos="-720"/>
        </w:tabs>
        <w:suppressAutoHyphens/>
        <w:rPr>
          <w:sz w:val="24"/>
          <w:szCs w:val="24"/>
        </w:rPr>
      </w:pPr>
      <w:r>
        <w:rPr>
          <w:sz w:val="24"/>
          <w:szCs w:val="24"/>
        </w:rPr>
        <w:tab/>
      </w:r>
      <w:r w:rsidR="00603BB4">
        <w:rPr>
          <w:sz w:val="24"/>
          <w:szCs w:val="24"/>
        </w:rPr>
        <w:t xml:space="preserve">Although the commenter asserted that the burden was understated for the foregoing reasons, </w:t>
      </w:r>
      <w:r w:rsidRPr="0060627E">
        <w:rPr>
          <w:sz w:val="24"/>
          <w:szCs w:val="24"/>
        </w:rPr>
        <w:t xml:space="preserve">the commenter did not </w:t>
      </w:r>
      <w:r w:rsidR="00E45B5A">
        <w:rPr>
          <w:sz w:val="24"/>
          <w:szCs w:val="24"/>
        </w:rPr>
        <w:t>recommend</w:t>
      </w:r>
      <w:r w:rsidR="00603BB4">
        <w:rPr>
          <w:sz w:val="24"/>
          <w:szCs w:val="24"/>
        </w:rPr>
        <w:t xml:space="preserve"> an </w:t>
      </w:r>
      <w:r w:rsidR="00DD2019">
        <w:rPr>
          <w:sz w:val="24"/>
          <w:szCs w:val="24"/>
        </w:rPr>
        <w:t xml:space="preserve">alternative </w:t>
      </w:r>
      <w:r w:rsidR="00603BB4">
        <w:rPr>
          <w:sz w:val="24"/>
          <w:szCs w:val="24"/>
        </w:rPr>
        <w:t>estimate of the burden</w:t>
      </w:r>
      <w:r w:rsidRPr="0060627E">
        <w:rPr>
          <w:sz w:val="24"/>
          <w:szCs w:val="24"/>
        </w:rPr>
        <w:t xml:space="preserve">.  </w:t>
      </w:r>
      <w:r w:rsidR="007D104B">
        <w:rPr>
          <w:sz w:val="24"/>
          <w:szCs w:val="24"/>
        </w:rPr>
        <w:t>The observations of the commenter are generally consistent with the staff</w:t>
      </w:r>
      <w:r w:rsidR="00C9708E">
        <w:rPr>
          <w:sz w:val="24"/>
          <w:szCs w:val="24"/>
        </w:rPr>
        <w:t>’s</w:t>
      </w:r>
      <w:r w:rsidR="007D104B">
        <w:rPr>
          <w:sz w:val="24"/>
          <w:szCs w:val="24"/>
        </w:rPr>
        <w:t xml:space="preserve"> experience, although, in the </w:t>
      </w:r>
      <w:r w:rsidR="00AE4147">
        <w:rPr>
          <w:sz w:val="24"/>
          <w:szCs w:val="24"/>
        </w:rPr>
        <w:t>staff’s view</w:t>
      </w:r>
      <w:r w:rsidR="00E347F5">
        <w:rPr>
          <w:sz w:val="24"/>
          <w:szCs w:val="24"/>
        </w:rPr>
        <w:t xml:space="preserve"> </w:t>
      </w:r>
      <w:r w:rsidR="007D104B">
        <w:rPr>
          <w:sz w:val="24"/>
          <w:szCs w:val="24"/>
        </w:rPr>
        <w:t>and as acknowledged by the commenter, costs of th</w:t>
      </w:r>
      <w:r w:rsidR="002A3205">
        <w:rPr>
          <w:sz w:val="24"/>
          <w:szCs w:val="24"/>
        </w:rPr>
        <w:t>is</w:t>
      </w:r>
      <w:r w:rsidR="007D104B">
        <w:rPr>
          <w:sz w:val="24"/>
          <w:szCs w:val="24"/>
        </w:rPr>
        <w:t xml:space="preserve"> nature will vary based on the size and complexity of the NRSRO.</w:t>
      </w:r>
      <w:r w:rsidR="00603BB4">
        <w:rPr>
          <w:sz w:val="24"/>
          <w:szCs w:val="24"/>
        </w:rPr>
        <w:t xml:space="preserve"> </w:t>
      </w:r>
      <w:r w:rsidR="007D104B">
        <w:rPr>
          <w:sz w:val="24"/>
          <w:szCs w:val="24"/>
        </w:rPr>
        <w:t xml:space="preserve"> </w:t>
      </w:r>
      <w:r w:rsidRPr="0060627E">
        <w:rPr>
          <w:sz w:val="24"/>
          <w:szCs w:val="24"/>
        </w:rPr>
        <w:t>In response to the comment</w:t>
      </w:r>
      <w:r w:rsidR="00C52B9F">
        <w:rPr>
          <w:sz w:val="24"/>
          <w:szCs w:val="24"/>
        </w:rPr>
        <w:t xml:space="preserve"> and consistent with staff experience</w:t>
      </w:r>
      <w:r w:rsidRPr="0060627E">
        <w:rPr>
          <w:sz w:val="24"/>
          <w:szCs w:val="24"/>
        </w:rPr>
        <w:t xml:space="preserve">, Commission </w:t>
      </w:r>
      <w:r w:rsidR="009E62DB">
        <w:rPr>
          <w:sz w:val="24"/>
          <w:szCs w:val="24"/>
        </w:rPr>
        <w:t xml:space="preserve">staff </w:t>
      </w:r>
      <w:r w:rsidR="00D03756">
        <w:rPr>
          <w:sz w:val="24"/>
          <w:szCs w:val="24"/>
        </w:rPr>
        <w:t>believes</w:t>
      </w:r>
      <w:r w:rsidRPr="0060627E">
        <w:rPr>
          <w:sz w:val="24"/>
          <w:szCs w:val="24"/>
        </w:rPr>
        <w:t xml:space="preserve"> it</w:t>
      </w:r>
      <w:r w:rsidR="00D03756">
        <w:rPr>
          <w:sz w:val="24"/>
          <w:szCs w:val="24"/>
        </w:rPr>
        <w:t xml:space="preserve"> i</w:t>
      </w:r>
      <w:r w:rsidRPr="0060627E">
        <w:rPr>
          <w:sz w:val="24"/>
          <w:szCs w:val="24"/>
        </w:rPr>
        <w:t xml:space="preserve">s </w:t>
      </w:r>
      <w:r w:rsidR="00D03756">
        <w:rPr>
          <w:sz w:val="24"/>
          <w:szCs w:val="24"/>
        </w:rPr>
        <w:t xml:space="preserve">appropriate </w:t>
      </w:r>
      <w:r w:rsidR="006620CE">
        <w:rPr>
          <w:sz w:val="24"/>
          <w:szCs w:val="24"/>
        </w:rPr>
        <w:t xml:space="preserve">to increase the </w:t>
      </w:r>
      <w:r w:rsidRPr="0060627E">
        <w:rPr>
          <w:sz w:val="24"/>
          <w:szCs w:val="24"/>
        </w:rPr>
        <w:t>estimated</w:t>
      </w:r>
      <w:r w:rsidR="007D104B">
        <w:rPr>
          <w:sz w:val="24"/>
          <w:szCs w:val="24"/>
        </w:rPr>
        <w:t xml:space="preserve"> average</w:t>
      </w:r>
      <w:r w:rsidRPr="0060627E">
        <w:rPr>
          <w:sz w:val="24"/>
          <w:szCs w:val="24"/>
        </w:rPr>
        <w:t xml:space="preserve"> burden from </w:t>
      </w:r>
      <w:r>
        <w:rPr>
          <w:sz w:val="24"/>
          <w:szCs w:val="24"/>
        </w:rPr>
        <w:t>239</w:t>
      </w:r>
      <w:r w:rsidRPr="0060627E">
        <w:rPr>
          <w:sz w:val="24"/>
          <w:szCs w:val="24"/>
        </w:rPr>
        <w:t xml:space="preserve"> annual hours to </w:t>
      </w:r>
      <w:r w:rsidR="00D10908">
        <w:rPr>
          <w:sz w:val="24"/>
          <w:szCs w:val="24"/>
        </w:rPr>
        <w:t>26</w:t>
      </w:r>
      <w:r w:rsidR="0086050C">
        <w:rPr>
          <w:sz w:val="24"/>
          <w:szCs w:val="24"/>
        </w:rPr>
        <w:t>5</w:t>
      </w:r>
      <w:r w:rsidR="00D10908">
        <w:rPr>
          <w:sz w:val="24"/>
          <w:szCs w:val="24"/>
        </w:rPr>
        <w:t xml:space="preserve"> </w:t>
      </w:r>
      <w:r w:rsidRPr="0060627E">
        <w:rPr>
          <w:sz w:val="24"/>
          <w:szCs w:val="24"/>
        </w:rPr>
        <w:t xml:space="preserve">annual hours, for an ongoing industry burden of </w:t>
      </w:r>
      <w:r w:rsidR="0027566C">
        <w:rPr>
          <w:sz w:val="24"/>
          <w:szCs w:val="24"/>
        </w:rPr>
        <w:t>2,6</w:t>
      </w:r>
      <w:r w:rsidR="0086050C">
        <w:rPr>
          <w:sz w:val="24"/>
          <w:szCs w:val="24"/>
        </w:rPr>
        <w:t>5</w:t>
      </w:r>
      <w:r w:rsidR="0027566C">
        <w:rPr>
          <w:sz w:val="24"/>
          <w:szCs w:val="24"/>
        </w:rPr>
        <w:t>0</w:t>
      </w:r>
      <w:r>
        <w:rPr>
          <w:sz w:val="24"/>
          <w:szCs w:val="24"/>
        </w:rPr>
        <w:t xml:space="preserve"> </w:t>
      </w:r>
      <w:r w:rsidRPr="0060627E">
        <w:rPr>
          <w:sz w:val="24"/>
          <w:szCs w:val="24"/>
        </w:rPr>
        <w:t>annual hours.</w:t>
      </w:r>
      <w:r>
        <w:rPr>
          <w:sz w:val="24"/>
          <w:szCs w:val="24"/>
          <w:vertAlign w:val="superscript"/>
        </w:rPr>
        <w:footnoteReference w:id="14"/>
      </w:r>
      <w:r w:rsidRPr="0060627E">
        <w:rPr>
          <w:sz w:val="24"/>
          <w:szCs w:val="24"/>
          <w:vertAlign w:val="superscript"/>
        </w:rPr>
        <w:t xml:space="preserve"> </w:t>
      </w:r>
    </w:p>
    <w:p w:rsidR="003E276C" w:rsidRPr="00743D8F" w:rsidP="00743D8F" w14:paraId="7C277B75" w14:textId="77777777">
      <w:pPr>
        <w:tabs>
          <w:tab w:val="left" w:pos="-720"/>
        </w:tabs>
        <w:suppressAutoHyphens/>
        <w:rPr>
          <w:sz w:val="24"/>
          <w:szCs w:val="24"/>
        </w:rPr>
      </w:pPr>
    </w:p>
    <w:p w:rsidR="003E276C" w:rsidRPr="00F528F2" w:rsidP="00F528F2" w14:paraId="11B82E6B" w14:textId="77777777">
      <w:pPr>
        <w:keepNext/>
        <w:tabs>
          <w:tab w:val="left" w:pos="-720"/>
          <w:tab w:val="left" w:pos="0"/>
          <w:tab w:val="left" w:pos="720"/>
        </w:tabs>
        <w:suppressAutoHyphens/>
        <w:ind w:left="720" w:hanging="720"/>
        <w:rPr>
          <w:b/>
          <w:sz w:val="24"/>
          <w:szCs w:val="24"/>
        </w:rPr>
      </w:pPr>
      <w:r w:rsidRPr="00F528F2">
        <w:rPr>
          <w:b/>
          <w:sz w:val="24"/>
          <w:szCs w:val="24"/>
        </w:rPr>
        <w:t>9.</w:t>
      </w:r>
      <w:r w:rsidRPr="00F528F2">
        <w:rPr>
          <w:b/>
          <w:sz w:val="24"/>
          <w:szCs w:val="24"/>
        </w:rPr>
        <w:tab/>
        <w:t>Payment or Gift</w:t>
      </w:r>
    </w:p>
    <w:p w:rsidR="003E276C" w:rsidRPr="00743D8F" w:rsidP="00743D8F" w14:paraId="61D97C89" w14:textId="77777777">
      <w:pPr>
        <w:keepNext/>
        <w:tabs>
          <w:tab w:val="left" w:pos="-720"/>
        </w:tabs>
        <w:suppressAutoHyphens/>
        <w:rPr>
          <w:sz w:val="24"/>
          <w:szCs w:val="24"/>
        </w:rPr>
      </w:pPr>
    </w:p>
    <w:p w:rsidR="003E276C" w:rsidP="00743D8F" w14:paraId="6F8B806A" w14:textId="77777777">
      <w:pPr>
        <w:tabs>
          <w:tab w:val="left" w:pos="-720"/>
        </w:tabs>
        <w:suppressAutoHyphens/>
        <w:rPr>
          <w:sz w:val="24"/>
          <w:szCs w:val="24"/>
        </w:rPr>
      </w:pPr>
      <w:r>
        <w:rPr>
          <w:sz w:val="24"/>
          <w:szCs w:val="24"/>
        </w:rPr>
        <w:tab/>
        <w:t>The Commission did not provide any payment or gift to respondents in connection with the rulemaking.</w:t>
      </w:r>
    </w:p>
    <w:p w:rsidR="00094DFD" w:rsidRPr="00743D8F" w:rsidP="00743D8F" w14:paraId="55CA4AE2" w14:textId="77777777">
      <w:pPr>
        <w:tabs>
          <w:tab w:val="left" w:pos="-720"/>
        </w:tabs>
        <w:suppressAutoHyphens/>
        <w:rPr>
          <w:sz w:val="24"/>
          <w:szCs w:val="24"/>
        </w:rPr>
      </w:pPr>
    </w:p>
    <w:p w:rsidR="003E276C" w:rsidRPr="00094DFD" w:rsidP="00094DFD" w14:paraId="4CA79AFD" w14:textId="77777777">
      <w:pPr>
        <w:keepNext/>
        <w:tabs>
          <w:tab w:val="left" w:pos="-720"/>
          <w:tab w:val="left" w:pos="0"/>
          <w:tab w:val="left" w:pos="720"/>
        </w:tabs>
        <w:suppressAutoHyphens/>
        <w:ind w:left="720" w:hanging="720"/>
        <w:rPr>
          <w:b/>
          <w:sz w:val="24"/>
          <w:szCs w:val="24"/>
        </w:rPr>
      </w:pPr>
      <w:r w:rsidRPr="00094DFD">
        <w:rPr>
          <w:b/>
          <w:sz w:val="24"/>
          <w:szCs w:val="24"/>
        </w:rPr>
        <w:t>10.</w:t>
      </w:r>
      <w:r w:rsidRPr="00094DFD">
        <w:rPr>
          <w:b/>
          <w:sz w:val="24"/>
          <w:szCs w:val="24"/>
        </w:rPr>
        <w:tab/>
        <w:t>Confidentiality</w:t>
      </w:r>
    </w:p>
    <w:p w:rsidR="003E276C" w:rsidRPr="00743D8F" w:rsidP="00743D8F" w14:paraId="54F1C269" w14:textId="77777777">
      <w:pPr>
        <w:keepNext/>
        <w:tabs>
          <w:tab w:val="left" w:pos="-720"/>
        </w:tabs>
        <w:suppressAutoHyphens/>
        <w:rPr>
          <w:sz w:val="24"/>
          <w:szCs w:val="24"/>
        </w:rPr>
      </w:pPr>
    </w:p>
    <w:p w:rsidR="009B2366" w:rsidP="009B2366" w14:paraId="59BC2291" w14:textId="619568B3">
      <w:pPr>
        <w:pStyle w:val="BodyText"/>
        <w:jc w:val="left"/>
      </w:pPr>
      <w:r w:rsidRPr="00743D8F">
        <w:tab/>
      </w:r>
      <w:r w:rsidRPr="00BC5DDA" w:rsidR="00BC5DDA">
        <w:t>The records that an NRSRO</w:t>
      </w:r>
      <w:r w:rsidR="00BC5DDA">
        <w:t xml:space="preserve"> must make and retain </w:t>
      </w:r>
      <w:r w:rsidRPr="00BC5DDA" w:rsidR="00BC5DDA">
        <w:t xml:space="preserve">under Rule 17g-2 </w:t>
      </w:r>
      <w:r w:rsidR="00474612">
        <w:t>must</w:t>
      </w:r>
      <w:r w:rsidRPr="00BC5DDA" w:rsidR="00BC5DDA">
        <w:t xml:space="preserve"> be made available to the Commission and its representatives as required in connection with examinations, </w:t>
      </w:r>
      <w:r w:rsidRPr="00BC5DDA" w:rsidR="00BC5DDA">
        <w:t>investigations, and enforcement proceedings.</w:t>
      </w:r>
      <w:r w:rsidR="00BC5DDA">
        <w:t xml:space="preserve">  </w:t>
      </w:r>
      <w:r w:rsidR="00094DFD">
        <w:t>The confidentiality of the information submitted to the Commission under the rule will be protected only to the extent permitted by FOIA.</w:t>
      </w:r>
      <w:r w:rsidRPr="00F86993">
        <w:t xml:space="preserve">  </w:t>
      </w:r>
    </w:p>
    <w:p w:rsidR="009A6408" w:rsidRPr="00F86993" w:rsidP="009B2366" w14:paraId="2186E826" w14:textId="77777777">
      <w:pPr>
        <w:pStyle w:val="BodyText"/>
        <w:jc w:val="left"/>
      </w:pPr>
    </w:p>
    <w:p w:rsidR="003E276C" w:rsidRPr="00F82A51" w:rsidP="00BA298B" w14:paraId="4F84BA9E" w14:textId="77777777">
      <w:pPr>
        <w:pStyle w:val="BodyText"/>
        <w:jc w:val="left"/>
        <w:rPr>
          <w:b/>
        </w:rPr>
      </w:pPr>
      <w:r w:rsidRPr="00743D8F">
        <w:t xml:space="preserve"> </w:t>
      </w:r>
      <w:r w:rsidRPr="00F82A51">
        <w:rPr>
          <w:b/>
        </w:rPr>
        <w:t>11.</w:t>
      </w:r>
      <w:r w:rsidRPr="00F82A51">
        <w:rPr>
          <w:b/>
        </w:rPr>
        <w:tab/>
        <w:t>Sensitive Questions</w:t>
      </w:r>
    </w:p>
    <w:p w:rsidR="003E276C" w:rsidRPr="00743D8F" w:rsidP="00743D8F" w14:paraId="31F81DCF" w14:textId="77777777">
      <w:pPr>
        <w:keepNext/>
        <w:tabs>
          <w:tab w:val="left" w:pos="-720"/>
        </w:tabs>
        <w:suppressAutoHyphens/>
        <w:rPr>
          <w:sz w:val="24"/>
          <w:szCs w:val="24"/>
        </w:rPr>
      </w:pPr>
    </w:p>
    <w:p w:rsidR="003E276C" w:rsidP="00743D8F" w14:paraId="169C62F2" w14:textId="69EC5C9A">
      <w:pPr>
        <w:tabs>
          <w:tab w:val="left" w:pos="-720"/>
        </w:tabs>
        <w:suppressAutoHyphens/>
        <w:rPr>
          <w:sz w:val="24"/>
          <w:szCs w:val="24"/>
        </w:rPr>
      </w:pPr>
      <w:r>
        <w:rPr>
          <w:sz w:val="24"/>
          <w:szCs w:val="24"/>
        </w:rPr>
        <w:tab/>
      </w:r>
      <w:r w:rsidR="00594B90">
        <w:rPr>
          <w:sz w:val="24"/>
          <w:szCs w:val="24"/>
        </w:rPr>
        <w:t>No inquiries of a sensitive nature were made</w:t>
      </w:r>
      <w:r w:rsidR="00923BF3">
        <w:rPr>
          <w:sz w:val="24"/>
          <w:szCs w:val="24"/>
        </w:rPr>
        <w:t>.</w:t>
      </w:r>
      <w:r w:rsidR="00594B90">
        <w:rPr>
          <w:sz w:val="24"/>
          <w:szCs w:val="24"/>
        </w:rPr>
        <w:t xml:space="preserve"> This information collection does not collect any personal identifiable information</w:t>
      </w:r>
      <w:r w:rsidR="00015768">
        <w:rPr>
          <w:sz w:val="24"/>
          <w:szCs w:val="24"/>
        </w:rPr>
        <w:t xml:space="preserve"> of a sens</w:t>
      </w:r>
      <w:r w:rsidR="00C40574">
        <w:rPr>
          <w:sz w:val="24"/>
          <w:szCs w:val="24"/>
        </w:rPr>
        <w:t>itive nature</w:t>
      </w:r>
      <w:r w:rsidR="00594B90">
        <w:rPr>
          <w:sz w:val="24"/>
          <w:szCs w:val="24"/>
        </w:rPr>
        <w:t>.</w:t>
      </w:r>
    </w:p>
    <w:p w:rsidR="0034552B" w:rsidRPr="00743D8F" w:rsidP="00743D8F" w14:paraId="088CA21A" w14:textId="77777777">
      <w:pPr>
        <w:tabs>
          <w:tab w:val="left" w:pos="-720"/>
        </w:tabs>
        <w:suppressAutoHyphens/>
        <w:rPr>
          <w:sz w:val="24"/>
          <w:szCs w:val="24"/>
        </w:rPr>
      </w:pPr>
    </w:p>
    <w:p w:rsidR="003E276C" w:rsidRPr="00D14684" w:rsidP="00D14684" w14:paraId="16337E2A" w14:textId="77777777">
      <w:pPr>
        <w:keepNext/>
        <w:tabs>
          <w:tab w:val="left" w:pos="-720"/>
          <w:tab w:val="left" w:pos="0"/>
          <w:tab w:val="left" w:pos="720"/>
        </w:tabs>
        <w:suppressAutoHyphens/>
        <w:ind w:left="720" w:hanging="720"/>
        <w:rPr>
          <w:b/>
          <w:sz w:val="24"/>
          <w:szCs w:val="24"/>
        </w:rPr>
      </w:pPr>
      <w:r w:rsidRPr="00D14684">
        <w:rPr>
          <w:b/>
          <w:sz w:val="24"/>
          <w:szCs w:val="24"/>
        </w:rPr>
        <w:t>12.</w:t>
      </w:r>
      <w:r w:rsidRPr="00D14684">
        <w:rPr>
          <w:b/>
          <w:sz w:val="24"/>
          <w:szCs w:val="24"/>
        </w:rPr>
        <w:tab/>
      </w:r>
      <w:r w:rsidRPr="00637CF6" w:rsidR="000E14C7">
        <w:rPr>
          <w:b/>
          <w:sz w:val="24"/>
          <w:szCs w:val="24"/>
        </w:rPr>
        <w:t>Burden of Information Collection</w:t>
      </w:r>
    </w:p>
    <w:p w:rsidR="002E1756" w:rsidP="00E40068" w14:paraId="507BC602" w14:textId="77777777">
      <w:pPr>
        <w:rPr>
          <w:sz w:val="24"/>
          <w:szCs w:val="24"/>
        </w:rPr>
      </w:pPr>
      <w:r>
        <w:rPr>
          <w:sz w:val="24"/>
          <w:szCs w:val="24"/>
        </w:rPr>
        <w:tab/>
      </w:r>
    </w:p>
    <w:p w:rsidR="00FD295E" w:rsidP="00FD295E" w14:paraId="37680FC5" w14:textId="2F3667ED">
      <w:pPr>
        <w:pStyle w:val="BodyText"/>
        <w:ind w:firstLine="720"/>
        <w:jc w:val="left"/>
        <w:rPr>
          <w:iCs/>
        </w:rPr>
      </w:pPr>
      <w:r>
        <w:t>T</w:t>
      </w:r>
      <w:r w:rsidR="008C4095">
        <w:t>he</w:t>
      </w:r>
      <w:r w:rsidR="00755A1C">
        <w:t xml:space="preserve"> cumulative impact of the</w:t>
      </w:r>
      <w:r w:rsidR="008C4095">
        <w:t xml:space="preserve"> </w:t>
      </w:r>
      <w:r w:rsidR="00755A1C">
        <w:t>Commission’s estimates when adopting</w:t>
      </w:r>
      <w:r w:rsidR="0022380D">
        <w:t xml:space="preserve"> and subsequently amending</w:t>
      </w:r>
      <w:r w:rsidR="00755A1C">
        <w:t xml:space="preserve"> Rule 17g-2</w:t>
      </w:r>
      <w:r>
        <w:t xml:space="preserve"> results in a</w:t>
      </w:r>
      <w:r w:rsidR="0022380D">
        <w:t xml:space="preserve"> </w:t>
      </w:r>
      <w:r w:rsidR="00D20032">
        <w:t>total</w:t>
      </w:r>
      <w:r w:rsidR="00F41BFB">
        <w:t xml:space="preserve"> </w:t>
      </w:r>
      <w:r w:rsidR="00D20032">
        <w:t xml:space="preserve">annual </w:t>
      </w:r>
      <w:r w:rsidR="00F41BFB">
        <w:t xml:space="preserve">burden estimate </w:t>
      </w:r>
      <w:r>
        <w:t>of</w:t>
      </w:r>
      <w:r w:rsidR="004463E0">
        <w:t xml:space="preserve"> 239</w:t>
      </w:r>
      <w:r w:rsidR="00B6692B">
        <w:t xml:space="preserve"> annual hours per respondent</w:t>
      </w:r>
      <w:r w:rsidR="0022380D">
        <w:t>.</w:t>
      </w:r>
      <w:r>
        <w:rPr>
          <w:rStyle w:val="FootnoteReference"/>
        </w:rPr>
        <w:footnoteReference w:id="15"/>
      </w:r>
      <w:r w:rsidR="00B6692B">
        <w:t xml:space="preserve"> </w:t>
      </w:r>
      <w:r w:rsidR="00755A1C">
        <w:t xml:space="preserve"> </w:t>
      </w:r>
      <w:r w:rsidRPr="00017AD4" w:rsidR="00017AD4">
        <w:t>Based on staff</w:t>
      </w:r>
      <w:r w:rsidR="00D139B4">
        <w:t>’s</w:t>
      </w:r>
      <w:r w:rsidRPr="00017AD4" w:rsidR="00017AD4">
        <w:t xml:space="preserve"> experience, and in response to the comment received, </w:t>
      </w:r>
      <w:r>
        <w:rPr>
          <w:iCs/>
        </w:rPr>
        <w:t>C</w:t>
      </w:r>
      <w:r w:rsidRPr="00D14A3C">
        <w:rPr>
          <w:iCs/>
        </w:rPr>
        <w:t xml:space="preserve">ommission </w:t>
      </w:r>
      <w:r w:rsidR="00821B99">
        <w:rPr>
          <w:iCs/>
        </w:rPr>
        <w:t>staff believes it is appropriate to increase the estimated average burden</w:t>
      </w:r>
      <w:r w:rsidR="00D06062">
        <w:rPr>
          <w:iCs/>
        </w:rPr>
        <w:t xml:space="preserve"> per respondent</w:t>
      </w:r>
      <w:r w:rsidR="00821B99">
        <w:rPr>
          <w:iCs/>
        </w:rPr>
        <w:t xml:space="preserve"> to 265 annual hours, for an ongoing </w:t>
      </w:r>
      <w:r w:rsidR="004762D2">
        <w:rPr>
          <w:iCs/>
        </w:rPr>
        <w:t>industry burden of 2,650 annual hours.</w:t>
      </w:r>
    </w:p>
    <w:p w:rsidR="00327B5E" w:rsidP="00FD295E" w14:paraId="1BD7D086" w14:textId="77777777">
      <w:pPr>
        <w:pStyle w:val="BodyText"/>
        <w:ind w:firstLine="720"/>
        <w:jc w:val="left"/>
        <w:rPr>
          <w:iCs/>
        </w:rPr>
      </w:pPr>
    </w:p>
    <w:tbl>
      <w:tblPr>
        <w:tblW w:w="5000" w:type="pct"/>
        <w:tblCellSpacing w:w="22" w:type="dxa"/>
        <w:tblCellMar>
          <w:left w:w="0" w:type="dxa"/>
          <w:right w:w="0" w:type="dxa"/>
        </w:tblCellMar>
        <w:tblLook w:val="04A0"/>
      </w:tblPr>
      <w:tblGrid>
        <w:gridCol w:w="9276"/>
        <w:gridCol w:w="84"/>
      </w:tblGrid>
      <w:tr w14:paraId="67FE6600" w14:textId="77777777" w:rsidTr="009B6CDD">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tcPr>
          <w:tbl>
            <w:tblPr>
              <w:tblW w:w="9161" w:type="dxa"/>
              <w:tblLook w:val="04A0"/>
            </w:tblPr>
            <w:tblGrid>
              <w:gridCol w:w="500"/>
              <w:gridCol w:w="1729"/>
              <w:gridCol w:w="647"/>
              <w:gridCol w:w="647"/>
              <w:gridCol w:w="680"/>
              <w:gridCol w:w="1076"/>
              <w:gridCol w:w="1076"/>
              <w:gridCol w:w="817"/>
              <w:gridCol w:w="673"/>
              <w:gridCol w:w="605"/>
              <w:gridCol w:w="698"/>
            </w:tblGrid>
            <w:tr w14:paraId="1A4B91B8" w14:textId="77777777" w:rsidTr="00DF13A3">
              <w:tblPrEx>
                <w:tblW w:w="9161" w:type="dxa"/>
                <w:tblLook w:val="04A0"/>
              </w:tblPrEx>
              <w:trPr>
                <w:trHeight w:val="290"/>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6CDD" w:rsidRPr="009B6CDD" w:rsidP="009B6CDD" w14:paraId="41676139" w14:textId="77777777">
                  <w:pPr>
                    <w:overflowPunct/>
                    <w:autoSpaceDE/>
                    <w:autoSpaceDN/>
                    <w:adjustRightInd/>
                    <w:textAlignment w:val="auto"/>
                    <w:rPr>
                      <w:rFonts w:ascii="Calibri" w:hAnsi="Calibri" w:cs="Calibri"/>
                      <w:b/>
                      <w:bCs/>
                      <w:color w:val="000000"/>
                      <w:sz w:val="22"/>
                      <w:szCs w:val="22"/>
                    </w:rPr>
                  </w:pPr>
                  <w:r w:rsidRPr="009B6CDD">
                    <w:rPr>
                      <w:rFonts w:ascii="Calibri" w:hAnsi="Calibri" w:cs="Calibri"/>
                      <w:b/>
                      <w:bCs/>
                      <w:color w:val="000000"/>
                      <w:sz w:val="22"/>
                      <w:szCs w:val="22"/>
                    </w:rPr>
                    <w:t>IC</w:t>
                  </w:r>
                </w:p>
              </w:tc>
              <w:tc>
                <w:tcPr>
                  <w:tcW w:w="1734" w:type="dxa"/>
                  <w:tcBorders>
                    <w:top w:val="single" w:sz="4" w:space="0" w:color="auto"/>
                    <w:left w:val="nil"/>
                    <w:bottom w:val="single" w:sz="4" w:space="0" w:color="auto"/>
                    <w:right w:val="single" w:sz="8" w:space="0" w:color="auto"/>
                  </w:tcBorders>
                  <w:shd w:val="clear" w:color="auto" w:fill="auto"/>
                  <w:noWrap/>
                  <w:vAlign w:val="bottom"/>
                  <w:hideMark/>
                </w:tcPr>
                <w:p w:rsidR="009B6CDD" w:rsidRPr="009B6CDD" w:rsidP="009B6CDD" w14:paraId="3609988E" w14:textId="65865DE1">
                  <w:pPr>
                    <w:overflowPunct/>
                    <w:autoSpaceDE/>
                    <w:autoSpaceDN/>
                    <w:adjustRightInd/>
                    <w:textAlignment w:val="auto"/>
                    <w:rPr>
                      <w:rFonts w:ascii="Calibri" w:hAnsi="Calibri" w:cs="Calibri"/>
                      <w:b/>
                      <w:bCs/>
                      <w:color w:val="000000"/>
                      <w:sz w:val="22"/>
                      <w:szCs w:val="22"/>
                    </w:rPr>
                  </w:pPr>
                  <w:r w:rsidRPr="009B6CDD">
                    <w:rPr>
                      <w:rFonts w:ascii="Calibri" w:hAnsi="Calibri" w:cs="Calibri"/>
                      <w:b/>
                      <w:bCs/>
                      <w:color w:val="000000"/>
                      <w:sz w:val="22"/>
                      <w:szCs w:val="22"/>
                    </w:rPr>
                    <w:t>IC Title</w:t>
                  </w:r>
                </w:p>
              </w:tc>
              <w:tc>
                <w:tcPr>
                  <w:tcW w:w="1978" w:type="dxa"/>
                  <w:gridSpan w:val="3"/>
                  <w:tcBorders>
                    <w:top w:val="single" w:sz="4" w:space="0" w:color="auto"/>
                    <w:left w:val="nil"/>
                    <w:bottom w:val="single" w:sz="4" w:space="0" w:color="auto"/>
                    <w:right w:val="nil"/>
                  </w:tcBorders>
                  <w:shd w:val="clear" w:color="auto" w:fill="auto"/>
                  <w:noWrap/>
                  <w:vAlign w:val="bottom"/>
                  <w:hideMark/>
                </w:tcPr>
                <w:p w:rsidR="009B6CDD" w:rsidRPr="009B6CDD" w:rsidP="009B6CDD" w14:paraId="292E590D" w14:textId="77777777">
                  <w:pPr>
                    <w:overflowPunct/>
                    <w:autoSpaceDE/>
                    <w:autoSpaceDN/>
                    <w:adjustRightInd/>
                    <w:jc w:val="center"/>
                    <w:textAlignment w:val="auto"/>
                    <w:rPr>
                      <w:rFonts w:ascii="Calibri" w:hAnsi="Calibri" w:cs="Calibri"/>
                      <w:b/>
                      <w:bCs/>
                      <w:color w:val="000000"/>
                      <w:sz w:val="22"/>
                      <w:szCs w:val="22"/>
                    </w:rPr>
                  </w:pPr>
                  <w:r w:rsidRPr="009B6CDD">
                    <w:rPr>
                      <w:rFonts w:ascii="Calibri" w:hAnsi="Calibri" w:cs="Calibri"/>
                      <w:b/>
                      <w:bCs/>
                      <w:color w:val="000000"/>
                      <w:sz w:val="22"/>
                      <w:szCs w:val="22"/>
                    </w:rPr>
                    <w:t>Annual No. of Responses</w:t>
                  </w:r>
                </w:p>
              </w:tc>
              <w:tc>
                <w:tcPr>
                  <w:tcW w:w="2977"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B6CDD" w:rsidRPr="009B6CDD" w:rsidP="009B6CDD" w14:paraId="721B1CEA" w14:textId="77777777">
                  <w:pPr>
                    <w:overflowPunct/>
                    <w:autoSpaceDE/>
                    <w:autoSpaceDN/>
                    <w:adjustRightInd/>
                    <w:jc w:val="center"/>
                    <w:textAlignment w:val="auto"/>
                    <w:rPr>
                      <w:rFonts w:ascii="Calibri" w:hAnsi="Calibri" w:cs="Calibri"/>
                      <w:b/>
                      <w:bCs/>
                      <w:color w:val="000000"/>
                      <w:sz w:val="22"/>
                      <w:szCs w:val="22"/>
                    </w:rPr>
                  </w:pPr>
                  <w:r w:rsidRPr="009B6CDD">
                    <w:rPr>
                      <w:rFonts w:ascii="Calibri" w:hAnsi="Calibri" w:cs="Calibri"/>
                      <w:b/>
                      <w:bCs/>
                      <w:color w:val="000000"/>
                      <w:sz w:val="22"/>
                      <w:szCs w:val="22"/>
                    </w:rPr>
                    <w:t>Annual Time Burden (Hrs.)</w:t>
                  </w:r>
                </w:p>
              </w:tc>
              <w:tc>
                <w:tcPr>
                  <w:tcW w:w="19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B6CDD" w:rsidRPr="009B6CDD" w:rsidP="009B6CDD" w14:paraId="15312B01" w14:textId="77777777">
                  <w:pPr>
                    <w:overflowPunct/>
                    <w:autoSpaceDE/>
                    <w:autoSpaceDN/>
                    <w:adjustRightInd/>
                    <w:jc w:val="center"/>
                    <w:textAlignment w:val="auto"/>
                    <w:rPr>
                      <w:rFonts w:ascii="Calibri" w:hAnsi="Calibri" w:cs="Calibri"/>
                      <w:b/>
                      <w:bCs/>
                      <w:color w:val="000000"/>
                      <w:sz w:val="22"/>
                      <w:szCs w:val="22"/>
                    </w:rPr>
                  </w:pPr>
                  <w:r w:rsidRPr="009B6CDD">
                    <w:rPr>
                      <w:rFonts w:ascii="Calibri" w:hAnsi="Calibri" w:cs="Calibri"/>
                      <w:b/>
                      <w:bCs/>
                      <w:color w:val="000000"/>
                      <w:sz w:val="22"/>
                      <w:szCs w:val="22"/>
                    </w:rPr>
                    <w:t>Burden Cost Burden ($)</w:t>
                  </w:r>
                </w:p>
              </w:tc>
            </w:tr>
            <w:tr w14:paraId="353AF251" w14:textId="77777777" w:rsidTr="00E75B58">
              <w:tblPrEx>
                <w:tblW w:w="9161" w:type="dxa"/>
                <w:tblLook w:val="04A0"/>
              </w:tblPrEx>
              <w:trPr>
                <w:cantSplit/>
                <w:trHeight w:val="1134"/>
              </w:trPr>
              <w:tc>
                <w:tcPr>
                  <w:tcW w:w="492" w:type="dxa"/>
                  <w:tcBorders>
                    <w:top w:val="nil"/>
                    <w:left w:val="single" w:sz="4" w:space="0" w:color="auto"/>
                    <w:bottom w:val="single" w:sz="4" w:space="0" w:color="auto"/>
                    <w:right w:val="single" w:sz="4" w:space="0" w:color="auto"/>
                  </w:tcBorders>
                  <w:shd w:val="clear" w:color="auto" w:fill="auto"/>
                  <w:textDirection w:val="btLr"/>
                  <w:vAlign w:val="center"/>
                  <w:hideMark/>
                </w:tcPr>
                <w:p w:rsidR="009B6CDD" w:rsidRPr="009B6CDD" w:rsidP="009B6CDD" w14:paraId="6021F6D7" w14:textId="77777777">
                  <w:pPr>
                    <w:overflowPunct/>
                    <w:autoSpaceDE/>
                    <w:autoSpaceDN/>
                    <w:adjustRightInd/>
                    <w:ind w:left="113" w:right="113"/>
                    <w:jc w:val="center"/>
                    <w:textAlignment w:val="auto"/>
                    <w:rPr>
                      <w:rFonts w:ascii="Calibri" w:hAnsi="Calibri" w:cs="Calibri"/>
                      <w:color w:val="000000"/>
                      <w:sz w:val="18"/>
                      <w:szCs w:val="18"/>
                    </w:rPr>
                  </w:pPr>
                  <w:r w:rsidRPr="009B6CDD">
                    <w:rPr>
                      <w:rFonts w:ascii="Calibri" w:hAnsi="Calibri" w:cs="Calibri"/>
                      <w:color w:val="000000"/>
                      <w:sz w:val="18"/>
                      <w:szCs w:val="18"/>
                    </w:rPr>
                    <w:t> </w:t>
                  </w:r>
                </w:p>
              </w:tc>
              <w:tc>
                <w:tcPr>
                  <w:tcW w:w="1734" w:type="dxa"/>
                  <w:tcBorders>
                    <w:top w:val="nil"/>
                    <w:left w:val="nil"/>
                    <w:bottom w:val="single" w:sz="4" w:space="0" w:color="auto"/>
                    <w:right w:val="nil"/>
                  </w:tcBorders>
                  <w:shd w:val="clear" w:color="auto" w:fill="auto"/>
                  <w:textDirection w:val="btLr"/>
                  <w:vAlign w:val="center"/>
                  <w:hideMark/>
                </w:tcPr>
                <w:p w:rsidR="009B6CDD" w:rsidRPr="009B6CDD" w:rsidP="009B6CDD" w14:paraId="12077C63" w14:textId="77777777">
                  <w:pPr>
                    <w:overflowPunct/>
                    <w:autoSpaceDE/>
                    <w:autoSpaceDN/>
                    <w:adjustRightInd/>
                    <w:ind w:left="113" w:right="113"/>
                    <w:textAlignment w:val="auto"/>
                    <w:rPr>
                      <w:rFonts w:ascii="Calibri" w:hAnsi="Calibri" w:cs="Calibri"/>
                      <w:color w:val="000000"/>
                      <w:sz w:val="18"/>
                      <w:szCs w:val="18"/>
                    </w:rPr>
                  </w:pPr>
                  <w:r w:rsidRPr="009B6CDD">
                    <w:rPr>
                      <w:rFonts w:ascii="Calibri" w:hAnsi="Calibri" w:cs="Calibri"/>
                      <w:color w:val="000000"/>
                      <w:sz w:val="18"/>
                      <w:szCs w:val="18"/>
                    </w:rPr>
                    <w:t> </w:t>
                  </w:r>
                </w:p>
              </w:tc>
              <w:tc>
                <w:tcPr>
                  <w:tcW w:w="648" w:type="dxa"/>
                  <w:tcBorders>
                    <w:top w:val="nil"/>
                    <w:left w:val="single" w:sz="8" w:space="0" w:color="auto"/>
                    <w:bottom w:val="single" w:sz="4" w:space="0" w:color="auto"/>
                    <w:right w:val="single" w:sz="4" w:space="0" w:color="auto"/>
                  </w:tcBorders>
                  <w:shd w:val="clear" w:color="auto" w:fill="auto"/>
                  <w:textDirection w:val="btLr"/>
                  <w:vAlign w:val="center"/>
                  <w:hideMark/>
                </w:tcPr>
                <w:p w:rsidR="009B6CDD" w:rsidRPr="009B6CDD" w:rsidP="009B6CDD" w14:paraId="443B931E" w14:textId="77777777">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Previously approved</w:t>
                  </w:r>
                </w:p>
              </w:tc>
              <w:tc>
                <w:tcPr>
                  <w:tcW w:w="648" w:type="dxa"/>
                  <w:tcBorders>
                    <w:top w:val="nil"/>
                    <w:left w:val="nil"/>
                    <w:bottom w:val="single" w:sz="4" w:space="0" w:color="auto"/>
                    <w:right w:val="single" w:sz="4" w:space="0" w:color="auto"/>
                  </w:tcBorders>
                  <w:shd w:val="clear" w:color="auto" w:fill="auto"/>
                  <w:textDirection w:val="btLr"/>
                  <w:vAlign w:val="center"/>
                  <w:hideMark/>
                </w:tcPr>
                <w:p w:rsidR="009B6CDD" w:rsidRPr="009B6CDD" w:rsidP="009B6CDD" w14:paraId="3C87C5BB" w14:textId="77777777">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Requested</w:t>
                  </w:r>
                </w:p>
              </w:tc>
              <w:tc>
                <w:tcPr>
                  <w:tcW w:w="682" w:type="dxa"/>
                  <w:tcBorders>
                    <w:top w:val="nil"/>
                    <w:left w:val="nil"/>
                    <w:bottom w:val="single" w:sz="4" w:space="0" w:color="auto"/>
                    <w:right w:val="nil"/>
                  </w:tcBorders>
                  <w:shd w:val="clear" w:color="auto" w:fill="auto"/>
                  <w:textDirection w:val="btLr"/>
                  <w:vAlign w:val="center"/>
                  <w:hideMark/>
                </w:tcPr>
                <w:p w:rsidR="009B6CDD" w:rsidRPr="009B6CDD" w:rsidP="009B6CDD" w14:paraId="3FB97CFC" w14:textId="77777777">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Change</w:t>
                  </w:r>
                </w:p>
              </w:tc>
              <w:tc>
                <w:tcPr>
                  <w:tcW w:w="1079" w:type="dxa"/>
                  <w:tcBorders>
                    <w:top w:val="nil"/>
                    <w:left w:val="single" w:sz="8" w:space="0" w:color="auto"/>
                    <w:bottom w:val="single" w:sz="4" w:space="0" w:color="auto"/>
                    <w:right w:val="single" w:sz="4" w:space="0" w:color="auto"/>
                  </w:tcBorders>
                  <w:shd w:val="clear" w:color="auto" w:fill="auto"/>
                  <w:textDirection w:val="btLr"/>
                  <w:vAlign w:val="center"/>
                  <w:hideMark/>
                </w:tcPr>
                <w:p w:rsidR="009B6CDD" w:rsidRPr="009B6CDD" w:rsidP="009B6CDD" w14:paraId="49FCB885" w14:textId="77777777">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Previously approved</w:t>
                  </w:r>
                </w:p>
              </w:tc>
              <w:tc>
                <w:tcPr>
                  <w:tcW w:w="1079" w:type="dxa"/>
                  <w:tcBorders>
                    <w:top w:val="nil"/>
                    <w:left w:val="nil"/>
                    <w:bottom w:val="single" w:sz="4" w:space="0" w:color="auto"/>
                    <w:right w:val="single" w:sz="4" w:space="0" w:color="auto"/>
                  </w:tcBorders>
                  <w:shd w:val="clear" w:color="auto" w:fill="auto"/>
                  <w:textDirection w:val="btLr"/>
                  <w:vAlign w:val="center"/>
                  <w:hideMark/>
                </w:tcPr>
                <w:p w:rsidR="009B6CDD" w:rsidRPr="009B6CDD" w:rsidP="009B6CDD" w14:paraId="7F3FB282" w14:textId="77777777">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Requested</w:t>
                  </w:r>
                </w:p>
              </w:tc>
              <w:tc>
                <w:tcPr>
                  <w:tcW w:w="819" w:type="dxa"/>
                  <w:tcBorders>
                    <w:top w:val="nil"/>
                    <w:left w:val="nil"/>
                    <w:bottom w:val="nil"/>
                    <w:right w:val="nil"/>
                  </w:tcBorders>
                  <w:shd w:val="clear" w:color="auto" w:fill="auto"/>
                  <w:textDirection w:val="btLr"/>
                  <w:vAlign w:val="center"/>
                  <w:hideMark/>
                </w:tcPr>
                <w:p w:rsidR="009B6CDD" w:rsidRPr="009B6CDD" w:rsidP="009B6CDD" w14:paraId="49B03085" w14:textId="77777777">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Change</w:t>
                  </w:r>
                </w:p>
              </w:tc>
              <w:tc>
                <w:tcPr>
                  <w:tcW w:w="674" w:type="dxa"/>
                  <w:tcBorders>
                    <w:top w:val="nil"/>
                    <w:left w:val="single" w:sz="8" w:space="0" w:color="auto"/>
                    <w:bottom w:val="single" w:sz="4" w:space="0" w:color="auto"/>
                    <w:right w:val="single" w:sz="4" w:space="0" w:color="auto"/>
                  </w:tcBorders>
                  <w:shd w:val="clear" w:color="auto" w:fill="auto"/>
                  <w:textDirection w:val="btLr"/>
                  <w:vAlign w:val="center"/>
                  <w:hideMark/>
                </w:tcPr>
                <w:p w:rsidR="009B6CDD" w:rsidRPr="009B6CDD" w:rsidP="009B6CDD" w14:paraId="07422B92" w14:textId="77777777">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Previously approved</w:t>
                  </w:r>
                </w:p>
              </w:tc>
              <w:tc>
                <w:tcPr>
                  <w:tcW w:w="606" w:type="dxa"/>
                  <w:tcBorders>
                    <w:top w:val="nil"/>
                    <w:left w:val="nil"/>
                    <w:bottom w:val="single" w:sz="4" w:space="0" w:color="auto"/>
                    <w:right w:val="single" w:sz="4" w:space="0" w:color="auto"/>
                  </w:tcBorders>
                  <w:shd w:val="clear" w:color="auto" w:fill="auto"/>
                  <w:textDirection w:val="btLr"/>
                  <w:vAlign w:val="center"/>
                  <w:hideMark/>
                </w:tcPr>
                <w:p w:rsidR="009B6CDD" w:rsidRPr="009B6CDD" w:rsidP="009B6CDD" w14:paraId="108E3DEF" w14:textId="77777777">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Requested</w:t>
                  </w:r>
                </w:p>
              </w:tc>
              <w:tc>
                <w:tcPr>
                  <w:tcW w:w="700" w:type="dxa"/>
                  <w:tcBorders>
                    <w:top w:val="nil"/>
                    <w:left w:val="nil"/>
                    <w:bottom w:val="nil"/>
                    <w:right w:val="single" w:sz="4" w:space="0" w:color="auto"/>
                  </w:tcBorders>
                  <w:shd w:val="clear" w:color="auto" w:fill="auto"/>
                  <w:textDirection w:val="btLr"/>
                  <w:vAlign w:val="center"/>
                  <w:hideMark/>
                </w:tcPr>
                <w:p w:rsidR="009B6CDD" w:rsidRPr="009B6CDD" w:rsidP="009B6CDD" w14:paraId="3BEAAEA6" w14:textId="77777777">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Change</w:t>
                  </w:r>
                </w:p>
              </w:tc>
            </w:tr>
            <w:tr w14:paraId="055CC86F" w14:textId="77777777" w:rsidTr="00E75B58">
              <w:tblPrEx>
                <w:tblW w:w="9161" w:type="dxa"/>
                <w:tblLook w:val="04A0"/>
              </w:tblPrEx>
              <w:trPr>
                <w:trHeight w:val="29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9B6CDD" w:rsidRPr="009B6CDD" w:rsidP="009B6CDD" w14:paraId="316EE95D" w14:textId="77777777">
                  <w:pPr>
                    <w:overflowPunct/>
                    <w:autoSpaceDE/>
                    <w:autoSpaceDN/>
                    <w:adjustRightInd/>
                    <w:textAlignment w:val="auto"/>
                    <w:rPr>
                      <w:rFonts w:ascii="Calibri" w:hAnsi="Calibri" w:cs="Calibri"/>
                      <w:color w:val="000000"/>
                      <w:sz w:val="22"/>
                      <w:szCs w:val="22"/>
                    </w:rPr>
                  </w:pPr>
                  <w:r w:rsidRPr="009B6CDD">
                    <w:rPr>
                      <w:rFonts w:ascii="Calibri" w:hAnsi="Calibri" w:cs="Calibri"/>
                      <w:color w:val="000000"/>
                      <w:sz w:val="22"/>
                      <w:szCs w:val="22"/>
                    </w:rPr>
                    <w:t>IC1</w:t>
                  </w:r>
                </w:p>
              </w:tc>
              <w:tc>
                <w:tcPr>
                  <w:tcW w:w="1734" w:type="dxa"/>
                  <w:tcBorders>
                    <w:top w:val="nil"/>
                    <w:left w:val="nil"/>
                    <w:bottom w:val="single" w:sz="4" w:space="0" w:color="auto"/>
                    <w:right w:val="nil"/>
                  </w:tcBorders>
                  <w:shd w:val="clear" w:color="auto" w:fill="auto"/>
                  <w:noWrap/>
                  <w:vAlign w:val="bottom"/>
                  <w:hideMark/>
                </w:tcPr>
                <w:p w:rsidR="009B6CDD" w:rsidRPr="009B6CDD" w:rsidP="009B6CDD" w14:paraId="06FB69C2" w14:textId="77777777">
                  <w:pPr>
                    <w:overflowPunct/>
                    <w:autoSpaceDE/>
                    <w:autoSpaceDN/>
                    <w:adjustRightInd/>
                    <w:textAlignment w:val="auto"/>
                    <w:rPr>
                      <w:rFonts w:ascii="Calibri" w:hAnsi="Calibri" w:cs="Calibri"/>
                      <w:color w:val="000000"/>
                      <w:sz w:val="22"/>
                      <w:szCs w:val="22"/>
                    </w:rPr>
                  </w:pPr>
                  <w:r w:rsidRPr="009B6CDD">
                    <w:rPr>
                      <w:rFonts w:ascii="Calibri" w:hAnsi="Calibri" w:cs="Calibri"/>
                      <w:color w:val="000000"/>
                      <w:sz w:val="22"/>
                      <w:szCs w:val="22"/>
                    </w:rPr>
                    <w:t>Ongoing Recordkeeping</w:t>
                  </w:r>
                </w:p>
              </w:tc>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9B6CDD" w:rsidRPr="009B6CDD" w:rsidP="009B6CDD" w14:paraId="7614EA33" w14:textId="1258EC01">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9</w:t>
                  </w:r>
                </w:p>
              </w:tc>
              <w:tc>
                <w:tcPr>
                  <w:tcW w:w="648"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1B69A59C" w14:textId="2F7ED25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10</w:t>
                  </w:r>
                </w:p>
              </w:tc>
              <w:tc>
                <w:tcPr>
                  <w:tcW w:w="682" w:type="dxa"/>
                  <w:tcBorders>
                    <w:top w:val="nil"/>
                    <w:left w:val="nil"/>
                    <w:bottom w:val="single" w:sz="4" w:space="0" w:color="auto"/>
                    <w:right w:val="single" w:sz="8" w:space="0" w:color="auto"/>
                  </w:tcBorders>
                  <w:shd w:val="clear" w:color="auto" w:fill="auto"/>
                  <w:noWrap/>
                  <w:vAlign w:val="bottom"/>
                  <w:hideMark/>
                </w:tcPr>
                <w:p w:rsidR="009B6CDD" w:rsidRPr="009B6CDD" w:rsidP="009B6CDD" w14:paraId="3F03078C" w14:textId="102975E4">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w:t>
                  </w:r>
                </w:p>
              </w:tc>
              <w:tc>
                <w:tcPr>
                  <w:tcW w:w="1079"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72455056" w14:textId="453DA5C5">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2106</w:t>
                  </w:r>
                </w:p>
              </w:tc>
              <w:tc>
                <w:tcPr>
                  <w:tcW w:w="1079" w:type="dxa"/>
                  <w:tcBorders>
                    <w:top w:val="nil"/>
                    <w:left w:val="nil"/>
                    <w:bottom w:val="single" w:sz="4" w:space="0" w:color="auto"/>
                    <w:right w:val="single" w:sz="4" w:space="0" w:color="auto"/>
                  </w:tcBorders>
                  <w:shd w:val="clear" w:color="auto" w:fill="auto"/>
                  <w:noWrap/>
                  <w:vAlign w:val="bottom"/>
                  <w:hideMark/>
                </w:tcPr>
                <w:p w:rsidR="009B6CDD" w:rsidRPr="009B6CDD" w:rsidP="00BC62BD" w14:paraId="6827E235" w14:textId="1BEE0A86">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26</w:t>
                  </w:r>
                  <w:r w:rsidR="00C23812">
                    <w:rPr>
                      <w:rFonts w:ascii="Calibri" w:hAnsi="Calibri" w:cs="Calibri"/>
                      <w:color w:val="000000"/>
                      <w:sz w:val="22"/>
                      <w:szCs w:val="22"/>
                    </w:rPr>
                    <w:t>0</w:t>
                  </w:r>
                  <w:r>
                    <w:rPr>
                      <w:rFonts w:ascii="Calibri" w:hAnsi="Calibri" w:cs="Calibri"/>
                      <w:color w:val="000000"/>
                      <w:sz w:val="22"/>
                      <w:szCs w:val="22"/>
                    </w:rPr>
                    <w:t>0</w:t>
                  </w:r>
                </w:p>
              </w:tc>
              <w:tc>
                <w:tcPr>
                  <w:tcW w:w="819" w:type="dxa"/>
                  <w:tcBorders>
                    <w:top w:val="single" w:sz="4" w:space="0" w:color="auto"/>
                    <w:left w:val="nil"/>
                    <w:bottom w:val="single" w:sz="4" w:space="0" w:color="auto"/>
                    <w:right w:val="nil"/>
                  </w:tcBorders>
                  <w:shd w:val="clear" w:color="auto" w:fill="auto"/>
                  <w:noWrap/>
                  <w:vAlign w:val="bottom"/>
                  <w:hideMark/>
                </w:tcPr>
                <w:p w:rsidR="009B6CDD" w:rsidRPr="009B6CDD" w:rsidP="009B6CDD" w14:paraId="5D1E0BE8" w14:textId="352F5714">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w:t>
                  </w:r>
                  <w:r w:rsidR="000A1F5C">
                    <w:rPr>
                      <w:rFonts w:ascii="Calibri" w:hAnsi="Calibri" w:cs="Calibri"/>
                      <w:color w:val="000000"/>
                      <w:sz w:val="22"/>
                      <w:szCs w:val="22"/>
                    </w:rPr>
                    <w:t>494</w:t>
                  </w:r>
                </w:p>
              </w:tc>
              <w:tc>
                <w:tcPr>
                  <w:tcW w:w="674" w:type="dxa"/>
                  <w:tcBorders>
                    <w:top w:val="nil"/>
                    <w:left w:val="single" w:sz="8" w:space="0" w:color="auto"/>
                    <w:bottom w:val="single" w:sz="4" w:space="0" w:color="auto"/>
                    <w:right w:val="single" w:sz="4" w:space="0" w:color="auto"/>
                  </w:tcBorders>
                  <w:shd w:val="clear" w:color="auto" w:fill="auto"/>
                  <w:noWrap/>
                  <w:vAlign w:val="bottom"/>
                  <w:hideMark/>
                </w:tcPr>
                <w:p w:rsidR="009B6CDD" w:rsidRPr="009B6CDD" w:rsidP="009B6CDD" w14:paraId="64BB9866" w14:textId="77777777">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606"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0BD26816" w14:textId="77777777">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9B6CDD" w:rsidRPr="009B6CDD" w:rsidP="009B6CDD" w14:paraId="21EFBE1B" w14:textId="77777777">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r>
            <w:tr w14:paraId="572465CB" w14:textId="77777777" w:rsidTr="00E75B58">
              <w:tblPrEx>
                <w:tblW w:w="9161" w:type="dxa"/>
                <w:tblLook w:val="04A0"/>
              </w:tblPrEx>
              <w:trPr>
                <w:trHeight w:val="3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9B6CDD" w:rsidRPr="009B6CDD" w:rsidP="009B6CDD" w14:paraId="53820DC2" w14:textId="77777777">
                  <w:pPr>
                    <w:overflowPunct/>
                    <w:autoSpaceDE/>
                    <w:autoSpaceDN/>
                    <w:adjustRightInd/>
                    <w:textAlignment w:val="auto"/>
                    <w:rPr>
                      <w:rFonts w:ascii="Calibri" w:hAnsi="Calibri" w:cs="Calibri"/>
                      <w:color w:val="000000"/>
                      <w:sz w:val="22"/>
                      <w:szCs w:val="22"/>
                    </w:rPr>
                  </w:pPr>
                  <w:r w:rsidRPr="009B6CDD">
                    <w:rPr>
                      <w:rFonts w:ascii="Calibri" w:hAnsi="Calibri" w:cs="Calibri"/>
                      <w:color w:val="000000"/>
                      <w:sz w:val="22"/>
                      <w:szCs w:val="22"/>
                    </w:rPr>
                    <w:t>IC2</w:t>
                  </w:r>
                </w:p>
              </w:tc>
              <w:tc>
                <w:tcPr>
                  <w:tcW w:w="1734" w:type="dxa"/>
                  <w:tcBorders>
                    <w:top w:val="nil"/>
                    <w:left w:val="nil"/>
                    <w:bottom w:val="single" w:sz="4" w:space="0" w:color="auto"/>
                    <w:right w:val="nil"/>
                  </w:tcBorders>
                  <w:shd w:val="clear" w:color="auto" w:fill="auto"/>
                  <w:noWrap/>
                  <w:vAlign w:val="bottom"/>
                  <w:hideMark/>
                </w:tcPr>
                <w:p w:rsidR="009B6CDD" w:rsidRPr="009B6CDD" w:rsidP="009B6CDD" w14:paraId="3F56B799" w14:textId="77777777">
                  <w:pPr>
                    <w:overflowPunct/>
                    <w:autoSpaceDE/>
                    <w:autoSpaceDN/>
                    <w:adjustRightInd/>
                    <w:textAlignment w:val="auto"/>
                    <w:rPr>
                      <w:rFonts w:ascii="Calibri" w:hAnsi="Calibri" w:cs="Calibri"/>
                      <w:color w:val="000000"/>
                      <w:sz w:val="22"/>
                      <w:szCs w:val="22"/>
                    </w:rPr>
                  </w:pPr>
                  <w:r w:rsidRPr="009B6CDD">
                    <w:rPr>
                      <w:rFonts w:ascii="Calibri" w:hAnsi="Calibri" w:cs="Calibri"/>
                      <w:color w:val="000000"/>
                      <w:sz w:val="22"/>
                      <w:szCs w:val="22"/>
                    </w:rPr>
                    <w:t>Retaining Updated Records</w:t>
                  </w:r>
                </w:p>
              </w:tc>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9B6CDD" w:rsidRPr="009B6CDD" w:rsidP="009B6CDD" w14:paraId="7CCE468A" w14:textId="0D297EDE">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9</w:t>
                  </w:r>
                </w:p>
              </w:tc>
              <w:tc>
                <w:tcPr>
                  <w:tcW w:w="648"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107513CC" w14:textId="0F82EF51">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10</w:t>
                  </w:r>
                </w:p>
              </w:tc>
              <w:tc>
                <w:tcPr>
                  <w:tcW w:w="682" w:type="dxa"/>
                  <w:tcBorders>
                    <w:top w:val="nil"/>
                    <w:left w:val="nil"/>
                    <w:bottom w:val="single" w:sz="4" w:space="0" w:color="auto"/>
                    <w:right w:val="nil"/>
                  </w:tcBorders>
                  <w:shd w:val="clear" w:color="auto" w:fill="auto"/>
                  <w:noWrap/>
                  <w:vAlign w:val="bottom"/>
                  <w:hideMark/>
                </w:tcPr>
                <w:p w:rsidR="009B6CDD" w:rsidRPr="009B6CDD" w:rsidP="009B6CDD" w14:paraId="76852FBB" w14:textId="6857D3D1">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w:t>
                  </w:r>
                </w:p>
              </w:tc>
              <w:tc>
                <w:tcPr>
                  <w:tcW w:w="1079" w:type="dxa"/>
                  <w:tcBorders>
                    <w:top w:val="nil"/>
                    <w:left w:val="single" w:sz="8" w:space="0" w:color="auto"/>
                    <w:bottom w:val="single" w:sz="4" w:space="0" w:color="auto"/>
                    <w:right w:val="single" w:sz="4" w:space="0" w:color="auto"/>
                  </w:tcBorders>
                  <w:shd w:val="clear" w:color="auto" w:fill="auto"/>
                  <w:noWrap/>
                  <w:vAlign w:val="bottom"/>
                  <w:hideMark/>
                </w:tcPr>
                <w:p w:rsidR="009B6CDD" w:rsidRPr="009B6CDD" w:rsidP="009B6CDD" w14:paraId="6E8502BB" w14:textId="576EF956">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45</w:t>
                  </w:r>
                </w:p>
              </w:tc>
              <w:tc>
                <w:tcPr>
                  <w:tcW w:w="1079"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7FC6AC0D"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50</w:t>
                  </w:r>
                </w:p>
              </w:tc>
              <w:tc>
                <w:tcPr>
                  <w:tcW w:w="819" w:type="dxa"/>
                  <w:tcBorders>
                    <w:top w:val="nil"/>
                    <w:left w:val="nil"/>
                    <w:bottom w:val="single" w:sz="4" w:space="0" w:color="auto"/>
                    <w:right w:val="nil"/>
                  </w:tcBorders>
                  <w:shd w:val="clear" w:color="auto" w:fill="auto"/>
                  <w:noWrap/>
                  <w:vAlign w:val="bottom"/>
                  <w:hideMark/>
                </w:tcPr>
                <w:p w:rsidR="009B6CDD" w:rsidRPr="009B6CDD" w:rsidP="009B6CDD" w14:paraId="03C37320" w14:textId="240D2C2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+5</w:t>
                  </w:r>
                </w:p>
              </w:tc>
              <w:tc>
                <w:tcPr>
                  <w:tcW w:w="674" w:type="dxa"/>
                  <w:tcBorders>
                    <w:top w:val="nil"/>
                    <w:left w:val="single" w:sz="8" w:space="0" w:color="auto"/>
                    <w:bottom w:val="single" w:sz="4" w:space="0" w:color="auto"/>
                    <w:right w:val="single" w:sz="4" w:space="0" w:color="auto"/>
                  </w:tcBorders>
                  <w:shd w:val="clear" w:color="auto" w:fill="auto"/>
                  <w:noWrap/>
                  <w:vAlign w:val="bottom"/>
                  <w:hideMark/>
                </w:tcPr>
                <w:p w:rsidR="009B6CDD" w:rsidRPr="009B6CDD" w:rsidP="009B6CDD" w14:paraId="7C244499" w14:textId="77777777">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606"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1668A7B5" w14:textId="77777777">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47F683A0" w14:textId="77777777">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r>
            <w:tr w14:paraId="0984BAEE" w14:textId="77777777" w:rsidTr="00E75B58">
              <w:tblPrEx>
                <w:tblW w:w="9161" w:type="dxa"/>
                <w:tblLook w:val="04A0"/>
              </w:tblPrEx>
              <w:trPr>
                <w:trHeight w:val="290"/>
              </w:trPr>
              <w:tc>
                <w:tcPr>
                  <w:tcW w:w="2226" w:type="dxa"/>
                  <w:gridSpan w:val="2"/>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9B6CDD" w:rsidRPr="009B6CDD" w:rsidP="009B6CDD" w14:paraId="2A620054" w14:textId="77777777">
                  <w:pPr>
                    <w:overflowPunct/>
                    <w:autoSpaceDE/>
                    <w:autoSpaceDN/>
                    <w:adjustRightInd/>
                    <w:textAlignment w:val="auto"/>
                    <w:rPr>
                      <w:rFonts w:ascii="Calibri" w:hAnsi="Calibri" w:cs="Calibri"/>
                      <w:b/>
                      <w:bCs/>
                      <w:color w:val="000000"/>
                      <w:sz w:val="22"/>
                      <w:szCs w:val="22"/>
                    </w:rPr>
                  </w:pPr>
                  <w:r w:rsidRPr="009B6CDD">
                    <w:rPr>
                      <w:rFonts w:ascii="Calibri" w:hAnsi="Calibri" w:cs="Calibri"/>
                      <w:b/>
                      <w:bCs/>
                      <w:color w:val="000000"/>
                      <w:sz w:val="22"/>
                      <w:szCs w:val="22"/>
                    </w:rPr>
                    <w:t>Total for all ICs</w:t>
                  </w:r>
                </w:p>
              </w:tc>
              <w:tc>
                <w:tcPr>
                  <w:tcW w:w="648"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0CB3595B" w14:textId="0B3FE7C4">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18</w:t>
                  </w:r>
                </w:p>
              </w:tc>
              <w:tc>
                <w:tcPr>
                  <w:tcW w:w="648"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5777AC6F" w14:textId="53FF72E8">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20</w:t>
                  </w:r>
                </w:p>
              </w:tc>
              <w:tc>
                <w:tcPr>
                  <w:tcW w:w="682" w:type="dxa"/>
                  <w:tcBorders>
                    <w:top w:val="single" w:sz="8" w:space="0" w:color="auto"/>
                    <w:left w:val="nil"/>
                    <w:bottom w:val="single" w:sz="4" w:space="0" w:color="auto"/>
                    <w:right w:val="single" w:sz="8" w:space="0" w:color="auto"/>
                  </w:tcBorders>
                  <w:shd w:val="clear" w:color="auto" w:fill="auto"/>
                  <w:noWrap/>
                  <w:vAlign w:val="bottom"/>
                  <w:hideMark/>
                </w:tcPr>
                <w:p w:rsidR="009B6CDD" w:rsidP="009B6CDD" w14:paraId="251EF6E4" w14:textId="6E4C706D">
                  <w:pPr>
                    <w:overflowPunct/>
                    <w:autoSpaceDE/>
                    <w:autoSpaceDN/>
                    <w:adjustRightInd/>
                    <w:jc w:val="right"/>
                    <w:textAlignment w:val="auto"/>
                    <w:rPr>
                      <w:rFonts w:ascii="Calibri" w:hAnsi="Calibri" w:cs="Calibri"/>
                      <w:color w:val="000000"/>
                      <w:sz w:val="22"/>
                      <w:szCs w:val="22"/>
                    </w:rPr>
                  </w:pPr>
                </w:p>
                <w:p w:rsidR="00717B7C" w:rsidRPr="009B6CDD" w:rsidP="009B6CDD" w14:paraId="2FF25721"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+2</w:t>
                  </w:r>
                </w:p>
              </w:tc>
              <w:tc>
                <w:tcPr>
                  <w:tcW w:w="1079" w:type="dxa"/>
                  <w:tcBorders>
                    <w:top w:val="single" w:sz="8" w:space="0" w:color="auto"/>
                    <w:left w:val="nil"/>
                    <w:bottom w:val="single" w:sz="4" w:space="0" w:color="auto"/>
                    <w:right w:val="single" w:sz="4" w:space="0" w:color="auto"/>
                  </w:tcBorders>
                  <w:shd w:val="clear" w:color="auto" w:fill="auto"/>
                  <w:noWrap/>
                  <w:vAlign w:val="bottom"/>
                  <w:hideMark/>
                </w:tcPr>
                <w:p w:rsidR="009B6CDD" w:rsidRPr="009B6CDD" w:rsidP="009B6CDD" w14:paraId="7F055FB5" w14:textId="37961B25">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2151</w:t>
                  </w:r>
                </w:p>
              </w:tc>
              <w:tc>
                <w:tcPr>
                  <w:tcW w:w="1079"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0C3590FA" w14:textId="3200032C">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2</w:t>
                  </w:r>
                  <w:r w:rsidR="00C23812">
                    <w:rPr>
                      <w:rFonts w:ascii="Calibri" w:hAnsi="Calibri" w:cs="Calibri"/>
                      <w:color w:val="000000"/>
                      <w:sz w:val="22"/>
                      <w:szCs w:val="22"/>
                    </w:rPr>
                    <w:t>65</w:t>
                  </w:r>
                  <w:r>
                    <w:rPr>
                      <w:rFonts w:ascii="Calibri" w:hAnsi="Calibri" w:cs="Calibri"/>
                      <w:color w:val="000000"/>
                      <w:sz w:val="22"/>
                      <w:szCs w:val="22"/>
                    </w:rPr>
                    <w:t>0</w:t>
                  </w:r>
                </w:p>
              </w:tc>
              <w:tc>
                <w:tcPr>
                  <w:tcW w:w="819" w:type="dxa"/>
                  <w:tcBorders>
                    <w:top w:val="nil"/>
                    <w:left w:val="nil"/>
                    <w:bottom w:val="single" w:sz="4" w:space="0" w:color="auto"/>
                    <w:right w:val="nil"/>
                  </w:tcBorders>
                  <w:shd w:val="clear" w:color="auto" w:fill="auto"/>
                  <w:noWrap/>
                  <w:vAlign w:val="bottom"/>
                  <w:hideMark/>
                </w:tcPr>
                <w:p w:rsidR="009B6CDD" w:rsidRPr="009B6CDD" w:rsidP="009B6CDD" w14:paraId="7E0781C9" w14:textId="7DA15A0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w:t>
                  </w:r>
                  <w:r w:rsidR="00EC1D3A">
                    <w:rPr>
                      <w:rFonts w:ascii="Calibri" w:hAnsi="Calibri" w:cs="Calibri"/>
                      <w:color w:val="000000"/>
                      <w:sz w:val="22"/>
                      <w:szCs w:val="22"/>
                    </w:rPr>
                    <w:t>49</w:t>
                  </w:r>
                  <w:r w:rsidR="00A83A91">
                    <w:rPr>
                      <w:rFonts w:ascii="Calibri" w:hAnsi="Calibri" w:cs="Calibri"/>
                      <w:color w:val="000000"/>
                      <w:sz w:val="22"/>
                      <w:szCs w:val="22"/>
                    </w:rPr>
                    <w:t>9</w:t>
                  </w:r>
                </w:p>
              </w:tc>
              <w:tc>
                <w:tcPr>
                  <w:tcW w:w="67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B6CDD" w:rsidRPr="009B6CDD" w:rsidP="009B6CDD" w14:paraId="010AFA5A" w14:textId="77777777">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606" w:type="dxa"/>
                  <w:tcBorders>
                    <w:top w:val="nil"/>
                    <w:left w:val="nil"/>
                    <w:bottom w:val="single" w:sz="4" w:space="0" w:color="auto"/>
                    <w:right w:val="single" w:sz="4" w:space="0" w:color="auto"/>
                  </w:tcBorders>
                  <w:shd w:val="clear" w:color="auto" w:fill="auto"/>
                  <w:noWrap/>
                  <w:vAlign w:val="bottom"/>
                  <w:hideMark/>
                </w:tcPr>
                <w:p w:rsidR="009B6CDD" w:rsidRPr="009B6CDD" w:rsidP="009B6CDD" w14:paraId="1D330BC4" w14:textId="77777777">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700" w:type="dxa"/>
                  <w:tcBorders>
                    <w:top w:val="single" w:sz="8" w:space="0" w:color="auto"/>
                    <w:left w:val="nil"/>
                    <w:bottom w:val="single" w:sz="4" w:space="0" w:color="auto"/>
                    <w:right w:val="single" w:sz="4" w:space="0" w:color="auto"/>
                  </w:tcBorders>
                  <w:shd w:val="clear" w:color="auto" w:fill="auto"/>
                  <w:noWrap/>
                  <w:vAlign w:val="bottom"/>
                  <w:hideMark/>
                </w:tcPr>
                <w:p w:rsidR="009B6CDD" w:rsidRPr="009B6CDD" w:rsidP="009B6CDD" w14:paraId="4A57131A" w14:textId="77777777">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r>
          </w:tbl>
          <w:p w:rsidR="00327B5E" w14:paraId="4403FC9A" w14:textId="77777777"/>
        </w:tc>
      </w:tr>
      <w:tr w14:paraId="6DE55D8D" w14:textId="77777777" w:rsidTr="00327B5E">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tcPr>
          <w:p w:rsidR="00327B5E" w14:paraId="259C07D6" w14:textId="77777777"/>
        </w:tc>
      </w:tr>
    </w:tbl>
    <w:p w:rsidR="003E276C" w:rsidRPr="004920E5" w:rsidP="00743D8F" w14:paraId="2B8B50CA" w14:textId="77777777">
      <w:pPr>
        <w:tabs>
          <w:tab w:val="left" w:pos="-180"/>
        </w:tabs>
        <w:rPr>
          <w:b/>
          <w:sz w:val="24"/>
          <w:szCs w:val="24"/>
        </w:rPr>
      </w:pPr>
      <w:r w:rsidRPr="004920E5">
        <w:rPr>
          <w:b/>
          <w:sz w:val="24"/>
          <w:szCs w:val="24"/>
        </w:rPr>
        <w:t>13.</w:t>
      </w:r>
      <w:r w:rsidRPr="004920E5">
        <w:rPr>
          <w:b/>
          <w:sz w:val="24"/>
          <w:szCs w:val="24"/>
        </w:rPr>
        <w:tab/>
      </w:r>
      <w:r w:rsidRPr="00C20A3E" w:rsidR="004920E5">
        <w:rPr>
          <w:b/>
          <w:sz w:val="24"/>
          <w:szCs w:val="24"/>
        </w:rPr>
        <w:t>Costs to Respondents</w:t>
      </w:r>
      <w:r w:rsidRPr="004920E5">
        <w:rPr>
          <w:b/>
          <w:sz w:val="24"/>
          <w:szCs w:val="24"/>
        </w:rPr>
        <w:t xml:space="preserve"> </w:t>
      </w:r>
    </w:p>
    <w:p w:rsidR="003E276C" w:rsidRPr="00743D8F" w:rsidP="00743D8F" w14:paraId="1AA7141A" w14:textId="77777777">
      <w:pPr>
        <w:keepNext/>
        <w:tabs>
          <w:tab w:val="left" w:pos="-720"/>
        </w:tabs>
        <w:suppressAutoHyphens/>
        <w:rPr>
          <w:sz w:val="24"/>
          <w:szCs w:val="24"/>
        </w:rPr>
      </w:pPr>
    </w:p>
    <w:p w:rsidR="00DA1B64" w:rsidRPr="000040C5" w:rsidP="002E2637" w14:paraId="16BADE33" w14:textId="7861EC0D">
      <w:pPr>
        <w:pStyle w:val="BodyText"/>
        <w:jc w:val="left"/>
        <w:rPr>
          <w:iCs/>
        </w:rPr>
      </w:pPr>
      <w:r>
        <w:rPr>
          <w:spacing w:val="-3"/>
        </w:rPr>
        <w:tab/>
      </w:r>
      <w:r w:rsidR="00ED0502">
        <w:rPr>
          <w:spacing w:val="-3"/>
        </w:rPr>
        <w:t xml:space="preserve">In the </w:t>
      </w:r>
      <w:r w:rsidR="00660933">
        <w:rPr>
          <w:spacing w:val="-3"/>
        </w:rPr>
        <w:t>relevant adopting releases,</w:t>
      </w:r>
      <w:r>
        <w:rPr>
          <w:rStyle w:val="FootnoteReference"/>
          <w:spacing w:val="-3"/>
        </w:rPr>
        <w:footnoteReference w:id="16"/>
      </w:r>
      <w:r w:rsidR="00660933">
        <w:rPr>
          <w:spacing w:val="-3"/>
        </w:rPr>
        <w:t xml:space="preserve"> t</w:t>
      </w:r>
      <w:r w:rsidR="002E2637">
        <w:rPr>
          <w:spacing w:val="-3"/>
        </w:rPr>
        <w:t xml:space="preserve">he Commission </w:t>
      </w:r>
      <w:r w:rsidR="00A55F83">
        <w:rPr>
          <w:spacing w:val="-3"/>
        </w:rPr>
        <w:t>did not identify</w:t>
      </w:r>
      <w:r w:rsidR="002E2637">
        <w:rPr>
          <w:spacing w:val="-3"/>
        </w:rPr>
        <w:t xml:space="preserve"> any additional </w:t>
      </w:r>
      <w:r w:rsidR="00A55F83">
        <w:rPr>
          <w:spacing w:val="-3"/>
        </w:rPr>
        <w:t xml:space="preserve">ongoing </w:t>
      </w:r>
      <w:r w:rsidR="002E2637">
        <w:rPr>
          <w:spacing w:val="-3"/>
        </w:rPr>
        <w:t>costs to respondents that result from the rule.</w:t>
      </w:r>
    </w:p>
    <w:p w:rsidR="00DB44AD" w:rsidRPr="00743D8F" w:rsidP="00F52103" w14:paraId="19EAF936" w14:textId="77777777">
      <w:pPr>
        <w:pStyle w:val="FootnoteText"/>
        <w:rPr>
          <w:spacing w:val="-3"/>
          <w:sz w:val="24"/>
          <w:szCs w:val="24"/>
        </w:rPr>
      </w:pPr>
    </w:p>
    <w:p w:rsidR="003E276C" w:rsidRPr="004920E5" w:rsidP="00743D8F" w14:paraId="6667464F" w14:textId="77777777">
      <w:pPr>
        <w:keepNext/>
        <w:tabs>
          <w:tab w:val="left" w:pos="-720"/>
        </w:tabs>
        <w:suppressAutoHyphens/>
        <w:rPr>
          <w:b/>
          <w:sz w:val="24"/>
          <w:szCs w:val="24"/>
        </w:rPr>
      </w:pPr>
      <w:r w:rsidRPr="004920E5">
        <w:rPr>
          <w:b/>
          <w:sz w:val="24"/>
          <w:szCs w:val="24"/>
        </w:rPr>
        <w:t>14.</w:t>
      </w:r>
      <w:r w:rsidRPr="004920E5">
        <w:rPr>
          <w:b/>
          <w:sz w:val="24"/>
          <w:szCs w:val="24"/>
        </w:rPr>
        <w:tab/>
        <w:t>Cost</w:t>
      </w:r>
      <w:r w:rsidR="000040C5">
        <w:rPr>
          <w:b/>
          <w:sz w:val="24"/>
          <w:szCs w:val="24"/>
        </w:rPr>
        <w:t>s</w:t>
      </w:r>
      <w:r w:rsidRPr="004920E5">
        <w:rPr>
          <w:b/>
          <w:sz w:val="24"/>
          <w:szCs w:val="24"/>
        </w:rPr>
        <w:t xml:space="preserve"> to Federal Government</w:t>
      </w:r>
    </w:p>
    <w:p w:rsidR="003E276C" w:rsidRPr="00743D8F" w:rsidP="00743D8F" w14:paraId="23013FA9" w14:textId="77777777">
      <w:pPr>
        <w:keepNext/>
        <w:tabs>
          <w:tab w:val="left" w:pos="-720"/>
        </w:tabs>
        <w:suppressAutoHyphens/>
        <w:rPr>
          <w:sz w:val="24"/>
          <w:szCs w:val="24"/>
        </w:rPr>
      </w:pPr>
    </w:p>
    <w:p w:rsidR="003E276C" w:rsidRPr="00743D8F" w:rsidP="00743D8F" w14:paraId="01F3ECA6" w14:textId="352900AC">
      <w:pPr>
        <w:tabs>
          <w:tab w:val="left" w:pos="-720"/>
        </w:tabs>
        <w:suppressAutoHyphens/>
        <w:ind w:right="-576"/>
        <w:rPr>
          <w:spacing w:val="-3"/>
          <w:sz w:val="24"/>
          <w:szCs w:val="24"/>
        </w:rPr>
      </w:pPr>
      <w:r w:rsidRPr="00743D8F">
        <w:rPr>
          <w:spacing w:val="-3"/>
          <w:sz w:val="24"/>
          <w:szCs w:val="24"/>
        </w:rPr>
        <w:tab/>
      </w:r>
      <w:r w:rsidR="000040C5">
        <w:rPr>
          <w:spacing w:val="-3"/>
          <w:sz w:val="24"/>
          <w:szCs w:val="24"/>
        </w:rPr>
        <w:t>Commission</w:t>
      </w:r>
      <w:r w:rsidR="0001493E">
        <w:rPr>
          <w:spacing w:val="-3"/>
          <w:sz w:val="24"/>
          <w:szCs w:val="24"/>
        </w:rPr>
        <w:t xml:space="preserve"> staff</w:t>
      </w:r>
      <w:r w:rsidR="000040C5">
        <w:rPr>
          <w:spacing w:val="-3"/>
          <w:sz w:val="24"/>
          <w:szCs w:val="24"/>
        </w:rPr>
        <w:t xml:space="preserve"> does not anticipate any </w:t>
      </w:r>
      <w:r w:rsidR="00BE0E2A">
        <w:rPr>
          <w:spacing w:val="-3"/>
          <w:sz w:val="24"/>
          <w:szCs w:val="24"/>
        </w:rPr>
        <w:t xml:space="preserve">additional </w:t>
      </w:r>
      <w:r w:rsidR="000040C5">
        <w:rPr>
          <w:spacing w:val="-3"/>
          <w:sz w:val="24"/>
          <w:szCs w:val="24"/>
        </w:rPr>
        <w:t>costs to the Federal Government that result from the rule</w:t>
      </w:r>
      <w:r w:rsidRPr="00743D8F">
        <w:rPr>
          <w:spacing w:val="-3"/>
          <w:sz w:val="24"/>
          <w:szCs w:val="24"/>
        </w:rPr>
        <w:t>.</w:t>
      </w:r>
    </w:p>
    <w:p w:rsidR="003E276C" w:rsidRPr="00743D8F" w:rsidP="00743D8F" w14:paraId="05CA3CE7" w14:textId="77777777">
      <w:pPr>
        <w:tabs>
          <w:tab w:val="left" w:pos="-720"/>
        </w:tabs>
        <w:suppressAutoHyphens/>
        <w:rPr>
          <w:sz w:val="24"/>
          <w:szCs w:val="24"/>
        </w:rPr>
      </w:pPr>
    </w:p>
    <w:p w:rsidR="003E276C" w:rsidRPr="004920E5" w:rsidP="00743D8F" w14:paraId="3A8F1DEC" w14:textId="77777777">
      <w:pPr>
        <w:keepNext/>
        <w:tabs>
          <w:tab w:val="left" w:pos="-720"/>
          <w:tab w:val="left" w:pos="0"/>
          <w:tab w:val="left" w:pos="720"/>
        </w:tabs>
        <w:suppressAutoHyphens/>
        <w:ind w:left="1440" w:hanging="1440"/>
        <w:rPr>
          <w:b/>
          <w:sz w:val="24"/>
          <w:szCs w:val="24"/>
        </w:rPr>
      </w:pPr>
      <w:r w:rsidRPr="004920E5">
        <w:rPr>
          <w:b/>
          <w:sz w:val="24"/>
          <w:szCs w:val="24"/>
        </w:rPr>
        <w:t>15.</w:t>
      </w:r>
      <w:r w:rsidRPr="004920E5">
        <w:rPr>
          <w:b/>
          <w:sz w:val="24"/>
          <w:szCs w:val="24"/>
        </w:rPr>
        <w:tab/>
      </w:r>
      <w:r w:rsidRPr="0050626B">
        <w:rPr>
          <w:b/>
          <w:sz w:val="24"/>
          <w:szCs w:val="24"/>
        </w:rPr>
        <w:t>Changes in Burden</w:t>
      </w:r>
    </w:p>
    <w:p w:rsidR="003E276C" w:rsidRPr="00743D8F" w:rsidP="00743D8F" w14:paraId="1F7BB374" w14:textId="77777777">
      <w:pPr>
        <w:keepNext/>
        <w:tabs>
          <w:tab w:val="left" w:pos="-720"/>
        </w:tabs>
        <w:suppressAutoHyphens/>
        <w:rPr>
          <w:sz w:val="24"/>
          <w:szCs w:val="24"/>
        </w:rPr>
      </w:pPr>
    </w:p>
    <w:p w:rsidR="00F3362E" w:rsidP="00F3362E" w14:paraId="67A033B1" w14:textId="50C1D689">
      <w:pPr>
        <w:pStyle w:val="BodyText"/>
        <w:ind w:firstLine="720"/>
        <w:jc w:val="left"/>
        <w:rPr>
          <w:iCs/>
        </w:rPr>
      </w:pPr>
      <w:r>
        <w:rPr>
          <w:iCs/>
        </w:rPr>
        <w:t xml:space="preserve">The </w:t>
      </w:r>
      <w:r>
        <w:t>estimated burden on respondents is calculated based on the 10 credit rating agencies currently registered as NRSROs under Section 15E of the Exchange Act</w:t>
      </w:r>
      <w:r>
        <w:t xml:space="preserve">, compared to the </w:t>
      </w:r>
      <w:r>
        <w:t xml:space="preserve">9 </w:t>
      </w:r>
      <w:r>
        <w:t>previously registered</w:t>
      </w:r>
      <w:r>
        <w:t xml:space="preserve"> at the time of the prior </w:t>
      </w:r>
      <w:r>
        <w:rPr>
          <w:iCs/>
        </w:rPr>
        <w:t xml:space="preserve">renewal.  </w:t>
      </w:r>
      <w:r w:rsidR="00D06062">
        <w:rPr>
          <w:iCs/>
        </w:rPr>
        <w:t>Additionally, t</w:t>
      </w:r>
      <w:r w:rsidR="00CD506D">
        <w:rPr>
          <w:iCs/>
        </w:rPr>
        <w:t xml:space="preserve">he </w:t>
      </w:r>
      <w:r w:rsidRPr="00E01743" w:rsidR="00CD506D">
        <w:rPr>
          <w:iCs/>
        </w:rPr>
        <w:t>change</w:t>
      </w:r>
      <w:r w:rsidR="009D651C">
        <w:rPr>
          <w:iCs/>
        </w:rPr>
        <w:t xml:space="preserve"> in</w:t>
      </w:r>
      <w:r w:rsidR="00D06062">
        <w:rPr>
          <w:iCs/>
        </w:rPr>
        <w:t xml:space="preserve"> the average annual</w:t>
      </w:r>
      <w:r w:rsidR="009D651C">
        <w:rPr>
          <w:iCs/>
        </w:rPr>
        <w:t xml:space="preserve"> burden </w:t>
      </w:r>
      <w:r w:rsidR="00D06062">
        <w:rPr>
          <w:iCs/>
        </w:rPr>
        <w:t xml:space="preserve">per respondent </w:t>
      </w:r>
      <w:r w:rsidR="009D651C">
        <w:rPr>
          <w:iCs/>
        </w:rPr>
        <w:t>is the result of</w:t>
      </w:r>
      <w:r w:rsidR="00A31956">
        <w:rPr>
          <w:iCs/>
        </w:rPr>
        <w:t xml:space="preserve"> </w:t>
      </w:r>
      <w:r w:rsidR="00924733">
        <w:rPr>
          <w:iCs/>
        </w:rPr>
        <w:t xml:space="preserve">Commission </w:t>
      </w:r>
      <w:r w:rsidR="0075459E">
        <w:rPr>
          <w:iCs/>
        </w:rPr>
        <w:t>s</w:t>
      </w:r>
      <w:r w:rsidR="00A31956">
        <w:rPr>
          <w:iCs/>
        </w:rPr>
        <w:t>taff</w:t>
      </w:r>
      <w:r w:rsidR="00D200DB">
        <w:rPr>
          <w:iCs/>
        </w:rPr>
        <w:t>’s</w:t>
      </w:r>
      <w:r w:rsidR="00A31956">
        <w:rPr>
          <w:iCs/>
        </w:rPr>
        <w:t xml:space="preserve"> </w:t>
      </w:r>
      <w:r w:rsidR="00924733">
        <w:rPr>
          <w:iCs/>
        </w:rPr>
        <w:t>consideration of</w:t>
      </w:r>
      <w:r w:rsidR="009D651C">
        <w:rPr>
          <w:iCs/>
        </w:rPr>
        <w:t xml:space="preserve"> </w:t>
      </w:r>
      <w:r w:rsidR="00A31956">
        <w:rPr>
          <w:iCs/>
        </w:rPr>
        <w:t>a comment received</w:t>
      </w:r>
      <w:r w:rsidR="009D651C">
        <w:rPr>
          <w:iCs/>
        </w:rPr>
        <w:t xml:space="preserve">. </w:t>
      </w:r>
    </w:p>
    <w:p w:rsidR="003E276C" w:rsidRPr="00743D8F" w:rsidP="00743D8F" w14:paraId="07EC033E" w14:textId="77777777">
      <w:pPr>
        <w:tabs>
          <w:tab w:val="left" w:pos="-720"/>
        </w:tabs>
        <w:suppressAutoHyphens/>
        <w:rPr>
          <w:sz w:val="24"/>
          <w:szCs w:val="24"/>
        </w:rPr>
      </w:pPr>
    </w:p>
    <w:p w:rsidR="003E276C" w:rsidRPr="004920E5" w:rsidP="004920E5" w14:paraId="04451142" w14:textId="77777777">
      <w:pPr>
        <w:keepNext/>
        <w:tabs>
          <w:tab w:val="left" w:pos="-720"/>
          <w:tab w:val="left" w:pos="0"/>
          <w:tab w:val="left" w:pos="720"/>
        </w:tabs>
        <w:suppressAutoHyphens/>
        <w:rPr>
          <w:b/>
          <w:sz w:val="24"/>
          <w:szCs w:val="24"/>
        </w:rPr>
      </w:pPr>
      <w:r w:rsidRPr="004920E5">
        <w:rPr>
          <w:b/>
          <w:sz w:val="24"/>
          <w:szCs w:val="24"/>
        </w:rPr>
        <w:t>16.</w:t>
      </w:r>
      <w:r w:rsidRPr="004920E5">
        <w:rPr>
          <w:b/>
          <w:sz w:val="24"/>
          <w:szCs w:val="24"/>
        </w:rPr>
        <w:tab/>
        <w:t>Information Collection Planned for Statistical Purposes</w:t>
      </w:r>
    </w:p>
    <w:p w:rsidR="003E276C" w:rsidRPr="00743D8F" w:rsidP="00743D8F" w14:paraId="68B3B923" w14:textId="77777777">
      <w:pPr>
        <w:keepNext/>
        <w:tabs>
          <w:tab w:val="left" w:pos="-720"/>
        </w:tabs>
        <w:suppressAutoHyphens/>
        <w:rPr>
          <w:sz w:val="24"/>
          <w:szCs w:val="24"/>
        </w:rPr>
      </w:pPr>
    </w:p>
    <w:p w:rsidR="003E276C" w:rsidRPr="00743D8F" w:rsidP="00743D8F" w14:paraId="51D25B57" w14:textId="77777777">
      <w:pPr>
        <w:tabs>
          <w:tab w:val="left" w:pos="-720"/>
        </w:tabs>
        <w:suppressAutoHyphens/>
        <w:rPr>
          <w:sz w:val="24"/>
          <w:szCs w:val="24"/>
        </w:rPr>
      </w:pPr>
      <w:r w:rsidRPr="00743D8F">
        <w:rPr>
          <w:sz w:val="24"/>
          <w:szCs w:val="24"/>
        </w:rPr>
        <w:tab/>
        <w:t xml:space="preserve">Not applicable.  </w:t>
      </w:r>
      <w:r w:rsidR="00BE0E2A">
        <w:rPr>
          <w:sz w:val="24"/>
          <w:szCs w:val="24"/>
        </w:rPr>
        <w:t>The information collected</w:t>
      </w:r>
      <w:r w:rsidRPr="002D20E5" w:rsidR="002D20E5">
        <w:rPr>
          <w:sz w:val="24"/>
          <w:szCs w:val="24"/>
        </w:rPr>
        <w:t xml:space="preserve"> is not used for statistical purposes.</w:t>
      </w:r>
    </w:p>
    <w:p w:rsidR="003E276C" w:rsidRPr="00743D8F" w:rsidP="00743D8F" w14:paraId="0E06FA77" w14:textId="77777777">
      <w:pPr>
        <w:tabs>
          <w:tab w:val="left" w:pos="-720"/>
          <w:tab w:val="left" w:pos="0"/>
          <w:tab w:val="left" w:pos="720"/>
        </w:tabs>
        <w:suppressAutoHyphens/>
        <w:ind w:left="1440" w:hanging="1440"/>
        <w:rPr>
          <w:sz w:val="24"/>
          <w:szCs w:val="24"/>
        </w:rPr>
      </w:pPr>
    </w:p>
    <w:p w:rsidR="003E276C" w:rsidRPr="00D73F90" w:rsidP="00D73F90" w14:paraId="3CC36340" w14:textId="77777777">
      <w:pPr>
        <w:keepNext/>
        <w:tabs>
          <w:tab w:val="left" w:pos="-720"/>
          <w:tab w:val="left" w:pos="0"/>
          <w:tab w:val="left" w:pos="720"/>
          <w:tab w:val="left" w:pos="1530"/>
        </w:tabs>
        <w:suppressAutoHyphens/>
        <w:rPr>
          <w:b/>
          <w:sz w:val="24"/>
          <w:szCs w:val="24"/>
        </w:rPr>
      </w:pPr>
      <w:r w:rsidRPr="00D73F90">
        <w:rPr>
          <w:b/>
          <w:sz w:val="24"/>
          <w:szCs w:val="24"/>
        </w:rPr>
        <w:t>17.</w:t>
      </w:r>
      <w:r w:rsidRPr="00D73F90">
        <w:rPr>
          <w:b/>
          <w:sz w:val="24"/>
          <w:szCs w:val="24"/>
        </w:rPr>
        <w:tab/>
      </w:r>
      <w:r w:rsidR="00D73F90">
        <w:rPr>
          <w:b/>
          <w:sz w:val="24"/>
          <w:szCs w:val="24"/>
        </w:rPr>
        <w:t>Display of OMB Approval Date</w:t>
      </w:r>
    </w:p>
    <w:p w:rsidR="003E276C" w:rsidRPr="00743D8F" w:rsidP="00743D8F" w14:paraId="2EC354AF" w14:textId="77777777">
      <w:pPr>
        <w:keepNext/>
        <w:tabs>
          <w:tab w:val="left" w:pos="-720"/>
        </w:tabs>
        <w:suppressAutoHyphens/>
        <w:rPr>
          <w:sz w:val="24"/>
          <w:szCs w:val="24"/>
        </w:rPr>
      </w:pPr>
    </w:p>
    <w:p w:rsidR="003E276C" w:rsidRPr="00743D8F" w:rsidP="00743D8F" w14:paraId="16948D87" w14:textId="6A5EFACC">
      <w:pPr>
        <w:tabs>
          <w:tab w:val="left" w:pos="-720"/>
        </w:tabs>
        <w:suppressAutoHyphens/>
        <w:rPr>
          <w:sz w:val="24"/>
          <w:szCs w:val="24"/>
        </w:rPr>
      </w:pPr>
      <w:r>
        <w:rPr>
          <w:sz w:val="24"/>
          <w:szCs w:val="24"/>
        </w:rPr>
        <w:tab/>
        <w:t>Commission</w:t>
      </w:r>
      <w:r w:rsidR="00E06B9A">
        <w:rPr>
          <w:sz w:val="24"/>
          <w:szCs w:val="24"/>
        </w:rPr>
        <w:t xml:space="preserve"> staff</w:t>
      </w:r>
      <w:r>
        <w:rPr>
          <w:sz w:val="24"/>
          <w:szCs w:val="24"/>
        </w:rPr>
        <w:t xml:space="preserve"> is not seeking approval to not display the expiration date for OMB approval.</w:t>
      </w:r>
    </w:p>
    <w:p w:rsidR="003E276C" w:rsidRPr="00743D8F" w:rsidP="00743D8F" w14:paraId="5C062040" w14:textId="77777777">
      <w:pPr>
        <w:tabs>
          <w:tab w:val="left" w:pos="-720"/>
        </w:tabs>
        <w:suppressAutoHyphens/>
        <w:rPr>
          <w:sz w:val="24"/>
          <w:szCs w:val="24"/>
        </w:rPr>
      </w:pPr>
    </w:p>
    <w:p w:rsidR="003E276C" w:rsidRPr="00D73F90" w:rsidP="00743D8F" w14:paraId="72101788" w14:textId="77777777">
      <w:pPr>
        <w:keepNext/>
        <w:tabs>
          <w:tab w:val="left" w:pos="-720"/>
          <w:tab w:val="left" w:pos="0"/>
          <w:tab w:val="left" w:pos="720"/>
        </w:tabs>
        <w:suppressAutoHyphens/>
        <w:ind w:left="1440" w:hanging="1440"/>
        <w:rPr>
          <w:b/>
          <w:sz w:val="24"/>
          <w:szCs w:val="24"/>
        </w:rPr>
      </w:pPr>
      <w:r w:rsidRPr="00D73F90">
        <w:rPr>
          <w:b/>
          <w:sz w:val="24"/>
          <w:szCs w:val="24"/>
        </w:rPr>
        <w:t>18.</w:t>
      </w:r>
      <w:r w:rsidRPr="00D73F90">
        <w:rPr>
          <w:b/>
          <w:sz w:val="24"/>
          <w:szCs w:val="24"/>
        </w:rPr>
        <w:tab/>
        <w:t>Exceptions to Certification</w:t>
      </w:r>
      <w:r w:rsidR="00D73F90">
        <w:rPr>
          <w:b/>
          <w:sz w:val="24"/>
          <w:szCs w:val="24"/>
        </w:rPr>
        <w:t xml:space="preserve"> for Paperwork Reduction Act Submissions</w:t>
      </w:r>
    </w:p>
    <w:p w:rsidR="003E276C" w:rsidRPr="00743D8F" w:rsidP="00743D8F" w14:paraId="6E63A5E7" w14:textId="77777777">
      <w:pPr>
        <w:keepNext/>
        <w:tabs>
          <w:tab w:val="left" w:pos="-720"/>
        </w:tabs>
        <w:suppressAutoHyphens/>
        <w:rPr>
          <w:sz w:val="24"/>
          <w:szCs w:val="24"/>
        </w:rPr>
      </w:pPr>
    </w:p>
    <w:p w:rsidR="003E276C" w:rsidRPr="00743D8F" w:rsidP="00743D8F" w14:paraId="7FE08587" w14:textId="77777777">
      <w:pPr>
        <w:tabs>
          <w:tab w:val="left" w:pos="-720"/>
        </w:tabs>
        <w:suppressAutoHyphens/>
        <w:rPr>
          <w:sz w:val="24"/>
          <w:szCs w:val="24"/>
        </w:rPr>
      </w:pPr>
      <w:r w:rsidRPr="00743D8F">
        <w:rPr>
          <w:sz w:val="24"/>
          <w:szCs w:val="24"/>
        </w:rPr>
        <w:tab/>
      </w:r>
      <w:r w:rsidRPr="002D20E5" w:rsidR="002D20E5">
        <w:rPr>
          <w:sz w:val="24"/>
          <w:szCs w:val="24"/>
        </w:rPr>
        <w:t>This collection complies with the requirements in 5 CFR 1320.9.</w:t>
      </w:r>
    </w:p>
    <w:p w:rsidR="003E276C" w:rsidRPr="00743D8F" w:rsidP="00743D8F" w14:paraId="636F7A8F" w14:textId="77777777">
      <w:pPr>
        <w:tabs>
          <w:tab w:val="left" w:pos="-720"/>
        </w:tabs>
        <w:suppressAutoHyphens/>
        <w:rPr>
          <w:sz w:val="24"/>
          <w:szCs w:val="24"/>
        </w:rPr>
      </w:pPr>
    </w:p>
    <w:p w:rsidR="003E276C" w:rsidRPr="00D73F90" w:rsidP="00743D8F" w14:paraId="46BDBD28" w14:textId="77777777">
      <w:pPr>
        <w:keepNext/>
        <w:tabs>
          <w:tab w:val="left" w:pos="-720"/>
          <w:tab w:val="left" w:pos="0"/>
        </w:tabs>
        <w:suppressAutoHyphens/>
        <w:ind w:left="720" w:hanging="720"/>
        <w:rPr>
          <w:b/>
          <w:sz w:val="24"/>
          <w:szCs w:val="24"/>
        </w:rPr>
      </w:pPr>
      <w:r w:rsidRPr="00D73F90">
        <w:rPr>
          <w:b/>
          <w:sz w:val="24"/>
          <w:szCs w:val="24"/>
        </w:rPr>
        <w:t>B.</w:t>
      </w:r>
      <w:r w:rsidRPr="00D73F90">
        <w:rPr>
          <w:b/>
          <w:sz w:val="24"/>
          <w:szCs w:val="24"/>
        </w:rPr>
        <w:tab/>
      </w:r>
      <w:r w:rsidR="00D73F90">
        <w:rPr>
          <w:b/>
          <w:sz w:val="24"/>
          <w:szCs w:val="24"/>
        </w:rPr>
        <w:t>COLLECTIONS OF INFORMATION EMPLOYING STATISTICAL METHODS</w:t>
      </w:r>
    </w:p>
    <w:p w:rsidR="003E276C" w:rsidRPr="00743D8F" w:rsidP="00743D8F" w14:paraId="780E6F02" w14:textId="77777777">
      <w:pPr>
        <w:keepNext/>
        <w:tabs>
          <w:tab w:val="left" w:pos="-720"/>
        </w:tabs>
        <w:suppressAutoHyphens/>
        <w:rPr>
          <w:sz w:val="24"/>
          <w:szCs w:val="24"/>
        </w:rPr>
      </w:pPr>
    </w:p>
    <w:p w:rsidR="003E276C" w:rsidRPr="00743D8F" w:rsidP="00743D8F" w14:paraId="5CC5AADE" w14:textId="77777777">
      <w:pPr>
        <w:tabs>
          <w:tab w:val="left" w:pos="-720"/>
        </w:tabs>
        <w:suppressAutoHyphens/>
        <w:rPr>
          <w:sz w:val="24"/>
          <w:szCs w:val="24"/>
        </w:rPr>
      </w:pPr>
      <w:r w:rsidRPr="00743D8F">
        <w:rPr>
          <w:sz w:val="24"/>
          <w:szCs w:val="24"/>
        </w:rPr>
        <w:tab/>
        <w:t xml:space="preserve">The collection of information </w:t>
      </w:r>
      <w:r w:rsidR="00D73F90">
        <w:rPr>
          <w:sz w:val="24"/>
          <w:szCs w:val="24"/>
        </w:rPr>
        <w:t>does not involve statistical methods or analyze the information for the agency</w:t>
      </w:r>
      <w:r w:rsidRPr="00743D8F">
        <w:rPr>
          <w:sz w:val="24"/>
          <w:szCs w:val="24"/>
        </w:rPr>
        <w:t>.</w:t>
      </w:r>
    </w:p>
    <w:p w:rsidR="003E276C" w:rsidRPr="00743D8F" w:rsidP="00743D8F" w14:paraId="2638EC54" w14:textId="77777777">
      <w:pPr>
        <w:rPr>
          <w:sz w:val="24"/>
          <w:szCs w:val="24"/>
        </w:rPr>
      </w:pPr>
    </w:p>
    <w:sectPr w:rsidSect="000B601F">
      <w:footerReference w:type="even"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36F5" w:rsidP="00D2448F" w14:paraId="1B1B46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136F5" w14:paraId="006EBC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36F5" w:rsidRPr="00E20F23" w:rsidP="00D2448F" w14:paraId="2BC8294B" w14:textId="77777777">
    <w:pPr>
      <w:pStyle w:val="Footer"/>
      <w:framePr w:wrap="around" w:vAnchor="text" w:hAnchor="margin" w:xAlign="center" w:y="1"/>
      <w:rPr>
        <w:rStyle w:val="PageNumber"/>
        <w:sz w:val="24"/>
        <w:szCs w:val="24"/>
      </w:rPr>
    </w:pPr>
    <w:r w:rsidRPr="00E20F23">
      <w:rPr>
        <w:rStyle w:val="PageNumber"/>
        <w:sz w:val="24"/>
        <w:szCs w:val="24"/>
      </w:rPr>
      <w:fldChar w:fldCharType="begin"/>
    </w:r>
    <w:r w:rsidRPr="00E20F23">
      <w:rPr>
        <w:rStyle w:val="PageNumber"/>
        <w:sz w:val="24"/>
        <w:szCs w:val="24"/>
      </w:rPr>
      <w:instrText xml:space="preserve">PAGE  </w:instrText>
    </w:r>
    <w:r w:rsidRPr="00E20F23">
      <w:rPr>
        <w:rStyle w:val="PageNumber"/>
        <w:sz w:val="24"/>
        <w:szCs w:val="24"/>
      </w:rPr>
      <w:fldChar w:fldCharType="separate"/>
    </w:r>
    <w:r w:rsidR="00E75B58">
      <w:rPr>
        <w:rStyle w:val="PageNumber"/>
        <w:noProof/>
        <w:sz w:val="24"/>
        <w:szCs w:val="24"/>
      </w:rPr>
      <w:t>6</w:t>
    </w:r>
    <w:r w:rsidRPr="00E20F23">
      <w:rPr>
        <w:rStyle w:val="PageNumber"/>
        <w:sz w:val="24"/>
        <w:szCs w:val="24"/>
      </w:rPr>
      <w:fldChar w:fldCharType="end"/>
    </w:r>
  </w:p>
  <w:p w:rsidR="005136F5" w14:paraId="38E4F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16A4A" w14:paraId="5A624592" w14:textId="77777777">
      <w:r>
        <w:separator/>
      </w:r>
    </w:p>
  </w:footnote>
  <w:footnote w:type="continuationSeparator" w:id="1">
    <w:p w:rsidR="00616A4A" w14:paraId="1D870827" w14:textId="77777777">
      <w:r>
        <w:continuationSeparator/>
      </w:r>
    </w:p>
  </w:footnote>
  <w:footnote w:type="continuationNotice" w:id="2">
    <w:p w:rsidR="00616A4A" w14:paraId="0DE39F67" w14:textId="77777777"/>
  </w:footnote>
  <w:footnote w:id="3">
    <w:p w:rsidR="005136F5" w:rsidRPr="001E00B9" w:rsidP="001706C9" w14:paraId="315B7D02" w14:textId="77777777">
      <w:pPr>
        <w:pStyle w:val="FootnoteText"/>
      </w:pPr>
      <w:r w:rsidRPr="001E00B9">
        <w:rPr>
          <w:rStyle w:val="FootnoteReference"/>
        </w:rPr>
        <w:footnoteRef/>
      </w:r>
      <w:r w:rsidRPr="001E00B9">
        <w:t xml:space="preserve"> </w:t>
      </w:r>
      <w:r w:rsidRPr="001E00B9">
        <w:tab/>
        <w:t>Pub. L. No. 109-291 (2006).</w:t>
      </w:r>
    </w:p>
    <w:p w:rsidR="005136F5" w:rsidRPr="001E00B9" w:rsidP="001706C9" w14:paraId="1DD7829B" w14:textId="77777777">
      <w:pPr>
        <w:pStyle w:val="FootnoteText"/>
      </w:pPr>
    </w:p>
  </w:footnote>
  <w:footnote w:id="4">
    <w:p w:rsidR="00004F16" w:rsidRPr="001E00B9" w:rsidP="00766183" w14:paraId="39EF3EDB" w14:textId="186F1E5E">
      <w:pPr>
        <w:pStyle w:val="FootnoteText"/>
      </w:pPr>
      <w:r w:rsidRPr="001E00B9">
        <w:rPr>
          <w:rStyle w:val="FootnoteReference"/>
        </w:rPr>
        <w:footnoteRef/>
      </w:r>
      <w:r w:rsidRPr="001E00B9">
        <w:t xml:space="preserve"> </w:t>
      </w:r>
      <w:r w:rsidRPr="001E00B9">
        <w:tab/>
      </w:r>
      <w:r w:rsidRPr="001E00B9">
        <w:rPr>
          <w:u w:val="single"/>
        </w:rPr>
        <w:t>See</w:t>
      </w:r>
      <w:r w:rsidRPr="001E00B9">
        <w:t xml:space="preserve"> section 5 of the </w:t>
      </w:r>
      <w:r w:rsidR="00A53CB7">
        <w:t>Rating Agency</w:t>
      </w:r>
      <w:r w:rsidRPr="001E00B9">
        <w:t xml:space="preserve"> Act and 15 U.S.C. 78q(a)(1)</w:t>
      </w:r>
    </w:p>
  </w:footnote>
  <w:footnote w:id="5">
    <w:p w:rsidR="00D03CF4" w:rsidP="00D03CF4" w14:paraId="3FC3DB05" w14:textId="78AD11E4">
      <w:pPr>
        <w:pStyle w:val="FootnoteText"/>
      </w:pPr>
    </w:p>
    <w:p w:rsidR="00D03CF4" w:rsidP="00D03CF4" w14:paraId="64124C74" w14:textId="7414B0B2">
      <w:pPr>
        <w:pStyle w:val="FootnoteText"/>
      </w:pPr>
      <w:r w:rsidRPr="00D03CF4">
        <w:rPr>
          <w:vertAlign w:val="superscript"/>
        </w:rPr>
        <w:t>3</w:t>
      </w:r>
      <w:r>
        <w:rPr>
          <w:vertAlign w:val="superscript"/>
        </w:rPr>
        <w:tab/>
      </w:r>
      <w:r w:rsidRPr="006A5862">
        <w:rPr>
          <w:u w:val="single"/>
        </w:rPr>
        <w:t>See</w:t>
      </w:r>
      <w:r w:rsidRPr="00D03CF4">
        <w:t xml:space="preserve"> 15 U.S.C. 78q(b)(1).</w:t>
      </w:r>
    </w:p>
    <w:p w:rsidR="00CF2F67" w:rsidRPr="00D03CF4" w:rsidP="00D03CF4" w14:paraId="6D92D45F" w14:textId="77777777">
      <w:pPr>
        <w:pStyle w:val="FootnoteText"/>
      </w:pPr>
    </w:p>
  </w:footnote>
  <w:footnote w:id="6">
    <w:p w:rsidR="00B7098E" w14:paraId="4102B2E1" w14:textId="6781D3F6">
      <w:pPr>
        <w:pStyle w:val="FootnoteText"/>
      </w:pPr>
      <w:r>
        <w:rPr>
          <w:rStyle w:val="FootnoteReference"/>
        </w:rPr>
        <w:footnoteRef/>
      </w:r>
      <w:r>
        <w:t xml:space="preserve"> </w:t>
      </w:r>
      <w:r>
        <w:tab/>
      </w:r>
      <w:r w:rsidRPr="00CF2F67" w:rsidR="00CF2F67">
        <w:t>Pub. L. No. 111-203, 124 Stat. 1376, H.R. 4173 (July 21, 2010).</w:t>
      </w:r>
    </w:p>
    <w:p w:rsidR="00165F5F" w14:paraId="41373D32" w14:textId="77777777">
      <w:pPr>
        <w:pStyle w:val="FootnoteText"/>
      </w:pPr>
    </w:p>
  </w:footnote>
  <w:footnote w:id="7">
    <w:p w:rsidR="00B262A1" w14:paraId="18E3F391" w14:textId="164BC4E9">
      <w:pPr>
        <w:pStyle w:val="FootnoteText"/>
      </w:pPr>
      <w:r>
        <w:rPr>
          <w:rStyle w:val="FootnoteReference"/>
        </w:rPr>
        <w:footnoteRef/>
      </w:r>
      <w:r>
        <w:t xml:space="preserve"> </w:t>
      </w:r>
      <w:r>
        <w:tab/>
      </w:r>
      <w:r w:rsidRPr="00B262A1">
        <w:rPr>
          <w:u w:val="single"/>
        </w:rPr>
        <w:t>See</w:t>
      </w:r>
      <w:r w:rsidRPr="00B262A1">
        <w:t xml:space="preserve"> Pub. L. No. 111-203 §§ 931-939H; </w:t>
      </w:r>
      <w:r w:rsidRPr="00B262A1">
        <w:rPr>
          <w:u w:val="single"/>
        </w:rPr>
        <w:t>see also</w:t>
      </w:r>
      <w:r w:rsidRPr="00B262A1">
        <w:t xml:space="preserve"> Pub. L. No. 111-203 § 943.</w:t>
      </w:r>
    </w:p>
    <w:p w:rsidR="00165F5F" w14:paraId="7741C583" w14:textId="77777777">
      <w:pPr>
        <w:pStyle w:val="FootnoteText"/>
      </w:pPr>
    </w:p>
  </w:footnote>
  <w:footnote w:id="8">
    <w:p w:rsidR="00165F5F" w14:paraId="287D4F2D" w14:textId="77F8B73D">
      <w:pPr>
        <w:pStyle w:val="FootnoteText"/>
      </w:pPr>
      <w:r>
        <w:rPr>
          <w:rStyle w:val="FootnoteReference"/>
        </w:rPr>
        <w:footnoteRef/>
      </w:r>
      <w:r>
        <w:t xml:space="preserve"> </w:t>
      </w:r>
      <w:r>
        <w:tab/>
      </w:r>
      <w:r w:rsidRPr="006A5862" w:rsidR="006A5862">
        <w:rPr>
          <w:u w:val="single"/>
        </w:rPr>
        <w:t>See</w:t>
      </w:r>
      <w:r w:rsidRPr="006A5862" w:rsidR="006A5862">
        <w:t xml:space="preserve"> 17 CFR 240.17g-2(a)(9).</w:t>
      </w:r>
    </w:p>
  </w:footnote>
  <w:footnote w:id="9">
    <w:p w:rsidR="00053281" w14:paraId="039B562A" w14:textId="7F03E911">
      <w:pPr>
        <w:pStyle w:val="FootnoteText"/>
      </w:pPr>
      <w:r>
        <w:rPr>
          <w:rStyle w:val="FootnoteReference"/>
        </w:rPr>
        <w:footnoteRef/>
      </w:r>
      <w:r>
        <w:t xml:space="preserve"> </w:t>
      </w:r>
      <w:r>
        <w:tab/>
      </w:r>
      <w:r w:rsidRPr="00053281">
        <w:rPr>
          <w:u w:val="single"/>
        </w:rPr>
        <w:t>See</w:t>
      </w:r>
      <w:r w:rsidRPr="00053281">
        <w:t xml:space="preserve"> 17 CFR 240.17g-2(</w:t>
      </w:r>
      <w:r>
        <w:t>c</w:t>
      </w:r>
      <w:r w:rsidRPr="00053281">
        <w:t>).</w:t>
      </w:r>
    </w:p>
    <w:p w:rsidR="00053281" w14:paraId="2A63BBF0" w14:textId="77777777">
      <w:pPr>
        <w:pStyle w:val="FootnoteText"/>
      </w:pPr>
    </w:p>
  </w:footnote>
  <w:footnote w:id="10">
    <w:p w:rsidR="00430EA8" w:rsidRPr="001E00B9" w:rsidP="00430EA8" w14:paraId="5CA190F3" w14:textId="2BC9C193">
      <w:pPr>
        <w:pStyle w:val="FootnoteText"/>
      </w:pPr>
      <w:r>
        <w:rPr>
          <w:rStyle w:val="FootnoteReference"/>
        </w:rPr>
        <w:footnoteRef/>
      </w:r>
      <w:r>
        <w:t xml:space="preserve"> </w:t>
      </w:r>
      <w:r>
        <w:tab/>
      </w:r>
      <w:r w:rsidRPr="001E00B9">
        <w:t>The Office of Management and Budget (“OMB”) Control Number for Rule 17g-2 is 3235-0628.</w:t>
      </w:r>
    </w:p>
    <w:p w:rsidR="00430EA8" w:rsidRPr="001E00B9" w:rsidP="00430EA8" w14:paraId="3D42AEF1" w14:textId="77777777">
      <w:pPr>
        <w:pStyle w:val="FootnoteText"/>
      </w:pPr>
    </w:p>
  </w:footnote>
  <w:footnote w:id="11">
    <w:p w:rsidR="005136F5" w:rsidRPr="001E00B9" w:rsidP="009D4935" w14:paraId="12982B40" w14:textId="77777777">
      <w:pPr>
        <w:pStyle w:val="FootnoteText"/>
      </w:pPr>
      <w:r w:rsidRPr="001E00B9">
        <w:rPr>
          <w:rStyle w:val="FootnoteReference"/>
        </w:rPr>
        <w:footnoteRef/>
      </w:r>
      <w:r w:rsidRPr="001E00B9">
        <w:t xml:space="preserve"> </w:t>
      </w:r>
      <w:r w:rsidRPr="001E00B9">
        <w:tab/>
        <w:t xml:space="preserve">15 U.S.C. 78o-7. </w:t>
      </w:r>
    </w:p>
  </w:footnote>
  <w:footnote w:id="12">
    <w:p w:rsidR="009D651C" w:rsidRPr="001E00B9" w:rsidP="009D651C" w14:paraId="6D2A8714" w14:textId="06AF3EE0">
      <w:pPr>
        <w:pStyle w:val="FootnoteText"/>
      </w:pPr>
      <w:r w:rsidRPr="001E00B9">
        <w:rPr>
          <w:rStyle w:val="FootnoteReference"/>
        </w:rPr>
        <w:footnoteRef/>
      </w:r>
      <w:r w:rsidRPr="001E00B9">
        <w:t xml:space="preserve"> </w:t>
      </w:r>
      <w:r w:rsidRPr="001E00B9">
        <w:tab/>
      </w:r>
      <w:r w:rsidRPr="001E00B9">
        <w:rPr>
          <w:u w:val="single"/>
        </w:rPr>
        <w:t>See</w:t>
      </w:r>
      <w:r w:rsidRPr="001E00B9">
        <w:t xml:space="preserve"> </w:t>
      </w:r>
      <w:r w:rsidR="000514AE">
        <w:rPr>
          <w:color w:val="000000"/>
        </w:rPr>
        <w:t>88</w:t>
      </w:r>
      <w:r w:rsidRPr="00DF13A3" w:rsidR="000514AE">
        <w:rPr>
          <w:color w:val="000000"/>
        </w:rPr>
        <w:t xml:space="preserve"> </w:t>
      </w:r>
      <w:r w:rsidRPr="00DF13A3" w:rsidR="007D0435">
        <w:rPr>
          <w:color w:val="000000"/>
        </w:rPr>
        <w:t xml:space="preserve">FR </w:t>
      </w:r>
      <w:r w:rsidR="000514AE">
        <w:rPr>
          <w:color w:val="000000"/>
        </w:rPr>
        <w:t>44424</w:t>
      </w:r>
      <w:r w:rsidRPr="001E00B9" w:rsidR="000514AE">
        <w:t xml:space="preserve"> </w:t>
      </w:r>
      <w:r w:rsidRPr="001E00B9" w:rsidR="007D0435">
        <w:t>(July</w:t>
      </w:r>
      <w:r w:rsidRPr="001E00B9">
        <w:t xml:space="preserve"> </w:t>
      </w:r>
      <w:r w:rsidR="00001F67">
        <w:t>12</w:t>
      </w:r>
      <w:r w:rsidRPr="001E00B9">
        <w:t xml:space="preserve">, </w:t>
      </w:r>
      <w:r w:rsidR="00001F67">
        <w:t>2023</w:t>
      </w:r>
      <w:r w:rsidRPr="001E00B9">
        <w:t>).</w:t>
      </w:r>
    </w:p>
    <w:p w:rsidR="0060627E" w:rsidRPr="001E00B9" w:rsidP="009D651C" w14:paraId="6763081E" w14:textId="77777777">
      <w:pPr>
        <w:pStyle w:val="FootnoteText"/>
      </w:pPr>
    </w:p>
  </w:footnote>
  <w:footnote w:id="13">
    <w:p w:rsidR="0060627E" w:rsidRPr="001E00B9" w:rsidP="0060627E" w14:paraId="4D691774" w14:textId="67BD8A69">
      <w:pPr>
        <w:pStyle w:val="FootnoteText"/>
        <w:ind w:left="720" w:hanging="720"/>
      </w:pPr>
      <w:r w:rsidRPr="001E00B9">
        <w:rPr>
          <w:rStyle w:val="FootnoteReference"/>
        </w:rPr>
        <w:footnoteRef/>
      </w:r>
      <w:r w:rsidRPr="001E00B9">
        <w:t xml:space="preserve"> </w:t>
      </w:r>
      <w:r w:rsidRPr="001E00B9">
        <w:tab/>
      </w:r>
      <w:r w:rsidRPr="001E00B9">
        <w:rPr>
          <w:u w:val="single"/>
        </w:rPr>
        <w:t>See</w:t>
      </w:r>
      <w:r w:rsidRPr="001E00B9">
        <w:t xml:space="preserve"> letter from S&amp;P Global Ratings dated Aug. 11, 2023.  </w:t>
      </w:r>
    </w:p>
    <w:p w:rsidR="001E1473" w:rsidRPr="001E00B9" w:rsidP="0060627E" w14:paraId="2045F6AF" w14:textId="77777777">
      <w:pPr>
        <w:pStyle w:val="FootnoteText"/>
        <w:ind w:left="720" w:hanging="720"/>
      </w:pPr>
    </w:p>
  </w:footnote>
  <w:footnote w:id="14">
    <w:p w:rsidR="0060627E" w:rsidRPr="001E00B9" w:rsidP="0060627E" w14:paraId="53B58B97" w14:textId="2D0B72EB">
      <w:pPr>
        <w:pStyle w:val="FootnoteText"/>
      </w:pPr>
      <w:r w:rsidRPr="001E00B9">
        <w:rPr>
          <w:rStyle w:val="FootnoteReference"/>
        </w:rPr>
        <w:footnoteRef/>
      </w:r>
      <w:r w:rsidRPr="001E00B9">
        <w:t xml:space="preserve"> </w:t>
      </w:r>
      <w:r w:rsidRPr="001E00B9">
        <w:tab/>
      </w:r>
      <w:r w:rsidRPr="001E00B9" w:rsidR="0027566C">
        <w:t>26</w:t>
      </w:r>
      <w:r w:rsidR="00404034">
        <w:t>5</w:t>
      </w:r>
      <w:r w:rsidRPr="001E00B9" w:rsidR="0027566C">
        <w:t xml:space="preserve"> </w:t>
      </w:r>
      <w:r w:rsidRPr="001E00B9">
        <w:t xml:space="preserve">hours x 10 NRSRO = </w:t>
      </w:r>
      <w:r w:rsidRPr="001E00B9" w:rsidR="0027566C">
        <w:t>2,6</w:t>
      </w:r>
      <w:r w:rsidR="00404034">
        <w:t>5</w:t>
      </w:r>
      <w:r w:rsidRPr="001E00B9" w:rsidR="0027566C">
        <w:t xml:space="preserve">0. </w:t>
      </w:r>
    </w:p>
    <w:p w:rsidR="001E1473" w:rsidRPr="001E00B9" w:rsidP="0060627E" w14:paraId="4434F3A5" w14:textId="77777777">
      <w:pPr>
        <w:pStyle w:val="FootnoteText"/>
      </w:pPr>
    </w:p>
  </w:footnote>
  <w:footnote w:id="15">
    <w:p w:rsidR="00FA0826" w:rsidRPr="00FA0826" w:rsidP="00153F14" w14:paraId="3BCB3AC1" w14:textId="6A93BCDA">
      <w:pPr>
        <w:pStyle w:val="FootnoteText"/>
        <w:ind w:left="720" w:hanging="720"/>
      </w:pPr>
      <w:r>
        <w:rPr>
          <w:rStyle w:val="FootnoteReference"/>
        </w:rPr>
        <w:footnoteRef/>
      </w:r>
      <w:r>
        <w:t xml:space="preserve"> </w:t>
      </w:r>
      <w:r>
        <w:tab/>
      </w:r>
      <w:r w:rsidRPr="00FA0826">
        <w:rPr>
          <w:u w:val="single"/>
        </w:rPr>
        <w:t>See</w:t>
      </w:r>
      <w:r w:rsidRPr="00FA0826">
        <w:t xml:space="preserve"> </w:t>
      </w:r>
      <w:r w:rsidRPr="00FA0826">
        <w:rPr>
          <w:u w:val="single"/>
        </w:rPr>
        <w:t>Oversight of Credit Rating Agencies Registered as Nationally Recognized Statistical Rating Organizations</w:t>
      </w:r>
      <w:r w:rsidRPr="00FA0826">
        <w:t xml:space="preserve">, Exchange Act Release No. 55857 (June 5, 2007), 72 FR 33564 (June 18, 2007); </w:t>
      </w:r>
      <w:r w:rsidRPr="00FA0826">
        <w:rPr>
          <w:u w:val="single"/>
        </w:rPr>
        <w:t>Amendments to Rules for Nationally Recognized Statistical Rating Organizations</w:t>
      </w:r>
      <w:r w:rsidRPr="00FA0826">
        <w:t xml:space="preserve">, Exchange Act Release No. 59342 (Feb. 2, 2009), 74 FR 6456 (Feb. 9, 2009); </w:t>
      </w:r>
      <w:r w:rsidRPr="00FA0826">
        <w:rPr>
          <w:u w:val="single"/>
        </w:rPr>
        <w:t>Amendments to Rules for Nationally Recognized Statistical Rating Organizations</w:t>
      </w:r>
      <w:r w:rsidRPr="00FA0826">
        <w:t>, Exchange Act Release No. 61050 (Nov. 23, 2009), 74 FR 63832 (Dec. 4, 2009)</w:t>
      </w:r>
      <w:r w:rsidR="00E5125E">
        <w:t>;</w:t>
      </w:r>
      <w:r w:rsidRPr="00FA0826">
        <w:t xml:space="preserve"> and </w:t>
      </w:r>
      <w:r w:rsidRPr="00FA0826">
        <w:rPr>
          <w:u w:val="single"/>
        </w:rPr>
        <w:t>Nationally Recognized Statistical Rating Organizations</w:t>
      </w:r>
      <w:r w:rsidRPr="00FA0826">
        <w:t>, Exchange Act Release No. 72936 (Aug. 27, 2014), 79 FR 55078 (Sep. 15, 2014).</w:t>
      </w:r>
    </w:p>
    <w:p w:rsidR="00B6692B" w:rsidP="00B6692B" w14:paraId="3F5B6026" w14:textId="7E99DC25">
      <w:pPr>
        <w:pStyle w:val="FootnoteText"/>
      </w:pPr>
    </w:p>
  </w:footnote>
  <w:footnote w:id="16">
    <w:p w:rsidR="00660933" w:rsidP="00891DBA" w14:paraId="1EE448C8" w14:textId="29FD3D78">
      <w:pPr>
        <w:pStyle w:val="FootnoteText"/>
        <w:ind w:left="720" w:hanging="720"/>
      </w:pPr>
      <w:r>
        <w:rPr>
          <w:rStyle w:val="FootnoteReference"/>
        </w:rPr>
        <w:footnoteRef/>
      </w:r>
      <w:r>
        <w:t xml:space="preserve"> </w:t>
      </w:r>
      <w:r>
        <w:tab/>
      </w:r>
      <w:r w:rsidRPr="00FA0826" w:rsidR="005436A6">
        <w:rPr>
          <w:u w:val="single"/>
        </w:rPr>
        <w:t>See</w:t>
      </w:r>
      <w:r w:rsidRPr="00FA0826" w:rsidR="005436A6">
        <w:t xml:space="preserve"> </w:t>
      </w:r>
      <w:r w:rsidRPr="00FA0826" w:rsidR="005436A6">
        <w:rPr>
          <w:u w:val="single"/>
        </w:rPr>
        <w:t xml:space="preserve">Oversight of Credit Rating Agencies Registered </w:t>
      </w:r>
      <w:r w:rsidRPr="00FA0826" w:rsidR="005436A6">
        <w:rPr>
          <w:u w:val="single"/>
        </w:rPr>
        <w:t>as</w:t>
      </w:r>
      <w:r w:rsidRPr="00FA0826" w:rsidR="005436A6">
        <w:rPr>
          <w:u w:val="single"/>
        </w:rPr>
        <w:t xml:space="preserve"> Nationally Recognized Statistical Rating Organizations</w:t>
      </w:r>
      <w:r w:rsidRPr="00FA0826" w:rsidR="005436A6">
        <w:t xml:space="preserve">, Exchange Act Release No. 55857 (June 5, 2007), 72 FR 33564 (June 18, 2007); </w:t>
      </w:r>
      <w:r w:rsidRPr="00FA0826" w:rsidR="005436A6">
        <w:rPr>
          <w:u w:val="single"/>
        </w:rPr>
        <w:t>Amendments to Rules for Nationally Recognized Statistical Rating Organizations</w:t>
      </w:r>
      <w:r w:rsidRPr="00FA0826" w:rsidR="005436A6">
        <w:t xml:space="preserve">, Exchange Act Release No. 59342 (Feb. 2, 2009), 74 FR 6456 (Feb. 9, 2009); and </w:t>
      </w:r>
      <w:r w:rsidRPr="00FA0826" w:rsidR="005436A6">
        <w:rPr>
          <w:u w:val="single"/>
        </w:rPr>
        <w:t>Nationally Recognized Statistical Rating Organizations</w:t>
      </w:r>
      <w:r w:rsidRPr="00FA0826" w:rsidR="005436A6">
        <w:t>, Exchange Act Release No. 72936 (Aug. 27, 2014), 79 FR 55078 (Sep. 15,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DE"/>
    <w:rsid w:val="000008CD"/>
    <w:rsid w:val="00001159"/>
    <w:rsid w:val="00001B6A"/>
    <w:rsid w:val="00001F67"/>
    <w:rsid w:val="0000370E"/>
    <w:rsid w:val="00003800"/>
    <w:rsid w:val="000040C5"/>
    <w:rsid w:val="000047FC"/>
    <w:rsid w:val="00004F16"/>
    <w:rsid w:val="000104A8"/>
    <w:rsid w:val="00010512"/>
    <w:rsid w:val="00013733"/>
    <w:rsid w:val="0001493E"/>
    <w:rsid w:val="00015768"/>
    <w:rsid w:val="000164A0"/>
    <w:rsid w:val="00017AD4"/>
    <w:rsid w:val="00021046"/>
    <w:rsid w:val="00021D50"/>
    <w:rsid w:val="00032A78"/>
    <w:rsid w:val="00033617"/>
    <w:rsid w:val="00035CA1"/>
    <w:rsid w:val="00036969"/>
    <w:rsid w:val="00036F26"/>
    <w:rsid w:val="00040F4C"/>
    <w:rsid w:val="0004165E"/>
    <w:rsid w:val="00041BE9"/>
    <w:rsid w:val="00042080"/>
    <w:rsid w:val="00043D01"/>
    <w:rsid w:val="00044F77"/>
    <w:rsid w:val="000452A4"/>
    <w:rsid w:val="000464EE"/>
    <w:rsid w:val="00046580"/>
    <w:rsid w:val="0005143F"/>
    <w:rsid w:val="000514AE"/>
    <w:rsid w:val="00053281"/>
    <w:rsid w:val="000532EB"/>
    <w:rsid w:val="00054005"/>
    <w:rsid w:val="00060832"/>
    <w:rsid w:val="0006159A"/>
    <w:rsid w:val="00062D1A"/>
    <w:rsid w:val="000652BE"/>
    <w:rsid w:val="00067BEB"/>
    <w:rsid w:val="00070C4E"/>
    <w:rsid w:val="00073F57"/>
    <w:rsid w:val="00074D4B"/>
    <w:rsid w:val="0007522F"/>
    <w:rsid w:val="000775BC"/>
    <w:rsid w:val="00077C78"/>
    <w:rsid w:val="000818BE"/>
    <w:rsid w:val="0008581B"/>
    <w:rsid w:val="00087CBE"/>
    <w:rsid w:val="000918B9"/>
    <w:rsid w:val="0009238F"/>
    <w:rsid w:val="0009322F"/>
    <w:rsid w:val="00093385"/>
    <w:rsid w:val="00094DFD"/>
    <w:rsid w:val="000970F5"/>
    <w:rsid w:val="000A1F5C"/>
    <w:rsid w:val="000B198D"/>
    <w:rsid w:val="000B24E4"/>
    <w:rsid w:val="000B4C3C"/>
    <w:rsid w:val="000B601F"/>
    <w:rsid w:val="000B65C0"/>
    <w:rsid w:val="000B6BC8"/>
    <w:rsid w:val="000C279B"/>
    <w:rsid w:val="000C29B8"/>
    <w:rsid w:val="000C3833"/>
    <w:rsid w:val="000C550B"/>
    <w:rsid w:val="000C788C"/>
    <w:rsid w:val="000E0CD0"/>
    <w:rsid w:val="000E0FEF"/>
    <w:rsid w:val="000E14C7"/>
    <w:rsid w:val="000E3A45"/>
    <w:rsid w:val="000E65F5"/>
    <w:rsid w:val="000E6723"/>
    <w:rsid w:val="000F32D7"/>
    <w:rsid w:val="00100BC9"/>
    <w:rsid w:val="00100BDB"/>
    <w:rsid w:val="001059B9"/>
    <w:rsid w:val="00105B56"/>
    <w:rsid w:val="001073DD"/>
    <w:rsid w:val="00107DCA"/>
    <w:rsid w:val="00107DE8"/>
    <w:rsid w:val="001100D1"/>
    <w:rsid w:val="00110D95"/>
    <w:rsid w:val="00111F94"/>
    <w:rsid w:val="001126B2"/>
    <w:rsid w:val="00113D20"/>
    <w:rsid w:val="00114A7C"/>
    <w:rsid w:val="00121697"/>
    <w:rsid w:val="001220F5"/>
    <w:rsid w:val="00122B18"/>
    <w:rsid w:val="00125671"/>
    <w:rsid w:val="0012771E"/>
    <w:rsid w:val="00130FF9"/>
    <w:rsid w:val="00131ECA"/>
    <w:rsid w:val="00135689"/>
    <w:rsid w:val="001366D9"/>
    <w:rsid w:val="00136EC8"/>
    <w:rsid w:val="001456E7"/>
    <w:rsid w:val="0014788B"/>
    <w:rsid w:val="00147BF2"/>
    <w:rsid w:val="001501C5"/>
    <w:rsid w:val="00151BE5"/>
    <w:rsid w:val="00151E10"/>
    <w:rsid w:val="001530E3"/>
    <w:rsid w:val="00153F14"/>
    <w:rsid w:val="00154380"/>
    <w:rsid w:val="00155A94"/>
    <w:rsid w:val="00156EEC"/>
    <w:rsid w:val="001604E2"/>
    <w:rsid w:val="001609DB"/>
    <w:rsid w:val="00161B9F"/>
    <w:rsid w:val="00161CEB"/>
    <w:rsid w:val="00164C87"/>
    <w:rsid w:val="00165C83"/>
    <w:rsid w:val="00165F5F"/>
    <w:rsid w:val="001706C9"/>
    <w:rsid w:val="00170E5D"/>
    <w:rsid w:val="001745C9"/>
    <w:rsid w:val="00174B68"/>
    <w:rsid w:val="001769FB"/>
    <w:rsid w:val="00176CFB"/>
    <w:rsid w:val="00182109"/>
    <w:rsid w:val="0018224E"/>
    <w:rsid w:val="00182344"/>
    <w:rsid w:val="00183B7C"/>
    <w:rsid w:val="00186659"/>
    <w:rsid w:val="00186D89"/>
    <w:rsid w:val="001908A4"/>
    <w:rsid w:val="0019370B"/>
    <w:rsid w:val="00193B67"/>
    <w:rsid w:val="00194E48"/>
    <w:rsid w:val="00195397"/>
    <w:rsid w:val="001A3FE6"/>
    <w:rsid w:val="001A5DD0"/>
    <w:rsid w:val="001A7262"/>
    <w:rsid w:val="001B0DF9"/>
    <w:rsid w:val="001B1DA1"/>
    <w:rsid w:val="001B2804"/>
    <w:rsid w:val="001B2FE5"/>
    <w:rsid w:val="001B4DB1"/>
    <w:rsid w:val="001B580C"/>
    <w:rsid w:val="001B5AC8"/>
    <w:rsid w:val="001C0711"/>
    <w:rsid w:val="001C1939"/>
    <w:rsid w:val="001C5745"/>
    <w:rsid w:val="001C7601"/>
    <w:rsid w:val="001D0DBB"/>
    <w:rsid w:val="001D26E5"/>
    <w:rsid w:val="001D4FB3"/>
    <w:rsid w:val="001D5242"/>
    <w:rsid w:val="001D61B5"/>
    <w:rsid w:val="001D6DB8"/>
    <w:rsid w:val="001E00B9"/>
    <w:rsid w:val="001E12AC"/>
    <w:rsid w:val="001E1473"/>
    <w:rsid w:val="001E3DBE"/>
    <w:rsid w:val="001E649F"/>
    <w:rsid w:val="001E72AA"/>
    <w:rsid w:val="001E7830"/>
    <w:rsid w:val="001F11C4"/>
    <w:rsid w:val="001F3EFE"/>
    <w:rsid w:val="002022EA"/>
    <w:rsid w:val="00203961"/>
    <w:rsid w:val="00205AB3"/>
    <w:rsid w:val="002104A3"/>
    <w:rsid w:val="00214025"/>
    <w:rsid w:val="00214E58"/>
    <w:rsid w:val="00216307"/>
    <w:rsid w:val="00221FA0"/>
    <w:rsid w:val="002231C0"/>
    <w:rsid w:val="0022380D"/>
    <w:rsid w:val="00223831"/>
    <w:rsid w:val="00233B34"/>
    <w:rsid w:val="002342E3"/>
    <w:rsid w:val="00234DE4"/>
    <w:rsid w:val="002358E2"/>
    <w:rsid w:val="00235BA9"/>
    <w:rsid w:val="002368B7"/>
    <w:rsid w:val="00237964"/>
    <w:rsid w:val="00242C3E"/>
    <w:rsid w:val="00243125"/>
    <w:rsid w:val="00243889"/>
    <w:rsid w:val="00244B3E"/>
    <w:rsid w:val="002454AA"/>
    <w:rsid w:val="002459EF"/>
    <w:rsid w:val="0024761E"/>
    <w:rsid w:val="0025120E"/>
    <w:rsid w:val="0025477A"/>
    <w:rsid w:val="00257777"/>
    <w:rsid w:val="00260500"/>
    <w:rsid w:val="00261FCB"/>
    <w:rsid w:val="002652A9"/>
    <w:rsid w:val="0027091E"/>
    <w:rsid w:val="00273254"/>
    <w:rsid w:val="00274F0F"/>
    <w:rsid w:val="0027566C"/>
    <w:rsid w:val="00275BFC"/>
    <w:rsid w:val="002774F8"/>
    <w:rsid w:val="002805AE"/>
    <w:rsid w:val="00286F99"/>
    <w:rsid w:val="00291F51"/>
    <w:rsid w:val="002A0248"/>
    <w:rsid w:val="002A0F63"/>
    <w:rsid w:val="002A2156"/>
    <w:rsid w:val="002A2BB6"/>
    <w:rsid w:val="002A3205"/>
    <w:rsid w:val="002A3F6F"/>
    <w:rsid w:val="002B053A"/>
    <w:rsid w:val="002B22AC"/>
    <w:rsid w:val="002B3531"/>
    <w:rsid w:val="002B43BD"/>
    <w:rsid w:val="002B4BC7"/>
    <w:rsid w:val="002C14C1"/>
    <w:rsid w:val="002C2560"/>
    <w:rsid w:val="002C25D5"/>
    <w:rsid w:val="002C5A17"/>
    <w:rsid w:val="002D01AF"/>
    <w:rsid w:val="002D20E5"/>
    <w:rsid w:val="002D21FD"/>
    <w:rsid w:val="002D375D"/>
    <w:rsid w:val="002D4AC5"/>
    <w:rsid w:val="002D6925"/>
    <w:rsid w:val="002E0EBD"/>
    <w:rsid w:val="002E1756"/>
    <w:rsid w:val="002E2637"/>
    <w:rsid w:val="002E2ACD"/>
    <w:rsid w:val="002E3D53"/>
    <w:rsid w:val="002E5DDB"/>
    <w:rsid w:val="002F128D"/>
    <w:rsid w:val="002F12E5"/>
    <w:rsid w:val="002F1EAC"/>
    <w:rsid w:val="002F2020"/>
    <w:rsid w:val="002F57EA"/>
    <w:rsid w:val="00300A71"/>
    <w:rsid w:val="00301300"/>
    <w:rsid w:val="00301953"/>
    <w:rsid w:val="00302524"/>
    <w:rsid w:val="003035D5"/>
    <w:rsid w:val="00303939"/>
    <w:rsid w:val="0030542B"/>
    <w:rsid w:val="00310065"/>
    <w:rsid w:val="003112AC"/>
    <w:rsid w:val="00316D36"/>
    <w:rsid w:val="00317AB4"/>
    <w:rsid w:val="00317E81"/>
    <w:rsid w:val="00325E27"/>
    <w:rsid w:val="00327A02"/>
    <w:rsid w:val="00327B5E"/>
    <w:rsid w:val="003360B1"/>
    <w:rsid w:val="00337909"/>
    <w:rsid w:val="00341B92"/>
    <w:rsid w:val="00342C7E"/>
    <w:rsid w:val="0034552B"/>
    <w:rsid w:val="00346242"/>
    <w:rsid w:val="003464C4"/>
    <w:rsid w:val="003517CF"/>
    <w:rsid w:val="00352E06"/>
    <w:rsid w:val="00354C01"/>
    <w:rsid w:val="00361DF7"/>
    <w:rsid w:val="00363A79"/>
    <w:rsid w:val="003644A6"/>
    <w:rsid w:val="003655CF"/>
    <w:rsid w:val="00366133"/>
    <w:rsid w:val="00367EEB"/>
    <w:rsid w:val="00371E87"/>
    <w:rsid w:val="00374599"/>
    <w:rsid w:val="00374DB6"/>
    <w:rsid w:val="003752F6"/>
    <w:rsid w:val="00375986"/>
    <w:rsid w:val="00377425"/>
    <w:rsid w:val="003803F7"/>
    <w:rsid w:val="003816D6"/>
    <w:rsid w:val="00381DE4"/>
    <w:rsid w:val="0038269A"/>
    <w:rsid w:val="003826D2"/>
    <w:rsid w:val="00387BD4"/>
    <w:rsid w:val="0039450C"/>
    <w:rsid w:val="00394AEF"/>
    <w:rsid w:val="00395844"/>
    <w:rsid w:val="003A1D94"/>
    <w:rsid w:val="003A6372"/>
    <w:rsid w:val="003A6A84"/>
    <w:rsid w:val="003B386D"/>
    <w:rsid w:val="003B4135"/>
    <w:rsid w:val="003B5DCE"/>
    <w:rsid w:val="003B5ECA"/>
    <w:rsid w:val="003C0209"/>
    <w:rsid w:val="003C03D2"/>
    <w:rsid w:val="003C3499"/>
    <w:rsid w:val="003C485D"/>
    <w:rsid w:val="003C5488"/>
    <w:rsid w:val="003C597A"/>
    <w:rsid w:val="003C5E34"/>
    <w:rsid w:val="003D1A7A"/>
    <w:rsid w:val="003D2944"/>
    <w:rsid w:val="003D3B52"/>
    <w:rsid w:val="003D3C46"/>
    <w:rsid w:val="003D4650"/>
    <w:rsid w:val="003E276C"/>
    <w:rsid w:val="003E2B42"/>
    <w:rsid w:val="003E6DBB"/>
    <w:rsid w:val="003F08B3"/>
    <w:rsid w:val="003F0E34"/>
    <w:rsid w:val="003F1255"/>
    <w:rsid w:val="003F2F6A"/>
    <w:rsid w:val="003F6FDB"/>
    <w:rsid w:val="003F766F"/>
    <w:rsid w:val="00400F80"/>
    <w:rsid w:val="004022C7"/>
    <w:rsid w:val="00404034"/>
    <w:rsid w:val="004068C9"/>
    <w:rsid w:val="004105B9"/>
    <w:rsid w:val="00411BC3"/>
    <w:rsid w:val="00413BB7"/>
    <w:rsid w:val="00413E7E"/>
    <w:rsid w:val="00415D11"/>
    <w:rsid w:val="00415EEF"/>
    <w:rsid w:val="00421C7A"/>
    <w:rsid w:val="00427069"/>
    <w:rsid w:val="00430EA8"/>
    <w:rsid w:val="00432810"/>
    <w:rsid w:val="00433648"/>
    <w:rsid w:val="004336F6"/>
    <w:rsid w:val="00437CEA"/>
    <w:rsid w:val="00443573"/>
    <w:rsid w:val="00443C3D"/>
    <w:rsid w:val="00444820"/>
    <w:rsid w:val="004463E0"/>
    <w:rsid w:val="00451402"/>
    <w:rsid w:val="0045182A"/>
    <w:rsid w:val="00453BE8"/>
    <w:rsid w:val="004555F4"/>
    <w:rsid w:val="00455943"/>
    <w:rsid w:val="004573FD"/>
    <w:rsid w:val="004601F1"/>
    <w:rsid w:val="004625F5"/>
    <w:rsid w:val="00463D14"/>
    <w:rsid w:val="004708E7"/>
    <w:rsid w:val="00470C22"/>
    <w:rsid w:val="00473603"/>
    <w:rsid w:val="00474612"/>
    <w:rsid w:val="00475D80"/>
    <w:rsid w:val="004762D2"/>
    <w:rsid w:val="00476374"/>
    <w:rsid w:val="00481FB0"/>
    <w:rsid w:val="004844B4"/>
    <w:rsid w:val="00486095"/>
    <w:rsid w:val="00486A28"/>
    <w:rsid w:val="0048779B"/>
    <w:rsid w:val="00492092"/>
    <w:rsid w:val="004920E5"/>
    <w:rsid w:val="0049258C"/>
    <w:rsid w:val="004926C0"/>
    <w:rsid w:val="004945BB"/>
    <w:rsid w:val="00496ADD"/>
    <w:rsid w:val="00497E27"/>
    <w:rsid w:val="004A0D5B"/>
    <w:rsid w:val="004B00D5"/>
    <w:rsid w:val="004B2C89"/>
    <w:rsid w:val="004B5040"/>
    <w:rsid w:val="004B5B23"/>
    <w:rsid w:val="004B6C92"/>
    <w:rsid w:val="004C01A5"/>
    <w:rsid w:val="004C1391"/>
    <w:rsid w:val="004C2748"/>
    <w:rsid w:val="004D020D"/>
    <w:rsid w:val="004D0B63"/>
    <w:rsid w:val="004E00E1"/>
    <w:rsid w:val="004E265D"/>
    <w:rsid w:val="004E30A7"/>
    <w:rsid w:val="004E4BE5"/>
    <w:rsid w:val="004E6BC5"/>
    <w:rsid w:val="004E731F"/>
    <w:rsid w:val="004E75A1"/>
    <w:rsid w:val="004F07F9"/>
    <w:rsid w:val="004F105C"/>
    <w:rsid w:val="004F1246"/>
    <w:rsid w:val="004F269F"/>
    <w:rsid w:val="004F2FC5"/>
    <w:rsid w:val="004F57A8"/>
    <w:rsid w:val="004F6ED3"/>
    <w:rsid w:val="004F724E"/>
    <w:rsid w:val="00502947"/>
    <w:rsid w:val="00505554"/>
    <w:rsid w:val="00506093"/>
    <w:rsid w:val="0050626B"/>
    <w:rsid w:val="005069F1"/>
    <w:rsid w:val="00511674"/>
    <w:rsid w:val="00511847"/>
    <w:rsid w:val="00511B6C"/>
    <w:rsid w:val="005136F5"/>
    <w:rsid w:val="005140D0"/>
    <w:rsid w:val="00514178"/>
    <w:rsid w:val="005153D6"/>
    <w:rsid w:val="00515CD9"/>
    <w:rsid w:val="00521E38"/>
    <w:rsid w:val="00522148"/>
    <w:rsid w:val="0052429C"/>
    <w:rsid w:val="00525C39"/>
    <w:rsid w:val="00525DD2"/>
    <w:rsid w:val="00525E87"/>
    <w:rsid w:val="00535548"/>
    <w:rsid w:val="005379B0"/>
    <w:rsid w:val="005436A6"/>
    <w:rsid w:val="00543C8E"/>
    <w:rsid w:val="00543D70"/>
    <w:rsid w:val="00544A4F"/>
    <w:rsid w:val="00544C78"/>
    <w:rsid w:val="0055094A"/>
    <w:rsid w:val="00556D5D"/>
    <w:rsid w:val="00561831"/>
    <w:rsid w:val="00565870"/>
    <w:rsid w:val="00567834"/>
    <w:rsid w:val="00571BF4"/>
    <w:rsid w:val="00574C81"/>
    <w:rsid w:val="00575539"/>
    <w:rsid w:val="00575806"/>
    <w:rsid w:val="0057688B"/>
    <w:rsid w:val="00582D95"/>
    <w:rsid w:val="0058625C"/>
    <w:rsid w:val="00586FF7"/>
    <w:rsid w:val="00587ABC"/>
    <w:rsid w:val="00587AE0"/>
    <w:rsid w:val="005904EA"/>
    <w:rsid w:val="005927E3"/>
    <w:rsid w:val="00592EDF"/>
    <w:rsid w:val="00594833"/>
    <w:rsid w:val="00594B90"/>
    <w:rsid w:val="0059669C"/>
    <w:rsid w:val="00597792"/>
    <w:rsid w:val="005A0C87"/>
    <w:rsid w:val="005A301F"/>
    <w:rsid w:val="005A3DAC"/>
    <w:rsid w:val="005A57BA"/>
    <w:rsid w:val="005A6538"/>
    <w:rsid w:val="005A6B8F"/>
    <w:rsid w:val="005B3529"/>
    <w:rsid w:val="005B3987"/>
    <w:rsid w:val="005B3EBC"/>
    <w:rsid w:val="005B526D"/>
    <w:rsid w:val="005B75B9"/>
    <w:rsid w:val="005C0608"/>
    <w:rsid w:val="005C0D7D"/>
    <w:rsid w:val="005C3509"/>
    <w:rsid w:val="005C43AB"/>
    <w:rsid w:val="005C545E"/>
    <w:rsid w:val="005C5640"/>
    <w:rsid w:val="005D0E95"/>
    <w:rsid w:val="005D2A63"/>
    <w:rsid w:val="005D3F19"/>
    <w:rsid w:val="005D5EE7"/>
    <w:rsid w:val="005D5F2B"/>
    <w:rsid w:val="005D6BC9"/>
    <w:rsid w:val="005D6EA5"/>
    <w:rsid w:val="005E68F9"/>
    <w:rsid w:val="005E74A0"/>
    <w:rsid w:val="005F0FCA"/>
    <w:rsid w:val="005F2229"/>
    <w:rsid w:val="005F330A"/>
    <w:rsid w:val="005F3507"/>
    <w:rsid w:val="005F5C82"/>
    <w:rsid w:val="005F5DAE"/>
    <w:rsid w:val="006005C2"/>
    <w:rsid w:val="00600E54"/>
    <w:rsid w:val="006025CA"/>
    <w:rsid w:val="00602C9E"/>
    <w:rsid w:val="00602EBB"/>
    <w:rsid w:val="00603BB4"/>
    <w:rsid w:val="00603CCA"/>
    <w:rsid w:val="006055CD"/>
    <w:rsid w:val="00605C2C"/>
    <w:rsid w:val="0060627E"/>
    <w:rsid w:val="00607215"/>
    <w:rsid w:val="006076F5"/>
    <w:rsid w:val="0060783D"/>
    <w:rsid w:val="006078B7"/>
    <w:rsid w:val="0060799F"/>
    <w:rsid w:val="00610B5C"/>
    <w:rsid w:val="0061161A"/>
    <w:rsid w:val="00611926"/>
    <w:rsid w:val="00614260"/>
    <w:rsid w:val="00614C39"/>
    <w:rsid w:val="0061616C"/>
    <w:rsid w:val="00616A4A"/>
    <w:rsid w:val="006200C7"/>
    <w:rsid w:val="00620C2F"/>
    <w:rsid w:val="006252FB"/>
    <w:rsid w:val="0062538F"/>
    <w:rsid w:val="0062561C"/>
    <w:rsid w:val="00627585"/>
    <w:rsid w:val="00627E6E"/>
    <w:rsid w:val="00633E47"/>
    <w:rsid w:val="00634244"/>
    <w:rsid w:val="006350E8"/>
    <w:rsid w:val="00637CF6"/>
    <w:rsid w:val="00642E10"/>
    <w:rsid w:val="006443E6"/>
    <w:rsid w:val="0064542A"/>
    <w:rsid w:val="0065057A"/>
    <w:rsid w:val="00651102"/>
    <w:rsid w:val="00651716"/>
    <w:rsid w:val="006519C3"/>
    <w:rsid w:val="00651CB0"/>
    <w:rsid w:val="00652242"/>
    <w:rsid w:val="006522F6"/>
    <w:rsid w:val="0065252F"/>
    <w:rsid w:val="0065368E"/>
    <w:rsid w:val="006543CD"/>
    <w:rsid w:val="0065774A"/>
    <w:rsid w:val="00660933"/>
    <w:rsid w:val="006620CE"/>
    <w:rsid w:val="006635C7"/>
    <w:rsid w:val="0066668B"/>
    <w:rsid w:val="00666E56"/>
    <w:rsid w:val="006672B4"/>
    <w:rsid w:val="00674033"/>
    <w:rsid w:val="00675D37"/>
    <w:rsid w:val="006762B3"/>
    <w:rsid w:val="00677043"/>
    <w:rsid w:val="00677305"/>
    <w:rsid w:val="00685A8F"/>
    <w:rsid w:val="006872AF"/>
    <w:rsid w:val="00690125"/>
    <w:rsid w:val="0069242E"/>
    <w:rsid w:val="00692CB6"/>
    <w:rsid w:val="0069331F"/>
    <w:rsid w:val="006937D4"/>
    <w:rsid w:val="00694B9E"/>
    <w:rsid w:val="00695422"/>
    <w:rsid w:val="006957F0"/>
    <w:rsid w:val="006A0248"/>
    <w:rsid w:val="006A0FDA"/>
    <w:rsid w:val="006A20F1"/>
    <w:rsid w:val="006A31AF"/>
    <w:rsid w:val="006A5862"/>
    <w:rsid w:val="006A6B64"/>
    <w:rsid w:val="006B0C46"/>
    <w:rsid w:val="006B0D1E"/>
    <w:rsid w:val="006B1F5F"/>
    <w:rsid w:val="006B3D7A"/>
    <w:rsid w:val="006B687F"/>
    <w:rsid w:val="006B6A8C"/>
    <w:rsid w:val="006B788C"/>
    <w:rsid w:val="006B78D7"/>
    <w:rsid w:val="006C14BE"/>
    <w:rsid w:val="006C1D7A"/>
    <w:rsid w:val="006C2197"/>
    <w:rsid w:val="006C29EE"/>
    <w:rsid w:val="006C5539"/>
    <w:rsid w:val="006C5AC6"/>
    <w:rsid w:val="006C62DE"/>
    <w:rsid w:val="006D0052"/>
    <w:rsid w:val="006D0C7F"/>
    <w:rsid w:val="006D6BE7"/>
    <w:rsid w:val="006D6E48"/>
    <w:rsid w:val="006D7A99"/>
    <w:rsid w:val="006E26C6"/>
    <w:rsid w:val="006E4EBD"/>
    <w:rsid w:val="006E7F59"/>
    <w:rsid w:val="006F03B2"/>
    <w:rsid w:val="00701BA4"/>
    <w:rsid w:val="007049CE"/>
    <w:rsid w:val="00704D8F"/>
    <w:rsid w:val="00704FDB"/>
    <w:rsid w:val="00710F64"/>
    <w:rsid w:val="00711FA0"/>
    <w:rsid w:val="007120E7"/>
    <w:rsid w:val="00717B7C"/>
    <w:rsid w:val="00720422"/>
    <w:rsid w:val="00720925"/>
    <w:rsid w:val="007228B4"/>
    <w:rsid w:val="00727CE2"/>
    <w:rsid w:val="007304F6"/>
    <w:rsid w:val="0073137E"/>
    <w:rsid w:val="007337A9"/>
    <w:rsid w:val="00733972"/>
    <w:rsid w:val="00733B12"/>
    <w:rsid w:val="00734218"/>
    <w:rsid w:val="00734EEC"/>
    <w:rsid w:val="007366B9"/>
    <w:rsid w:val="00736A6B"/>
    <w:rsid w:val="00737F13"/>
    <w:rsid w:val="0074237C"/>
    <w:rsid w:val="00743D8F"/>
    <w:rsid w:val="0074500C"/>
    <w:rsid w:val="00745781"/>
    <w:rsid w:val="007467B5"/>
    <w:rsid w:val="00746E2C"/>
    <w:rsid w:val="00751F7D"/>
    <w:rsid w:val="0075459E"/>
    <w:rsid w:val="00755A1C"/>
    <w:rsid w:val="00756343"/>
    <w:rsid w:val="007567A5"/>
    <w:rsid w:val="00757DD9"/>
    <w:rsid w:val="0076049C"/>
    <w:rsid w:val="0076123D"/>
    <w:rsid w:val="00762C21"/>
    <w:rsid w:val="00762F52"/>
    <w:rsid w:val="00763A47"/>
    <w:rsid w:val="00763FA8"/>
    <w:rsid w:val="0076420F"/>
    <w:rsid w:val="007644E4"/>
    <w:rsid w:val="00765486"/>
    <w:rsid w:val="007660FC"/>
    <w:rsid w:val="00766183"/>
    <w:rsid w:val="00770824"/>
    <w:rsid w:val="00771E97"/>
    <w:rsid w:val="00771EAE"/>
    <w:rsid w:val="00772FF2"/>
    <w:rsid w:val="0077371F"/>
    <w:rsid w:val="0077423F"/>
    <w:rsid w:val="007743A8"/>
    <w:rsid w:val="00774772"/>
    <w:rsid w:val="007804B1"/>
    <w:rsid w:val="00782E07"/>
    <w:rsid w:val="007834BC"/>
    <w:rsid w:val="0078426E"/>
    <w:rsid w:val="00785F5F"/>
    <w:rsid w:val="00786921"/>
    <w:rsid w:val="00787432"/>
    <w:rsid w:val="007875A4"/>
    <w:rsid w:val="00787C7F"/>
    <w:rsid w:val="00791120"/>
    <w:rsid w:val="0079297C"/>
    <w:rsid w:val="00795180"/>
    <w:rsid w:val="0079556E"/>
    <w:rsid w:val="0079579E"/>
    <w:rsid w:val="007958D5"/>
    <w:rsid w:val="007A01E7"/>
    <w:rsid w:val="007A0A51"/>
    <w:rsid w:val="007A4BFD"/>
    <w:rsid w:val="007A5B2F"/>
    <w:rsid w:val="007B4E57"/>
    <w:rsid w:val="007B525D"/>
    <w:rsid w:val="007B575D"/>
    <w:rsid w:val="007B7669"/>
    <w:rsid w:val="007C1690"/>
    <w:rsid w:val="007C1A51"/>
    <w:rsid w:val="007C1AFA"/>
    <w:rsid w:val="007C3084"/>
    <w:rsid w:val="007C5565"/>
    <w:rsid w:val="007C7D41"/>
    <w:rsid w:val="007D026F"/>
    <w:rsid w:val="007D0435"/>
    <w:rsid w:val="007D104B"/>
    <w:rsid w:val="007D174D"/>
    <w:rsid w:val="007D2DAD"/>
    <w:rsid w:val="007D5126"/>
    <w:rsid w:val="007D6F29"/>
    <w:rsid w:val="007E0FEC"/>
    <w:rsid w:val="007E1B5D"/>
    <w:rsid w:val="007E3972"/>
    <w:rsid w:val="007F3402"/>
    <w:rsid w:val="007F6EA7"/>
    <w:rsid w:val="00800E90"/>
    <w:rsid w:val="00800F3C"/>
    <w:rsid w:val="00801284"/>
    <w:rsid w:val="008013E8"/>
    <w:rsid w:val="008025A2"/>
    <w:rsid w:val="0080374E"/>
    <w:rsid w:val="008102DD"/>
    <w:rsid w:val="00812E12"/>
    <w:rsid w:val="00813006"/>
    <w:rsid w:val="0081385E"/>
    <w:rsid w:val="00813D70"/>
    <w:rsid w:val="00813E94"/>
    <w:rsid w:val="008154CD"/>
    <w:rsid w:val="00815981"/>
    <w:rsid w:val="00821B99"/>
    <w:rsid w:val="008232E8"/>
    <w:rsid w:val="00823ECA"/>
    <w:rsid w:val="00824241"/>
    <w:rsid w:val="00831749"/>
    <w:rsid w:val="00833F92"/>
    <w:rsid w:val="0083735B"/>
    <w:rsid w:val="00842E45"/>
    <w:rsid w:val="0084475A"/>
    <w:rsid w:val="0084610C"/>
    <w:rsid w:val="00847756"/>
    <w:rsid w:val="00851729"/>
    <w:rsid w:val="00851BF1"/>
    <w:rsid w:val="00852321"/>
    <w:rsid w:val="00852F80"/>
    <w:rsid w:val="0086050C"/>
    <w:rsid w:val="00861444"/>
    <w:rsid w:val="008646FD"/>
    <w:rsid w:val="00864900"/>
    <w:rsid w:val="00865E3B"/>
    <w:rsid w:val="00866C8D"/>
    <w:rsid w:val="0087387A"/>
    <w:rsid w:val="00873E76"/>
    <w:rsid w:val="008750BA"/>
    <w:rsid w:val="00875770"/>
    <w:rsid w:val="008768DE"/>
    <w:rsid w:val="00876F65"/>
    <w:rsid w:val="00877D3F"/>
    <w:rsid w:val="00880624"/>
    <w:rsid w:val="00880676"/>
    <w:rsid w:val="00881283"/>
    <w:rsid w:val="00881A12"/>
    <w:rsid w:val="008821C8"/>
    <w:rsid w:val="00883533"/>
    <w:rsid w:val="008839DE"/>
    <w:rsid w:val="00883B81"/>
    <w:rsid w:val="008845BB"/>
    <w:rsid w:val="0088483A"/>
    <w:rsid w:val="00890C17"/>
    <w:rsid w:val="008918E0"/>
    <w:rsid w:val="00891967"/>
    <w:rsid w:val="00891DBA"/>
    <w:rsid w:val="00892765"/>
    <w:rsid w:val="0089619B"/>
    <w:rsid w:val="008974BA"/>
    <w:rsid w:val="008A7740"/>
    <w:rsid w:val="008A7A0D"/>
    <w:rsid w:val="008B1195"/>
    <w:rsid w:val="008B1340"/>
    <w:rsid w:val="008B2C39"/>
    <w:rsid w:val="008B3B00"/>
    <w:rsid w:val="008B4570"/>
    <w:rsid w:val="008B6738"/>
    <w:rsid w:val="008B755F"/>
    <w:rsid w:val="008C047B"/>
    <w:rsid w:val="008C0DE7"/>
    <w:rsid w:val="008C4095"/>
    <w:rsid w:val="008C501F"/>
    <w:rsid w:val="008C55EA"/>
    <w:rsid w:val="008D0C1F"/>
    <w:rsid w:val="008D7D43"/>
    <w:rsid w:val="008E2CDC"/>
    <w:rsid w:val="008E33B8"/>
    <w:rsid w:val="008E345B"/>
    <w:rsid w:val="008E66A4"/>
    <w:rsid w:val="008E7D7A"/>
    <w:rsid w:val="008F07F6"/>
    <w:rsid w:val="008F1313"/>
    <w:rsid w:val="008F19B5"/>
    <w:rsid w:val="008F1BAD"/>
    <w:rsid w:val="008F1E38"/>
    <w:rsid w:val="008F30C9"/>
    <w:rsid w:val="008F4D71"/>
    <w:rsid w:val="008F598A"/>
    <w:rsid w:val="008F59B8"/>
    <w:rsid w:val="00901008"/>
    <w:rsid w:val="00902B0D"/>
    <w:rsid w:val="00904A53"/>
    <w:rsid w:val="00906252"/>
    <w:rsid w:val="00907F24"/>
    <w:rsid w:val="00910F47"/>
    <w:rsid w:val="00913364"/>
    <w:rsid w:val="00914871"/>
    <w:rsid w:val="0091510F"/>
    <w:rsid w:val="00923BF3"/>
    <w:rsid w:val="00924733"/>
    <w:rsid w:val="00926E0C"/>
    <w:rsid w:val="00927193"/>
    <w:rsid w:val="0093085C"/>
    <w:rsid w:val="0093232A"/>
    <w:rsid w:val="0093316B"/>
    <w:rsid w:val="00934AF6"/>
    <w:rsid w:val="0093539F"/>
    <w:rsid w:val="009353D0"/>
    <w:rsid w:val="00935B72"/>
    <w:rsid w:val="00936931"/>
    <w:rsid w:val="009369BE"/>
    <w:rsid w:val="00941D8B"/>
    <w:rsid w:val="00944C0C"/>
    <w:rsid w:val="00945919"/>
    <w:rsid w:val="00946597"/>
    <w:rsid w:val="00953D4E"/>
    <w:rsid w:val="00953F00"/>
    <w:rsid w:val="00955EB4"/>
    <w:rsid w:val="0095684F"/>
    <w:rsid w:val="00956D8C"/>
    <w:rsid w:val="00957CC1"/>
    <w:rsid w:val="00962C90"/>
    <w:rsid w:val="00962DF9"/>
    <w:rsid w:val="00971D5F"/>
    <w:rsid w:val="00977DBE"/>
    <w:rsid w:val="009910CF"/>
    <w:rsid w:val="00992128"/>
    <w:rsid w:val="00992FF1"/>
    <w:rsid w:val="0099571E"/>
    <w:rsid w:val="009970EB"/>
    <w:rsid w:val="009A227B"/>
    <w:rsid w:val="009A316C"/>
    <w:rsid w:val="009A5B42"/>
    <w:rsid w:val="009A6408"/>
    <w:rsid w:val="009A689B"/>
    <w:rsid w:val="009A6EC5"/>
    <w:rsid w:val="009B04EF"/>
    <w:rsid w:val="009B0B55"/>
    <w:rsid w:val="009B2165"/>
    <w:rsid w:val="009B2366"/>
    <w:rsid w:val="009B2613"/>
    <w:rsid w:val="009B31DF"/>
    <w:rsid w:val="009B51B0"/>
    <w:rsid w:val="009B62AF"/>
    <w:rsid w:val="009B6CDD"/>
    <w:rsid w:val="009B7CD6"/>
    <w:rsid w:val="009C0457"/>
    <w:rsid w:val="009C56D1"/>
    <w:rsid w:val="009C6897"/>
    <w:rsid w:val="009D1AFC"/>
    <w:rsid w:val="009D4935"/>
    <w:rsid w:val="009D651C"/>
    <w:rsid w:val="009E03AC"/>
    <w:rsid w:val="009E23C9"/>
    <w:rsid w:val="009E2438"/>
    <w:rsid w:val="009E3689"/>
    <w:rsid w:val="009E62DB"/>
    <w:rsid w:val="009E69E9"/>
    <w:rsid w:val="009E702D"/>
    <w:rsid w:val="009E761C"/>
    <w:rsid w:val="009F52BE"/>
    <w:rsid w:val="009F7109"/>
    <w:rsid w:val="00A027ED"/>
    <w:rsid w:val="00A03848"/>
    <w:rsid w:val="00A04267"/>
    <w:rsid w:val="00A04771"/>
    <w:rsid w:val="00A0490F"/>
    <w:rsid w:val="00A137D0"/>
    <w:rsid w:val="00A13BA3"/>
    <w:rsid w:val="00A13BB6"/>
    <w:rsid w:val="00A14BDD"/>
    <w:rsid w:val="00A1535B"/>
    <w:rsid w:val="00A206AF"/>
    <w:rsid w:val="00A22528"/>
    <w:rsid w:val="00A25859"/>
    <w:rsid w:val="00A31956"/>
    <w:rsid w:val="00A31BB7"/>
    <w:rsid w:val="00A31C7E"/>
    <w:rsid w:val="00A328B2"/>
    <w:rsid w:val="00A3376E"/>
    <w:rsid w:val="00A3510B"/>
    <w:rsid w:val="00A370B8"/>
    <w:rsid w:val="00A3765B"/>
    <w:rsid w:val="00A4040D"/>
    <w:rsid w:val="00A46900"/>
    <w:rsid w:val="00A46C52"/>
    <w:rsid w:val="00A47BAD"/>
    <w:rsid w:val="00A47EBF"/>
    <w:rsid w:val="00A51E1C"/>
    <w:rsid w:val="00A53CB7"/>
    <w:rsid w:val="00A54BD2"/>
    <w:rsid w:val="00A55F83"/>
    <w:rsid w:val="00A57A81"/>
    <w:rsid w:val="00A6417A"/>
    <w:rsid w:val="00A64B52"/>
    <w:rsid w:val="00A6512C"/>
    <w:rsid w:val="00A66AED"/>
    <w:rsid w:val="00A70B06"/>
    <w:rsid w:val="00A7391F"/>
    <w:rsid w:val="00A768C0"/>
    <w:rsid w:val="00A83A91"/>
    <w:rsid w:val="00A8644D"/>
    <w:rsid w:val="00A92316"/>
    <w:rsid w:val="00A93664"/>
    <w:rsid w:val="00A9485D"/>
    <w:rsid w:val="00AA06F8"/>
    <w:rsid w:val="00AA09E8"/>
    <w:rsid w:val="00AA23AC"/>
    <w:rsid w:val="00AB342B"/>
    <w:rsid w:val="00AB6CDF"/>
    <w:rsid w:val="00AB79C0"/>
    <w:rsid w:val="00AC773A"/>
    <w:rsid w:val="00AD11C7"/>
    <w:rsid w:val="00AD2094"/>
    <w:rsid w:val="00AD2E51"/>
    <w:rsid w:val="00AD51EB"/>
    <w:rsid w:val="00AD626B"/>
    <w:rsid w:val="00AE1A7A"/>
    <w:rsid w:val="00AE3BE8"/>
    <w:rsid w:val="00AE4147"/>
    <w:rsid w:val="00AE4553"/>
    <w:rsid w:val="00AE6BFB"/>
    <w:rsid w:val="00AF4CEB"/>
    <w:rsid w:val="00AF5909"/>
    <w:rsid w:val="00AF59EB"/>
    <w:rsid w:val="00AF7658"/>
    <w:rsid w:val="00B01FB8"/>
    <w:rsid w:val="00B04295"/>
    <w:rsid w:val="00B05028"/>
    <w:rsid w:val="00B05789"/>
    <w:rsid w:val="00B05AD6"/>
    <w:rsid w:val="00B0659C"/>
    <w:rsid w:val="00B07694"/>
    <w:rsid w:val="00B11848"/>
    <w:rsid w:val="00B12326"/>
    <w:rsid w:val="00B12E46"/>
    <w:rsid w:val="00B13CBE"/>
    <w:rsid w:val="00B2314E"/>
    <w:rsid w:val="00B257D1"/>
    <w:rsid w:val="00B262A1"/>
    <w:rsid w:val="00B3076F"/>
    <w:rsid w:val="00B43D42"/>
    <w:rsid w:val="00B44798"/>
    <w:rsid w:val="00B45363"/>
    <w:rsid w:val="00B46A8F"/>
    <w:rsid w:val="00B4789B"/>
    <w:rsid w:val="00B50789"/>
    <w:rsid w:val="00B51C32"/>
    <w:rsid w:val="00B53DEB"/>
    <w:rsid w:val="00B54A89"/>
    <w:rsid w:val="00B550A3"/>
    <w:rsid w:val="00B643FA"/>
    <w:rsid w:val="00B64CFB"/>
    <w:rsid w:val="00B64FC1"/>
    <w:rsid w:val="00B6583E"/>
    <w:rsid w:val="00B65AC9"/>
    <w:rsid w:val="00B6647B"/>
    <w:rsid w:val="00B6647C"/>
    <w:rsid w:val="00B6692B"/>
    <w:rsid w:val="00B7098E"/>
    <w:rsid w:val="00B70EAC"/>
    <w:rsid w:val="00B75D46"/>
    <w:rsid w:val="00B809C5"/>
    <w:rsid w:val="00B80F86"/>
    <w:rsid w:val="00B820E6"/>
    <w:rsid w:val="00B86961"/>
    <w:rsid w:val="00B9106F"/>
    <w:rsid w:val="00B9121B"/>
    <w:rsid w:val="00B94086"/>
    <w:rsid w:val="00B94622"/>
    <w:rsid w:val="00B9584C"/>
    <w:rsid w:val="00B9764F"/>
    <w:rsid w:val="00BA298B"/>
    <w:rsid w:val="00BA4D3C"/>
    <w:rsid w:val="00BB4F25"/>
    <w:rsid w:val="00BB5042"/>
    <w:rsid w:val="00BB5456"/>
    <w:rsid w:val="00BC21B2"/>
    <w:rsid w:val="00BC2287"/>
    <w:rsid w:val="00BC5DDA"/>
    <w:rsid w:val="00BC62BD"/>
    <w:rsid w:val="00BD020C"/>
    <w:rsid w:val="00BD2334"/>
    <w:rsid w:val="00BD2467"/>
    <w:rsid w:val="00BD6565"/>
    <w:rsid w:val="00BE0E2A"/>
    <w:rsid w:val="00BE1676"/>
    <w:rsid w:val="00BE3CDF"/>
    <w:rsid w:val="00BE68EC"/>
    <w:rsid w:val="00BE6E3E"/>
    <w:rsid w:val="00BE7158"/>
    <w:rsid w:val="00BF5AB6"/>
    <w:rsid w:val="00C012D2"/>
    <w:rsid w:val="00C01917"/>
    <w:rsid w:val="00C03729"/>
    <w:rsid w:val="00C103E3"/>
    <w:rsid w:val="00C125BC"/>
    <w:rsid w:val="00C20A3E"/>
    <w:rsid w:val="00C21CFD"/>
    <w:rsid w:val="00C23329"/>
    <w:rsid w:val="00C23812"/>
    <w:rsid w:val="00C24354"/>
    <w:rsid w:val="00C24AED"/>
    <w:rsid w:val="00C26694"/>
    <w:rsid w:val="00C278E0"/>
    <w:rsid w:val="00C333E8"/>
    <w:rsid w:val="00C338CE"/>
    <w:rsid w:val="00C33BF5"/>
    <w:rsid w:val="00C33F74"/>
    <w:rsid w:val="00C351D7"/>
    <w:rsid w:val="00C35321"/>
    <w:rsid w:val="00C40574"/>
    <w:rsid w:val="00C41C3E"/>
    <w:rsid w:val="00C45927"/>
    <w:rsid w:val="00C46006"/>
    <w:rsid w:val="00C47014"/>
    <w:rsid w:val="00C52B9F"/>
    <w:rsid w:val="00C546EC"/>
    <w:rsid w:val="00C5604C"/>
    <w:rsid w:val="00C60254"/>
    <w:rsid w:val="00C60448"/>
    <w:rsid w:val="00C64DDE"/>
    <w:rsid w:val="00C65A40"/>
    <w:rsid w:val="00C74FDD"/>
    <w:rsid w:val="00C75C0A"/>
    <w:rsid w:val="00C775E5"/>
    <w:rsid w:val="00C80BC5"/>
    <w:rsid w:val="00C80E5C"/>
    <w:rsid w:val="00C815FE"/>
    <w:rsid w:val="00C82492"/>
    <w:rsid w:val="00C82D57"/>
    <w:rsid w:val="00C82E37"/>
    <w:rsid w:val="00C860FD"/>
    <w:rsid w:val="00C8661A"/>
    <w:rsid w:val="00C87BB1"/>
    <w:rsid w:val="00C92122"/>
    <w:rsid w:val="00C9340A"/>
    <w:rsid w:val="00C9547A"/>
    <w:rsid w:val="00C95FD7"/>
    <w:rsid w:val="00C962BF"/>
    <w:rsid w:val="00C9708E"/>
    <w:rsid w:val="00C97C7C"/>
    <w:rsid w:val="00CA40A1"/>
    <w:rsid w:val="00CA6A64"/>
    <w:rsid w:val="00CB0166"/>
    <w:rsid w:val="00CB19E7"/>
    <w:rsid w:val="00CB30C3"/>
    <w:rsid w:val="00CB7969"/>
    <w:rsid w:val="00CB7D9F"/>
    <w:rsid w:val="00CC42DE"/>
    <w:rsid w:val="00CD01DE"/>
    <w:rsid w:val="00CD06FC"/>
    <w:rsid w:val="00CD1405"/>
    <w:rsid w:val="00CD215B"/>
    <w:rsid w:val="00CD412C"/>
    <w:rsid w:val="00CD4A08"/>
    <w:rsid w:val="00CD506D"/>
    <w:rsid w:val="00CD58D9"/>
    <w:rsid w:val="00CD6847"/>
    <w:rsid w:val="00CD68B5"/>
    <w:rsid w:val="00CE15B8"/>
    <w:rsid w:val="00CE19A3"/>
    <w:rsid w:val="00CE432D"/>
    <w:rsid w:val="00CF017E"/>
    <w:rsid w:val="00CF2877"/>
    <w:rsid w:val="00CF2F67"/>
    <w:rsid w:val="00CF388F"/>
    <w:rsid w:val="00CF3A94"/>
    <w:rsid w:val="00D00175"/>
    <w:rsid w:val="00D00ADC"/>
    <w:rsid w:val="00D02136"/>
    <w:rsid w:val="00D022E3"/>
    <w:rsid w:val="00D03756"/>
    <w:rsid w:val="00D03CE6"/>
    <w:rsid w:val="00D03CF4"/>
    <w:rsid w:val="00D0405D"/>
    <w:rsid w:val="00D046D2"/>
    <w:rsid w:val="00D06062"/>
    <w:rsid w:val="00D10908"/>
    <w:rsid w:val="00D10A36"/>
    <w:rsid w:val="00D11401"/>
    <w:rsid w:val="00D12CE6"/>
    <w:rsid w:val="00D13551"/>
    <w:rsid w:val="00D139B4"/>
    <w:rsid w:val="00D143EC"/>
    <w:rsid w:val="00D144C0"/>
    <w:rsid w:val="00D14684"/>
    <w:rsid w:val="00D14A3C"/>
    <w:rsid w:val="00D154EE"/>
    <w:rsid w:val="00D20032"/>
    <w:rsid w:val="00D200DB"/>
    <w:rsid w:val="00D207E1"/>
    <w:rsid w:val="00D20821"/>
    <w:rsid w:val="00D21343"/>
    <w:rsid w:val="00D2448F"/>
    <w:rsid w:val="00D256D1"/>
    <w:rsid w:val="00D25AB4"/>
    <w:rsid w:val="00D32549"/>
    <w:rsid w:val="00D334D4"/>
    <w:rsid w:val="00D35FCD"/>
    <w:rsid w:val="00D43528"/>
    <w:rsid w:val="00D46B66"/>
    <w:rsid w:val="00D510FD"/>
    <w:rsid w:val="00D516BD"/>
    <w:rsid w:val="00D541E0"/>
    <w:rsid w:val="00D54CA2"/>
    <w:rsid w:val="00D573C4"/>
    <w:rsid w:val="00D60824"/>
    <w:rsid w:val="00D60F1B"/>
    <w:rsid w:val="00D62E69"/>
    <w:rsid w:val="00D64AE6"/>
    <w:rsid w:val="00D65447"/>
    <w:rsid w:val="00D66B12"/>
    <w:rsid w:val="00D67539"/>
    <w:rsid w:val="00D67992"/>
    <w:rsid w:val="00D67CB9"/>
    <w:rsid w:val="00D72D0D"/>
    <w:rsid w:val="00D73F90"/>
    <w:rsid w:val="00D76424"/>
    <w:rsid w:val="00D77FF1"/>
    <w:rsid w:val="00D832CC"/>
    <w:rsid w:val="00D85CBA"/>
    <w:rsid w:val="00D86AC3"/>
    <w:rsid w:val="00D87F95"/>
    <w:rsid w:val="00DA1B64"/>
    <w:rsid w:val="00DA3719"/>
    <w:rsid w:val="00DA4844"/>
    <w:rsid w:val="00DA4DE0"/>
    <w:rsid w:val="00DA7F6A"/>
    <w:rsid w:val="00DB3CE1"/>
    <w:rsid w:val="00DB44AD"/>
    <w:rsid w:val="00DC2599"/>
    <w:rsid w:val="00DC26C6"/>
    <w:rsid w:val="00DC33D2"/>
    <w:rsid w:val="00DC3E64"/>
    <w:rsid w:val="00DC7A2D"/>
    <w:rsid w:val="00DD1DB6"/>
    <w:rsid w:val="00DD2019"/>
    <w:rsid w:val="00DD40A1"/>
    <w:rsid w:val="00DD518E"/>
    <w:rsid w:val="00DD5E10"/>
    <w:rsid w:val="00DE5AD5"/>
    <w:rsid w:val="00DE7C31"/>
    <w:rsid w:val="00DF0822"/>
    <w:rsid w:val="00DF08B5"/>
    <w:rsid w:val="00DF13A3"/>
    <w:rsid w:val="00DF3FD2"/>
    <w:rsid w:val="00E01743"/>
    <w:rsid w:val="00E019A8"/>
    <w:rsid w:val="00E0356B"/>
    <w:rsid w:val="00E03CBB"/>
    <w:rsid w:val="00E03D26"/>
    <w:rsid w:val="00E066D8"/>
    <w:rsid w:val="00E06B9A"/>
    <w:rsid w:val="00E06FAB"/>
    <w:rsid w:val="00E1194C"/>
    <w:rsid w:val="00E13A72"/>
    <w:rsid w:val="00E13AA0"/>
    <w:rsid w:val="00E20F23"/>
    <w:rsid w:val="00E2108E"/>
    <w:rsid w:val="00E214ED"/>
    <w:rsid w:val="00E25566"/>
    <w:rsid w:val="00E32D3D"/>
    <w:rsid w:val="00E347F5"/>
    <w:rsid w:val="00E36949"/>
    <w:rsid w:val="00E40068"/>
    <w:rsid w:val="00E44150"/>
    <w:rsid w:val="00E44CEF"/>
    <w:rsid w:val="00E45B5A"/>
    <w:rsid w:val="00E45ECF"/>
    <w:rsid w:val="00E46481"/>
    <w:rsid w:val="00E46DD3"/>
    <w:rsid w:val="00E47FEC"/>
    <w:rsid w:val="00E5125E"/>
    <w:rsid w:val="00E526AB"/>
    <w:rsid w:val="00E54628"/>
    <w:rsid w:val="00E54769"/>
    <w:rsid w:val="00E54E60"/>
    <w:rsid w:val="00E55D76"/>
    <w:rsid w:val="00E56BC3"/>
    <w:rsid w:val="00E57439"/>
    <w:rsid w:val="00E6100A"/>
    <w:rsid w:val="00E62E69"/>
    <w:rsid w:val="00E62FD0"/>
    <w:rsid w:val="00E63FEF"/>
    <w:rsid w:val="00E6429C"/>
    <w:rsid w:val="00E645D3"/>
    <w:rsid w:val="00E656EC"/>
    <w:rsid w:val="00E6652C"/>
    <w:rsid w:val="00E66D93"/>
    <w:rsid w:val="00E727A4"/>
    <w:rsid w:val="00E73C60"/>
    <w:rsid w:val="00E74D73"/>
    <w:rsid w:val="00E75B58"/>
    <w:rsid w:val="00E75D5C"/>
    <w:rsid w:val="00E77BC9"/>
    <w:rsid w:val="00E77E73"/>
    <w:rsid w:val="00E80A77"/>
    <w:rsid w:val="00E81734"/>
    <w:rsid w:val="00E86440"/>
    <w:rsid w:val="00E86AB0"/>
    <w:rsid w:val="00E90A0B"/>
    <w:rsid w:val="00EA1AAD"/>
    <w:rsid w:val="00EA612F"/>
    <w:rsid w:val="00EB0CA2"/>
    <w:rsid w:val="00EB1772"/>
    <w:rsid w:val="00EB17DE"/>
    <w:rsid w:val="00EB35EF"/>
    <w:rsid w:val="00EB5479"/>
    <w:rsid w:val="00EB75DE"/>
    <w:rsid w:val="00EC1D3A"/>
    <w:rsid w:val="00EC3882"/>
    <w:rsid w:val="00EC7859"/>
    <w:rsid w:val="00ED0502"/>
    <w:rsid w:val="00ED1408"/>
    <w:rsid w:val="00ED2384"/>
    <w:rsid w:val="00ED3A04"/>
    <w:rsid w:val="00ED572E"/>
    <w:rsid w:val="00ED601C"/>
    <w:rsid w:val="00EE04C2"/>
    <w:rsid w:val="00EE0815"/>
    <w:rsid w:val="00EE146C"/>
    <w:rsid w:val="00EE221C"/>
    <w:rsid w:val="00EE47CC"/>
    <w:rsid w:val="00EE4932"/>
    <w:rsid w:val="00EE566A"/>
    <w:rsid w:val="00EE5AF4"/>
    <w:rsid w:val="00EE5F44"/>
    <w:rsid w:val="00EE6C01"/>
    <w:rsid w:val="00EE7741"/>
    <w:rsid w:val="00EE78B2"/>
    <w:rsid w:val="00EF2DCC"/>
    <w:rsid w:val="00EF4140"/>
    <w:rsid w:val="00EF5C69"/>
    <w:rsid w:val="00EF6150"/>
    <w:rsid w:val="00F0052B"/>
    <w:rsid w:val="00F01243"/>
    <w:rsid w:val="00F01F28"/>
    <w:rsid w:val="00F02E21"/>
    <w:rsid w:val="00F04DB4"/>
    <w:rsid w:val="00F07841"/>
    <w:rsid w:val="00F106C3"/>
    <w:rsid w:val="00F10ACA"/>
    <w:rsid w:val="00F15EE5"/>
    <w:rsid w:val="00F167C3"/>
    <w:rsid w:val="00F177C0"/>
    <w:rsid w:val="00F251CA"/>
    <w:rsid w:val="00F27D2E"/>
    <w:rsid w:val="00F31A1E"/>
    <w:rsid w:val="00F3362E"/>
    <w:rsid w:val="00F3637C"/>
    <w:rsid w:val="00F41BFB"/>
    <w:rsid w:val="00F43086"/>
    <w:rsid w:val="00F435DF"/>
    <w:rsid w:val="00F47A96"/>
    <w:rsid w:val="00F47D78"/>
    <w:rsid w:val="00F51C32"/>
    <w:rsid w:val="00F52103"/>
    <w:rsid w:val="00F528F2"/>
    <w:rsid w:val="00F550C8"/>
    <w:rsid w:val="00F5574A"/>
    <w:rsid w:val="00F55A07"/>
    <w:rsid w:val="00F574CF"/>
    <w:rsid w:val="00F577A7"/>
    <w:rsid w:val="00F578C8"/>
    <w:rsid w:val="00F61E2D"/>
    <w:rsid w:val="00F668A0"/>
    <w:rsid w:val="00F66AAD"/>
    <w:rsid w:val="00F67320"/>
    <w:rsid w:val="00F70128"/>
    <w:rsid w:val="00F703E7"/>
    <w:rsid w:val="00F72F5F"/>
    <w:rsid w:val="00F74B4B"/>
    <w:rsid w:val="00F7536F"/>
    <w:rsid w:val="00F80698"/>
    <w:rsid w:val="00F810AD"/>
    <w:rsid w:val="00F82A51"/>
    <w:rsid w:val="00F84104"/>
    <w:rsid w:val="00F84747"/>
    <w:rsid w:val="00F85FF5"/>
    <w:rsid w:val="00F8619B"/>
    <w:rsid w:val="00F86993"/>
    <w:rsid w:val="00F906C2"/>
    <w:rsid w:val="00F9377D"/>
    <w:rsid w:val="00F9387F"/>
    <w:rsid w:val="00F96AE4"/>
    <w:rsid w:val="00FA055B"/>
    <w:rsid w:val="00FA0826"/>
    <w:rsid w:val="00FB0454"/>
    <w:rsid w:val="00FB099D"/>
    <w:rsid w:val="00FB1FCD"/>
    <w:rsid w:val="00FB2D3D"/>
    <w:rsid w:val="00FB4487"/>
    <w:rsid w:val="00FB5731"/>
    <w:rsid w:val="00FB6C02"/>
    <w:rsid w:val="00FB73FE"/>
    <w:rsid w:val="00FC039A"/>
    <w:rsid w:val="00FC07B0"/>
    <w:rsid w:val="00FC25C9"/>
    <w:rsid w:val="00FC6D0E"/>
    <w:rsid w:val="00FC7796"/>
    <w:rsid w:val="00FC7ADD"/>
    <w:rsid w:val="00FD120F"/>
    <w:rsid w:val="00FD295E"/>
    <w:rsid w:val="00FD298E"/>
    <w:rsid w:val="00FD32BB"/>
    <w:rsid w:val="00FD33B3"/>
    <w:rsid w:val="00FD4A88"/>
    <w:rsid w:val="00FD4D36"/>
    <w:rsid w:val="00FD72E4"/>
    <w:rsid w:val="00FE0876"/>
    <w:rsid w:val="00FE1DC6"/>
    <w:rsid w:val="00FE2F92"/>
    <w:rsid w:val="00FE3907"/>
    <w:rsid w:val="00FE68BB"/>
    <w:rsid w:val="00FF092B"/>
    <w:rsid w:val="00FF1668"/>
    <w:rsid w:val="00FF17C0"/>
    <w:rsid w:val="00FF4490"/>
    <w:rsid w:val="00FF6484"/>
    <w:rsid w:val="130A7C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9CE2E4"/>
  <w15:chartTrackingRefBased/>
  <w15:docId w15:val="{570B306C-70D3-4CDE-8FD2-061E4AAA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68D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Car,Footnote Text Char Char,Footnote Text Char Char Char Char Char Char Char Char Char Char Char Char Char Char Char Char Char,Style 15,Style 40 Char,Style 40 Char Char,fn,ft"/>
    <w:basedOn w:val="Normal"/>
    <w:link w:val="FootnoteTextChar"/>
    <w:uiPriority w:val="99"/>
    <w:qFormat/>
    <w:rsid w:val="00004F16"/>
    <w:pPr>
      <w:keepLines/>
    </w:pPr>
  </w:style>
  <w:style w:type="character" w:styleId="FootnoteReference">
    <w:name w:val="footnote reference"/>
    <w:aliases w:val="(Footnote Reference),Appel note de bas d,BVI fnr,EN Footnote Reference,Exposant 3 Point,Footnote,Footnote Reference Superscript,Footnote reference number,Footnote symbol,SUPERS,Style 19,Times 10 Point,Voetnootverwijzing,fr,note TESI"/>
    <w:uiPriority w:val="99"/>
    <w:rsid w:val="000C3833"/>
    <w:rPr>
      <w:vertAlign w:val="superscript"/>
    </w:rPr>
  </w:style>
  <w:style w:type="paragraph" w:styleId="BodyText">
    <w:name w:val="Body Text"/>
    <w:basedOn w:val="Normal"/>
    <w:rsid w:val="00044F77"/>
    <w:pPr>
      <w:overflowPunct/>
      <w:autoSpaceDE/>
      <w:autoSpaceDN/>
      <w:adjustRightInd/>
      <w:jc w:val="both"/>
      <w:textAlignment w:val="auto"/>
    </w:pPr>
    <w:rPr>
      <w:sz w:val="24"/>
      <w:szCs w:val="24"/>
    </w:rPr>
  </w:style>
  <w:style w:type="character" w:customStyle="1" w:styleId="DeltaViewInsertion">
    <w:name w:val="DeltaView Insertion"/>
    <w:rsid w:val="00B43D42"/>
    <w:rPr>
      <w:color w:val="0000FF"/>
      <w:spacing w:val="0"/>
      <w:u w:val="double"/>
    </w:rPr>
  </w:style>
  <w:style w:type="paragraph" w:styleId="Footer">
    <w:name w:val="footer"/>
    <w:basedOn w:val="Normal"/>
    <w:rsid w:val="00E44CEF"/>
    <w:pPr>
      <w:tabs>
        <w:tab w:val="center" w:pos="4320"/>
        <w:tab w:val="right" w:pos="8640"/>
      </w:tabs>
    </w:pPr>
  </w:style>
  <w:style w:type="character" w:styleId="PageNumber">
    <w:name w:val="page number"/>
    <w:basedOn w:val="DefaultParagraphFont"/>
    <w:rsid w:val="00E44CEF"/>
  </w:style>
  <w:style w:type="paragraph" w:styleId="BalloonText">
    <w:name w:val="Balloon Text"/>
    <w:basedOn w:val="Normal"/>
    <w:semiHidden/>
    <w:rsid w:val="0000370E"/>
    <w:rPr>
      <w:rFonts w:ascii="Tahoma" w:hAnsi="Tahoma" w:cs="Tahoma"/>
      <w:sz w:val="16"/>
      <w:szCs w:val="16"/>
    </w:rPr>
  </w:style>
  <w:style w:type="paragraph" w:styleId="Header">
    <w:name w:val="header"/>
    <w:basedOn w:val="Normal"/>
    <w:rsid w:val="00E20F23"/>
    <w:pPr>
      <w:tabs>
        <w:tab w:val="center" w:pos="4320"/>
        <w:tab w:val="right" w:pos="8640"/>
      </w:tabs>
    </w:pPr>
  </w:style>
  <w:style w:type="character" w:styleId="Hyperlink">
    <w:name w:val="Hyperlink"/>
    <w:rsid w:val="00525E87"/>
    <w:rPr>
      <w:color w:val="0000FF"/>
      <w:u w:val="single"/>
    </w:rPr>
  </w:style>
  <w:style w:type="character" w:customStyle="1" w:styleId="FootnoteTextChar">
    <w:name w:val="Footnote Text Char"/>
    <w:aliases w:val="ALTS FOOTNOTE Char,Car Char,Footnote Text Char Char Char,Footnote Text Char Char Char Char Char Char Char Char Char Char Char Char Char Char Char Char Char Char,Style 15 Char,Style 40 Char Char Char,Style 40 Char Char1,fn Char,ft Char"/>
    <w:basedOn w:val="DefaultParagraphFont"/>
    <w:link w:val="FootnoteText"/>
    <w:uiPriority w:val="99"/>
    <w:locked/>
    <w:rsid w:val="00004F16"/>
  </w:style>
  <w:style w:type="paragraph" w:styleId="Revision">
    <w:name w:val="Revision"/>
    <w:hidden/>
    <w:uiPriority w:val="99"/>
    <w:semiHidden/>
    <w:rsid w:val="00CB19E7"/>
  </w:style>
  <w:style w:type="character" w:styleId="FollowedHyperlink">
    <w:name w:val="FollowedHyperlink"/>
    <w:rsid w:val="009B2613"/>
    <w:rPr>
      <w:color w:val="800080"/>
      <w:u w:val="single"/>
    </w:rPr>
  </w:style>
  <w:style w:type="character" w:styleId="CommentReference">
    <w:name w:val="annotation reference"/>
    <w:rsid w:val="006F03B2"/>
    <w:rPr>
      <w:sz w:val="16"/>
      <w:szCs w:val="16"/>
    </w:rPr>
  </w:style>
  <w:style w:type="paragraph" w:styleId="CommentText">
    <w:name w:val="annotation text"/>
    <w:basedOn w:val="Normal"/>
    <w:link w:val="CommentTextChar"/>
    <w:rsid w:val="006F03B2"/>
  </w:style>
  <w:style w:type="character" w:customStyle="1" w:styleId="CommentTextChar">
    <w:name w:val="Comment Text Char"/>
    <w:basedOn w:val="DefaultParagraphFont"/>
    <w:link w:val="CommentText"/>
    <w:rsid w:val="006F03B2"/>
  </w:style>
  <w:style w:type="paragraph" w:styleId="CommentSubject">
    <w:name w:val="annotation subject"/>
    <w:basedOn w:val="CommentText"/>
    <w:next w:val="CommentText"/>
    <w:link w:val="CommentSubjectChar"/>
    <w:rsid w:val="006F03B2"/>
    <w:rPr>
      <w:b/>
      <w:bCs/>
    </w:rPr>
  </w:style>
  <w:style w:type="character" w:customStyle="1" w:styleId="CommentSubjectChar">
    <w:name w:val="Comment Subject Char"/>
    <w:link w:val="CommentSubject"/>
    <w:rsid w:val="006F03B2"/>
    <w:rPr>
      <w:b/>
      <w:bCs/>
    </w:rPr>
  </w:style>
  <w:style w:type="character" w:styleId="UnresolvedMention">
    <w:name w:val="Unresolved Mention"/>
    <w:basedOn w:val="DefaultParagraphFont"/>
    <w:uiPriority w:val="99"/>
    <w:semiHidden/>
    <w:unhideWhenUsed/>
    <w:rsid w:val="003C0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285391998E8841ADB28A612A6359A9" ma:contentTypeVersion="18" ma:contentTypeDescription="Create a new document." ma:contentTypeScope="" ma:versionID="768d58fbea5c145d0e4234b78d2be865">
  <xsd:schema xmlns:xsd="http://www.w3.org/2001/XMLSchema" xmlns:xs="http://www.w3.org/2001/XMLSchema" xmlns:p="http://schemas.microsoft.com/office/2006/metadata/properties" xmlns:ns1="http://schemas.microsoft.com/sharepoint/v3" xmlns:ns2="9cf3f8b8-0fcb-44cc-869c-dfb14a7bf8d0" targetNamespace="http://schemas.microsoft.com/office/2006/metadata/properties" ma:root="true" ma:fieldsID="35ce3bce884a91730398295708ea8380" ns1:_="" ns2:_="">
    <xsd:import namespace="http://schemas.microsoft.com/sharepoint/v3"/>
    <xsd:import namespace="9cf3f8b8-0fcb-44cc-869c-dfb14a7bf8d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3f8b8-0fcb-44cc-869c-dfb14a7bf8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B64AF1-B0DE-4C31-BB3D-67B8253BA06F}">
  <ds:schemaRefs>
    <ds:schemaRef ds:uri="http://schemas.openxmlformats.org/officeDocument/2006/bibliography"/>
  </ds:schemaRefs>
</ds:datastoreItem>
</file>

<file path=customXml/itemProps2.xml><?xml version="1.0" encoding="utf-8"?>
<ds:datastoreItem xmlns:ds="http://schemas.openxmlformats.org/officeDocument/2006/customXml" ds:itemID="{73A347B6-ADE7-4194-BE35-8C94B139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f3f8b8-0fcb-44cc-869c-dfb14a7bf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C52B1-65E2-450E-B66B-F1FD41FCFF4E}">
  <ds:schemaRefs>
    <ds:schemaRef ds:uri="http://schemas.microsoft.com/sharepoint/v3/contenttype/forms"/>
  </ds:schemaRefs>
</ds:datastoreItem>
</file>

<file path=customXml/itemProps4.xml><?xml version="1.0" encoding="utf-8"?>
<ds:datastoreItem xmlns:ds="http://schemas.openxmlformats.org/officeDocument/2006/customXml" ds:itemID="{29CC26A6-EBF8-4F77-A247-3E8E8AF18088}">
  <ds:schemaRefs>
    <ds:schemaRef ds:uri="http://schemas.microsoft.com/office/2006/metadata/longProperties"/>
  </ds:schemaRefs>
</ds:datastoreItem>
</file>

<file path=customXml/itemProps5.xml><?xml version="1.0" encoding="utf-8"?>
<ds:datastoreItem xmlns:ds="http://schemas.openxmlformats.org/officeDocument/2006/customXml" ds:itemID="{D313D230-7FB7-4EB6-82AC-C7693B9967B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Rule 17g-1: Application for registration as a nationally recognized statistical rating organization</vt:lpstr>
    </vt:vector>
  </TitlesOfParts>
  <Company>SEC</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17g-1: Application for registration as a nationally recognized statistical rating organization</dc:title>
  <dc:creator>wellsr</dc:creator>
  <cp:lastModifiedBy>Hutt, Eboney</cp:lastModifiedBy>
  <cp:revision>3</cp:revision>
  <cp:lastPrinted>2023-10-26T17:57:00Z</cp:lastPrinted>
  <dcterms:created xsi:type="dcterms:W3CDTF">2023-10-30T14:18:00Z</dcterms:created>
  <dcterms:modified xsi:type="dcterms:W3CDTF">2023-10-30T14:18:00Z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0x0101000C285391998E8841ADB28A612A6359A9</vt:lpwstr>
  </property>
  <property fmtid="{D5CDD505-2E9C-101B-9397-08002B2CF9AE}" pid="4" name="GUID">
    <vt:lpwstr>6b654f85-3fb5-4174-a76c-618a56e7fd89</vt:lpwstr>
  </property>
  <property fmtid="{D5CDD505-2E9C-101B-9397-08002B2CF9AE}" pid="5" name="Order">
    <vt:lpwstr>154000.000000000</vt:lpwstr>
  </property>
  <property fmtid="{D5CDD505-2E9C-101B-9397-08002B2CF9AE}" pid="6" name="ShowCombineView">
    <vt:lpwstr/>
  </property>
  <property fmtid="{D5CDD505-2E9C-101B-9397-08002B2CF9AE}" pid="7" name="ShowRepairView">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CopySource">
    <vt:lpwstr>https://collaboration/sites/OIT/pra/ICR Documents/3235-0628-[1408974463270]/Rule 17g-2 Supporting Statement (Final).doc</vt:lpwstr>
  </property>
  <property fmtid="{D5CDD505-2E9C-101B-9397-08002B2CF9AE}" pid="13" name="_dlc_DocId">
    <vt:lpwstr>KKE47E4U7XZ3-2069-4501</vt:lpwstr>
  </property>
  <property fmtid="{D5CDD505-2E9C-101B-9397-08002B2CF9AE}" pid="14" name="_dlc_DocIdItemGuid">
    <vt:lpwstr>a1618b57-56e8-45ea-9043-8721a4ba4fa2</vt:lpwstr>
  </property>
  <property fmtid="{D5CDD505-2E9C-101B-9397-08002B2CF9AE}" pid="15" name="_dlc_DocIdUrl">
    <vt:lpwstr>https://collaboration/sites/OIT/pra/_layouts/DocIdRedir.aspx?ID=KKE47E4U7XZ3-2069-4501, KKE47E4U7XZ3-2069-4501</vt:lpwstr>
  </property>
  <property fmtid="{D5CDD505-2E9C-101B-9397-08002B2CF9AE}" pid="16" name="_ExtendedDescription">
    <vt:lpwstr/>
  </property>
</Properties>
</file>