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5752" w14:paraId="00000006" w14:textId="77777777">
      <w:pPr>
        <w:numPr>
          <w:ilvl w:val="0"/>
          <w:numId w:val="1"/>
        </w:numPr>
        <w:pBdr>
          <w:top w:val="nil"/>
          <w:left w:val="nil"/>
          <w:bottom w:val="nil"/>
          <w:right w:val="nil"/>
          <w:between w:val="nil"/>
        </w:pBdr>
        <w:tabs>
          <w:tab w:val="left" w:pos="459"/>
        </w:tabs>
        <w:ind w:hanging="45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COLLECTIONS OF INFORMATION EMPLOYING STATISTICAL METHODS</w:t>
      </w:r>
    </w:p>
    <w:p w:rsidR="00785752" w14:paraId="00000007" w14:textId="77777777">
      <w:pPr>
        <w:rPr>
          <w:rFonts w:ascii="Times New Roman" w:eastAsia="Times New Roman" w:hAnsi="Times New Roman" w:cs="Times New Roman"/>
          <w:b/>
          <w:sz w:val="24"/>
          <w:szCs w:val="24"/>
        </w:rPr>
      </w:pPr>
    </w:p>
    <w:p w:rsidR="00785752" w14:paraId="00000008" w14:textId="77777777">
      <w:pPr>
        <w:numPr>
          <w:ilvl w:val="1"/>
          <w:numId w:val="1"/>
        </w:numPr>
        <w:pBdr>
          <w:top w:val="nil"/>
          <w:left w:val="nil"/>
          <w:bottom w:val="nil"/>
          <w:right w:val="nil"/>
          <w:between w:val="nil"/>
        </w:pBdr>
        <w:tabs>
          <w:tab w:val="left" w:pos="418"/>
        </w:tabs>
        <w:ind w:left="360" w:right="3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Indicate expected response rates for the collection as a whole. If the collection had been conducted previously, include the actual response rate achieved during the last collection.</w:t>
      </w:r>
    </w:p>
    <w:p w:rsidR="00785752" w14:paraId="00000009" w14:textId="77777777">
      <w:pPr>
        <w:spacing w:before="5"/>
        <w:rPr>
          <w:rFonts w:ascii="Times New Roman" w:eastAsia="Times New Roman" w:hAnsi="Times New Roman" w:cs="Times New Roman"/>
          <w:b/>
          <w:sz w:val="25"/>
          <w:szCs w:val="25"/>
        </w:rPr>
      </w:pPr>
    </w:p>
    <w:p w:rsidR="00193861" w14:paraId="2CE571F8" w14:textId="42560028">
      <w:pPr>
        <w:pBdr>
          <w:top w:val="nil"/>
          <w:left w:val="nil"/>
          <w:bottom w:val="nil"/>
          <w:right w:val="nil"/>
          <w:between w:val="nil"/>
        </w:pBdr>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Election Assistance Commission Progress Narrative Report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EAC-PR</w:t>
      </w:r>
      <w:r>
        <w:rPr>
          <w:rFonts w:ascii="Times New Roman" w:eastAsia="Times New Roman" w:hAnsi="Times New Roman" w:cs="Times New Roman"/>
          <w:sz w:val="24"/>
          <w:szCs w:val="24"/>
        </w:rPr>
        <w:t xml:space="preserve">) will consist of questions for </w:t>
      </w:r>
      <w:r>
        <w:rPr>
          <w:rFonts w:ascii="Times New Roman" w:eastAsia="Times New Roman" w:hAnsi="Times New Roman" w:cs="Times New Roman"/>
          <w:sz w:val="24"/>
          <w:szCs w:val="24"/>
        </w:rPr>
        <w:t>grantees which comprise of the 50 states</w:t>
      </w:r>
      <w:r w:rsidR="00AA2F09">
        <w:rPr>
          <w:rFonts w:ascii="Times New Roman" w:eastAsia="Times New Roman" w:hAnsi="Times New Roman" w:cs="Times New Roman"/>
          <w:sz w:val="24"/>
          <w:szCs w:val="24"/>
        </w:rPr>
        <w:t>, the District of Columbia, Puerto Rico</w:t>
      </w:r>
      <w:r>
        <w:rPr>
          <w:rFonts w:ascii="Times New Roman" w:eastAsia="Times New Roman" w:hAnsi="Times New Roman" w:cs="Times New Roman"/>
          <w:sz w:val="24"/>
          <w:szCs w:val="24"/>
        </w:rPr>
        <w:t xml:space="preserve"> and </w:t>
      </w:r>
      <w:r w:rsidR="00AA2F09">
        <w:rPr>
          <w:rFonts w:ascii="Times New Roman" w:eastAsia="Times New Roman" w:hAnsi="Times New Roman" w:cs="Times New Roman"/>
          <w:sz w:val="24"/>
          <w:szCs w:val="24"/>
        </w:rPr>
        <w:t>four</w:t>
      </w:r>
      <w:r>
        <w:rPr>
          <w:rFonts w:ascii="Times New Roman" w:eastAsia="Times New Roman" w:hAnsi="Times New Roman" w:cs="Times New Roman"/>
          <w:sz w:val="24"/>
          <w:szCs w:val="24"/>
        </w:rPr>
        <w:t xml:space="preserve"> territories</w:t>
      </w:r>
      <w:r>
        <w:rPr>
          <w:rFonts w:ascii="Times New Roman" w:eastAsia="Times New Roman" w:hAnsi="Times New Roman" w:cs="Times New Roman"/>
          <w:sz w:val="24"/>
          <w:szCs w:val="24"/>
        </w:rPr>
        <w:t xml:space="preserve">. </w:t>
      </w:r>
      <w:r w:rsidR="00E34967">
        <w:rPr>
          <w:rFonts w:ascii="Times New Roman" w:eastAsia="Times New Roman" w:hAnsi="Times New Roman" w:cs="Times New Roman"/>
          <w:sz w:val="24"/>
          <w:szCs w:val="24"/>
        </w:rPr>
        <w:t xml:space="preserve">As this report is required as a part of grant </w:t>
      </w:r>
      <w:r w:rsidR="00E34967">
        <w:rPr>
          <w:rFonts w:ascii="Times New Roman" w:eastAsia="Times New Roman" w:hAnsi="Times New Roman" w:cs="Times New Roman"/>
          <w:sz w:val="24"/>
          <w:szCs w:val="24"/>
        </w:rPr>
        <w:t>compliance</w:t>
      </w:r>
      <w:r w:rsidR="00E34967">
        <w:rPr>
          <w:rFonts w:ascii="Times New Roman" w:eastAsia="Times New Roman" w:hAnsi="Times New Roman" w:cs="Times New Roman"/>
          <w:sz w:val="24"/>
          <w:szCs w:val="24"/>
        </w:rPr>
        <w:t xml:space="preserve"> we expect 100 percent response from our grantees.</w:t>
      </w:r>
    </w:p>
    <w:p w:rsidR="00785752" w14:paraId="0000000B" w14:textId="77777777">
      <w:pPr>
        <w:pBdr>
          <w:top w:val="nil"/>
          <w:left w:val="nil"/>
          <w:bottom w:val="nil"/>
          <w:right w:val="nil"/>
          <w:between w:val="nil"/>
        </w:pBdr>
        <w:ind w:right="30"/>
        <w:jc w:val="both"/>
        <w:rPr>
          <w:rFonts w:ascii="Times New Roman" w:eastAsia="Times New Roman" w:hAnsi="Times New Roman" w:cs="Times New Roman"/>
          <w:sz w:val="24"/>
          <w:szCs w:val="24"/>
        </w:rPr>
      </w:pPr>
    </w:p>
    <w:p w:rsidR="00785752" w14:paraId="00000012" w14:textId="77777777">
      <w:pPr>
        <w:pStyle w:val="Heading1"/>
        <w:numPr>
          <w:ilvl w:val="1"/>
          <w:numId w:val="1"/>
        </w:numPr>
        <w:tabs>
          <w:tab w:val="left" w:pos="418"/>
        </w:tabs>
        <w:ind w:left="360" w:right="30" w:hanging="360"/>
        <w:rPr>
          <w:b w:val="0"/>
        </w:rPr>
      </w:pPr>
      <w: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85752" w14:paraId="00000013" w14:textId="77777777">
      <w:pPr>
        <w:spacing w:before="8"/>
        <w:rPr>
          <w:rFonts w:ascii="Times New Roman" w:eastAsia="Times New Roman" w:hAnsi="Times New Roman" w:cs="Times New Roman"/>
          <w:b/>
          <w:sz w:val="25"/>
          <w:szCs w:val="25"/>
        </w:rPr>
      </w:pPr>
    </w:p>
    <w:p w:rsidR="00785752" w14:paraId="00000016" w14:textId="2B92B1F2">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for the data collection is the 56 states and territories (EAC grantees) receiving</w:t>
      </w:r>
      <w:r w:rsidR="006D4ECC">
        <w:rPr>
          <w:rFonts w:ascii="Times New Roman" w:eastAsia="Times New Roman" w:hAnsi="Times New Roman" w:cs="Times New Roman"/>
          <w:sz w:val="24"/>
          <w:szCs w:val="24"/>
        </w:rPr>
        <w:t xml:space="preserve"> HAVA grant</w:t>
      </w:r>
      <w:r w:rsidR="008C02F2">
        <w:rPr>
          <w:rFonts w:ascii="Times New Roman" w:eastAsia="Times New Roman" w:hAnsi="Times New Roman" w:cs="Times New Roman"/>
          <w:sz w:val="24"/>
          <w:szCs w:val="24"/>
        </w:rPr>
        <w:t>s</w:t>
      </w:r>
      <w:r>
        <w:rPr>
          <w:rFonts w:ascii="Times New Roman" w:eastAsia="Times New Roman" w:hAnsi="Times New Roman" w:cs="Times New Roman"/>
          <w:sz w:val="24"/>
          <w:szCs w:val="24"/>
        </w:rPr>
        <w:t>. The recipients of this funding are finite. EAC will email the pool of grantees the required forms and guidance for the reporting as well as post the guidance on our website for easy location and access</w:t>
      </w:r>
      <w:r w:rsidR="00867E88">
        <w:rPr>
          <w:rFonts w:ascii="Times New Roman" w:eastAsia="Times New Roman" w:hAnsi="Times New Roman" w:cs="Times New Roman"/>
          <w:sz w:val="24"/>
          <w:szCs w:val="24"/>
        </w:rPr>
        <w:t xml:space="preserve"> on our website</w:t>
      </w:r>
      <w:r>
        <w:rPr>
          <w:rFonts w:ascii="Times New Roman" w:eastAsia="Times New Roman" w:hAnsi="Times New Roman" w:cs="Times New Roman"/>
          <w:sz w:val="24"/>
          <w:szCs w:val="24"/>
        </w:rPr>
        <w:t>. EAC will also offer technical assistance as requested in completing and submitting progress reporting.</w:t>
      </w:r>
    </w:p>
    <w:p w:rsidR="00785752" w14:paraId="00000017" w14:textId="77777777">
      <w:pPr>
        <w:spacing w:before="4"/>
        <w:rPr>
          <w:rFonts w:ascii="Times New Roman" w:eastAsia="Times New Roman" w:hAnsi="Times New Roman" w:cs="Times New Roman"/>
          <w:sz w:val="28"/>
          <w:szCs w:val="28"/>
        </w:rPr>
      </w:pPr>
    </w:p>
    <w:p w:rsidR="00785752" w14:paraId="00000018" w14:textId="60CC7484">
      <w:pPr>
        <w:pStyle w:val="Heading1"/>
        <w:numPr>
          <w:ilvl w:val="1"/>
          <w:numId w:val="1"/>
        </w:numPr>
        <w:tabs>
          <w:tab w:val="left" w:pos="478"/>
        </w:tabs>
        <w:ind w:left="360" w:right="30" w:hanging="360"/>
        <w:rPr>
          <w:b w:val="0"/>
        </w:rPr>
      </w:pPr>
      <w:r>
        <w:t>Describe the methods used to maximize respo</w:t>
      </w:r>
      <w:r w:rsidR="00AA2F09">
        <w:t>nse rates and to deal with non-</w:t>
      </w:r>
      <w:r>
        <w:t>response. The accuracy and reliability of the information collected must be shown to be adequate for the intended uses.</w:t>
      </w:r>
    </w:p>
    <w:p w:rsidR="00785752" w14:paraId="00000019" w14:textId="77777777">
      <w:pPr>
        <w:spacing w:before="8"/>
        <w:rPr>
          <w:rFonts w:ascii="Times New Roman" w:eastAsia="Times New Roman" w:hAnsi="Times New Roman" w:cs="Times New Roman"/>
          <w:b/>
          <w:sz w:val="25"/>
          <w:szCs w:val="25"/>
        </w:rPr>
      </w:pPr>
    </w:p>
    <w:p w:rsidR="00785752" w14:paraId="0000001E" w14:textId="7DF927D7">
      <w:pPr>
        <w:pBdr>
          <w:top w:val="nil"/>
          <w:left w:val="nil"/>
          <w:bottom w:val="nil"/>
          <w:right w:val="nil"/>
          <w:between w:val="nil"/>
        </w:pBdr>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form will be a</w:t>
      </w:r>
      <w:r w:rsidR="00634EF6">
        <w:rPr>
          <w:rFonts w:ascii="Times New Roman" w:eastAsia="Times New Roman" w:hAnsi="Times New Roman" w:cs="Times New Roman"/>
          <w:sz w:val="24"/>
          <w:szCs w:val="24"/>
        </w:rPr>
        <w:t>n online</w:t>
      </w:r>
      <w:r>
        <w:rPr>
          <w:rFonts w:ascii="Times New Roman" w:eastAsia="Times New Roman" w:hAnsi="Times New Roman" w:cs="Times New Roman"/>
          <w:sz w:val="24"/>
          <w:szCs w:val="24"/>
        </w:rPr>
        <w:t xml:space="preserve"> fillable</w:t>
      </w:r>
      <w:r w:rsidR="00634EF6">
        <w:rPr>
          <w:rFonts w:ascii="Times New Roman" w:eastAsia="Times New Roman" w:hAnsi="Times New Roman" w:cs="Times New Roman"/>
          <w:sz w:val="24"/>
          <w:szCs w:val="24"/>
        </w:rPr>
        <w:t xml:space="preserve"> format with secure and direct submission to the EAC</w:t>
      </w:r>
      <w:r>
        <w:rPr>
          <w:rFonts w:ascii="Times New Roman" w:eastAsia="Times New Roman" w:hAnsi="Times New Roman" w:cs="Times New Roman"/>
          <w:sz w:val="24"/>
          <w:szCs w:val="24"/>
        </w:rPr>
        <w:t>. T</w:t>
      </w:r>
      <w:r w:rsidR="005133D9">
        <w:rPr>
          <w:rFonts w:ascii="Times New Roman" w:eastAsia="Times New Roman" w:hAnsi="Times New Roman" w:cs="Times New Roman"/>
          <w:sz w:val="24"/>
          <w:szCs w:val="24"/>
        </w:rPr>
        <w:t xml:space="preserve">he EAC will ensure clear instructions, unambiguous </w:t>
      </w:r>
      <w:r w:rsidR="00BE5878">
        <w:rPr>
          <w:rFonts w:ascii="Times New Roman" w:eastAsia="Times New Roman" w:hAnsi="Times New Roman" w:cs="Times New Roman"/>
          <w:sz w:val="24"/>
          <w:szCs w:val="24"/>
        </w:rPr>
        <w:t>definitions, and</w:t>
      </w:r>
      <w:r w:rsidR="005133D9">
        <w:rPr>
          <w:rFonts w:ascii="Times New Roman" w:eastAsia="Times New Roman" w:hAnsi="Times New Roman" w:cs="Times New Roman"/>
          <w:sz w:val="24"/>
          <w:szCs w:val="24"/>
        </w:rPr>
        <w:t xml:space="preserve"> make technical assistance available for respondents.</w:t>
      </w:r>
      <w:r w:rsidR="001E07D3">
        <w:rPr>
          <w:rFonts w:ascii="Times New Roman" w:eastAsia="Times New Roman" w:hAnsi="Times New Roman" w:cs="Times New Roman"/>
          <w:sz w:val="24"/>
          <w:szCs w:val="24"/>
        </w:rPr>
        <w:t xml:space="preserve"> </w:t>
      </w:r>
      <w:r w:rsidR="00EF1DA3">
        <w:rPr>
          <w:rFonts w:ascii="Times New Roman" w:eastAsia="Times New Roman" w:hAnsi="Times New Roman" w:cs="Times New Roman"/>
          <w:sz w:val="24"/>
          <w:szCs w:val="24"/>
        </w:rPr>
        <w:t xml:space="preserve">Grantees will have the option to complete the form independently through the online platform or by </w:t>
      </w:r>
      <w:r w:rsidR="00BB41B3">
        <w:rPr>
          <w:rFonts w:ascii="Times New Roman" w:eastAsia="Times New Roman" w:hAnsi="Times New Roman" w:cs="Times New Roman"/>
          <w:sz w:val="24"/>
          <w:szCs w:val="24"/>
        </w:rPr>
        <w:t>interview with EAC staff.</w:t>
      </w:r>
      <w:r w:rsidR="005120D5">
        <w:rPr>
          <w:rFonts w:ascii="Times New Roman" w:eastAsia="Times New Roman" w:hAnsi="Times New Roman" w:cs="Times New Roman"/>
          <w:sz w:val="24"/>
          <w:szCs w:val="24"/>
        </w:rPr>
        <w:t xml:space="preserve"> </w:t>
      </w:r>
      <w:r w:rsidR="005133D9">
        <w:rPr>
          <w:rFonts w:ascii="Times New Roman" w:eastAsia="Times New Roman" w:hAnsi="Times New Roman" w:cs="Times New Roman"/>
          <w:sz w:val="24"/>
          <w:szCs w:val="24"/>
        </w:rPr>
        <w:t xml:space="preserve">EAC will employ a data quality assurance </w:t>
      </w:r>
      <w:r>
        <w:rPr>
          <w:rFonts w:ascii="Times New Roman" w:eastAsia="Times New Roman" w:hAnsi="Times New Roman" w:cs="Times New Roman"/>
          <w:sz w:val="24"/>
          <w:szCs w:val="24"/>
        </w:rPr>
        <w:t>process</w:t>
      </w:r>
      <w:r w:rsidR="005133D9">
        <w:rPr>
          <w:rFonts w:ascii="Times New Roman" w:eastAsia="Times New Roman" w:hAnsi="Times New Roman" w:cs="Times New Roman"/>
          <w:sz w:val="24"/>
          <w:szCs w:val="24"/>
        </w:rPr>
        <w:t xml:space="preserve">, in which information submitted by respondents will be carefully reviewed to ensure completeness and accuracy of their submissions. The </w:t>
      </w:r>
      <w:r>
        <w:rPr>
          <w:rFonts w:ascii="Times New Roman" w:eastAsia="Times New Roman" w:hAnsi="Times New Roman" w:cs="Times New Roman"/>
          <w:sz w:val="24"/>
          <w:szCs w:val="24"/>
        </w:rPr>
        <w:t>form</w:t>
      </w:r>
      <w:r w:rsidR="005133D9">
        <w:rPr>
          <w:rFonts w:ascii="Times New Roman" w:eastAsia="Times New Roman" w:hAnsi="Times New Roman" w:cs="Times New Roman"/>
          <w:sz w:val="24"/>
          <w:szCs w:val="24"/>
        </w:rPr>
        <w:t xml:space="preserve"> will also require respondents finalize their data and certify it as complete and accurate to the best of their knowledge.</w:t>
      </w:r>
      <w:r w:rsidR="005120D5">
        <w:rPr>
          <w:rFonts w:ascii="Times New Roman" w:eastAsia="Times New Roman" w:hAnsi="Times New Roman" w:cs="Times New Roman"/>
          <w:sz w:val="24"/>
          <w:szCs w:val="24"/>
        </w:rPr>
        <w:t xml:space="preserve"> Interview responses will be transcribed by EAC staff into the online fillable form to ensure all interview</w:t>
      </w:r>
      <w:r w:rsidR="007225F3">
        <w:rPr>
          <w:rFonts w:ascii="Times New Roman" w:eastAsia="Times New Roman" w:hAnsi="Times New Roman" w:cs="Times New Roman"/>
          <w:sz w:val="24"/>
          <w:szCs w:val="24"/>
        </w:rPr>
        <w:t>-based</w:t>
      </w:r>
      <w:r w:rsidR="005120D5">
        <w:rPr>
          <w:rFonts w:ascii="Times New Roman" w:eastAsia="Times New Roman" w:hAnsi="Times New Roman" w:cs="Times New Roman"/>
          <w:sz w:val="24"/>
          <w:szCs w:val="24"/>
        </w:rPr>
        <w:t xml:space="preserve"> respondents will </w:t>
      </w:r>
      <w:r w:rsidR="007225F3">
        <w:rPr>
          <w:rFonts w:ascii="Times New Roman" w:eastAsia="Times New Roman" w:hAnsi="Times New Roman" w:cs="Times New Roman"/>
          <w:sz w:val="24"/>
          <w:szCs w:val="24"/>
        </w:rPr>
        <w:t xml:space="preserve">also </w:t>
      </w:r>
      <w:r w:rsidR="005120D5">
        <w:rPr>
          <w:rFonts w:ascii="Times New Roman" w:eastAsia="Times New Roman" w:hAnsi="Times New Roman" w:cs="Times New Roman"/>
          <w:sz w:val="24"/>
          <w:szCs w:val="24"/>
        </w:rPr>
        <w:t>be required to certify their data prior to submission.</w:t>
      </w:r>
      <w:r w:rsidR="005133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Response </w:t>
      </w:r>
      <w:r w:rsidR="00CD7AA8">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compliance</w:t>
      </w:r>
      <w:r w:rsidR="0074026F">
        <w:rPr>
          <w:rFonts w:ascii="Times New Roman" w:eastAsia="Times New Roman" w:hAnsi="Times New Roman" w:cs="Times New Roman"/>
          <w:sz w:val="24"/>
          <w:szCs w:val="24"/>
        </w:rPr>
        <w:t>-</w:t>
      </w:r>
      <w:r>
        <w:rPr>
          <w:rFonts w:ascii="Times New Roman" w:eastAsia="Times New Roman" w:hAnsi="Times New Roman" w:cs="Times New Roman"/>
          <w:sz w:val="24"/>
          <w:szCs w:val="24"/>
        </w:rPr>
        <w:t>based progress reportin</w:t>
      </w:r>
      <w:r w:rsidR="00193861">
        <w:rPr>
          <w:rFonts w:ascii="Times New Roman" w:eastAsia="Times New Roman" w:hAnsi="Times New Roman" w:cs="Times New Roman"/>
          <w:sz w:val="24"/>
          <w:szCs w:val="24"/>
        </w:rPr>
        <w:t xml:space="preserve">g by grantees </w:t>
      </w:r>
      <w:r w:rsidR="00CD7AA8">
        <w:rPr>
          <w:rFonts w:ascii="Times New Roman" w:eastAsia="Times New Roman" w:hAnsi="Times New Roman" w:cs="Times New Roman"/>
          <w:sz w:val="24"/>
          <w:szCs w:val="24"/>
        </w:rPr>
        <w:t>may not be opted out of. C</w:t>
      </w:r>
      <w:r w:rsidR="00193861">
        <w:rPr>
          <w:rFonts w:ascii="Times New Roman" w:eastAsia="Times New Roman" w:hAnsi="Times New Roman" w:cs="Times New Roman"/>
          <w:sz w:val="24"/>
          <w:szCs w:val="24"/>
        </w:rPr>
        <w:t xml:space="preserve">orrective action will be implemented where </w:t>
      </w:r>
      <w:r w:rsidR="0074026F">
        <w:rPr>
          <w:rFonts w:ascii="Times New Roman" w:eastAsia="Times New Roman" w:hAnsi="Times New Roman" w:cs="Times New Roman"/>
          <w:sz w:val="24"/>
          <w:szCs w:val="24"/>
        </w:rPr>
        <w:t>grantees</w:t>
      </w:r>
      <w:r w:rsidR="00193861">
        <w:rPr>
          <w:rFonts w:ascii="Times New Roman" w:eastAsia="Times New Roman" w:hAnsi="Times New Roman" w:cs="Times New Roman"/>
          <w:sz w:val="24"/>
          <w:szCs w:val="24"/>
        </w:rPr>
        <w:t xml:space="preserve"> are found to be negligent in submitting reports that are </w:t>
      </w:r>
      <w:r w:rsidR="00CD7AA8">
        <w:rPr>
          <w:rFonts w:ascii="Times New Roman" w:eastAsia="Times New Roman" w:hAnsi="Times New Roman" w:cs="Times New Roman"/>
          <w:sz w:val="24"/>
          <w:szCs w:val="24"/>
        </w:rPr>
        <w:t xml:space="preserve">not </w:t>
      </w:r>
      <w:r w:rsidR="00193861">
        <w:rPr>
          <w:rFonts w:ascii="Times New Roman" w:eastAsia="Times New Roman" w:hAnsi="Times New Roman" w:cs="Times New Roman"/>
          <w:sz w:val="24"/>
          <w:szCs w:val="24"/>
        </w:rPr>
        <w:t>timely, complete</w:t>
      </w:r>
      <w:r w:rsidR="00CD7AA8">
        <w:rPr>
          <w:rFonts w:ascii="Times New Roman" w:eastAsia="Times New Roman" w:hAnsi="Times New Roman" w:cs="Times New Roman"/>
          <w:sz w:val="24"/>
          <w:szCs w:val="24"/>
        </w:rPr>
        <w:t>, certified,</w:t>
      </w:r>
      <w:r w:rsidR="00193861">
        <w:rPr>
          <w:rFonts w:ascii="Times New Roman" w:eastAsia="Times New Roman" w:hAnsi="Times New Roman" w:cs="Times New Roman"/>
          <w:sz w:val="24"/>
          <w:szCs w:val="24"/>
        </w:rPr>
        <w:t xml:space="preserve"> and accurate.</w:t>
      </w:r>
    </w:p>
    <w:p w:rsidR="00785752" w14:paraId="0000001F" w14:textId="77777777">
      <w:pPr>
        <w:pBdr>
          <w:top w:val="nil"/>
          <w:left w:val="nil"/>
          <w:bottom w:val="nil"/>
          <w:right w:val="nil"/>
          <w:between w:val="nil"/>
        </w:pBdr>
        <w:ind w:right="296"/>
        <w:rPr>
          <w:rFonts w:ascii="Times New Roman" w:eastAsia="Times New Roman" w:hAnsi="Times New Roman" w:cs="Times New Roman"/>
          <w:color w:val="000000"/>
          <w:sz w:val="24"/>
          <w:szCs w:val="24"/>
        </w:rPr>
      </w:pPr>
    </w:p>
    <w:p w:rsidR="00785752" w14:paraId="00000020" w14:textId="77777777">
      <w:pPr>
        <w:pStyle w:val="Heading1"/>
        <w:numPr>
          <w:ilvl w:val="1"/>
          <w:numId w:val="1"/>
        </w:numPr>
        <w:tabs>
          <w:tab w:val="left" w:pos="492"/>
        </w:tabs>
        <w:ind w:left="360" w:right="30" w:hanging="360"/>
        <w:jc w:val="both"/>
        <w:rPr>
          <w:b w:val="0"/>
        </w:rPr>
      </w:pPr>
      <w:r>
        <w:t xml:space="preserve">Describe any tests of procedures or methods to be undertaken. Tests are encouraged as </w:t>
      </w:r>
      <w:r>
        <w:t>effective means to refine collections, but if ten or more test respondents are involved OMB must give prior approval.</w:t>
      </w:r>
    </w:p>
    <w:p w:rsidR="00785752" w14:paraId="00000021" w14:textId="77777777">
      <w:pPr>
        <w:ind w:right="30"/>
        <w:jc w:val="both"/>
      </w:pPr>
    </w:p>
    <w:p w:rsidR="00785752" w14:paraId="00000022" w14:textId="2F2702ED">
      <w:pPr>
        <w:pBdr>
          <w:top w:val="nil"/>
          <w:left w:val="nil"/>
          <w:bottom w:val="nil"/>
          <w:right w:val="nil"/>
          <w:between w:val="nil"/>
        </w:pBdr>
        <w:spacing w:before="52"/>
        <w:ind w:right="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The EAC does not plan to test this </w:t>
      </w:r>
      <w:r w:rsidR="00634EF6">
        <w:rPr>
          <w:rFonts w:ascii="Times New Roman" w:eastAsia="Times New Roman" w:hAnsi="Times New Roman" w:cs="Times New Roman"/>
          <w:color w:val="000000"/>
          <w:sz w:val="24"/>
          <w:szCs w:val="24"/>
        </w:rPr>
        <w:t>implementation given this is a request for revision o</w:t>
      </w:r>
      <w:r w:rsidR="008E6DCB">
        <w:rPr>
          <w:rFonts w:ascii="Times New Roman" w:eastAsia="Times New Roman" w:hAnsi="Times New Roman" w:cs="Times New Roman"/>
          <w:color w:val="000000"/>
          <w:sz w:val="24"/>
          <w:szCs w:val="24"/>
        </w:rPr>
        <w:t>f</w:t>
      </w:r>
      <w:r w:rsidR="00634EF6">
        <w:rPr>
          <w:rFonts w:ascii="Times New Roman" w:eastAsia="Times New Roman" w:hAnsi="Times New Roman" w:cs="Times New Roman"/>
          <w:color w:val="000000"/>
          <w:sz w:val="24"/>
          <w:szCs w:val="24"/>
        </w:rPr>
        <w:t xml:space="preserve"> </w:t>
      </w:r>
      <w:r w:rsidR="008E6DCB">
        <w:rPr>
          <w:rFonts w:ascii="Times New Roman" w:eastAsia="Times New Roman" w:hAnsi="Times New Roman" w:cs="Times New Roman"/>
          <w:color w:val="000000"/>
          <w:sz w:val="24"/>
          <w:szCs w:val="24"/>
        </w:rPr>
        <w:t xml:space="preserve">the </w:t>
      </w:r>
      <w:r w:rsidR="00634EF6">
        <w:rPr>
          <w:rFonts w:ascii="Times New Roman" w:eastAsia="Times New Roman" w:hAnsi="Times New Roman" w:cs="Times New Roman"/>
          <w:color w:val="000000"/>
          <w:sz w:val="24"/>
          <w:szCs w:val="24"/>
        </w:rPr>
        <w:t xml:space="preserve">existing form </w:t>
      </w:r>
      <w:r w:rsidRPr="008267FA" w:rsidR="00634EF6">
        <w:rPr>
          <w:rFonts w:ascii="Times New Roman" w:eastAsia="Times New Roman" w:hAnsi="Times New Roman" w:cs="Times New Roman"/>
          <w:color w:val="000000"/>
          <w:sz w:val="24"/>
          <w:szCs w:val="24"/>
        </w:rPr>
        <w:t xml:space="preserve">under </w:t>
      </w:r>
      <w:r w:rsidRPr="00904D72" w:rsidR="00634EF6">
        <w:rPr>
          <w:rFonts w:ascii="Times New Roman" w:eastAsia="Times New Roman" w:hAnsi="Times New Roman" w:cs="Times New Roman"/>
          <w:color w:val="000000"/>
          <w:sz w:val="24"/>
          <w:szCs w:val="24"/>
        </w:rPr>
        <w:t>OMB Control Number: 3265-0021</w:t>
      </w:r>
      <w:r w:rsidR="00634EF6">
        <w:rPr>
          <w:rFonts w:ascii="Times New Roman" w:eastAsia="Times New Roman" w:hAnsi="Times New Roman" w:cs="Times New Roman"/>
          <w:color w:val="000000"/>
          <w:sz w:val="24"/>
          <w:szCs w:val="24"/>
        </w:rPr>
        <w:t>.</w:t>
      </w:r>
    </w:p>
    <w:p w:rsidR="00785752" w14:paraId="00000023" w14:textId="77777777">
      <w:pPr>
        <w:spacing w:before="5"/>
        <w:ind w:right="30"/>
        <w:rPr>
          <w:rFonts w:ascii="Times New Roman" w:eastAsia="Times New Roman" w:hAnsi="Times New Roman" w:cs="Times New Roman"/>
          <w:sz w:val="28"/>
          <w:szCs w:val="28"/>
        </w:rPr>
      </w:pPr>
    </w:p>
    <w:p w:rsidR="00F974A6" w:rsidRPr="00F974A6" w:rsidP="00F974A6" w14:paraId="47001E88" w14:textId="434D8EBA">
      <w:pPr>
        <w:pStyle w:val="Heading1"/>
        <w:numPr>
          <w:ilvl w:val="1"/>
          <w:numId w:val="1"/>
        </w:numPr>
        <w:tabs>
          <w:tab w:val="left" w:pos="399"/>
        </w:tabs>
        <w:ind w:left="360" w:right="30" w:hanging="360"/>
        <w:rPr>
          <w:b w:val="0"/>
        </w:rPr>
      </w:pPr>
      <w:r>
        <w:t>Provide the name and telephone number of individuals consulted on the statistical aspects of the design, and the name of the agency unit, contractor(s), grantee(s), or other person(s) who will actually collect and/or analyze the information for the agency.</w:t>
      </w:r>
      <w:r>
        <w:br/>
      </w:r>
    </w:p>
    <w:p w:rsidR="00785752" w14:paraId="00000026" w14:textId="1978B68E">
      <w:pPr>
        <w:pBdr>
          <w:top w:val="nil"/>
          <w:left w:val="nil"/>
          <w:bottom w:val="nil"/>
          <w:right w:val="nil"/>
          <w:between w:val="nil"/>
        </w:pBdr>
        <w:spacing w:before="34" w:line="576" w:lineRule="auto"/>
        <w:ind w:left="820" w:right="73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EAC staff member responsible for conducting this information collection is:</w:t>
      </w:r>
    </w:p>
    <w:p w:rsidR="00785752" w:rsidP="00131261" w14:paraId="00000029" w14:textId="2A3AE64D">
      <w:pPr>
        <w:pBdr>
          <w:top w:val="nil"/>
          <w:left w:val="nil"/>
          <w:bottom w:val="nil"/>
          <w:right w:val="nil"/>
          <w:between w:val="nil"/>
        </w:pBdr>
        <w:ind w:left="820" w:right="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Risa Garza</w:t>
      </w:r>
      <w:r w:rsidRPr="0040514E" w:rsidR="00E13167">
        <w:rPr>
          <w:rFonts w:ascii="Times New Roman" w:eastAsia="Times New Roman" w:hAnsi="Times New Roman" w:cs="Times New Roman"/>
          <w:color w:val="000000"/>
          <w:sz w:val="24"/>
          <w:szCs w:val="24"/>
        </w:rPr>
        <w:t xml:space="preserve">, </w:t>
      </w:r>
      <w:r w:rsidRPr="0040514E">
        <w:rPr>
          <w:rFonts w:ascii="Times New Roman" w:eastAsia="Times New Roman" w:hAnsi="Times New Roman" w:cs="Times New Roman"/>
          <w:color w:val="000000"/>
          <w:sz w:val="24"/>
          <w:szCs w:val="24"/>
        </w:rPr>
        <w:t xml:space="preserve">Interim </w:t>
      </w:r>
      <w:r w:rsidRPr="0040514E" w:rsidR="00E13167">
        <w:rPr>
          <w:rFonts w:ascii="Times New Roman" w:eastAsia="Times New Roman" w:hAnsi="Times New Roman" w:cs="Times New Roman"/>
          <w:color w:val="000000"/>
          <w:sz w:val="24"/>
          <w:szCs w:val="24"/>
        </w:rPr>
        <w:t xml:space="preserve">Grants </w:t>
      </w:r>
      <w:r w:rsidRPr="0040514E">
        <w:rPr>
          <w:rFonts w:ascii="Times New Roman" w:eastAsia="Times New Roman" w:hAnsi="Times New Roman" w:cs="Times New Roman"/>
          <w:color w:val="000000"/>
          <w:sz w:val="24"/>
          <w:szCs w:val="24"/>
        </w:rPr>
        <w:t>Director</w:t>
      </w:r>
    </w:p>
    <w:p w:rsidR="00131261" w:rsidP="00131261" w14:paraId="6DCE179E" w14:textId="7AE6787F">
      <w:pPr>
        <w:pBdr>
          <w:top w:val="nil"/>
          <w:left w:val="nil"/>
          <w:bottom w:val="nil"/>
          <w:right w:val="nil"/>
          <w:between w:val="nil"/>
        </w:pBdr>
        <w:ind w:left="820" w:right="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633 3</w:t>
      </w:r>
      <w:r w:rsidRPr="00131261">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St. NW, Ste. 200</w:t>
      </w:r>
    </w:p>
    <w:p w:rsidR="00785752" w:rsidP="001E71EE" w14:paraId="0000002A" w14:textId="47A723A1">
      <w:pPr>
        <w:pBdr>
          <w:top w:val="nil"/>
          <w:left w:val="nil"/>
          <w:bottom w:val="nil"/>
          <w:right w:val="nil"/>
          <w:between w:val="nil"/>
        </w:pBdr>
        <w:ind w:left="820" w:right="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Washington, DC 20001</w:t>
      </w:r>
    </w:p>
    <w:p w:rsidR="001E71EE" w:rsidP="001E71EE" w14:paraId="3AAF9E6D" w14:textId="729FABBC">
      <w:pPr>
        <w:pBdr>
          <w:top w:val="nil"/>
          <w:left w:val="nil"/>
          <w:bottom w:val="nil"/>
          <w:right w:val="nil"/>
          <w:between w:val="nil"/>
        </w:pBdr>
        <w:ind w:left="820" w:right="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Grants@eac.gov</w:t>
      </w:r>
    </w:p>
    <w:sectPr>
      <w:headerReference w:type="even" r:id="rId9"/>
      <w:headerReference w:type="default" r:id="rId10"/>
      <w:footerReference w:type="default" r:id="rId11"/>
      <w:headerReference w:type="first" r:id="rId12"/>
      <w:pgSz w:w="12240" w:h="15840"/>
      <w:pgMar w:top="1440" w:right="1440" w:bottom="1440" w:left="1440" w:header="0" w:footer="51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752" w14:paraId="0000002B" w14:textId="77777777">
    <w:pPr>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D1E" w14:paraId="17BCEE77" w14:textId="788901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32995" o:spid="_x0000_s2049" type="#_x0000_t136" style="width:97pt;height:44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26214f"/>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8CE" w:rsidP="00D168CE" w14:paraId="0EC86FDD" w14:textId="77777777">
    <w:pPr>
      <w:pStyle w:val="Heading1"/>
      <w:spacing w:before="56" w:line="345" w:lineRule="auto"/>
      <w:ind w:left="0" w:right="-10" w:hanging="6"/>
      <w:jc w:val="center"/>
    </w:pPr>
  </w:p>
  <w:p w:rsidR="00D168CE" w:rsidP="00D168CE" w14:paraId="7188BEDC" w14:textId="18A1B5CE">
    <w:pPr>
      <w:pStyle w:val="Heading1"/>
      <w:ind w:left="0" w:right="-10" w:hanging="6"/>
      <w:contextualSpacing/>
      <w:jc w:val="center"/>
    </w:pPr>
    <w:r>
      <w:t>Supporting Statement B:</w:t>
    </w:r>
  </w:p>
  <w:p w:rsidR="00D168CE" w:rsidRPr="0040514E" w:rsidP="00D168CE" w14:paraId="260EFE0D" w14:textId="38B9D3B2">
    <w:pPr>
      <w:pStyle w:val="Heading1"/>
      <w:ind w:left="0" w:right="-10" w:hanging="6"/>
      <w:contextualSpacing/>
      <w:jc w:val="center"/>
      <w:rPr>
        <w:b w:val="0"/>
      </w:rPr>
    </w:pPr>
    <w:r>
      <w:t xml:space="preserve">OMB Control Number: </w:t>
    </w:r>
    <w:r w:rsidRPr="008C02F2" w:rsidR="00867E88">
      <w:t>3265-0021</w:t>
    </w:r>
  </w:p>
  <w:p w:rsidR="00D168CE" w:rsidP="00D168CE" w14:paraId="28350394" w14:textId="77777777">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U.S. Election Assistance Commission</w:t>
    </w:r>
  </w:p>
  <w:p w:rsidR="00D168CE" w:rsidP="00D168CE" w14:paraId="14D709DA" w14:textId="57F6EF3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w:t>
    </w:r>
    <w:r w:rsidR="00B50424">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Progress Narrative Report (EAC-PR)</w:t>
    </w:r>
  </w:p>
  <w:p w:rsidR="003E7D1E" w14:paraId="32562B11" w14:textId="1149D1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32996" o:spid="_x0000_s2050" type="#_x0000_t136" style="width:97pt;height:44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26214f"/>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D1E" w14:paraId="3EE253A1" w14:textId="3CC467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32994" o:spid="_x0000_s2051" type="#_x0000_t136" style="width:97pt;height:44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26214f"/>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613AFE"/>
    <w:multiLevelType w:val="multilevel"/>
    <w:tmpl w:val="D75C6424"/>
    <w:lvl w:ilvl="0">
      <w:start w:val="2"/>
      <w:numFmt w:val="upperLetter"/>
      <w:lvlText w:val="%1."/>
      <w:lvlJc w:val="left"/>
      <w:pPr>
        <w:ind w:left="458" w:hanging="339"/>
      </w:pPr>
      <w:rPr>
        <w:rFonts w:ascii="Times New Roman" w:eastAsia="Times New Roman" w:hAnsi="Times New Roman" w:cs="Times New Roman"/>
        <w:b/>
        <w:sz w:val="24"/>
        <w:szCs w:val="24"/>
      </w:rPr>
    </w:lvl>
    <w:lvl w:ilvl="1">
      <w:start w:val="1"/>
      <w:numFmt w:val="decimal"/>
      <w:lvlText w:val="%2."/>
      <w:lvlJc w:val="left"/>
      <w:pPr>
        <w:ind w:left="119" w:hanging="298"/>
      </w:pPr>
      <w:rPr>
        <w:rFonts w:ascii="Times New Roman" w:eastAsia="Times New Roman" w:hAnsi="Times New Roman" w:cs="Times New Roman"/>
        <w:b/>
        <w:sz w:val="24"/>
        <w:szCs w:val="24"/>
      </w:rPr>
    </w:lvl>
    <w:lvl w:ilvl="2">
      <w:start w:val="1"/>
      <w:numFmt w:val="bullet"/>
      <w:lvlText w:val="•"/>
      <w:lvlJc w:val="left"/>
      <w:pPr>
        <w:ind w:left="1442" w:hanging="298"/>
      </w:pPr>
    </w:lvl>
    <w:lvl w:ilvl="3">
      <w:start w:val="1"/>
      <w:numFmt w:val="bullet"/>
      <w:lvlText w:val="•"/>
      <w:lvlJc w:val="left"/>
      <w:pPr>
        <w:ind w:left="2424" w:hanging="298"/>
      </w:pPr>
    </w:lvl>
    <w:lvl w:ilvl="4">
      <w:start w:val="1"/>
      <w:numFmt w:val="bullet"/>
      <w:lvlText w:val="•"/>
      <w:lvlJc w:val="left"/>
      <w:pPr>
        <w:ind w:left="3406" w:hanging="298"/>
      </w:pPr>
    </w:lvl>
    <w:lvl w:ilvl="5">
      <w:start w:val="1"/>
      <w:numFmt w:val="bullet"/>
      <w:lvlText w:val="•"/>
      <w:lvlJc w:val="left"/>
      <w:pPr>
        <w:ind w:left="4388" w:hanging="298"/>
      </w:pPr>
    </w:lvl>
    <w:lvl w:ilvl="6">
      <w:start w:val="1"/>
      <w:numFmt w:val="bullet"/>
      <w:lvlText w:val="•"/>
      <w:lvlJc w:val="left"/>
      <w:pPr>
        <w:ind w:left="5371" w:hanging="298"/>
      </w:pPr>
    </w:lvl>
    <w:lvl w:ilvl="7">
      <w:start w:val="1"/>
      <w:numFmt w:val="bullet"/>
      <w:lvlText w:val="•"/>
      <w:lvlJc w:val="left"/>
      <w:pPr>
        <w:ind w:left="6353" w:hanging="298"/>
      </w:pPr>
    </w:lvl>
    <w:lvl w:ilvl="8">
      <w:start w:val="1"/>
      <w:numFmt w:val="bullet"/>
      <w:lvlText w:val="•"/>
      <w:lvlJc w:val="left"/>
      <w:pPr>
        <w:ind w:left="7335" w:hanging="298"/>
      </w:pPr>
    </w:lvl>
  </w:abstractNum>
  <w:num w:numId="1" w16cid:durableId="64528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752"/>
    <w:rsid w:val="000D7315"/>
    <w:rsid w:val="00131261"/>
    <w:rsid w:val="00193861"/>
    <w:rsid w:val="001E07D3"/>
    <w:rsid w:val="001E5D99"/>
    <w:rsid w:val="001E71EE"/>
    <w:rsid w:val="002B6EFF"/>
    <w:rsid w:val="0034128A"/>
    <w:rsid w:val="003E7D1E"/>
    <w:rsid w:val="0040514E"/>
    <w:rsid w:val="00411D04"/>
    <w:rsid w:val="00454817"/>
    <w:rsid w:val="005120D5"/>
    <w:rsid w:val="005133D9"/>
    <w:rsid w:val="005E3D29"/>
    <w:rsid w:val="006246E8"/>
    <w:rsid w:val="00634EF6"/>
    <w:rsid w:val="006D4ECC"/>
    <w:rsid w:val="006E039A"/>
    <w:rsid w:val="006F5AC7"/>
    <w:rsid w:val="007225F3"/>
    <w:rsid w:val="0074026F"/>
    <w:rsid w:val="00785752"/>
    <w:rsid w:val="007C2E8C"/>
    <w:rsid w:val="007E16B3"/>
    <w:rsid w:val="007E5A41"/>
    <w:rsid w:val="0081737D"/>
    <w:rsid w:val="008267FA"/>
    <w:rsid w:val="008676AB"/>
    <w:rsid w:val="00867E88"/>
    <w:rsid w:val="00897FCC"/>
    <w:rsid w:val="008A60CF"/>
    <w:rsid w:val="008C02F2"/>
    <w:rsid w:val="008E6DCB"/>
    <w:rsid w:val="00904D72"/>
    <w:rsid w:val="00945175"/>
    <w:rsid w:val="00AA2F09"/>
    <w:rsid w:val="00B04F00"/>
    <w:rsid w:val="00B50424"/>
    <w:rsid w:val="00B70A42"/>
    <w:rsid w:val="00B87B6D"/>
    <w:rsid w:val="00BB41B3"/>
    <w:rsid w:val="00BE5878"/>
    <w:rsid w:val="00C83CEA"/>
    <w:rsid w:val="00CD7AA8"/>
    <w:rsid w:val="00D168CE"/>
    <w:rsid w:val="00D97C7E"/>
    <w:rsid w:val="00E13167"/>
    <w:rsid w:val="00E34967"/>
    <w:rsid w:val="00EF1DA3"/>
    <w:rsid w:val="00F91E34"/>
    <w:rsid w:val="00F974A6"/>
    <w:rsid w:val="00FB79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E252C7"/>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19"/>
      <w:outlineLvl w:val="0"/>
    </w:pPr>
    <w:rPr>
      <w:rFonts w:ascii="Times New Roman" w:eastAsia="Times New Roman" w:hAnsi="Times New Roman"/>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sid w:val="00AD0B08"/>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4DCD"/>
    <w:rPr>
      <w:rFonts w:ascii="Tahoma" w:hAnsi="Tahoma" w:cs="Tahoma"/>
      <w:sz w:val="16"/>
      <w:szCs w:val="16"/>
    </w:rPr>
  </w:style>
  <w:style w:type="character" w:customStyle="1" w:styleId="BalloonTextChar">
    <w:name w:val="Balloon Text Char"/>
    <w:basedOn w:val="DefaultParagraphFont"/>
    <w:link w:val="BalloonText"/>
    <w:uiPriority w:val="99"/>
    <w:semiHidden/>
    <w:rsid w:val="00984DCD"/>
    <w:rPr>
      <w:rFonts w:ascii="Tahoma" w:hAnsi="Tahoma" w:cs="Tahoma"/>
      <w:sz w:val="16"/>
      <w:szCs w:val="16"/>
    </w:rPr>
  </w:style>
  <w:style w:type="character" w:styleId="CommentReference">
    <w:name w:val="annotation reference"/>
    <w:basedOn w:val="DefaultParagraphFont"/>
    <w:uiPriority w:val="99"/>
    <w:semiHidden/>
    <w:unhideWhenUsed/>
    <w:rsid w:val="0065404A"/>
    <w:rPr>
      <w:sz w:val="16"/>
      <w:szCs w:val="16"/>
    </w:rPr>
  </w:style>
  <w:style w:type="paragraph" w:styleId="CommentText">
    <w:name w:val="annotation text"/>
    <w:basedOn w:val="Normal"/>
    <w:link w:val="CommentTextChar"/>
    <w:uiPriority w:val="99"/>
    <w:semiHidden/>
    <w:unhideWhenUsed/>
    <w:rsid w:val="0065404A"/>
    <w:rPr>
      <w:sz w:val="20"/>
      <w:szCs w:val="20"/>
    </w:rPr>
  </w:style>
  <w:style w:type="character" w:customStyle="1" w:styleId="CommentTextChar">
    <w:name w:val="Comment Text Char"/>
    <w:basedOn w:val="DefaultParagraphFont"/>
    <w:link w:val="CommentText"/>
    <w:uiPriority w:val="99"/>
    <w:semiHidden/>
    <w:rsid w:val="0065404A"/>
    <w:rPr>
      <w:sz w:val="20"/>
      <w:szCs w:val="20"/>
    </w:rPr>
  </w:style>
  <w:style w:type="paragraph" w:styleId="CommentSubject">
    <w:name w:val="annotation subject"/>
    <w:basedOn w:val="CommentText"/>
    <w:next w:val="CommentText"/>
    <w:link w:val="CommentSubjectChar"/>
    <w:uiPriority w:val="99"/>
    <w:semiHidden/>
    <w:unhideWhenUsed/>
    <w:rsid w:val="0065404A"/>
    <w:rPr>
      <w:b/>
      <w:bCs/>
    </w:rPr>
  </w:style>
  <w:style w:type="character" w:customStyle="1" w:styleId="CommentSubjectChar">
    <w:name w:val="Comment Subject Char"/>
    <w:basedOn w:val="CommentTextChar"/>
    <w:link w:val="CommentSubject"/>
    <w:uiPriority w:val="99"/>
    <w:semiHidden/>
    <w:rsid w:val="0065404A"/>
    <w:rPr>
      <w:b/>
      <w:bCs/>
      <w:sz w:val="20"/>
      <w:szCs w:val="20"/>
    </w:rPr>
  </w:style>
  <w:style w:type="table" w:styleId="TableGrid">
    <w:name w:val="Table Grid"/>
    <w:basedOn w:val="TableNormal"/>
    <w:uiPriority w:val="59"/>
    <w:rsid w:val="00EF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B08"/>
    <w:pPr>
      <w:tabs>
        <w:tab w:val="center" w:pos="4680"/>
        <w:tab w:val="right" w:pos="9360"/>
      </w:tabs>
    </w:pPr>
  </w:style>
  <w:style w:type="character" w:customStyle="1" w:styleId="HeaderChar">
    <w:name w:val="Header Char"/>
    <w:basedOn w:val="DefaultParagraphFont"/>
    <w:link w:val="Header"/>
    <w:uiPriority w:val="99"/>
    <w:rsid w:val="00AD0B08"/>
  </w:style>
  <w:style w:type="paragraph" w:styleId="Footer">
    <w:name w:val="footer"/>
    <w:basedOn w:val="Normal"/>
    <w:link w:val="FooterChar"/>
    <w:uiPriority w:val="99"/>
    <w:unhideWhenUsed/>
    <w:rsid w:val="00AD0B08"/>
    <w:pPr>
      <w:tabs>
        <w:tab w:val="center" w:pos="4680"/>
        <w:tab w:val="right" w:pos="9360"/>
      </w:tabs>
    </w:pPr>
  </w:style>
  <w:style w:type="character" w:customStyle="1" w:styleId="FooterChar">
    <w:name w:val="Footer Char"/>
    <w:basedOn w:val="DefaultParagraphFont"/>
    <w:link w:val="Footer"/>
    <w:uiPriority w:val="99"/>
    <w:rsid w:val="00AD0B0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168CE"/>
    <w:pPr>
      <w:widowControl/>
      <w:spacing w:before="100" w:beforeAutospacing="1" w:after="100" w:afterAutospacing="1"/>
    </w:pPr>
    <w:rPr>
      <w:rFonts w:ascii="Times New Roman" w:hAnsi="Times New Roman" w:eastAsiaTheme="minorEastAsia" w:cs="Times New Roman"/>
      <w:sz w:val="24"/>
      <w:szCs w:val="24"/>
    </w:rPr>
  </w:style>
  <w:style w:type="paragraph" w:styleId="Revision">
    <w:name w:val="Revision"/>
    <w:hidden/>
    <w:uiPriority w:val="99"/>
    <w:semiHidden/>
    <w:rsid w:val="001E07D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EvzmxOGfALgLBVuMBnA93NXf9Bw==">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9f5082-77cf-4a28-9b2b-2ea0dc1b8272">
      <Terms xmlns="http://schemas.microsoft.com/office/infopath/2007/PartnerControls"/>
    </lcf76f155ced4ddcb4097134ff3c332f>
    <TaxCatchAll xmlns="8ef56319-4c08-41a8-ad9b-f24ce69da577" xsi:nil="true"/>
    <Complete xmlns="cf9f5082-77cf-4a28-9b2b-2ea0dc1b8272">No</Complet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77C64-2007-41C8-BA83-7305B945C1EA}">
  <ds:schemaRefs>
    <ds:schemaRef ds:uri="http://schemas.openxmlformats.org/officeDocument/2006/bibliography"/>
  </ds:schemaRefs>
</ds:datastoreItem>
</file>

<file path=customXml/itemProps2.xml><?xml version="1.0" encoding="utf-8"?>
<ds:datastoreItem xmlns:ds="http://schemas.openxmlformats.org/officeDocument/2006/customXml" ds:itemID="{E7B9922D-B6A3-4D60-B9EC-CC77EB163C2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29D2FF6-3FCF-429C-B68A-142E7F4C9A29}">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5.xml><?xml version="1.0" encoding="utf-8"?>
<ds:datastoreItem xmlns:ds="http://schemas.openxmlformats.org/officeDocument/2006/customXml" ds:itemID="{F9791CCF-0761-44DE-8827-0D9D974F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ShellyAnderson</dc:creator>
  <cp:lastModifiedBy>Sammi Cordova</cp:lastModifiedBy>
  <cp:revision>3</cp:revision>
  <dcterms:created xsi:type="dcterms:W3CDTF">2023-10-20T13:18:00Z</dcterms:created>
  <dcterms:modified xsi:type="dcterms:W3CDTF">2023-10-20T13:19:00Z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2014-04-10T00:00:00Z</vt:filetime>
  </property>
  <property fmtid="{D5CDD505-2E9C-101B-9397-08002B2CF9AE}" pid="4" name="Creator">
    <vt:lpwstr>Microsoft® Office Word 2007</vt:lpwstr>
  </property>
  <property fmtid="{D5CDD505-2E9C-101B-9397-08002B2CF9AE}" pid="5" name="LastSaved">
    <vt:filetime>2017-11-06T00:00:00Z</vt:filetime>
  </property>
  <property fmtid="{D5CDD505-2E9C-101B-9397-08002B2CF9AE}" pid="6" name="MediaServiceImageTags">
    <vt:lpwstr/>
  </property>
  <property fmtid="{D5CDD505-2E9C-101B-9397-08002B2CF9AE}" pid="7" name="Order">
    <vt:r8>6754000</vt:r8>
  </property>
</Properties>
</file>