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67FBA" w14:paraId="00000001" w14:textId="77777777">
      <w:pPr>
        <w:rPr>
          <w:rFonts w:ascii="Times New Roman" w:eastAsia="Times New Roman" w:hAnsi="Times New Roman" w:cs="Times New Roman"/>
          <w:b/>
          <w:sz w:val="24"/>
          <w:szCs w:val="24"/>
          <w:highlight w:val="white"/>
        </w:rPr>
      </w:pPr>
      <w:bookmarkStart w:id="0" w:name="_GoBack"/>
      <w:bookmarkEnd w:id="0"/>
      <w:r>
        <w:rPr>
          <w:rFonts w:ascii="Times New Roman" w:eastAsia="Times New Roman" w:hAnsi="Times New Roman" w:cs="Times New Roman"/>
          <w:b/>
          <w:sz w:val="24"/>
          <w:szCs w:val="24"/>
          <w:highlight w:val="white"/>
        </w:rPr>
        <w:t xml:space="preserve">SUPPORTING </w:t>
      </w:r>
      <w:r>
        <w:rPr>
          <w:rFonts w:ascii="Times New Roman" w:eastAsia="Times New Roman" w:hAnsi="Times New Roman" w:cs="Times New Roman"/>
          <w:b/>
          <w:sz w:val="24"/>
          <w:szCs w:val="24"/>
          <w:highlight w:val="white"/>
        </w:rPr>
        <w:t>STATEMENT</w:t>
      </w:r>
      <w:r>
        <w:rPr>
          <w:rFonts w:ascii="Times New Roman" w:eastAsia="Times New Roman" w:hAnsi="Times New Roman" w:cs="Times New Roman"/>
          <w:b/>
          <w:sz w:val="24"/>
          <w:szCs w:val="24"/>
          <w:highlight w:val="white"/>
        </w:rPr>
        <w:t xml:space="preserve"> A: JUSTIFICATION</w:t>
      </w:r>
    </w:p>
    <w:p w:rsidR="00E67FBA" w14:paraId="00000002" w14:textId="7777777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The IAF works to promote sustainable development in Latin America and the Caribbean by offering small investments directly to civil society organizations through funding actions, such as grants and cooperative agreements. By gathering programmatic and financial reporting information from grantees every six months the IAF will be able to assess grant performance and ensure financial accountability.</w:t>
      </w:r>
    </w:p>
    <w:p w:rsidR="00E67FBA" w14:paraId="00000003" w14:textId="77777777">
      <w:pPr>
        <w:pBdr>
          <w:top w:val="nil"/>
          <w:left w:val="nil"/>
          <w:bottom w:val="nil"/>
          <w:right w:val="nil"/>
          <w:between w:val="nil"/>
        </w:pBdr>
        <w:spacing w:after="0"/>
        <w:ind w:left="720"/>
        <w:rPr>
          <w:rFonts w:ascii="Times New Roman" w:eastAsia="Times New Roman" w:hAnsi="Times New Roman" w:cs="Times New Roman"/>
          <w:sz w:val="24"/>
          <w:szCs w:val="24"/>
        </w:rPr>
      </w:pPr>
    </w:p>
    <w:p w:rsidR="00E67FBA" w14:paraId="00000004" w14:textId="77777777">
      <w:pPr>
        <w:numPr>
          <w:ilvl w:val="0"/>
          <w:numId w:val="1"/>
        </w:num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The programmatic and financial information in </w:t>
      </w:r>
      <w:r>
        <w:rPr>
          <w:rFonts w:ascii="Times New Roman" w:eastAsia="Times New Roman" w:hAnsi="Times New Roman" w:cs="Times New Roman"/>
          <w:sz w:val="24"/>
          <w:szCs w:val="24"/>
        </w:rPr>
        <w:t>GovGrants</w:t>
      </w:r>
      <w:r>
        <w:rPr>
          <w:rFonts w:ascii="Times New Roman" w:eastAsia="Times New Roman" w:hAnsi="Times New Roman" w:cs="Times New Roman"/>
          <w:sz w:val="24"/>
          <w:szCs w:val="24"/>
        </w:rPr>
        <w:t xml:space="preserve"> will be collected from each grantee on a semesterly basis in order to monitor grant progress, inform decision-making on additional grant funding (e.g. amendments) and future programming, and share grant progress with both internal and external stakeholders. </w:t>
      </w:r>
    </w:p>
    <w:p w:rsidR="00E67FBA" w14:paraId="00000005" w14:textId="7777777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Programmatic and financial reporting information is collected online directly from the grantee through IAF’s </w:t>
      </w:r>
      <w:r>
        <w:rPr>
          <w:rFonts w:ascii="Times New Roman" w:eastAsia="Times New Roman" w:hAnsi="Times New Roman" w:cs="Times New Roman"/>
          <w:sz w:val="24"/>
          <w:szCs w:val="24"/>
        </w:rPr>
        <w:t>GovGrants</w:t>
      </w:r>
      <w:r>
        <w:rPr>
          <w:rFonts w:ascii="Times New Roman" w:eastAsia="Times New Roman" w:hAnsi="Times New Roman" w:cs="Times New Roman"/>
          <w:sz w:val="24"/>
          <w:szCs w:val="24"/>
        </w:rPr>
        <w:t xml:space="preserve"> platform. Information is translated into their languages to minimize burden.</w:t>
      </w:r>
    </w:p>
    <w:p w:rsidR="00E67FBA" w14:paraId="00000006" w14:textId="77777777">
      <w:pPr>
        <w:pBdr>
          <w:top w:val="nil"/>
          <w:left w:val="nil"/>
          <w:bottom w:val="nil"/>
          <w:right w:val="nil"/>
          <w:between w:val="nil"/>
        </w:pBdr>
        <w:spacing w:after="0"/>
        <w:ind w:left="720"/>
        <w:rPr>
          <w:rFonts w:ascii="Times New Roman" w:eastAsia="Times New Roman" w:hAnsi="Times New Roman" w:cs="Times New Roman"/>
          <w:sz w:val="24"/>
          <w:szCs w:val="24"/>
        </w:rPr>
      </w:pPr>
    </w:p>
    <w:p w:rsidR="00E67FBA" w14:paraId="00000007" w14:textId="0270A9A0">
      <w:pPr>
        <w:numPr>
          <w:ilvl w:val="0"/>
          <w:numId w:val="1"/>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The User Acceptance Testing team (composed of IAF staff members) has been working with the contractor to ensure that all data points are entered into the system only once and that this information is not collected nor duplicated elsewhere. </w:t>
      </w:r>
      <w:r w:rsidRPr="00782EBB">
        <w:rPr>
          <w:rFonts w:ascii="Times New Roman" w:eastAsia="Times New Roman" w:hAnsi="Times New Roman" w:cs="Times New Roman"/>
          <w:sz w:val="24"/>
          <w:szCs w:val="24"/>
        </w:rPr>
        <w:t>All information collections IAF-02 and IAF-03, which cover the application and reporting process, auto populate any information which was previously requested so users will not be required to enter information more than once.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GovGrants</w:t>
      </w:r>
      <w:r>
        <w:rPr>
          <w:rFonts w:ascii="Times New Roman" w:eastAsia="Times New Roman" w:hAnsi="Times New Roman" w:cs="Times New Roman"/>
          <w:sz w:val="24"/>
          <w:szCs w:val="24"/>
        </w:rPr>
        <w:t>’ financial and programmatic reporting information will serve as the agency’s single source of truth (SSOT) for data.</w:t>
      </w:r>
    </w:p>
    <w:p w:rsidR="00E67FBA" w14:paraId="00000008" w14:textId="7777777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IAF’s grantees include small grassroots organizations and businesses. To minimize burden, information is translated into their languages. In addition, careful consideration of indicators and narrative questions has been conducted to ensure IAF is asking for the minimal amount of information required to effectively advance its mission, ensure accountability, and capture results for stakeholders.</w:t>
      </w:r>
    </w:p>
    <w:p w:rsidR="00E67FBA" w14:paraId="00000009" w14:textId="7777777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E67FBA" w14:paraId="0000000A" w14:textId="7777777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the IAF did not collect this information from grantees, obtained it less frequently, or obtained the information from less grantees or a sample/subset of grantees, the IAF could not properly assess each individual grant’s progress on a consistent basis. The IAF is committed to mitigating technical obstacles to reduce reporting burden by providing training sessions to proponents and grantees on how to use the system and providing other technical aid.</w:t>
      </w:r>
    </w:p>
    <w:p w:rsidR="00E67FBA" w14:paraId="0000000B" w14:textId="77777777">
      <w:pPr>
        <w:pBdr>
          <w:top w:val="nil"/>
          <w:left w:val="nil"/>
          <w:bottom w:val="nil"/>
          <w:right w:val="nil"/>
          <w:between w:val="nil"/>
        </w:pBdr>
        <w:spacing w:after="0"/>
        <w:rPr>
          <w:rFonts w:ascii="Times New Roman" w:eastAsia="Times New Roman" w:hAnsi="Times New Roman" w:cs="Times New Roman"/>
          <w:i/>
          <w:color w:val="7F7F7F"/>
          <w:sz w:val="24"/>
          <w:szCs w:val="24"/>
        </w:rPr>
      </w:pPr>
    </w:p>
    <w:p w:rsidR="00E67FBA" w14:paraId="0000000C" w14:textId="77777777">
      <w:pPr>
        <w:numPr>
          <w:ilvl w:val="0"/>
          <w:numId w:val="1"/>
        </w:numPr>
        <w:pBdr>
          <w:top w:val="nil"/>
          <w:left w:val="nil"/>
          <w:bottom w:val="nil"/>
          <w:right w:val="nil"/>
          <w:between w:val="nil"/>
        </w:pBd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There are no special circumstances applicable to this information collection.</w:t>
      </w:r>
    </w:p>
    <w:p w:rsidR="00E67FBA" w14:paraId="0000000D" w14:textId="77777777">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p>
    <w:p w:rsidR="00E67FBA" w14:paraId="0000000E" w14:textId="74F5CB7F">
      <w:pPr>
        <w:numPr>
          <w:ilvl w:val="0"/>
          <w:numId w:val="1"/>
        </w:numPr>
        <w:pBdr>
          <w:top w:val="nil"/>
          <w:left w:val="nil"/>
          <w:bottom w:val="nil"/>
          <w:right w:val="nil"/>
          <w:between w:val="nil"/>
        </w:pBd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first Federal Register Notice was published on August 11, 2023 (88 FR 54644).  The agency received</w:t>
      </w:r>
      <w:r>
        <w:rPr>
          <w:rFonts w:ascii="Times New Roman" w:eastAsia="Times New Roman" w:hAnsi="Times New Roman" w:cs="Times New Roman"/>
          <w:sz w:val="24"/>
          <w:szCs w:val="24"/>
          <w:highlight w:val="white"/>
        </w:rPr>
        <w:t xml:space="preserve"> no public comments. </w:t>
      </w:r>
      <w:r>
        <w:rPr>
          <w:rFonts w:ascii="Times New Roman" w:eastAsia="Times New Roman" w:hAnsi="Times New Roman" w:cs="Times New Roman"/>
          <w:sz w:val="24"/>
          <w:szCs w:val="24"/>
        </w:rPr>
        <w:t xml:space="preserve"> The second Federal Register Notice was published on </w:t>
      </w:r>
      <w:r w:rsidRPr="003A4C69">
        <w:rPr>
          <w:rFonts w:ascii="Times New Roman" w:eastAsia="Times New Roman" w:hAnsi="Times New Roman" w:cs="Times New Roman"/>
          <w:sz w:val="24"/>
          <w:szCs w:val="24"/>
        </w:rPr>
        <w:t>November 8, 2023 (88 FR 77106)</w:t>
      </w:r>
      <w:r>
        <w:rPr>
          <w:rFonts w:ascii="Times New Roman" w:eastAsia="Times New Roman" w:hAnsi="Times New Roman" w:cs="Times New Roman"/>
          <w:sz w:val="24"/>
          <w:szCs w:val="24"/>
        </w:rPr>
        <w:t>.</w:t>
      </w:r>
    </w:p>
    <w:p w:rsidR="00E67FBA" w14:paraId="0000000F" w14:textId="77777777">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p>
    <w:p w:rsidR="00E67FBA" w14:paraId="00000010" w14:textId="7777777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The IAF would not be providing any payment or gift to respondents.</w:t>
      </w:r>
    </w:p>
    <w:p w:rsidR="00E67FBA" w14:paraId="00000011" w14:textId="77777777">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p>
    <w:p w:rsidR="00E67FBA" w14:paraId="00000012" w14:textId="77777777">
      <w:pPr>
        <w:numPr>
          <w:ilvl w:val="0"/>
          <w:numId w:val="1"/>
        </w:numPr>
        <w:pBdr>
          <w:top w:val="nil"/>
          <w:left w:val="nil"/>
          <w:bottom w:val="nil"/>
          <w:right w:val="nil"/>
          <w:between w:val="nil"/>
        </w:pBd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When trade secrets or confidential commercial or financial information are submitted to the agency in this collection, they will be held in confidence to the extent permitted by applicable law including the Freedom of Information Act (“FOIA”) at 5 U.S.C. section 552(b)(4) in addition personnel and medical files and similar files the disclosure of which would constitute a clearly unwarranted invasion of personal privacy will be held in confidence according to 5 U.S.C. section 552(b)(6). The personal information of United States citizens and permanent residents will also be subject to the protections of 5 U.S.C. 552a and 22 CFR Part 1003.</w:t>
      </w:r>
    </w:p>
    <w:p w:rsidR="00E67FBA" w14:paraId="00000013" w14:textId="77777777">
      <w:pPr>
        <w:pBdr>
          <w:top w:val="nil"/>
          <w:left w:val="nil"/>
          <w:bottom w:val="nil"/>
          <w:right w:val="nil"/>
          <w:between w:val="nil"/>
        </w:pBdr>
        <w:spacing w:after="0"/>
        <w:ind w:left="720"/>
        <w:rPr>
          <w:rFonts w:ascii="Times New Roman" w:eastAsia="Times New Roman" w:hAnsi="Times New Roman" w:cs="Times New Roman"/>
          <w:i/>
          <w:color w:val="7F7F7F"/>
          <w:sz w:val="24"/>
          <w:szCs w:val="24"/>
        </w:rPr>
      </w:pPr>
    </w:p>
    <w:p w:rsidR="00E67FBA" w14:paraId="00000014" w14:textId="77777777">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 None of the questions on this form are of a sensitive nature.</w:t>
      </w:r>
    </w:p>
    <w:p w:rsidR="00E67FBA" w14:paraId="00000015" w14:textId="77777777">
      <w:pPr>
        <w:pBdr>
          <w:top w:val="nil"/>
          <w:left w:val="nil"/>
          <w:bottom w:val="nil"/>
          <w:right w:val="nil"/>
          <w:between w:val="nil"/>
        </w:pBdr>
        <w:spacing w:after="0"/>
        <w:ind w:left="720"/>
        <w:rPr>
          <w:rFonts w:ascii="Times New Roman" w:eastAsia="Times New Roman" w:hAnsi="Times New Roman" w:cs="Times New Roman"/>
          <w:i/>
          <w:color w:val="7F7F7F"/>
          <w:sz w:val="24"/>
          <w:szCs w:val="24"/>
          <w:highlight w:val="white"/>
        </w:rPr>
      </w:pPr>
    </w:p>
    <w:p w:rsidR="00E67FBA" w14:paraId="00000016" w14:textId="77777777">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estimated burden of collecting this information per year is as follows:</w:t>
      </w:r>
    </w:p>
    <w:p w:rsidR="00E67FBA" w14:paraId="00000017" w14:textId="77777777">
      <w:pPr>
        <w:widowControl w:val="0"/>
        <w:pBdr>
          <w:top w:val="nil"/>
          <w:left w:val="nil"/>
          <w:bottom w:val="nil"/>
          <w:right w:val="nil"/>
          <w:between w:val="nil"/>
        </w:pBdr>
        <w:tabs>
          <w:tab w:val="left" w:pos="637"/>
        </w:tabs>
        <w:spacing w:after="0" w:line="256" w:lineRule="auto"/>
        <w:ind w:left="720" w:right="2655"/>
        <w:rPr>
          <w:rFonts w:ascii="Times New Roman" w:eastAsia="Times New Roman" w:hAnsi="Times New Roman" w:cs="Times New Roman"/>
          <w:sz w:val="24"/>
          <w:szCs w:val="24"/>
        </w:rPr>
      </w:pPr>
      <w:r>
        <w:rPr>
          <w:rFonts w:ascii="Times New Roman" w:eastAsia="Times New Roman" w:hAnsi="Times New Roman" w:cs="Times New Roman"/>
          <w:sz w:val="24"/>
          <w:szCs w:val="24"/>
        </w:rPr>
        <w:tab/>
        <w:t>450 respondents</w:t>
      </w:r>
    </w:p>
    <w:p w:rsidR="00E67FBA" w14:paraId="00000018" w14:textId="77777777">
      <w:pPr>
        <w:widowControl w:val="0"/>
        <w:pBdr>
          <w:top w:val="nil"/>
          <w:left w:val="nil"/>
          <w:bottom w:val="nil"/>
          <w:right w:val="nil"/>
          <w:between w:val="nil"/>
        </w:pBd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x 2 per respondent</w:t>
      </w:r>
    </w:p>
    <w:p w:rsidR="00E67FBA" w14:paraId="00000019" w14:textId="77777777">
      <w:pPr>
        <w:widowControl w:val="0"/>
        <w:pBdr>
          <w:top w:val="nil"/>
          <w:left w:val="nil"/>
          <w:bottom w:val="nil"/>
          <w:right w:val="nil"/>
          <w:between w:val="nil"/>
        </w:pBdr>
        <w:spacing w:before="18"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=900 total annual responses</w:t>
      </w:r>
    </w:p>
    <w:p w:rsidR="00E67FBA" w14:paraId="0000001A" w14:textId="77777777">
      <w:pPr>
        <w:widowControl w:val="0"/>
        <w:pBdr>
          <w:top w:val="nil"/>
          <w:left w:val="nil"/>
          <w:bottom w:val="nil"/>
          <w:right w:val="nil"/>
          <w:between w:val="nil"/>
        </w:pBdr>
        <w:spacing w:before="13"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x (18 hours per average respondent)</w:t>
      </w:r>
    </w:p>
    <w:p w:rsidR="00E67FBA" w14:paraId="0000001B" w14:textId="77777777">
      <w:pPr>
        <w:widowControl w:val="0"/>
        <w:pBdr>
          <w:top w:val="nil"/>
          <w:left w:val="nil"/>
          <w:bottom w:val="nil"/>
          <w:right w:val="nil"/>
          <w:between w:val="nil"/>
        </w:pBdr>
        <w:spacing w:before="18"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16,200 respondent hours</w:t>
      </w:r>
    </w:p>
    <w:p w:rsidR="00E67FBA" w14:paraId="0000001C" w14:textId="77777777">
      <w:pPr>
        <w:widowControl w:val="0"/>
        <w:pBdr>
          <w:top w:val="nil"/>
          <w:left w:val="nil"/>
          <w:bottom w:val="nil"/>
          <w:right w:val="nil"/>
          <w:between w:val="nil"/>
        </w:pBdr>
        <w:spacing w:before="13"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x $15.62/hour for personnel,  record-keeping,  overhead</w:t>
      </w:r>
    </w:p>
    <w:p w:rsidR="00E67FBA" w14:paraId="0000001D" w14:textId="77777777">
      <w:pPr>
        <w:widowControl w:val="0"/>
        <w:pBdr>
          <w:top w:val="nil"/>
          <w:left w:val="nil"/>
          <w:bottom w:val="nil"/>
          <w:right w:val="nil"/>
          <w:between w:val="nil"/>
        </w:pBdr>
        <w:spacing w:before="23"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253,044 </w:t>
      </w:r>
      <w:r>
        <w:rPr>
          <w:rFonts w:ascii="Times New Roman" w:eastAsia="Times New Roman" w:hAnsi="Times New Roman" w:cs="Times New Roman"/>
          <w:sz w:val="24"/>
          <w:szCs w:val="24"/>
        </w:rPr>
        <w:t>total cost to respondents</w:t>
      </w:r>
    </w:p>
    <w:p w:rsidR="00E67FBA" w14:paraId="0000001E" w14:textId="77777777">
      <w:pPr>
        <w:widowControl w:val="0"/>
        <w:pBdr>
          <w:top w:val="nil"/>
          <w:left w:val="nil"/>
          <w:bottom w:val="nil"/>
          <w:right w:val="nil"/>
          <w:between w:val="nil"/>
        </w:pBdr>
        <w:spacing w:before="23" w:after="0" w:line="240" w:lineRule="auto"/>
        <w:ind w:left="720"/>
        <w:rPr>
          <w:rFonts w:ascii="Times New Roman" w:eastAsia="Times New Roman" w:hAnsi="Times New Roman" w:cs="Times New Roman"/>
          <w:sz w:val="24"/>
          <w:szCs w:val="24"/>
        </w:rPr>
      </w:pPr>
    </w:p>
    <w:p w:rsidR="00E67FBA" w14:paraId="0000001F" w14:textId="77777777">
      <w:pPr>
        <w:widowControl w:val="0"/>
        <w:pBdr>
          <w:top w:val="nil"/>
          <w:left w:val="nil"/>
          <w:bottom w:val="nil"/>
          <w:right w:val="nil"/>
          <w:between w:val="nil"/>
        </w:pBdr>
        <w:spacing w:before="23"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 submit a financial report twice per year.</w:t>
      </w:r>
    </w:p>
    <w:p w:rsidR="00E67FBA" w14:paraId="00000020" w14:textId="77777777">
      <w:pPr>
        <w:widowControl w:val="0"/>
        <w:pBdr>
          <w:top w:val="nil"/>
          <w:left w:val="nil"/>
          <w:bottom w:val="nil"/>
          <w:right w:val="nil"/>
          <w:between w:val="nil"/>
        </w:pBdr>
        <w:spacing w:before="23" w:after="0" w:line="240" w:lineRule="auto"/>
        <w:ind w:left="720" w:firstLine="720"/>
        <w:rPr>
          <w:rFonts w:ascii="Times New Roman" w:eastAsia="Times New Roman" w:hAnsi="Times New Roman" w:cs="Times New Roman"/>
          <w:sz w:val="24"/>
          <w:szCs w:val="24"/>
        </w:rPr>
      </w:pPr>
    </w:p>
    <w:p w:rsidR="00E67FBA" w14:paraId="00000021" w14:textId="77777777">
      <w:pPr>
        <w:spacing w:after="0" w:line="276" w:lineRule="auto"/>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note on the hourly wage of grantees: The average hourly wage of $15.62 is based on the grantees’ budgets submitted to the IAF as part of the Grant Agreement package using the average salary for a project director at $43,000 and the average salary for an administrative assistant at $22,000.</w:t>
      </w:r>
    </w:p>
    <w:p w:rsidR="00E67FBA" w14:paraId="00000022" w14:textId="77777777">
      <w:pPr>
        <w:spacing w:after="0" w:line="276" w:lineRule="auto"/>
        <w:rPr>
          <w:rFonts w:ascii="Times New Roman" w:eastAsia="Times New Roman" w:hAnsi="Times New Roman" w:cs="Times New Roman"/>
          <w:i/>
          <w:color w:val="7F7F7F"/>
          <w:sz w:val="24"/>
          <w:szCs w:val="24"/>
        </w:rPr>
      </w:pPr>
    </w:p>
    <w:p w:rsidR="00E67FBA" w14:paraId="00000023" w14:textId="77777777">
      <w:pPr>
        <w:widowControl w:val="0"/>
        <w:numPr>
          <w:ilvl w:val="0"/>
          <w:numId w:val="1"/>
        </w:numPr>
        <w:pBdr>
          <w:top w:val="nil"/>
          <w:left w:val="nil"/>
          <w:bottom w:val="nil"/>
          <w:right w:val="nil"/>
          <w:between w:val="nil"/>
        </w:pBdr>
        <w:spacing w:before="2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additional costs to the respondents or recordkeepers resulting from this information collection.</w:t>
      </w:r>
    </w:p>
    <w:p w:rsidR="00E67FBA" w14:paraId="00000024" w14:textId="77777777">
      <w:pPr>
        <w:widowControl w:val="0"/>
        <w:pBdr>
          <w:top w:val="nil"/>
          <w:left w:val="nil"/>
          <w:bottom w:val="nil"/>
          <w:right w:val="nil"/>
          <w:between w:val="nil"/>
        </w:pBdr>
        <w:spacing w:before="23" w:after="0" w:line="240" w:lineRule="auto"/>
        <w:ind w:left="720"/>
        <w:rPr>
          <w:rFonts w:ascii="Times New Roman" w:eastAsia="Times New Roman" w:hAnsi="Times New Roman" w:cs="Times New Roman"/>
          <w:i/>
          <w:color w:val="7F7F7F"/>
          <w:sz w:val="24"/>
          <w:szCs w:val="24"/>
        </w:rPr>
      </w:pPr>
    </w:p>
    <w:p w:rsidR="00E67FBA" w:rsidP="00810290" w14:paraId="00000027" w14:textId="749178B3">
      <w:pPr>
        <w:widowControl w:val="0"/>
        <w:numPr>
          <w:ilvl w:val="0"/>
          <w:numId w:val="1"/>
        </w:numPr>
        <w:pBdr>
          <w:top w:val="nil"/>
          <w:left w:val="nil"/>
          <w:bottom w:val="nil"/>
          <w:right w:val="nil"/>
          <w:between w:val="nil"/>
        </w:pBdr>
        <w:spacing w:before="2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estimated annualized cost to the Federal government is as follows:</w:t>
      </w:r>
    </w:p>
    <w:p w:rsidR="00810290" w:rsidRPr="00810290" w:rsidP="00810290" w14:paraId="0BD0670A"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sz w:val="24"/>
          <w:szCs w:val="24"/>
        </w:rPr>
      </w:pPr>
    </w:p>
    <w:p w:rsidR="00E67FBA" w14:paraId="00000028" w14:textId="77777777">
      <w:pPr>
        <w:widowControl w:val="0"/>
        <w:tabs>
          <w:tab w:val="left" w:pos="637"/>
        </w:tabs>
        <w:spacing w:after="0" w:line="256" w:lineRule="auto"/>
        <w:ind w:left="720" w:right="2655"/>
        <w:rPr>
          <w:rFonts w:ascii="Times New Roman" w:eastAsia="Times New Roman" w:hAnsi="Times New Roman" w:cs="Times New Roman"/>
          <w:sz w:val="24"/>
          <w:szCs w:val="24"/>
        </w:rPr>
      </w:pPr>
      <w:r>
        <w:rPr>
          <w:rFonts w:ascii="Times New Roman" w:eastAsia="Times New Roman" w:hAnsi="Times New Roman" w:cs="Times New Roman"/>
          <w:sz w:val="24"/>
          <w:szCs w:val="24"/>
        </w:rPr>
        <w:tab/>
        <w:t>450 respondents</w:t>
      </w:r>
    </w:p>
    <w:p w:rsidR="00E67FBA" w14:paraId="00000029" w14:textId="77777777">
      <w:pPr>
        <w:widowControl w:val="0"/>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x 2 per respondent</w:t>
      </w:r>
    </w:p>
    <w:p w:rsidR="00E67FBA" w14:paraId="0000002A" w14:textId="77777777">
      <w:pPr>
        <w:widowControl w:val="0"/>
        <w:spacing w:before="18"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900 total annual responses</w:t>
      </w:r>
    </w:p>
    <w:p w:rsidR="00E67FBA" w14:paraId="0000002B" w14:textId="77777777">
      <w:pPr>
        <w:widowControl w:val="0"/>
        <w:spacing w:before="13"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x 0.5 hours to review one response</w:t>
      </w:r>
    </w:p>
    <w:p w:rsidR="00E67FBA" w14:paraId="0000002C" w14:textId="77777777">
      <w:pPr>
        <w:widowControl w:val="0"/>
        <w:spacing w:before="18"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450 total federal hours</w:t>
      </w:r>
    </w:p>
    <w:p w:rsidR="00E67FBA" w14:paraId="0000002D" w14:textId="77777777">
      <w:pPr>
        <w:widowControl w:val="0"/>
        <w:spacing w:before="13"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x $45.14 GS-12/1 (DCB) hourly wage</w:t>
      </w:r>
    </w:p>
    <w:p w:rsidR="00E67FBA" w:rsidP="00810290" w14:paraId="0000003A" w14:textId="74D813E4">
      <w:pPr>
        <w:widowControl w:val="0"/>
        <w:spacing w:before="23"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$20,313 total cost to the Federal government</w:t>
      </w:r>
    </w:p>
    <w:p w:rsidR="00E67FBA" w14:paraId="0000003B"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color w:val="000000"/>
          <w:sz w:val="24"/>
          <w:szCs w:val="24"/>
        </w:rPr>
      </w:pPr>
    </w:p>
    <w:p w:rsidR="00E67FBA" w14:paraId="0000003C" w14:textId="77777777">
      <w:pPr>
        <w:widowControl w:val="0"/>
        <w:numPr>
          <w:ilvl w:val="0"/>
          <w:numId w:val="1"/>
        </w:numPr>
        <w:pBdr>
          <w:top w:val="nil"/>
          <w:left w:val="nil"/>
          <w:bottom w:val="nil"/>
          <w:right w:val="nil"/>
          <w:between w:val="nil"/>
        </w:pBdr>
        <w:spacing w:before="2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new ICR and figures are new and do not reflect adjustments to previously </w:t>
      </w:r>
      <w:r>
        <w:rPr>
          <w:rFonts w:ascii="Times New Roman" w:eastAsia="Times New Roman" w:hAnsi="Times New Roman" w:cs="Times New Roman"/>
          <w:sz w:val="24"/>
          <w:szCs w:val="24"/>
        </w:rPr>
        <w:t>reported information.</w:t>
      </w:r>
    </w:p>
    <w:p w:rsidR="00E67FBA" w14:paraId="0000003D" w14:textId="77777777">
      <w:pPr>
        <w:widowControl w:val="0"/>
        <w:pBdr>
          <w:top w:val="nil"/>
          <w:left w:val="nil"/>
          <w:bottom w:val="nil"/>
          <w:right w:val="nil"/>
          <w:between w:val="nil"/>
        </w:pBdr>
        <w:spacing w:before="23" w:after="0" w:line="240" w:lineRule="auto"/>
        <w:ind w:left="720"/>
        <w:rPr>
          <w:rFonts w:ascii="Times New Roman" w:eastAsia="Times New Roman" w:hAnsi="Times New Roman" w:cs="Times New Roman"/>
          <w:color w:val="7F7F7F"/>
          <w:sz w:val="24"/>
          <w:szCs w:val="24"/>
        </w:rPr>
      </w:pPr>
    </w:p>
    <w:p w:rsidR="00E67FBA" w14:paraId="0000003E" w14:textId="77777777">
      <w:pPr>
        <w:widowControl w:val="0"/>
        <w:numPr>
          <w:ilvl w:val="0"/>
          <w:numId w:val="1"/>
        </w:numPr>
        <w:pBdr>
          <w:top w:val="nil"/>
          <w:left w:val="nil"/>
          <w:bottom w:val="nil"/>
          <w:right w:val="nil"/>
          <w:between w:val="nil"/>
        </w:pBdr>
        <w:spacing w:before="2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will not be published.</w:t>
      </w:r>
    </w:p>
    <w:p w:rsidR="00E67FBA" w14:paraId="0000003F" w14:textId="77777777">
      <w:pPr>
        <w:widowControl w:val="0"/>
        <w:pBdr>
          <w:top w:val="nil"/>
          <w:left w:val="nil"/>
          <w:bottom w:val="nil"/>
          <w:right w:val="nil"/>
          <w:between w:val="nil"/>
        </w:pBdr>
        <w:spacing w:before="23" w:after="0" w:line="240" w:lineRule="auto"/>
        <w:ind w:left="720"/>
        <w:rPr>
          <w:rFonts w:ascii="Times New Roman" w:eastAsia="Times New Roman" w:hAnsi="Times New Roman" w:cs="Times New Roman"/>
          <w:color w:val="000000"/>
          <w:sz w:val="24"/>
          <w:szCs w:val="24"/>
        </w:rPr>
      </w:pPr>
    </w:p>
    <w:p w:rsidR="00E67FBA" w14:paraId="00000040" w14:textId="77777777">
      <w:pPr>
        <w:widowControl w:val="0"/>
        <w:numPr>
          <w:ilvl w:val="0"/>
          <w:numId w:val="1"/>
        </w:numPr>
        <w:pBdr>
          <w:top w:val="nil"/>
          <w:left w:val="nil"/>
          <w:bottom w:val="nil"/>
          <w:right w:val="nil"/>
          <w:between w:val="nil"/>
        </w:pBdr>
        <w:spacing w:before="2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IAF will display the OMB expiration date on each form.</w:t>
      </w:r>
    </w:p>
    <w:p w:rsidR="00E67FBA" w14:paraId="00000041"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color w:val="000000"/>
          <w:sz w:val="24"/>
          <w:szCs w:val="24"/>
        </w:rPr>
      </w:pPr>
    </w:p>
    <w:p w:rsidR="00E67FBA" w14:paraId="00000042" w14:textId="77777777">
      <w:pPr>
        <w:widowControl w:val="0"/>
        <w:numPr>
          <w:ilvl w:val="0"/>
          <w:numId w:val="1"/>
        </w:numPr>
        <w:pBdr>
          <w:top w:val="nil"/>
          <w:left w:val="nil"/>
          <w:bottom w:val="nil"/>
          <w:right w:val="nil"/>
          <w:between w:val="nil"/>
        </w:pBdr>
        <w:spacing w:before="2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IAF </w:t>
      </w:r>
      <w:r>
        <w:rPr>
          <w:rFonts w:ascii="Times New Roman" w:eastAsia="Times New Roman" w:hAnsi="Times New Roman" w:cs="Times New Roman"/>
          <w:sz w:val="24"/>
          <w:szCs w:val="24"/>
          <w:highlight w:val="white"/>
        </w:rPr>
        <w:t>is not seeking an exception to the certification statement.</w:t>
      </w:r>
    </w:p>
    <w:p w:rsidR="00E67FBA" w14:paraId="00000043" w14:textId="77777777">
      <w:pPr>
        <w:widowControl w:val="0"/>
        <w:pBdr>
          <w:top w:val="nil"/>
          <w:left w:val="nil"/>
          <w:bottom w:val="nil"/>
          <w:right w:val="nil"/>
          <w:between w:val="nil"/>
        </w:pBdr>
        <w:spacing w:before="23" w:after="0" w:line="240" w:lineRule="auto"/>
        <w:ind w:left="720"/>
        <w:rPr>
          <w:rFonts w:ascii="Times New Roman" w:eastAsia="Times New Roman" w:hAnsi="Times New Roman" w:cs="Times New Roman"/>
          <w:color w:val="000000"/>
          <w:sz w:val="24"/>
          <w:szCs w:val="24"/>
        </w:rPr>
      </w:pPr>
    </w:p>
    <w:p w:rsidR="00E67FBA" w14:paraId="00000044" w14:textId="77777777">
      <w:pPr>
        <w:widowControl w:val="0"/>
        <w:pBdr>
          <w:top w:val="nil"/>
          <w:left w:val="nil"/>
          <w:bottom w:val="nil"/>
          <w:right w:val="nil"/>
          <w:between w:val="nil"/>
        </w:pBdr>
        <w:spacing w:before="23" w:after="0" w:line="240" w:lineRule="auto"/>
        <w:ind w:left="720"/>
        <w:rPr>
          <w:rFonts w:ascii="Times New Roman" w:eastAsia="Times New Roman" w:hAnsi="Times New Roman" w:cs="Times New Roman"/>
          <w:color w:val="000000"/>
          <w:sz w:val="24"/>
          <w:szCs w:val="24"/>
        </w:rPr>
      </w:pPr>
    </w:p>
    <w:p w:rsidR="00810290" w14:paraId="403B4A4A"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696AC33B"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43471AB5"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1D9EE3A9"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0D9D931F"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36B4481C"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3A9EC113"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7F79B189"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6D022D72"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2C72AAF2"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2906EA3A"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0AB48392"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0405C284"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6CBAC7D9"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788ABF27"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4FB4B754"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42A6575A"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684626B3"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606C71DF"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6FFBA374"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4915313B"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3E8546D2"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41F77730"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335C75A1"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52B498AF"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700FFF98"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4F793105"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647F916A"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7F857788"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5D35D412"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5AA0A4C2"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514B212E"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4C6B4468"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810290" w14:paraId="1D397B96"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E67FBA" w14:paraId="00000045" w14:textId="4A2C36A7">
      <w:pPr>
        <w:widowControl w:val="0"/>
        <w:pBdr>
          <w:top w:val="nil"/>
          <w:left w:val="nil"/>
          <w:bottom w:val="nil"/>
          <w:right w:val="nil"/>
          <w:between w:val="nil"/>
        </w:pBdr>
        <w:spacing w:before="2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SUPPORTING STATEMENT B: COLLECTION OF INFORMATION EMPLOYING STATISTICAL METHODS.</w:t>
      </w:r>
    </w:p>
    <w:p w:rsidR="00E67FBA" w14:paraId="00000046" w14:textId="7777777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E67FBA" w14:paraId="00000047" w14:textId="77777777">
      <w:p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This supporting statement does not contain any collection of information requirements that employ statistical methods.</w:t>
      </w:r>
    </w:p>
    <w:sectPr>
      <w:headerReference w:type="default" r:id="rId4"/>
      <w:headerReference w:type="first" r:id="rId5"/>
      <w:footerReference w:type="first" r:id="rId6"/>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FBA" w14:paraId="0000004C" w14:textId="77777777">
    <w:pPr>
      <w:pBdr>
        <w:top w:val="nil"/>
        <w:left w:val="nil"/>
        <w:bottom w:val="nil"/>
        <w:right w:val="nil"/>
        <w:between w:val="nil"/>
      </w:pBdr>
      <w:tabs>
        <w:tab w:val="center" w:pos="4680"/>
        <w:tab w:val="right" w:pos="9360"/>
      </w:tabs>
      <w:spacing w:after="0" w:line="240" w:lineRule="auto"/>
      <w:jc w:val="right"/>
      <w:rPr>
        <w:color w:val="000000"/>
      </w:rPr>
    </w:pPr>
    <w:r>
      <w:rPr>
        <w:color w:val="000000"/>
      </w:rPr>
      <w:t>Last updated 8/11/2023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FBA" w14:paraId="0000004B" w14:textId="77777777">
    <w:pPr>
      <w:pBdr>
        <w:top w:val="nil"/>
        <w:left w:val="nil"/>
        <w:bottom w:val="nil"/>
        <w:right w:val="nil"/>
        <w:between w:val="nil"/>
      </w:pBdr>
      <w:tabs>
        <w:tab w:val="center" w:pos="4680"/>
        <w:tab w:val="right" w:pos="9360"/>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FBA" w14:paraId="00000048" w14:textId="77777777">
    <w:pPr>
      <w:pBdr>
        <w:top w:val="nil"/>
        <w:left w:val="nil"/>
        <w:bottom w:val="nil"/>
        <w:right w:val="nil"/>
        <w:between w:val="nil"/>
      </w:pBdr>
      <w:tabs>
        <w:tab w:val="center" w:pos="4680"/>
        <w:tab w:val="right" w:pos="9360"/>
      </w:tabs>
      <w:spacing w:after="0" w:line="240" w:lineRule="auto"/>
      <w:jc w:val="right"/>
      <w:rPr>
        <w:color w:val="000000"/>
      </w:rPr>
    </w:pPr>
    <w:r>
      <w:rPr>
        <w:color w:val="000000"/>
      </w:rPr>
      <w:t>IAF-</w:t>
    </w:r>
    <w:r>
      <w:t>03</w:t>
    </w:r>
  </w:p>
  <w:p w:rsidR="00E67FBA" w14:paraId="00000049" w14:textId="77777777">
    <w:pPr>
      <w:pBdr>
        <w:top w:val="nil"/>
        <w:left w:val="nil"/>
        <w:bottom w:val="nil"/>
        <w:right w:val="nil"/>
        <w:between w:val="nil"/>
      </w:pBdr>
      <w:tabs>
        <w:tab w:val="center" w:pos="4680"/>
        <w:tab w:val="right" w:pos="9360"/>
      </w:tabs>
      <w:spacing w:after="0" w:line="240" w:lineRule="auto"/>
      <w:jc w:val="right"/>
      <w:rPr>
        <w:color w:val="000000"/>
      </w:rPr>
    </w:pPr>
    <w:r>
      <w:rPr>
        <w:color w:val="000000"/>
      </w:rPr>
      <w:t>New Collection</w:t>
    </w:r>
  </w:p>
  <w:p w:rsidR="00E67FBA" w14:paraId="0000004A" w14:textId="77777777">
    <w:pPr>
      <w:pBdr>
        <w:top w:val="nil"/>
        <w:left w:val="nil"/>
        <w:bottom w:val="nil"/>
        <w:right w:val="nil"/>
        <w:between w:val="nil"/>
      </w:pBdr>
      <w:tabs>
        <w:tab w:val="center" w:pos="4680"/>
        <w:tab w:val="right" w:pos="9360"/>
      </w:tabs>
      <w:spacing w:after="0" w:line="240" w:lineRule="auto"/>
      <w:jc w:val="right"/>
      <w:rPr>
        <w:color w:val="000000"/>
      </w:rPr>
    </w:pPr>
    <w:r>
      <w:t xml:space="preserve"> Grant Programmatic and Financial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D064FC"/>
    <w:multiLevelType w:val="multilevel"/>
    <w:tmpl w:val="2918EC3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BA"/>
    <w:rsid w:val="003A4C69"/>
    <w:rsid w:val="003F47CE"/>
    <w:rsid w:val="00782EBB"/>
    <w:rsid w:val="00810290"/>
    <w:rsid w:val="0093462D"/>
    <w:rsid w:val="00B3074D"/>
    <w:rsid w:val="00E67F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1A20FF"/>
  <w15:docId w15:val="{5149E5D4-CDBC-4580-AC8A-43EB27D2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4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7CE"/>
    <w:rPr>
      <w:rFonts w:ascii="Segoe UI" w:hAnsi="Segoe UI" w:cs="Segoe UI"/>
      <w:sz w:val="18"/>
      <w:szCs w:val="18"/>
    </w:rPr>
  </w:style>
  <w:style w:type="paragraph" w:styleId="ListParagraph">
    <w:name w:val="List Paragraph"/>
    <w:basedOn w:val="Normal"/>
    <w:uiPriority w:val="34"/>
    <w:qFormat/>
    <w:rsid w:val="0081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 American Foundation</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Stinson</dc:creator>
  <cp:lastModifiedBy>Nicole Stinson</cp:lastModifiedBy>
  <cp:revision>4</cp:revision>
  <dcterms:created xsi:type="dcterms:W3CDTF">2023-11-20T05:24:00Z</dcterms:created>
  <dcterms:modified xsi:type="dcterms:W3CDTF">2023-11-21T16:28:00Z</dcterms:modified>
</cp:coreProperties>
</file>