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7055" w:rsidP="00C07055" w14:paraId="347E72E5" w14:textId="6FEF1DBA">
      <w:pPr>
        <w:spacing w:before="2640"/>
        <w:jc w:val="center"/>
        <w:rPr>
          <w:rFonts w:ascii="Arial Black" w:hAnsi="Arial Black"/>
        </w:rPr>
      </w:pPr>
      <w:bookmarkStart w:id="0" w:name="_Hlk107564231"/>
      <w:bookmarkStart w:id="1" w:name="_Hlk102477295"/>
      <w:bookmarkEnd w:id="0"/>
      <w:r w:rsidRPr="000A60DB">
        <w:rPr>
          <w:rFonts w:ascii="Arial Black" w:eastAsia="Arial" w:hAnsi="Arial Black"/>
          <w:b/>
        </w:rPr>
        <w:t xml:space="preserve">Appendix </w:t>
      </w:r>
      <w:r w:rsidR="00EE2E99">
        <w:rPr>
          <w:rFonts w:ascii="Arial Black" w:eastAsia="Arial" w:hAnsi="Arial Black"/>
          <w:b/>
        </w:rPr>
        <w:t>N</w:t>
      </w:r>
      <w:r w:rsidRPr="000A60DB">
        <w:rPr>
          <w:rFonts w:ascii="Arial Black" w:eastAsia="Arial" w:hAnsi="Arial Black"/>
          <w:b/>
        </w:rPr>
        <w:t xml:space="preserve">. </w:t>
      </w:r>
      <w:r w:rsidR="00A93572">
        <w:rPr>
          <w:rFonts w:ascii="Arial Black" w:eastAsia="Arial" w:hAnsi="Arial Black"/>
          <w:b/>
        </w:rPr>
        <w:t>Incentives and Response Rates</w:t>
      </w:r>
    </w:p>
    <w:p w:rsidR="00C07055" w:rsidP="00C07055" w14:paraId="720A9674" w14:textId="77777777">
      <w:pPr>
        <w:spacing w:after="360" w:line="240" w:lineRule="auto"/>
        <w:rPr>
          <w:rFonts w:ascii="Arial" w:hAnsi="Arial" w:cs="Arial"/>
          <w:sz w:val="20"/>
          <w:szCs w:val="20"/>
        </w:rPr>
      </w:pPr>
      <w:r>
        <w:rPr>
          <w:rFonts w:ascii="Arial" w:hAnsi="Arial" w:cs="Arial"/>
          <w:sz w:val="20"/>
          <w:szCs w:val="20"/>
        </w:rPr>
        <w:br w:type="page"/>
      </w:r>
    </w:p>
    <w:p w:rsidR="00C07055" w:rsidP="00C07055" w14:paraId="1B3AC320" w14:textId="77777777">
      <w:pPr>
        <w:spacing w:after="360" w:line="240" w:lineRule="auto"/>
        <w:jc w:val="center"/>
        <w:rPr>
          <w:b/>
          <w:bCs/>
        </w:rPr>
      </w:pPr>
    </w:p>
    <w:p w:rsidR="00C07055" w:rsidRPr="002E5A85" w:rsidP="00C07055" w14:paraId="385C5427"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C07055" w:rsidP="00C07055" w14:paraId="4915387B" w14:textId="77777777">
      <w:pPr>
        <w:spacing w:after="360" w:line="240" w:lineRule="auto"/>
        <w:rPr>
          <w:rFonts w:ascii="Arial" w:hAnsi="Arial" w:cs="Arial"/>
          <w:sz w:val="20"/>
          <w:szCs w:val="20"/>
        </w:rPr>
      </w:pPr>
    </w:p>
    <w:p w:rsidR="00C07055" w:rsidP="00C07055" w14:paraId="4E249821" w14:textId="77777777">
      <w:pPr>
        <w:spacing w:line="240" w:lineRule="auto"/>
        <w:rPr>
          <w:rFonts w:ascii="Arial" w:hAnsi="Arial" w:cs="Arial"/>
          <w:sz w:val="20"/>
          <w:szCs w:val="20"/>
        </w:rPr>
        <w:sectPr>
          <w:headerReference w:type="default" r:id="rId9"/>
          <w:footerReference w:type="default" r:id="rId10"/>
          <w:endnotePr>
            <w:numFmt w:val="decimal"/>
          </w:endnotePr>
          <w:pgSz w:w="12240" w:h="15840"/>
          <w:pgMar w:top="1440" w:right="1440" w:bottom="576" w:left="1440" w:header="576" w:footer="288" w:gutter="0"/>
          <w:pgNumType w:start="1"/>
          <w:cols w:space="720"/>
        </w:sectPr>
      </w:pPr>
    </w:p>
    <w:bookmarkEnd w:id="1"/>
    <w:p w:rsidR="00EE2E99" w:rsidP="00EE2E99" w14:paraId="2C69C247" w14:textId="07ABA6B7">
      <w:pPr>
        <w:spacing w:line="480" w:lineRule="auto"/>
        <w:ind w:firstLine="720"/>
        <w:rPr>
          <w:rFonts w:ascii="Times New Roman" w:hAnsi="Times New Roman" w:cs="Times New Roman"/>
          <w:sz w:val="24"/>
          <w:szCs w:val="24"/>
        </w:rPr>
      </w:pPr>
      <w:r w:rsidRPr="00EE2E99">
        <w:rPr>
          <w:rFonts w:ascii="Times New Roman" w:hAnsi="Times New Roman" w:cs="Times New Roman"/>
          <w:sz w:val="24"/>
          <w:szCs w:val="24"/>
        </w:rPr>
        <w:t>FNS is requesting a post-survey incentive of a $30 Visa gift card for sample members completing the participant survey</w:t>
      </w:r>
      <w:r w:rsidR="00266845">
        <w:rPr>
          <w:rFonts w:ascii="Times New Roman" w:hAnsi="Times New Roman" w:cs="Times New Roman"/>
          <w:sz w:val="24"/>
          <w:szCs w:val="24"/>
        </w:rPr>
        <w:t xml:space="preserve"> and a $50 Visa gift card for </w:t>
      </w:r>
      <w:r w:rsidR="003130AB">
        <w:rPr>
          <w:rFonts w:ascii="Times New Roman" w:hAnsi="Times New Roman" w:cs="Times New Roman"/>
          <w:sz w:val="24"/>
          <w:szCs w:val="24"/>
        </w:rPr>
        <w:t xml:space="preserve">participant </w:t>
      </w:r>
      <w:r w:rsidR="006A28D4">
        <w:rPr>
          <w:rFonts w:ascii="Times New Roman" w:hAnsi="Times New Roman" w:cs="Times New Roman"/>
          <w:sz w:val="24"/>
          <w:szCs w:val="24"/>
        </w:rPr>
        <w:t xml:space="preserve">focus group and </w:t>
      </w:r>
      <w:r w:rsidR="003130AB">
        <w:rPr>
          <w:rFonts w:ascii="Times New Roman" w:hAnsi="Times New Roman" w:cs="Times New Roman"/>
          <w:sz w:val="24"/>
          <w:szCs w:val="24"/>
        </w:rPr>
        <w:t xml:space="preserve">participant </w:t>
      </w:r>
      <w:r w:rsidR="00266845">
        <w:rPr>
          <w:rFonts w:ascii="Times New Roman" w:hAnsi="Times New Roman" w:cs="Times New Roman"/>
          <w:sz w:val="24"/>
          <w:szCs w:val="24"/>
        </w:rPr>
        <w:t>in-depth interview</w:t>
      </w:r>
      <w:r w:rsidR="006A28D4">
        <w:rPr>
          <w:rFonts w:ascii="Times New Roman" w:hAnsi="Times New Roman" w:cs="Times New Roman"/>
          <w:sz w:val="24"/>
          <w:szCs w:val="24"/>
        </w:rPr>
        <w:t xml:space="preserve"> (IDI)</w:t>
      </w:r>
      <w:r w:rsidR="00266845">
        <w:rPr>
          <w:rFonts w:ascii="Times New Roman" w:hAnsi="Times New Roman" w:cs="Times New Roman"/>
          <w:sz w:val="24"/>
          <w:szCs w:val="24"/>
        </w:rPr>
        <w:t xml:space="preserve"> respondents</w:t>
      </w:r>
      <w:r w:rsidRPr="00EE2E99">
        <w:rPr>
          <w:rFonts w:ascii="Times New Roman" w:hAnsi="Times New Roman" w:cs="Times New Roman"/>
          <w:sz w:val="24"/>
          <w:szCs w:val="24"/>
        </w:rPr>
        <w:t>. Research consistently shows that monetary incentives increase response rates. Incentives also reduce survey non-response bias without compromising data quality.</w:t>
      </w:r>
      <w:r>
        <w:rPr>
          <w:rFonts w:ascii="Times New Roman" w:hAnsi="Times New Roman" w:cs="Times New Roman"/>
          <w:sz w:val="24"/>
          <w:szCs w:val="24"/>
          <w:vertAlign w:val="superscript"/>
        </w:rPr>
        <w:footnoteReference w:id="3"/>
      </w:r>
      <w:r w:rsidRPr="00EE2E99">
        <w:rPr>
          <w:rFonts w:ascii="Times New Roman" w:hAnsi="Times New Roman" w:cs="Times New Roman"/>
          <w:sz w:val="24"/>
          <w:szCs w:val="24"/>
          <w:vertAlign w:val="superscript"/>
        </w:rPr>
        <w:t>,</w:t>
      </w:r>
      <w:r>
        <w:rPr>
          <w:rFonts w:ascii="Times New Roman" w:hAnsi="Times New Roman" w:cs="Times New Roman"/>
          <w:sz w:val="24"/>
          <w:szCs w:val="24"/>
          <w:vertAlign w:val="superscript"/>
        </w:rPr>
        <w:footnoteReference w:id="4"/>
      </w:r>
      <w:r w:rsidRPr="00EE2E99">
        <w:rPr>
          <w:rFonts w:ascii="Times New Roman" w:hAnsi="Times New Roman" w:cs="Times New Roman"/>
          <w:sz w:val="24"/>
          <w:szCs w:val="24"/>
          <w:vertAlign w:val="superscript"/>
        </w:rPr>
        <w:t>,</w:t>
      </w:r>
      <w:r>
        <w:rPr>
          <w:rFonts w:ascii="Times New Roman" w:hAnsi="Times New Roman" w:cs="Times New Roman"/>
          <w:sz w:val="24"/>
          <w:szCs w:val="24"/>
          <w:vertAlign w:val="superscript"/>
        </w:rPr>
        <w:footnoteReference w:id="5"/>
      </w:r>
      <w:r w:rsidRPr="00EE2E99">
        <w:rPr>
          <w:rFonts w:ascii="Times New Roman" w:hAnsi="Times New Roman" w:cs="Times New Roman"/>
          <w:sz w:val="24"/>
          <w:szCs w:val="24"/>
          <w:vertAlign w:val="superscript"/>
        </w:rPr>
        <w:t xml:space="preserve"> </w:t>
      </w:r>
      <w:r w:rsidRPr="00EE2E99">
        <w:rPr>
          <w:rFonts w:ascii="Times New Roman" w:hAnsi="Times New Roman" w:cs="Times New Roman"/>
          <w:sz w:val="24"/>
          <w:szCs w:val="24"/>
        </w:rPr>
        <w:t xml:space="preserve">Post-pay incentives encourage participants to stay engaged with the survey </w:t>
      </w:r>
      <w:r w:rsidR="00CC77F1">
        <w:rPr>
          <w:rFonts w:ascii="Times New Roman" w:hAnsi="Times New Roman" w:cs="Times New Roman"/>
          <w:sz w:val="24"/>
          <w:szCs w:val="24"/>
        </w:rPr>
        <w:t xml:space="preserve">or data collection activity </w:t>
      </w:r>
      <w:r w:rsidRPr="00EE2E99">
        <w:rPr>
          <w:rFonts w:ascii="Times New Roman" w:hAnsi="Times New Roman" w:cs="Times New Roman"/>
          <w:sz w:val="24"/>
          <w:szCs w:val="24"/>
        </w:rPr>
        <w:t xml:space="preserve">until they have completed </w:t>
      </w:r>
      <w:r w:rsidR="003F0CAF">
        <w:rPr>
          <w:rFonts w:ascii="Times New Roman" w:hAnsi="Times New Roman" w:cs="Times New Roman"/>
          <w:sz w:val="24"/>
          <w:szCs w:val="24"/>
        </w:rPr>
        <w:t>it</w:t>
      </w:r>
      <w:r w:rsidRPr="00EE2E99">
        <w:rPr>
          <w:rFonts w:ascii="Times New Roman" w:hAnsi="Times New Roman" w:cs="Times New Roman"/>
          <w:sz w:val="24"/>
          <w:szCs w:val="24"/>
        </w:rPr>
        <w:t xml:space="preserve"> and help offset expenses and time associated with </w:t>
      </w:r>
      <w:r w:rsidR="00CC77F1">
        <w:rPr>
          <w:rFonts w:ascii="Times New Roman" w:hAnsi="Times New Roman" w:cs="Times New Roman"/>
          <w:sz w:val="24"/>
          <w:szCs w:val="24"/>
        </w:rPr>
        <w:t>participation</w:t>
      </w:r>
      <w:r w:rsidRPr="00EE2E99">
        <w:rPr>
          <w:rFonts w:ascii="Times New Roman" w:hAnsi="Times New Roman" w:cs="Times New Roman"/>
          <w:sz w:val="24"/>
          <w:szCs w:val="24"/>
        </w:rPr>
        <w:t>. Below, we describe the literature that motivated the proposed post-paid incentive approach</w:t>
      </w:r>
      <w:r w:rsidR="006A28D4">
        <w:rPr>
          <w:rFonts w:ascii="Times New Roman" w:hAnsi="Times New Roman" w:cs="Times New Roman"/>
          <w:sz w:val="24"/>
          <w:szCs w:val="24"/>
        </w:rPr>
        <w:t xml:space="preserve"> for the survey and the focus group and IDIs</w:t>
      </w:r>
      <w:r w:rsidRPr="00EE2E99">
        <w:rPr>
          <w:rFonts w:ascii="Times New Roman" w:hAnsi="Times New Roman" w:cs="Times New Roman"/>
          <w:sz w:val="24"/>
          <w:szCs w:val="24"/>
        </w:rPr>
        <w:t>.</w:t>
      </w:r>
    </w:p>
    <w:p w:rsidR="00EE2E99" w:rsidRPr="00EE2E99" w:rsidP="00EE2E99" w14:paraId="704EF66E" w14:textId="53675EC6">
      <w:pPr>
        <w:spacing w:line="480" w:lineRule="auto"/>
        <w:ind w:firstLine="720"/>
        <w:rPr>
          <w:rFonts w:ascii="Times New Roman" w:hAnsi="Times New Roman" w:cs="Times New Roman"/>
          <w:b/>
          <w:bCs/>
          <w:i/>
          <w:iCs/>
          <w:sz w:val="24"/>
          <w:szCs w:val="24"/>
        </w:rPr>
      </w:pPr>
      <w:r w:rsidRPr="00EE2E99">
        <w:rPr>
          <w:rFonts w:ascii="Times New Roman" w:hAnsi="Times New Roman" w:cs="Times New Roman"/>
          <w:sz w:val="24"/>
          <w:szCs w:val="24"/>
        </w:rPr>
        <w:t>Research indicates that offering monetary incentives both improves response rates and mitigates nonresponse bias across different respondent populations, particularly among low-income respondents, those residing in rural areas, and those receiving federal nutrition assistance benefits.</w:t>
      </w:r>
      <w:r w:rsidRPr="00EE2E99">
        <w:rPr>
          <w:rFonts w:ascii="Times New Roman" w:hAnsi="Times New Roman" w:cs="Times New Roman"/>
          <w:sz w:val="24"/>
          <w:szCs w:val="24"/>
          <w:vertAlign w:val="superscript"/>
        </w:rPr>
        <w:t>2,</w:t>
      </w:r>
      <w:r>
        <w:rPr>
          <w:rFonts w:ascii="Times New Roman" w:hAnsi="Times New Roman" w:cs="Times New Roman"/>
          <w:sz w:val="24"/>
          <w:szCs w:val="24"/>
          <w:vertAlign w:val="superscript"/>
        </w:rPr>
        <w:footnoteReference w:id="6"/>
      </w:r>
      <w:r w:rsidRPr="00EE2E99">
        <w:rPr>
          <w:rFonts w:ascii="Times New Roman" w:hAnsi="Times New Roman" w:cs="Times New Roman"/>
          <w:sz w:val="24"/>
          <w:szCs w:val="24"/>
        </w:rPr>
        <w:t xml:space="preserve"> On the Project LAUNCH Cross-Site Evaluation (OMB number 0970-0373, expired October 31, 2019), the study initially did not offer </w:t>
      </w:r>
      <w:r>
        <w:rPr>
          <w:rFonts w:ascii="Times New Roman" w:hAnsi="Times New Roman" w:cs="Times New Roman"/>
          <w:sz w:val="24"/>
          <w:szCs w:val="24"/>
        </w:rPr>
        <w:t>an incentive</w:t>
      </w:r>
      <w:r w:rsidRPr="00EE2E99">
        <w:rPr>
          <w:rFonts w:ascii="Times New Roman" w:hAnsi="Times New Roman" w:cs="Times New Roman"/>
          <w:sz w:val="24"/>
          <w:szCs w:val="24"/>
        </w:rPr>
        <w:t xml:space="preserve"> to parents invited to complete a web-based survey. The team found that these early respondents were not representative of their communities. Specifically, minorities, individuals with lower incomes and education levels, and those who worked part-time or were unemployed were underrepresented. After </w:t>
      </w:r>
      <w:r>
        <w:rPr>
          <w:rFonts w:ascii="Times New Roman" w:hAnsi="Times New Roman" w:cs="Times New Roman"/>
          <w:sz w:val="24"/>
          <w:szCs w:val="24"/>
        </w:rPr>
        <w:t>introducing</w:t>
      </w:r>
      <w:r w:rsidRPr="00EE2E99">
        <w:rPr>
          <w:rFonts w:ascii="Times New Roman" w:hAnsi="Times New Roman" w:cs="Times New Roman"/>
          <w:sz w:val="24"/>
          <w:szCs w:val="24"/>
        </w:rPr>
        <w:t xml:space="preserve"> a $25 post-pay </w:t>
      </w:r>
      <w:r>
        <w:rPr>
          <w:rFonts w:ascii="Times New Roman" w:hAnsi="Times New Roman" w:cs="Times New Roman"/>
          <w:sz w:val="24"/>
          <w:szCs w:val="24"/>
        </w:rPr>
        <w:t>incentive</w:t>
      </w:r>
      <w:r w:rsidRPr="00EE2E99">
        <w:rPr>
          <w:rFonts w:ascii="Times New Roman" w:hAnsi="Times New Roman" w:cs="Times New Roman"/>
          <w:sz w:val="24"/>
          <w:szCs w:val="24"/>
        </w:rPr>
        <w:t>, the study saw increased completion rates and sample representativeness.</w:t>
      </w:r>
      <w:r>
        <w:rPr>
          <w:rFonts w:ascii="Times New Roman" w:hAnsi="Times New Roman" w:cs="Times New Roman"/>
          <w:sz w:val="24"/>
          <w:szCs w:val="24"/>
          <w:vertAlign w:val="superscript"/>
        </w:rPr>
        <w:footnoteReference w:id="7"/>
      </w:r>
    </w:p>
    <w:p w:rsidR="00EE2E99" w:rsidRPr="00EE2E99" w:rsidP="00EE2E99" w14:paraId="2050D598" w14:textId="3FABB8F5">
      <w:pPr>
        <w:spacing w:line="480" w:lineRule="auto"/>
        <w:ind w:firstLine="720"/>
        <w:rPr>
          <w:rFonts w:ascii="Times New Roman" w:hAnsi="Times New Roman" w:cs="Times New Roman"/>
          <w:sz w:val="24"/>
          <w:szCs w:val="24"/>
        </w:rPr>
      </w:pPr>
      <w:r w:rsidRPr="00EE2E99">
        <w:rPr>
          <w:rFonts w:ascii="Times New Roman" w:hAnsi="Times New Roman" w:cs="Times New Roman"/>
          <w:sz w:val="24"/>
          <w:szCs w:val="24"/>
        </w:rPr>
        <w:t xml:space="preserve">Research has also shown a positive relationship between higher incentives and increased survey response rates. A meta-analysis by Singer et al. found response rates increased by approximately one-third </w:t>
      </w:r>
      <w:r w:rsidR="0050405B">
        <w:rPr>
          <w:rFonts w:ascii="Times New Roman" w:hAnsi="Times New Roman" w:cs="Times New Roman"/>
          <w:sz w:val="24"/>
          <w:szCs w:val="24"/>
        </w:rPr>
        <w:t xml:space="preserve">of </w:t>
      </w:r>
      <w:r w:rsidRPr="00EE2E99">
        <w:rPr>
          <w:rFonts w:ascii="Times New Roman" w:hAnsi="Times New Roman" w:cs="Times New Roman"/>
          <w:sz w:val="24"/>
          <w:szCs w:val="24"/>
        </w:rPr>
        <w:t>a percentage point, on average, with every one dollar increase in incentive amount.</w:t>
      </w:r>
      <w:r w:rsidRPr="00EE2E99">
        <w:rPr>
          <w:rFonts w:ascii="Times New Roman" w:hAnsi="Times New Roman" w:cs="Times New Roman"/>
          <w:sz w:val="24"/>
          <w:szCs w:val="24"/>
          <w:vertAlign w:val="superscript"/>
        </w:rPr>
        <w:t>2</w:t>
      </w:r>
      <w:r w:rsidRPr="00EE2E99">
        <w:rPr>
          <w:rFonts w:ascii="Times New Roman" w:hAnsi="Times New Roman" w:cs="Times New Roman"/>
          <w:sz w:val="24"/>
          <w:szCs w:val="24"/>
        </w:rPr>
        <w:t xml:space="preserve"> Experiments conducted by the U.S. Census Bureau with the Survey of Income and Program Participation (SIPP) in 2014 compared the effects of $10, $20, and $40 post-pay incentives on survey response. A $40 post-pay incentive increased response rates by 3.0% compared to the $0 control group, while a $20 incentive increased response rates by 1.1%.</w:t>
      </w:r>
      <w:r>
        <w:rPr>
          <w:rFonts w:ascii="Times New Roman" w:hAnsi="Times New Roman" w:cs="Times New Roman"/>
          <w:sz w:val="24"/>
          <w:szCs w:val="24"/>
          <w:vertAlign w:val="superscript"/>
        </w:rPr>
        <w:footnoteReference w:id="8"/>
      </w:r>
      <w:r w:rsidRPr="00EE2E99">
        <w:rPr>
          <w:rFonts w:ascii="Times New Roman" w:hAnsi="Times New Roman" w:cs="Times New Roman"/>
          <w:sz w:val="24"/>
          <w:szCs w:val="24"/>
        </w:rPr>
        <w:t xml:space="preserve"> The $40 incentive also increased response rates among subgroups of low</w:t>
      </w:r>
      <w:r w:rsidR="0050405B">
        <w:rPr>
          <w:rFonts w:ascii="Times New Roman" w:hAnsi="Times New Roman" w:cs="Times New Roman"/>
          <w:sz w:val="24"/>
          <w:szCs w:val="24"/>
        </w:rPr>
        <w:t>-</w:t>
      </w:r>
      <w:r w:rsidRPr="00EE2E99">
        <w:rPr>
          <w:rFonts w:ascii="Times New Roman" w:hAnsi="Times New Roman" w:cs="Times New Roman"/>
          <w:sz w:val="24"/>
          <w:szCs w:val="24"/>
        </w:rPr>
        <w:t xml:space="preserve">income respondents. </w:t>
      </w:r>
    </w:p>
    <w:p w:rsidR="00EE2E99" w:rsidRPr="00EE2E99" w:rsidP="00EE2E99" w14:paraId="581EF6F8" w14:textId="0B537152">
      <w:pPr>
        <w:spacing w:line="480" w:lineRule="auto"/>
        <w:ind w:firstLine="720"/>
        <w:rPr>
          <w:rFonts w:ascii="Times New Roman" w:hAnsi="Times New Roman" w:cs="Times New Roman"/>
          <w:sz w:val="24"/>
          <w:szCs w:val="24"/>
        </w:rPr>
      </w:pPr>
      <w:r w:rsidRPr="00EE2E99">
        <w:rPr>
          <w:rFonts w:ascii="Times New Roman" w:hAnsi="Times New Roman" w:cs="Times New Roman"/>
          <w:sz w:val="24"/>
          <w:szCs w:val="24"/>
        </w:rPr>
        <w:t>While higher incentives are associated with higher response rates, research suggests that the marginal increase in response rate eventually decreases as incentive amounts increase. A meta-analysis by Mercer et al</w:t>
      </w:r>
      <w:r w:rsidR="0050405B">
        <w:rPr>
          <w:rFonts w:ascii="Times New Roman" w:hAnsi="Times New Roman" w:cs="Times New Roman"/>
          <w:sz w:val="24"/>
          <w:szCs w:val="24"/>
        </w:rPr>
        <w:t>.</w:t>
      </w:r>
      <w:r w:rsidRPr="00EE2E99">
        <w:rPr>
          <w:rFonts w:ascii="Times New Roman" w:hAnsi="Times New Roman" w:cs="Times New Roman"/>
          <w:sz w:val="24"/>
          <w:szCs w:val="24"/>
        </w:rPr>
        <w:t xml:space="preserve"> saw improvements to response rates in telephone administered surveys up to an incentive amount of $30.</w:t>
      </w:r>
      <w:r>
        <w:rPr>
          <w:rFonts w:ascii="Times New Roman" w:hAnsi="Times New Roman" w:cs="Times New Roman"/>
          <w:sz w:val="24"/>
          <w:szCs w:val="24"/>
          <w:vertAlign w:val="superscript"/>
        </w:rPr>
        <w:footnoteReference w:id="9"/>
      </w:r>
      <w:r w:rsidRPr="00EE2E99">
        <w:rPr>
          <w:rFonts w:ascii="Times New Roman" w:hAnsi="Times New Roman" w:cs="Times New Roman"/>
          <w:sz w:val="24"/>
          <w:szCs w:val="24"/>
        </w:rPr>
        <w:t xml:space="preserve"> Offering higher incentives may still result in increased </w:t>
      </w:r>
      <w:r w:rsidR="00FE62C6">
        <w:rPr>
          <w:rFonts w:ascii="Times New Roman" w:hAnsi="Times New Roman" w:cs="Times New Roman"/>
          <w:sz w:val="24"/>
          <w:szCs w:val="24"/>
        </w:rPr>
        <w:t xml:space="preserve">survey </w:t>
      </w:r>
      <w:r w:rsidRPr="00EE2E99">
        <w:rPr>
          <w:rFonts w:ascii="Times New Roman" w:hAnsi="Times New Roman" w:cs="Times New Roman"/>
          <w:sz w:val="24"/>
          <w:szCs w:val="24"/>
        </w:rPr>
        <w:t>response rates, but at a larger cost</w:t>
      </w:r>
      <w:r w:rsidR="00E80BCD">
        <w:rPr>
          <w:rFonts w:ascii="Times New Roman" w:hAnsi="Times New Roman" w:cs="Times New Roman"/>
          <w:sz w:val="24"/>
          <w:szCs w:val="24"/>
        </w:rPr>
        <w:t xml:space="preserve"> with less benefit</w:t>
      </w:r>
      <w:r w:rsidRPr="00EE2E99">
        <w:rPr>
          <w:rFonts w:ascii="Times New Roman" w:hAnsi="Times New Roman" w:cs="Times New Roman"/>
          <w:sz w:val="24"/>
          <w:szCs w:val="24"/>
        </w:rPr>
        <w:t>. This same meta-analysis concluded that while survey burden had a negative effect on overall response rate, survey burden did not significantly impact the relationship between incentive amount and response rate, a finding also noted by Singer et al.</w:t>
      </w:r>
      <w:r w:rsidRPr="00EE2E99">
        <w:rPr>
          <w:rFonts w:ascii="Times New Roman" w:hAnsi="Times New Roman" w:cs="Times New Roman"/>
          <w:sz w:val="24"/>
          <w:szCs w:val="24"/>
          <w:vertAlign w:val="superscript"/>
        </w:rPr>
        <w:t xml:space="preserve">2 </w:t>
      </w:r>
      <w:r w:rsidRPr="00EE2E99">
        <w:rPr>
          <w:rFonts w:ascii="Times New Roman" w:hAnsi="Times New Roman" w:cs="Times New Roman"/>
          <w:sz w:val="24"/>
          <w:szCs w:val="24"/>
        </w:rPr>
        <w:t>This finding suggests that</w:t>
      </w:r>
      <w:r w:rsidR="008E28AC">
        <w:rPr>
          <w:rFonts w:ascii="Times New Roman" w:hAnsi="Times New Roman" w:cs="Times New Roman"/>
          <w:sz w:val="24"/>
          <w:szCs w:val="24"/>
        </w:rPr>
        <w:t xml:space="preserve"> survey</w:t>
      </w:r>
      <w:r w:rsidRPr="00EE2E99">
        <w:rPr>
          <w:rFonts w:ascii="Times New Roman" w:hAnsi="Times New Roman" w:cs="Times New Roman"/>
          <w:sz w:val="24"/>
          <w:szCs w:val="24"/>
        </w:rPr>
        <w:t xml:space="preserve"> incentive effectiveness is more strongly associated with factors like survey mode and population rather than survey burden. </w:t>
      </w:r>
    </w:p>
    <w:p w:rsidR="006A28D4" w:rsidP="00EE2E99" w14:paraId="78D71882" w14:textId="2B7BFBF4">
      <w:pPr>
        <w:spacing w:line="480" w:lineRule="auto"/>
        <w:ind w:firstLine="720"/>
        <w:rPr>
          <w:rFonts w:ascii="Times New Roman" w:hAnsi="Times New Roman" w:cs="Times New Roman"/>
          <w:sz w:val="24"/>
          <w:szCs w:val="24"/>
        </w:rPr>
      </w:pPr>
      <w:r w:rsidRPr="00EE2E99">
        <w:rPr>
          <w:rFonts w:ascii="Times New Roman" w:hAnsi="Times New Roman" w:cs="Times New Roman"/>
          <w:sz w:val="24"/>
          <w:szCs w:val="24"/>
        </w:rPr>
        <w:t>FNS proposes to provide participant survey respondents with a $30 Visa gift card as a post-incentive upon completion of the survey. We expect $30 to be a cost</w:t>
      </w:r>
      <w:r w:rsidR="003919E5">
        <w:rPr>
          <w:rFonts w:ascii="Times New Roman" w:hAnsi="Times New Roman" w:cs="Times New Roman"/>
          <w:sz w:val="24"/>
          <w:szCs w:val="24"/>
        </w:rPr>
        <w:t>-</w:t>
      </w:r>
      <w:r w:rsidRPr="00EE2E99">
        <w:rPr>
          <w:rFonts w:ascii="Times New Roman" w:hAnsi="Times New Roman" w:cs="Times New Roman"/>
          <w:sz w:val="24"/>
          <w:szCs w:val="24"/>
        </w:rPr>
        <w:t xml:space="preserve">effective way to </w:t>
      </w:r>
      <w:r w:rsidRPr="00EE2E99">
        <w:rPr>
          <w:rFonts w:ascii="Times New Roman" w:hAnsi="Times New Roman" w:cs="Times New Roman"/>
          <w:sz w:val="24"/>
          <w:szCs w:val="24"/>
        </w:rPr>
        <w:t>reduce survey nonresponse bias and increase response rates among our population of SNAP participants.</w:t>
      </w:r>
      <w:r w:rsidR="004C560A">
        <w:rPr>
          <w:rFonts w:ascii="Times New Roman" w:hAnsi="Times New Roman" w:cs="Times New Roman"/>
          <w:sz w:val="24"/>
          <w:szCs w:val="24"/>
        </w:rPr>
        <w:t xml:space="preserve"> In order to improve representativeness and response rate, and minimize the cost of replacing “no-show” respondents, </w:t>
      </w:r>
      <w:r>
        <w:rPr>
          <w:rFonts w:ascii="Times New Roman" w:hAnsi="Times New Roman" w:cs="Times New Roman"/>
          <w:sz w:val="24"/>
          <w:szCs w:val="24"/>
        </w:rPr>
        <w:t xml:space="preserve">FNS plans to offer a $50 Visa gift card for the </w:t>
      </w:r>
      <w:r w:rsidR="00FE62C6">
        <w:rPr>
          <w:rFonts w:ascii="Times New Roman" w:hAnsi="Times New Roman" w:cs="Times New Roman"/>
          <w:sz w:val="24"/>
          <w:szCs w:val="24"/>
        </w:rPr>
        <w:t xml:space="preserve">90-minute focus group and IDIs. </w:t>
      </w:r>
      <w:r w:rsidR="004C560A">
        <w:rPr>
          <w:rFonts w:ascii="Times New Roman" w:hAnsi="Times New Roman" w:cs="Times New Roman"/>
          <w:sz w:val="24"/>
          <w:szCs w:val="24"/>
        </w:rPr>
        <w:t xml:space="preserve">Given the greater burden placed on respondents for these qualitative </w:t>
      </w:r>
      <w:r w:rsidR="00F742F0">
        <w:rPr>
          <w:rFonts w:ascii="Times New Roman" w:hAnsi="Times New Roman" w:cs="Times New Roman"/>
          <w:sz w:val="24"/>
          <w:szCs w:val="24"/>
        </w:rPr>
        <w:t>data collection activities</w:t>
      </w:r>
      <w:r w:rsidR="004C560A">
        <w:rPr>
          <w:rFonts w:ascii="Times New Roman" w:hAnsi="Times New Roman" w:cs="Times New Roman"/>
          <w:sz w:val="24"/>
          <w:szCs w:val="24"/>
        </w:rPr>
        <w:t>, a larger incentive is</w:t>
      </w:r>
      <w:r w:rsidR="00133777">
        <w:rPr>
          <w:rFonts w:ascii="Times New Roman" w:hAnsi="Times New Roman" w:cs="Times New Roman"/>
          <w:sz w:val="24"/>
          <w:szCs w:val="24"/>
        </w:rPr>
        <w:t xml:space="preserve"> necessary to obtain </w:t>
      </w:r>
      <w:r w:rsidR="00F742F0">
        <w:rPr>
          <w:rFonts w:ascii="Times New Roman" w:hAnsi="Times New Roman" w:cs="Times New Roman"/>
          <w:sz w:val="24"/>
          <w:szCs w:val="24"/>
        </w:rPr>
        <w:t>information</w:t>
      </w:r>
      <w:r w:rsidR="00133777">
        <w:rPr>
          <w:rFonts w:ascii="Times New Roman" w:hAnsi="Times New Roman" w:cs="Times New Roman"/>
          <w:sz w:val="24"/>
          <w:szCs w:val="24"/>
        </w:rPr>
        <w:t xml:space="preserve"> from a diverse set of respondents</w:t>
      </w:r>
      <w:r w:rsidR="004C560A">
        <w:rPr>
          <w:rFonts w:ascii="Times New Roman" w:hAnsi="Times New Roman" w:cs="Times New Roman"/>
          <w:sz w:val="24"/>
          <w:szCs w:val="24"/>
        </w:rPr>
        <w:t>.</w:t>
      </w:r>
      <w:r w:rsidR="00133777">
        <w:rPr>
          <w:rFonts w:ascii="Times New Roman" w:hAnsi="Times New Roman" w:cs="Times New Roman"/>
          <w:sz w:val="24"/>
          <w:szCs w:val="24"/>
        </w:rPr>
        <w:t xml:space="preserve"> The $50</w:t>
      </w:r>
      <w:r w:rsidRPr="00FE62C6" w:rsidR="00FE62C6">
        <w:rPr>
          <w:rFonts w:ascii="Times New Roman" w:hAnsi="Times New Roman" w:cs="Times New Roman"/>
          <w:sz w:val="24"/>
          <w:szCs w:val="24"/>
        </w:rPr>
        <w:t xml:space="preserve"> amount is consistent with the literature</w:t>
      </w:r>
      <w:r>
        <w:rPr>
          <w:rStyle w:val="FootnoteReference"/>
          <w:rFonts w:cs="Times New Roman"/>
          <w:szCs w:val="24"/>
        </w:rPr>
        <w:footnoteReference w:id="10"/>
      </w:r>
      <w:r w:rsidRPr="00FE62C6" w:rsidR="00FE62C6">
        <w:rPr>
          <w:rFonts w:ascii="Times New Roman" w:hAnsi="Times New Roman" w:cs="Times New Roman"/>
          <w:sz w:val="24"/>
          <w:szCs w:val="24"/>
        </w:rPr>
        <w:t xml:space="preserve"> as well as other OMB-approved information collections</w:t>
      </w:r>
      <w:r w:rsidR="00FE62C6">
        <w:rPr>
          <w:rFonts w:ascii="Times New Roman" w:hAnsi="Times New Roman" w:cs="Times New Roman"/>
          <w:sz w:val="24"/>
          <w:szCs w:val="24"/>
        </w:rPr>
        <w:t xml:space="preserve">. </w:t>
      </w:r>
      <w:r w:rsidR="00963CB5">
        <w:rPr>
          <w:rFonts w:ascii="Times New Roman" w:hAnsi="Times New Roman" w:cs="Times New Roman"/>
          <w:sz w:val="24"/>
          <w:szCs w:val="24"/>
        </w:rPr>
        <w:t xml:space="preserve">Together, this incentive strategy aims to increase sample representativeness and </w:t>
      </w:r>
      <w:r w:rsidRPr="00EE2E99" w:rsidR="00963CB5">
        <w:rPr>
          <w:rFonts w:ascii="Times New Roman" w:hAnsi="Times New Roman" w:cs="Times New Roman"/>
          <w:sz w:val="24"/>
          <w:szCs w:val="24"/>
        </w:rPr>
        <w:t xml:space="preserve">help offset expenses and time associated with </w:t>
      </w:r>
      <w:r w:rsidR="00963CB5">
        <w:rPr>
          <w:rFonts w:ascii="Times New Roman" w:hAnsi="Times New Roman" w:cs="Times New Roman"/>
          <w:sz w:val="24"/>
          <w:szCs w:val="24"/>
        </w:rPr>
        <w:t xml:space="preserve">participation in data collection activities. </w:t>
      </w:r>
    </w:p>
    <w:sectPr w:rsidSect="00B43735">
      <w:headerReference w:type="default" r:id="rId11"/>
      <w:footerReference w:type="default" r:id="rId12"/>
      <w:headerReference w:type="first" r:id="rId13"/>
      <w:footerReference w:type="first" r:id="rId14"/>
      <w:pgSz w:w="12240" w:h="15840"/>
      <w:pgMar w:top="1440" w:right="1440" w:bottom="1440" w:left="1440" w:header="432"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6AD1" w14:paraId="281BB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6007389"/>
      <w:docPartObj>
        <w:docPartGallery w:val="Page Numbers (Bottom of Page)"/>
        <w:docPartUnique/>
      </w:docPartObj>
    </w:sdtPr>
    <w:sdtContent>
      <w:p w:rsidR="001D5131" w:rsidP="00EF3507" w14:paraId="3969CB2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131" w:rsidP="00F642FA" w14:paraId="60441F8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E2E99" w:rsidP="00EE2E99" w14:paraId="61B2E898" w14:textId="77777777">
      <w:pPr>
        <w:spacing w:after="0" w:line="240" w:lineRule="auto"/>
      </w:pPr>
      <w:r>
        <w:separator/>
      </w:r>
    </w:p>
  </w:footnote>
  <w:footnote w:type="continuationSeparator" w:id="1">
    <w:p w:rsidR="00EE2E99" w:rsidP="00EE2E99" w14:paraId="52C2D6D4" w14:textId="77777777">
      <w:pPr>
        <w:spacing w:after="0" w:line="240" w:lineRule="auto"/>
      </w:pPr>
      <w:r>
        <w:continuationSeparator/>
      </w:r>
    </w:p>
  </w:footnote>
  <w:footnote w:type="continuationNotice" w:id="2">
    <w:p w:rsidR="006C6AD1" w14:paraId="18B884BD" w14:textId="77777777">
      <w:pPr>
        <w:spacing w:after="0" w:line="240" w:lineRule="auto"/>
      </w:pPr>
    </w:p>
  </w:footnote>
  <w:footnote w:id="3">
    <w:p w:rsidR="00EE2E99" w:rsidRPr="00EE2E99" w:rsidP="00EE2E99" w14:paraId="7E2E05D4" w14:textId="77777777">
      <w:pPr>
        <w:pStyle w:val="Bibliography"/>
        <w:spacing w:after="0" w:line="240" w:lineRule="auto"/>
        <w:contextualSpacing/>
        <w:rPr>
          <w:rFonts w:ascii="Times New Roman" w:hAnsi="Times New Roman" w:cs="Times New Roman"/>
          <w:sz w:val="18"/>
          <w:szCs w:val="18"/>
        </w:rPr>
      </w:pPr>
      <w:r w:rsidRPr="00EE2E99">
        <w:rPr>
          <w:rStyle w:val="FootnoteReference"/>
          <w:rFonts w:cs="Times New Roman"/>
          <w:sz w:val="18"/>
          <w:szCs w:val="18"/>
        </w:rPr>
        <w:footnoteRef/>
      </w:r>
      <w:r w:rsidRPr="00EE2E99">
        <w:rPr>
          <w:rFonts w:ascii="Times New Roman" w:hAnsi="Times New Roman" w:cs="Times New Roman"/>
          <w:sz w:val="18"/>
          <w:szCs w:val="18"/>
        </w:rPr>
        <w:t xml:space="preserve"> Singer E, Ye C. The use and effects of incentives in surveys. The ANNALS of the American Academy of Political and Social Science. 2013;645(1):112–41. </w:t>
      </w:r>
    </w:p>
  </w:footnote>
  <w:footnote w:id="4">
    <w:p w:rsidR="00EE2E99" w:rsidRPr="00EE2E99" w:rsidP="00EE2E99" w14:paraId="46A29FE2" w14:textId="77777777">
      <w:pPr>
        <w:pStyle w:val="FootnoteText"/>
        <w:rPr>
          <w:rFonts w:ascii="Times New Roman" w:hAnsi="Times New Roman" w:cs="Times New Roman"/>
          <w:sz w:val="18"/>
          <w:szCs w:val="18"/>
        </w:rPr>
      </w:pPr>
      <w:r w:rsidRPr="00EE2E99">
        <w:rPr>
          <w:rStyle w:val="FootnoteReference"/>
          <w:rFonts w:cs="Times New Roman"/>
          <w:sz w:val="18"/>
          <w:szCs w:val="18"/>
        </w:rPr>
        <w:footnoteRef/>
      </w:r>
      <w:r w:rsidRPr="00EE2E99">
        <w:rPr>
          <w:rFonts w:ascii="Times New Roman" w:hAnsi="Times New Roman" w:cs="Times New Roman"/>
          <w:sz w:val="18"/>
          <w:szCs w:val="18"/>
        </w:rPr>
        <w:t xml:space="preserve"> Singer, Eleanor, et al. "The effect of incentives on response rates in interviewer-mediated surveys." Journal of official statistics 15.2 (1999): 217.</w:t>
      </w:r>
    </w:p>
  </w:footnote>
  <w:footnote w:id="5">
    <w:p w:rsidR="00EE2E99" w:rsidRPr="00EE2E99" w:rsidP="00EE2E99" w14:paraId="67DC8355" w14:textId="77777777">
      <w:pPr>
        <w:pStyle w:val="FootnoteText"/>
        <w:rPr>
          <w:rFonts w:ascii="Times New Roman" w:hAnsi="Times New Roman" w:cs="Times New Roman"/>
          <w:sz w:val="18"/>
          <w:szCs w:val="18"/>
        </w:rPr>
      </w:pPr>
      <w:r w:rsidRPr="00EE2E99">
        <w:rPr>
          <w:rStyle w:val="FootnoteReference"/>
          <w:rFonts w:cs="Times New Roman"/>
          <w:sz w:val="18"/>
          <w:szCs w:val="18"/>
        </w:rPr>
        <w:footnoteRef/>
      </w:r>
      <w:r w:rsidRPr="00EE2E99">
        <w:rPr>
          <w:rFonts w:ascii="Times New Roman" w:hAnsi="Times New Roman" w:cs="Times New Roman"/>
          <w:sz w:val="18"/>
          <w:szCs w:val="18"/>
        </w:rPr>
        <w:t xml:space="preserve"> Singer, E., and R.A. Kulka. “Paying Respondents for Survey Participation.” In Studies of Welfare Populations: Data Collection and Research Issues. Panel on Data and Methods for Measuring the Effects of Changes in Social Welfare Programs, edited by Michele Ver Ploeg, Robert A. Moffitt, and Constance F. Citro. Committee on National Statistics, Division of Behavioral and Social Sciences and Education. Washington, DC: National Academy Press, 2002, pp. 105–128.</w:t>
      </w:r>
    </w:p>
  </w:footnote>
  <w:footnote w:id="6">
    <w:p w:rsidR="00EE2E99" w:rsidRPr="00EE2E99" w:rsidP="00EE2E99" w14:paraId="11A732BE" w14:textId="77777777">
      <w:pPr>
        <w:pStyle w:val="FootnoteText"/>
        <w:rPr>
          <w:rFonts w:ascii="Times New Roman" w:hAnsi="Times New Roman" w:cs="Times New Roman"/>
        </w:rPr>
      </w:pPr>
      <w:r w:rsidRPr="00EE2E99">
        <w:rPr>
          <w:rStyle w:val="FootnoteReference"/>
          <w:rFonts w:cs="Times New Roman"/>
          <w:sz w:val="18"/>
          <w:szCs w:val="18"/>
        </w:rPr>
        <w:footnoteRef/>
      </w:r>
      <w:r w:rsidRPr="00EE2E99">
        <w:rPr>
          <w:rFonts w:ascii="Times New Roman" w:hAnsi="Times New Roman" w:cs="Times New Roman"/>
          <w:sz w:val="18"/>
          <w:szCs w:val="18"/>
        </w:rPr>
        <w:t xml:space="preserve"> Bonevski, Billie, et al. "Reaching the hard-to-reach: a systematic review of strategies for improving health and medical research with socially disadvantaged groups." BMC medical research methodology 14.1 (2014): 1-29.</w:t>
      </w:r>
    </w:p>
  </w:footnote>
  <w:footnote w:id="7">
    <w:p w:rsidR="00EE2E99" w:rsidRPr="00EE2E99" w:rsidP="00EE2E99" w14:paraId="565254DA" w14:textId="468FA222">
      <w:pPr>
        <w:spacing w:after="0"/>
        <w:rPr>
          <w:rFonts w:ascii="Times New Roman" w:hAnsi="Times New Roman" w:cs="Times New Roman"/>
          <w:sz w:val="18"/>
          <w:szCs w:val="18"/>
        </w:rPr>
      </w:pPr>
      <w:r w:rsidRPr="00EE2E99">
        <w:rPr>
          <w:rStyle w:val="FootnoteReference"/>
          <w:rFonts w:cs="Times New Roman"/>
          <w:sz w:val="18"/>
          <w:szCs w:val="18"/>
        </w:rPr>
        <w:footnoteRef/>
      </w:r>
      <w:r w:rsidRPr="00EE2E99">
        <w:rPr>
          <w:rFonts w:ascii="Times New Roman" w:hAnsi="Times New Roman" w:cs="Times New Roman"/>
          <w:sz w:val="18"/>
          <w:szCs w:val="18"/>
        </w:rPr>
        <w:t xml:space="preserve"> L</w:t>
      </w:r>
      <w:r w:rsidR="00F648BC">
        <w:rPr>
          <w:rFonts w:ascii="Times New Roman" w:hAnsi="Times New Roman" w:cs="Times New Roman"/>
          <w:sz w:val="18"/>
          <w:szCs w:val="18"/>
        </w:rPr>
        <w:t>eF</w:t>
      </w:r>
      <w:r w:rsidRPr="00EE2E99">
        <w:rPr>
          <w:rFonts w:ascii="Times New Roman" w:hAnsi="Times New Roman" w:cs="Times New Roman"/>
          <w:sz w:val="18"/>
          <w:szCs w:val="18"/>
        </w:rPr>
        <w:t>auve, K., K. Rowan, K. Koepp, and G. Lawrence. “Effect of Incentives on Reducing Response Bias in a Web Survey of Parents.” Presented at the American Association of Public Opinion Research Annual Conference, Denver, CO, May 16–19, 2018.</w:t>
      </w:r>
    </w:p>
  </w:footnote>
  <w:footnote w:id="8">
    <w:p w:rsidR="00EE2E99" w:rsidRPr="006A45F8" w:rsidP="00EE2E99" w14:paraId="2F8E0105" w14:textId="77777777">
      <w:pPr>
        <w:pStyle w:val="FootnoteText"/>
        <w:rPr>
          <w:sz w:val="18"/>
          <w:szCs w:val="18"/>
        </w:rPr>
      </w:pPr>
      <w:r w:rsidRPr="00EE2E99">
        <w:rPr>
          <w:rStyle w:val="FootnoteReference"/>
          <w:rFonts w:cs="Times New Roman"/>
        </w:rPr>
        <w:footnoteRef/>
      </w:r>
      <w:r w:rsidRPr="00EE2E99">
        <w:rPr>
          <w:rFonts w:ascii="Times New Roman" w:hAnsi="Times New Roman" w:cs="Times New Roman"/>
        </w:rPr>
        <w:t xml:space="preserve"> </w:t>
      </w:r>
      <w:r w:rsidRPr="00EE2E99">
        <w:rPr>
          <w:rFonts w:ascii="Times New Roman" w:hAnsi="Times New Roman" w:cs="Times New Roman"/>
          <w:sz w:val="18"/>
          <w:szCs w:val="18"/>
        </w:rPr>
        <w:t xml:space="preserve">Westra, Ashley, Mahdi Sundukchi, and Tracy Mattingly. "Designing a multipurpose longitudinal incentives experiment for the Survey of Income and Program Participation." Proceedings of the 2015 Federal Committee on Statistical Methodology (FCSM) Research Conference, available at </w:t>
      </w:r>
      <w:hyperlink r:id="rId1" w:history="1">
        <w:r w:rsidRPr="00EE2E99">
          <w:rPr>
            <w:rStyle w:val="Hyperlink"/>
            <w:rFonts w:ascii="Times New Roman" w:hAnsi="Times New Roman" w:cs="Times New Roman"/>
            <w:sz w:val="18"/>
            <w:szCs w:val="18"/>
          </w:rPr>
          <w:t>https://www.reginfo.gov/public/do/DownloadDocument?objectID=77072601</w:t>
        </w:r>
      </w:hyperlink>
      <w:r w:rsidRPr="00EE2E99">
        <w:rPr>
          <w:rFonts w:ascii="Times New Roman" w:hAnsi="Times New Roman" w:cs="Times New Roman"/>
          <w:sz w:val="18"/>
          <w:szCs w:val="18"/>
        </w:rPr>
        <w:t xml:space="preserve"> (last accessed June 9, 2022). 2015.</w:t>
      </w:r>
    </w:p>
  </w:footnote>
  <w:footnote w:id="9">
    <w:p w:rsidR="00EE2E99" w:rsidRPr="00EE2E99" w:rsidP="00EE2E99" w14:paraId="75C9DDC7" w14:textId="77777777">
      <w:pPr>
        <w:pStyle w:val="FootnoteText"/>
        <w:rPr>
          <w:rFonts w:ascii="Times New Roman" w:hAnsi="Times New Roman" w:cs="Times New Roman"/>
        </w:rPr>
      </w:pPr>
      <w:r w:rsidRPr="00EE2E99">
        <w:rPr>
          <w:rFonts w:ascii="Times New Roman" w:hAnsi="Times New Roman" w:cs="Times New Roman"/>
          <w:sz w:val="18"/>
          <w:szCs w:val="18"/>
        </w:rPr>
        <w:footnoteRef/>
      </w:r>
      <w:r w:rsidRPr="00EE2E99">
        <w:rPr>
          <w:rFonts w:ascii="Times New Roman" w:hAnsi="Times New Roman" w:cs="Times New Roman"/>
          <w:sz w:val="18"/>
          <w:szCs w:val="18"/>
        </w:rPr>
        <w:t xml:space="preserve"> Mercer, Andrew, et al. "How much gets you how much? Monetary incentives and response rates in household surveys." Public Opinion Quarterly 79.1 (2015): 105-129.</w:t>
      </w:r>
    </w:p>
  </w:footnote>
  <w:footnote w:id="10">
    <w:p w:rsidR="00133777" w:rsidRPr="00133777" w14:paraId="34FC10A3" w14:textId="05B7EEA1">
      <w:pPr>
        <w:pStyle w:val="FootnoteText"/>
        <w:rPr>
          <w:rFonts w:ascii="Times New Roman" w:hAnsi="Times New Roman" w:cs="Times New Roman"/>
          <w:sz w:val="18"/>
          <w:szCs w:val="18"/>
        </w:rPr>
      </w:pPr>
      <w:r>
        <w:rPr>
          <w:rStyle w:val="FootnoteReference"/>
        </w:rPr>
        <w:footnoteRef/>
      </w:r>
      <w:r>
        <w:t xml:space="preserve"> </w:t>
      </w:r>
      <w:r w:rsidRPr="00133777">
        <w:rPr>
          <w:rFonts w:ascii="Times New Roman" w:hAnsi="Times New Roman" w:cs="Times New Roman"/>
          <w:sz w:val="18"/>
          <w:szCs w:val="18"/>
        </w:rPr>
        <w:t>Krueger, Richard A. Focus groups: A practical guide for applied research. Sage publications,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6AD1" w14:paraId="361478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131" w:rsidRPr="00EE2E99" w:rsidP="00EE2E99" w14:paraId="3887EB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131" w:rsidP="00686275" w14:paraId="38951A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9437D7"/>
    <w:multiLevelType w:val="hybridMultilevel"/>
    <w:tmpl w:val="200E1F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7D5CD1"/>
    <w:multiLevelType w:val="hybridMultilevel"/>
    <w:tmpl w:val="ABD0C9CC"/>
    <w:lvl w:ilvl="0">
      <w:start w:val="3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0248FA"/>
    <w:multiLevelType w:val="hybridMultilevel"/>
    <w:tmpl w:val="38987D60"/>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15F9A"/>
    <w:rsid w:val="00016315"/>
    <w:rsid w:val="00016CC7"/>
    <w:rsid w:val="00020421"/>
    <w:rsid w:val="00020799"/>
    <w:rsid w:val="00021140"/>
    <w:rsid w:val="00037553"/>
    <w:rsid w:val="0007492F"/>
    <w:rsid w:val="00085447"/>
    <w:rsid w:val="0009413D"/>
    <w:rsid w:val="000A60DB"/>
    <w:rsid w:val="000B4DA4"/>
    <w:rsid w:val="001207C3"/>
    <w:rsid w:val="001249F0"/>
    <w:rsid w:val="00133777"/>
    <w:rsid w:val="0014514A"/>
    <w:rsid w:val="00147D83"/>
    <w:rsid w:val="001609B4"/>
    <w:rsid w:val="00174B52"/>
    <w:rsid w:val="001756B1"/>
    <w:rsid w:val="00183AC3"/>
    <w:rsid w:val="00196239"/>
    <w:rsid w:val="001A66BD"/>
    <w:rsid w:val="001D18F9"/>
    <w:rsid w:val="001D5131"/>
    <w:rsid w:val="001D76C8"/>
    <w:rsid w:val="001E783D"/>
    <w:rsid w:val="001F1DCC"/>
    <w:rsid w:val="001F3288"/>
    <w:rsid w:val="00210046"/>
    <w:rsid w:val="00220DED"/>
    <w:rsid w:val="00221CCE"/>
    <w:rsid w:val="00250680"/>
    <w:rsid w:val="00252680"/>
    <w:rsid w:val="00266845"/>
    <w:rsid w:val="00292507"/>
    <w:rsid w:val="002B2778"/>
    <w:rsid w:val="002C6202"/>
    <w:rsid w:val="002D1354"/>
    <w:rsid w:val="002E5A85"/>
    <w:rsid w:val="003019F1"/>
    <w:rsid w:val="00304F26"/>
    <w:rsid w:val="003068E5"/>
    <w:rsid w:val="003130AB"/>
    <w:rsid w:val="003211AF"/>
    <w:rsid w:val="00333913"/>
    <w:rsid w:val="003433D8"/>
    <w:rsid w:val="00355F92"/>
    <w:rsid w:val="0035604F"/>
    <w:rsid w:val="003919E5"/>
    <w:rsid w:val="003B1C0F"/>
    <w:rsid w:val="003B5A7E"/>
    <w:rsid w:val="003F0CAF"/>
    <w:rsid w:val="003F258E"/>
    <w:rsid w:val="00402913"/>
    <w:rsid w:val="00413520"/>
    <w:rsid w:val="00420E36"/>
    <w:rsid w:val="00422839"/>
    <w:rsid w:val="00456546"/>
    <w:rsid w:val="0046049B"/>
    <w:rsid w:val="00482007"/>
    <w:rsid w:val="004A307D"/>
    <w:rsid w:val="004A7AF2"/>
    <w:rsid w:val="004C3A13"/>
    <w:rsid w:val="004C560A"/>
    <w:rsid w:val="004D5A87"/>
    <w:rsid w:val="004F1923"/>
    <w:rsid w:val="0050342A"/>
    <w:rsid w:val="0050405B"/>
    <w:rsid w:val="00521AC9"/>
    <w:rsid w:val="005236D4"/>
    <w:rsid w:val="00537C14"/>
    <w:rsid w:val="0056373C"/>
    <w:rsid w:val="005726C0"/>
    <w:rsid w:val="00593017"/>
    <w:rsid w:val="005A2DFD"/>
    <w:rsid w:val="005B52A0"/>
    <w:rsid w:val="005B586E"/>
    <w:rsid w:val="005D5D2E"/>
    <w:rsid w:val="005E7AB4"/>
    <w:rsid w:val="005F1968"/>
    <w:rsid w:val="00606380"/>
    <w:rsid w:val="006120AC"/>
    <w:rsid w:val="00636F1C"/>
    <w:rsid w:val="0064539E"/>
    <w:rsid w:val="00665B44"/>
    <w:rsid w:val="00685575"/>
    <w:rsid w:val="00685F30"/>
    <w:rsid w:val="00686275"/>
    <w:rsid w:val="006A28D4"/>
    <w:rsid w:val="006A45F8"/>
    <w:rsid w:val="006B18CE"/>
    <w:rsid w:val="006C4928"/>
    <w:rsid w:val="006C6AD1"/>
    <w:rsid w:val="006F0C38"/>
    <w:rsid w:val="00707FF2"/>
    <w:rsid w:val="00713136"/>
    <w:rsid w:val="00714D04"/>
    <w:rsid w:val="007155FC"/>
    <w:rsid w:val="00731628"/>
    <w:rsid w:val="00733535"/>
    <w:rsid w:val="00743EE2"/>
    <w:rsid w:val="00762502"/>
    <w:rsid w:val="007664D4"/>
    <w:rsid w:val="00781C93"/>
    <w:rsid w:val="00783F68"/>
    <w:rsid w:val="00784D6D"/>
    <w:rsid w:val="007A6707"/>
    <w:rsid w:val="007B28F1"/>
    <w:rsid w:val="007B6809"/>
    <w:rsid w:val="007D236B"/>
    <w:rsid w:val="007D2844"/>
    <w:rsid w:val="00805610"/>
    <w:rsid w:val="008107CF"/>
    <w:rsid w:val="00854B55"/>
    <w:rsid w:val="00863A72"/>
    <w:rsid w:val="0086712B"/>
    <w:rsid w:val="00874DD3"/>
    <w:rsid w:val="008C6F90"/>
    <w:rsid w:val="008C7271"/>
    <w:rsid w:val="008D444D"/>
    <w:rsid w:val="008E0287"/>
    <w:rsid w:val="008E28AC"/>
    <w:rsid w:val="008E71A8"/>
    <w:rsid w:val="00932A81"/>
    <w:rsid w:val="00963CB5"/>
    <w:rsid w:val="0097127A"/>
    <w:rsid w:val="00974A5A"/>
    <w:rsid w:val="00981F01"/>
    <w:rsid w:val="009A2909"/>
    <w:rsid w:val="009A66E5"/>
    <w:rsid w:val="009B2686"/>
    <w:rsid w:val="009B302F"/>
    <w:rsid w:val="009C5F1D"/>
    <w:rsid w:val="009D4002"/>
    <w:rsid w:val="009E7304"/>
    <w:rsid w:val="009F7BF9"/>
    <w:rsid w:val="00A0688F"/>
    <w:rsid w:val="00A5411A"/>
    <w:rsid w:val="00A56197"/>
    <w:rsid w:val="00A61B8B"/>
    <w:rsid w:val="00A86B0C"/>
    <w:rsid w:val="00A90084"/>
    <w:rsid w:val="00A93572"/>
    <w:rsid w:val="00AC4E6A"/>
    <w:rsid w:val="00AD0205"/>
    <w:rsid w:val="00AE52CB"/>
    <w:rsid w:val="00B17B81"/>
    <w:rsid w:val="00B22EE3"/>
    <w:rsid w:val="00B56A4C"/>
    <w:rsid w:val="00B632E4"/>
    <w:rsid w:val="00B771CA"/>
    <w:rsid w:val="00B9239E"/>
    <w:rsid w:val="00B945D3"/>
    <w:rsid w:val="00B94CB7"/>
    <w:rsid w:val="00B9572D"/>
    <w:rsid w:val="00BA0BB8"/>
    <w:rsid w:val="00BA46AB"/>
    <w:rsid w:val="00BA7D54"/>
    <w:rsid w:val="00BB73AE"/>
    <w:rsid w:val="00BF764A"/>
    <w:rsid w:val="00C07055"/>
    <w:rsid w:val="00C304C2"/>
    <w:rsid w:val="00C95777"/>
    <w:rsid w:val="00CA4265"/>
    <w:rsid w:val="00CA463A"/>
    <w:rsid w:val="00CC77F1"/>
    <w:rsid w:val="00CD12C7"/>
    <w:rsid w:val="00D12159"/>
    <w:rsid w:val="00D22319"/>
    <w:rsid w:val="00D56701"/>
    <w:rsid w:val="00D81AA3"/>
    <w:rsid w:val="00D85BB6"/>
    <w:rsid w:val="00D94024"/>
    <w:rsid w:val="00D97907"/>
    <w:rsid w:val="00DA40B1"/>
    <w:rsid w:val="00DA412E"/>
    <w:rsid w:val="00DA59CA"/>
    <w:rsid w:val="00DD4372"/>
    <w:rsid w:val="00E13161"/>
    <w:rsid w:val="00E42436"/>
    <w:rsid w:val="00E474C1"/>
    <w:rsid w:val="00E633D0"/>
    <w:rsid w:val="00E64B60"/>
    <w:rsid w:val="00E66388"/>
    <w:rsid w:val="00E7072C"/>
    <w:rsid w:val="00E7211C"/>
    <w:rsid w:val="00E80BCD"/>
    <w:rsid w:val="00E81251"/>
    <w:rsid w:val="00E86CB0"/>
    <w:rsid w:val="00EA7050"/>
    <w:rsid w:val="00EC0B3B"/>
    <w:rsid w:val="00EC45B7"/>
    <w:rsid w:val="00EE0697"/>
    <w:rsid w:val="00EE0A7D"/>
    <w:rsid w:val="00EE2E99"/>
    <w:rsid w:val="00EF3507"/>
    <w:rsid w:val="00F1736A"/>
    <w:rsid w:val="00F225DA"/>
    <w:rsid w:val="00F3115A"/>
    <w:rsid w:val="00F3280D"/>
    <w:rsid w:val="00F36B2F"/>
    <w:rsid w:val="00F47FC2"/>
    <w:rsid w:val="00F642FA"/>
    <w:rsid w:val="00F648BC"/>
    <w:rsid w:val="00F6566E"/>
    <w:rsid w:val="00F742F0"/>
    <w:rsid w:val="00F84D94"/>
    <w:rsid w:val="00FA47E9"/>
    <w:rsid w:val="00FB1AAE"/>
    <w:rsid w:val="00FC2434"/>
    <w:rsid w:val="00FD266E"/>
    <w:rsid w:val="00FD3278"/>
    <w:rsid w:val="00FE62C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semiHidden/>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semiHidden/>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link w:val="ParagraphChar"/>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NormalWeb">
    <w:name w:val="Normal (Web)"/>
    <w:basedOn w:val="Normal"/>
    <w:uiPriority w:val="99"/>
    <w:unhideWhenUsed/>
    <w:rsid w:val="0033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Char">
    <w:name w:val="Paragraph Char"/>
    <w:basedOn w:val="DefaultParagraphFont"/>
    <w:link w:val="Paragraph"/>
    <w:rsid w:val="00CD12C7"/>
    <w:rPr>
      <w:rFonts w:eastAsia="Times New Roman" w:cs="Times New Roman"/>
      <w:sz w:val="24"/>
      <w:szCs w:val="20"/>
    </w:rPr>
  </w:style>
  <w:style w:type="paragraph" w:styleId="Bibliography">
    <w:name w:val="Bibliography"/>
    <w:basedOn w:val="Normal"/>
    <w:next w:val="Normal"/>
    <w:unhideWhenUsed/>
    <w:qFormat/>
    <w:rsid w:val="00EE2E99"/>
  </w:style>
  <w:style w:type="paragraph" w:styleId="Footer">
    <w:name w:val="footer"/>
    <w:basedOn w:val="Normal"/>
    <w:link w:val="FooterChar"/>
    <w:uiPriority w:val="99"/>
    <w:unhideWhenUsed/>
    <w:rsid w:val="00EE2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99"/>
  </w:style>
  <w:style w:type="paragraph" w:styleId="FootnoteText">
    <w:name w:val="footnote text"/>
    <w:basedOn w:val="Normal"/>
    <w:link w:val="FootnoteTextChar"/>
    <w:uiPriority w:val="99"/>
    <w:semiHidden/>
    <w:unhideWhenUsed/>
    <w:rsid w:val="00EE2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E99"/>
    <w:rPr>
      <w:sz w:val="20"/>
      <w:szCs w:val="20"/>
    </w:rPr>
  </w:style>
  <w:style w:type="paragraph" w:styleId="Header">
    <w:name w:val="header"/>
    <w:basedOn w:val="Normal"/>
    <w:link w:val="HeaderChar"/>
    <w:uiPriority w:val="99"/>
    <w:unhideWhenUsed/>
    <w:rsid w:val="00EE2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99"/>
  </w:style>
  <w:style w:type="character" w:styleId="FootnoteReference">
    <w:name w:val="footnote reference"/>
    <w:aliases w:val="*Footnote Reference"/>
    <w:basedOn w:val="DefaultParagraphFont"/>
    <w:uiPriority w:val="99"/>
    <w:qFormat/>
    <w:rsid w:val="00EE2E99"/>
    <w:rPr>
      <w:rFonts w:ascii="Times New Roman" w:hAnsi="Times New Roman"/>
      <w:color w:val="auto"/>
      <w:spacing w:val="0"/>
      <w:position w:val="0"/>
      <w:sz w:val="24"/>
      <w:u w:color="000080"/>
      <w:effect w:val="none"/>
      <w:vertAlign w:val="superscript"/>
    </w:rPr>
  </w:style>
  <w:style w:type="character" w:styleId="Hyperlink">
    <w:name w:val="Hyperlink"/>
    <w:basedOn w:val="DefaultParagraphFont"/>
    <w:uiPriority w:val="99"/>
    <w:unhideWhenUsed/>
    <w:rsid w:val="00EE2E99"/>
    <w:rPr>
      <w:color w:val="0000FF"/>
      <w:u w:val="single"/>
    </w:rPr>
  </w:style>
  <w:style w:type="character" w:customStyle="1" w:styleId="Heading1Char">
    <w:name w:val="Heading 1 Char"/>
    <w:basedOn w:val="DefaultParagraphFont"/>
    <w:link w:val="Heading1"/>
    <w:uiPriority w:val="9"/>
    <w:rsid w:val="006A28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28D4"/>
    <w:rPr>
      <w:rFonts w:asciiTheme="majorHAnsi" w:eastAsiaTheme="majorEastAsia" w:hAnsiTheme="majorHAnsi" w:cstheme="majorBidi"/>
      <w:color w:val="2F5496" w:themeColor="accent1" w:themeShade="BF"/>
      <w:sz w:val="26"/>
      <w:szCs w:val="26"/>
    </w:rPr>
  </w:style>
  <w:style w:type="paragraph" w:customStyle="1" w:styleId="Heading2NoTOC">
    <w:name w:val="Heading 2_No TOC"/>
    <w:basedOn w:val="Normal"/>
    <w:next w:val="NormalSS"/>
    <w:qFormat/>
    <w:rsid w:val="006A28D4"/>
    <w:pPr>
      <w:keepNext/>
      <w:spacing w:after="120" w:line="240" w:lineRule="auto"/>
      <w:ind w:left="432" w:hanging="432"/>
    </w:pPr>
    <w:rPr>
      <w:rFonts w:ascii="Arial Black" w:eastAsia="Times New Roman" w:hAnsi="Arial Black" w:cs="Times New Roman"/>
      <w:szCs w:val="20"/>
    </w:rPr>
  </w:style>
  <w:style w:type="paragraph" w:styleId="EndnoteText">
    <w:name w:val="endnote text"/>
    <w:basedOn w:val="Normal"/>
    <w:link w:val="EndnoteTextChar"/>
    <w:uiPriority w:val="99"/>
    <w:semiHidden/>
    <w:unhideWhenUsed/>
    <w:rsid w:val="00133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3777"/>
    <w:rPr>
      <w:sz w:val="20"/>
      <w:szCs w:val="20"/>
    </w:rPr>
  </w:style>
  <w:style w:type="character" w:styleId="EndnoteReference">
    <w:name w:val="endnote reference"/>
    <w:basedOn w:val="DefaultParagraphFont"/>
    <w:uiPriority w:val="99"/>
    <w:semiHidden/>
    <w:unhideWhenUsed/>
    <w:rsid w:val="001337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DownloadDocument?objectID=770726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customXml/itemProps3.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4.xml><?xml version="1.0" encoding="utf-8"?>
<ds:datastoreItem xmlns:ds="http://schemas.openxmlformats.org/officeDocument/2006/customXml" ds:itemID="{6A5BB76E-68FF-485A-B8B0-7B9983C13A9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87c70f9-ce00-4b4f-8430-823df24ad0b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Ismail, Mehreen - FNS</cp:lastModifiedBy>
  <cp:revision>3</cp:revision>
  <dcterms:created xsi:type="dcterms:W3CDTF">2022-09-02T18:27:00Z</dcterms:created>
  <dcterms:modified xsi:type="dcterms:W3CDTF">2022-09-02T18:31:00Z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