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B6DA6" w:rsidP="00B91258" w14:paraId="442BEA68" w14:textId="3579D3D7">
      <w:pPr>
        <w:framePr w:hSpace="180" w:wrap="auto" w:vAnchor="text" w:hAnchor="page" w:x="2161" w:y="-1004"/>
      </w:pPr>
    </w:p>
    <w:p w:rsidR="00C1509C" w:rsidRPr="006C282C" w:rsidP="00B91258" w14:paraId="442BEA6A" w14:textId="041ADADD">
      <w:pPr>
        <w:tabs>
          <w:tab w:val="left" w:pos="5760"/>
        </w:tabs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746760" cy="594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09C" w:rsidRPr="006C282C" w:rsidP="00290C51" w14:paraId="442BEA6C" w14:textId="1BEC9301">
      <w:pPr>
        <w:tabs>
          <w:tab w:val="left" w:pos="5760"/>
        </w:tabs>
        <w:jc w:val="right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585156">
        <w:rPr>
          <w:sz w:val="24"/>
          <w:szCs w:val="24"/>
        </w:rPr>
        <w:t xml:space="preserve"> 2</w:t>
      </w:r>
      <w:r w:rsidR="006456C7">
        <w:rPr>
          <w:sz w:val="24"/>
          <w:szCs w:val="24"/>
        </w:rPr>
        <w:t>023</w:t>
      </w:r>
    </w:p>
    <w:p w:rsidR="00C1509C" w:rsidP="00B91258" w14:paraId="442BEA6D" w14:textId="77777777">
      <w:pPr>
        <w:tabs>
          <w:tab w:val="left" w:pos="5760"/>
        </w:tabs>
        <w:rPr>
          <w:sz w:val="24"/>
          <w:szCs w:val="24"/>
        </w:rPr>
      </w:pPr>
    </w:p>
    <w:p w:rsidR="009D3606" w:rsidP="00B91258" w14:paraId="6E75D53C" w14:textId="77777777">
      <w:pPr>
        <w:rPr>
          <w:sz w:val="24"/>
          <w:szCs w:val="24"/>
        </w:rPr>
      </w:pPr>
    </w:p>
    <w:p w:rsidR="002C2E88" w:rsidRPr="0050442A" w:rsidP="00B91258" w14:paraId="442BEA6E" w14:textId="4EA52DC8">
      <w:pPr>
        <w:rPr>
          <w:sz w:val="24"/>
          <w:szCs w:val="24"/>
        </w:rPr>
      </w:pPr>
      <w:r w:rsidRPr="002C2E88">
        <w:rPr>
          <w:sz w:val="24"/>
          <w:szCs w:val="24"/>
        </w:rPr>
        <w:t>TO:</w:t>
      </w:r>
      <w:r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 w:rsidR="00F94EAB">
        <w:rPr>
          <w:sz w:val="24"/>
          <w:szCs w:val="24"/>
        </w:rPr>
        <w:tab/>
      </w:r>
      <w:r w:rsidRPr="0050442A" w:rsidR="00FB7AB2">
        <w:rPr>
          <w:sz w:val="24"/>
          <w:szCs w:val="24"/>
        </w:rPr>
        <w:t>Laurel Havas</w:t>
      </w:r>
      <w:r w:rsidRPr="0050442A" w:rsidR="00575027">
        <w:rPr>
          <w:sz w:val="24"/>
          <w:szCs w:val="24"/>
        </w:rPr>
        <w:t>, OMB Desk Officer</w:t>
      </w:r>
    </w:p>
    <w:p w:rsidR="00CD5D1E" w:rsidRPr="0050442A" w:rsidP="00B91258" w14:paraId="630919B8" w14:textId="4AC3B48C">
      <w:pPr>
        <w:rPr>
          <w:sz w:val="24"/>
          <w:szCs w:val="24"/>
        </w:rPr>
      </w:pPr>
      <w:r w:rsidRPr="0050442A">
        <w:rPr>
          <w:sz w:val="24"/>
          <w:szCs w:val="24"/>
        </w:rPr>
        <w:tab/>
      </w:r>
      <w:r w:rsidRPr="0050442A">
        <w:rPr>
          <w:sz w:val="24"/>
          <w:szCs w:val="24"/>
        </w:rPr>
        <w:tab/>
      </w:r>
      <w:r w:rsidRPr="0050442A" w:rsidR="00A52455">
        <w:rPr>
          <w:sz w:val="24"/>
          <w:szCs w:val="24"/>
        </w:rPr>
        <w:tab/>
      </w:r>
      <w:r w:rsidRPr="0050442A">
        <w:rPr>
          <w:sz w:val="24"/>
          <w:szCs w:val="24"/>
        </w:rPr>
        <w:t>Office of Information and Regulatory Affairs</w:t>
      </w:r>
    </w:p>
    <w:p w:rsidR="00CD5D1E" w:rsidRPr="002C2E88" w:rsidP="00B91258" w14:paraId="04642BD9" w14:textId="15BD9904">
      <w:pPr>
        <w:rPr>
          <w:sz w:val="24"/>
          <w:szCs w:val="24"/>
        </w:rPr>
      </w:pPr>
      <w:r w:rsidRPr="0050442A">
        <w:rPr>
          <w:sz w:val="24"/>
          <w:szCs w:val="24"/>
        </w:rPr>
        <w:tab/>
      </w:r>
      <w:r w:rsidRPr="0050442A">
        <w:rPr>
          <w:sz w:val="24"/>
          <w:szCs w:val="24"/>
        </w:rPr>
        <w:tab/>
      </w:r>
      <w:r w:rsidRPr="0050442A" w:rsidR="00A52455">
        <w:rPr>
          <w:sz w:val="24"/>
          <w:szCs w:val="24"/>
        </w:rPr>
        <w:tab/>
      </w:r>
      <w:r w:rsidRPr="0050442A">
        <w:rPr>
          <w:sz w:val="24"/>
          <w:szCs w:val="24"/>
        </w:rPr>
        <w:t>Office of Management and Budget</w:t>
      </w:r>
      <w:r w:rsidRPr="0050442A" w:rsidR="001853C0">
        <w:rPr>
          <w:sz w:val="24"/>
          <w:szCs w:val="24"/>
        </w:rPr>
        <w:t xml:space="preserve"> (OMB)</w:t>
      </w:r>
    </w:p>
    <w:p w:rsidR="002C2E88" w:rsidRPr="002C2E88" w:rsidP="00B91258" w14:paraId="442BEA70" w14:textId="77777777">
      <w:pPr>
        <w:rPr>
          <w:sz w:val="24"/>
          <w:szCs w:val="24"/>
        </w:rPr>
      </w:pPr>
    </w:p>
    <w:p w:rsidR="00575027" w:rsidP="00B91258" w14:paraId="2968E4C1" w14:textId="1A3E1311">
      <w:pPr>
        <w:rPr>
          <w:sz w:val="24"/>
          <w:szCs w:val="24"/>
        </w:rPr>
      </w:pPr>
      <w:r w:rsidRPr="002C2E88">
        <w:rPr>
          <w:sz w:val="24"/>
          <w:szCs w:val="24"/>
        </w:rPr>
        <w:t>T</w:t>
      </w:r>
      <w:r w:rsidR="00297327">
        <w:rPr>
          <w:sz w:val="24"/>
          <w:szCs w:val="24"/>
        </w:rPr>
        <w:t>H</w:t>
      </w:r>
      <w:r w:rsidRPr="002C2E88">
        <w:rPr>
          <w:sz w:val="24"/>
          <w:szCs w:val="24"/>
        </w:rPr>
        <w:t>ROUGH:</w:t>
      </w:r>
      <w:r w:rsidRPr="002C2E88">
        <w:rPr>
          <w:sz w:val="24"/>
          <w:szCs w:val="24"/>
        </w:rPr>
        <w:tab/>
      </w:r>
      <w:r w:rsidR="00F94EAB">
        <w:rPr>
          <w:sz w:val="24"/>
          <w:szCs w:val="24"/>
        </w:rPr>
        <w:tab/>
      </w:r>
      <w:r w:rsidR="00BB1E25">
        <w:rPr>
          <w:sz w:val="24"/>
          <w:szCs w:val="24"/>
        </w:rPr>
        <w:t>Jamia Franklin</w:t>
      </w:r>
      <w:r>
        <w:rPr>
          <w:sz w:val="24"/>
          <w:szCs w:val="24"/>
        </w:rPr>
        <w:t>, FNS Information Collection Officer</w:t>
      </w:r>
    </w:p>
    <w:p w:rsidR="00575027" w:rsidP="00B91258" w14:paraId="58698DFE" w14:textId="55436DE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>
        <w:rPr>
          <w:sz w:val="24"/>
          <w:szCs w:val="24"/>
        </w:rPr>
        <w:t>Planning and Regulatory Affairs</w:t>
      </w:r>
    </w:p>
    <w:p w:rsidR="00575027" w:rsidP="00B91258" w14:paraId="5DB07C88" w14:textId="15D7F9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>
        <w:rPr>
          <w:sz w:val="24"/>
          <w:szCs w:val="24"/>
        </w:rPr>
        <w:t>Food and Nutrition Service (FNS)</w:t>
      </w:r>
    </w:p>
    <w:p w:rsidR="001853C0" w:rsidP="00B91258" w14:paraId="199C5E15" w14:textId="1ED202B4">
      <w:pPr>
        <w:rPr>
          <w:sz w:val="24"/>
          <w:szCs w:val="24"/>
        </w:rPr>
      </w:pPr>
    </w:p>
    <w:p w:rsidR="001853C0" w:rsidRPr="0050442A" w:rsidP="00B91258" w14:paraId="79BE7A45" w14:textId="1E7F33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442A">
        <w:rPr>
          <w:sz w:val="24"/>
          <w:szCs w:val="24"/>
        </w:rPr>
        <w:t>Ruth Brown, OCIO Desk Officer</w:t>
      </w:r>
    </w:p>
    <w:p w:rsidR="001853C0" w:rsidRPr="0050442A" w:rsidP="00B91258" w14:paraId="10DAFCB9" w14:textId="3FC1FF97">
      <w:pPr>
        <w:rPr>
          <w:sz w:val="24"/>
          <w:szCs w:val="24"/>
        </w:rPr>
      </w:pPr>
      <w:r w:rsidRPr="0050442A">
        <w:rPr>
          <w:sz w:val="24"/>
          <w:szCs w:val="24"/>
        </w:rPr>
        <w:tab/>
      </w:r>
      <w:r w:rsidRPr="0050442A">
        <w:rPr>
          <w:sz w:val="24"/>
          <w:szCs w:val="24"/>
        </w:rPr>
        <w:tab/>
      </w:r>
      <w:r w:rsidRPr="0050442A">
        <w:rPr>
          <w:sz w:val="24"/>
          <w:szCs w:val="24"/>
        </w:rPr>
        <w:tab/>
        <w:t>Information Management Division</w:t>
      </w:r>
    </w:p>
    <w:p w:rsidR="001853C0" w:rsidP="00B91258" w14:paraId="107728DD" w14:textId="027F96A8">
      <w:pPr>
        <w:rPr>
          <w:sz w:val="24"/>
          <w:szCs w:val="24"/>
        </w:rPr>
      </w:pPr>
      <w:r w:rsidRPr="0050442A">
        <w:rPr>
          <w:sz w:val="24"/>
          <w:szCs w:val="24"/>
        </w:rPr>
        <w:tab/>
      </w:r>
      <w:r w:rsidRPr="0050442A">
        <w:rPr>
          <w:sz w:val="24"/>
          <w:szCs w:val="24"/>
        </w:rPr>
        <w:tab/>
      </w:r>
      <w:r w:rsidRPr="0050442A">
        <w:rPr>
          <w:sz w:val="24"/>
          <w:szCs w:val="24"/>
        </w:rPr>
        <w:tab/>
        <w:t>Office of the Chief Information Officer (OCIO)</w:t>
      </w:r>
    </w:p>
    <w:p w:rsidR="002C2E88" w:rsidRPr="002C2E88" w:rsidP="00B91258" w14:paraId="442BEA78" w14:textId="77777777">
      <w:pPr>
        <w:rPr>
          <w:sz w:val="24"/>
          <w:szCs w:val="24"/>
        </w:rPr>
      </w:pPr>
    </w:p>
    <w:p w:rsidR="003859F1" w:rsidRPr="00F417E3" w:rsidP="00B91258" w14:paraId="442BEA7A" w14:textId="072EA066">
      <w:pPr>
        <w:rPr>
          <w:sz w:val="24"/>
          <w:szCs w:val="24"/>
        </w:rPr>
      </w:pPr>
      <w:r w:rsidRPr="002C2E88">
        <w:rPr>
          <w:sz w:val="24"/>
          <w:szCs w:val="24"/>
        </w:rPr>
        <w:t>FROM:</w:t>
      </w:r>
      <w:r w:rsidRPr="002C2E88"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 w:rsidR="006456C7">
        <w:rPr>
          <w:sz w:val="24"/>
          <w:szCs w:val="24"/>
        </w:rPr>
        <w:t>Caroline Dunn</w:t>
      </w:r>
      <w:r w:rsidR="008C32CC">
        <w:rPr>
          <w:sz w:val="24"/>
          <w:szCs w:val="24"/>
        </w:rPr>
        <w:t xml:space="preserve">, </w:t>
      </w:r>
      <w:r w:rsidR="00D5529F">
        <w:rPr>
          <w:sz w:val="24"/>
          <w:szCs w:val="24"/>
        </w:rPr>
        <w:t xml:space="preserve">Senior </w:t>
      </w:r>
      <w:r w:rsidRPr="00F417E3" w:rsidR="00F417E3">
        <w:rPr>
          <w:sz w:val="24"/>
          <w:szCs w:val="24"/>
        </w:rPr>
        <w:t>Analyst</w:t>
      </w:r>
    </w:p>
    <w:p w:rsidR="002F0EA7" w:rsidP="00B91258" w14:paraId="442BEA7B" w14:textId="7A87A788">
      <w:pPr>
        <w:ind w:left="1440" w:hanging="1440"/>
        <w:rPr>
          <w:sz w:val="24"/>
        </w:rPr>
      </w:pPr>
      <w:r w:rsidRPr="00F417E3">
        <w:rPr>
          <w:sz w:val="24"/>
          <w:szCs w:val="24"/>
        </w:rPr>
        <w:tab/>
      </w:r>
      <w:r w:rsidR="00CD6B18">
        <w:rPr>
          <w:sz w:val="24"/>
          <w:szCs w:val="24"/>
        </w:rPr>
        <w:tab/>
      </w:r>
      <w:r w:rsidR="006456C7">
        <w:rPr>
          <w:sz w:val="24"/>
          <w:szCs w:val="24"/>
        </w:rPr>
        <w:t>Supplemental Nutrition and Safety</w:t>
      </w:r>
      <w:r w:rsidRPr="00F417E3" w:rsidR="00F417E3">
        <w:rPr>
          <w:sz w:val="24"/>
          <w:szCs w:val="24"/>
        </w:rPr>
        <w:t xml:space="preserve"> </w:t>
      </w:r>
      <w:r w:rsidR="00D5529F">
        <w:rPr>
          <w:sz w:val="24"/>
          <w:szCs w:val="24"/>
        </w:rPr>
        <w:t xml:space="preserve">Research and </w:t>
      </w:r>
      <w:r w:rsidR="006456C7">
        <w:rPr>
          <w:sz w:val="24"/>
          <w:szCs w:val="24"/>
        </w:rPr>
        <w:t>Analysis</w:t>
      </w:r>
      <w:r w:rsidRPr="00F417E3" w:rsidR="00F417E3">
        <w:rPr>
          <w:sz w:val="24"/>
          <w:szCs w:val="24"/>
        </w:rPr>
        <w:t xml:space="preserve"> </w:t>
      </w:r>
      <w:r w:rsidR="00D5529F">
        <w:rPr>
          <w:sz w:val="24"/>
        </w:rPr>
        <w:t>Division</w:t>
      </w:r>
      <w:r w:rsidR="00D5529F">
        <w:rPr>
          <w:sz w:val="24"/>
        </w:rPr>
        <w:tab/>
      </w:r>
    </w:p>
    <w:p w:rsidR="007D397A" w:rsidRPr="00F417E3" w:rsidP="00B91258" w14:paraId="2059BF6E" w14:textId="5843DDD2">
      <w:pPr>
        <w:ind w:left="1440" w:hanging="14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Office of Policy Support</w:t>
      </w:r>
    </w:p>
    <w:p w:rsidR="002F0EA7" w:rsidRPr="002F0EA7" w:rsidP="00B91258" w14:paraId="442BEA7C" w14:textId="3EA19835">
      <w:pPr>
        <w:ind w:left="1440" w:hanging="1440"/>
        <w:rPr>
          <w:sz w:val="24"/>
        </w:rPr>
      </w:pPr>
      <w:r w:rsidRPr="00F417E3">
        <w:rPr>
          <w:sz w:val="24"/>
        </w:rPr>
        <w:tab/>
      </w:r>
      <w:r w:rsidR="00CD6B18">
        <w:rPr>
          <w:sz w:val="24"/>
        </w:rPr>
        <w:tab/>
      </w:r>
      <w:r w:rsidRPr="00F417E3" w:rsidR="00F417E3">
        <w:rPr>
          <w:sz w:val="24"/>
        </w:rPr>
        <w:t>Food and Nutrition Service (FNS)</w:t>
      </w:r>
    </w:p>
    <w:p w:rsidR="002C2E88" w:rsidRPr="002C2E88" w:rsidP="00B91258" w14:paraId="442BEA7D" w14:textId="77777777">
      <w:pPr>
        <w:rPr>
          <w:sz w:val="24"/>
          <w:szCs w:val="24"/>
        </w:rPr>
      </w:pPr>
    </w:p>
    <w:p w:rsidR="00F5757F" w:rsidRPr="00EA3BC2" w:rsidP="00E1444F" w14:paraId="0BD54B4B" w14:textId="2D2E5466">
      <w:pPr>
        <w:ind w:left="2160" w:right="-144" w:hanging="2160"/>
        <w:rPr>
          <w:sz w:val="24"/>
          <w:szCs w:val="24"/>
        </w:rPr>
      </w:pPr>
      <w:r w:rsidRPr="002C2E88">
        <w:rPr>
          <w:sz w:val="24"/>
          <w:szCs w:val="24"/>
        </w:rPr>
        <w:t>SUBJECT</w:t>
      </w:r>
      <w:r w:rsidRPr="00F5757F">
        <w:rPr>
          <w:sz w:val="24"/>
          <w:szCs w:val="24"/>
        </w:rPr>
        <w:t xml:space="preserve">: </w:t>
      </w:r>
      <w:r w:rsidRPr="00F5757F">
        <w:rPr>
          <w:sz w:val="24"/>
          <w:szCs w:val="24"/>
        </w:rPr>
        <w:t xml:space="preserve"> </w:t>
      </w:r>
      <w:r w:rsidR="00CD6B18">
        <w:rPr>
          <w:sz w:val="24"/>
          <w:szCs w:val="24"/>
        </w:rPr>
        <w:tab/>
      </w:r>
      <w:r w:rsidRPr="00EA3BC2" w:rsidR="00DD51C2">
        <w:rPr>
          <w:sz w:val="24"/>
          <w:szCs w:val="24"/>
        </w:rPr>
        <w:t xml:space="preserve">Justification </w:t>
      </w:r>
      <w:r w:rsidRPr="00EA3BC2" w:rsidR="00575027">
        <w:rPr>
          <w:sz w:val="24"/>
          <w:szCs w:val="24"/>
        </w:rPr>
        <w:t xml:space="preserve">for </w:t>
      </w:r>
      <w:r w:rsidR="00854ED8">
        <w:rPr>
          <w:sz w:val="24"/>
          <w:szCs w:val="24"/>
        </w:rPr>
        <w:t>Non-Substantive Change</w:t>
      </w:r>
      <w:r w:rsidRPr="00EA3BC2" w:rsidR="00854ED8">
        <w:rPr>
          <w:sz w:val="24"/>
          <w:szCs w:val="24"/>
        </w:rPr>
        <w:t xml:space="preserve"> </w:t>
      </w:r>
      <w:r w:rsidRPr="00EA3BC2" w:rsidR="00575027">
        <w:rPr>
          <w:sz w:val="24"/>
          <w:szCs w:val="24"/>
        </w:rPr>
        <w:t>to OMB Control No:</w:t>
      </w:r>
      <w:r w:rsidR="00D5529F">
        <w:rPr>
          <w:sz w:val="24"/>
          <w:szCs w:val="24"/>
        </w:rPr>
        <w:t xml:space="preserve"> </w:t>
      </w:r>
      <w:r w:rsidRPr="006456C7" w:rsidR="006456C7">
        <w:rPr>
          <w:sz w:val="24"/>
          <w:szCs w:val="24"/>
        </w:rPr>
        <w:t>0584</w:t>
      </w:r>
      <w:r w:rsidR="006456C7">
        <w:rPr>
          <w:sz w:val="24"/>
          <w:szCs w:val="24"/>
        </w:rPr>
        <w:t>-</w:t>
      </w:r>
      <w:r w:rsidRPr="006456C7" w:rsidR="006456C7">
        <w:rPr>
          <w:sz w:val="24"/>
          <w:szCs w:val="24"/>
        </w:rPr>
        <w:t>0611</w:t>
      </w:r>
      <w:r w:rsidR="006456C7">
        <w:rPr>
          <w:sz w:val="24"/>
          <w:szCs w:val="24"/>
        </w:rPr>
        <w:t xml:space="preserve"> WIC CX Landscape Analysis</w:t>
      </w:r>
      <w:r w:rsidRPr="00EA3BC2" w:rsidR="001360F1">
        <w:rPr>
          <w:sz w:val="24"/>
          <w:szCs w:val="24"/>
        </w:rPr>
        <w:t xml:space="preserve"> </w:t>
      </w:r>
      <w:r w:rsidRPr="00EA3BC2" w:rsidR="003C5380">
        <w:rPr>
          <w:sz w:val="24"/>
          <w:szCs w:val="24"/>
        </w:rPr>
        <w:t xml:space="preserve">to </w:t>
      </w:r>
      <w:r w:rsidR="006456C7">
        <w:rPr>
          <w:sz w:val="24"/>
          <w:szCs w:val="24"/>
        </w:rPr>
        <w:t xml:space="preserve">adjust questions and slight increase in burden </w:t>
      </w:r>
    </w:p>
    <w:p w:rsidR="002C2E88" w:rsidRPr="00EA3BC2" w:rsidP="00B91258" w14:paraId="442BEA7F" w14:textId="5B43CAD5">
      <w:pPr>
        <w:rPr>
          <w:sz w:val="24"/>
          <w:szCs w:val="24"/>
        </w:rPr>
      </w:pPr>
    </w:p>
    <w:p w:rsidR="00E21AA3" w:rsidP="00E21AA3" w14:paraId="5C5E84E7" w14:textId="705DDECA">
      <w:pPr>
        <w:rPr>
          <w:sz w:val="24"/>
          <w:szCs w:val="24"/>
        </w:rPr>
      </w:pPr>
      <w:r w:rsidRPr="00E21AA3">
        <w:rPr>
          <w:sz w:val="24"/>
          <w:szCs w:val="24"/>
        </w:rPr>
        <w:t>FNS is requesting a</w:t>
      </w:r>
      <w:r w:rsidR="00854ED8">
        <w:rPr>
          <w:sz w:val="24"/>
          <w:szCs w:val="24"/>
        </w:rPr>
        <w:t xml:space="preserve"> non-substantive</w:t>
      </w:r>
      <w:r w:rsidRPr="00E21AA3">
        <w:rPr>
          <w:sz w:val="24"/>
          <w:szCs w:val="24"/>
        </w:rPr>
        <w:t xml:space="preserve"> change to the </w:t>
      </w:r>
      <w:r w:rsidR="00854ED8">
        <w:rPr>
          <w:sz w:val="24"/>
          <w:szCs w:val="24"/>
        </w:rPr>
        <w:t>previously approved collection</w:t>
      </w:r>
      <w:r w:rsidR="00AF1F38">
        <w:rPr>
          <w:sz w:val="24"/>
          <w:szCs w:val="24"/>
        </w:rPr>
        <w:t>,</w:t>
      </w:r>
      <w:r w:rsidR="00854ED8">
        <w:rPr>
          <w:sz w:val="24"/>
          <w:szCs w:val="24"/>
        </w:rPr>
        <w:t xml:space="preserve"> </w:t>
      </w:r>
      <w:r w:rsidR="006456C7">
        <w:rPr>
          <w:sz w:val="24"/>
          <w:szCs w:val="24"/>
        </w:rPr>
        <w:t>WIC CX (Customer Experience) Landscape Analysis</w:t>
      </w:r>
      <w:r w:rsidR="00617274">
        <w:rPr>
          <w:sz w:val="24"/>
          <w:szCs w:val="24"/>
        </w:rPr>
        <w:t xml:space="preserve"> </w:t>
      </w:r>
      <w:r w:rsidR="00220C1E">
        <w:rPr>
          <w:sz w:val="24"/>
          <w:szCs w:val="24"/>
        </w:rPr>
        <w:t>(</w:t>
      </w:r>
      <w:r w:rsidRPr="00E21AA3">
        <w:rPr>
          <w:sz w:val="24"/>
          <w:szCs w:val="24"/>
        </w:rPr>
        <w:t xml:space="preserve">OMB Control No. </w:t>
      </w:r>
      <w:r w:rsidRPr="006456C7" w:rsidR="006456C7">
        <w:rPr>
          <w:sz w:val="24"/>
          <w:szCs w:val="24"/>
        </w:rPr>
        <w:t>0584-0611</w:t>
      </w:r>
      <w:r w:rsidR="00220C1E">
        <w:rPr>
          <w:sz w:val="24"/>
          <w:szCs w:val="24"/>
        </w:rPr>
        <w:t xml:space="preserve">, exp. </w:t>
      </w:r>
      <w:r w:rsidR="006456C7">
        <w:rPr>
          <w:sz w:val="24"/>
          <w:szCs w:val="24"/>
        </w:rPr>
        <w:t>11/30/2025</w:t>
      </w:r>
      <w:r w:rsidR="00AF1F38">
        <w:rPr>
          <w:sz w:val="24"/>
          <w:szCs w:val="24"/>
        </w:rPr>
        <w:t>)</w:t>
      </w:r>
      <w:r w:rsidR="00220C1E">
        <w:rPr>
          <w:sz w:val="24"/>
          <w:szCs w:val="24"/>
        </w:rPr>
        <w:t>.</w:t>
      </w:r>
    </w:p>
    <w:p w:rsidR="00E21AA3" w:rsidP="00E21AA3" w14:paraId="52D26B18" w14:textId="2A0E54B9">
      <w:pPr>
        <w:rPr>
          <w:sz w:val="24"/>
          <w:szCs w:val="24"/>
        </w:rPr>
      </w:pPr>
    </w:p>
    <w:p w:rsidR="006456C7" w:rsidP="00E21AA3" w14:paraId="65B123CD" w14:textId="661F0656">
      <w:pPr>
        <w:rPr>
          <w:sz w:val="24"/>
          <w:szCs w:val="24"/>
        </w:rPr>
      </w:pPr>
      <w:r>
        <w:rPr>
          <w:sz w:val="24"/>
          <w:szCs w:val="24"/>
        </w:rPr>
        <w:t xml:space="preserve">The WIC CX Landscape Analysis will provide FNS with information about how WIC State agencies collect, assess, and use information about the WIC participant experience through a survey of WIC State agencies. The assessment seeks to identify from whom, when, how, and what information is being collected by WIC State agencies; how this information is assessed and used; and what additional assistance WIC State agencies may need to support CX information collection in the future. </w:t>
      </w:r>
    </w:p>
    <w:p w:rsidR="007369DC" w:rsidRPr="00AF1F38" w:rsidP="00E21AA3" w14:paraId="7A35A690" w14:textId="2B13D48C">
      <w:pPr>
        <w:rPr>
          <w:sz w:val="24"/>
          <w:szCs w:val="24"/>
        </w:rPr>
      </w:pPr>
    </w:p>
    <w:p w:rsidR="00742F58" w:rsidP="00F255F9" w14:paraId="001F0CC0" w14:textId="77777777">
      <w:pPr>
        <w:rPr>
          <w:sz w:val="24"/>
          <w:szCs w:val="24"/>
        </w:rPr>
      </w:pPr>
      <w:r>
        <w:rPr>
          <w:sz w:val="24"/>
          <w:szCs w:val="24"/>
        </w:rPr>
        <w:t>The change</w:t>
      </w:r>
      <w:r w:rsidR="006456C7">
        <w:rPr>
          <w:sz w:val="24"/>
          <w:szCs w:val="24"/>
        </w:rPr>
        <w:t>s are needed to provide additional clarity</w:t>
      </w:r>
      <w:r>
        <w:rPr>
          <w:sz w:val="24"/>
          <w:szCs w:val="24"/>
        </w:rPr>
        <w:t xml:space="preserve"> </w:t>
      </w:r>
      <w:r w:rsidR="006456C7">
        <w:rPr>
          <w:sz w:val="24"/>
          <w:szCs w:val="24"/>
        </w:rPr>
        <w:t>in the questions,</w:t>
      </w:r>
      <w:r>
        <w:rPr>
          <w:sz w:val="24"/>
          <w:szCs w:val="24"/>
        </w:rPr>
        <w:t xml:space="preserve"> so that we can fully assess </w:t>
      </w:r>
      <w:r w:rsidR="004637AE">
        <w:rPr>
          <w:sz w:val="24"/>
          <w:szCs w:val="24"/>
        </w:rPr>
        <w:t>how State agencies are collecting information related to that included in</w:t>
      </w:r>
      <w:r w:rsidRPr="004637AE" w:rsidR="004637AE">
        <w:rPr>
          <w:sz w:val="24"/>
          <w:szCs w:val="24"/>
        </w:rPr>
        <w:t xml:space="preserve"> </w:t>
      </w:r>
      <w:hyperlink r:id="rId9" w:history="1">
        <w:r w:rsidRPr="004637AE" w:rsidR="004637AE">
          <w:rPr>
            <w:rStyle w:val="Hyperlink"/>
            <w:sz w:val="24"/>
            <w:szCs w:val="24"/>
          </w:rPr>
          <w:t>Sec. 280 of OMB 2022 A-11 on customer experience efforts</w:t>
        </w:r>
      </w:hyperlink>
      <w:r w:rsidR="004637AE">
        <w:rPr>
          <w:sz w:val="24"/>
          <w:szCs w:val="24"/>
        </w:rPr>
        <w:t>. The edits below do not substantially change the information collecte</w:t>
      </w:r>
      <w:r w:rsidR="00E71A33">
        <w:rPr>
          <w:sz w:val="24"/>
          <w:szCs w:val="24"/>
        </w:rPr>
        <w:t>d</w:t>
      </w:r>
      <w:r>
        <w:rPr>
          <w:sz w:val="24"/>
          <w:szCs w:val="24"/>
        </w:rPr>
        <w:t>, rather focused on reorganizing questions to improve the flow of the survey and updating response options for clarity and to reduce cognitive load</w:t>
      </w:r>
      <w:r w:rsidR="00E71A33">
        <w:rPr>
          <w:sz w:val="24"/>
          <w:szCs w:val="24"/>
        </w:rPr>
        <w:t>. FNS has reviewed the information collection and is making efforts to simplify response options</w:t>
      </w:r>
      <w:r>
        <w:rPr>
          <w:sz w:val="24"/>
          <w:szCs w:val="24"/>
        </w:rPr>
        <w:t xml:space="preserve">. Below are specific details related to the organization of the survey and the wording of questions: </w:t>
      </w:r>
    </w:p>
    <w:p w:rsidR="00395E65" w:rsidP="00F255F9" w14:paraId="535A3B54" w14:textId="77777777">
      <w:pPr>
        <w:rPr>
          <w:sz w:val="24"/>
          <w:szCs w:val="24"/>
        </w:rPr>
      </w:pPr>
    </w:p>
    <w:p w:rsidR="00395E65" w:rsidP="00F255F9" w14:paraId="1379C3D9" w14:textId="77777777">
      <w:pPr>
        <w:rPr>
          <w:sz w:val="24"/>
          <w:szCs w:val="24"/>
        </w:rPr>
      </w:pPr>
    </w:p>
    <w:p w:rsidR="00395E65" w:rsidP="00F255F9" w14:paraId="0EF3A665" w14:textId="77777777">
      <w:pPr>
        <w:rPr>
          <w:sz w:val="24"/>
          <w:szCs w:val="24"/>
        </w:rPr>
        <w:sectPr w:rsidSect="00395E65">
          <w:pgSz w:w="12240" w:h="15840" w:code="1"/>
          <w:pgMar w:top="1440" w:right="1440" w:bottom="1440" w:left="1440" w:header="720" w:footer="144" w:gutter="0"/>
          <w:cols w:space="720"/>
          <w:docGrid w:linePitch="272"/>
        </w:sectPr>
      </w:pPr>
    </w:p>
    <w:p w:rsidR="00395E65" w:rsidP="00F255F9" w14:paraId="5EA22F0B" w14:textId="77777777">
      <w:pPr>
        <w:rPr>
          <w:sz w:val="24"/>
          <w:szCs w:val="24"/>
        </w:rPr>
      </w:pPr>
    </w:p>
    <w:p w:rsidR="00742F58" w:rsidP="00F255F9" w14:paraId="1958E3BF" w14:textId="77777777">
      <w:pPr>
        <w:rPr>
          <w:sz w:val="24"/>
          <w:szCs w:val="24"/>
        </w:rPr>
      </w:pPr>
    </w:p>
    <w:p w:rsidR="006456C7" w:rsidRPr="00BF0C74" w:rsidP="00BF0C74" w14:paraId="7AB09667" w14:textId="1A763CE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F0C74">
        <w:rPr>
          <w:sz w:val="24"/>
          <w:szCs w:val="24"/>
        </w:rPr>
        <w:t xml:space="preserve">USDA updated contact information in the updated introduction (track changes screenshot below): </w:t>
      </w:r>
      <w:r w:rsidRPr="00BF0C74" w:rsidR="00E71A33">
        <w:rPr>
          <w:sz w:val="24"/>
          <w:szCs w:val="24"/>
        </w:rPr>
        <w:t xml:space="preserve"> </w:t>
      </w:r>
    </w:p>
    <w:p w:rsidR="00742F58" w:rsidP="00F255F9" w14:paraId="5B0E0857" w14:textId="77777777">
      <w:pPr>
        <w:rPr>
          <w:sz w:val="24"/>
          <w:szCs w:val="24"/>
        </w:rPr>
      </w:pPr>
    </w:p>
    <w:p w:rsidR="00742F58" w:rsidP="00F255F9" w14:paraId="1CD329B6" w14:textId="23CD2D2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233797" cy="2311400"/>
            <wp:effectExtent l="0" t="0" r="0" b="0"/>
            <wp:docPr id="17876252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625209" name="Picture 1787625209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7441" cy="23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8B6" w:rsidP="00F255F9" w14:paraId="1A5B5D0C" w14:textId="77777777">
      <w:pPr>
        <w:rPr>
          <w:sz w:val="24"/>
          <w:szCs w:val="24"/>
        </w:rPr>
      </w:pPr>
    </w:p>
    <w:p w:rsidR="001078B6" w:rsidRPr="001078B6" w:rsidP="001078B6" w14:paraId="7D916E00" w14:textId="0C7CE3B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078B6">
        <w:rPr>
          <w:sz w:val="24"/>
          <w:szCs w:val="24"/>
        </w:rPr>
        <w:t xml:space="preserve">USDA </w:t>
      </w:r>
      <w:r w:rsidR="00395E65">
        <w:rPr>
          <w:sz w:val="24"/>
          <w:szCs w:val="24"/>
        </w:rPr>
        <w:t xml:space="preserve">simplified </w:t>
      </w:r>
      <w:r w:rsidRPr="001078B6">
        <w:rPr>
          <w:sz w:val="24"/>
          <w:szCs w:val="24"/>
        </w:rPr>
        <w:t>question</w:t>
      </w:r>
      <w:r w:rsidR="00395E65">
        <w:rPr>
          <w:sz w:val="24"/>
          <w:szCs w:val="24"/>
        </w:rPr>
        <w:t xml:space="preserve"> 3</w:t>
      </w:r>
      <w:r w:rsidRPr="001078B6">
        <w:rPr>
          <w:sz w:val="24"/>
          <w:szCs w:val="24"/>
        </w:rPr>
        <w:t xml:space="preserve"> response</w:t>
      </w:r>
      <w:r w:rsidR="00395E65">
        <w:rPr>
          <w:sz w:val="24"/>
          <w:szCs w:val="24"/>
        </w:rPr>
        <w:t xml:space="preserve"> options</w:t>
      </w:r>
      <w:r w:rsidRPr="001078B6">
        <w:rPr>
          <w:sz w:val="24"/>
          <w:szCs w:val="24"/>
        </w:rPr>
        <w:t xml:space="preserve"> from open ended to a yes/no selection: </w:t>
      </w:r>
    </w:p>
    <w:p w:rsidR="001078B6" w:rsidP="001078B6" w14:paraId="4F36039D" w14:textId="77777777">
      <w:pPr>
        <w:rPr>
          <w:sz w:val="24"/>
          <w:szCs w:val="24"/>
        </w:rPr>
      </w:pPr>
    </w:p>
    <w:p w:rsidR="001078B6" w:rsidP="001078B6" w14:paraId="66358390" w14:textId="7777777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1591310"/>
            <wp:effectExtent l="0" t="0" r="0" b="8890"/>
            <wp:docPr id="2008417193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417193" name="Picture 2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8B6" w:rsidP="00F255F9" w14:paraId="22E31B0C" w14:textId="77777777">
      <w:pPr>
        <w:rPr>
          <w:sz w:val="24"/>
          <w:szCs w:val="24"/>
        </w:rPr>
      </w:pPr>
    </w:p>
    <w:p w:rsidR="00D92D3F" w:rsidRPr="00BF0C74" w:rsidP="001E1DC6" w14:paraId="03F4901A" w14:textId="4C34E66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F0C74">
        <w:rPr>
          <w:sz w:val="24"/>
          <w:szCs w:val="24"/>
        </w:rPr>
        <w:t>USDA has updated the question order</w:t>
      </w:r>
      <w:r w:rsidR="00A43122">
        <w:rPr>
          <w:sz w:val="24"/>
          <w:szCs w:val="24"/>
        </w:rPr>
        <w:t xml:space="preserve"> and made minor, </w:t>
      </w:r>
      <w:r w:rsidR="001078B6">
        <w:rPr>
          <w:sz w:val="24"/>
          <w:szCs w:val="24"/>
        </w:rPr>
        <w:t>non-substantive</w:t>
      </w:r>
      <w:r w:rsidR="00A43122">
        <w:rPr>
          <w:sz w:val="24"/>
          <w:szCs w:val="24"/>
        </w:rPr>
        <w:t xml:space="preserve">, updates to </w:t>
      </w:r>
      <w:r w:rsidR="00395E65">
        <w:rPr>
          <w:sz w:val="24"/>
          <w:szCs w:val="24"/>
        </w:rPr>
        <w:t>phrasing</w:t>
      </w:r>
      <w:r w:rsidR="00A43122">
        <w:rPr>
          <w:sz w:val="24"/>
          <w:szCs w:val="24"/>
        </w:rPr>
        <w:t xml:space="preserve"> to improve clarity of questions and response options</w:t>
      </w:r>
      <w:r w:rsidRPr="00BF0C74">
        <w:rPr>
          <w:sz w:val="24"/>
          <w:szCs w:val="24"/>
        </w:rPr>
        <w:t xml:space="preserve"> (see table below):</w:t>
      </w:r>
    </w:p>
    <w:tbl>
      <w:tblPr>
        <w:tblStyle w:val="TableGrid"/>
        <w:tblW w:w="0" w:type="auto"/>
        <w:tblLook w:val="04A0"/>
      </w:tblPr>
      <w:tblGrid>
        <w:gridCol w:w="4768"/>
        <w:gridCol w:w="6022"/>
      </w:tblGrid>
      <w:tr w14:paraId="04D511C7" w14:textId="77777777" w:rsidTr="00395E65">
        <w:tblPrEx>
          <w:tblW w:w="0" w:type="auto"/>
          <w:tblLook w:val="04A0"/>
        </w:tblPrEx>
        <w:tc>
          <w:tcPr>
            <w:tcW w:w="4932" w:type="dxa"/>
          </w:tcPr>
          <w:p w:rsidR="00D92D3F" w:rsidP="00650872" w14:paraId="5848DCDB" w14:textId="75BB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Former Question Number/Screenshot</w:t>
            </w:r>
          </w:p>
        </w:tc>
        <w:tc>
          <w:tcPr>
            <w:tcW w:w="5858" w:type="dxa"/>
          </w:tcPr>
          <w:p w:rsidR="00D92D3F" w:rsidP="00650872" w14:paraId="7E4DAC39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Question Number/Screenshot</w:t>
            </w:r>
          </w:p>
        </w:tc>
      </w:tr>
      <w:tr w14:paraId="32C66E2B" w14:textId="77777777" w:rsidTr="00395E65">
        <w:tblPrEx>
          <w:tblW w:w="0" w:type="auto"/>
          <w:tblLook w:val="04A0"/>
        </w:tblPrEx>
        <w:tc>
          <w:tcPr>
            <w:tcW w:w="4932" w:type="dxa"/>
          </w:tcPr>
          <w:p w:rsidR="00D92D3F" w:rsidP="00650872" w14:paraId="11D394FE" w14:textId="1BE917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Former Question 11</w:t>
            </w:r>
          </w:p>
          <w:p w:rsidR="00D92D3F" w:rsidP="00650872" w14:paraId="7D17B790" w14:textId="24C7643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105150" cy="489990"/>
                  <wp:effectExtent l="0" t="0" r="0" b="5715"/>
                  <wp:docPr id="150389655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896559" name="Picture 1503896559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8073" cy="49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8" w:type="dxa"/>
          </w:tcPr>
          <w:p w:rsidR="00D92D3F" w:rsidP="00650872" w14:paraId="11E9F8F7" w14:textId="59F929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Question 4</w:t>
            </w:r>
          </w:p>
          <w:p w:rsidR="00D92D3F" w:rsidP="00650872" w14:paraId="5800D3B3" w14:textId="74F3FB7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465512" cy="1123950"/>
                  <wp:effectExtent l="0" t="0" r="1905" b="0"/>
                  <wp:docPr id="1510897523" name="Picture 6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897523" name="Picture 6" descr="Text&#10;&#10;Description automatically generated with medium confidence"/>
                          <pic:cNvPicPr/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424" cy="112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2E461B" w14:textId="77777777" w:rsidTr="00395E65">
        <w:tblPrEx>
          <w:tblW w:w="0" w:type="auto"/>
          <w:tblLook w:val="04A0"/>
        </w:tblPrEx>
        <w:tc>
          <w:tcPr>
            <w:tcW w:w="4932" w:type="dxa"/>
          </w:tcPr>
          <w:p w:rsidR="00D92D3F" w:rsidP="00650872" w14:paraId="649FD5D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Former Question 6</w:t>
            </w:r>
          </w:p>
          <w:p w:rsidR="00D92D3F" w:rsidP="00650872" w14:paraId="017D2FEE" w14:textId="1865391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032124" cy="999925"/>
                  <wp:effectExtent l="0" t="0" r="0" b="0"/>
                  <wp:docPr id="776385738" name="Picture 8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385738" name="Picture 8" descr="Graphical user interface, text, application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3384" cy="1006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8" w:type="dxa"/>
          </w:tcPr>
          <w:p w:rsidR="00D92D3F" w:rsidP="00650872" w14:paraId="10C26369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Question 8</w:t>
            </w:r>
          </w:p>
          <w:p w:rsidR="00D92D3F" w:rsidP="00650872" w14:paraId="3AA47BCD" w14:textId="38EB4DE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707244" cy="949325"/>
                  <wp:effectExtent l="0" t="0" r="7620" b="3175"/>
                  <wp:docPr id="332078685" name="Picture 7" descr="Graphical user interface,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078685" name="Picture 7" descr="Graphical user interface, text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9839" cy="955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345869" w14:textId="77777777" w:rsidTr="00395E65">
        <w:tblPrEx>
          <w:tblW w:w="0" w:type="auto"/>
          <w:tblLook w:val="04A0"/>
        </w:tblPrEx>
        <w:tc>
          <w:tcPr>
            <w:tcW w:w="4932" w:type="dxa"/>
          </w:tcPr>
          <w:p w:rsidR="00D92D3F" w:rsidP="00650872" w14:paraId="5ADB585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Former Question 5</w:t>
            </w:r>
          </w:p>
          <w:p w:rsidR="00A43122" w:rsidP="00650872" w14:paraId="31446EEC" w14:textId="3A13EE5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914650" cy="2595391"/>
                  <wp:effectExtent l="0" t="0" r="0" b="0"/>
                  <wp:docPr id="2135261114" name="Picture 9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261114" name="Picture 9" descr="Graphical user interface, text, application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8323" cy="2607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8" w:type="dxa"/>
          </w:tcPr>
          <w:p w:rsidR="00D92D3F" w:rsidP="00650872" w14:paraId="0FFC551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Updated Question 12</w:t>
            </w:r>
          </w:p>
          <w:p w:rsidR="00A43122" w:rsidP="00650872" w14:paraId="296029E7" w14:textId="15A7AAB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378374" cy="3486329"/>
                  <wp:effectExtent l="0" t="0" r="0" b="0"/>
                  <wp:docPr id="1515415309" name="Picture 10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415309" name="Picture 10" descr="Table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374" cy="3486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002CC8" w14:textId="77777777" w:rsidTr="00395E65">
        <w:tblPrEx>
          <w:tblW w:w="0" w:type="auto"/>
          <w:tblLook w:val="04A0"/>
        </w:tblPrEx>
        <w:tc>
          <w:tcPr>
            <w:tcW w:w="4932" w:type="dxa"/>
          </w:tcPr>
          <w:p w:rsidR="00395E65" w:rsidP="00650872" w14:paraId="12612A3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Former Question </w:t>
            </w:r>
            <w:r w:rsidR="00560D1D">
              <w:rPr>
                <w:sz w:val="24"/>
                <w:szCs w:val="24"/>
              </w:rPr>
              <w:t>9</w:t>
            </w:r>
          </w:p>
          <w:p w:rsidR="00560D1D" w:rsidP="00650872" w14:paraId="1EE05609" w14:textId="06A851B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321221" cy="1028753"/>
                  <wp:effectExtent l="0" t="0" r="0" b="0"/>
                  <wp:docPr id="19051079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10792" name="Picture 190510792"/>
                          <pic:cNvPicPr/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221" cy="1028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8" w:type="dxa"/>
          </w:tcPr>
          <w:p w:rsidR="00395E65" w:rsidP="00650872" w14:paraId="0CD3BB7F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Question 16</w:t>
            </w:r>
          </w:p>
          <w:p w:rsidR="00560D1D" w:rsidP="00650872" w14:paraId="1F5160ED" w14:textId="764806C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245017" cy="1016052"/>
                  <wp:effectExtent l="0" t="0" r="0" b="0"/>
                  <wp:docPr id="1249488365" name="Picture 15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488365" name="Picture 15" descr="Table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5017" cy="1016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E84111" w14:textId="77777777" w:rsidTr="00395E65">
        <w:tblPrEx>
          <w:tblW w:w="0" w:type="auto"/>
          <w:tblLook w:val="04A0"/>
        </w:tblPrEx>
        <w:tc>
          <w:tcPr>
            <w:tcW w:w="4932" w:type="dxa"/>
          </w:tcPr>
          <w:p w:rsidR="001E1DC6" w:rsidP="00650872" w14:paraId="7800732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Former Question 8</w:t>
            </w:r>
          </w:p>
          <w:p w:rsidR="001E1DC6" w:rsidP="00650872" w14:paraId="09820CE4" w14:textId="7B24354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130711" cy="412771"/>
                  <wp:effectExtent l="0" t="0" r="0" b="6350"/>
                  <wp:docPr id="1586589607" name="Picture 17" descr="Graphical user inter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589607" name="Picture 17" descr="Graphical user interface&#10;&#10;Description automatically generated with medium confidence"/>
                          <pic:cNvPicPr/>
                        </pic:nvPicPr>
                        <pic:blipFill>
                          <a:blip xmlns:r="http://schemas.openxmlformats.org/officeDocument/2006/relationships" r:embed="rId2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711" cy="412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8" w:type="dxa"/>
          </w:tcPr>
          <w:p w:rsidR="001E1DC6" w:rsidP="00650872" w14:paraId="01A67FA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Question 19</w:t>
            </w:r>
          </w:p>
          <w:p w:rsidR="001E1DC6" w:rsidP="00650872" w14:paraId="5D3532BC" w14:textId="10DB95A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4235668" cy="1778091"/>
                  <wp:effectExtent l="0" t="0" r="0" b="0"/>
                  <wp:docPr id="1225018289" name="Picture 18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018289" name="Picture 18" descr="Graphical user interface, application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668" cy="1778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2F58" w:rsidP="00F255F9" w14:paraId="31E8723D" w14:textId="77777777">
      <w:pPr>
        <w:rPr>
          <w:sz w:val="24"/>
          <w:szCs w:val="24"/>
        </w:rPr>
      </w:pPr>
    </w:p>
    <w:p w:rsidR="001078B6" w:rsidP="001E1DC6" w14:paraId="4F382F32" w14:textId="64B7E50A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USDA has updated </w:t>
      </w:r>
      <w:r w:rsidR="00395E65">
        <w:rPr>
          <w:sz w:val="24"/>
          <w:szCs w:val="24"/>
        </w:rPr>
        <w:t xml:space="preserve">former </w:t>
      </w:r>
      <w:r>
        <w:rPr>
          <w:sz w:val="24"/>
          <w:szCs w:val="24"/>
        </w:rPr>
        <w:t xml:space="preserve">question 4 (updated question 5) and </w:t>
      </w:r>
      <w:r w:rsidR="00395E65">
        <w:rPr>
          <w:sz w:val="24"/>
          <w:szCs w:val="24"/>
        </w:rPr>
        <w:t>simplified/added clarity to</w:t>
      </w:r>
      <w:r>
        <w:rPr>
          <w:sz w:val="24"/>
          <w:szCs w:val="24"/>
        </w:rPr>
        <w:t xml:space="preserve"> response options </w:t>
      </w:r>
      <w:r w:rsidR="00395E65">
        <w:rPr>
          <w:sz w:val="24"/>
          <w:szCs w:val="24"/>
        </w:rPr>
        <w:t>by reformatting to</w:t>
      </w:r>
      <w:r>
        <w:rPr>
          <w:sz w:val="24"/>
          <w:szCs w:val="24"/>
        </w:rPr>
        <w:t xml:space="preserve"> yes/no/unsure rather than a check all that apply</w:t>
      </w:r>
    </w:p>
    <w:p w:rsidR="001078B6" w:rsidP="001078B6" w14:paraId="0AD6D707" w14:textId="1DC763CF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441877" cy="3410125"/>
            <wp:effectExtent l="0" t="0" r="6350" b="0"/>
            <wp:docPr id="137375006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750065" name="Picture 1373750065"/>
                    <pic:cNvPicPr/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1877" cy="34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8B6" w:rsidP="001078B6" w14:paraId="0FBA5CEB" w14:textId="2ADA7CA7">
      <w:pPr>
        <w:rPr>
          <w:sz w:val="24"/>
          <w:szCs w:val="24"/>
        </w:rPr>
      </w:pPr>
    </w:p>
    <w:p w:rsidR="001078B6" w:rsidP="001E1DC6" w14:paraId="269CADCA" w14:textId="2D587283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USDA has added question 6 to better understand how WIC State agencies engage (recruit) individuals to collect information about CX drivers</w:t>
      </w:r>
      <w:r w:rsidR="001A44F6">
        <w:rPr>
          <w:sz w:val="24"/>
          <w:szCs w:val="24"/>
        </w:rPr>
        <w:t xml:space="preserve"> and question 10 to better understand how WIC State agencies collect information about specific key WIC interactions/services </w:t>
      </w:r>
      <w:r>
        <w:rPr>
          <w:sz w:val="24"/>
          <w:szCs w:val="24"/>
        </w:rPr>
        <w:t xml:space="preserve">(see below): </w:t>
      </w:r>
    </w:p>
    <w:p w:rsidR="001078B6" w:rsidP="001078B6" w14:paraId="13DDFF3E" w14:textId="5E95385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187864" cy="1314518"/>
            <wp:effectExtent l="0" t="0" r="0" b="0"/>
            <wp:docPr id="1239040009" name="Picture 12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040009" name="Picture 12" descr="Graphical user interface, text, email&#10;&#10;Description automatically generated"/>
                    <pic:cNvPicPr/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864" cy="1314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1DC6">
        <w:rPr>
          <w:noProof/>
          <w:sz w:val="24"/>
          <w:szCs w:val="24"/>
        </w:rPr>
        <w:drawing>
          <wp:inline distT="0" distB="0" distL="0" distR="0">
            <wp:extent cx="3302170" cy="1473276"/>
            <wp:effectExtent l="0" t="0" r="0" b="0"/>
            <wp:docPr id="73453061" name="Picture 1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53061" name="Picture 16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170" cy="147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4F6" w:rsidRPr="001078B6" w:rsidP="001078B6" w14:paraId="3BD6097F" w14:textId="4F705DC7">
      <w:pPr>
        <w:rPr>
          <w:sz w:val="24"/>
          <w:szCs w:val="24"/>
        </w:rPr>
      </w:pPr>
    </w:p>
    <w:p w:rsidR="00BF0C74" w:rsidP="001E1DC6" w14:paraId="1B2C0B65" w14:textId="7B6F0CFF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F0C74">
        <w:rPr>
          <w:sz w:val="24"/>
          <w:szCs w:val="24"/>
        </w:rPr>
        <w:t>USDA added</w:t>
      </w:r>
      <w:r w:rsidR="001A44F6">
        <w:rPr>
          <w:sz w:val="24"/>
          <w:szCs w:val="24"/>
        </w:rPr>
        <w:t xml:space="preserve"> </w:t>
      </w:r>
      <w:r w:rsidR="001E1DC6">
        <w:rPr>
          <w:sz w:val="24"/>
          <w:szCs w:val="24"/>
        </w:rPr>
        <w:t xml:space="preserve">a series of </w:t>
      </w:r>
      <w:r w:rsidR="001A44F6">
        <w:rPr>
          <w:sz w:val="24"/>
          <w:szCs w:val="24"/>
        </w:rPr>
        <w:t>simple</w:t>
      </w:r>
      <w:r w:rsidR="001E1DC6">
        <w:rPr>
          <w:sz w:val="24"/>
          <w:szCs w:val="24"/>
        </w:rPr>
        <w:t xml:space="preserve"> </w:t>
      </w:r>
      <w:r w:rsidRPr="00BF0C74">
        <w:rPr>
          <w:sz w:val="24"/>
          <w:szCs w:val="24"/>
        </w:rPr>
        <w:t xml:space="preserve">questions </w:t>
      </w:r>
      <w:r w:rsidR="001A44F6">
        <w:rPr>
          <w:sz w:val="24"/>
          <w:szCs w:val="24"/>
        </w:rPr>
        <w:t>(</w:t>
      </w:r>
      <w:r w:rsidRPr="00BF0C74">
        <w:rPr>
          <w:sz w:val="24"/>
          <w:szCs w:val="24"/>
        </w:rPr>
        <w:t>number 7, 9, 11, 13, 15, 17, and 18 (yes/no response questions)</w:t>
      </w:r>
      <w:r w:rsidR="001A44F6">
        <w:rPr>
          <w:sz w:val="24"/>
          <w:szCs w:val="24"/>
        </w:rPr>
        <w:t>)</w:t>
      </w:r>
      <w:r w:rsidRPr="00BF0C74">
        <w:rPr>
          <w:sz w:val="24"/>
          <w:szCs w:val="24"/>
        </w:rPr>
        <w:t xml:space="preserve"> so that respondents can indicate if they employ a similar approach for multiple drivers from the A11</w:t>
      </w:r>
      <w:r w:rsidR="001A44F6">
        <w:rPr>
          <w:sz w:val="24"/>
          <w:szCs w:val="24"/>
        </w:rPr>
        <w:t xml:space="preserve"> Section 280</w:t>
      </w:r>
      <w:r w:rsidRPr="00BF0C74">
        <w:rPr>
          <w:sz w:val="24"/>
          <w:szCs w:val="24"/>
        </w:rPr>
        <w:t xml:space="preserve"> and reduce burden supplying the same response for multiple drivers</w:t>
      </w:r>
      <w:r>
        <w:rPr>
          <w:sz w:val="24"/>
          <w:szCs w:val="24"/>
        </w:rPr>
        <w:t xml:space="preserve"> (format is below, replicated across questions)</w:t>
      </w:r>
      <w:r w:rsidRPr="00BF0C74">
        <w:rPr>
          <w:sz w:val="24"/>
          <w:szCs w:val="24"/>
        </w:rPr>
        <w:t>.</w:t>
      </w:r>
    </w:p>
    <w:p w:rsidR="001E1DC6" w:rsidRPr="00BF0C74" w:rsidP="00BF0C74" w14:paraId="23226D72" w14:textId="5172224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679722" cy="1190625"/>
            <wp:effectExtent l="0" t="0" r="0" b="0"/>
            <wp:docPr id="10506412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641226" name="Picture 1050641226"/>
                    <pic:cNvPicPr/>
                  </pic:nvPicPr>
                  <pic:blipFill>
                    <a:blip xmlns:r="http://schemas.openxmlformats.org/officeDocument/2006/relationships" r:embed="rId2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329" cy="119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E6B" w:rsidP="00AF1F38" w14:paraId="175B7179" w14:textId="13D9290C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EE3CD3">
        <w:rPr>
          <w:sz w:val="24"/>
          <w:szCs w:val="24"/>
        </w:rPr>
        <w:t xml:space="preserve">estimated </w:t>
      </w:r>
      <w:r>
        <w:rPr>
          <w:sz w:val="24"/>
          <w:szCs w:val="24"/>
        </w:rPr>
        <w:t>change in burden is</w:t>
      </w:r>
      <w:r w:rsidR="00EE3CD3">
        <w:rPr>
          <w:sz w:val="24"/>
          <w:szCs w:val="24"/>
        </w:rPr>
        <w:t xml:space="preserve"> </w:t>
      </w:r>
      <w:r w:rsidR="005C7F23">
        <w:rPr>
          <w:sz w:val="24"/>
          <w:szCs w:val="24"/>
        </w:rPr>
        <w:t>4.5</w:t>
      </w:r>
      <w:r w:rsidR="00EE3CD3">
        <w:rPr>
          <w:sz w:val="24"/>
          <w:szCs w:val="24"/>
        </w:rPr>
        <w:t xml:space="preserve"> hours</w:t>
      </w:r>
      <w:r w:rsidR="005C7F23">
        <w:rPr>
          <w:sz w:val="24"/>
          <w:szCs w:val="24"/>
        </w:rPr>
        <w:t xml:space="preserve"> total (across all 89 WIC State Agency Staff) or 5 minutes per respondent,</w:t>
      </w:r>
      <w:r w:rsidR="00EE3CD3">
        <w:rPr>
          <w:sz w:val="24"/>
          <w:szCs w:val="24"/>
        </w:rPr>
        <w:t xml:space="preserve"> as shown in the table below.</w:t>
      </w:r>
      <w:r w:rsidR="003671F9">
        <w:rPr>
          <w:sz w:val="24"/>
          <w:szCs w:val="24"/>
        </w:rPr>
        <w:t xml:space="preserve"> There </w:t>
      </w:r>
      <w:r w:rsidR="005C7F23">
        <w:rPr>
          <w:sz w:val="24"/>
          <w:szCs w:val="24"/>
        </w:rPr>
        <w:t>are</w:t>
      </w:r>
      <w:r w:rsidR="003671F9">
        <w:rPr>
          <w:sz w:val="24"/>
          <w:szCs w:val="24"/>
        </w:rPr>
        <w:t xml:space="preserve"> an estimated </w:t>
      </w:r>
      <w:r w:rsidR="005C7F23">
        <w:rPr>
          <w:sz w:val="24"/>
          <w:szCs w:val="24"/>
        </w:rPr>
        <w:t xml:space="preserve">89 WIC State agency representatives </w:t>
      </w:r>
      <w:r w:rsidR="003671F9">
        <w:rPr>
          <w:sz w:val="24"/>
          <w:szCs w:val="24"/>
        </w:rPr>
        <w:t>who would have spent</w:t>
      </w:r>
      <w:r w:rsidR="005C7F23">
        <w:rPr>
          <w:sz w:val="24"/>
          <w:szCs w:val="24"/>
        </w:rPr>
        <w:t xml:space="preserve"> 5 minutes (300</w:t>
      </w:r>
      <w:r w:rsidR="003671F9">
        <w:rPr>
          <w:sz w:val="24"/>
          <w:szCs w:val="24"/>
        </w:rPr>
        <w:t xml:space="preserve"> seconds</w:t>
      </w:r>
      <w:r w:rsidR="005C7F23">
        <w:rPr>
          <w:sz w:val="24"/>
          <w:szCs w:val="24"/>
        </w:rPr>
        <w:t>)</w:t>
      </w:r>
      <w:r w:rsidR="003671F9">
        <w:rPr>
          <w:sz w:val="24"/>
          <w:szCs w:val="24"/>
        </w:rPr>
        <w:t xml:space="preserve"> each</w:t>
      </w:r>
      <w:r w:rsidR="005C7F23">
        <w:rPr>
          <w:sz w:val="24"/>
          <w:szCs w:val="24"/>
        </w:rPr>
        <w:t xml:space="preserve"> on the survey. Edits do not impact time needed to read the email to State Agencies. </w:t>
      </w:r>
    </w:p>
    <w:p w:rsidR="005C7F23" w:rsidP="00AF1F38" w14:paraId="10CB3DC4" w14:textId="77777777">
      <w:pPr>
        <w:rPr>
          <w:sz w:val="24"/>
          <w:szCs w:val="24"/>
        </w:rPr>
      </w:pPr>
    </w:p>
    <w:p w:rsidR="005C7F23" w:rsidP="005C7F23" w14:paraId="54610273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5C7F23" w:rsidP="005C7F23" w14:paraId="28A7E9C5" w14:textId="77777777">
      <w:pPr>
        <w:keepNext/>
        <w:keepLines/>
        <w:rPr>
          <w:b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5"/>
        <w:gridCol w:w="1350"/>
        <w:gridCol w:w="1350"/>
        <w:gridCol w:w="2285"/>
      </w:tblGrid>
      <w:tr w14:paraId="2BFF4880" w14:textId="77777777" w:rsidTr="005C7F23">
        <w:tblPrEx>
          <w:tblW w:w="96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23" w14:paraId="4CBFE4EF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23" w14:paraId="78BE91C4" w14:textId="77777777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23" w14:paraId="41EB1074" w14:textId="77777777">
            <w:pPr>
              <w:rPr>
                <w:b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23" w14:paraId="71E2FC8B" w14:textId="77777777">
            <w:pPr>
              <w:rPr>
                <w:b/>
              </w:rPr>
            </w:pPr>
            <w:r>
              <w:rPr>
                <w:b/>
              </w:rPr>
              <w:t>Burden</w:t>
            </w:r>
          </w:p>
        </w:tc>
      </w:tr>
      <w:tr w14:paraId="036A3FD0" w14:textId="77777777" w:rsidTr="005C7F23">
        <w:tblPrEx>
          <w:tblW w:w="9660" w:type="dxa"/>
          <w:tblLayout w:type="fixed"/>
          <w:tblLook w:val="01E0"/>
        </w:tblPrEx>
        <w:trPr>
          <w:trHeight w:val="274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23" w:rsidRPr="005C7F23" w14:paraId="504A33D3" w14:textId="1D6661CB">
            <w:pPr>
              <w:rPr>
                <w:b/>
                <w:bCs/>
              </w:rPr>
            </w:pPr>
            <w:r w:rsidRPr="005C7F23">
              <w:rPr>
                <w:b/>
                <w:bCs/>
              </w:rPr>
              <w:t>Original Estimates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23" w14:paraId="49B2FC0B" w14:textId="77777777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23" w14:paraId="727C1C64" w14:textId="77777777"/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23" w14:paraId="1E5A25D6" w14:textId="77777777"/>
        </w:tc>
      </w:tr>
      <w:tr w14:paraId="53FF3797" w14:textId="77777777" w:rsidTr="005C7F23">
        <w:tblPrEx>
          <w:tblW w:w="9660" w:type="dxa"/>
          <w:tblLayout w:type="fixed"/>
          <w:tblLook w:val="01E0"/>
        </w:tblPrEx>
        <w:trPr>
          <w:trHeight w:val="274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23" w:rsidP="005C7F23" w14:paraId="7B8D0E78" w14:textId="77777777">
            <w:pPr>
              <w:ind w:left="340"/>
            </w:pPr>
            <w:r>
              <w:t>WIC State agency staff (WIC State agency representative) (Appendix 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23" w14:paraId="6D7105BB" w14:textId="77777777">
            <w:r>
              <w:t>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23" w14:paraId="23F5C5C1" w14:textId="3F854EDD">
            <w:r>
              <w:t>0.25 hours (15 minutes)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23" w14:paraId="26B04978" w14:textId="03D2BC44">
            <w:r>
              <w:t>22.25 hours</w:t>
            </w:r>
          </w:p>
        </w:tc>
      </w:tr>
      <w:tr w14:paraId="4D97E662" w14:textId="77777777" w:rsidTr="005C7F23">
        <w:tblPrEx>
          <w:tblW w:w="9660" w:type="dxa"/>
          <w:tblLayout w:type="fixed"/>
          <w:tblLook w:val="01E0"/>
        </w:tblPrEx>
        <w:trPr>
          <w:trHeight w:val="274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23" w:rsidP="005C7F23" w14:paraId="01048223" w14:textId="77777777">
            <w:pPr>
              <w:ind w:left="340"/>
            </w:pPr>
            <w:r>
              <w:t>SNAS-RAD email to State agencies (Appendix C)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23" w14:paraId="250129DF" w14:textId="77777777">
            <w:r>
              <w:t>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23" w14:paraId="38B0097C" w14:textId="77777777">
            <w:r>
              <w:t>0.08 hours (5 minutes)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23" w14:paraId="5468A53D" w14:textId="77777777">
            <w:r>
              <w:t>7.12 hours</w:t>
            </w:r>
          </w:p>
        </w:tc>
      </w:tr>
      <w:tr w14:paraId="329829C4" w14:textId="77777777" w:rsidTr="005C7F23">
        <w:tblPrEx>
          <w:tblW w:w="9660" w:type="dxa"/>
          <w:tblLayout w:type="fixed"/>
          <w:tblLook w:val="01E0"/>
        </w:tblPrEx>
        <w:trPr>
          <w:trHeight w:val="28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23" w:rsidP="005C7F23" w14:paraId="576E138B" w14:textId="77777777">
            <w:pPr>
              <w:ind w:firstLine="340"/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23" w14:paraId="34F0A273" w14:textId="77777777">
            <w:pPr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23" w14:paraId="0E94DF49" w14:textId="0E7FBFDC">
            <w:r>
              <w:t>0.33 hours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23" w14:paraId="0046AE44" w14:textId="6B730801">
            <w:pPr>
              <w:rPr>
                <w:b/>
              </w:rPr>
            </w:pPr>
            <w:r>
              <w:rPr>
                <w:b/>
              </w:rPr>
              <w:t>29.37 hours</w:t>
            </w:r>
          </w:p>
        </w:tc>
      </w:tr>
      <w:tr w14:paraId="34BB5CBB" w14:textId="77777777" w:rsidTr="005C7F23">
        <w:tblPrEx>
          <w:tblW w:w="9660" w:type="dxa"/>
          <w:tblLayout w:type="fixed"/>
          <w:tblLook w:val="01E0"/>
        </w:tblPrEx>
        <w:trPr>
          <w:trHeight w:val="28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23" w14:paraId="11E609AC" w14:textId="7C1F4D53">
            <w:pPr>
              <w:rPr>
                <w:b/>
              </w:rPr>
            </w:pPr>
            <w:r>
              <w:rPr>
                <w:b/>
              </w:rPr>
              <w:t>Updated Estimates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23" w14:paraId="410DCD1F" w14:textId="77777777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23" w14:paraId="4982FC99" w14:textId="77777777"/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23" w14:paraId="4121475C" w14:textId="77777777">
            <w:pPr>
              <w:rPr>
                <w:b/>
              </w:rPr>
            </w:pPr>
          </w:p>
        </w:tc>
      </w:tr>
      <w:tr w14:paraId="4FC6327B" w14:textId="77777777" w:rsidTr="005C7F23">
        <w:tblPrEx>
          <w:tblW w:w="9660" w:type="dxa"/>
          <w:tblLayout w:type="fixed"/>
          <w:tblLook w:val="01E0"/>
        </w:tblPrEx>
        <w:trPr>
          <w:trHeight w:val="28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23" w:rsidRPr="005C7F23" w:rsidP="005C7F23" w14:paraId="505B7C51" w14:textId="704AB3FF">
            <w:pPr>
              <w:ind w:left="340"/>
              <w:rPr>
                <w:bCs/>
              </w:rPr>
            </w:pPr>
            <w:r>
              <w:t>WIC State agency staff (WIC State agency representative) (Appendix 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23" w:rsidRPr="005C7F23" w:rsidP="005C7F23" w14:paraId="60BD1840" w14:textId="7CE84122">
            <w:pPr>
              <w:rPr>
                <w:bCs/>
              </w:rPr>
            </w:pPr>
            <w:r>
              <w:t>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23" w:rsidRPr="005C7F23" w:rsidP="005C7F23" w14:paraId="51582D82" w14:textId="7517AD29">
            <w:pPr>
              <w:rPr>
                <w:bCs/>
              </w:rPr>
            </w:pPr>
            <w:r>
              <w:t>0.3 hours (20 minutes)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23" w:rsidRPr="005C7F23" w:rsidP="005C7F23" w14:paraId="3ED6C166" w14:textId="285AE8D2">
            <w:pPr>
              <w:rPr>
                <w:bCs/>
              </w:rPr>
            </w:pPr>
            <w:r>
              <w:t>26.7 hours</w:t>
            </w:r>
          </w:p>
        </w:tc>
      </w:tr>
      <w:tr w14:paraId="2175649F" w14:textId="77777777" w:rsidTr="005C7F23">
        <w:tblPrEx>
          <w:tblW w:w="9660" w:type="dxa"/>
          <w:tblLayout w:type="fixed"/>
          <w:tblLook w:val="01E0"/>
        </w:tblPrEx>
        <w:trPr>
          <w:trHeight w:val="28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23" w:rsidRPr="005C7F23" w:rsidP="005C7F23" w14:paraId="4833B40A" w14:textId="42A27B8F">
            <w:pPr>
              <w:ind w:firstLine="340"/>
              <w:rPr>
                <w:bCs/>
              </w:rPr>
            </w:pPr>
            <w:r>
              <w:t>SNAS-RAD email to State agencies (Appendix C)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23" w:rsidRPr="005C7F23" w:rsidP="005C7F23" w14:paraId="028EB41C" w14:textId="6E6AEA6C">
            <w:pPr>
              <w:rPr>
                <w:bCs/>
              </w:rPr>
            </w:pPr>
            <w:r>
              <w:t>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23" w:rsidRPr="005C7F23" w:rsidP="005C7F23" w14:paraId="37A04CCC" w14:textId="16B02A65">
            <w:pPr>
              <w:rPr>
                <w:bCs/>
              </w:rPr>
            </w:pPr>
            <w:r>
              <w:t>0.08 hours (5 minutes)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23" w:rsidRPr="005C7F23" w:rsidP="005C7F23" w14:paraId="1BAEF18D" w14:textId="7F573396">
            <w:pPr>
              <w:rPr>
                <w:bCs/>
              </w:rPr>
            </w:pPr>
            <w:r>
              <w:t>7.12 hours</w:t>
            </w:r>
          </w:p>
        </w:tc>
      </w:tr>
      <w:tr w14:paraId="1228492F" w14:textId="77777777" w:rsidTr="005C7F23">
        <w:tblPrEx>
          <w:tblW w:w="9660" w:type="dxa"/>
          <w:tblLayout w:type="fixed"/>
          <w:tblLook w:val="01E0"/>
        </w:tblPrEx>
        <w:trPr>
          <w:trHeight w:val="28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23" w:rsidRPr="005C7F23" w:rsidP="005C7F23" w14:paraId="0FB75362" w14:textId="4F630BF6">
            <w:pPr>
              <w:ind w:firstLine="340"/>
              <w:rPr>
                <w:bCs/>
              </w:rPr>
            </w:pPr>
            <w:r>
              <w:rPr>
                <w:b/>
              </w:rPr>
              <w:t>Totals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23" w:rsidRPr="005C7F23" w:rsidP="005C7F23" w14:paraId="07069A0A" w14:textId="25CEA99F">
            <w:pPr>
              <w:rPr>
                <w:bCs/>
              </w:rPr>
            </w:pPr>
            <w:r>
              <w:rPr>
                <w:b/>
              </w:rPr>
              <w:t>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23" w:rsidRPr="005C7F23" w:rsidP="005C7F23" w14:paraId="23503765" w14:textId="044DF6A8">
            <w:pPr>
              <w:rPr>
                <w:bCs/>
              </w:rPr>
            </w:pPr>
            <w:r>
              <w:t>0.38 hours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23" w:rsidRPr="005C7F23" w:rsidP="005C7F23" w14:paraId="5769D549" w14:textId="3DFC3FDB">
            <w:pPr>
              <w:rPr>
                <w:bCs/>
              </w:rPr>
            </w:pPr>
            <w:r>
              <w:rPr>
                <w:b/>
              </w:rPr>
              <w:t>33.8 hours</w:t>
            </w:r>
          </w:p>
        </w:tc>
      </w:tr>
      <w:tr w14:paraId="40549DA4" w14:textId="77777777" w:rsidTr="005C7F23">
        <w:tblPrEx>
          <w:tblW w:w="9660" w:type="dxa"/>
          <w:tblLayout w:type="fixed"/>
          <w:tblLook w:val="01E0"/>
        </w:tblPrEx>
        <w:trPr>
          <w:trHeight w:val="28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23" w14:paraId="4BD8F695" w14:textId="74D004A4">
            <w:pPr>
              <w:rPr>
                <w:b/>
              </w:rPr>
            </w:pPr>
            <w:r>
              <w:rPr>
                <w:b/>
              </w:rPr>
              <w:t>Difference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23" w14:paraId="5D789A0E" w14:textId="5E10AABD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23" w14:paraId="76BAE273" w14:textId="05BE5952">
            <w:r>
              <w:t>.05 hours (5 minutes) per respondent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23" w14:paraId="7A8E4E09" w14:textId="1BD46EF5">
            <w:pPr>
              <w:rPr>
                <w:b/>
              </w:rPr>
            </w:pPr>
            <w:r>
              <w:rPr>
                <w:b/>
              </w:rPr>
              <w:t>4.5-hour</w:t>
            </w:r>
            <w:r>
              <w:rPr>
                <w:b/>
              </w:rPr>
              <w:t xml:space="preserve"> burden increase across all participants</w:t>
            </w:r>
          </w:p>
        </w:tc>
      </w:tr>
    </w:tbl>
    <w:p w:rsidR="00C10335" w:rsidP="00AF1F38" w14:paraId="56FB8BE5" w14:textId="44FB4C46">
      <w:pPr>
        <w:rPr>
          <w:sz w:val="24"/>
          <w:szCs w:val="24"/>
        </w:rPr>
      </w:pPr>
    </w:p>
    <w:p w:rsidR="00D16D18" w:rsidP="00AF1F38" w14:paraId="3368DA8F" w14:textId="5DA51492">
      <w:pPr>
        <w:rPr>
          <w:sz w:val="24"/>
          <w:szCs w:val="24"/>
        </w:rPr>
      </w:pPr>
      <w:r>
        <w:rPr>
          <w:sz w:val="24"/>
          <w:szCs w:val="24"/>
        </w:rPr>
        <w:t xml:space="preserve">The change will increase the total annualized cost of respondent burden by $169.82 ($1290.57-$1120.75). This reflects the minor change in the time required to respond to the survey updates. No additional federal cost is projected, as changes are non-substantive. </w:t>
      </w:r>
    </w:p>
    <w:p w:rsidR="001F7875" w:rsidP="00AF1F38" w14:paraId="118B2533" w14:textId="77777777">
      <w:pPr>
        <w:rPr>
          <w:sz w:val="24"/>
          <w:szCs w:val="24"/>
        </w:rPr>
      </w:pPr>
    </w:p>
    <w:p w:rsidR="00AF1F38" w:rsidRPr="00AF1F38" w:rsidP="00AF1F38" w14:paraId="01AB4EE4" w14:textId="723AE122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AF1F38">
        <w:rPr>
          <w:sz w:val="24"/>
          <w:szCs w:val="24"/>
        </w:rPr>
        <w:t>he attached document</w:t>
      </w:r>
      <w:r w:rsidR="00D16D18">
        <w:rPr>
          <w:sz w:val="24"/>
          <w:szCs w:val="24"/>
        </w:rPr>
        <w:t xml:space="preserve"> includes the updated WIC CX Landscape Analysis</w:t>
      </w:r>
      <w:r>
        <w:rPr>
          <w:sz w:val="24"/>
          <w:szCs w:val="24"/>
        </w:rPr>
        <w:t xml:space="preserve"> materials where the </w:t>
      </w:r>
      <w:r w:rsidRPr="00AF1F38">
        <w:rPr>
          <w:sz w:val="24"/>
          <w:szCs w:val="24"/>
        </w:rPr>
        <w:t>requested changes</w:t>
      </w:r>
      <w:r>
        <w:rPr>
          <w:sz w:val="24"/>
          <w:szCs w:val="24"/>
        </w:rPr>
        <w:t xml:space="preserve"> would be made</w:t>
      </w:r>
      <w:r w:rsidRPr="00AF1F38">
        <w:rPr>
          <w:sz w:val="24"/>
          <w:szCs w:val="24"/>
        </w:rPr>
        <w:t>.</w:t>
      </w:r>
    </w:p>
    <w:p w:rsidR="00AF1F38" w:rsidP="00AF1F38" w14:paraId="38F8A8EA" w14:textId="77777777">
      <w:pPr>
        <w:rPr>
          <w:rFonts w:eastAsiaTheme="minorEastAsia"/>
          <w:sz w:val="24"/>
          <w:szCs w:val="24"/>
        </w:rPr>
      </w:pPr>
    </w:p>
    <w:p w:rsidR="00AF1F38" w:rsidP="00AF1F38" w14:paraId="3674F94B" w14:textId="77777777">
      <w:pPr>
        <w:rPr>
          <w:sz w:val="24"/>
          <w:szCs w:val="24"/>
        </w:rPr>
      </w:pPr>
      <w:bookmarkStart w:id="0" w:name="_Hlk499156006"/>
      <w:r w:rsidRPr="00E21AA3">
        <w:rPr>
          <w:sz w:val="24"/>
          <w:szCs w:val="24"/>
        </w:rPr>
        <w:t xml:space="preserve">If you have any questions regarding this request, please contact </w:t>
      </w:r>
      <w:r>
        <w:rPr>
          <w:sz w:val="24"/>
          <w:szCs w:val="24"/>
        </w:rPr>
        <w:t>Jamia Franklin</w:t>
      </w:r>
      <w:r w:rsidRPr="00E21AA3">
        <w:rPr>
          <w:sz w:val="24"/>
          <w:szCs w:val="24"/>
        </w:rPr>
        <w:t>, FNS Information Collection Clearance Officer for the Food and Nutrition Service, Planning &amp; Regulatory Affairs Office at (703) 305-</w:t>
      </w:r>
      <w:r>
        <w:rPr>
          <w:sz w:val="24"/>
          <w:szCs w:val="24"/>
        </w:rPr>
        <w:t>2403</w:t>
      </w:r>
      <w:r w:rsidRPr="00E21AA3">
        <w:rPr>
          <w:sz w:val="24"/>
          <w:szCs w:val="24"/>
        </w:rPr>
        <w:t>.</w:t>
      </w:r>
      <w:bookmarkEnd w:id="0"/>
    </w:p>
    <w:p w:rsidR="00AF1F38" w:rsidP="00AF1F38" w14:paraId="408C7562" w14:textId="77777777">
      <w:pPr>
        <w:rPr>
          <w:sz w:val="24"/>
          <w:szCs w:val="24"/>
        </w:rPr>
      </w:pPr>
    </w:p>
    <w:p w:rsidR="00D5529F" w:rsidP="000139B1" w14:paraId="06DA6670" w14:textId="760F62F8">
      <w:pPr>
        <w:rPr>
          <w:sz w:val="24"/>
          <w:szCs w:val="24"/>
        </w:rPr>
      </w:pPr>
    </w:p>
    <w:p w:rsidR="002315C9" w:rsidP="000139B1" w14:paraId="4754B77C" w14:textId="28F30956">
      <w:pPr>
        <w:rPr>
          <w:sz w:val="24"/>
          <w:szCs w:val="24"/>
        </w:rPr>
      </w:pPr>
      <w:r>
        <w:rPr>
          <w:sz w:val="24"/>
          <w:szCs w:val="24"/>
        </w:rPr>
        <w:t>Attachments:</w:t>
      </w:r>
      <w:r>
        <w:rPr>
          <w:sz w:val="24"/>
          <w:szCs w:val="24"/>
        </w:rPr>
        <w:tab/>
      </w:r>
    </w:p>
    <w:p w:rsidR="00D95C78" w:rsidP="000139B1" w14:paraId="603ABA18" w14:textId="7AA1B985">
      <w:pPr>
        <w:rPr>
          <w:sz w:val="24"/>
          <w:szCs w:val="24"/>
        </w:rPr>
      </w:pPr>
      <w:r>
        <w:rPr>
          <w:sz w:val="24"/>
          <w:szCs w:val="24"/>
        </w:rPr>
        <w:t>Attachment A_WIC CX Landscape Survey_2023 11 21</w:t>
      </w:r>
    </w:p>
    <w:p w:rsidR="009724F7" w:rsidP="000139B1" w14:paraId="02A577E0" w14:textId="2DB0365B">
      <w:pPr>
        <w:rPr>
          <w:sz w:val="24"/>
          <w:szCs w:val="24"/>
        </w:rPr>
      </w:pPr>
    </w:p>
    <w:p w:rsidR="00D95C78" w:rsidP="000139B1" w14:paraId="5C22095D" w14:textId="77777777">
      <w:pPr>
        <w:rPr>
          <w:sz w:val="24"/>
          <w:szCs w:val="24"/>
        </w:rPr>
      </w:pPr>
    </w:p>
    <w:p w:rsidR="002E2F9F" w:rsidP="000139B1" w14:paraId="295A493A" w14:textId="77777777">
      <w:pPr>
        <w:rPr>
          <w:sz w:val="24"/>
          <w:szCs w:val="24"/>
        </w:rPr>
      </w:pPr>
    </w:p>
    <w:p w:rsidR="002315C9" w:rsidRPr="000139B1" w:rsidP="000139B1" w14:paraId="0CE5E10B" w14:textId="77777777">
      <w:pPr>
        <w:rPr>
          <w:sz w:val="24"/>
          <w:szCs w:val="24"/>
        </w:rPr>
      </w:pPr>
    </w:p>
    <w:sectPr w:rsidSect="00D92D3F">
      <w:pgSz w:w="12240" w:h="15840" w:code="1"/>
      <w:pgMar w:top="720" w:right="720" w:bottom="720" w:left="720" w:header="720" w:footer="14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5B2D91"/>
    <w:multiLevelType w:val="hybridMultilevel"/>
    <w:tmpl w:val="35D2008A"/>
    <w:lvl w:ilvl="0">
      <w:start w:val="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B4C1A9D"/>
    <w:multiLevelType w:val="hybridMultilevel"/>
    <w:tmpl w:val="6B2C0590"/>
    <w:lvl w:ilvl="0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FD2127B"/>
    <w:multiLevelType w:val="hybridMultilevel"/>
    <w:tmpl w:val="3D822E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E03FB"/>
    <w:multiLevelType w:val="hybridMultilevel"/>
    <w:tmpl w:val="BDD631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A6D99"/>
    <w:multiLevelType w:val="hybridMultilevel"/>
    <w:tmpl w:val="36B06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B97EED"/>
    <w:multiLevelType w:val="hybridMultilevel"/>
    <w:tmpl w:val="4D6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D108EA"/>
    <w:multiLevelType w:val="hybridMultilevel"/>
    <w:tmpl w:val="276470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8668B"/>
    <w:multiLevelType w:val="hybridMultilevel"/>
    <w:tmpl w:val="DC0E7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68176A"/>
    <w:multiLevelType w:val="hybridMultilevel"/>
    <w:tmpl w:val="039CB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B169FB"/>
    <w:multiLevelType w:val="hybridMultilevel"/>
    <w:tmpl w:val="9B081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383557">
    <w:abstractNumId w:val="5"/>
  </w:num>
  <w:num w:numId="2" w16cid:durableId="637688355">
    <w:abstractNumId w:val="1"/>
  </w:num>
  <w:num w:numId="3" w16cid:durableId="1415281056">
    <w:abstractNumId w:val="6"/>
  </w:num>
  <w:num w:numId="4" w16cid:durableId="1005354962">
    <w:abstractNumId w:val="8"/>
  </w:num>
  <w:num w:numId="5" w16cid:durableId="895093335">
    <w:abstractNumId w:val="3"/>
  </w:num>
  <w:num w:numId="6" w16cid:durableId="1387024270">
    <w:abstractNumId w:val="2"/>
  </w:num>
  <w:num w:numId="7" w16cid:durableId="1742211830">
    <w:abstractNumId w:val="7"/>
  </w:num>
  <w:num w:numId="8" w16cid:durableId="863520298">
    <w:abstractNumId w:val="0"/>
  </w:num>
  <w:num w:numId="9" w16cid:durableId="760563248">
    <w:abstractNumId w:val="9"/>
  </w:num>
  <w:num w:numId="10" w16cid:durableId="1831749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AFE"/>
    <w:rsid w:val="00002941"/>
    <w:rsid w:val="000043D2"/>
    <w:rsid w:val="00005B42"/>
    <w:rsid w:val="000104B4"/>
    <w:rsid w:val="000139B1"/>
    <w:rsid w:val="000142DA"/>
    <w:rsid w:val="000162F9"/>
    <w:rsid w:val="00033D49"/>
    <w:rsid w:val="00036CF8"/>
    <w:rsid w:val="00050ABA"/>
    <w:rsid w:val="00056848"/>
    <w:rsid w:val="0006457E"/>
    <w:rsid w:val="00065DE9"/>
    <w:rsid w:val="00067F31"/>
    <w:rsid w:val="000738FD"/>
    <w:rsid w:val="00086EB6"/>
    <w:rsid w:val="0009284A"/>
    <w:rsid w:val="00092C67"/>
    <w:rsid w:val="00093D89"/>
    <w:rsid w:val="000B6DA6"/>
    <w:rsid w:val="000C170D"/>
    <w:rsid w:val="000C732F"/>
    <w:rsid w:val="000D3197"/>
    <w:rsid w:val="000D3635"/>
    <w:rsid w:val="000D6D60"/>
    <w:rsid w:val="000E0E38"/>
    <w:rsid w:val="000E52DB"/>
    <w:rsid w:val="000E52DC"/>
    <w:rsid w:val="000E56C6"/>
    <w:rsid w:val="000E6DEA"/>
    <w:rsid w:val="000F0115"/>
    <w:rsid w:val="001050A7"/>
    <w:rsid w:val="001078B6"/>
    <w:rsid w:val="00107EDD"/>
    <w:rsid w:val="00111B39"/>
    <w:rsid w:val="00114284"/>
    <w:rsid w:val="001159E8"/>
    <w:rsid w:val="00115C20"/>
    <w:rsid w:val="001247FB"/>
    <w:rsid w:val="00131BBD"/>
    <w:rsid w:val="001360F1"/>
    <w:rsid w:val="00141D98"/>
    <w:rsid w:val="00145046"/>
    <w:rsid w:val="0015344D"/>
    <w:rsid w:val="00156987"/>
    <w:rsid w:val="00160037"/>
    <w:rsid w:val="001608ED"/>
    <w:rsid w:val="00167523"/>
    <w:rsid w:val="00171317"/>
    <w:rsid w:val="00175F0C"/>
    <w:rsid w:val="00177D63"/>
    <w:rsid w:val="001853C0"/>
    <w:rsid w:val="0018674F"/>
    <w:rsid w:val="00186CC4"/>
    <w:rsid w:val="00192CC5"/>
    <w:rsid w:val="001A24A1"/>
    <w:rsid w:val="001A2F96"/>
    <w:rsid w:val="001A44F6"/>
    <w:rsid w:val="001A640E"/>
    <w:rsid w:val="001A705B"/>
    <w:rsid w:val="001B0F27"/>
    <w:rsid w:val="001B7EB2"/>
    <w:rsid w:val="001C19F7"/>
    <w:rsid w:val="001D0498"/>
    <w:rsid w:val="001D067C"/>
    <w:rsid w:val="001D3007"/>
    <w:rsid w:val="001D6095"/>
    <w:rsid w:val="001E087E"/>
    <w:rsid w:val="001E1DC6"/>
    <w:rsid w:val="001F46C9"/>
    <w:rsid w:val="001F7875"/>
    <w:rsid w:val="002016A2"/>
    <w:rsid w:val="0020235D"/>
    <w:rsid w:val="002025DD"/>
    <w:rsid w:val="00205C94"/>
    <w:rsid w:val="00213EC1"/>
    <w:rsid w:val="00220C1E"/>
    <w:rsid w:val="00223888"/>
    <w:rsid w:val="00225F1A"/>
    <w:rsid w:val="002315C9"/>
    <w:rsid w:val="00245A48"/>
    <w:rsid w:val="00250B6A"/>
    <w:rsid w:val="002568C9"/>
    <w:rsid w:val="00264573"/>
    <w:rsid w:val="0026693A"/>
    <w:rsid w:val="0026736C"/>
    <w:rsid w:val="00272A3C"/>
    <w:rsid w:val="00273C27"/>
    <w:rsid w:val="002765E7"/>
    <w:rsid w:val="002850C5"/>
    <w:rsid w:val="00290C51"/>
    <w:rsid w:val="00293A08"/>
    <w:rsid w:val="002947A1"/>
    <w:rsid w:val="002963E4"/>
    <w:rsid w:val="00297327"/>
    <w:rsid w:val="002B3776"/>
    <w:rsid w:val="002B4F31"/>
    <w:rsid w:val="002C0166"/>
    <w:rsid w:val="002C2E88"/>
    <w:rsid w:val="002C5AE6"/>
    <w:rsid w:val="002E0E37"/>
    <w:rsid w:val="002E2829"/>
    <w:rsid w:val="002E2F9F"/>
    <w:rsid w:val="002E5669"/>
    <w:rsid w:val="002F0EA7"/>
    <w:rsid w:val="002F19FB"/>
    <w:rsid w:val="002F2387"/>
    <w:rsid w:val="002F3452"/>
    <w:rsid w:val="003033B7"/>
    <w:rsid w:val="00321FEC"/>
    <w:rsid w:val="00323E3F"/>
    <w:rsid w:val="00327E3D"/>
    <w:rsid w:val="00327EBE"/>
    <w:rsid w:val="0033024F"/>
    <w:rsid w:val="0033344F"/>
    <w:rsid w:val="00343DE8"/>
    <w:rsid w:val="00345DA0"/>
    <w:rsid w:val="0034772A"/>
    <w:rsid w:val="003546DF"/>
    <w:rsid w:val="00354935"/>
    <w:rsid w:val="003564A6"/>
    <w:rsid w:val="00364366"/>
    <w:rsid w:val="003671F9"/>
    <w:rsid w:val="00370147"/>
    <w:rsid w:val="003859F1"/>
    <w:rsid w:val="003955B4"/>
    <w:rsid w:val="00395E5F"/>
    <w:rsid w:val="00395E65"/>
    <w:rsid w:val="00396DA1"/>
    <w:rsid w:val="003B5056"/>
    <w:rsid w:val="003C5380"/>
    <w:rsid w:val="003C570C"/>
    <w:rsid w:val="003D0006"/>
    <w:rsid w:val="003D2876"/>
    <w:rsid w:val="003D2D74"/>
    <w:rsid w:val="003D6EA5"/>
    <w:rsid w:val="003D7B70"/>
    <w:rsid w:val="003E00F7"/>
    <w:rsid w:val="003E2F4D"/>
    <w:rsid w:val="003F0F46"/>
    <w:rsid w:val="003F272E"/>
    <w:rsid w:val="003F52D6"/>
    <w:rsid w:val="003F58E4"/>
    <w:rsid w:val="003F61FF"/>
    <w:rsid w:val="003F6A0D"/>
    <w:rsid w:val="00400EA7"/>
    <w:rsid w:val="0040104E"/>
    <w:rsid w:val="00401F4A"/>
    <w:rsid w:val="00403CF3"/>
    <w:rsid w:val="00404C06"/>
    <w:rsid w:val="004070E7"/>
    <w:rsid w:val="00417B0E"/>
    <w:rsid w:val="00424923"/>
    <w:rsid w:val="00424B43"/>
    <w:rsid w:val="004254B1"/>
    <w:rsid w:val="004278E4"/>
    <w:rsid w:val="0044044A"/>
    <w:rsid w:val="0045145B"/>
    <w:rsid w:val="004522C3"/>
    <w:rsid w:val="004531AB"/>
    <w:rsid w:val="00460392"/>
    <w:rsid w:val="00460640"/>
    <w:rsid w:val="004637AE"/>
    <w:rsid w:val="004659DA"/>
    <w:rsid w:val="00487B90"/>
    <w:rsid w:val="00495567"/>
    <w:rsid w:val="004A4720"/>
    <w:rsid w:val="004A7687"/>
    <w:rsid w:val="004B3316"/>
    <w:rsid w:val="004C7A57"/>
    <w:rsid w:val="004D5DEA"/>
    <w:rsid w:val="004D7C05"/>
    <w:rsid w:val="004E706B"/>
    <w:rsid w:val="004F1925"/>
    <w:rsid w:val="004F36C6"/>
    <w:rsid w:val="00502E6B"/>
    <w:rsid w:val="0050431C"/>
    <w:rsid w:val="0050442A"/>
    <w:rsid w:val="00507E56"/>
    <w:rsid w:val="0051372A"/>
    <w:rsid w:val="005253D0"/>
    <w:rsid w:val="0052552B"/>
    <w:rsid w:val="00525DC5"/>
    <w:rsid w:val="00540AFE"/>
    <w:rsid w:val="00540C2D"/>
    <w:rsid w:val="00540DB0"/>
    <w:rsid w:val="005517F0"/>
    <w:rsid w:val="005568C7"/>
    <w:rsid w:val="00560D1D"/>
    <w:rsid w:val="00567311"/>
    <w:rsid w:val="00575027"/>
    <w:rsid w:val="00585156"/>
    <w:rsid w:val="005962C3"/>
    <w:rsid w:val="0059681D"/>
    <w:rsid w:val="00597E5C"/>
    <w:rsid w:val="005A0F66"/>
    <w:rsid w:val="005A5E70"/>
    <w:rsid w:val="005B10C3"/>
    <w:rsid w:val="005B5673"/>
    <w:rsid w:val="005C04C1"/>
    <w:rsid w:val="005C26CD"/>
    <w:rsid w:val="005C59D9"/>
    <w:rsid w:val="005C7F23"/>
    <w:rsid w:val="005D18CC"/>
    <w:rsid w:val="005E01C4"/>
    <w:rsid w:val="005E1755"/>
    <w:rsid w:val="005F2573"/>
    <w:rsid w:val="005F7DD7"/>
    <w:rsid w:val="00603087"/>
    <w:rsid w:val="00604627"/>
    <w:rsid w:val="00607EFC"/>
    <w:rsid w:val="00613B06"/>
    <w:rsid w:val="006146C0"/>
    <w:rsid w:val="00617274"/>
    <w:rsid w:val="00623CCF"/>
    <w:rsid w:val="00630DDA"/>
    <w:rsid w:val="0063187C"/>
    <w:rsid w:val="00634E95"/>
    <w:rsid w:val="00636DAE"/>
    <w:rsid w:val="006456C7"/>
    <w:rsid w:val="0065082C"/>
    <w:rsid w:val="00650872"/>
    <w:rsid w:val="0066095D"/>
    <w:rsid w:val="00663EB1"/>
    <w:rsid w:val="00664EEF"/>
    <w:rsid w:val="006656B6"/>
    <w:rsid w:val="00666125"/>
    <w:rsid w:val="0067153C"/>
    <w:rsid w:val="006756FE"/>
    <w:rsid w:val="00675A86"/>
    <w:rsid w:val="006852BF"/>
    <w:rsid w:val="00685B50"/>
    <w:rsid w:val="006A181E"/>
    <w:rsid w:val="006B393A"/>
    <w:rsid w:val="006C282C"/>
    <w:rsid w:val="006C72A6"/>
    <w:rsid w:val="006D1A44"/>
    <w:rsid w:val="006E25D3"/>
    <w:rsid w:val="006E3EC1"/>
    <w:rsid w:val="006E7BAB"/>
    <w:rsid w:val="006F4BFC"/>
    <w:rsid w:val="007016C5"/>
    <w:rsid w:val="00721EDE"/>
    <w:rsid w:val="007225D7"/>
    <w:rsid w:val="00723E10"/>
    <w:rsid w:val="00736118"/>
    <w:rsid w:val="007369DC"/>
    <w:rsid w:val="00741462"/>
    <w:rsid w:val="00742F58"/>
    <w:rsid w:val="00745A3F"/>
    <w:rsid w:val="00747F62"/>
    <w:rsid w:val="007534B1"/>
    <w:rsid w:val="00760B83"/>
    <w:rsid w:val="0076705A"/>
    <w:rsid w:val="00792A70"/>
    <w:rsid w:val="007A123C"/>
    <w:rsid w:val="007A1FA1"/>
    <w:rsid w:val="007A618A"/>
    <w:rsid w:val="007A6C68"/>
    <w:rsid w:val="007B09F3"/>
    <w:rsid w:val="007B29F3"/>
    <w:rsid w:val="007C229E"/>
    <w:rsid w:val="007D397A"/>
    <w:rsid w:val="007D46AE"/>
    <w:rsid w:val="007E0351"/>
    <w:rsid w:val="007F1FB0"/>
    <w:rsid w:val="00800382"/>
    <w:rsid w:val="00807CDA"/>
    <w:rsid w:val="00813823"/>
    <w:rsid w:val="00830F0C"/>
    <w:rsid w:val="00831158"/>
    <w:rsid w:val="00831B33"/>
    <w:rsid w:val="00836D0C"/>
    <w:rsid w:val="00841D94"/>
    <w:rsid w:val="00845949"/>
    <w:rsid w:val="00854ED8"/>
    <w:rsid w:val="008553B6"/>
    <w:rsid w:val="008578A8"/>
    <w:rsid w:val="008608C2"/>
    <w:rsid w:val="00864140"/>
    <w:rsid w:val="00871DA9"/>
    <w:rsid w:val="00880442"/>
    <w:rsid w:val="008828A3"/>
    <w:rsid w:val="00885878"/>
    <w:rsid w:val="00885E54"/>
    <w:rsid w:val="00891A3A"/>
    <w:rsid w:val="00892A56"/>
    <w:rsid w:val="0089324E"/>
    <w:rsid w:val="008947D6"/>
    <w:rsid w:val="00894F83"/>
    <w:rsid w:val="00897605"/>
    <w:rsid w:val="008A19B3"/>
    <w:rsid w:val="008A767B"/>
    <w:rsid w:val="008B2432"/>
    <w:rsid w:val="008B25AA"/>
    <w:rsid w:val="008B2E4F"/>
    <w:rsid w:val="008B2FBA"/>
    <w:rsid w:val="008C0E41"/>
    <w:rsid w:val="008C254C"/>
    <w:rsid w:val="008C2EDD"/>
    <w:rsid w:val="008C32CC"/>
    <w:rsid w:val="008C3DF9"/>
    <w:rsid w:val="008D0238"/>
    <w:rsid w:val="008D1968"/>
    <w:rsid w:val="008E7DBB"/>
    <w:rsid w:val="008F40B1"/>
    <w:rsid w:val="008F6B71"/>
    <w:rsid w:val="008F77C5"/>
    <w:rsid w:val="00906528"/>
    <w:rsid w:val="00911D64"/>
    <w:rsid w:val="00914B6E"/>
    <w:rsid w:val="00922095"/>
    <w:rsid w:val="00926CAD"/>
    <w:rsid w:val="00937A87"/>
    <w:rsid w:val="00952A93"/>
    <w:rsid w:val="009724F7"/>
    <w:rsid w:val="00975CDB"/>
    <w:rsid w:val="00983551"/>
    <w:rsid w:val="00983875"/>
    <w:rsid w:val="00994019"/>
    <w:rsid w:val="009A39D0"/>
    <w:rsid w:val="009A694A"/>
    <w:rsid w:val="009B47EC"/>
    <w:rsid w:val="009C262C"/>
    <w:rsid w:val="009C2AB3"/>
    <w:rsid w:val="009C4E53"/>
    <w:rsid w:val="009D3606"/>
    <w:rsid w:val="009E3D34"/>
    <w:rsid w:val="009E466E"/>
    <w:rsid w:val="00A0008D"/>
    <w:rsid w:val="00A03A08"/>
    <w:rsid w:val="00A072C5"/>
    <w:rsid w:val="00A15C2D"/>
    <w:rsid w:val="00A301AF"/>
    <w:rsid w:val="00A362FF"/>
    <w:rsid w:val="00A40780"/>
    <w:rsid w:val="00A43122"/>
    <w:rsid w:val="00A45BE0"/>
    <w:rsid w:val="00A52455"/>
    <w:rsid w:val="00A54557"/>
    <w:rsid w:val="00A57052"/>
    <w:rsid w:val="00A626ED"/>
    <w:rsid w:val="00A62728"/>
    <w:rsid w:val="00A737B9"/>
    <w:rsid w:val="00A762AB"/>
    <w:rsid w:val="00A835D7"/>
    <w:rsid w:val="00A905C4"/>
    <w:rsid w:val="00A93527"/>
    <w:rsid w:val="00A9751F"/>
    <w:rsid w:val="00AA41A5"/>
    <w:rsid w:val="00AA5601"/>
    <w:rsid w:val="00AA65EF"/>
    <w:rsid w:val="00AB02F2"/>
    <w:rsid w:val="00AB1DF4"/>
    <w:rsid w:val="00AB4D2D"/>
    <w:rsid w:val="00AC5844"/>
    <w:rsid w:val="00AD4FFC"/>
    <w:rsid w:val="00AE11A7"/>
    <w:rsid w:val="00AE1D47"/>
    <w:rsid w:val="00AE2EC5"/>
    <w:rsid w:val="00AF1F38"/>
    <w:rsid w:val="00AF225B"/>
    <w:rsid w:val="00AF291E"/>
    <w:rsid w:val="00AF49F4"/>
    <w:rsid w:val="00AF5472"/>
    <w:rsid w:val="00AF6CD8"/>
    <w:rsid w:val="00B0489A"/>
    <w:rsid w:val="00B05A91"/>
    <w:rsid w:val="00B12925"/>
    <w:rsid w:val="00B13163"/>
    <w:rsid w:val="00B132D7"/>
    <w:rsid w:val="00B211D7"/>
    <w:rsid w:val="00B21CFA"/>
    <w:rsid w:val="00B25949"/>
    <w:rsid w:val="00B30B44"/>
    <w:rsid w:val="00B34B97"/>
    <w:rsid w:val="00B3595D"/>
    <w:rsid w:val="00B4214C"/>
    <w:rsid w:val="00B47F38"/>
    <w:rsid w:val="00B53553"/>
    <w:rsid w:val="00B56661"/>
    <w:rsid w:val="00B5737C"/>
    <w:rsid w:val="00B7337D"/>
    <w:rsid w:val="00B76E90"/>
    <w:rsid w:val="00B83785"/>
    <w:rsid w:val="00B90291"/>
    <w:rsid w:val="00B90FBE"/>
    <w:rsid w:val="00B91258"/>
    <w:rsid w:val="00B93D4B"/>
    <w:rsid w:val="00B95BB9"/>
    <w:rsid w:val="00BA136B"/>
    <w:rsid w:val="00BB1160"/>
    <w:rsid w:val="00BB1E25"/>
    <w:rsid w:val="00BB5DC8"/>
    <w:rsid w:val="00BC4AC4"/>
    <w:rsid w:val="00BD62B2"/>
    <w:rsid w:val="00BD6601"/>
    <w:rsid w:val="00BE4806"/>
    <w:rsid w:val="00BF0C74"/>
    <w:rsid w:val="00BF0DD8"/>
    <w:rsid w:val="00BF1516"/>
    <w:rsid w:val="00BF2CD1"/>
    <w:rsid w:val="00BF3A9F"/>
    <w:rsid w:val="00C10335"/>
    <w:rsid w:val="00C10DD0"/>
    <w:rsid w:val="00C11FAC"/>
    <w:rsid w:val="00C1509C"/>
    <w:rsid w:val="00C15A44"/>
    <w:rsid w:val="00C170EC"/>
    <w:rsid w:val="00C22C2E"/>
    <w:rsid w:val="00C23590"/>
    <w:rsid w:val="00C36CC7"/>
    <w:rsid w:val="00C377E4"/>
    <w:rsid w:val="00C43F5A"/>
    <w:rsid w:val="00C52D72"/>
    <w:rsid w:val="00C675FE"/>
    <w:rsid w:val="00C738A0"/>
    <w:rsid w:val="00CA4794"/>
    <w:rsid w:val="00CA7454"/>
    <w:rsid w:val="00CB1058"/>
    <w:rsid w:val="00CB365D"/>
    <w:rsid w:val="00CC0E43"/>
    <w:rsid w:val="00CC2070"/>
    <w:rsid w:val="00CC7651"/>
    <w:rsid w:val="00CD5D1E"/>
    <w:rsid w:val="00CD6B18"/>
    <w:rsid w:val="00D03F34"/>
    <w:rsid w:val="00D1493F"/>
    <w:rsid w:val="00D16D18"/>
    <w:rsid w:val="00D33B8C"/>
    <w:rsid w:val="00D36483"/>
    <w:rsid w:val="00D36A72"/>
    <w:rsid w:val="00D42A73"/>
    <w:rsid w:val="00D4779D"/>
    <w:rsid w:val="00D5529F"/>
    <w:rsid w:val="00D6745B"/>
    <w:rsid w:val="00D7022F"/>
    <w:rsid w:val="00D765C7"/>
    <w:rsid w:val="00D774F5"/>
    <w:rsid w:val="00D84860"/>
    <w:rsid w:val="00D85F28"/>
    <w:rsid w:val="00D92D3F"/>
    <w:rsid w:val="00D95C78"/>
    <w:rsid w:val="00DA341C"/>
    <w:rsid w:val="00DB08E2"/>
    <w:rsid w:val="00DB299C"/>
    <w:rsid w:val="00DB3F82"/>
    <w:rsid w:val="00DB4CF3"/>
    <w:rsid w:val="00DB584C"/>
    <w:rsid w:val="00DC08DD"/>
    <w:rsid w:val="00DD322D"/>
    <w:rsid w:val="00DD34F3"/>
    <w:rsid w:val="00DD51C2"/>
    <w:rsid w:val="00DE1EB7"/>
    <w:rsid w:val="00DE3A31"/>
    <w:rsid w:val="00DE3D9A"/>
    <w:rsid w:val="00DE649B"/>
    <w:rsid w:val="00DE6C58"/>
    <w:rsid w:val="00DF718D"/>
    <w:rsid w:val="00E02266"/>
    <w:rsid w:val="00E06A8E"/>
    <w:rsid w:val="00E1444F"/>
    <w:rsid w:val="00E21AA3"/>
    <w:rsid w:val="00E257AB"/>
    <w:rsid w:val="00E26AD8"/>
    <w:rsid w:val="00E2761A"/>
    <w:rsid w:val="00E30603"/>
    <w:rsid w:val="00E30CEF"/>
    <w:rsid w:val="00E32BDB"/>
    <w:rsid w:val="00E44A50"/>
    <w:rsid w:val="00E4548C"/>
    <w:rsid w:val="00E509CD"/>
    <w:rsid w:val="00E50FD9"/>
    <w:rsid w:val="00E51F41"/>
    <w:rsid w:val="00E53D36"/>
    <w:rsid w:val="00E542E1"/>
    <w:rsid w:val="00E65EC2"/>
    <w:rsid w:val="00E671A5"/>
    <w:rsid w:val="00E70774"/>
    <w:rsid w:val="00E71A33"/>
    <w:rsid w:val="00E73749"/>
    <w:rsid w:val="00E8063E"/>
    <w:rsid w:val="00E8202E"/>
    <w:rsid w:val="00E8551C"/>
    <w:rsid w:val="00EA2BA9"/>
    <w:rsid w:val="00EA3BC2"/>
    <w:rsid w:val="00EA489B"/>
    <w:rsid w:val="00EB3514"/>
    <w:rsid w:val="00EB4A08"/>
    <w:rsid w:val="00EC0699"/>
    <w:rsid w:val="00EC18D5"/>
    <w:rsid w:val="00EC1ECA"/>
    <w:rsid w:val="00EC3A70"/>
    <w:rsid w:val="00EC509E"/>
    <w:rsid w:val="00ED3B09"/>
    <w:rsid w:val="00ED744E"/>
    <w:rsid w:val="00EE0A22"/>
    <w:rsid w:val="00EE1C0B"/>
    <w:rsid w:val="00EE32DC"/>
    <w:rsid w:val="00EE3CD3"/>
    <w:rsid w:val="00EF1B30"/>
    <w:rsid w:val="00EF27A1"/>
    <w:rsid w:val="00EF2CA0"/>
    <w:rsid w:val="00F02ACA"/>
    <w:rsid w:val="00F11D95"/>
    <w:rsid w:val="00F13E82"/>
    <w:rsid w:val="00F255F9"/>
    <w:rsid w:val="00F3183F"/>
    <w:rsid w:val="00F31CB9"/>
    <w:rsid w:val="00F417E3"/>
    <w:rsid w:val="00F4601E"/>
    <w:rsid w:val="00F55684"/>
    <w:rsid w:val="00F5757F"/>
    <w:rsid w:val="00F74E6A"/>
    <w:rsid w:val="00F77E55"/>
    <w:rsid w:val="00F90142"/>
    <w:rsid w:val="00F92B46"/>
    <w:rsid w:val="00F947CB"/>
    <w:rsid w:val="00F94EAB"/>
    <w:rsid w:val="00FA7BDF"/>
    <w:rsid w:val="00FB3523"/>
    <w:rsid w:val="00FB4CDC"/>
    <w:rsid w:val="00FB5C65"/>
    <w:rsid w:val="00FB6102"/>
    <w:rsid w:val="00FB7AB2"/>
    <w:rsid w:val="00FC3E3F"/>
    <w:rsid w:val="00FC5E65"/>
    <w:rsid w:val="00FC610D"/>
    <w:rsid w:val="00FE0086"/>
    <w:rsid w:val="00FF07A1"/>
    <w:rsid w:val="00FF21DF"/>
    <w:rsid w:val="00FF6F5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42BEA21"/>
  <w15:docId w15:val="{AD27FABD-81E5-4E4D-B7CB-78EC2170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1317"/>
  </w:style>
  <w:style w:type="paragraph" w:styleId="Heading1">
    <w:name w:val="heading 1"/>
    <w:basedOn w:val="Normal"/>
    <w:next w:val="Normal"/>
    <w:qFormat/>
    <w:rsid w:val="0017131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171317"/>
    <w:pPr>
      <w:keepNext/>
      <w:widowControl w:val="0"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13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131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71317"/>
    <w:pPr>
      <w:spacing w:after="120"/>
    </w:pPr>
  </w:style>
  <w:style w:type="paragraph" w:styleId="BodyTextIndent">
    <w:name w:val="Body Text Indent"/>
    <w:basedOn w:val="Normal"/>
    <w:rsid w:val="00171317"/>
    <w:pPr>
      <w:ind w:left="360"/>
    </w:pPr>
    <w:rPr>
      <w:sz w:val="24"/>
    </w:rPr>
  </w:style>
  <w:style w:type="character" w:styleId="Hyperlink">
    <w:name w:val="Hyperlink"/>
    <w:basedOn w:val="DefaultParagraphFont"/>
    <w:rsid w:val="00B5737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737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37B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FC610D"/>
    <w:rPr>
      <w:b/>
      <w:bCs/>
    </w:rPr>
  </w:style>
  <w:style w:type="table" w:styleId="TableGrid">
    <w:name w:val="Table Grid"/>
    <w:basedOn w:val="TableNormal"/>
    <w:uiPriority w:val="59"/>
    <w:rsid w:val="00A45B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rsid w:val="00911D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1D64"/>
  </w:style>
  <w:style w:type="character" w:customStyle="1" w:styleId="CommentTextChar">
    <w:name w:val="Comment Text Char"/>
    <w:basedOn w:val="DefaultParagraphFont"/>
    <w:link w:val="CommentText"/>
    <w:rsid w:val="00911D64"/>
  </w:style>
  <w:style w:type="paragraph" w:styleId="CommentSubject">
    <w:name w:val="annotation subject"/>
    <w:basedOn w:val="CommentText"/>
    <w:next w:val="CommentText"/>
    <w:link w:val="CommentSubjectChar"/>
    <w:rsid w:val="00911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1D64"/>
    <w:rPr>
      <w:b/>
      <w:bCs/>
    </w:rPr>
  </w:style>
  <w:style w:type="paragraph" w:customStyle="1" w:styleId="Default">
    <w:name w:val="Default"/>
    <w:rsid w:val="001360F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53D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4E9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906528"/>
  </w:style>
  <w:style w:type="paragraph" w:styleId="Caption">
    <w:name w:val="caption"/>
    <w:basedOn w:val="Normal"/>
    <w:next w:val="Normal"/>
    <w:unhideWhenUsed/>
    <w:qFormat/>
    <w:rsid w:val="002F3452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Normalcontinued">
    <w:name w:val="Normal (continued)"/>
    <w:basedOn w:val="Normal"/>
    <w:next w:val="Normal"/>
    <w:qFormat/>
    <w:rsid w:val="00B30B44"/>
    <w:pPr>
      <w:spacing w:line="48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D5529F"/>
    <w:pPr>
      <w:ind w:left="720"/>
    </w:pPr>
    <w:rPr>
      <w:rFonts w:ascii="Calibri" w:hAnsi="Calibri" w:eastAsiaTheme="minorHAns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63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image" Target="media/image4.png" /><Relationship Id="rId13" Type="http://schemas.openxmlformats.org/officeDocument/2006/relationships/image" Target="media/image5.png" /><Relationship Id="rId14" Type="http://schemas.openxmlformats.org/officeDocument/2006/relationships/image" Target="media/image6.png" /><Relationship Id="rId15" Type="http://schemas.openxmlformats.org/officeDocument/2006/relationships/image" Target="media/image7.png" /><Relationship Id="rId16" Type="http://schemas.openxmlformats.org/officeDocument/2006/relationships/image" Target="media/image8.png" /><Relationship Id="rId17" Type="http://schemas.openxmlformats.org/officeDocument/2006/relationships/image" Target="media/image9.png" /><Relationship Id="rId18" Type="http://schemas.openxmlformats.org/officeDocument/2006/relationships/image" Target="media/image10.png" /><Relationship Id="rId19" Type="http://schemas.openxmlformats.org/officeDocument/2006/relationships/image" Target="media/image11.png" /><Relationship Id="rId2" Type="http://schemas.openxmlformats.org/officeDocument/2006/relationships/webSettings" Target="webSettings.xml" /><Relationship Id="rId20" Type="http://schemas.openxmlformats.org/officeDocument/2006/relationships/image" Target="media/image12.png" /><Relationship Id="rId21" Type="http://schemas.openxmlformats.org/officeDocument/2006/relationships/image" Target="media/image13.png" /><Relationship Id="rId22" Type="http://schemas.openxmlformats.org/officeDocument/2006/relationships/image" Target="media/image14.png" /><Relationship Id="rId23" Type="http://schemas.openxmlformats.org/officeDocument/2006/relationships/image" Target="media/image15.png" /><Relationship Id="rId24" Type="http://schemas.openxmlformats.org/officeDocument/2006/relationships/image" Target="media/image16.png" /><Relationship Id="rId25" Type="http://schemas.openxmlformats.org/officeDocument/2006/relationships/image" Target="media/image17.png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wmf" /><Relationship Id="rId9" Type="http://schemas.openxmlformats.org/officeDocument/2006/relationships/hyperlink" Target="https://gcc02.safelinks.protection.outlook.com/?url=http%3A%2F%2Fwww.performance.gov%2Fcx%2Fassets%2Ffiles%2F2022-OMB-Circular-A11-Section-280.pdf&amp;data=05%7C01%7C%7Cdad8897fd61c48f22c8f08db55743d3d%7Ced5b36e701ee4ebc867ee03cfa0d4697%7C0%7C0%7C638197729949377714%7CUnknown%7CTWFpbGZsb3d8eyJWIjoiMC4wLjAwMDAiLCJQIjoiV2luMzIiLCJBTiI6Ik1haWwiLCJXVCI6Mn0%3D%7C3000%7C%7C%7C&amp;sdata=hLVjKJEu9FdvpABG6wzakudvEQS70mXv%2B5GFBlpC%2BQE%3D&amp;reserved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72909085-e45b-4cb2-8078-2e93f647589c"/>
    <lcf76f155ced4ddcb4097134ff3c332f xmlns="a66792a8-2fd5-41c3-b912-80b66a6e2f5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9A9900D482140AB38DE48D8564535" ma:contentTypeVersion="14" ma:contentTypeDescription="Create a new document." ma:contentTypeScope="" ma:versionID="f45604cd0c0d17163da004b7afd82b4c">
  <xsd:schema xmlns:xsd="http://www.w3.org/2001/XMLSchema" xmlns:xs="http://www.w3.org/2001/XMLSchema" xmlns:p="http://schemas.microsoft.com/office/2006/metadata/properties" xmlns:ns2="a66792a8-2fd5-41c3-b912-80b66a6e2f55" xmlns:ns3="72909085-e45b-4cb2-8078-2e93f647589c" targetNamespace="http://schemas.microsoft.com/office/2006/metadata/properties" ma:root="true" ma:fieldsID="fdea4da9601368bd099ba00f5d81a133" ns2:_="" ns3:_="">
    <xsd:import namespace="a66792a8-2fd5-41c3-b912-80b66a6e2f55"/>
    <xsd:import namespace="72909085-e45b-4cb2-8078-2e93f6475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792a8-2fd5-41c3-b912-80b66a6e2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9085-e45b-4cb2-8078-2e93f6475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b73ab8c-e0b9-451e-b7ca-e1a9de3f7530}" ma:internalName="TaxCatchAll" ma:showField="CatchAllData" ma:web="72909085-e45b-4cb2-8078-2e93f6475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40B123-C7D7-4D1B-9551-5C392AEB7758}">
  <ds:schemaRefs>
    <ds:schemaRef ds:uri="http://schemas.microsoft.com/office/2006/metadata/properties"/>
    <ds:schemaRef ds:uri="72909085-e45b-4cb2-8078-2e93f647589c"/>
    <ds:schemaRef ds:uri="a66792a8-2fd5-41c3-b912-80b66a6e2f55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DB4933-94D4-4B6F-A4D5-3BC121DDDC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E05F33-AE9A-430E-BD7A-CCC5C87D2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792a8-2fd5-41c3-b912-80b66a6e2f55"/>
    <ds:schemaRef ds:uri="72909085-e45b-4cb2-8078-2e93f6475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2B2141-7350-41E1-8F3A-A0E39A883D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ICR Justification Merge Memo</vt:lpstr>
    </vt:vector>
  </TitlesOfParts>
  <Company>USDA FSC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ICR Justification Merge Memo</dc:title>
  <dc:creator>USDA FCS</dc:creator>
  <cp:lastModifiedBy>Franklin, Jamia - FNS</cp:lastModifiedBy>
  <cp:revision>3</cp:revision>
  <cp:lastPrinted>2013-01-16T15:27:00Z</cp:lastPrinted>
  <dcterms:created xsi:type="dcterms:W3CDTF">2023-11-27T22:44:00Z</dcterms:created>
  <dcterms:modified xsi:type="dcterms:W3CDTF">2023-11-28T12:32:00Z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0x01010023E9A9900D482140AB38DE48D8564535</vt:lpwstr>
  </property>
  <property fmtid="{D5CDD505-2E9C-101B-9397-08002B2CF9AE}" pid="3" name="Order">
    <vt:r8>900</vt:r8>
  </property>
</Properties>
</file>