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79B2">
      <w:pPr>
        <w:pStyle w:val="Heading1"/>
        <w:ind w:left="0"/>
        <w:jc w:val="center"/>
      </w:pPr>
      <w:r>
        <w:t>SUPPORTING STATEMENT</w:t>
      </w:r>
    </w:p>
    <w:p w:rsidR="00FF79B2">
      <w:pPr>
        <w:spacing w:before="22" w:line="259" w:lineRule="auto"/>
        <w:ind w:firstLine="14"/>
        <w:jc w:val="center"/>
        <w:rPr>
          <w:b/>
        </w:rPr>
      </w:pPr>
      <w:r>
        <w:rPr>
          <w:b/>
        </w:rPr>
        <w:t>U.S. Department of Commerce</w:t>
      </w:r>
    </w:p>
    <w:p w:rsidR="00FF79B2">
      <w:pPr>
        <w:spacing w:before="22" w:line="259" w:lineRule="auto"/>
        <w:ind w:firstLine="14"/>
        <w:jc w:val="center"/>
        <w:rPr>
          <w:b/>
        </w:rPr>
      </w:pPr>
      <w:r>
        <w:rPr>
          <w:b/>
        </w:rPr>
        <w:t>National Oceanic &amp; Atmospheric Administration</w:t>
      </w:r>
    </w:p>
    <w:p w:rsidR="007439F6">
      <w:pPr>
        <w:spacing w:line="259" w:lineRule="auto"/>
        <w:ind w:hanging="6"/>
        <w:jc w:val="center"/>
        <w:rPr>
          <w:b/>
        </w:rPr>
      </w:pPr>
      <w:r>
        <w:rPr>
          <w:b/>
          <w:bCs/>
        </w:rPr>
        <w:t>SALMON BYCATCH MINIMIZATION INFORMATION</w:t>
      </w:r>
      <w:r w:rsidRPr="00FD41D6">
        <w:rPr>
          <w:b/>
          <w:bCs/>
        </w:rPr>
        <w:t xml:space="preserve"> </w:t>
      </w:r>
      <w:r>
        <w:rPr>
          <w:b/>
          <w:bCs/>
        </w:rPr>
        <w:t>COLLECTION</w:t>
      </w:r>
      <w:r>
        <w:rPr>
          <w:b/>
        </w:rPr>
        <w:t xml:space="preserve"> </w:t>
      </w:r>
    </w:p>
    <w:p w:rsidR="00FF79B2">
      <w:pPr>
        <w:spacing w:line="259" w:lineRule="auto"/>
        <w:ind w:hanging="6"/>
        <w:jc w:val="center"/>
        <w:rPr>
          <w:b/>
        </w:rPr>
      </w:pPr>
      <w:r>
        <w:rPr>
          <w:b/>
        </w:rPr>
        <w:t>OMB Control No. 0648-</w:t>
      </w:r>
      <w:r w:rsidR="007439F6">
        <w:rPr>
          <w:b/>
        </w:rPr>
        <w:t>0794</w:t>
      </w:r>
    </w:p>
    <w:p w:rsidR="00FF79B2">
      <w:pPr>
        <w:pBdr>
          <w:top w:val="nil"/>
          <w:left w:val="nil"/>
          <w:bottom w:val="nil"/>
          <w:right w:val="nil"/>
          <w:between w:val="nil"/>
        </w:pBdr>
        <w:spacing w:before="1"/>
        <w:jc w:val="center"/>
        <w:rPr>
          <w:b/>
          <w:color w:val="000000"/>
        </w:rPr>
      </w:pPr>
    </w:p>
    <w:p w:rsidR="00FF79B2" w:rsidP="007439F6">
      <w:pPr>
        <w:spacing w:before="1" w:line="398" w:lineRule="auto"/>
        <w:rPr>
          <w:b/>
        </w:rPr>
      </w:pPr>
      <w:r>
        <w:rPr>
          <w:b/>
          <w:color w:val="000000"/>
        </w:rPr>
        <w:t>SUPPORTING STATEMENT PART A</w:t>
      </w:r>
      <w:r>
        <w:rPr>
          <w:b/>
          <w:color w:val="1F497D"/>
        </w:rPr>
        <w:t xml:space="preserve"> - </w:t>
      </w:r>
    </w:p>
    <w:p w:rsidR="007A0802">
      <w:pPr>
        <w:pStyle w:val="Heading1"/>
        <w:spacing w:before="199"/>
        <w:ind w:left="0"/>
      </w:pPr>
      <w:r>
        <w:t>Abstract</w:t>
      </w:r>
    </w:p>
    <w:p w:rsidR="007A0802">
      <w:pPr>
        <w:pStyle w:val="Heading1"/>
        <w:spacing w:before="199"/>
        <w:ind w:left="0"/>
      </w:pPr>
    </w:p>
    <w:p w:rsidR="007A0802" w:rsidRPr="008F103B" w:rsidP="007A0802">
      <w:pPr>
        <w:tabs>
          <w:tab w:val="left" w:pos="0"/>
        </w:tabs>
        <w:rPr>
          <w:rFonts w:ascii="Arial" w:hAnsi="Arial" w:cs="Arial"/>
          <w:shd w:val="clear" w:color="auto" w:fill="FFFFFF"/>
        </w:rPr>
      </w:pPr>
      <w:r w:rsidRPr="007A0802">
        <w:t>This request is for an extension of a previously-approved collection. No changes to the collection are included.</w:t>
      </w:r>
      <w:r>
        <w:rPr>
          <w:b/>
        </w:rPr>
        <w:t xml:space="preserve"> </w:t>
      </w:r>
      <w:r>
        <w:rPr>
          <w:shd w:val="clear" w:color="auto" w:fill="FFFFFF"/>
        </w:rPr>
        <w:t>The</w:t>
      </w:r>
      <w:r w:rsidRPr="008F103B">
        <w:rPr>
          <w:shd w:val="clear" w:color="auto" w:fill="FFFFFF"/>
        </w:rPr>
        <w:t xml:space="preserve"> information collection </w:t>
      </w:r>
      <w:r>
        <w:rPr>
          <w:shd w:val="clear" w:color="auto" w:fill="FFFFFF"/>
        </w:rPr>
        <w:t xml:space="preserve">was originally developed </w:t>
      </w:r>
      <w:r w:rsidRPr="008F103B">
        <w:rPr>
          <w:shd w:val="clear" w:color="auto" w:fill="FFFFFF"/>
        </w:rPr>
        <w:t>pursuant to proposed rule 0648-B</w:t>
      </w:r>
      <w:r>
        <w:rPr>
          <w:shd w:val="clear" w:color="auto" w:fill="FFFFFF"/>
        </w:rPr>
        <w:t>J50</w:t>
      </w:r>
      <w:r w:rsidRPr="008F103B">
        <w:rPr>
          <w:shd w:val="clear" w:color="auto" w:fill="FFFFFF"/>
        </w:rPr>
        <w:t xml:space="preserve"> to</w:t>
      </w:r>
      <w:r>
        <w:rPr>
          <w:shd w:val="clear" w:color="auto" w:fill="FFFFFF"/>
        </w:rPr>
        <w:t xml:space="preserve"> minimize Endangered Species Act (ESA)-listed salmon bycatch in the Pacific Coast groundfish fishery</w:t>
      </w:r>
      <w:r w:rsidRPr="008F103B">
        <w:rPr>
          <w:shd w:val="clear" w:color="auto" w:fill="FFFFFF"/>
        </w:rPr>
        <w:t>.</w:t>
      </w:r>
      <w:r>
        <w:rPr>
          <w:shd w:val="clear" w:color="auto" w:fill="FFFFFF"/>
        </w:rPr>
        <w:t xml:space="preserve">  The collection relates to the voluntary submission of Salmon Mitigation Plans (SMP) and associated postseason reports by groups of Pacific whiting fishery vessels.</w:t>
      </w:r>
    </w:p>
    <w:p w:rsidR="00FF79B2">
      <w:pPr>
        <w:pStyle w:val="Heading1"/>
        <w:spacing w:before="124"/>
        <w:ind w:left="0"/>
      </w:pPr>
      <w:r>
        <w:t>Justification</w:t>
      </w:r>
    </w:p>
    <w:p w:rsidR="00FF79B2">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0802" w:rsidP="007A0802">
      <w:pPr>
        <w:pBdr>
          <w:top w:val="nil"/>
          <w:left w:val="nil"/>
          <w:bottom w:val="nil"/>
          <w:right w:val="nil"/>
          <w:between w:val="nil"/>
        </w:pBdr>
        <w:tabs>
          <w:tab w:val="left" w:pos="360"/>
        </w:tabs>
        <w:spacing w:before="182" w:line="259" w:lineRule="auto"/>
        <w:rPr>
          <w:b/>
          <w:color w:val="000000"/>
        </w:rPr>
      </w:pPr>
    </w:p>
    <w:p w:rsidR="007A0802" w:rsidRPr="007A0802" w:rsidP="007A0802">
      <w:r w:rsidRPr="007A0802">
        <w:t>At its November 2019 meeting, the Council recommended a process by which NMFS would approve an SMP submitted by a cooperative or group of Pacific whiting vessels. In order to implement the SMP proposal and approval process this collection of information is necessary.</w:t>
      </w:r>
    </w:p>
    <w:p w:rsidR="007A0802" w:rsidRPr="007A0802" w:rsidP="007A0802"/>
    <w:p w:rsidR="004E331F" w:rsidP="004E331F">
      <w:pPr>
        <w:tabs>
          <w:tab w:val="left" w:pos="0"/>
        </w:tabs>
      </w:pPr>
      <w:r>
        <w:t>The</w:t>
      </w:r>
      <w:r w:rsidRPr="004C2ACA">
        <w:t xml:space="preserve"> </w:t>
      </w:r>
      <w:r>
        <w:t xml:space="preserve">purpose of an SMP is to foster intra-industry measures to mitigate salmon bycatch in the whiting fisheries. The SMP is a voluntary agreement by </w:t>
      </w:r>
      <w:r w:rsidRPr="00693C6F">
        <w:t>a Pacific whiting fishery Mothership</w:t>
      </w:r>
      <w:r>
        <w:t xml:space="preserve"> (MS)</w:t>
      </w:r>
      <w:r w:rsidRPr="00693C6F">
        <w:t>, Catcher/processor</w:t>
      </w:r>
      <w:r>
        <w:t xml:space="preserve"> (C/P)</w:t>
      </w:r>
      <w:r w:rsidRPr="00693C6F">
        <w:t xml:space="preserve">, or </w:t>
      </w:r>
      <w:r>
        <w:t>Pacific whiting</w:t>
      </w:r>
      <w:r w:rsidRPr="00693C6F">
        <w:t xml:space="preserve"> </w:t>
      </w:r>
      <w:r>
        <w:rPr>
          <w:bCs/>
        </w:rPr>
        <w:t>individual fishing quota (IFQ)</w:t>
      </w:r>
      <w:r>
        <w:t xml:space="preserve"> fishery</w:t>
      </w:r>
      <w:r w:rsidRPr="00693C6F">
        <w:t xml:space="preserve"> </w:t>
      </w:r>
      <w:r>
        <w:t>group</w:t>
      </w:r>
      <w:r w:rsidRPr="00693C6F">
        <w:t xml:space="preserve"> to manage Chinook salmon bycatch</w:t>
      </w:r>
      <w:r>
        <w:t xml:space="preserve">. </w:t>
      </w:r>
      <w:r w:rsidR="002346F4">
        <w:t>Participation in an SMP also affords vessels the opportunity to access a “reserve” of salmon bycatch</w:t>
      </w:r>
      <w:r w:rsidR="00412836">
        <w:t xml:space="preserve"> take</w:t>
      </w:r>
      <w:r w:rsidR="002346F4">
        <w:t xml:space="preserve">. </w:t>
      </w:r>
      <w:r>
        <w:t>The SMP is reviewed and approved by NMFS. Those groups with an approved SMP are required to provide an annual postseason report to the Council and NMFS no later than March 31. The report describes the group’s use of Chinook salmon bycatch avoidance measures and an evaluation of the effectiveness of those measures. It also describes any amendments to the terms of the</w:t>
      </w:r>
      <w:r w:rsidRPr="00B21968">
        <w:t xml:space="preserve"> SMP that were approved by NMFS </w:t>
      </w:r>
      <w:r>
        <w:t xml:space="preserve">during the fishing year in which the SMP was approved </w:t>
      </w:r>
      <w:r w:rsidRPr="00B21968">
        <w:t>and the reasons that the amendments to the SMP were made.</w:t>
      </w:r>
      <w:r>
        <w:t xml:space="preserve"> </w:t>
      </w:r>
    </w:p>
    <w:p w:rsidR="007A0802" w:rsidRPr="007A0802" w:rsidP="007A0802"/>
    <w:p w:rsidR="007A0802" w:rsidRPr="007A0802" w:rsidP="007A0802">
      <w:r w:rsidRPr="007A0802">
        <w:t>This information collection describes the application requirements for submitting an SMP to NMFS for approval, as well as an associated postseason report focused specifically on efforts to minimize Chinook salmon bycatch in the Pacific whiting fishery.</w:t>
      </w:r>
    </w:p>
    <w:p w:rsidR="007A0802" w:rsidRPr="007A0802" w:rsidP="007A0802"/>
    <w:p w:rsidR="007A0802" w:rsidRPr="007A0802" w:rsidP="007A0802">
      <w:r w:rsidRPr="007A0802">
        <w:t xml:space="preserve">There are no forms associated with this information collection. Regulations requiring information collection </w:t>
      </w:r>
      <w:r>
        <w:t>were</w:t>
      </w:r>
      <w:r w:rsidRPr="007A0802">
        <w:t xml:space="preserve"> added at 50 CFR 660.113. These regulatory changes </w:t>
      </w:r>
      <w:r>
        <w:t>were</w:t>
      </w:r>
      <w:r w:rsidRPr="007A0802">
        <w:t xml:space="preserve"> outlined in a proposed </w:t>
      </w:r>
      <w:r>
        <w:t xml:space="preserve">and final </w:t>
      </w:r>
      <w:r w:rsidRPr="007A0802">
        <w:t>rule (RIN 0648-BJ50).</w:t>
      </w:r>
    </w:p>
    <w:p w:rsidR="00FF79B2">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676F39" w:rsidP="00676F39">
      <w:pPr>
        <w:pStyle w:val="Heading1"/>
        <w:tabs>
          <w:tab w:val="left" w:pos="360"/>
        </w:tabs>
        <w:spacing w:before="197"/>
        <w:ind w:left="0"/>
      </w:pPr>
    </w:p>
    <w:p w:rsidR="00676F39" w:rsidP="00676F39">
      <w:r>
        <w:t xml:space="preserve">Each collection item below is numbered, and the number corresponds to the burden estimate table under Question 12. </w:t>
      </w:r>
    </w:p>
    <w:p w:rsidR="00676F39" w:rsidP="00676F39">
      <w:pPr>
        <w:rPr>
          <w:i/>
        </w:rPr>
      </w:pPr>
    </w:p>
    <w:p w:rsidR="00676F39" w:rsidRPr="002E0287" w:rsidP="00676F39">
      <w:pPr>
        <w:pStyle w:val="ListParagraph"/>
        <w:numPr>
          <w:ilvl w:val="0"/>
          <w:numId w:val="12"/>
        </w:numPr>
        <w:autoSpaceDE w:val="0"/>
        <w:autoSpaceDN w:val="0"/>
        <w:adjustRightInd w:val="0"/>
        <w:spacing w:before="0"/>
        <w:contextualSpacing/>
        <w:rPr>
          <w:i/>
        </w:rPr>
      </w:pPr>
      <w:r w:rsidRPr="002E0287">
        <w:rPr>
          <w:i/>
        </w:rPr>
        <w:t xml:space="preserve">Salmon Mitigation Plan (SMP) proposal </w:t>
      </w:r>
    </w:p>
    <w:p w:rsidR="00676F39" w:rsidP="00676F39"/>
    <w:p w:rsidR="00676F39" w:rsidP="00676F39">
      <w:r w:rsidRPr="00E33264">
        <w:t xml:space="preserve">An SMP is a voluntary agreement by a </w:t>
      </w:r>
      <w:r>
        <w:t xml:space="preserve">group of at least three vessels in the </w:t>
      </w:r>
      <w:r w:rsidRPr="00E33264">
        <w:t>Mothership</w:t>
      </w:r>
      <w:r>
        <w:t xml:space="preserve"> Coop Program</w:t>
      </w:r>
      <w:r w:rsidRPr="00E33264">
        <w:t>, Catcher/processor</w:t>
      </w:r>
      <w:r>
        <w:t xml:space="preserve"> Coop Program</w:t>
      </w:r>
      <w:r w:rsidRPr="00E33264">
        <w:t xml:space="preserve">, or </w:t>
      </w:r>
      <w:r>
        <w:t>Pacific whiting</w:t>
      </w:r>
      <w:r w:rsidRPr="00E33264">
        <w:t xml:space="preserve"> IFQ</w:t>
      </w:r>
      <w:r>
        <w:t xml:space="preserve"> fishery</w:t>
      </w:r>
      <w:r w:rsidRPr="00E33264">
        <w:t xml:space="preserve"> to manage Chinook salmon bycatch. This agreement is approved by NMFS.  An approved SMP provides vessels</w:t>
      </w:r>
      <w:r>
        <w:t xml:space="preserve"> party to the SMP with</w:t>
      </w:r>
      <w:r w:rsidRPr="00E33264">
        <w:t xml:space="preserve"> access to the Chinook salmon bycatch reserve.</w:t>
      </w:r>
      <w:r>
        <w:t xml:space="preserve"> </w:t>
      </w:r>
      <w:r w:rsidRPr="00E33264">
        <w:t xml:space="preserve">Participation in an SMP is voluntary; however, any vessel that chooses not to participate in an SMP would be subject to additional salmon bycatch minimization measures prior to being allowed access to the </w:t>
      </w:r>
      <w:r>
        <w:t>r</w:t>
      </w:r>
      <w:r w:rsidRPr="00E33264">
        <w:t>eserve.</w:t>
      </w:r>
    </w:p>
    <w:p w:rsidR="00676F39" w:rsidP="00676F39"/>
    <w:p w:rsidR="00676F39" w:rsidRPr="00E33264" w:rsidP="00676F39">
      <w:r w:rsidRPr="00E33264">
        <w:t xml:space="preserve">The </w:t>
      </w:r>
      <w:r>
        <w:t xml:space="preserve">designated </w:t>
      </w:r>
      <w:r w:rsidRPr="00E33264">
        <w:t xml:space="preserve">SMP representative </w:t>
      </w:r>
      <w:r>
        <w:t xml:space="preserve">annually </w:t>
      </w:r>
      <w:r w:rsidRPr="00E33264">
        <w:t>submits the proposed SMP to NMFS e</w:t>
      </w:r>
      <w:r>
        <w:t xml:space="preserve">ither electronically or by mail </w:t>
      </w:r>
      <w:r w:rsidRPr="00970BAA">
        <w:t>between February 1 and March 31 of the year in which it intends to be in effect</w:t>
      </w:r>
      <w:r>
        <w:t>. NMFS use</w:t>
      </w:r>
      <w:r w:rsidR="00C532F4">
        <w:t>s</w:t>
      </w:r>
      <w:r>
        <w:t xml:space="preserve"> the information to evaluate the submission and approve or deny the plan based on the SMP requirements described below. Once approved, an SMP is effective until December 31 of that year. </w:t>
      </w:r>
      <w:r w:rsidRPr="00AB2B94">
        <w:t xml:space="preserve">We estimate that we may receive </w:t>
      </w:r>
      <w:r>
        <w:t>up to six</w:t>
      </w:r>
      <w:r w:rsidRPr="00AB2B94">
        <w:t xml:space="preserve"> SMP</w:t>
      </w:r>
      <w:r>
        <w:t xml:space="preserve"> proposals</w:t>
      </w:r>
      <w:r w:rsidRPr="00AB2B94">
        <w:t xml:space="preserve"> per year over the next three years.</w:t>
      </w:r>
    </w:p>
    <w:p w:rsidR="00676F39" w:rsidP="00676F39"/>
    <w:p w:rsidR="00676F39" w:rsidP="00676F39">
      <w:r>
        <w:t>An SMP must include the following information:</w:t>
      </w:r>
    </w:p>
    <w:p w:rsidR="00676F39" w:rsidP="00676F39"/>
    <w:p w:rsidR="00676F39" w:rsidRPr="00751E43" w:rsidP="00676F39">
      <w:pPr>
        <w:pStyle w:val="ListParagraph"/>
        <w:numPr>
          <w:ilvl w:val="0"/>
          <w:numId w:val="14"/>
        </w:numPr>
        <w:autoSpaceDE w:val="0"/>
        <w:autoSpaceDN w:val="0"/>
        <w:adjustRightInd w:val="0"/>
        <w:spacing w:before="0"/>
        <w:contextualSpacing/>
      </w:pPr>
      <w:r w:rsidRPr="00751E43">
        <w:t>Name of the SMP</w:t>
      </w:r>
    </w:p>
    <w:p w:rsidR="00676F39" w:rsidRPr="00751E43" w:rsidP="00676F39">
      <w:pPr>
        <w:pStyle w:val="ListParagraph"/>
        <w:numPr>
          <w:ilvl w:val="0"/>
          <w:numId w:val="14"/>
        </w:numPr>
        <w:autoSpaceDE w:val="0"/>
        <w:autoSpaceDN w:val="0"/>
        <w:adjustRightInd w:val="0"/>
        <w:spacing w:before="0"/>
        <w:contextualSpacing/>
      </w:pPr>
      <w:r w:rsidRPr="00751E43">
        <w:t>Designated SMP representative name, telephone number, and email address</w:t>
      </w:r>
    </w:p>
    <w:p w:rsidR="00676F39" w:rsidRPr="00751E43" w:rsidP="00676F39">
      <w:pPr>
        <w:pStyle w:val="ListParagraph"/>
        <w:numPr>
          <w:ilvl w:val="0"/>
          <w:numId w:val="14"/>
        </w:numPr>
        <w:autoSpaceDE w:val="0"/>
        <w:autoSpaceDN w:val="0"/>
        <w:adjustRightInd w:val="0"/>
        <w:spacing w:before="0"/>
        <w:contextualSpacing/>
      </w:pPr>
      <w:r>
        <w:t xml:space="preserve">Compliance agreement (i.e. </w:t>
      </w:r>
      <w:r w:rsidRPr="00751E43">
        <w:t>written statement that all SMP parties agree to comply with all provisions of SMP</w:t>
      </w:r>
      <w:r>
        <w:t>)</w:t>
      </w:r>
    </w:p>
    <w:p w:rsidR="00676F39" w:rsidRPr="00751E43" w:rsidP="00676F39">
      <w:pPr>
        <w:pStyle w:val="ListParagraph"/>
        <w:numPr>
          <w:ilvl w:val="0"/>
          <w:numId w:val="13"/>
        </w:numPr>
        <w:autoSpaceDE w:val="0"/>
        <w:autoSpaceDN w:val="0"/>
        <w:adjustRightInd w:val="0"/>
        <w:spacing w:before="0"/>
        <w:contextualSpacing/>
      </w:pPr>
      <w:r w:rsidRPr="00751E43">
        <w:t>The names and signatures of the owner or representative for each vessel that is party to the SMP.</w:t>
      </w:r>
    </w:p>
    <w:p w:rsidR="00676F39" w:rsidRPr="00751E43" w:rsidP="00676F39">
      <w:pPr>
        <w:pStyle w:val="ListParagraph"/>
        <w:numPr>
          <w:ilvl w:val="0"/>
          <w:numId w:val="13"/>
        </w:numPr>
        <w:autoSpaceDE w:val="0"/>
        <w:autoSpaceDN w:val="0"/>
        <w:adjustRightInd w:val="0"/>
        <w:spacing w:before="0"/>
        <w:contextualSpacing/>
      </w:pPr>
      <w:r w:rsidRPr="00751E43">
        <w:t xml:space="preserve">A description of: </w:t>
      </w:r>
    </w:p>
    <w:p w:rsidR="00676F39" w:rsidRPr="00751E43" w:rsidP="00676F39">
      <w:pPr>
        <w:pStyle w:val="ListParagraph"/>
        <w:numPr>
          <w:ilvl w:val="0"/>
          <w:numId w:val="16"/>
        </w:numPr>
        <w:autoSpaceDE w:val="0"/>
        <w:autoSpaceDN w:val="0"/>
        <w:adjustRightInd w:val="0"/>
        <w:spacing w:before="0"/>
      </w:pPr>
      <w:r w:rsidRPr="00751E43">
        <w:t xml:space="preserve">How participants will adequately monitor and account for the catch of Chinook salmon. </w:t>
      </w:r>
    </w:p>
    <w:p w:rsidR="00676F39" w:rsidRPr="00751E43" w:rsidP="00676F39">
      <w:pPr>
        <w:pStyle w:val="ListParagraph"/>
        <w:numPr>
          <w:ilvl w:val="0"/>
          <w:numId w:val="16"/>
        </w:numPr>
        <w:autoSpaceDE w:val="0"/>
        <w:autoSpaceDN w:val="0"/>
        <w:adjustRightInd w:val="0"/>
        <w:spacing w:before="0"/>
      </w:pPr>
      <w:r w:rsidRPr="00751E43">
        <w:t>How participants will avoid and minimize Chinook salmon bycatch, including a description of tools participants will employ. Tools may include, but would not be limited to, information sharing, area closures, movement rules, salmon excluder use, and internal bycatch guidelines.</w:t>
      </w:r>
    </w:p>
    <w:p w:rsidR="00676F39" w:rsidRPr="00751E43" w:rsidP="00676F39">
      <w:pPr>
        <w:pStyle w:val="ListParagraph"/>
        <w:numPr>
          <w:ilvl w:val="0"/>
          <w:numId w:val="16"/>
        </w:numPr>
        <w:autoSpaceDE w:val="0"/>
        <w:autoSpaceDN w:val="0"/>
        <w:adjustRightInd w:val="0"/>
        <w:spacing w:before="0"/>
      </w:pPr>
      <w:r w:rsidRPr="00751E43">
        <w:t>How the SMP is expected to promote reductions in Chinook salmon bycatch relative to what would have occurred in absence of the SMP.</w:t>
      </w:r>
    </w:p>
    <w:p w:rsidR="00676F39" w:rsidP="00676F39">
      <w:pPr>
        <w:ind w:firstLine="720"/>
      </w:pPr>
    </w:p>
    <w:p w:rsidR="00676F39" w:rsidRPr="002E0287" w:rsidP="00676F39">
      <w:pPr>
        <w:pStyle w:val="ListParagraph"/>
        <w:numPr>
          <w:ilvl w:val="0"/>
          <w:numId w:val="12"/>
        </w:numPr>
        <w:autoSpaceDE w:val="0"/>
        <w:autoSpaceDN w:val="0"/>
        <w:adjustRightInd w:val="0"/>
        <w:spacing w:before="0"/>
        <w:contextualSpacing/>
        <w:rPr>
          <w:i/>
        </w:rPr>
      </w:pPr>
      <w:r w:rsidRPr="002E0287">
        <w:rPr>
          <w:i/>
        </w:rPr>
        <w:t>SMP amendment</w:t>
      </w:r>
    </w:p>
    <w:p w:rsidR="00676F39" w:rsidRPr="005E683B" w:rsidP="00676F39">
      <w:pPr>
        <w:pStyle w:val="ListParagraph"/>
      </w:pPr>
      <w:r w:rsidRPr="005E683B">
        <w:rPr>
          <w:b/>
        </w:rPr>
        <w:t xml:space="preserve"> </w:t>
      </w:r>
    </w:p>
    <w:p w:rsidR="00676F39" w:rsidRPr="003A1B96" w:rsidP="00676F39">
      <w:pPr>
        <w:rPr>
          <w:rFonts w:ascii="Arial" w:hAnsi="Arial" w:cs="Arial"/>
          <w:color w:val="000000"/>
          <w:sz w:val="16"/>
          <w:szCs w:val="16"/>
        </w:rPr>
      </w:pPr>
      <w:r w:rsidRPr="00E33264">
        <w:t xml:space="preserve">The </w:t>
      </w:r>
      <w:r>
        <w:t>designated SMP representative (e.g. Cooperative Manger)</w:t>
      </w:r>
      <w:r w:rsidRPr="00E33264">
        <w:t xml:space="preserve"> </w:t>
      </w:r>
      <w:r>
        <w:t>may submit a</w:t>
      </w:r>
      <w:r w:rsidRPr="00E33264">
        <w:t>n amendment to an approved SMP</w:t>
      </w:r>
      <w:r>
        <w:t xml:space="preserve"> at any time</w:t>
      </w:r>
      <w:r w:rsidRPr="00E33264">
        <w:t xml:space="preserve">. The </w:t>
      </w:r>
      <w:r>
        <w:t>designated SMP representative submits the proposed amendment</w:t>
      </w:r>
      <w:r w:rsidRPr="00E33264">
        <w:t xml:space="preserve"> to NMFS either electronically or by mail. </w:t>
      </w:r>
      <w:r>
        <w:t>NMFS use</w:t>
      </w:r>
      <w:r w:rsidR="00C532F4">
        <w:t>s</w:t>
      </w:r>
      <w:r>
        <w:t xml:space="preserve"> the information to evaluate the amendment and approve or deny the amendment based on the SMP requirements described above.  </w:t>
      </w:r>
      <w:r w:rsidRPr="00E33264">
        <w:t xml:space="preserve">Amendments to an SMP must include </w:t>
      </w:r>
      <w:r>
        <w:t xml:space="preserve">a description of the proposed change as well as </w:t>
      </w:r>
      <w:r w:rsidRPr="00E33264">
        <w:t>the identification number that was assigned by NMFS when it approved the SMP.</w:t>
      </w:r>
      <w:r>
        <w:t xml:space="preserve"> An amendment to an approved SMP is effective upon written notification of approval by NMFS to the SMP representative. </w:t>
      </w:r>
      <w:r w:rsidRPr="00AB2B94">
        <w:t>We estimate that we may receive one amended SMP per year over the next three years.</w:t>
      </w:r>
    </w:p>
    <w:p w:rsidR="00676F39" w:rsidP="00676F39">
      <w:pPr>
        <w:rPr>
          <w:b/>
          <w:bCs/>
        </w:rPr>
      </w:pPr>
    </w:p>
    <w:p w:rsidR="00676F39" w:rsidRPr="002E0287" w:rsidP="00676F39">
      <w:pPr>
        <w:pStyle w:val="ListParagraph"/>
        <w:numPr>
          <w:ilvl w:val="0"/>
          <w:numId w:val="12"/>
        </w:numPr>
        <w:autoSpaceDE w:val="0"/>
        <w:autoSpaceDN w:val="0"/>
        <w:adjustRightInd w:val="0"/>
        <w:spacing w:before="0"/>
        <w:contextualSpacing/>
        <w:rPr>
          <w:i/>
        </w:rPr>
      </w:pPr>
      <w:r w:rsidRPr="002E0287">
        <w:rPr>
          <w:i/>
        </w:rPr>
        <w:t>Administrative Appeals to Disapproved SMP</w:t>
      </w:r>
    </w:p>
    <w:p w:rsidR="00676F39" w:rsidP="00676F39">
      <w:pPr>
        <w:rPr>
          <w:b/>
          <w:bCs/>
        </w:rPr>
      </w:pPr>
    </w:p>
    <w:p w:rsidR="00676F39" w:rsidP="00676F39">
      <w:pPr>
        <w:rPr>
          <w:rFonts w:ascii="Arial" w:hAnsi="Arial" w:cs="Arial"/>
          <w:color w:val="000000"/>
          <w:sz w:val="16"/>
          <w:szCs w:val="16"/>
        </w:rPr>
      </w:pPr>
      <w:r>
        <w:t xml:space="preserve">The designated SMP representative who receives an Initial Administrative Determination (IAD) </w:t>
      </w:r>
      <w:r>
        <w:t>disapproving a proposed SMP or SMP amendment may appeal.  A</w:t>
      </w:r>
      <w:r w:rsidRPr="000B4DA6">
        <w:t>ppeals will be governed by the regulations and policy of the National Appeals Office.  The National Appeals Office regulations can be found at 15 CFR part 906</w:t>
      </w:r>
      <w:r>
        <w:t xml:space="preserve">. </w:t>
      </w:r>
      <w:r w:rsidRPr="00E33264">
        <w:t xml:space="preserve">The </w:t>
      </w:r>
      <w:r>
        <w:t xml:space="preserve">designated SMP representative submits their appeal by mail or electronically. </w:t>
      </w:r>
      <w:r w:rsidRPr="00AB2B94">
        <w:t>We</w:t>
      </w:r>
      <w:r>
        <w:t xml:space="preserve"> expect</w:t>
      </w:r>
      <w:r w:rsidRPr="00AB2B94">
        <w:t xml:space="preserve"> to receive one appeal over</w:t>
      </w:r>
      <w:r>
        <w:t xml:space="preserve"> the next</w:t>
      </w:r>
      <w:r w:rsidRPr="00AB2B94">
        <w:t xml:space="preserve"> three years.</w:t>
      </w:r>
      <w:r>
        <w:t xml:space="preserve"> NMFS will use the information collected to make a final agency determination on the proposed SMP or amendment.</w:t>
      </w:r>
    </w:p>
    <w:p w:rsidR="00676F39" w:rsidP="00676F39">
      <w:pPr>
        <w:rPr>
          <w:b/>
          <w:bCs/>
        </w:rPr>
      </w:pPr>
    </w:p>
    <w:p w:rsidR="00676F39" w:rsidRPr="002E0287" w:rsidP="00676F39">
      <w:pPr>
        <w:pStyle w:val="ListParagraph"/>
        <w:numPr>
          <w:ilvl w:val="0"/>
          <w:numId w:val="12"/>
        </w:numPr>
        <w:autoSpaceDE w:val="0"/>
        <w:autoSpaceDN w:val="0"/>
        <w:adjustRightInd w:val="0"/>
        <w:spacing w:before="0"/>
        <w:contextualSpacing/>
        <w:rPr>
          <w:i/>
        </w:rPr>
      </w:pPr>
      <w:r w:rsidRPr="002E0287">
        <w:rPr>
          <w:i/>
        </w:rPr>
        <w:t>SMP Postseason Report</w:t>
      </w:r>
    </w:p>
    <w:p w:rsidR="00676F39" w:rsidP="00676F39"/>
    <w:p w:rsidR="00676F39" w:rsidP="00676F39">
      <w:r>
        <w:t>The SMP postseason report is the primary tool through which the Council and NMFS evaluate the effectiveness of SMPs in reducing Chinook salmon bycatch in the Pacific whiting fishery.  Information gathered through the postseason reports is necessary for the Council and NMFS to evaluate the salmon bycatch management measures, provide the public with information about how the program operates, and obtain information about bycatch reduction under this program.</w:t>
      </w:r>
    </w:p>
    <w:p w:rsidR="00676F39" w:rsidP="00676F39"/>
    <w:p w:rsidR="00676F39" w:rsidP="00676F39">
      <w:r>
        <w:t>The designated SMP representative must submit an SMP postseason report to the Council and NMFS by mail or electronically. The SMP postseason report must be received by the Council and NMFS no later than March 31 of the year following that in which the SMP was approved.</w:t>
      </w:r>
    </w:p>
    <w:p w:rsidR="00676F39" w:rsidP="00676F39"/>
    <w:p w:rsidR="00676F39" w:rsidP="00676F39">
      <w:r>
        <w:t>The SMP postseason report must contain the following information:</w:t>
      </w:r>
    </w:p>
    <w:p w:rsidR="00676F39" w:rsidP="00676F39"/>
    <w:p w:rsidR="00676F39" w:rsidRPr="0077016E" w:rsidP="00676F39">
      <w:pPr>
        <w:pStyle w:val="ListParagraph"/>
        <w:numPr>
          <w:ilvl w:val="0"/>
          <w:numId w:val="15"/>
        </w:numPr>
        <w:autoSpaceDE w:val="0"/>
        <w:autoSpaceDN w:val="0"/>
        <w:adjustRightInd w:val="0"/>
        <w:spacing w:before="0"/>
        <w:contextualSpacing/>
      </w:pPr>
      <w:r w:rsidRPr="00751E43">
        <w:t>Name of the SMP</w:t>
      </w:r>
      <w:r>
        <w:t xml:space="preserve"> and SMP identification number.</w:t>
      </w:r>
    </w:p>
    <w:p w:rsidR="00676F39" w:rsidRPr="0077016E" w:rsidP="00676F39">
      <w:pPr>
        <w:pStyle w:val="ListParagraph"/>
        <w:numPr>
          <w:ilvl w:val="0"/>
          <w:numId w:val="15"/>
        </w:numPr>
        <w:autoSpaceDE w:val="0"/>
        <w:autoSpaceDN w:val="0"/>
        <w:adjustRightInd w:val="0"/>
        <w:spacing w:before="0"/>
        <w:contextualSpacing/>
      </w:pPr>
      <w:r w:rsidRPr="0077016E">
        <w:t>A comprehensive description of Chinook salmon bycatch avoidance measures used in the fishing year</w:t>
      </w:r>
      <w:r>
        <w:t xml:space="preserve"> in which the SMP was approved</w:t>
      </w:r>
      <w:r w:rsidRPr="0077016E">
        <w:t>, including but not limited to, information sharing, area closures, movement rules, salmon excluder use, and internal bycatch guidelines.</w:t>
      </w:r>
    </w:p>
    <w:p w:rsidR="00676F39" w:rsidP="00676F39">
      <w:pPr>
        <w:pStyle w:val="ListParagraph"/>
        <w:numPr>
          <w:ilvl w:val="0"/>
          <w:numId w:val="15"/>
        </w:numPr>
        <w:autoSpaceDE w:val="0"/>
        <w:autoSpaceDN w:val="0"/>
        <w:adjustRightInd w:val="0"/>
        <w:spacing w:before="0"/>
        <w:contextualSpacing/>
      </w:pPr>
      <w:r w:rsidRPr="0077016E">
        <w:t xml:space="preserve">An evaluation of the effectiveness of these avoidance measures in </w:t>
      </w:r>
      <w:r>
        <w:t>minimizing Chinook salmon bycatch.</w:t>
      </w:r>
    </w:p>
    <w:p w:rsidR="00676F39" w:rsidRPr="0077016E" w:rsidP="00676F39">
      <w:pPr>
        <w:pStyle w:val="ListParagraph"/>
        <w:numPr>
          <w:ilvl w:val="0"/>
          <w:numId w:val="15"/>
        </w:numPr>
        <w:autoSpaceDE w:val="0"/>
        <w:autoSpaceDN w:val="0"/>
        <w:adjustRightInd w:val="0"/>
        <w:spacing w:before="0"/>
        <w:contextualSpacing/>
      </w:pPr>
      <w:r w:rsidRPr="0077016E">
        <w:t xml:space="preserve">A description of any amendments to the terms of the SMP that were approved by NMFS </w:t>
      </w:r>
      <w:r>
        <w:t xml:space="preserve">during the fishing year in which the SMP was approved </w:t>
      </w:r>
      <w:r w:rsidRPr="0077016E">
        <w:t>and the reasons the amendments to the SMP were made.</w:t>
      </w:r>
    </w:p>
    <w:p w:rsidR="00676F39" w:rsidP="00676F39">
      <w:pPr>
        <w:pStyle w:val="Heading1"/>
        <w:tabs>
          <w:tab w:val="left" w:pos="360"/>
        </w:tabs>
        <w:spacing w:before="197"/>
        <w:ind w:left="0"/>
      </w:pPr>
    </w:p>
    <w:p w:rsidR="00FF79B2">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3319F" w:rsidP="0003319F"/>
    <w:p w:rsidR="0003319F" w:rsidP="0003319F">
      <w:r>
        <w:t>The designated SMP representative has the option of submitting a proposed SMP and/or postseason SMP report to NMFS electronically.</w:t>
      </w:r>
    </w:p>
    <w:p w:rsidR="0003319F" w:rsidRPr="0003319F" w:rsidP="0003319F"/>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79350F" w:rsidP="0079350F">
      <w:pPr>
        <w:rPr>
          <w:bCs/>
        </w:rPr>
      </w:pPr>
    </w:p>
    <w:p w:rsidR="0079350F" w:rsidRPr="0079350F" w:rsidP="0079350F">
      <w:pPr>
        <w:rPr>
          <w:bCs/>
        </w:rPr>
      </w:pPr>
      <w:r w:rsidRPr="0079350F">
        <w:rPr>
          <w:bCs/>
        </w:rPr>
        <w:t xml:space="preserve">This is a unique information collection and does not duplicate other collections, including those collections for MS and C/P cooperative permit application under OMB control# 0648-0620. The SMP program was developed by the Pacific Fishery Management Council and is unique to the commercial Pacific whiting fisheries on the West Coast.  The program and associated information collection is specific to a section of the Pacific coast commercial fishing industry. The information collected is required to implement and administer the program. </w:t>
      </w:r>
    </w:p>
    <w:p w:rsidR="0079350F" w:rsidRPr="0079350F" w:rsidP="0079350F">
      <w:pPr>
        <w:pBdr>
          <w:top w:val="nil"/>
          <w:left w:val="nil"/>
          <w:bottom w:val="nil"/>
          <w:right w:val="nil"/>
          <w:between w:val="nil"/>
        </w:pBdr>
        <w:tabs>
          <w:tab w:val="left" w:pos="360"/>
        </w:tabs>
        <w:spacing w:before="80"/>
        <w:rPr>
          <w:b/>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2A4410" w:rsidP="002A4410"/>
    <w:p w:rsidR="002A4410" w:rsidP="002A4410">
      <w:r>
        <w:t>NMFS matched information collection dates associated with proposed SMP and postseason reports with the dates for submitting C/P and MS cooperative permit applications and annual reports.  This minimizes the burden on effected entities.</w:t>
      </w:r>
    </w:p>
    <w:p w:rsidR="00FF79B2">
      <w:pPr>
        <w:pBdr>
          <w:top w:val="nil"/>
          <w:left w:val="nil"/>
          <w:bottom w:val="nil"/>
          <w:right w:val="nil"/>
          <w:between w:val="nil"/>
        </w:pBdr>
        <w:spacing w:before="160"/>
        <w:rPr>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2A4410" w:rsidP="002A4410">
      <w:pPr>
        <w:widowControl/>
      </w:pPr>
    </w:p>
    <w:p w:rsidR="002A4410" w:rsidP="002A4410">
      <w:pPr>
        <w:widowControl/>
      </w:pPr>
      <w:r>
        <w:t xml:space="preserve">This information collection is required to manage commercial fishing efforts under the Magnuson-Stevens Act (16 U.S.C. 1801, </w:t>
      </w:r>
      <w:r w:rsidRPr="002A4410">
        <w:rPr>
          <w:i/>
          <w:iCs/>
        </w:rPr>
        <w:t>et seq</w:t>
      </w:r>
      <w:r>
        <w:t>.) and under 50 CFR part 660. This collection provides the Council and NMFS with information about Chinook salmon bycatch management measures and the effectiveness of those plans in the Pacific whiting fishery. This information is necessary to ensure long-term conservation and abundance of Chinook salmon, maintain a healthy marine ecosystem, and provide maximum benefit to fishermen and communities that depend on Chinook salmon and whiting. It would not be possible to carry out the SMP program if the collection is not conducted or were conducted less frequently.</w:t>
      </w:r>
    </w:p>
    <w:p w:rsidR="002A4410" w:rsidRPr="00D17F19" w:rsidP="002A4410">
      <w:pPr>
        <w:widowControl/>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641FAA" w:rsidP="00641FAA">
      <w:pPr>
        <w:pBdr>
          <w:top w:val="nil"/>
          <w:left w:val="nil"/>
          <w:bottom w:val="nil"/>
          <w:right w:val="nil"/>
          <w:between w:val="nil"/>
        </w:pBdr>
        <w:tabs>
          <w:tab w:val="left" w:pos="360"/>
        </w:tabs>
        <w:spacing w:before="80"/>
        <w:rPr>
          <w:b/>
          <w:color w:val="000000"/>
        </w:rPr>
      </w:pPr>
    </w:p>
    <w:p w:rsidR="00641FAA" w:rsidP="00641FAA">
      <w:pPr>
        <w:pBdr>
          <w:top w:val="nil"/>
          <w:left w:val="nil"/>
          <w:bottom w:val="nil"/>
          <w:right w:val="nil"/>
          <w:between w:val="nil"/>
        </w:pBdr>
        <w:tabs>
          <w:tab w:val="left" w:pos="360"/>
        </w:tabs>
        <w:spacing w:before="80"/>
      </w:pPr>
      <w:r>
        <w:t>This collection will be conducted in a manner consistent with OMB guidelines</w:t>
      </w:r>
      <w:r w:rsidRPr="000A181E">
        <w:t>.</w:t>
      </w:r>
    </w:p>
    <w:p w:rsidR="00641FAA" w:rsidRPr="00641FAA" w:rsidP="00641FAA">
      <w:pPr>
        <w:pBdr>
          <w:top w:val="nil"/>
          <w:left w:val="nil"/>
          <w:bottom w:val="nil"/>
          <w:right w:val="nil"/>
          <w:between w:val="nil"/>
        </w:pBdr>
        <w:tabs>
          <w:tab w:val="left" w:pos="360"/>
        </w:tabs>
        <w:spacing w:before="80"/>
        <w:rPr>
          <w:b/>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1FAA" w:rsidP="00641FAA">
      <w:pPr>
        <w:pBdr>
          <w:top w:val="nil"/>
          <w:left w:val="nil"/>
          <w:bottom w:val="nil"/>
          <w:right w:val="nil"/>
          <w:between w:val="nil"/>
        </w:pBdr>
        <w:tabs>
          <w:tab w:val="left" w:pos="360"/>
        </w:tabs>
        <w:spacing w:before="80"/>
        <w:rPr>
          <w:b/>
          <w:color w:val="000000"/>
        </w:rPr>
      </w:pPr>
    </w:p>
    <w:p w:rsidR="00641FAA" w:rsidRPr="00641FAA" w:rsidP="00641FAA">
      <w:pPr>
        <w:pBdr>
          <w:top w:val="nil"/>
          <w:left w:val="nil"/>
          <w:bottom w:val="nil"/>
          <w:right w:val="nil"/>
          <w:between w:val="nil"/>
        </w:pBdr>
        <w:tabs>
          <w:tab w:val="left" w:pos="360"/>
        </w:tabs>
        <w:spacing w:before="80"/>
        <w:rPr>
          <w:color w:val="000000"/>
        </w:rPr>
      </w:pPr>
      <w:r w:rsidRPr="007105C5">
        <w:rPr>
          <w:color w:val="000000"/>
        </w:rPr>
        <w:t>A 60 day notice of information collection and request for comments was published on 88 FR 65660 (September 25, 2023).</w:t>
      </w:r>
      <w:r>
        <w:rPr>
          <w:color w:val="000000"/>
        </w:rPr>
        <w:t xml:space="preserve"> </w:t>
      </w:r>
      <w:r w:rsidR="007105C5">
        <w:rPr>
          <w:color w:val="000000"/>
        </w:rPr>
        <w:t xml:space="preserve">No public comments were received. </w:t>
      </w:r>
      <w:bookmarkStart w:id="0" w:name="_GoBack"/>
      <w:bookmarkEnd w:id="0"/>
    </w:p>
    <w:p w:rsidR="00641FAA" w:rsidRPr="00641FAA" w:rsidP="00641FAA">
      <w:pPr>
        <w:pBdr>
          <w:top w:val="nil"/>
          <w:left w:val="nil"/>
          <w:bottom w:val="nil"/>
          <w:right w:val="nil"/>
          <w:between w:val="nil"/>
        </w:pBdr>
        <w:tabs>
          <w:tab w:val="left" w:pos="360"/>
        </w:tabs>
        <w:spacing w:before="80"/>
        <w:rPr>
          <w:b/>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F716F1" w:rsidP="00F716F1">
      <w:pPr>
        <w:pBdr>
          <w:top w:val="nil"/>
          <w:left w:val="nil"/>
          <w:bottom w:val="nil"/>
          <w:right w:val="nil"/>
          <w:between w:val="nil"/>
        </w:pBdr>
        <w:tabs>
          <w:tab w:val="left" w:pos="360"/>
        </w:tabs>
        <w:spacing w:before="80"/>
        <w:rPr>
          <w:b/>
          <w:color w:val="000000"/>
        </w:rPr>
      </w:pPr>
    </w:p>
    <w:p w:rsidR="00F716F1" w:rsidP="00F716F1">
      <w:pPr>
        <w:pBdr>
          <w:top w:val="nil"/>
          <w:left w:val="nil"/>
          <w:bottom w:val="nil"/>
          <w:right w:val="nil"/>
          <w:between w:val="nil"/>
        </w:pBdr>
        <w:tabs>
          <w:tab w:val="left" w:pos="360"/>
        </w:tabs>
        <w:spacing w:before="80"/>
        <w:rPr>
          <w:b/>
          <w:color w:val="000000"/>
        </w:rPr>
      </w:pPr>
      <w:r w:rsidRPr="003C50CE">
        <w:rPr>
          <w:iCs/>
        </w:rPr>
        <w:t>No payments or gifts are provided under this program at this time.</w:t>
      </w:r>
    </w:p>
    <w:p w:rsidR="00F716F1" w:rsidRPr="00F716F1" w:rsidP="00F716F1">
      <w:pPr>
        <w:pBdr>
          <w:top w:val="nil"/>
          <w:left w:val="nil"/>
          <w:bottom w:val="nil"/>
          <w:right w:val="nil"/>
          <w:between w:val="nil"/>
        </w:pBdr>
        <w:tabs>
          <w:tab w:val="left" w:pos="360"/>
        </w:tabs>
        <w:spacing w:before="80"/>
        <w:rPr>
          <w:b/>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716F1" w:rsidP="00F716F1">
      <w:pPr>
        <w:pBdr>
          <w:top w:val="nil"/>
          <w:left w:val="nil"/>
          <w:bottom w:val="nil"/>
          <w:right w:val="nil"/>
          <w:between w:val="nil"/>
        </w:pBdr>
        <w:tabs>
          <w:tab w:val="left" w:pos="360"/>
        </w:tabs>
        <w:spacing w:before="80"/>
        <w:rPr>
          <w:b/>
          <w:color w:val="000000"/>
        </w:rPr>
      </w:pPr>
    </w:p>
    <w:p w:rsidR="00F716F1" w:rsidRPr="00CE3890" w:rsidP="00F716F1">
      <w:pPr>
        <w:widowControl/>
      </w:pPr>
      <w:r>
        <w:rPr>
          <w:color w:val="000000"/>
        </w:rPr>
        <w:t xml:space="preserve">All information collections by NMFS West Coast Region are protected under confidentiality provisions of section 402(b) of the Magnuson-Stevens Act and under </w:t>
      </w:r>
      <w:hyperlink r:id="rId5" w:history="1">
        <w:r w:rsidRPr="00E11A02">
          <w:rPr>
            <w:rStyle w:val="Hyperlink"/>
          </w:rPr>
          <w:t>NOAA Administrative Order 216-100</w:t>
        </w:r>
      </w:hyperlink>
      <w:r>
        <w:rPr>
          <w:color w:val="000000"/>
        </w:rPr>
        <w:t xml:space="preserve">, which sets forth procedures to protect confidentiality of fishery statistics. </w:t>
      </w:r>
      <w:r w:rsidRPr="00425DD9">
        <w:t>NMFS retain</w:t>
      </w:r>
      <w:r>
        <w:t>s</w:t>
      </w:r>
      <w:r w:rsidRPr="00425DD9">
        <w:t xml:space="preserve"> control over the information and safeguard it from improper access, modification, and destruction, consistent with NOAA standards for confidentiality, privacy, and electronic information. </w:t>
      </w:r>
      <w:r>
        <w:rPr>
          <w:color w:val="000000"/>
        </w:rPr>
        <w:t>None of the information submitted under this information collection contains confidential business information. The SMP and SMP postseason report may be posted on the NMFS West Coast Region website or made available to the public upon request.</w:t>
      </w:r>
    </w:p>
    <w:p w:rsidR="00F716F1" w:rsidP="00F716F1">
      <w:pPr>
        <w:widowControl/>
        <w:rPr>
          <w:color w:val="000000"/>
        </w:rPr>
      </w:pPr>
    </w:p>
    <w:p w:rsidR="00F716F1" w:rsidP="00F716F1">
      <w:pPr>
        <w:widowControl/>
        <w:rPr>
          <w:color w:val="000000"/>
        </w:rPr>
      </w:pPr>
      <w:r>
        <w:rPr>
          <w:color w:val="000000"/>
        </w:rPr>
        <w:t>Personally identifiable information and confidential business information submitted in an administrative appeal is not released to the public. Final administrative appeal decisions with redactions are posted on the NMFS National Appeals Office website</w:t>
      </w:r>
    </w:p>
    <w:p w:rsidR="00F716F1" w:rsidP="00F716F1">
      <w:pPr>
        <w:widowControl/>
        <w:rPr>
          <w:color w:val="000000"/>
        </w:rPr>
      </w:pPr>
      <w:r>
        <w:rPr>
          <w:color w:val="000000"/>
        </w:rPr>
        <w:t>(</w:t>
      </w:r>
      <w:r>
        <w:rPr>
          <w:color w:val="0563C2"/>
        </w:rPr>
        <w:t>https://www.fisheries.noaa.gov/about/office-management-budget</w:t>
      </w:r>
      <w:r>
        <w:rPr>
          <w:color w:val="000000"/>
        </w:rPr>
        <w:t>).</w:t>
      </w:r>
    </w:p>
    <w:p w:rsidR="00F716F1" w:rsidRPr="00C923CA" w:rsidP="00F716F1"/>
    <w:p w:rsidR="00F716F1" w:rsidRPr="00F716F1" w:rsidP="00F716F1">
      <w:r w:rsidRPr="004C5E29">
        <w:t>The information collected is part of a Privacy Act System of Records (SORN), COMMERCE/NOAA #19, Permits and Registrations for United States Federally Regulated Fisheries. A notice was published in the Federal Register on April 17, 2008 (73 FR 20914) and became effective on June 11, 2008 (73 FR 33065).</w:t>
      </w:r>
      <w:r>
        <w:t xml:space="preserve"> An amended SORN was published on August 7, 2015 (80 FR 47457) and became effective on September 15, 2015 (80 FR 55327).</w:t>
      </w:r>
    </w:p>
    <w:p w:rsidR="00F716F1" w:rsidRPr="00F716F1" w:rsidP="00F716F1">
      <w:pPr>
        <w:pBdr>
          <w:top w:val="nil"/>
          <w:left w:val="nil"/>
          <w:bottom w:val="nil"/>
          <w:right w:val="nil"/>
          <w:between w:val="nil"/>
        </w:pBdr>
        <w:tabs>
          <w:tab w:val="left" w:pos="360"/>
        </w:tabs>
        <w:spacing w:before="80"/>
        <w:rPr>
          <w:b/>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42D0" w:rsidP="00E142D0">
      <w:pPr>
        <w:pBdr>
          <w:top w:val="nil"/>
          <w:left w:val="nil"/>
          <w:bottom w:val="nil"/>
          <w:right w:val="nil"/>
          <w:between w:val="nil"/>
        </w:pBdr>
        <w:tabs>
          <w:tab w:val="left" w:pos="360"/>
        </w:tabs>
        <w:spacing w:before="80"/>
        <w:rPr>
          <w:b/>
          <w:color w:val="000000"/>
        </w:rPr>
      </w:pPr>
    </w:p>
    <w:p w:rsidR="00E142D0" w:rsidRPr="00E142D0" w:rsidP="00E142D0">
      <w:pPr>
        <w:pBdr>
          <w:top w:val="nil"/>
          <w:left w:val="nil"/>
          <w:bottom w:val="nil"/>
          <w:right w:val="nil"/>
          <w:between w:val="nil"/>
        </w:pBdr>
        <w:tabs>
          <w:tab w:val="left" w:pos="360"/>
        </w:tabs>
        <w:spacing w:before="80"/>
        <w:rPr>
          <w:b/>
          <w:color w:val="000000"/>
        </w:rPr>
      </w:pPr>
      <w:r w:rsidRPr="003C50CE">
        <w:rPr>
          <w:iCs/>
        </w:rPr>
        <w:t>This information collection does not require the submission of information of a sensitive nature.</w:t>
      </w:r>
    </w:p>
    <w:p w:rsidR="00E142D0" w:rsidRPr="00E142D0" w:rsidP="00E142D0">
      <w:pPr>
        <w:pBdr>
          <w:top w:val="nil"/>
          <w:left w:val="nil"/>
          <w:bottom w:val="nil"/>
          <w:right w:val="nil"/>
          <w:between w:val="nil"/>
        </w:pBdr>
        <w:tabs>
          <w:tab w:val="left" w:pos="360"/>
        </w:tabs>
        <w:spacing w:before="80"/>
        <w:rPr>
          <w:b/>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E142D0" w:rsidP="00E142D0">
      <w:pPr>
        <w:pBdr>
          <w:top w:val="nil"/>
          <w:left w:val="nil"/>
          <w:bottom w:val="nil"/>
          <w:right w:val="nil"/>
          <w:between w:val="nil"/>
        </w:pBdr>
        <w:tabs>
          <w:tab w:val="left" w:pos="360"/>
        </w:tabs>
        <w:spacing w:before="80"/>
        <w:rPr>
          <w:b/>
          <w:color w:val="000000"/>
        </w:rPr>
      </w:pPr>
    </w:p>
    <w:p w:rsidR="00E142D0" w:rsidP="00E142D0">
      <w:r>
        <w:t xml:space="preserve">We estimate a total of up to six respondents for the SMP proposal. This estimate assumes 1 SMP proposal from the </w:t>
      </w:r>
      <w:r w:rsidRPr="00E33264">
        <w:t>Mothership</w:t>
      </w:r>
      <w:r>
        <w:t xml:space="preserve"> Coop Program, 1 from the </w:t>
      </w:r>
      <w:r w:rsidRPr="00E33264">
        <w:t>Catcher/processor</w:t>
      </w:r>
      <w:r>
        <w:t xml:space="preserve"> Coop Program, and up to 4 from the Pacific whiting</w:t>
      </w:r>
      <w:r w:rsidRPr="00E33264">
        <w:t xml:space="preserve"> IFQ</w:t>
      </w:r>
      <w:r>
        <w:t xml:space="preserve"> fishery. We estimate 1 response from the </w:t>
      </w:r>
      <w:r>
        <w:t>shoreside</w:t>
      </w:r>
      <w:r>
        <w:t xml:space="preserve"> cooperative in the Pacific whiting</w:t>
      </w:r>
      <w:r w:rsidRPr="00E33264">
        <w:t xml:space="preserve"> IFQ</w:t>
      </w:r>
      <w:r>
        <w:t xml:space="preserve"> fishery. Historically, approximately 15 to </w:t>
      </w:r>
      <w:r w:rsidRPr="00F8623D">
        <w:t xml:space="preserve">17 vessels have been in the </w:t>
      </w:r>
      <w:r w:rsidRPr="00F8623D">
        <w:t>shoreside</w:t>
      </w:r>
      <w:r w:rsidRPr="00F8623D">
        <w:t xml:space="preserve"> cooperative with the remaining </w:t>
      </w:r>
      <w:r>
        <w:t>approximately 8 to 10</w:t>
      </w:r>
      <w:r w:rsidRPr="00F8623D">
        <w:t xml:space="preserve"> vessel</w:t>
      </w:r>
      <w:r>
        <w:t xml:space="preserve">s in the Pacific whiting IFQ fishery not fishing in the </w:t>
      </w:r>
      <w:r>
        <w:t>shoreside</w:t>
      </w:r>
      <w:r>
        <w:t xml:space="preserve"> cooperative</w:t>
      </w:r>
      <w:r w:rsidRPr="00F8623D">
        <w:t xml:space="preserve">. </w:t>
      </w:r>
      <w:r>
        <w:t>Therefore, we expect up to 3 responses from other groups in the Pacific whiting</w:t>
      </w:r>
      <w:r w:rsidRPr="00E33264">
        <w:t xml:space="preserve"> IFQ</w:t>
      </w:r>
      <w:r>
        <w:t xml:space="preserve"> fishery because each SMP would be required to have at least 3 vessels. </w:t>
      </w:r>
    </w:p>
    <w:p w:rsidR="00E142D0" w:rsidP="00E142D0"/>
    <w:p w:rsidR="00E142D0" w:rsidP="00E142D0">
      <w:r>
        <w:t>We estimate the first year of preparing an SMP proposal to take 20 hours. We estimate 5 hours for SMP proposal preparation in any subsequent year.  Therefore, over the next three years we expect an annual burden of 10 hours per respondent.</w:t>
      </w:r>
    </w:p>
    <w:p w:rsidR="00E142D0" w:rsidP="00E142D0"/>
    <w:p w:rsidR="00E142D0" w:rsidP="00E142D0">
      <w:r>
        <w:t>Those respondents with an approval SMP would be required to submit an SMP postseason report. Therefore, assuming the 6 SMP proposals from above are approved, we estimate collection of up to 6 SMP postseason reports.</w:t>
      </w:r>
    </w:p>
    <w:p w:rsidR="00E142D0" w:rsidP="00E142D0">
      <w:r>
        <w:t xml:space="preserve"> </w:t>
      </w:r>
    </w:p>
    <w:tbl>
      <w:tblPr>
        <w:tblW w:w="9625" w:type="dxa"/>
        <w:jc w:val="center"/>
        <w:tblLook w:val="04A0"/>
      </w:tblPr>
      <w:tblGrid>
        <w:gridCol w:w="1885"/>
        <w:gridCol w:w="1620"/>
        <w:gridCol w:w="1230"/>
        <w:gridCol w:w="1290"/>
        <w:gridCol w:w="1170"/>
        <w:gridCol w:w="1260"/>
        <w:gridCol w:w="1170"/>
      </w:tblGrid>
      <w:tr w:rsidTr="00E55870">
        <w:tblPrEx>
          <w:tblW w:w="9625" w:type="dxa"/>
          <w:jc w:val="center"/>
          <w:tblLook w:val="04A0"/>
        </w:tblPrEx>
        <w:trPr>
          <w:cantSplit/>
          <w:trHeight w:val="900"/>
          <w:tblHeader/>
          <w:jc w:val="center"/>
        </w:trPr>
        <w:tc>
          <w:tcPr>
            <w:tcW w:w="1885" w:type="dxa"/>
            <w:tcBorders>
              <w:top w:val="single" w:sz="4" w:space="0" w:color="A6A6A6"/>
              <w:left w:val="single" w:sz="4" w:space="0" w:color="A6A6A6"/>
              <w:bottom w:val="single" w:sz="4" w:space="0" w:color="A6A6A6"/>
              <w:right w:val="single" w:sz="4" w:space="0" w:color="A6A6A6"/>
            </w:tcBorders>
            <w:shd w:val="clear" w:color="000000" w:fill="538DD5"/>
            <w:vAlign w:val="center"/>
            <w:hideMark/>
          </w:tcPr>
          <w:p w:rsidR="00E142D0" w:rsidRPr="000357C7" w:rsidP="00E55870">
            <w:pPr>
              <w:widowControl/>
              <w:jc w:val="center"/>
              <w:rPr>
                <w:rFonts w:ascii="Arial" w:hAnsi="Arial" w:cs="Arial"/>
                <w:b/>
                <w:bCs/>
                <w:color w:val="FFFFFF"/>
                <w:sz w:val="16"/>
                <w:szCs w:val="16"/>
              </w:rPr>
            </w:pPr>
            <w:r>
              <w:rPr>
                <w:rFonts w:ascii="Arial" w:hAnsi="Arial" w:cs="Arial"/>
                <w:b/>
                <w:bCs/>
                <w:color w:val="FFFFFF"/>
                <w:sz w:val="16"/>
                <w:szCs w:val="16"/>
              </w:rPr>
              <w:t xml:space="preserve">Information </w:t>
            </w:r>
            <w:r w:rsidRPr="000357C7">
              <w:rPr>
                <w:rFonts w:ascii="Arial" w:hAnsi="Arial" w:cs="Arial"/>
                <w:b/>
                <w:bCs/>
                <w:color w:val="FFFFFF"/>
                <w:sz w:val="16"/>
                <w:szCs w:val="16"/>
              </w:rPr>
              <w:t>Collection</w:t>
            </w:r>
          </w:p>
        </w:tc>
        <w:tc>
          <w:tcPr>
            <w:tcW w:w="1620" w:type="dxa"/>
            <w:tcBorders>
              <w:top w:val="single" w:sz="4" w:space="0" w:color="A6A6A6"/>
              <w:left w:val="nil"/>
              <w:bottom w:val="single" w:sz="4" w:space="0" w:color="A6A6A6"/>
              <w:right w:val="single" w:sz="4" w:space="0" w:color="A6A6A6"/>
            </w:tcBorders>
            <w:shd w:val="clear" w:color="000000" w:fill="538DD5"/>
            <w:vAlign w:val="center"/>
            <w:hideMark/>
          </w:tcPr>
          <w:p w:rsidR="00E142D0" w:rsidRPr="000357C7" w:rsidP="00E55870">
            <w:pPr>
              <w:widowControl/>
              <w:rPr>
                <w:rFonts w:ascii="Arial" w:hAnsi="Arial" w:cs="Arial"/>
                <w:b/>
                <w:bCs/>
                <w:color w:val="FFFFFF"/>
                <w:sz w:val="16"/>
                <w:szCs w:val="16"/>
              </w:rPr>
            </w:pPr>
            <w:r w:rsidRPr="000357C7">
              <w:rPr>
                <w:rFonts w:ascii="Arial" w:hAnsi="Arial" w:cs="Arial"/>
                <w:b/>
                <w:bCs/>
                <w:color w:val="FFFFFF"/>
                <w:sz w:val="16"/>
                <w:szCs w:val="16"/>
              </w:rPr>
              <w:t>Responsible Party</w:t>
            </w:r>
          </w:p>
        </w:tc>
        <w:tc>
          <w:tcPr>
            <w:tcW w:w="1230" w:type="dxa"/>
            <w:tcBorders>
              <w:top w:val="single" w:sz="4" w:space="0" w:color="A6A6A6"/>
              <w:left w:val="nil"/>
              <w:bottom w:val="single" w:sz="4" w:space="0" w:color="A6A6A6"/>
              <w:right w:val="single" w:sz="4" w:space="0" w:color="A6A6A6"/>
            </w:tcBorders>
            <w:shd w:val="clear" w:color="000000" w:fill="538DD5"/>
            <w:vAlign w:val="center"/>
            <w:hideMark/>
          </w:tcPr>
          <w:p w:rsidR="00E142D0" w:rsidRPr="000357C7" w:rsidP="00E55870">
            <w:pPr>
              <w:widowControl/>
              <w:jc w:val="center"/>
              <w:rPr>
                <w:rFonts w:ascii="Arial" w:hAnsi="Arial" w:cs="Arial"/>
                <w:b/>
                <w:bCs/>
                <w:color w:val="FFFFFF"/>
                <w:sz w:val="16"/>
                <w:szCs w:val="16"/>
              </w:rPr>
            </w:pPr>
            <w:r w:rsidRPr="000357C7">
              <w:rPr>
                <w:rFonts w:ascii="Arial" w:hAnsi="Arial" w:cs="Arial"/>
                <w:b/>
                <w:bCs/>
                <w:color w:val="FFFFFF"/>
                <w:sz w:val="16"/>
                <w:szCs w:val="16"/>
              </w:rPr>
              <w:t>Number of Respondents (a)</w:t>
            </w:r>
          </w:p>
        </w:tc>
        <w:tc>
          <w:tcPr>
            <w:tcW w:w="1290" w:type="dxa"/>
            <w:tcBorders>
              <w:top w:val="single" w:sz="4" w:space="0" w:color="A6A6A6"/>
              <w:left w:val="nil"/>
              <w:bottom w:val="single" w:sz="4" w:space="0" w:color="A6A6A6"/>
              <w:right w:val="single" w:sz="4" w:space="0" w:color="A6A6A6"/>
            </w:tcBorders>
            <w:shd w:val="clear" w:color="000000" w:fill="538DD5"/>
            <w:vAlign w:val="center"/>
            <w:hideMark/>
          </w:tcPr>
          <w:p w:rsidR="00E142D0" w:rsidRPr="000357C7" w:rsidP="00E55870">
            <w:pPr>
              <w:widowControl/>
              <w:jc w:val="center"/>
              <w:rPr>
                <w:rFonts w:ascii="Arial" w:hAnsi="Arial" w:cs="Arial"/>
                <w:b/>
                <w:bCs/>
                <w:color w:val="FFFFFF"/>
                <w:sz w:val="16"/>
                <w:szCs w:val="16"/>
              </w:rPr>
            </w:pPr>
            <w:r w:rsidRPr="000357C7">
              <w:rPr>
                <w:rFonts w:ascii="Arial" w:hAnsi="Arial" w:cs="Arial"/>
                <w:b/>
                <w:bCs/>
                <w:color w:val="FFFFFF"/>
                <w:sz w:val="16"/>
                <w:szCs w:val="16"/>
              </w:rPr>
              <w:t>Frequency of R</w:t>
            </w:r>
            <w:r>
              <w:rPr>
                <w:rFonts w:ascii="Arial" w:hAnsi="Arial" w:cs="Arial"/>
                <w:b/>
                <w:bCs/>
                <w:color w:val="FFFFFF"/>
                <w:sz w:val="16"/>
                <w:szCs w:val="16"/>
              </w:rPr>
              <w:t xml:space="preserve">esponses Per Year    </w:t>
            </w:r>
            <w:r w:rsidRPr="000357C7">
              <w:rPr>
                <w:rFonts w:ascii="Arial" w:hAnsi="Arial" w:cs="Arial"/>
                <w:b/>
                <w:bCs/>
                <w:color w:val="FFFFFF"/>
                <w:sz w:val="16"/>
                <w:szCs w:val="16"/>
              </w:rPr>
              <w:t xml:space="preserve"> (b)</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rsidR="00E142D0" w:rsidRPr="000357C7" w:rsidP="00E55870">
            <w:pPr>
              <w:widowControl/>
              <w:jc w:val="center"/>
              <w:rPr>
                <w:rFonts w:ascii="Arial" w:hAnsi="Arial" w:cs="Arial"/>
                <w:b/>
                <w:bCs/>
                <w:color w:val="FFFFFF"/>
                <w:sz w:val="16"/>
                <w:szCs w:val="16"/>
              </w:rPr>
            </w:pPr>
            <w:r w:rsidRPr="000357C7">
              <w:rPr>
                <w:rFonts w:ascii="Arial" w:hAnsi="Arial" w:cs="Arial"/>
                <w:b/>
                <w:bCs/>
                <w:color w:val="FFFFFF"/>
                <w:sz w:val="16"/>
                <w:szCs w:val="16"/>
              </w:rPr>
              <w:t>Total Number of Responses Per Year                 (c) = (a*b)</w:t>
            </w:r>
          </w:p>
        </w:tc>
        <w:tc>
          <w:tcPr>
            <w:tcW w:w="1260" w:type="dxa"/>
            <w:tcBorders>
              <w:top w:val="single" w:sz="4" w:space="0" w:color="A6A6A6"/>
              <w:left w:val="nil"/>
              <w:bottom w:val="single" w:sz="4" w:space="0" w:color="A6A6A6"/>
              <w:right w:val="single" w:sz="4" w:space="0" w:color="A6A6A6"/>
            </w:tcBorders>
            <w:shd w:val="clear" w:color="000000" w:fill="538DD5"/>
            <w:vAlign w:val="center"/>
            <w:hideMark/>
          </w:tcPr>
          <w:p w:rsidR="00E142D0" w:rsidRPr="000357C7" w:rsidP="00E55870">
            <w:pPr>
              <w:widowControl/>
              <w:jc w:val="center"/>
              <w:rPr>
                <w:rFonts w:ascii="Arial" w:hAnsi="Arial" w:cs="Arial"/>
                <w:b/>
                <w:bCs/>
                <w:color w:val="FFFFFF"/>
                <w:sz w:val="16"/>
                <w:szCs w:val="16"/>
              </w:rPr>
            </w:pPr>
            <w:r w:rsidRPr="000357C7">
              <w:rPr>
                <w:rFonts w:ascii="Arial" w:hAnsi="Arial" w:cs="Arial"/>
                <w:b/>
                <w:bCs/>
                <w:color w:val="FFFFFF"/>
                <w:sz w:val="16"/>
                <w:szCs w:val="16"/>
              </w:rPr>
              <w:t xml:space="preserve">Average Time Per Response     (In </w:t>
            </w:r>
            <w:r>
              <w:rPr>
                <w:rFonts w:ascii="Arial" w:hAnsi="Arial" w:cs="Arial"/>
                <w:b/>
                <w:bCs/>
                <w:color w:val="FFFFFF"/>
                <w:sz w:val="16"/>
                <w:szCs w:val="16"/>
              </w:rPr>
              <w:t>Hours</w:t>
            </w:r>
            <w:r w:rsidRPr="000357C7">
              <w:rPr>
                <w:rFonts w:ascii="Arial" w:hAnsi="Arial" w:cs="Arial"/>
                <w:b/>
                <w:bCs/>
                <w:color w:val="FFFFFF"/>
                <w:sz w:val="16"/>
                <w:szCs w:val="16"/>
              </w:rPr>
              <w:t>)     (d)</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rsidR="00E142D0" w:rsidRPr="000357C7" w:rsidP="00E55870">
            <w:pPr>
              <w:widowControl/>
              <w:jc w:val="center"/>
              <w:rPr>
                <w:rFonts w:ascii="Arial" w:hAnsi="Arial" w:cs="Arial"/>
                <w:b/>
                <w:bCs/>
                <w:color w:val="FFFFFF"/>
                <w:sz w:val="16"/>
                <w:szCs w:val="16"/>
              </w:rPr>
            </w:pPr>
            <w:r w:rsidRPr="000357C7">
              <w:rPr>
                <w:rFonts w:ascii="Arial" w:hAnsi="Arial" w:cs="Arial"/>
                <w:b/>
                <w:bCs/>
                <w:color w:val="FFFFFF"/>
                <w:sz w:val="16"/>
                <w:szCs w:val="16"/>
              </w:rPr>
              <w:t>Annual Burden (In Hours)       (e) = (c)*(d)</w:t>
            </w:r>
          </w:p>
        </w:tc>
      </w:tr>
      <w:tr w:rsidTr="00E55870">
        <w:tblPrEx>
          <w:tblW w:w="9625" w:type="dxa"/>
          <w:jc w:val="center"/>
          <w:tblLook w:val="04A0"/>
        </w:tblPrEx>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rsidR="00E142D0" w:rsidRPr="006C4CAB" w:rsidP="00E55870">
            <w:pPr>
              <w:widowControl/>
              <w:rPr>
                <w:rFonts w:ascii="Arial" w:hAnsi="Arial" w:cs="Arial"/>
                <w:color w:val="000000"/>
                <w:sz w:val="16"/>
                <w:szCs w:val="16"/>
              </w:rPr>
            </w:pPr>
            <w:r w:rsidRPr="00BE5F90">
              <w:rPr>
                <w:rFonts w:ascii="Arial" w:hAnsi="Arial" w:cs="Arial"/>
                <w:color w:val="000000"/>
                <w:sz w:val="16"/>
                <w:szCs w:val="16"/>
              </w:rPr>
              <w:t xml:space="preserve">1. </w:t>
            </w:r>
            <w:r>
              <w:rPr>
                <w:rFonts w:ascii="Arial" w:hAnsi="Arial" w:cs="Arial"/>
                <w:color w:val="000000"/>
                <w:sz w:val="16"/>
                <w:szCs w:val="16"/>
              </w:rPr>
              <w:t>SMP proposal</w:t>
            </w:r>
          </w:p>
        </w:tc>
        <w:tc>
          <w:tcPr>
            <w:tcW w:w="1620" w:type="dxa"/>
            <w:tcBorders>
              <w:top w:val="nil"/>
              <w:left w:val="nil"/>
              <w:bottom w:val="single" w:sz="4" w:space="0" w:color="A6A6A6"/>
              <w:right w:val="single" w:sz="4" w:space="0" w:color="A6A6A6"/>
            </w:tcBorders>
            <w:shd w:val="clear" w:color="auto" w:fill="auto"/>
            <w:vAlign w:val="center"/>
            <w:hideMark/>
          </w:tcPr>
          <w:p w:rsidR="00E142D0" w:rsidRPr="006C4CAB" w:rsidP="00E55870">
            <w:pPr>
              <w:widowControl/>
              <w:rPr>
                <w:rFonts w:ascii="Arial" w:hAnsi="Arial" w:cs="Arial"/>
                <w:color w:val="000000"/>
                <w:sz w:val="16"/>
                <w:szCs w:val="16"/>
              </w:rPr>
            </w:pPr>
            <w:r>
              <w:rPr>
                <w:rFonts w:ascii="Arial" w:hAnsi="Arial" w:cs="Arial"/>
                <w:color w:val="000000"/>
                <w:sz w:val="16"/>
                <w:szCs w:val="16"/>
              </w:rPr>
              <w:t>SMP Representative</w:t>
            </w:r>
          </w:p>
        </w:tc>
        <w:tc>
          <w:tcPr>
            <w:tcW w:w="1230" w:type="dxa"/>
            <w:tcBorders>
              <w:top w:val="nil"/>
              <w:left w:val="nil"/>
              <w:bottom w:val="single" w:sz="4" w:space="0" w:color="A6A6A6"/>
              <w:right w:val="single" w:sz="4" w:space="0" w:color="A6A6A6"/>
            </w:tcBorders>
            <w:shd w:val="clear" w:color="auto" w:fill="auto"/>
            <w:vAlign w:val="center"/>
            <w:hideMark/>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6</w:t>
            </w:r>
          </w:p>
        </w:tc>
        <w:tc>
          <w:tcPr>
            <w:tcW w:w="1290" w:type="dxa"/>
            <w:tcBorders>
              <w:top w:val="nil"/>
              <w:left w:val="nil"/>
              <w:bottom w:val="single" w:sz="4" w:space="0" w:color="A6A6A6"/>
              <w:right w:val="single" w:sz="4" w:space="0" w:color="A6A6A6"/>
            </w:tcBorders>
            <w:shd w:val="clear" w:color="auto" w:fill="auto"/>
            <w:vAlign w:val="center"/>
            <w:hideMark/>
          </w:tcPr>
          <w:p w:rsidR="00E142D0" w:rsidRPr="006C4CAB" w:rsidP="00E55870">
            <w:pPr>
              <w:widowControl/>
              <w:jc w:val="center"/>
              <w:rPr>
                <w:rFonts w:ascii="Arial" w:hAnsi="Arial" w:cs="Arial"/>
                <w:color w:val="000000"/>
                <w:sz w:val="16"/>
                <w:szCs w:val="16"/>
              </w:rPr>
            </w:pPr>
            <w:r w:rsidRPr="006C4CAB">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6</w:t>
            </w:r>
          </w:p>
        </w:tc>
        <w:tc>
          <w:tcPr>
            <w:tcW w:w="1260" w:type="dxa"/>
            <w:tcBorders>
              <w:top w:val="nil"/>
              <w:left w:val="nil"/>
              <w:bottom w:val="single" w:sz="4" w:space="0" w:color="A6A6A6"/>
              <w:right w:val="single" w:sz="4" w:space="0" w:color="A6A6A6"/>
            </w:tcBorders>
            <w:shd w:val="clear" w:color="auto" w:fill="auto"/>
            <w:noWrap/>
            <w:vAlign w:val="center"/>
            <w:hideMark/>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hideMark/>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60</w:t>
            </w:r>
          </w:p>
        </w:tc>
      </w:tr>
      <w:tr w:rsidTr="00E55870">
        <w:tblPrEx>
          <w:tblW w:w="9625" w:type="dxa"/>
          <w:jc w:val="center"/>
          <w:tblLook w:val="04A0"/>
        </w:tblPrEx>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tcPr>
          <w:p w:rsidR="00E142D0" w:rsidRPr="006C4CAB" w:rsidP="00E55870">
            <w:pPr>
              <w:widowControl/>
              <w:rPr>
                <w:rFonts w:ascii="Arial" w:hAnsi="Arial" w:cs="Arial"/>
                <w:color w:val="000000"/>
                <w:sz w:val="16"/>
                <w:szCs w:val="16"/>
              </w:rPr>
            </w:pPr>
            <w:r>
              <w:rPr>
                <w:rFonts w:ascii="Arial" w:hAnsi="Arial" w:cs="Arial"/>
                <w:color w:val="000000"/>
                <w:sz w:val="16"/>
                <w:szCs w:val="16"/>
              </w:rPr>
              <w:t xml:space="preserve">2. SMP amendment </w:t>
            </w:r>
            <w:r w:rsidRPr="00C67E1B">
              <w:rPr>
                <w:rFonts w:ascii="Arial" w:hAnsi="Arial" w:cs="Arial"/>
                <w:color w:val="000000"/>
                <w:sz w:val="16"/>
                <w:szCs w:val="16"/>
                <w:vertAlign w:val="superscript"/>
              </w:rPr>
              <w:t>(1)</w:t>
            </w:r>
          </w:p>
        </w:tc>
        <w:tc>
          <w:tcPr>
            <w:tcW w:w="1620" w:type="dxa"/>
            <w:tcBorders>
              <w:top w:val="nil"/>
              <w:left w:val="nil"/>
              <w:bottom w:val="single" w:sz="4" w:space="0" w:color="A6A6A6"/>
              <w:right w:val="single" w:sz="4" w:space="0" w:color="A6A6A6"/>
            </w:tcBorders>
            <w:shd w:val="clear" w:color="auto" w:fill="auto"/>
            <w:vAlign w:val="center"/>
          </w:tcPr>
          <w:p w:rsidR="00E142D0" w:rsidP="00E55870">
            <w:pPr>
              <w:widowControl/>
              <w:rPr>
                <w:rFonts w:ascii="Arial" w:hAnsi="Arial" w:cs="Arial"/>
                <w:color w:val="000000"/>
                <w:sz w:val="16"/>
                <w:szCs w:val="16"/>
              </w:rPr>
            </w:pPr>
            <w:r>
              <w:rPr>
                <w:rFonts w:ascii="Arial" w:hAnsi="Arial" w:cs="Arial"/>
                <w:color w:val="000000"/>
                <w:sz w:val="16"/>
                <w:szCs w:val="16"/>
              </w:rPr>
              <w:t>SMP Representative</w:t>
            </w:r>
          </w:p>
        </w:tc>
        <w:tc>
          <w:tcPr>
            <w:tcW w:w="1230" w:type="dxa"/>
            <w:tcBorders>
              <w:top w:val="nil"/>
              <w:left w:val="nil"/>
              <w:bottom w:val="single" w:sz="4" w:space="0" w:color="A6A6A6"/>
              <w:right w:val="single" w:sz="4" w:space="0" w:color="A6A6A6"/>
            </w:tcBorders>
            <w:shd w:val="clear" w:color="auto" w:fill="auto"/>
            <w:vAlign w:val="center"/>
          </w:tcPr>
          <w:p w:rsidR="00E142D0" w:rsidP="00E55870">
            <w:pPr>
              <w:widowControl/>
              <w:jc w:val="center"/>
              <w:rPr>
                <w:rFonts w:ascii="Arial" w:hAnsi="Arial" w:cs="Arial"/>
                <w:color w:val="000000"/>
                <w:sz w:val="16"/>
                <w:szCs w:val="16"/>
              </w:rPr>
            </w:pPr>
            <w:r>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tcPr>
          <w:p w:rsidR="00E142D0" w:rsidP="00E55870">
            <w:pPr>
              <w:widowControl/>
              <w:jc w:val="center"/>
              <w:rPr>
                <w:rFonts w:ascii="Arial" w:hAnsi="Arial" w:cs="Arial"/>
                <w:color w:val="000000"/>
                <w:sz w:val="16"/>
                <w:szCs w:val="16"/>
              </w:rPr>
            </w:pPr>
            <w:r>
              <w:rPr>
                <w:rFonts w:ascii="Arial" w:hAnsi="Arial" w:cs="Arial"/>
                <w:color w:val="000000"/>
                <w:sz w:val="16"/>
                <w:szCs w:val="16"/>
              </w:rPr>
              <w:t>1</w:t>
            </w:r>
          </w:p>
        </w:tc>
        <w:tc>
          <w:tcPr>
            <w:tcW w:w="1260" w:type="dxa"/>
            <w:tcBorders>
              <w:top w:val="nil"/>
              <w:left w:val="nil"/>
              <w:bottom w:val="single" w:sz="4" w:space="0" w:color="A6A6A6"/>
              <w:right w:val="single" w:sz="4" w:space="0" w:color="A6A6A6"/>
            </w:tcBorders>
            <w:shd w:val="clear" w:color="auto" w:fill="auto"/>
            <w:noWrap/>
            <w:vAlign w:val="center"/>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3</w:t>
            </w:r>
          </w:p>
        </w:tc>
        <w:tc>
          <w:tcPr>
            <w:tcW w:w="1170" w:type="dxa"/>
            <w:tcBorders>
              <w:top w:val="nil"/>
              <w:left w:val="nil"/>
              <w:bottom w:val="single" w:sz="4" w:space="0" w:color="A6A6A6"/>
              <w:right w:val="single" w:sz="4" w:space="0" w:color="A6A6A6"/>
            </w:tcBorders>
            <w:shd w:val="clear" w:color="auto" w:fill="auto"/>
            <w:noWrap/>
            <w:vAlign w:val="center"/>
          </w:tcPr>
          <w:p w:rsidR="00E142D0" w:rsidP="00E55870">
            <w:pPr>
              <w:widowControl/>
              <w:jc w:val="center"/>
              <w:rPr>
                <w:rFonts w:ascii="Arial" w:hAnsi="Arial" w:cs="Arial"/>
                <w:color w:val="000000"/>
                <w:sz w:val="16"/>
                <w:szCs w:val="16"/>
              </w:rPr>
            </w:pPr>
            <w:r>
              <w:rPr>
                <w:rFonts w:ascii="Arial" w:hAnsi="Arial" w:cs="Arial"/>
                <w:color w:val="000000"/>
                <w:sz w:val="16"/>
                <w:szCs w:val="16"/>
              </w:rPr>
              <w:t>3</w:t>
            </w:r>
          </w:p>
        </w:tc>
      </w:tr>
      <w:tr w:rsidTr="00E55870">
        <w:tblPrEx>
          <w:tblW w:w="9625" w:type="dxa"/>
          <w:jc w:val="center"/>
          <w:tblLook w:val="04A0"/>
        </w:tblPrEx>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rsidR="00E142D0" w:rsidRPr="00AD60DE" w:rsidP="00E55870">
            <w:pPr>
              <w:widowControl/>
              <w:rPr>
                <w:rFonts w:ascii="Arial" w:hAnsi="Arial" w:cs="Arial"/>
                <w:color w:val="000000"/>
                <w:sz w:val="16"/>
                <w:szCs w:val="16"/>
              </w:rPr>
            </w:pPr>
            <w:r w:rsidRPr="00AD60DE">
              <w:rPr>
                <w:rFonts w:ascii="Arial" w:hAnsi="Arial" w:cs="Arial"/>
                <w:color w:val="000000"/>
                <w:sz w:val="16"/>
                <w:szCs w:val="16"/>
              </w:rPr>
              <w:t xml:space="preserve">3. Administrative appeals for disapproved SMP </w:t>
            </w:r>
            <w:r w:rsidRPr="00C67E1B">
              <w:rPr>
                <w:rFonts w:ascii="Arial" w:hAnsi="Arial" w:cs="Arial"/>
                <w:color w:val="000000"/>
                <w:sz w:val="16"/>
                <w:szCs w:val="16"/>
                <w:vertAlign w:val="superscript"/>
              </w:rPr>
              <w:t>(2)</w:t>
            </w:r>
          </w:p>
        </w:tc>
        <w:tc>
          <w:tcPr>
            <w:tcW w:w="1620" w:type="dxa"/>
            <w:tcBorders>
              <w:top w:val="nil"/>
              <w:left w:val="nil"/>
              <w:bottom w:val="single" w:sz="4" w:space="0" w:color="A6A6A6"/>
              <w:right w:val="single" w:sz="4" w:space="0" w:color="A6A6A6"/>
            </w:tcBorders>
            <w:shd w:val="clear" w:color="auto" w:fill="auto"/>
            <w:vAlign w:val="center"/>
            <w:hideMark/>
          </w:tcPr>
          <w:p w:rsidR="00E142D0" w:rsidRPr="006C4CAB" w:rsidP="00E55870">
            <w:pPr>
              <w:widowControl/>
              <w:rPr>
                <w:rFonts w:ascii="Arial" w:hAnsi="Arial" w:cs="Arial"/>
                <w:color w:val="000000"/>
                <w:sz w:val="16"/>
                <w:szCs w:val="16"/>
              </w:rPr>
            </w:pPr>
            <w:r>
              <w:rPr>
                <w:rFonts w:ascii="Arial" w:hAnsi="Arial" w:cs="Arial"/>
                <w:color w:val="000000"/>
                <w:sz w:val="16"/>
                <w:szCs w:val="16"/>
              </w:rPr>
              <w:t>SMP Representative</w:t>
            </w:r>
          </w:p>
        </w:tc>
        <w:tc>
          <w:tcPr>
            <w:tcW w:w="1230" w:type="dxa"/>
            <w:tcBorders>
              <w:top w:val="nil"/>
              <w:left w:val="nil"/>
              <w:bottom w:val="single" w:sz="4" w:space="0" w:color="A6A6A6"/>
              <w:right w:val="single" w:sz="4" w:space="0" w:color="A6A6A6"/>
            </w:tcBorders>
            <w:shd w:val="clear" w:color="auto" w:fill="auto"/>
            <w:vAlign w:val="center"/>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0.33</w:t>
            </w:r>
          </w:p>
        </w:tc>
        <w:tc>
          <w:tcPr>
            <w:tcW w:w="1170" w:type="dxa"/>
            <w:tcBorders>
              <w:top w:val="nil"/>
              <w:left w:val="nil"/>
              <w:bottom w:val="single" w:sz="4" w:space="0" w:color="A6A6A6"/>
              <w:right w:val="single" w:sz="4" w:space="0" w:color="A6A6A6"/>
            </w:tcBorders>
            <w:shd w:val="clear" w:color="auto" w:fill="auto"/>
            <w:noWrap/>
            <w:vAlign w:val="center"/>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0.33</w:t>
            </w:r>
          </w:p>
        </w:tc>
        <w:tc>
          <w:tcPr>
            <w:tcW w:w="1260" w:type="dxa"/>
            <w:tcBorders>
              <w:top w:val="nil"/>
              <w:left w:val="nil"/>
              <w:bottom w:val="single" w:sz="4" w:space="0" w:color="A6A6A6"/>
              <w:right w:val="single" w:sz="4" w:space="0" w:color="A6A6A6"/>
            </w:tcBorders>
            <w:shd w:val="clear" w:color="auto" w:fill="auto"/>
            <w:noWrap/>
            <w:vAlign w:val="center"/>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6</w:t>
            </w:r>
          </w:p>
        </w:tc>
        <w:tc>
          <w:tcPr>
            <w:tcW w:w="1170" w:type="dxa"/>
            <w:tcBorders>
              <w:top w:val="nil"/>
              <w:left w:val="nil"/>
              <w:bottom w:val="single" w:sz="4" w:space="0" w:color="A6A6A6"/>
              <w:right w:val="single" w:sz="4" w:space="0" w:color="A6A6A6"/>
            </w:tcBorders>
            <w:shd w:val="clear" w:color="auto" w:fill="auto"/>
            <w:noWrap/>
            <w:vAlign w:val="center"/>
            <w:hideMark/>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2</w:t>
            </w:r>
          </w:p>
        </w:tc>
      </w:tr>
      <w:tr w:rsidTr="00E55870">
        <w:tblPrEx>
          <w:tblW w:w="9625" w:type="dxa"/>
          <w:jc w:val="center"/>
          <w:tblLook w:val="04A0"/>
        </w:tblPrEx>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rsidR="00E142D0" w:rsidRPr="006C4CAB" w:rsidP="00E55870">
            <w:pPr>
              <w:widowControl/>
              <w:rPr>
                <w:rFonts w:ascii="Arial" w:hAnsi="Arial" w:cs="Arial"/>
                <w:color w:val="000000"/>
                <w:sz w:val="16"/>
                <w:szCs w:val="16"/>
              </w:rPr>
            </w:pPr>
            <w:r>
              <w:rPr>
                <w:rFonts w:ascii="Arial" w:hAnsi="Arial" w:cs="Arial"/>
                <w:color w:val="000000"/>
                <w:sz w:val="16"/>
                <w:szCs w:val="16"/>
              </w:rPr>
              <w:t>4</w:t>
            </w:r>
            <w:r w:rsidRPr="006C4CAB">
              <w:rPr>
                <w:rFonts w:ascii="Arial" w:hAnsi="Arial" w:cs="Arial"/>
                <w:color w:val="000000"/>
                <w:sz w:val="16"/>
                <w:szCs w:val="16"/>
              </w:rPr>
              <w:t xml:space="preserve">. </w:t>
            </w:r>
            <w:r>
              <w:rPr>
                <w:rFonts w:ascii="Arial" w:hAnsi="Arial" w:cs="Arial"/>
                <w:color w:val="000000"/>
                <w:sz w:val="16"/>
                <w:szCs w:val="16"/>
              </w:rPr>
              <w:t>SMP postseason report</w:t>
            </w:r>
          </w:p>
        </w:tc>
        <w:tc>
          <w:tcPr>
            <w:tcW w:w="1620" w:type="dxa"/>
            <w:tcBorders>
              <w:top w:val="nil"/>
              <w:left w:val="nil"/>
              <w:bottom w:val="single" w:sz="4" w:space="0" w:color="A6A6A6"/>
              <w:right w:val="single" w:sz="4" w:space="0" w:color="A6A6A6"/>
            </w:tcBorders>
            <w:shd w:val="clear" w:color="auto" w:fill="auto"/>
            <w:vAlign w:val="center"/>
            <w:hideMark/>
          </w:tcPr>
          <w:p w:rsidR="00E142D0" w:rsidRPr="006C4CAB" w:rsidP="00E55870">
            <w:pPr>
              <w:widowControl/>
              <w:rPr>
                <w:rFonts w:ascii="Arial" w:hAnsi="Arial" w:cs="Arial"/>
                <w:color w:val="000000"/>
                <w:sz w:val="16"/>
                <w:szCs w:val="16"/>
              </w:rPr>
            </w:pPr>
            <w:r>
              <w:rPr>
                <w:rFonts w:ascii="Arial" w:hAnsi="Arial" w:cs="Arial"/>
                <w:color w:val="000000"/>
                <w:sz w:val="16"/>
                <w:szCs w:val="16"/>
              </w:rPr>
              <w:t>SMP Representative</w:t>
            </w:r>
          </w:p>
        </w:tc>
        <w:tc>
          <w:tcPr>
            <w:tcW w:w="1230" w:type="dxa"/>
            <w:tcBorders>
              <w:top w:val="nil"/>
              <w:left w:val="nil"/>
              <w:bottom w:val="single" w:sz="4" w:space="0" w:color="A6A6A6"/>
              <w:right w:val="single" w:sz="4" w:space="0" w:color="A6A6A6"/>
            </w:tcBorders>
            <w:shd w:val="clear" w:color="auto" w:fill="auto"/>
            <w:vAlign w:val="center"/>
            <w:hideMark/>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6</w:t>
            </w:r>
          </w:p>
        </w:tc>
        <w:tc>
          <w:tcPr>
            <w:tcW w:w="1290" w:type="dxa"/>
            <w:tcBorders>
              <w:top w:val="nil"/>
              <w:left w:val="nil"/>
              <w:bottom w:val="single" w:sz="4" w:space="0" w:color="A6A6A6"/>
              <w:right w:val="single" w:sz="4" w:space="0" w:color="A6A6A6"/>
            </w:tcBorders>
            <w:shd w:val="clear" w:color="auto" w:fill="auto"/>
            <w:vAlign w:val="center"/>
            <w:hideMark/>
          </w:tcPr>
          <w:p w:rsidR="00E142D0" w:rsidRPr="006C4CAB" w:rsidP="00E55870">
            <w:pPr>
              <w:widowControl/>
              <w:jc w:val="center"/>
              <w:rPr>
                <w:rFonts w:ascii="Arial" w:hAnsi="Arial" w:cs="Arial"/>
                <w:color w:val="000000"/>
                <w:sz w:val="16"/>
                <w:szCs w:val="16"/>
              </w:rPr>
            </w:pPr>
            <w:r w:rsidRPr="006C4CAB">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6</w:t>
            </w:r>
          </w:p>
        </w:tc>
        <w:tc>
          <w:tcPr>
            <w:tcW w:w="1260" w:type="dxa"/>
            <w:tcBorders>
              <w:top w:val="nil"/>
              <w:left w:val="nil"/>
              <w:bottom w:val="single" w:sz="4" w:space="0" w:color="A6A6A6"/>
              <w:right w:val="single" w:sz="4" w:space="0" w:color="A6A6A6"/>
            </w:tcBorders>
            <w:shd w:val="clear" w:color="auto" w:fill="auto"/>
            <w:noWrap/>
            <w:vAlign w:val="center"/>
            <w:hideMark/>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8</w:t>
            </w:r>
          </w:p>
        </w:tc>
        <w:tc>
          <w:tcPr>
            <w:tcW w:w="1170" w:type="dxa"/>
            <w:tcBorders>
              <w:top w:val="nil"/>
              <w:left w:val="nil"/>
              <w:bottom w:val="single" w:sz="4" w:space="0" w:color="A6A6A6"/>
              <w:right w:val="single" w:sz="4" w:space="0" w:color="A6A6A6"/>
            </w:tcBorders>
            <w:shd w:val="clear" w:color="auto" w:fill="auto"/>
            <w:noWrap/>
            <w:vAlign w:val="center"/>
            <w:hideMark/>
          </w:tcPr>
          <w:p w:rsidR="00E142D0" w:rsidRPr="006C4CAB" w:rsidP="00E55870">
            <w:pPr>
              <w:widowControl/>
              <w:jc w:val="center"/>
              <w:rPr>
                <w:rFonts w:ascii="Arial" w:hAnsi="Arial" w:cs="Arial"/>
                <w:color w:val="000000"/>
                <w:sz w:val="16"/>
                <w:szCs w:val="16"/>
              </w:rPr>
            </w:pPr>
            <w:r>
              <w:rPr>
                <w:rFonts w:ascii="Arial" w:hAnsi="Arial" w:cs="Arial"/>
                <w:color w:val="000000"/>
                <w:sz w:val="16"/>
                <w:szCs w:val="16"/>
              </w:rPr>
              <w:t>48</w:t>
            </w:r>
          </w:p>
        </w:tc>
      </w:tr>
      <w:tr w:rsidTr="00E55870">
        <w:tblPrEx>
          <w:tblW w:w="9625" w:type="dxa"/>
          <w:jc w:val="center"/>
          <w:tblLook w:val="04A0"/>
        </w:tblPrEx>
        <w:trPr>
          <w:cantSplit/>
          <w:trHeight w:val="225"/>
          <w:tblHeader/>
          <w:jc w:val="center"/>
        </w:trPr>
        <w:tc>
          <w:tcPr>
            <w:tcW w:w="1885" w:type="dxa"/>
            <w:tcBorders>
              <w:top w:val="nil"/>
              <w:left w:val="single" w:sz="4" w:space="0" w:color="A6A6A6"/>
              <w:bottom w:val="single" w:sz="4" w:space="0" w:color="A6A6A6"/>
              <w:right w:val="single" w:sz="4" w:space="0" w:color="A6A6A6"/>
            </w:tcBorders>
            <w:shd w:val="clear" w:color="auto" w:fill="auto"/>
            <w:noWrap/>
            <w:vAlign w:val="center"/>
            <w:hideMark/>
          </w:tcPr>
          <w:p w:rsidR="00E142D0" w:rsidRPr="00B5378E" w:rsidP="00E55870">
            <w:pPr>
              <w:widowControl/>
              <w:rPr>
                <w:rFonts w:ascii="Arial" w:hAnsi="Arial" w:cs="Arial"/>
                <w:b/>
                <w:bCs/>
                <w:color w:val="000000"/>
                <w:sz w:val="16"/>
                <w:szCs w:val="16"/>
              </w:rPr>
            </w:pPr>
            <w:r w:rsidRPr="00B5378E">
              <w:rPr>
                <w:rFonts w:ascii="Arial" w:hAnsi="Arial" w:cs="Arial"/>
                <w:b/>
                <w:bCs/>
                <w:color w:val="000000"/>
                <w:sz w:val="16"/>
                <w:szCs w:val="16"/>
              </w:rPr>
              <w:t>TOTALS</w:t>
            </w:r>
          </w:p>
        </w:tc>
        <w:tc>
          <w:tcPr>
            <w:tcW w:w="1620" w:type="dxa"/>
            <w:tcBorders>
              <w:top w:val="nil"/>
              <w:left w:val="nil"/>
              <w:bottom w:val="single" w:sz="4" w:space="0" w:color="A6A6A6"/>
              <w:right w:val="single" w:sz="4" w:space="0" w:color="A6A6A6"/>
            </w:tcBorders>
            <w:shd w:val="clear" w:color="auto" w:fill="auto"/>
            <w:noWrap/>
            <w:vAlign w:val="center"/>
            <w:hideMark/>
          </w:tcPr>
          <w:p w:rsidR="00E142D0" w:rsidRPr="00B5378E" w:rsidP="00E55870">
            <w:pPr>
              <w:widowControl/>
              <w:jc w:val="center"/>
              <w:rPr>
                <w:rFonts w:ascii="Arial" w:hAnsi="Arial" w:cs="Arial"/>
                <w:b/>
                <w:bCs/>
                <w:color w:val="000000"/>
                <w:sz w:val="16"/>
                <w:szCs w:val="16"/>
              </w:rPr>
            </w:pPr>
            <w:r w:rsidRPr="00B5378E">
              <w:rPr>
                <w:rFonts w:ascii="Arial" w:hAnsi="Arial" w:cs="Arial"/>
                <w:b/>
                <w:bCs/>
                <w:color w:val="000000"/>
                <w:sz w:val="16"/>
                <w:szCs w:val="16"/>
              </w:rPr>
              <w:t> </w:t>
            </w:r>
          </w:p>
        </w:tc>
        <w:tc>
          <w:tcPr>
            <w:tcW w:w="1230" w:type="dxa"/>
            <w:tcBorders>
              <w:top w:val="nil"/>
              <w:left w:val="nil"/>
              <w:bottom w:val="single" w:sz="4" w:space="0" w:color="A6A6A6"/>
              <w:right w:val="single" w:sz="4" w:space="0" w:color="A6A6A6"/>
            </w:tcBorders>
            <w:shd w:val="clear" w:color="auto" w:fill="auto"/>
            <w:noWrap/>
            <w:vAlign w:val="center"/>
            <w:hideMark/>
          </w:tcPr>
          <w:p w:rsidR="00E142D0" w:rsidRPr="00B5378E" w:rsidP="00E55870">
            <w:pPr>
              <w:widowControl/>
              <w:jc w:val="center"/>
              <w:rPr>
                <w:rFonts w:ascii="Arial" w:hAnsi="Arial" w:cs="Arial"/>
                <w:b/>
                <w:bCs/>
                <w:color w:val="000000"/>
                <w:sz w:val="16"/>
                <w:szCs w:val="16"/>
              </w:rPr>
            </w:pPr>
            <w:r>
              <w:rPr>
                <w:rFonts w:ascii="Arial" w:hAnsi="Arial" w:cs="Arial"/>
                <w:b/>
                <w:bCs/>
                <w:color w:val="000000"/>
                <w:sz w:val="16"/>
                <w:szCs w:val="16"/>
              </w:rPr>
              <w:t>14</w:t>
            </w:r>
            <w:r w:rsidRPr="00B5378E">
              <w:rPr>
                <w:rFonts w:ascii="Arial" w:hAnsi="Arial" w:cs="Arial"/>
                <w:b/>
                <w:bCs/>
                <w:color w:val="000000"/>
                <w:sz w:val="16"/>
                <w:szCs w:val="16"/>
              </w:rPr>
              <w:t xml:space="preserve"> Unique Respondents</w:t>
            </w:r>
          </w:p>
        </w:tc>
        <w:tc>
          <w:tcPr>
            <w:tcW w:w="1290" w:type="dxa"/>
            <w:tcBorders>
              <w:top w:val="nil"/>
              <w:left w:val="nil"/>
              <w:bottom w:val="single" w:sz="4" w:space="0" w:color="A6A6A6"/>
              <w:right w:val="single" w:sz="4" w:space="0" w:color="A6A6A6"/>
            </w:tcBorders>
            <w:shd w:val="clear" w:color="auto" w:fill="auto"/>
            <w:noWrap/>
            <w:vAlign w:val="center"/>
            <w:hideMark/>
          </w:tcPr>
          <w:p w:rsidR="00E142D0" w:rsidRPr="00B5378E" w:rsidP="00E55870">
            <w:pPr>
              <w:widowControl/>
              <w:jc w:val="center"/>
              <w:rPr>
                <w:rFonts w:ascii="Arial" w:hAnsi="Arial" w:cs="Arial"/>
                <w:b/>
                <w:bCs/>
                <w:color w:val="000000"/>
                <w:sz w:val="16"/>
                <w:szCs w:val="16"/>
              </w:rPr>
            </w:pPr>
            <w:r w:rsidRPr="00B5378E">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rsidR="00E142D0" w:rsidP="00E55870">
            <w:pPr>
              <w:widowControl/>
              <w:jc w:val="center"/>
              <w:rPr>
                <w:rFonts w:ascii="Arial" w:hAnsi="Arial" w:cs="Arial"/>
                <w:b/>
                <w:bCs/>
                <w:color w:val="000000"/>
                <w:sz w:val="16"/>
                <w:szCs w:val="16"/>
              </w:rPr>
            </w:pPr>
            <w:r>
              <w:rPr>
                <w:rFonts w:ascii="Arial" w:hAnsi="Arial" w:cs="Arial"/>
                <w:b/>
                <w:bCs/>
                <w:color w:val="000000"/>
                <w:sz w:val="16"/>
                <w:szCs w:val="16"/>
              </w:rPr>
              <w:t>13.33</w:t>
            </w:r>
          </w:p>
          <w:p w:rsidR="00E142D0" w:rsidRPr="00B5378E" w:rsidP="00E55870">
            <w:pPr>
              <w:widowControl/>
              <w:jc w:val="center"/>
              <w:rPr>
                <w:rFonts w:ascii="Arial" w:hAnsi="Arial" w:cs="Arial"/>
                <w:b/>
                <w:bCs/>
                <w:color w:val="000000"/>
                <w:sz w:val="16"/>
                <w:szCs w:val="16"/>
              </w:rPr>
            </w:pPr>
            <w:r w:rsidRPr="00B5378E">
              <w:rPr>
                <w:rFonts w:ascii="Arial" w:hAnsi="Arial" w:cs="Arial"/>
                <w:b/>
                <w:bCs/>
                <w:color w:val="000000"/>
                <w:sz w:val="16"/>
                <w:szCs w:val="16"/>
              </w:rPr>
              <w:t>Responses</w:t>
            </w:r>
          </w:p>
        </w:tc>
        <w:tc>
          <w:tcPr>
            <w:tcW w:w="1260" w:type="dxa"/>
            <w:tcBorders>
              <w:top w:val="nil"/>
              <w:left w:val="nil"/>
              <w:bottom w:val="single" w:sz="4" w:space="0" w:color="A6A6A6"/>
              <w:right w:val="single" w:sz="4" w:space="0" w:color="A6A6A6"/>
            </w:tcBorders>
            <w:shd w:val="clear" w:color="auto" w:fill="auto"/>
            <w:noWrap/>
            <w:vAlign w:val="center"/>
            <w:hideMark/>
          </w:tcPr>
          <w:p w:rsidR="00E142D0" w:rsidRPr="00B5378E" w:rsidP="00E55870">
            <w:pPr>
              <w:widowControl/>
              <w:jc w:val="center"/>
              <w:rPr>
                <w:rFonts w:ascii="Arial" w:hAnsi="Arial" w:cs="Arial"/>
                <w:b/>
                <w:bCs/>
                <w:color w:val="000000"/>
                <w:sz w:val="16"/>
                <w:szCs w:val="16"/>
              </w:rPr>
            </w:pPr>
            <w:r w:rsidRPr="00B5378E">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rsidR="00E142D0" w:rsidRPr="000357C7" w:rsidP="00E55870">
            <w:pPr>
              <w:widowControl/>
              <w:jc w:val="center"/>
              <w:rPr>
                <w:rFonts w:ascii="Arial" w:hAnsi="Arial" w:cs="Arial"/>
                <w:b/>
                <w:bCs/>
                <w:color w:val="000000"/>
                <w:sz w:val="16"/>
                <w:szCs w:val="16"/>
              </w:rPr>
            </w:pPr>
            <w:r>
              <w:rPr>
                <w:rFonts w:ascii="Arial" w:hAnsi="Arial" w:cs="Arial"/>
                <w:b/>
                <w:bCs/>
                <w:color w:val="000000"/>
                <w:sz w:val="16"/>
                <w:szCs w:val="16"/>
              </w:rPr>
              <w:t xml:space="preserve">113 </w:t>
            </w:r>
            <w:r w:rsidRPr="00B5378E">
              <w:rPr>
                <w:rFonts w:ascii="Arial" w:hAnsi="Arial" w:cs="Arial"/>
                <w:b/>
                <w:bCs/>
                <w:color w:val="000000"/>
                <w:sz w:val="16"/>
                <w:szCs w:val="16"/>
              </w:rPr>
              <w:t>Annual Burden Hours</w:t>
            </w:r>
          </w:p>
        </w:tc>
      </w:tr>
    </w:tbl>
    <w:p w:rsidR="00E142D0" w:rsidP="00E142D0"/>
    <w:p w:rsidR="00E142D0" w:rsidP="00E142D0">
      <w:pPr>
        <w:rPr>
          <w:rFonts w:ascii="Arial" w:hAnsi="Arial" w:cs="Arial"/>
          <w:color w:val="000000"/>
          <w:sz w:val="16"/>
          <w:szCs w:val="16"/>
        </w:rPr>
      </w:pPr>
      <w:r>
        <w:rPr>
          <w:rFonts w:ascii="Arial" w:hAnsi="Arial" w:cs="Arial"/>
          <w:color w:val="000000"/>
          <w:sz w:val="16"/>
          <w:szCs w:val="16"/>
        </w:rPr>
        <w:t>(1)</w:t>
      </w:r>
      <w:r w:rsidRPr="004313C0">
        <w:rPr>
          <w:rFonts w:ascii="Arial" w:hAnsi="Arial" w:cs="Arial"/>
          <w:color w:val="000000"/>
          <w:sz w:val="16"/>
          <w:szCs w:val="16"/>
        </w:rPr>
        <w:t xml:space="preserve"> </w:t>
      </w:r>
      <w:r>
        <w:rPr>
          <w:rFonts w:ascii="Arial" w:hAnsi="Arial" w:cs="Arial"/>
          <w:color w:val="000000"/>
          <w:sz w:val="16"/>
          <w:szCs w:val="16"/>
        </w:rPr>
        <w:t>W</w:t>
      </w:r>
      <w:r w:rsidRPr="00AD60DE">
        <w:rPr>
          <w:rFonts w:ascii="Arial" w:hAnsi="Arial" w:cs="Arial"/>
          <w:color w:val="000000"/>
          <w:sz w:val="16"/>
          <w:szCs w:val="16"/>
        </w:rPr>
        <w:t xml:space="preserve">e estimate that we may receive one amended </w:t>
      </w:r>
      <w:r>
        <w:rPr>
          <w:rFonts w:ascii="Arial" w:hAnsi="Arial" w:cs="Arial"/>
          <w:color w:val="000000"/>
          <w:sz w:val="16"/>
          <w:szCs w:val="16"/>
        </w:rPr>
        <w:t>SMP</w:t>
      </w:r>
      <w:r w:rsidRPr="00AD60DE">
        <w:rPr>
          <w:rFonts w:ascii="Arial" w:hAnsi="Arial" w:cs="Arial"/>
          <w:color w:val="000000"/>
          <w:sz w:val="16"/>
          <w:szCs w:val="16"/>
        </w:rPr>
        <w:t xml:space="preserve"> per year over the next three years; therefore, one respondent was used for this analysis</w:t>
      </w:r>
      <w:r w:rsidRPr="004313C0">
        <w:rPr>
          <w:rFonts w:ascii="Arial" w:hAnsi="Arial" w:cs="Arial"/>
          <w:color w:val="000000"/>
          <w:sz w:val="16"/>
          <w:szCs w:val="16"/>
        </w:rPr>
        <w:t>.</w:t>
      </w:r>
    </w:p>
    <w:p w:rsidR="00E142D0" w:rsidP="00E142D0">
      <w:pPr>
        <w:rPr>
          <w:rFonts w:ascii="Arial" w:hAnsi="Arial" w:cs="Arial"/>
          <w:color w:val="000000"/>
          <w:sz w:val="16"/>
          <w:szCs w:val="16"/>
        </w:rPr>
      </w:pPr>
    </w:p>
    <w:p w:rsidR="00E142D0" w:rsidP="00E142D0">
      <w:pPr>
        <w:rPr>
          <w:rFonts w:ascii="Arial" w:hAnsi="Arial" w:cs="Arial"/>
          <w:color w:val="000000"/>
          <w:sz w:val="16"/>
          <w:szCs w:val="16"/>
        </w:rPr>
      </w:pPr>
      <w:r>
        <w:rPr>
          <w:rFonts w:ascii="Arial" w:hAnsi="Arial" w:cs="Arial"/>
          <w:color w:val="000000"/>
          <w:sz w:val="16"/>
          <w:szCs w:val="16"/>
        </w:rPr>
        <w:t>(2) We expect to receive</w:t>
      </w:r>
      <w:r w:rsidRPr="00F97AF6">
        <w:rPr>
          <w:rFonts w:ascii="Arial" w:hAnsi="Arial" w:cs="Arial"/>
          <w:color w:val="000000"/>
          <w:sz w:val="16"/>
          <w:szCs w:val="16"/>
        </w:rPr>
        <w:t xml:space="preserve"> </w:t>
      </w:r>
      <w:r>
        <w:rPr>
          <w:rFonts w:ascii="Arial" w:hAnsi="Arial" w:cs="Arial"/>
          <w:color w:val="000000"/>
          <w:sz w:val="16"/>
          <w:szCs w:val="16"/>
        </w:rPr>
        <w:t>one</w:t>
      </w:r>
      <w:r w:rsidRPr="00F97AF6">
        <w:rPr>
          <w:rFonts w:ascii="Arial" w:hAnsi="Arial" w:cs="Arial"/>
          <w:color w:val="000000"/>
          <w:sz w:val="16"/>
          <w:szCs w:val="16"/>
        </w:rPr>
        <w:t xml:space="preserve"> appeal over </w:t>
      </w:r>
      <w:r>
        <w:rPr>
          <w:rFonts w:ascii="Arial" w:hAnsi="Arial" w:cs="Arial"/>
          <w:color w:val="000000"/>
          <w:sz w:val="16"/>
          <w:szCs w:val="16"/>
        </w:rPr>
        <w:t>three</w:t>
      </w:r>
      <w:r w:rsidRPr="00F97AF6">
        <w:rPr>
          <w:rFonts w:ascii="Arial" w:hAnsi="Arial" w:cs="Arial"/>
          <w:color w:val="000000"/>
          <w:sz w:val="16"/>
          <w:szCs w:val="16"/>
        </w:rPr>
        <w:t xml:space="preserve"> years</w:t>
      </w:r>
      <w:r>
        <w:rPr>
          <w:rFonts w:ascii="Arial" w:hAnsi="Arial" w:cs="Arial"/>
          <w:color w:val="000000"/>
          <w:sz w:val="16"/>
          <w:szCs w:val="16"/>
        </w:rPr>
        <w:t>, therefore, the frequency of responses is 0.33 per year.</w:t>
      </w:r>
    </w:p>
    <w:p w:rsidR="00E142D0" w:rsidP="00E142D0">
      <w:pPr>
        <w:pBdr>
          <w:top w:val="nil"/>
          <w:left w:val="nil"/>
          <w:bottom w:val="nil"/>
          <w:right w:val="nil"/>
          <w:between w:val="nil"/>
        </w:pBdr>
        <w:tabs>
          <w:tab w:val="left" w:pos="360"/>
        </w:tabs>
        <w:spacing w:before="80"/>
        <w:rPr>
          <w:b/>
          <w:color w:val="000000"/>
        </w:rPr>
      </w:pPr>
    </w:p>
    <w:p w:rsidR="00E142D0" w:rsidP="00E142D0">
      <w:pPr>
        <w:pBdr>
          <w:top w:val="nil"/>
          <w:left w:val="nil"/>
          <w:bottom w:val="nil"/>
          <w:right w:val="nil"/>
          <w:between w:val="nil"/>
        </w:pBdr>
        <w:tabs>
          <w:tab w:val="left" w:pos="360"/>
        </w:tabs>
        <w:spacing w:before="80"/>
        <w:rPr>
          <w:b/>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FF79B2">
      <w:pPr>
        <w:pBdr>
          <w:top w:val="nil"/>
          <w:left w:val="nil"/>
          <w:bottom w:val="nil"/>
          <w:right w:val="nil"/>
          <w:between w:val="nil"/>
        </w:pBdr>
        <w:spacing w:before="7"/>
        <w:rPr>
          <w:b/>
          <w:color w:val="000000"/>
        </w:rPr>
      </w:pPr>
    </w:p>
    <w:p w:rsidR="00EF5A56" w:rsidP="00EF5A56">
      <w:r w:rsidRPr="004A284C">
        <w:t>The total estimated annual cost burden to the respondents or record-keepers resulting from this collection is $</w:t>
      </w:r>
      <w:r>
        <w:t>49.66.  This estimate assumes responses are mailed, but we expected most responses would be submitted electronically.</w:t>
      </w:r>
    </w:p>
    <w:p w:rsidR="00EF5A56" w:rsidP="00EF5A56"/>
    <w:tbl>
      <w:tblPr>
        <w:tblW w:w="9720" w:type="dxa"/>
        <w:tblInd w:w="-185" w:type="dxa"/>
        <w:tblLayout w:type="fixed"/>
        <w:tblLook w:val="04A0"/>
      </w:tblPr>
      <w:tblGrid>
        <w:gridCol w:w="1530"/>
        <w:gridCol w:w="1260"/>
        <w:gridCol w:w="1080"/>
        <w:gridCol w:w="1080"/>
        <w:gridCol w:w="1080"/>
        <w:gridCol w:w="90"/>
        <w:gridCol w:w="1170"/>
        <w:gridCol w:w="1170"/>
        <w:gridCol w:w="1260"/>
      </w:tblGrid>
      <w:tr w:rsidTr="00E55870">
        <w:tblPrEx>
          <w:tblW w:w="9720" w:type="dxa"/>
          <w:tblInd w:w="-185" w:type="dxa"/>
          <w:tblLayout w:type="fixed"/>
          <w:tblLook w:val="04A0"/>
        </w:tblPrEx>
        <w:trPr>
          <w:trHeight w:val="1125"/>
        </w:trPr>
        <w:tc>
          <w:tcPr>
            <w:tcW w:w="1530" w:type="dxa"/>
            <w:tcBorders>
              <w:top w:val="single" w:sz="4" w:space="0" w:color="A6A6A6"/>
              <w:left w:val="single" w:sz="4" w:space="0" w:color="A6A6A6"/>
              <w:bottom w:val="single" w:sz="4" w:space="0" w:color="A6A6A6"/>
              <w:right w:val="single" w:sz="4" w:space="0" w:color="A6A6A6"/>
            </w:tcBorders>
            <w:shd w:val="clear" w:color="000000" w:fill="538DD5"/>
            <w:vAlign w:val="center"/>
            <w:hideMark/>
          </w:tcPr>
          <w:p w:rsidR="00EF5A56" w:rsidRPr="00BE5F90" w:rsidP="00E55870">
            <w:pPr>
              <w:widowControl/>
              <w:jc w:val="center"/>
              <w:rPr>
                <w:rFonts w:ascii="Arial" w:hAnsi="Arial" w:cs="Arial"/>
                <w:b/>
                <w:bCs/>
                <w:color w:val="FFFFFF"/>
                <w:sz w:val="16"/>
                <w:szCs w:val="16"/>
              </w:rPr>
            </w:pPr>
            <w:r w:rsidRPr="00BE5F90">
              <w:rPr>
                <w:rFonts w:ascii="Arial" w:hAnsi="Arial" w:cs="Arial"/>
                <w:b/>
                <w:bCs/>
                <w:color w:val="FFFFFF"/>
                <w:sz w:val="16"/>
                <w:szCs w:val="16"/>
              </w:rPr>
              <w:t>Collection</w:t>
            </w:r>
          </w:p>
        </w:tc>
        <w:tc>
          <w:tcPr>
            <w:tcW w:w="1260" w:type="dxa"/>
            <w:tcBorders>
              <w:top w:val="single" w:sz="4" w:space="0" w:color="A6A6A6"/>
              <w:left w:val="nil"/>
              <w:bottom w:val="single" w:sz="4" w:space="0" w:color="A6A6A6"/>
              <w:right w:val="single" w:sz="4" w:space="0" w:color="A6A6A6"/>
            </w:tcBorders>
            <w:shd w:val="clear" w:color="000000" w:fill="538DD5"/>
            <w:vAlign w:val="center"/>
            <w:hideMark/>
          </w:tcPr>
          <w:p w:rsidR="00EF5A56" w:rsidRPr="00BE5F90" w:rsidP="00E55870">
            <w:pPr>
              <w:widowControl/>
              <w:jc w:val="center"/>
              <w:rPr>
                <w:rFonts w:ascii="Arial" w:hAnsi="Arial" w:cs="Arial"/>
                <w:b/>
                <w:bCs/>
                <w:color w:val="FFFFFF"/>
                <w:sz w:val="16"/>
                <w:szCs w:val="16"/>
              </w:rPr>
            </w:pPr>
            <w:r w:rsidRPr="00BE5F90">
              <w:rPr>
                <w:rFonts w:ascii="Arial" w:hAnsi="Arial" w:cs="Arial"/>
                <w:b/>
                <w:bCs/>
                <w:color w:val="FFFFFF"/>
                <w:sz w:val="16"/>
                <w:szCs w:val="16"/>
              </w:rPr>
              <w:t>Number of Respondents (a)</w:t>
            </w:r>
          </w:p>
        </w:tc>
        <w:tc>
          <w:tcPr>
            <w:tcW w:w="1080" w:type="dxa"/>
            <w:tcBorders>
              <w:top w:val="single" w:sz="4" w:space="0" w:color="A6A6A6"/>
              <w:left w:val="nil"/>
              <w:bottom w:val="single" w:sz="4" w:space="0" w:color="A6A6A6"/>
              <w:right w:val="single" w:sz="4" w:space="0" w:color="A6A6A6"/>
            </w:tcBorders>
            <w:shd w:val="clear" w:color="000000" w:fill="538DD5"/>
            <w:vAlign w:val="center"/>
            <w:hideMark/>
          </w:tcPr>
          <w:p w:rsidR="00EF5A56" w:rsidRPr="00BE5F90" w:rsidP="00E55870">
            <w:pPr>
              <w:widowControl/>
              <w:jc w:val="center"/>
              <w:rPr>
                <w:rFonts w:ascii="Arial" w:hAnsi="Arial" w:cs="Arial"/>
                <w:b/>
                <w:bCs/>
                <w:color w:val="FFFFFF"/>
                <w:sz w:val="16"/>
                <w:szCs w:val="16"/>
              </w:rPr>
            </w:pPr>
            <w:r w:rsidRPr="00BE5F90">
              <w:rPr>
                <w:rFonts w:ascii="Arial" w:hAnsi="Arial" w:cs="Arial"/>
                <w:b/>
                <w:bCs/>
                <w:color w:val="FFFFFF"/>
                <w:sz w:val="16"/>
                <w:szCs w:val="16"/>
              </w:rPr>
              <w:t>Frequency of Responses Per Year                (b)</w:t>
            </w:r>
          </w:p>
        </w:tc>
        <w:tc>
          <w:tcPr>
            <w:tcW w:w="1080" w:type="dxa"/>
            <w:tcBorders>
              <w:top w:val="single" w:sz="4" w:space="0" w:color="A6A6A6"/>
              <w:left w:val="nil"/>
              <w:bottom w:val="single" w:sz="4" w:space="0" w:color="A6A6A6"/>
              <w:right w:val="single" w:sz="4" w:space="0" w:color="A6A6A6"/>
            </w:tcBorders>
            <w:shd w:val="clear" w:color="000000" w:fill="538DD5"/>
            <w:vAlign w:val="center"/>
            <w:hideMark/>
          </w:tcPr>
          <w:p w:rsidR="00EF5A56" w:rsidRPr="00BE5F90" w:rsidP="00E55870">
            <w:pPr>
              <w:widowControl/>
              <w:jc w:val="center"/>
              <w:rPr>
                <w:rFonts w:ascii="Arial" w:hAnsi="Arial" w:cs="Arial"/>
                <w:b/>
                <w:bCs/>
                <w:color w:val="FFFFFF"/>
                <w:sz w:val="16"/>
                <w:szCs w:val="16"/>
              </w:rPr>
            </w:pPr>
            <w:r w:rsidRPr="00BE5F90">
              <w:rPr>
                <w:rFonts w:ascii="Arial" w:hAnsi="Arial" w:cs="Arial"/>
                <w:b/>
                <w:bCs/>
                <w:color w:val="FFFFFF"/>
                <w:sz w:val="16"/>
                <w:szCs w:val="16"/>
              </w:rPr>
              <w:t>Total Number of Responses Per Year                 (c) = (a*b)</w:t>
            </w:r>
          </w:p>
        </w:tc>
        <w:tc>
          <w:tcPr>
            <w:tcW w:w="1170" w:type="dxa"/>
            <w:gridSpan w:val="2"/>
            <w:tcBorders>
              <w:top w:val="single" w:sz="4" w:space="0" w:color="A6A6A6"/>
              <w:left w:val="nil"/>
              <w:bottom w:val="single" w:sz="4" w:space="0" w:color="A6A6A6"/>
              <w:right w:val="single" w:sz="4" w:space="0" w:color="A6A6A6"/>
            </w:tcBorders>
            <w:shd w:val="clear" w:color="000000" w:fill="538DD5"/>
            <w:vAlign w:val="center"/>
            <w:hideMark/>
          </w:tcPr>
          <w:p w:rsidR="00EF5A56" w:rsidRPr="00BE5F90" w:rsidP="00E55870">
            <w:pPr>
              <w:widowControl/>
              <w:jc w:val="center"/>
              <w:rPr>
                <w:rFonts w:ascii="Arial" w:hAnsi="Arial" w:cs="Arial"/>
                <w:b/>
                <w:bCs/>
                <w:color w:val="FFFFFF"/>
                <w:sz w:val="16"/>
                <w:szCs w:val="16"/>
              </w:rPr>
            </w:pPr>
            <w:r w:rsidRPr="00BE5F90">
              <w:rPr>
                <w:rFonts w:ascii="Arial" w:hAnsi="Arial" w:cs="Arial"/>
                <w:b/>
                <w:bCs/>
                <w:color w:val="FFFFFF"/>
                <w:sz w:val="16"/>
                <w:szCs w:val="16"/>
              </w:rPr>
              <w:t>Mailing Costs to Respondent (d)</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rsidR="00EF5A56" w:rsidRPr="00BE5F90" w:rsidP="00E55870">
            <w:pPr>
              <w:widowControl/>
              <w:jc w:val="center"/>
              <w:rPr>
                <w:rFonts w:ascii="Arial" w:hAnsi="Arial" w:cs="Arial"/>
                <w:b/>
                <w:bCs/>
                <w:color w:val="FFFFFF"/>
                <w:sz w:val="16"/>
                <w:szCs w:val="16"/>
              </w:rPr>
            </w:pPr>
            <w:r w:rsidRPr="00BE5F90">
              <w:rPr>
                <w:rFonts w:ascii="Arial" w:hAnsi="Arial" w:cs="Arial"/>
                <w:b/>
                <w:bCs/>
                <w:color w:val="FFFFFF"/>
                <w:sz w:val="16"/>
                <w:szCs w:val="16"/>
              </w:rPr>
              <w:t>Copy Costs to Respondent ($0.05/page) (e)</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rsidR="00EF5A56" w:rsidRPr="00BE5F90" w:rsidP="00E55870">
            <w:pPr>
              <w:widowControl/>
              <w:jc w:val="center"/>
              <w:rPr>
                <w:rFonts w:ascii="Arial" w:hAnsi="Arial" w:cs="Arial"/>
                <w:b/>
                <w:bCs/>
                <w:color w:val="FFFFFF"/>
                <w:sz w:val="16"/>
                <w:szCs w:val="16"/>
              </w:rPr>
            </w:pPr>
            <w:r w:rsidRPr="00BE5F90">
              <w:rPr>
                <w:rFonts w:ascii="Arial" w:hAnsi="Arial" w:cs="Arial"/>
                <w:b/>
                <w:bCs/>
                <w:color w:val="FFFFFF"/>
                <w:sz w:val="16"/>
                <w:szCs w:val="16"/>
              </w:rPr>
              <w:t>Application Fees (</w:t>
            </w:r>
            <w:r>
              <w:rPr>
                <w:rFonts w:ascii="Arial" w:hAnsi="Arial" w:cs="Arial"/>
                <w:b/>
                <w:bCs/>
                <w:color w:val="FFFFFF"/>
                <w:sz w:val="16"/>
                <w:szCs w:val="16"/>
              </w:rPr>
              <w:t>f</w:t>
            </w:r>
            <w:r w:rsidRPr="00BE5F90">
              <w:rPr>
                <w:rFonts w:ascii="Arial" w:hAnsi="Arial" w:cs="Arial"/>
                <w:b/>
                <w:bCs/>
                <w:color w:val="FFFFFF"/>
                <w:sz w:val="16"/>
                <w:szCs w:val="16"/>
              </w:rPr>
              <w:t>)</w:t>
            </w:r>
          </w:p>
        </w:tc>
        <w:tc>
          <w:tcPr>
            <w:tcW w:w="1260" w:type="dxa"/>
            <w:tcBorders>
              <w:top w:val="single" w:sz="4" w:space="0" w:color="A6A6A6"/>
              <w:left w:val="nil"/>
              <w:bottom w:val="single" w:sz="4" w:space="0" w:color="A6A6A6"/>
              <w:right w:val="single" w:sz="4" w:space="0" w:color="A6A6A6"/>
            </w:tcBorders>
            <w:shd w:val="clear" w:color="000000" w:fill="538DD5"/>
            <w:vAlign w:val="center"/>
            <w:hideMark/>
          </w:tcPr>
          <w:p w:rsidR="00EF5A56" w:rsidRPr="00BE5F90" w:rsidP="00E55870">
            <w:pPr>
              <w:widowControl/>
              <w:jc w:val="center"/>
              <w:rPr>
                <w:rFonts w:ascii="Arial" w:hAnsi="Arial" w:cs="Arial"/>
                <w:b/>
                <w:bCs/>
                <w:color w:val="FFFFFF"/>
                <w:sz w:val="16"/>
                <w:szCs w:val="16"/>
              </w:rPr>
            </w:pPr>
            <w:r w:rsidRPr="00BE5F90">
              <w:rPr>
                <w:rFonts w:ascii="Arial" w:hAnsi="Arial" w:cs="Arial"/>
                <w:b/>
                <w:bCs/>
                <w:color w:val="FFFFFF"/>
                <w:sz w:val="16"/>
                <w:szCs w:val="16"/>
              </w:rPr>
              <w:t>Total Annual Cost Burden to Respondents    (h) = (c) * (</w:t>
            </w:r>
            <w:r w:rsidRPr="00BE5F90">
              <w:rPr>
                <w:rFonts w:ascii="Arial" w:hAnsi="Arial" w:cs="Arial"/>
                <w:b/>
                <w:bCs/>
                <w:color w:val="FFFFFF"/>
                <w:sz w:val="16"/>
                <w:szCs w:val="16"/>
              </w:rPr>
              <w:t>d+e+f</w:t>
            </w:r>
            <w:r w:rsidRPr="00BE5F90">
              <w:rPr>
                <w:rFonts w:ascii="Arial" w:hAnsi="Arial" w:cs="Arial"/>
                <w:b/>
                <w:bCs/>
                <w:color w:val="FFFFFF"/>
                <w:sz w:val="16"/>
                <w:szCs w:val="16"/>
              </w:rPr>
              <w:t>)</w:t>
            </w:r>
          </w:p>
        </w:tc>
      </w:tr>
      <w:tr w:rsidTr="00E55870">
        <w:tblPrEx>
          <w:tblW w:w="9720" w:type="dxa"/>
          <w:tblInd w:w="-185" w:type="dxa"/>
          <w:tblLayout w:type="fixed"/>
          <w:tblLook w:val="04A0"/>
        </w:tblPrEx>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rsidR="00EF5A56" w:rsidRPr="00BE5F90" w:rsidP="00E55870">
            <w:pPr>
              <w:widowControl/>
              <w:rPr>
                <w:rFonts w:ascii="Arial" w:hAnsi="Arial" w:cs="Arial"/>
                <w:color w:val="000000"/>
                <w:sz w:val="16"/>
                <w:szCs w:val="16"/>
              </w:rPr>
            </w:pPr>
            <w:r w:rsidRPr="00BE5F90">
              <w:rPr>
                <w:rFonts w:ascii="Arial" w:hAnsi="Arial" w:cs="Arial"/>
                <w:color w:val="000000"/>
                <w:sz w:val="16"/>
                <w:szCs w:val="16"/>
              </w:rPr>
              <w:t xml:space="preserve">1. </w:t>
            </w:r>
            <w:r>
              <w:rPr>
                <w:rFonts w:ascii="Arial" w:hAnsi="Arial" w:cs="Arial"/>
                <w:color w:val="000000"/>
                <w:sz w:val="16"/>
                <w:szCs w:val="16"/>
              </w:rPr>
              <w:t>SMP proposal</w:t>
            </w:r>
          </w:p>
        </w:tc>
        <w:tc>
          <w:tcPr>
            <w:tcW w:w="1260" w:type="dxa"/>
            <w:tcBorders>
              <w:top w:val="nil"/>
              <w:left w:val="nil"/>
              <w:bottom w:val="single" w:sz="4" w:space="0" w:color="A6A6A6"/>
              <w:right w:val="single" w:sz="4" w:space="0" w:color="A6A6A6"/>
            </w:tcBorders>
            <w:shd w:val="clear" w:color="auto" w:fill="auto"/>
            <w:vAlign w:val="center"/>
            <w:hideMark/>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6</w:t>
            </w:r>
          </w:p>
        </w:tc>
        <w:tc>
          <w:tcPr>
            <w:tcW w:w="1080" w:type="dxa"/>
            <w:tcBorders>
              <w:top w:val="nil"/>
              <w:left w:val="nil"/>
              <w:bottom w:val="single" w:sz="4" w:space="0" w:color="A6A6A6"/>
              <w:right w:val="single" w:sz="4" w:space="0" w:color="A6A6A6"/>
            </w:tcBorders>
            <w:shd w:val="clear" w:color="auto" w:fill="auto"/>
            <w:vAlign w:val="center"/>
            <w:hideMark/>
          </w:tcPr>
          <w:p w:rsidR="00EF5A56" w:rsidRPr="00B5378E" w:rsidP="00E55870">
            <w:pPr>
              <w:widowControl/>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6</w:t>
            </w:r>
          </w:p>
        </w:tc>
        <w:tc>
          <w:tcPr>
            <w:tcW w:w="1080" w:type="dxa"/>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$1.60</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$1.00</w:t>
            </w:r>
          </w:p>
        </w:tc>
        <w:tc>
          <w:tcPr>
            <w:tcW w:w="1170" w:type="dxa"/>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sidRPr="00B5378E">
              <w:rPr>
                <w:rFonts w:ascii="Arial" w:hAnsi="Arial" w:cs="Arial"/>
                <w:sz w:val="16"/>
                <w:szCs w:val="16"/>
              </w:rPr>
              <w:t>$</w:t>
            </w:r>
            <w:r>
              <w:rPr>
                <w:rFonts w:ascii="Arial" w:hAnsi="Arial" w:cs="Arial"/>
                <w:sz w:val="16"/>
                <w:szCs w:val="16"/>
              </w:rPr>
              <w:t>15.60</w:t>
            </w:r>
          </w:p>
        </w:tc>
      </w:tr>
      <w:tr w:rsidTr="00E55870">
        <w:tblPrEx>
          <w:tblW w:w="9720" w:type="dxa"/>
          <w:tblInd w:w="-185" w:type="dxa"/>
          <w:tblLayout w:type="fixed"/>
          <w:tblLook w:val="04A0"/>
        </w:tblPrEx>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tcPr>
          <w:p w:rsidR="00EF5A56" w:rsidRPr="00BE5F90" w:rsidP="00E55870">
            <w:pPr>
              <w:widowControl/>
              <w:rPr>
                <w:rFonts w:ascii="Arial" w:hAnsi="Arial" w:cs="Arial"/>
                <w:color w:val="000000"/>
                <w:sz w:val="16"/>
                <w:szCs w:val="16"/>
              </w:rPr>
            </w:pPr>
            <w:r>
              <w:rPr>
                <w:rFonts w:ascii="Arial" w:hAnsi="Arial" w:cs="Arial"/>
                <w:color w:val="000000"/>
                <w:sz w:val="16"/>
                <w:szCs w:val="16"/>
              </w:rPr>
              <w:t>2. SMP amendment</w:t>
            </w:r>
          </w:p>
        </w:tc>
        <w:tc>
          <w:tcPr>
            <w:tcW w:w="1260" w:type="dxa"/>
            <w:tcBorders>
              <w:top w:val="nil"/>
              <w:left w:val="nil"/>
              <w:bottom w:val="single" w:sz="4" w:space="0" w:color="A6A6A6"/>
              <w:right w:val="single" w:sz="4" w:space="0" w:color="A6A6A6"/>
            </w:tcBorders>
            <w:shd w:val="clear" w:color="auto" w:fill="auto"/>
            <w:vAlign w:val="center"/>
          </w:tcPr>
          <w:p w:rsidR="00EF5A56" w:rsidP="00E55870">
            <w:pPr>
              <w:widowControl/>
              <w:jc w:val="center"/>
              <w:rPr>
                <w:rFonts w:ascii="Arial" w:hAnsi="Arial" w:cs="Arial"/>
                <w:color w:val="000000"/>
                <w:sz w:val="16"/>
                <w:szCs w:val="16"/>
              </w:rPr>
            </w:pPr>
            <w:r>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tcPr>
          <w:p w:rsidR="00EF5A56" w:rsidP="00E55870">
            <w:pPr>
              <w:widowControl/>
              <w:jc w:val="center"/>
              <w:rPr>
                <w:rFonts w:ascii="Arial" w:hAnsi="Arial" w:cs="Arial"/>
                <w:color w:val="000000"/>
                <w:sz w:val="16"/>
                <w:szCs w:val="16"/>
              </w:rPr>
            </w:pPr>
            <w:r>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$1.60</w:t>
            </w:r>
          </w:p>
        </w:tc>
        <w:tc>
          <w:tcPr>
            <w:tcW w:w="1260" w:type="dxa"/>
            <w:gridSpan w:val="2"/>
            <w:tcBorders>
              <w:top w:val="nil"/>
              <w:left w:val="nil"/>
              <w:bottom w:val="single" w:sz="4" w:space="0" w:color="A6A6A6"/>
              <w:right w:val="single" w:sz="4" w:space="0" w:color="A6A6A6"/>
            </w:tcBorders>
            <w:shd w:val="clear" w:color="auto" w:fill="auto"/>
            <w:noWrap/>
            <w:vAlign w:val="center"/>
          </w:tcPr>
          <w:p w:rsidR="00EF5A56" w:rsidP="00E55870">
            <w:pPr>
              <w:widowControl/>
              <w:jc w:val="center"/>
              <w:rPr>
                <w:rFonts w:ascii="Arial" w:hAnsi="Arial" w:cs="Arial"/>
                <w:color w:val="000000"/>
                <w:sz w:val="16"/>
                <w:szCs w:val="16"/>
              </w:rPr>
            </w:pPr>
            <w:r>
              <w:rPr>
                <w:rFonts w:ascii="Arial" w:hAnsi="Arial" w:cs="Arial"/>
                <w:color w:val="000000"/>
                <w:sz w:val="16"/>
                <w:szCs w:val="16"/>
              </w:rPr>
              <w:t>$1</w:t>
            </w:r>
            <w:r w:rsidRPr="00B5378E">
              <w:rPr>
                <w:rFonts w:ascii="Arial" w:hAnsi="Arial" w:cs="Arial"/>
                <w:color w:val="000000"/>
                <w:sz w:val="16"/>
                <w:szCs w:val="16"/>
              </w:rPr>
              <w:t>.</w:t>
            </w:r>
            <w:r>
              <w:rPr>
                <w:rFonts w:ascii="Arial" w:hAnsi="Arial" w:cs="Arial"/>
                <w:color w:val="000000"/>
                <w:sz w:val="16"/>
                <w:szCs w:val="16"/>
              </w:rPr>
              <w:t>00</w:t>
            </w:r>
          </w:p>
        </w:tc>
        <w:tc>
          <w:tcPr>
            <w:tcW w:w="1170" w:type="dxa"/>
            <w:tcBorders>
              <w:top w:val="nil"/>
              <w:left w:val="nil"/>
              <w:bottom w:val="single" w:sz="4" w:space="0" w:color="A6A6A6"/>
              <w:right w:val="single" w:sz="4" w:space="0" w:color="A6A6A6"/>
            </w:tcBorders>
            <w:shd w:val="clear" w:color="auto" w:fill="auto"/>
            <w:noWrap/>
            <w:vAlign w:val="center"/>
          </w:tcPr>
          <w:p w:rsidR="00EF5A56" w:rsidRPr="00B5378E" w:rsidP="00E55870">
            <w:pPr>
              <w:widowControl/>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tcPr>
          <w:p w:rsidR="00EF5A56" w:rsidRPr="00B5378E" w:rsidP="00E55870">
            <w:pPr>
              <w:widowControl/>
              <w:jc w:val="center"/>
              <w:rPr>
                <w:rFonts w:ascii="Arial" w:hAnsi="Arial" w:cs="Arial"/>
                <w:sz w:val="16"/>
                <w:szCs w:val="16"/>
              </w:rPr>
            </w:pPr>
            <w:r w:rsidRPr="00B5378E">
              <w:rPr>
                <w:rFonts w:ascii="Arial" w:hAnsi="Arial" w:cs="Arial"/>
                <w:sz w:val="16"/>
                <w:szCs w:val="16"/>
              </w:rPr>
              <w:t>$</w:t>
            </w:r>
            <w:r>
              <w:rPr>
                <w:rFonts w:ascii="Arial" w:hAnsi="Arial" w:cs="Arial"/>
                <w:sz w:val="16"/>
                <w:szCs w:val="16"/>
              </w:rPr>
              <w:t>2.60</w:t>
            </w:r>
          </w:p>
        </w:tc>
      </w:tr>
      <w:tr w:rsidTr="00E55870">
        <w:tblPrEx>
          <w:tblW w:w="9720" w:type="dxa"/>
          <w:tblInd w:w="-185" w:type="dxa"/>
          <w:tblLayout w:type="fixed"/>
          <w:tblLook w:val="04A0"/>
        </w:tblPrEx>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rsidR="00EF5A56" w:rsidRPr="00BE5F90" w:rsidP="00E55870">
            <w:pPr>
              <w:widowControl/>
              <w:rPr>
                <w:rFonts w:ascii="Arial" w:hAnsi="Arial" w:cs="Arial"/>
                <w:sz w:val="16"/>
                <w:szCs w:val="16"/>
              </w:rPr>
            </w:pPr>
            <w:r>
              <w:rPr>
                <w:rFonts w:ascii="Arial" w:hAnsi="Arial" w:cs="Arial"/>
                <w:sz w:val="16"/>
                <w:szCs w:val="16"/>
              </w:rPr>
              <w:t>3</w:t>
            </w:r>
            <w:r w:rsidRPr="006C4CAB">
              <w:rPr>
                <w:rFonts w:ascii="Arial" w:hAnsi="Arial" w:cs="Arial"/>
                <w:sz w:val="16"/>
                <w:szCs w:val="16"/>
              </w:rPr>
              <w:t xml:space="preserve">. </w:t>
            </w:r>
            <w:r>
              <w:rPr>
                <w:rFonts w:ascii="Arial" w:hAnsi="Arial" w:cs="Arial"/>
                <w:sz w:val="16"/>
                <w:szCs w:val="16"/>
              </w:rPr>
              <w:t>Administrative appeals for disapproved SMP</w:t>
            </w:r>
          </w:p>
        </w:tc>
        <w:tc>
          <w:tcPr>
            <w:tcW w:w="1260" w:type="dxa"/>
            <w:tcBorders>
              <w:top w:val="nil"/>
              <w:left w:val="nil"/>
              <w:bottom w:val="single" w:sz="4" w:space="0" w:color="A6A6A6"/>
              <w:right w:val="single" w:sz="4" w:space="0" w:color="A6A6A6"/>
            </w:tcBorders>
            <w:shd w:val="clear" w:color="auto" w:fill="auto"/>
            <w:vAlign w:val="center"/>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0.33</w:t>
            </w:r>
          </w:p>
        </w:tc>
        <w:tc>
          <w:tcPr>
            <w:tcW w:w="1080" w:type="dxa"/>
            <w:tcBorders>
              <w:top w:val="nil"/>
              <w:left w:val="nil"/>
              <w:bottom w:val="single" w:sz="4" w:space="0" w:color="A6A6A6"/>
              <w:right w:val="single" w:sz="4" w:space="0" w:color="A6A6A6"/>
            </w:tcBorders>
            <w:shd w:val="clear" w:color="auto" w:fill="auto"/>
            <w:noWrap/>
            <w:vAlign w:val="center"/>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0.33</w:t>
            </w:r>
          </w:p>
        </w:tc>
        <w:tc>
          <w:tcPr>
            <w:tcW w:w="1080" w:type="dxa"/>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sidRPr="00B5378E">
              <w:rPr>
                <w:rFonts w:ascii="Arial" w:hAnsi="Arial" w:cs="Arial"/>
                <w:color w:val="000000"/>
                <w:sz w:val="16"/>
                <w:szCs w:val="16"/>
              </w:rPr>
              <w:t>$0.55</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sidRPr="00B5378E">
              <w:rPr>
                <w:rFonts w:ascii="Arial" w:hAnsi="Arial" w:cs="Arial"/>
                <w:color w:val="000000"/>
                <w:sz w:val="16"/>
                <w:szCs w:val="16"/>
              </w:rPr>
              <w:t>$0.</w:t>
            </w:r>
            <w:r>
              <w:rPr>
                <w:rFonts w:ascii="Arial" w:hAnsi="Arial" w:cs="Arial"/>
                <w:color w:val="000000"/>
                <w:sz w:val="16"/>
                <w:szCs w:val="16"/>
              </w:rPr>
              <w:t>25</w:t>
            </w:r>
          </w:p>
        </w:tc>
        <w:tc>
          <w:tcPr>
            <w:tcW w:w="1170" w:type="dxa"/>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sidRPr="00B5378E">
              <w:rPr>
                <w:rFonts w:ascii="Arial" w:hAnsi="Arial" w:cs="Arial"/>
                <w:sz w:val="16"/>
                <w:szCs w:val="16"/>
              </w:rPr>
              <w:t>$</w:t>
            </w:r>
            <w:r>
              <w:rPr>
                <w:rFonts w:ascii="Arial" w:hAnsi="Arial" w:cs="Arial"/>
                <w:sz w:val="16"/>
                <w:szCs w:val="16"/>
              </w:rPr>
              <w:t>0.26</w:t>
            </w:r>
            <w:r w:rsidRPr="00B5378E">
              <w:rPr>
                <w:rFonts w:ascii="Arial" w:hAnsi="Arial" w:cs="Arial"/>
                <w:sz w:val="16"/>
                <w:szCs w:val="16"/>
              </w:rPr>
              <w:t xml:space="preserve"> </w:t>
            </w:r>
          </w:p>
        </w:tc>
      </w:tr>
      <w:tr w:rsidTr="00E55870">
        <w:tblPrEx>
          <w:tblW w:w="9720" w:type="dxa"/>
          <w:tblInd w:w="-185" w:type="dxa"/>
          <w:tblLayout w:type="fixed"/>
          <w:tblLook w:val="04A0"/>
        </w:tblPrEx>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rsidR="00EF5A56" w:rsidRPr="00BE5F90" w:rsidP="00E55870">
            <w:pPr>
              <w:widowControl/>
              <w:rPr>
                <w:rFonts w:ascii="Arial" w:hAnsi="Arial" w:cs="Arial"/>
                <w:color w:val="000000"/>
                <w:sz w:val="16"/>
                <w:szCs w:val="16"/>
              </w:rPr>
            </w:pPr>
            <w:r>
              <w:rPr>
                <w:rFonts w:ascii="Arial" w:hAnsi="Arial" w:cs="Arial"/>
                <w:color w:val="000000"/>
                <w:sz w:val="16"/>
                <w:szCs w:val="16"/>
              </w:rPr>
              <w:t>4</w:t>
            </w:r>
            <w:r w:rsidRPr="006C4CAB">
              <w:rPr>
                <w:rFonts w:ascii="Arial" w:hAnsi="Arial" w:cs="Arial"/>
                <w:color w:val="000000"/>
                <w:sz w:val="16"/>
                <w:szCs w:val="16"/>
              </w:rPr>
              <w:t xml:space="preserve">. </w:t>
            </w:r>
            <w:r>
              <w:rPr>
                <w:rFonts w:ascii="Arial" w:hAnsi="Arial" w:cs="Arial"/>
                <w:color w:val="000000"/>
                <w:sz w:val="16"/>
                <w:szCs w:val="16"/>
              </w:rPr>
              <w:t xml:space="preserve">SMP postseason report </w:t>
            </w:r>
            <w:r w:rsidRPr="00C67E1B">
              <w:rPr>
                <w:rFonts w:ascii="Arial" w:hAnsi="Arial" w:cs="Arial"/>
                <w:color w:val="000000"/>
                <w:sz w:val="16"/>
                <w:szCs w:val="16"/>
                <w:vertAlign w:val="superscript"/>
              </w:rPr>
              <w:t>(1)</w:t>
            </w:r>
          </w:p>
        </w:tc>
        <w:tc>
          <w:tcPr>
            <w:tcW w:w="1260" w:type="dxa"/>
            <w:tcBorders>
              <w:top w:val="nil"/>
              <w:left w:val="nil"/>
              <w:bottom w:val="single" w:sz="4" w:space="0" w:color="A6A6A6"/>
              <w:right w:val="single" w:sz="4" w:space="0" w:color="A6A6A6"/>
            </w:tcBorders>
            <w:shd w:val="clear" w:color="auto" w:fill="auto"/>
            <w:vAlign w:val="center"/>
            <w:hideMark/>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6</w:t>
            </w:r>
          </w:p>
        </w:tc>
        <w:tc>
          <w:tcPr>
            <w:tcW w:w="1080" w:type="dxa"/>
            <w:tcBorders>
              <w:top w:val="nil"/>
              <w:left w:val="nil"/>
              <w:bottom w:val="single" w:sz="4" w:space="0" w:color="A6A6A6"/>
              <w:right w:val="single" w:sz="4" w:space="0" w:color="A6A6A6"/>
            </w:tcBorders>
            <w:shd w:val="clear" w:color="auto" w:fill="auto"/>
            <w:vAlign w:val="center"/>
            <w:hideMark/>
          </w:tcPr>
          <w:p w:rsidR="00EF5A56" w:rsidRPr="00B5378E" w:rsidP="00E55870">
            <w:pPr>
              <w:widowControl/>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6</w:t>
            </w:r>
          </w:p>
        </w:tc>
        <w:tc>
          <w:tcPr>
            <w:tcW w:w="1080" w:type="dxa"/>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Pr>
                <w:rFonts w:ascii="Arial" w:hAnsi="Arial" w:cs="Arial"/>
                <w:color w:val="000000"/>
                <w:sz w:val="16"/>
                <w:szCs w:val="16"/>
              </w:rPr>
              <w:t xml:space="preserve">$3.20 </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sidRPr="00B5378E">
              <w:rPr>
                <w:rFonts w:ascii="Arial" w:hAnsi="Arial" w:cs="Arial"/>
                <w:color w:val="000000"/>
                <w:sz w:val="16"/>
                <w:szCs w:val="16"/>
              </w:rPr>
              <w:t>$</w:t>
            </w:r>
            <w:r>
              <w:rPr>
                <w:rFonts w:ascii="Arial" w:hAnsi="Arial" w:cs="Arial"/>
                <w:color w:val="000000"/>
                <w:sz w:val="16"/>
                <w:szCs w:val="16"/>
              </w:rPr>
              <w:t>2</w:t>
            </w:r>
            <w:r w:rsidRPr="00B5378E">
              <w:rPr>
                <w:rFonts w:ascii="Arial" w:hAnsi="Arial" w:cs="Arial"/>
                <w:color w:val="000000"/>
                <w:sz w:val="16"/>
                <w:szCs w:val="16"/>
              </w:rPr>
              <w:t>.</w:t>
            </w:r>
            <w:r>
              <w:rPr>
                <w:rFonts w:ascii="Arial" w:hAnsi="Arial" w:cs="Arial"/>
                <w:color w:val="000000"/>
                <w:sz w:val="16"/>
                <w:szCs w:val="16"/>
              </w:rPr>
              <w:t>00</w:t>
            </w:r>
          </w:p>
        </w:tc>
        <w:tc>
          <w:tcPr>
            <w:tcW w:w="1170" w:type="dxa"/>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rsidR="00EF5A56" w:rsidRPr="00B5378E" w:rsidP="00E55870">
            <w:pPr>
              <w:widowControl/>
              <w:jc w:val="center"/>
              <w:rPr>
                <w:rFonts w:ascii="Arial" w:hAnsi="Arial" w:cs="Arial"/>
                <w:color w:val="000000"/>
                <w:sz w:val="16"/>
                <w:szCs w:val="16"/>
              </w:rPr>
            </w:pPr>
            <w:r>
              <w:rPr>
                <w:rFonts w:ascii="Arial" w:hAnsi="Arial" w:cs="Arial"/>
                <w:sz w:val="16"/>
                <w:szCs w:val="16"/>
              </w:rPr>
              <w:t>$31.20</w:t>
            </w:r>
            <w:r w:rsidRPr="00B5378E">
              <w:rPr>
                <w:rFonts w:ascii="Arial" w:hAnsi="Arial" w:cs="Arial"/>
                <w:sz w:val="16"/>
                <w:szCs w:val="16"/>
              </w:rPr>
              <w:t xml:space="preserve"> </w:t>
            </w:r>
          </w:p>
        </w:tc>
      </w:tr>
    </w:tbl>
    <w:p w:rsidR="00EF5A56" w:rsidP="00EF5A56"/>
    <w:p w:rsidR="00EF5A56" w:rsidP="00EF5A56">
      <w:pPr>
        <w:rPr>
          <w:rFonts w:ascii="Arial" w:hAnsi="Arial" w:cs="Arial"/>
          <w:color w:val="000000"/>
          <w:sz w:val="16"/>
          <w:szCs w:val="16"/>
        </w:rPr>
      </w:pPr>
      <w:r>
        <w:rPr>
          <w:rFonts w:ascii="Arial" w:hAnsi="Arial" w:cs="Arial"/>
          <w:color w:val="000000"/>
          <w:sz w:val="16"/>
          <w:szCs w:val="16"/>
        </w:rPr>
        <w:t>(1)</w:t>
      </w:r>
      <w:r w:rsidRPr="004313C0">
        <w:rPr>
          <w:rFonts w:ascii="Arial" w:hAnsi="Arial" w:cs="Arial"/>
          <w:color w:val="000000"/>
          <w:sz w:val="16"/>
          <w:szCs w:val="16"/>
        </w:rPr>
        <w:t xml:space="preserve"> </w:t>
      </w:r>
      <w:r>
        <w:rPr>
          <w:rFonts w:ascii="Arial" w:hAnsi="Arial" w:cs="Arial"/>
          <w:color w:val="000000"/>
          <w:sz w:val="16"/>
          <w:szCs w:val="16"/>
        </w:rPr>
        <w:t xml:space="preserve"> Estimate includes mailing and copy costs for submission to both NMFS and the Council</w:t>
      </w:r>
    </w:p>
    <w:p w:rsidR="00EF5A56">
      <w:pPr>
        <w:pBdr>
          <w:top w:val="nil"/>
          <w:left w:val="nil"/>
          <w:bottom w:val="nil"/>
          <w:right w:val="nil"/>
          <w:between w:val="nil"/>
        </w:pBdr>
        <w:spacing w:before="7"/>
        <w:rPr>
          <w:b/>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5247B" w:rsidP="0005247B">
      <w:pPr>
        <w:pBdr>
          <w:top w:val="nil"/>
          <w:left w:val="nil"/>
          <w:bottom w:val="nil"/>
          <w:right w:val="nil"/>
          <w:between w:val="nil"/>
        </w:pBdr>
        <w:tabs>
          <w:tab w:val="left" w:pos="360"/>
        </w:tabs>
        <w:spacing w:before="80"/>
        <w:rPr>
          <w:b/>
          <w:color w:val="000000"/>
        </w:rPr>
      </w:pPr>
    </w:p>
    <w:p w:rsidR="0005247B" w:rsidP="0005247B">
      <w:r>
        <w:t>The Federal government would incur labor costs associated with the approval or denial of SMP proposal and amendments, as well as SMP appeals. The Federal government would not incur cost from the SMP postseason report.</w:t>
      </w:r>
    </w:p>
    <w:p w:rsidR="0005247B" w:rsidP="0005247B"/>
    <w:p w:rsidR="0005247B" w:rsidP="0005247B">
      <w:r>
        <w:t>We anticipate review of the SMP proposal would require 4 hours by of review by a NMFS Fishery Manager(s) for each SMP proposal or amendment (six proposals and one amendment at $35/hour). An additional 1 hour would be needed for an administrative specialist to copy and file the SMP proposals and amendments, and prepare and mail responses ($25/hour).  We estimate the annualized cost to the Federal government to approve or deny SMP proposals and amendments to be $1,005.00.</w:t>
      </w:r>
    </w:p>
    <w:p w:rsidR="0005247B" w:rsidP="0005247B"/>
    <w:p w:rsidR="0005247B" w:rsidP="0005247B">
      <w:r>
        <w:t>Appeals for denial of an SMP proposal or amendment would require 4 hours by the NMFS National Appeals Office staff ($35/hour) to review and prepare a response. An administrative specialist would copy, mail, and file the decision (0.5 hours at $25/hour). As NMFS expects to receive 1 appeal over 3 years, the total annualized cost to the government for processing appeals would be $50.83.</w:t>
      </w:r>
    </w:p>
    <w:p w:rsidR="0005247B" w:rsidP="0005247B"/>
    <w:p w:rsidR="0005247B" w:rsidRPr="00BD235B" w:rsidP="00BD235B">
      <w:r>
        <w:t>The estimated net annualized cost to the Federal government is approximately $1,055.83.</w:t>
      </w:r>
    </w:p>
    <w:p w:rsidR="0005247B" w:rsidP="0005247B">
      <w:pPr>
        <w:pBdr>
          <w:top w:val="nil"/>
          <w:left w:val="nil"/>
          <w:bottom w:val="nil"/>
          <w:right w:val="nil"/>
          <w:between w:val="nil"/>
        </w:pBdr>
        <w:tabs>
          <w:tab w:val="left" w:pos="360"/>
        </w:tabs>
        <w:spacing w:before="80"/>
        <w:rPr>
          <w:b/>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FF79B2">
      <w:pPr>
        <w:pBdr>
          <w:top w:val="nil"/>
          <w:left w:val="nil"/>
          <w:bottom w:val="nil"/>
          <w:right w:val="nil"/>
          <w:between w:val="nil"/>
        </w:pBdr>
        <w:spacing w:before="7"/>
        <w:rPr>
          <w:b/>
          <w:color w:val="000000"/>
        </w:rPr>
      </w:pPr>
    </w:p>
    <w:p w:rsidR="00BD235B" w:rsidRPr="00BD235B">
      <w:pPr>
        <w:pBdr>
          <w:top w:val="nil"/>
          <w:left w:val="nil"/>
          <w:bottom w:val="nil"/>
          <w:right w:val="nil"/>
          <w:between w:val="nil"/>
        </w:pBdr>
        <w:spacing w:before="7"/>
        <w:rPr>
          <w:color w:val="000000"/>
        </w:rPr>
      </w:pPr>
      <w:r>
        <w:rPr>
          <w:color w:val="000000"/>
        </w:rPr>
        <w:t xml:space="preserve">No program changes or revisions to this collection are requested. </w:t>
      </w:r>
    </w:p>
    <w:p w:rsidR="00BD235B">
      <w:pPr>
        <w:pBdr>
          <w:top w:val="nil"/>
          <w:left w:val="nil"/>
          <w:bottom w:val="nil"/>
          <w:right w:val="nil"/>
          <w:between w:val="nil"/>
        </w:pBdr>
        <w:spacing w:before="7"/>
        <w:rPr>
          <w:b/>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D235B" w:rsidP="00BD235B">
      <w:pPr>
        <w:pBdr>
          <w:top w:val="nil"/>
          <w:left w:val="nil"/>
          <w:bottom w:val="nil"/>
          <w:right w:val="nil"/>
          <w:between w:val="nil"/>
        </w:pBdr>
        <w:tabs>
          <w:tab w:val="left" w:pos="360"/>
        </w:tabs>
        <w:spacing w:before="80"/>
        <w:rPr>
          <w:b/>
          <w:color w:val="000000"/>
        </w:rPr>
      </w:pPr>
    </w:p>
    <w:p w:rsidR="00BD235B" w:rsidP="00BD235B">
      <w:pPr>
        <w:widowControl/>
        <w:rPr>
          <w:color w:val="000000"/>
        </w:rPr>
      </w:pPr>
      <w:r>
        <w:t>The SMP postseason report may be posted on the Council website (</w:t>
      </w:r>
      <w:hyperlink r:id="rId6" w:history="1">
        <w:r w:rsidRPr="00A75DFC">
          <w:rPr>
            <w:rStyle w:val="Hyperlink"/>
          </w:rPr>
          <w:t>https://www.pcouncil.org/</w:t>
        </w:r>
      </w:hyperlink>
      <w:r>
        <w:t>).</w:t>
      </w:r>
    </w:p>
    <w:p w:rsidR="00BD235B" w:rsidP="00BD235B">
      <w:pPr>
        <w:widowControl/>
        <w:rPr>
          <w:color w:val="000000"/>
        </w:rPr>
      </w:pPr>
      <w:r>
        <w:rPr>
          <w:color w:val="000000"/>
        </w:rPr>
        <w:t>Final administrative appeal decisions with redactions are posted on the NMFS National Appeals</w:t>
      </w:r>
    </w:p>
    <w:p w:rsidR="00BD235B" w:rsidRPr="00BD235B" w:rsidP="00BD235B">
      <w:pPr>
        <w:rPr>
          <w:i/>
        </w:rPr>
      </w:pPr>
      <w:r>
        <w:rPr>
          <w:color w:val="000000"/>
        </w:rPr>
        <w:t>Office website (</w:t>
      </w:r>
      <w:hyperlink r:id="rId7" w:history="1">
        <w:r w:rsidRPr="0064060B">
          <w:rPr>
            <w:rStyle w:val="Hyperlink"/>
          </w:rPr>
          <w:t>https://www.fisheries.noaa.gov/about/office-management-budget</w:t>
        </w:r>
      </w:hyperlink>
      <w:r>
        <w:rPr>
          <w:color w:val="0000FF"/>
        </w:rPr>
        <w:t>).</w:t>
      </w:r>
    </w:p>
    <w:p w:rsidR="00BD235B" w:rsidRPr="00BD235B" w:rsidP="00BD235B">
      <w:pPr>
        <w:pBdr>
          <w:top w:val="nil"/>
          <w:left w:val="nil"/>
          <w:bottom w:val="nil"/>
          <w:right w:val="nil"/>
          <w:between w:val="nil"/>
        </w:pBdr>
        <w:tabs>
          <w:tab w:val="left" w:pos="360"/>
        </w:tabs>
        <w:spacing w:before="80"/>
        <w:rPr>
          <w:b/>
          <w:color w:val="000000"/>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FF79B2">
      <w:pPr>
        <w:spacing w:before="161"/>
        <w:rPr>
          <w:color w:val="2F5496"/>
        </w:rPr>
      </w:pPr>
      <w:r w:rsidRPr="00385E89">
        <w:rPr>
          <w:iCs/>
        </w:rPr>
        <w:t>The expiration date will be displayed on this information collection.</w:t>
      </w:r>
    </w:p>
    <w:p w:rsidR="00BD235B">
      <w:pPr>
        <w:spacing w:before="161"/>
        <w:rPr>
          <w:i/>
        </w:rPr>
      </w:pPr>
    </w:p>
    <w:p w:rsidR="00FF79B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BD235B" w:rsidP="00BD235B">
      <w:pPr>
        <w:pBdr>
          <w:top w:val="nil"/>
          <w:left w:val="nil"/>
          <w:bottom w:val="nil"/>
          <w:right w:val="nil"/>
          <w:between w:val="nil"/>
        </w:pBdr>
        <w:tabs>
          <w:tab w:val="left" w:pos="360"/>
        </w:tabs>
        <w:spacing w:before="80"/>
        <w:rPr>
          <w:b/>
          <w:color w:val="000000"/>
        </w:rPr>
      </w:pPr>
    </w:p>
    <w:p w:rsidR="00FF79B2">
      <w:pPr>
        <w:spacing w:before="221" w:line="259" w:lineRule="auto"/>
        <w:jc w:val="both"/>
      </w:pPr>
      <w:r>
        <w:t xml:space="preserve">The agency certifies compliance with </w:t>
      </w:r>
      <w:hyperlink r:id="rId8">
        <w:r>
          <w:rPr>
            <w:color w:val="0563C1"/>
            <w:u w:val="single"/>
          </w:rPr>
          <w:t>5 CFR 1320.9</w:t>
        </w:r>
      </w:hyperlink>
      <w:hyperlink r:id="rId8">
        <w:r>
          <w:rPr>
            <w:color w:val="0563C1"/>
          </w:rPr>
          <w:t xml:space="preserve"> </w:t>
        </w:r>
      </w:hyperlink>
      <w:r>
        <w:t xml:space="preserve">and the related provisions of </w:t>
      </w:r>
      <w:hyperlink r:id="rId9">
        <w:r>
          <w:rPr>
            <w:color w:val="0563C1"/>
            <w:u w:val="single"/>
          </w:rPr>
          <w:t>5 CFR</w:t>
        </w:r>
      </w:hyperlink>
      <w:r>
        <w:rPr>
          <w:color w:val="0563C1"/>
        </w:rPr>
        <w:t xml:space="preserve"> </w:t>
      </w:r>
      <w:hyperlink r:id="rId9">
        <w:r>
          <w:rPr>
            <w:color w:val="0563C1"/>
            <w:u w:val="single"/>
          </w:rPr>
          <w:t>1320.8(b)(3)</w:t>
        </w:r>
      </w:hyperlink>
      <w:r>
        <w:t>.</w:t>
      </w:r>
    </w:p>
    <w:p w:rsidR="00715904">
      <w:pPr>
        <w:spacing w:before="221" w:line="259" w:lineRule="auto"/>
        <w:jc w:val="both"/>
      </w:pPr>
    </w:p>
    <w:p w:rsidR="00715904" w:rsidP="00715904">
      <w:r>
        <w:rPr>
          <w:b/>
          <w:bCs/>
        </w:rPr>
        <w:t>COLLECTIONS OF INFORMATION EMPLOYING STATISTICAL METHODS</w:t>
      </w:r>
    </w:p>
    <w:p w:rsidR="00715904" w:rsidP="00715904"/>
    <w:p w:rsidR="00715904" w:rsidRPr="00385E89" w:rsidP="00715904">
      <w:pPr>
        <w:rPr>
          <w:iCs/>
        </w:rPr>
      </w:pPr>
      <w:r w:rsidRPr="00385E89">
        <w:rPr>
          <w:iCs/>
        </w:rPr>
        <w:t>This collection does not employ statistical methods.</w:t>
      </w:r>
    </w:p>
    <w:p w:rsidR="00715904" w:rsidRPr="00BD235B">
      <w:pPr>
        <w:spacing w:before="221" w:line="259" w:lineRule="auto"/>
        <w:jc w:val="both"/>
      </w:pPr>
    </w:p>
    <w:sectPr>
      <w:footerReference w:type="default" r:id="rId10"/>
      <w:pgSz w:w="12240" w:h="15840"/>
      <w:pgMar w:top="640" w:right="1080" w:bottom="1200" w:left="1080" w:header="0" w:footer="7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9467693"/>
      <w:docPartObj>
        <w:docPartGallery w:val="Page Numbers (Bottom of Page)"/>
        <w:docPartUnique/>
      </w:docPartObj>
    </w:sdtPr>
    <w:sdtEndPr>
      <w:rPr>
        <w:noProof/>
      </w:rPr>
    </w:sdtEndPr>
    <w:sdtContent>
      <w:p w:rsidR="00676F39">
        <w:pPr>
          <w:pStyle w:val="Footer"/>
        </w:pPr>
        <w:r>
          <w:fldChar w:fldCharType="begin"/>
        </w:r>
        <w:r>
          <w:instrText xml:space="preserve"> PAGE   \* MERGEFORMAT </w:instrText>
        </w:r>
        <w:r>
          <w:fldChar w:fldCharType="separate"/>
        </w:r>
        <w:r w:rsidR="007105C5">
          <w:rPr>
            <w:noProof/>
          </w:rPr>
          <w:t>7</w:t>
        </w:r>
        <w:r>
          <w:rPr>
            <w:noProof/>
          </w:rPr>
          <w:fldChar w:fldCharType="end"/>
        </w:r>
      </w:p>
    </w:sdtContent>
  </w:sdt>
  <w:p w:rsidR="00676F39">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9140E"/>
    <w:multiLevelType w:val="multilevel"/>
    <w:tmpl w:val="FF76FAD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040D09B5"/>
    <w:multiLevelType w:val="multilevel"/>
    <w:tmpl w:val="2C30A5C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
    <w:nsid w:val="0C8048F0"/>
    <w:multiLevelType w:val="multilevel"/>
    <w:tmpl w:val="A51CCA9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10F7756C"/>
    <w:multiLevelType w:val="multilevel"/>
    <w:tmpl w:val="2844335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25E73DBE"/>
    <w:multiLevelType w:val="hybridMultilevel"/>
    <w:tmpl w:val="A4607D7E"/>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A246E44"/>
    <w:multiLevelType w:val="multilevel"/>
    <w:tmpl w:val="E10AD1A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35065E21"/>
    <w:multiLevelType w:val="multilevel"/>
    <w:tmpl w:val="B244647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nsid w:val="45785E46"/>
    <w:multiLevelType w:val="hybridMultilevel"/>
    <w:tmpl w:val="3C201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915C82"/>
    <w:multiLevelType w:val="multilevel"/>
    <w:tmpl w:val="7BAE2548"/>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9">
    <w:nsid w:val="5A886CAB"/>
    <w:multiLevelType w:val="multilevel"/>
    <w:tmpl w:val="45D2F49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5DF66A22"/>
    <w:multiLevelType w:val="multilevel"/>
    <w:tmpl w:val="C27452D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nsid w:val="5F9E0886"/>
    <w:multiLevelType w:val="multilevel"/>
    <w:tmpl w:val="65DAC830"/>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2">
    <w:nsid w:val="64BC4A9B"/>
    <w:multiLevelType w:val="hybridMultilevel"/>
    <w:tmpl w:val="9208B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0655E5"/>
    <w:multiLevelType w:val="hybridMultilevel"/>
    <w:tmpl w:val="D3561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0F4693"/>
    <w:multiLevelType w:val="multilevel"/>
    <w:tmpl w:val="74D0E9B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5">
    <w:nsid w:val="7D3F2D28"/>
    <w:multiLevelType w:val="hybridMultilevel"/>
    <w:tmpl w:val="4C0A94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1"/>
  </w:num>
  <w:num w:numId="3">
    <w:abstractNumId w:val="6"/>
  </w:num>
  <w:num w:numId="4">
    <w:abstractNumId w:val="3"/>
  </w:num>
  <w:num w:numId="5">
    <w:abstractNumId w:val="10"/>
  </w:num>
  <w:num w:numId="6">
    <w:abstractNumId w:val="2"/>
  </w:num>
  <w:num w:numId="7">
    <w:abstractNumId w:val="9"/>
  </w:num>
  <w:num w:numId="8">
    <w:abstractNumId w:val="0"/>
  </w:num>
  <w:num w:numId="9">
    <w:abstractNumId w:val="11"/>
  </w:num>
  <w:num w:numId="10">
    <w:abstractNumId w:val="5"/>
  </w:num>
  <w:num w:numId="11">
    <w:abstractNumId w:val="8"/>
  </w:num>
  <w:num w:numId="12">
    <w:abstractNumId w:val="15"/>
  </w:num>
  <w:num w:numId="13">
    <w:abstractNumId w:val="13"/>
  </w:num>
  <w:num w:numId="14">
    <w:abstractNumId w:val="7"/>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B2"/>
    <w:rsid w:val="0003319F"/>
    <w:rsid w:val="000357C7"/>
    <w:rsid w:val="0005247B"/>
    <w:rsid w:val="000A181E"/>
    <w:rsid w:val="000B4DA6"/>
    <w:rsid w:val="002346F4"/>
    <w:rsid w:val="002A4410"/>
    <w:rsid w:val="002E0287"/>
    <w:rsid w:val="00385E89"/>
    <w:rsid w:val="003A1B96"/>
    <w:rsid w:val="003C50CE"/>
    <w:rsid w:val="00412836"/>
    <w:rsid w:val="00425DD9"/>
    <w:rsid w:val="004313C0"/>
    <w:rsid w:val="0046641E"/>
    <w:rsid w:val="004A284C"/>
    <w:rsid w:val="004C2ACA"/>
    <w:rsid w:val="004C5E29"/>
    <w:rsid w:val="004E331F"/>
    <w:rsid w:val="005E683B"/>
    <w:rsid w:val="0064060B"/>
    <w:rsid w:val="00641FAA"/>
    <w:rsid w:val="00676F39"/>
    <w:rsid w:val="00693C6F"/>
    <w:rsid w:val="006C4CAB"/>
    <w:rsid w:val="007105C5"/>
    <w:rsid w:val="00715904"/>
    <w:rsid w:val="007439F6"/>
    <w:rsid w:val="00751E43"/>
    <w:rsid w:val="0077016E"/>
    <w:rsid w:val="0079350F"/>
    <w:rsid w:val="007A0802"/>
    <w:rsid w:val="00810A9C"/>
    <w:rsid w:val="008F103B"/>
    <w:rsid w:val="00970BAA"/>
    <w:rsid w:val="00A75DFC"/>
    <w:rsid w:val="00AB2B94"/>
    <w:rsid w:val="00AD60DE"/>
    <w:rsid w:val="00B21968"/>
    <w:rsid w:val="00B5378E"/>
    <w:rsid w:val="00BD235B"/>
    <w:rsid w:val="00BE5F90"/>
    <w:rsid w:val="00C532F4"/>
    <w:rsid w:val="00C67E1B"/>
    <w:rsid w:val="00C923CA"/>
    <w:rsid w:val="00CE3890"/>
    <w:rsid w:val="00D17F19"/>
    <w:rsid w:val="00E11A02"/>
    <w:rsid w:val="00E142D0"/>
    <w:rsid w:val="00E33264"/>
    <w:rsid w:val="00E55870"/>
    <w:rsid w:val="00EF5A56"/>
    <w:rsid w:val="00F716F1"/>
    <w:rsid w:val="00F8623D"/>
    <w:rsid w:val="00F97AF6"/>
    <w:rsid w:val="00FD41D6"/>
    <w:rsid w:val="00FF79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A17ECC"/>
  <w15:docId w15:val="{88012090-08B1-4322-B237-970E678F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rporateservices.noaa.gov/ames/administrative_orders/chapter_216/216-100.html" TargetMode="External" /><Relationship Id="rId6" Type="http://schemas.openxmlformats.org/officeDocument/2006/relationships/hyperlink" Target="https://www.pcouncil.org/" TargetMode="External" /><Relationship Id="rId7" Type="http://schemas.openxmlformats.org/officeDocument/2006/relationships/hyperlink" Target="https://www.fisheries.noaa.gov/about/office-management-budget" TargetMode="Externa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Keeley Kent</cp:lastModifiedBy>
  <cp:revision>20</cp:revision>
  <dcterms:created xsi:type="dcterms:W3CDTF">2023-10-26T16:49:00Z</dcterms:created>
  <dcterms:modified xsi:type="dcterms:W3CDTF">2023-11-27T17:24:00Z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