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13FAF" w:rsidRPr="00FE66BD" w:rsidP="00713FAF" w14:paraId="18405EE2" w14:textId="77777777">
      <w:pPr>
        <w:pStyle w:val="NoSpacing"/>
        <w:jc w:val="center"/>
        <w:rPr>
          <w:rFonts w:cstheme="minorHAnsi"/>
          <w:b/>
        </w:rPr>
      </w:pPr>
      <w:r w:rsidRPr="00FE66BD">
        <w:rPr>
          <w:rFonts w:cstheme="minorHAnsi"/>
          <w:b/>
        </w:rPr>
        <w:t>JUSTIFI</w:t>
      </w:r>
      <w:r w:rsidRPr="00FE66BD" w:rsidR="005A797D">
        <w:rPr>
          <w:rFonts w:cstheme="minorHAnsi"/>
          <w:b/>
        </w:rPr>
        <w:t>C</w:t>
      </w:r>
      <w:r w:rsidRPr="00FE66BD">
        <w:rPr>
          <w:rFonts w:cstheme="minorHAnsi"/>
          <w:b/>
        </w:rPr>
        <w:t>ATION FOR NONMATERIAL/NONSUBSTANTIVE CHANGE</w:t>
      </w:r>
    </w:p>
    <w:p w:rsidR="00713FAF" w:rsidRPr="00FE66BD" w:rsidP="00713FAF" w14:paraId="7884BE2B" w14:textId="77777777">
      <w:pPr>
        <w:pStyle w:val="NoSpacing"/>
        <w:jc w:val="center"/>
        <w:rPr>
          <w:rFonts w:cstheme="minorHAnsi"/>
          <w:b/>
        </w:rPr>
      </w:pPr>
      <w:r w:rsidRPr="00FE66BD">
        <w:rPr>
          <w:rFonts w:cstheme="minorHAnsi"/>
          <w:b/>
        </w:rPr>
        <w:t>(</w:t>
      </w:r>
      <w:r w:rsidRPr="00CC0117" w:rsidR="00CC0117">
        <w:rPr>
          <w:rFonts w:cstheme="minorHAnsi"/>
          <w:b/>
        </w:rPr>
        <w:t>Admission to Practice and Roster of Registered Patent Attorneys and Agents Admitted to Practice Before the United States Patent and Trademark Office</w:t>
      </w:r>
      <w:r w:rsidRPr="00FE66BD" w:rsidR="005A797D">
        <w:rPr>
          <w:rFonts w:cstheme="minorHAnsi"/>
          <w:b/>
        </w:rPr>
        <w:t>)</w:t>
      </w:r>
    </w:p>
    <w:p w:rsidR="00713FAF" w:rsidRPr="00FE66BD" w:rsidP="00713FAF" w14:paraId="17806F0F" w14:textId="77777777">
      <w:pPr>
        <w:pStyle w:val="NoSpacing"/>
        <w:jc w:val="center"/>
        <w:rPr>
          <w:rFonts w:cstheme="minorHAnsi"/>
        </w:rPr>
      </w:pPr>
      <w:r w:rsidRPr="00FE66BD">
        <w:rPr>
          <w:rFonts w:cstheme="minorHAnsi"/>
          <w:b/>
        </w:rPr>
        <w:t>OMB Control Number 0651-00</w:t>
      </w:r>
      <w:r w:rsidR="007A500D">
        <w:rPr>
          <w:rFonts w:cstheme="minorHAnsi"/>
          <w:b/>
        </w:rPr>
        <w:t>12</w:t>
      </w:r>
    </w:p>
    <w:p w:rsidR="00713FAF" w:rsidRPr="00FE66BD" w:rsidP="00713FAF" w14:paraId="35315A9B" w14:textId="77777777">
      <w:pPr>
        <w:pStyle w:val="NoSpacing"/>
        <w:jc w:val="both"/>
        <w:rPr>
          <w:rFonts w:cstheme="minorHAnsi"/>
        </w:rPr>
      </w:pPr>
    </w:p>
    <w:p w:rsidR="00713FAF" w:rsidRPr="00FE66BD" w:rsidP="00EC48F5" w14:paraId="416DC313" w14:textId="77777777">
      <w:pPr>
        <w:pStyle w:val="NoSpacing"/>
        <w:spacing w:after="240"/>
        <w:jc w:val="both"/>
        <w:rPr>
          <w:rFonts w:cstheme="minorHAnsi"/>
        </w:rPr>
      </w:pPr>
      <w:r w:rsidRPr="00FE66BD">
        <w:rPr>
          <w:rFonts w:cstheme="minorHAnsi"/>
          <w:u w:val="single"/>
        </w:rPr>
        <w:t>Background</w:t>
      </w:r>
    </w:p>
    <w:p w:rsidR="00A67F5C" w:rsidP="00EC48F5" w14:paraId="2AE196C8" w14:textId="099D60EA">
      <w:pPr>
        <w:pStyle w:val="NoSpacing"/>
        <w:spacing w:after="240"/>
        <w:jc w:val="both"/>
      </w:pPr>
      <w:r>
        <w:t>This collection of information is required by 35 U.S.C. 2(b)(2)(D), which permits the United States Patent and Trademark Office (USPTO</w:t>
      </w:r>
      <w:r w:rsidR="003A2509">
        <w:t xml:space="preserve"> or Office</w:t>
      </w:r>
      <w:r>
        <w:t xml:space="preserve">) to establish regulations governing the recognition and conduct of agents, attorneys, or other persons representing applicants or other parties before the USPTO. This statute permits the USPTO to require information from applicants that shows that they are of good moral character and reputation and </w:t>
      </w:r>
      <w:r w:rsidR="004E3F0B">
        <w:t xml:space="preserve">possess </w:t>
      </w:r>
      <w:r>
        <w:t xml:space="preserve">the necessary qualifications to assist applicants with the patent </w:t>
      </w:r>
      <w:r w:rsidR="00D22563">
        <w:t xml:space="preserve">application </w:t>
      </w:r>
      <w:r>
        <w:t xml:space="preserve">process and to represent them before the USPTO. This information collection addresses submissions required by the regulations at 37 CFR </w:t>
      </w:r>
      <w:r w:rsidR="00D22563">
        <w:t xml:space="preserve">1.4, 1.32, 11.1, 11.5, 11.6, 11.8, 11.10, 11.16, 11.704, </w:t>
      </w:r>
      <w:r w:rsidR="00FE4620">
        <w:t xml:space="preserve">and </w:t>
      </w:r>
      <w:r w:rsidR="00D22563">
        <w:t>41.106</w:t>
      </w:r>
      <w:r>
        <w:t>, which</w:t>
      </w:r>
      <w:r w:rsidR="00D22563">
        <w:t>, in part,</w:t>
      </w:r>
      <w:r>
        <w:t xml:space="preserve"> set forth the requirements to </w:t>
      </w:r>
      <w:r w:rsidR="00BF49B1">
        <w:t>become recognized to re</w:t>
      </w:r>
      <w:r w:rsidR="004E3F0B">
        <w:t>present others</w:t>
      </w:r>
      <w:r>
        <w:t xml:space="preserve"> before the USPTO. The Office of Enrollment and Discipline (OED) collects this information to determine the qualifications of individuals entitled to represent applicants before the USPTO. </w:t>
      </w:r>
    </w:p>
    <w:p w:rsidR="00274FE5" w:rsidRPr="00FE12F0" w:rsidP="009A716B" w14:paraId="2B623932" w14:textId="26EA63D9">
      <w:pPr>
        <w:jc w:val="both"/>
        <w:rPr>
          <w:rFonts w:asciiTheme="minorHAnsi" w:hAnsiTheme="minorHAnsi" w:cstheme="minorHAnsi"/>
          <w:sz w:val="22"/>
          <w:szCs w:val="22"/>
        </w:rPr>
      </w:pPr>
      <w:r w:rsidRPr="00FE12F0">
        <w:rPr>
          <w:rFonts w:asciiTheme="minorHAnsi" w:hAnsiTheme="minorHAnsi" w:cstheme="minorHAnsi"/>
          <w:sz w:val="22"/>
          <w:szCs w:val="22"/>
        </w:rPr>
        <w:t>This request is related to a final rule</w:t>
      </w:r>
      <w:r w:rsidRPr="00FE12F0" w:rsidR="00541812">
        <w:rPr>
          <w:rFonts w:asciiTheme="minorHAnsi" w:hAnsiTheme="minorHAnsi" w:cstheme="minorHAnsi"/>
          <w:sz w:val="22"/>
          <w:szCs w:val="22"/>
        </w:rPr>
        <w:t xml:space="preserve"> (RIN 0651-AD</w:t>
      </w:r>
      <w:r w:rsidRPr="00FE12F0" w:rsidR="00FE12F0">
        <w:rPr>
          <w:rFonts w:asciiTheme="minorHAnsi" w:hAnsiTheme="minorHAnsi" w:cstheme="minorHAnsi"/>
          <w:sz w:val="22"/>
          <w:szCs w:val="22"/>
        </w:rPr>
        <w:t>67</w:t>
      </w:r>
      <w:r w:rsidRPr="00FE12F0" w:rsidR="00541812">
        <w:rPr>
          <w:rFonts w:asciiTheme="minorHAnsi" w:hAnsiTheme="minorHAnsi" w:cstheme="minorHAnsi"/>
          <w:sz w:val="22"/>
          <w:szCs w:val="22"/>
        </w:rPr>
        <w:t>)</w:t>
      </w:r>
      <w:r w:rsidRPr="00FE12F0">
        <w:rPr>
          <w:rFonts w:asciiTheme="minorHAnsi" w:hAnsiTheme="minorHAnsi" w:cstheme="minorHAnsi"/>
          <w:sz w:val="22"/>
          <w:szCs w:val="22"/>
        </w:rPr>
        <w:t xml:space="preserve"> </w:t>
      </w:r>
      <w:r w:rsidRPr="00FE12F0" w:rsidR="00FE12F0">
        <w:rPr>
          <w:rFonts w:asciiTheme="minorHAnsi" w:hAnsiTheme="minorHAnsi" w:cstheme="minorHAnsi"/>
          <w:sz w:val="22"/>
          <w:szCs w:val="22"/>
        </w:rPr>
        <w:t>entitled “</w:t>
      </w:r>
      <w:r w:rsidRPr="00FE12F0" w:rsidR="00FE12F0">
        <w:rPr>
          <w:rFonts w:asciiTheme="minorHAnsi" w:hAnsiTheme="minorHAnsi" w:cstheme="minorHAnsi"/>
          <w:bCs/>
          <w:sz w:val="22"/>
          <w:szCs w:val="22"/>
        </w:rPr>
        <w:t xml:space="preserve">Representation of Others in Design Patent Matters Before the United States Patent and Trademark Office” </w:t>
      </w:r>
      <w:r w:rsidRPr="00FE12F0">
        <w:rPr>
          <w:rFonts w:asciiTheme="minorHAnsi" w:hAnsiTheme="minorHAnsi" w:cstheme="minorHAnsi"/>
          <w:sz w:val="22"/>
          <w:szCs w:val="22"/>
        </w:rPr>
        <w:t>published by the United States Patent and Trademark Office</w:t>
      </w:r>
      <w:r w:rsidRPr="00FE12F0" w:rsidR="00FD5F41">
        <w:rPr>
          <w:rFonts w:asciiTheme="minorHAnsi" w:hAnsiTheme="minorHAnsi" w:cstheme="minorHAnsi"/>
          <w:sz w:val="22"/>
          <w:szCs w:val="22"/>
        </w:rPr>
        <w:t xml:space="preserve"> on</w:t>
      </w:r>
      <w:r w:rsidRPr="00FE12F0">
        <w:rPr>
          <w:rFonts w:asciiTheme="minorHAnsi" w:hAnsiTheme="minorHAnsi" w:cstheme="minorHAnsi"/>
          <w:sz w:val="22"/>
          <w:szCs w:val="22"/>
        </w:rPr>
        <w:t xml:space="preserve"> </w:t>
      </w:r>
      <w:r w:rsidR="001D4B7A">
        <w:rPr>
          <w:rFonts w:asciiTheme="minorHAnsi" w:hAnsiTheme="minorHAnsi" w:cstheme="minorHAnsi"/>
          <w:sz w:val="22"/>
          <w:szCs w:val="22"/>
        </w:rPr>
        <w:t>November 16</w:t>
      </w:r>
      <w:r w:rsidRPr="00FE12F0">
        <w:rPr>
          <w:rFonts w:asciiTheme="minorHAnsi" w:hAnsiTheme="minorHAnsi" w:cstheme="minorHAnsi"/>
          <w:sz w:val="22"/>
          <w:szCs w:val="22"/>
        </w:rPr>
        <w:t>, 2023</w:t>
      </w:r>
      <w:r w:rsidR="001D4B7A">
        <w:rPr>
          <w:rFonts w:asciiTheme="minorHAnsi" w:hAnsiTheme="minorHAnsi" w:cstheme="minorHAnsi"/>
          <w:sz w:val="22"/>
          <w:szCs w:val="22"/>
        </w:rPr>
        <w:t xml:space="preserve"> in the Federal Register (88 FRN 78644)</w:t>
      </w:r>
      <w:r w:rsidRPr="00FE12F0">
        <w:rPr>
          <w:rFonts w:asciiTheme="minorHAnsi" w:hAnsiTheme="minorHAnsi" w:cstheme="minorHAnsi"/>
          <w:sz w:val="22"/>
          <w:szCs w:val="22"/>
        </w:rPr>
        <w:t xml:space="preserve">. </w:t>
      </w:r>
      <w:r w:rsidR="00FE12F0">
        <w:rPr>
          <w:rFonts w:asciiTheme="minorHAnsi" w:hAnsiTheme="minorHAnsi" w:cstheme="minorHAnsi"/>
          <w:sz w:val="22"/>
          <w:szCs w:val="22"/>
        </w:rPr>
        <w:t>Through this rule, t</w:t>
      </w:r>
      <w:r w:rsidRPr="00FE12F0" w:rsidR="00FE12F0">
        <w:rPr>
          <w:rFonts w:asciiTheme="minorHAnsi" w:hAnsiTheme="minorHAnsi" w:cstheme="minorHAnsi"/>
          <w:sz w:val="22"/>
          <w:szCs w:val="22"/>
        </w:rPr>
        <w:t xml:space="preserve">he USPTO is amending the rules of practice in patent </w:t>
      </w:r>
      <w:r w:rsidR="003A2509">
        <w:rPr>
          <w:rFonts w:asciiTheme="minorHAnsi" w:hAnsiTheme="minorHAnsi" w:cstheme="minorHAnsi"/>
          <w:sz w:val="22"/>
          <w:szCs w:val="22"/>
        </w:rPr>
        <w:t>matters</w:t>
      </w:r>
      <w:r w:rsidRPr="00FE12F0" w:rsidR="00FE12F0">
        <w:rPr>
          <w:rFonts w:asciiTheme="minorHAnsi" w:hAnsiTheme="minorHAnsi" w:cstheme="minorHAnsi"/>
          <w:sz w:val="22"/>
          <w:szCs w:val="22"/>
        </w:rPr>
        <w:t xml:space="preserve"> and the rules regarding the representation of others before the USPTO by creating a separate design patent practitioner bar whereby admitted design patent practitioners would practice in design patent proceedings only. Prior to this rulemaking, there was only one patent bar</w:t>
      </w:r>
      <w:r w:rsidR="00214637">
        <w:rPr>
          <w:rFonts w:asciiTheme="minorHAnsi" w:hAnsiTheme="minorHAnsi" w:cstheme="minorHAnsi"/>
          <w:sz w:val="22"/>
          <w:szCs w:val="22"/>
        </w:rPr>
        <w:t>, which</w:t>
      </w:r>
      <w:r w:rsidRPr="00FE12F0" w:rsidR="00FE12F0">
        <w:rPr>
          <w:rFonts w:asciiTheme="minorHAnsi" w:hAnsiTheme="minorHAnsi" w:cstheme="minorHAnsi"/>
          <w:sz w:val="22"/>
          <w:szCs w:val="22"/>
        </w:rPr>
        <w:t xml:space="preserve"> applied to those who practice in </w:t>
      </w:r>
      <w:r w:rsidR="003A2509">
        <w:rPr>
          <w:rFonts w:asciiTheme="minorHAnsi" w:hAnsiTheme="minorHAnsi" w:cstheme="minorHAnsi"/>
          <w:sz w:val="22"/>
          <w:szCs w:val="22"/>
        </w:rPr>
        <w:t xml:space="preserve">all </w:t>
      </w:r>
      <w:r w:rsidRPr="00FE12F0" w:rsidR="00FE12F0">
        <w:rPr>
          <w:rFonts w:asciiTheme="minorHAnsi" w:hAnsiTheme="minorHAnsi" w:cstheme="minorHAnsi"/>
          <w:sz w:val="22"/>
          <w:szCs w:val="22"/>
        </w:rPr>
        <w:t xml:space="preserve">patent matters before the Office, including in utility, plant, and design patents. The creation of a design patent practitioner bar does not impact the ability of those already registered to practice in </w:t>
      </w:r>
      <w:r w:rsidR="003A2509">
        <w:rPr>
          <w:rFonts w:asciiTheme="minorHAnsi" w:hAnsiTheme="minorHAnsi" w:cstheme="minorHAnsi"/>
          <w:sz w:val="22"/>
          <w:szCs w:val="22"/>
        </w:rPr>
        <w:t>all</w:t>
      </w:r>
      <w:r w:rsidRPr="00FE12F0" w:rsidR="00FE12F0">
        <w:rPr>
          <w:rFonts w:asciiTheme="minorHAnsi" w:hAnsiTheme="minorHAnsi" w:cstheme="minorHAnsi"/>
          <w:sz w:val="22"/>
          <w:szCs w:val="22"/>
        </w:rPr>
        <w:t xml:space="preserve"> patent matters before the USPTO to continue to practice in </w:t>
      </w:r>
      <w:r w:rsidR="003A2509">
        <w:rPr>
          <w:rFonts w:asciiTheme="minorHAnsi" w:hAnsiTheme="minorHAnsi" w:cstheme="minorHAnsi"/>
          <w:sz w:val="22"/>
          <w:szCs w:val="22"/>
        </w:rPr>
        <w:t>all</w:t>
      </w:r>
      <w:r w:rsidRPr="00FE12F0" w:rsidR="00FE12F0">
        <w:rPr>
          <w:rFonts w:asciiTheme="minorHAnsi" w:hAnsiTheme="minorHAnsi" w:cstheme="minorHAnsi"/>
          <w:sz w:val="22"/>
          <w:szCs w:val="22"/>
        </w:rPr>
        <w:t xml:space="preserve"> patent matters, including design patent matters, before the Office. Furthermore, it does not impact the ability of applicants for registration who meet the criteria to practice in all patent matters from qualifying for and upon passing the current exam, practicing in </w:t>
      </w:r>
      <w:r w:rsidR="003A2509">
        <w:rPr>
          <w:rFonts w:asciiTheme="minorHAnsi" w:hAnsiTheme="minorHAnsi" w:cstheme="minorHAnsi"/>
          <w:sz w:val="22"/>
          <w:szCs w:val="22"/>
        </w:rPr>
        <w:t>all</w:t>
      </w:r>
      <w:r w:rsidRPr="00FE12F0" w:rsidR="00FE12F0">
        <w:rPr>
          <w:rFonts w:asciiTheme="minorHAnsi" w:hAnsiTheme="minorHAnsi" w:cstheme="minorHAnsi"/>
          <w:sz w:val="22"/>
          <w:szCs w:val="22"/>
        </w:rPr>
        <w:t xml:space="preserve"> patent matters before the Office, including design patent matters.</w:t>
      </w:r>
    </w:p>
    <w:p w:rsidR="00FE12F0" w:rsidRPr="00FE12F0" w:rsidP="00FE12F0" w14:paraId="7238F207" w14:textId="77777777">
      <w:pPr>
        <w:rPr>
          <w:rFonts w:asciiTheme="minorHAnsi" w:hAnsiTheme="minorHAnsi" w:cstheme="minorHAnsi"/>
          <w:b/>
          <w:sz w:val="22"/>
          <w:szCs w:val="22"/>
        </w:rPr>
      </w:pPr>
    </w:p>
    <w:p w:rsidR="00713FAF" w:rsidP="00EC48F5" w14:paraId="0DA9DF99" w14:textId="378DEC2C">
      <w:pPr>
        <w:pStyle w:val="NoSpacing"/>
        <w:spacing w:after="240"/>
        <w:jc w:val="both"/>
        <w:rPr>
          <w:rFonts w:cstheme="minorHAnsi"/>
        </w:rPr>
      </w:pPr>
      <w:r w:rsidRPr="00FE66BD">
        <w:rPr>
          <w:rFonts w:cstheme="minorHAnsi"/>
        </w:rPr>
        <w:t xml:space="preserve">This </w:t>
      </w:r>
      <w:r w:rsidR="00541812">
        <w:rPr>
          <w:rFonts w:cstheme="minorHAnsi"/>
        </w:rPr>
        <w:t xml:space="preserve">information collection </w:t>
      </w:r>
      <w:r w:rsidRPr="00FE66BD">
        <w:rPr>
          <w:rFonts w:cstheme="minorHAnsi"/>
        </w:rPr>
        <w:t>request is to</w:t>
      </w:r>
      <w:r w:rsidR="00FE4620">
        <w:rPr>
          <w:rFonts w:cstheme="minorHAnsi"/>
        </w:rPr>
        <w:t xml:space="preserve"> </w:t>
      </w:r>
      <w:r w:rsidR="00F10703">
        <w:rPr>
          <w:rFonts w:cstheme="minorHAnsi"/>
        </w:rPr>
        <w:t>update form</w:t>
      </w:r>
      <w:r w:rsidR="00F86FC0">
        <w:rPr>
          <w:rFonts w:cstheme="minorHAnsi"/>
        </w:rPr>
        <w:t>s</w:t>
      </w:r>
      <w:r w:rsidR="00F10703">
        <w:rPr>
          <w:rFonts w:cstheme="minorHAnsi"/>
        </w:rPr>
        <w:t xml:space="preserve"> PTO </w:t>
      </w:r>
      <w:r w:rsidR="00FE12F0">
        <w:rPr>
          <w:rFonts w:cstheme="minorHAnsi"/>
        </w:rPr>
        <w:t>1</w:t>
      </w:r>
      <w:r w:rsidR="00CC44B6">
        <w:rPr>
          <w:rFonts w:cstheme="minorHAnsi"/>
        </w:rPr>
        <w:t>58</w:t>
      </w:r>
      <w:r w:rsidR="00F86FC0">
        <w:rPr>
          <w:rFonts w:cstheme="minorHAnsi"/>
        </w:rPr>
        <w:t>, PTO 107A, PTO107R, and PTO107S</w:t>
      </w:r>
      <w:r w:rsidR="00DB4891">
        <w:rPr>
          <w:rFonts w:cstheme="minorHAnsi"/>
        </w:rPr>
        <w:t>,</w:t>
      </w:r>
      <w:r w:rsidR="00F10703">
        <w:rPr>
          <w:rFonts w:cstheme="minorHAnsi"/>
        </w:rPr>
        <w:t xml:space="preserve"> </w:t>
      </w:r>
      <w:r w:rsidR="00F86FC0">
        <w:rPr>
          <w:rFonts w:cstheme="minorHAnsi"/>
        </w:rPr>
        <w:t xml:space="preserve">which are </w:t>
      </w:r>
      <w:r w:rsidR="00F10703">
        <w:rPr>
          <w:rFonts w:cstheme="minorHAnsi"/>
        </w:rPr>
        <w:t>used by the public</w:t>
      </w:r>
      <w:r w:rsidR="00CC44B6">
        <w:rPr>
          <w:rFonts w:cstheme="minorHAnsi"/>
        </w:rPr>
        <w:t xml:space="preserve"> to apply for registration </w:t>
      </w:r>
      <w:r w:rsidR="00FE4620">
        <w:rPr>
          <w:rFonts w:cstheme="minorHAnsi"/>
        </w:rPr>
        <w:t>to practice in patent matters before the USPTO</w:t>
      </w:r>
      <w:r w:rsidR="00FE12F0">
        <w:rPr>
          <w:rFonts w:cstheme="minorHAnsi"/>
        </w:rPr>
        <w:t>. While the USPTO does expect some individuals to apply for the design patent practitioner bar</w:t>
      </w:r>
      <w:r w:rsidR="003A2509">
        <w:rPr>
          <w:rFonts w:cstheme="minorHAnsi"/>
        </w:rPr>
        <w:t>,</w:t>
      </w:r>
      <w:r w:rsidR="00FE12F0">
        <w:rPr>
          <w:rFonts w:cstheme="minorHAnsi"/>
        </w:rPr>
        <w:t xml:space="preserve"> the existing clearance </w:t>
      </w:r>
      <w:r>
        <w:rPr>
          <w:rFonts w:cstheme="minorHAnsi"/>
        </w:rPr>
        <w:t xml:space="preserve">estimate is </w:t>
      </w:r>
      <w:r w:rsidR="00FE12F0">
        <w:rPr>
          <w:rFonts w:cstheme="minorHAnsi"/>
        </w:rPr>
        <w:t xml:space="preserve">sufficient to account for the small number of design </w:t>
      </w:r>
      <w:r w:rsidR="003A2509">
        <w:rPr>
          <w:rFonts w:cstheme="minorHAnsi"/>
        </w:rPr>
        <w:t>patent</w:t>
      </w:r>
      <w:r w:rsidR="00FE12F0">
        <w:rPr>
          <w:rFonts w:cstheme="minorHAnsi"/>
        </w:rPr>
        <w:t xml:space="preserve"> </w:t>
      </w:r>
      <w:r w:rsidR="00FE4620">
        <w:rPr>
          <w:rFonts w:cstheme="minorHAnsi"/>
        </w:rPr>
        <w:t xml:space="preserve">applicants and </w:t>
      </w:r>
      <w:r w:rsidR="00FE12F0">
        <w:rPr>
          <w:rFonts w:cstheme="minorHAnsi"/>
        </w:rPr>
        <w:t xml:space="preserve">practitioners. </w:t>
      </w:r>
    </w:p>
    <w:p w:rsidR="005E052E" w:rsidP="002C37C7" w14:paraId="48F3972B" w14:textId="747EE065">
      <w:pPr>
        <w:pStyle w:val="NoSpacing"/>
        <w:spacing w:after="240"/>
        <w:jc w:val="both"/>
        <w:rPr>
          <w:rFonts w:cstheme="minorHAnsi"/>
        </w:rPr>
      </w:pPr>
      <w:r>
        <w:rPr>
          <w:rFonts w:cstheme="minorHAnsi"/>
        </w:rPr>
        <w:t>Th</w:t>
      </w:r>
      <w:r w:rsidR="00FE4620">
        <w:rPr>
          <w:rFonts w:cstheme="minorHAnsi"/>
        </w:rPr>
        <w:t>e</w:t>
      </w:r>
      <w:r>
        <w:rPr>
          <w:rFonts w:cstheme="minorHAnsi"/>
        </w:rPr>
        <w:t xml:space="preserve"> update to </w:t>
      </w:r>
      <w:r w:rsidR="00B64917">
        <w:rPr>
          <w:rFonts w:cstheme="minorHAnsi"/>
        </w:rPr>
        <w:t>form PTO 158</w:t>
      </w:r>
      <w:r>
        <w:rPr>
          <w:rFonts w:cstheme="minorHAnsi"/>
        </w:rPr>
        <w:t xml:space="preserve"> adds in a field for applicants seeking registration to appear before the USPTO.  This field allows applicants to designate</w:t>
      </w:r>
      <w:r w:rsidR="009E3318">
        <w:rPr>
          <w:rFonts w:cstheme="minorHAnsi"/>
        </w:rPr>
        <w:t xml:space="preserve"> the area in which they seek to practice</w:t>
      </w:r>
      <w:r>
        <w:rPr>
          <w:rFonts w:cstheme="minorHAnsi"/>
        </w:rPr>
        <w:t xml:space="preserve"> </w:t>
      </w:r>
      <w:r w:rsidR="009E3318">
        <w:rPr>
          <w:rFonts w:cstheme="minorHAnsi"/>
        </w:rPr>
        <w:t xml:space="preserve">by selecting </w:t>
      </w:r>
      <w:r>
        <w:rPr>
          <w:rFonts w:cstheme="minorHAnsi"/>
        </w:rPr>
        <w:t xml:space="preserve">either (a) </w:t>
      </w:r>
      <w:r w:rsidR="00ED406B">
        <w:rPr>
          <w:rFonts w:cstheme="minorHAnsi"/>
        </w:rPr>
        <w:t>A</w:t>
      </w:r>
      <w:r>
        <w:rPr>
          <w:rFonts w:cstheme="minorHAnsi"/>
        </w:rPr>
        <w:t xml:space="preserve">ll Patent </w:t>
      </w:r>
      <w:r w:rsidR="00ED406B">
        <w:rPr>
          <w:rFonts w:cstheme="minorHAnsi"/>
        </w:rPr>
        <w:t>M</w:t>
      </w:r>
      <w:r>
        <w:rPr>
          <w:rFonts w:cstheme="minorHAnsi"/>
        </w:rPr>
        <w:t xml:space="preserve">atters or (b) Design Patent Matters </w:t>
      </w:r>
      <w:r w:rsidR="00ED406B">
        <w:rPr>
          <w:rFonts w:cstheme="minorHAnsi"/>
        </w:rPr>
        <w:t>O</w:t>
      </w:r>
      <w:r>
        <w:rPr>
          <w:rFonts w:cstheme="minorHAnsi"/>
        </w:rPr>
        <w:t>nly</w:t>
      </w:r>
      <w:r w:rsidRPr="00274FE5" w:rsidR="00512E72">
        <w:rPr>
          <w:rFonts w:cstheme="minorHAnsi"/>
        </w:rPr>
        <w:t xml:space="preserve">. </w:t>
      </w:r>
      <w:r w:rsidR="00B64917">
        <w:rPr>
          <w:rFonts w:cstheme="minorHAnsi"/>
        </w:rPr>
        <w:t>The update to forms PTO107A, PTO107R and PTO107S adds “Design Attorney” and “Design Agent” as an option under “Registration Status.”</w:t>
      </w:r>
    </w:p>
    <w:p w:rsidR="00713FAF" w:rsidRPr="00FE66BD" w:rsidP="006C43FA" w14:paraId="43FB3B5D" w14:textId="77777777">
      <w:pPr>
        <w:pStyle w:val="NoSpacing"/>
        <w:spacing w:after="240"/>
        <w:jc w:val="both"/>
        <w:rPr>
          <w:rFonts w:cstheme="minorHAnsi"/>
        </w:rPr>
      </w:pPr>
      <w:r w:rsidRPr="00FE66BD">
        <w:rPr>
          <w:rFonts w:cstheme="minorHAnsi"/>
          <w:u w:val="single"/>
        </w:rPr>
        <w:t>Summary of Changes</w:t>
      </w:r>
    </w:p>
    <w:p w:rsidR="00784842" w:rsidRPr="00FE66BD" w:rsidP="009A716B" w14:paraId="50324504" w14:textId="427376E8">
      <w:pPr>
        <w:pStyle w:val="NoSpacing"/>
        <w:spacing w:after="240"/>
        <w:jc w:val="both"/>
        <w:rPr>
          <w:rFonts w:cstheme="minorHAnsi"/>
        </w:rPr>
      </w:pPr>
      <w:r>
        <w:rPr>
          <w:rFonts w:cstheme="minorHAnsi"/>
        </w:rPr>
        <w:t>There is no change to the burdens associated with this information collection</w:t>
      </w:r>
      <w:r w:rsidRPr="00274FE5" w:rsidR="00512E72">
        <w:rPr>
          <w:rFonts w:cstheme="minorHAnsi"/>
        </w:rPr>
        <w:t>.</w:t>
      </w:r>
      <w:r w:rsidR="00541812">
        <w:rPr>
          <w:rFonts w:cstheme="minorHAnsi"/>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AEB7ABA"/>
    <w:multiLevelType w:val="hybridMultilevel"/>
    <w:tmpl w:val="4DAE73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FAF"/>
    <w:rsid w:val="00004C8F"/>
    <w:rsid w:val="00016A41"/>
    <w:rsid w:val="00042C50"/>
    <w:rsid w:val="0006095B"/>
    <w:rsid w:val="00083341"/>
    <w:rsid w:val="000A3B40"/>
    <w:rsid w:val="000B047D"/>
    <w:rsid w:val="000C3047"/>
    <w:rsid w:val="000F6182"/>
    <w:rsid w:val="00134EB0"/>
    <w:rsid w:val="001A3E7D"/>
    <w:rsid w:val="001C305B"/>
    <w:rsid w:val="001C3786"/>
    <w:rsid w:val="001D4B7A"/>
    <w:rsid w:val="001E675E"/>
    <w:rsid w:val="0021154B"/>
    <w:rsid w:val="00214637"/>
    <w:rsid w:val="0023467C"/>
    <w:rsid w:val="002375AE"/>
    <w:rsid w:val="00274FE5"/>
    <w:rsid w:val="00282022"/>
    <w:rsid w:val="0028218F"/>
    <w:rsid w:val="002C37C7"/>
    <w:rsid w:val="00300DBF"/>
    <w:rsid w:val="00310BA5"/>
    <w:rsid w:val="00314F7C"/>
    <w:rsid w:val="00394BBA"/>
    <w:rsid w:val="003A2509"/>
    <w:rsid w:val="003B2EFC"/>
    <w:rsid w:val="00466299"/>
    <w:rsid w:val="004976B1"/>
    <w:rsid w:val="004E3F0B"/>
    <w:rsid w:val="00512E72"/>
    <w:rsid w:val="00517911"/>
    <w:rsid w:val="00541812"/>
    <w:rsid w:val="005507EB"/>
    <w:rsid w:val="005A797D"/>
    <w:rsid w:val="005E052E"/>
    <w:rsid w:val="005E0711"/>
    <w:rsid w:val="005E0A2F"/>
    <w:rsid w:val="0067307F"/>
    <w:rsid w:val="006A1F32"/>
    <w:rsid w:val="006A2532"/>
    <w:rsid w:val="006C43FA"/>
    <w:rsid w:val="006D50AA"/>
    <w:rsid w:val="006F2D06"/>
    <w:rsid w:val="00713FAF"/>
    <w:rsid w:val="007340D3"/>
    <w:rsid w:val="00752808"/>
    <w:rsid w:val="0076034A"/>
    <w:rsid w:val="00784842"/>
    <w:rsid w:val="007A13B0"/>
    <w:rsid w:val="007A292D"/>
    <w:rsid w:val="007A500D"/>
    <w:rsid w:val="007A56C3"/>
    <w:rsid w:val="007B070D"/>
    <w:rsid w:val="0080171F"/>
    <w:rsid w:val="00834380"/>
    <w:rsid w:val="008418DC"/>
    <w:rsid w:val="00864BD6"/>
    <w:rsid w:val="009A716B"/>
    <w:rsid w:val="009E209B"/>
    <w:rsid w:val="009E3318"/>
    <w:rsid w:val="00A44481"/>
    <w:rsid w:val="00A45AA2"/>
    <w:rsid w:val="00A67099"/>
    <w:rsid w:val="00A67F5C"/>
    <w:rsid w:val="00A95E31"/>
    <w:rsid w:val="00AB087A"/>
    <w:rsid w:val="00AC46F2"/>
    <w:rsid w:val="00B27538"/>
    <w:rsid w:val="00B533F3"/>
    <w:rsid w:val="00B64917"/>
    <w:rsid w:val="00BC1776"/>
    <w:rsid w:val="00BC306F"/>
    <w:rsid w:val="00BF49B1"/>
    <w:rsid w:val="00C4402A"/>
    <w:rsid w:val="00C62325"/>
    <w:rsid w:val="00C628F9"/>
    <w:rsid w:val="00C8232B"/>
    <w:rsid w:val="00C90042"/>
    <w:rsid w:val="00CB1141"/>
    <w:rsid w:val="00CC0117"/>
    <w:rsid w:val="00CC44B6"/>
    <w:rsid w:val="00CE6779"/>
    <w:rsid w:val="00D22563"/>
    <w:rsid w:val="00D404A3"/>
    <w:rsid w:val="00D540DA"/>
    <w:rsid w:val="00D75E25"/>
    <w:rsid w:val="00D933FF"/>
    <w:rsid w:val="00DB17F9"/>
    <w:rsid w:val="00DB4891"/>
    <w:rsid w:val="00E54B69"/>
    <w:rsid w:val="00E64849"/>
    <w:rsid w:val="00E7698E"/>
    <w:rsid w:val="00E93539"/>
    <w:rsid w:val="00E96B1E"/>
    <w:rsid w:val="00EC48F5"/>
    <w:rsid w:val="00EC58D0"/>
    <w:rsid w:val="00EC6F67"/>
    <w:rsid w:val="00ED2008"/>
    <w:rsid w:val="00ED406B"/>
    <w:rsid w:val="00ED7DBC"/>
    <w:rsid w:val="00EE1B30"/>
    <w:rsid w:val="00F10703"/>
    <w:rsid w:val="00F65DA8"/>
    <w:rsid w:val="00F75E5D"/>
    <w:rsid w:val="00F86FC0"/>
    <w:rsid w:val="00F91B93"/>
    <w:rsid w:val="00FC30EB"/>
    <w:rsid w:val="00FC60B5"/>
    <w:rsid w:val="00FD4975"/>
    <w:rsid w:val="00FD5F41"/>
    <w:rsid w:val="00FE12F0"/>
    <w:rsid w:val="00FE4620"/>
    <w:rsid w:val="00FE66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9584D9"/>
  <w15:chartTrackingRefBased/>
  <w15:docId w15:val="{2B732993-DF2C-476E-91FA-A8501381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B4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3FAF"/>
    <w:pPr>
      <w:spacing w:after="0" w:line="240" w:lineRule="auto"/>
    </w:pPr>
  </w:style>
  <w:style w:type="table" w:styleId="TableGrid">
    <w:name w:val="Table Grid"/>
    <w:basedOn w:val="TableNormal"/>
    <w:uiPriority w:val="39"/>
    <w:rsid w:val="00713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33F3"/>
    <w:rPr>
      <w:sz w:val="16"/>
      <w:szCs w:val="16"/>
    </w:rPr>
  </w:style>
  <w:style w:type="paragraph" w:styleId="CommentText">
    <w:name w:val="annotation text"/>
    <w:basedOn w:val="Normal"/>
    <w:link w:val="CommentTextChar"/>
    <w:uiPriority w:val="99"/>
    <w:semiHidden/>
    <w:unhideWhenUsed/>
    <w:rsid w:val="00B533F3"/>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B533F3"/>
    <w:rPr>
      <w:sz w:val="20"/>
      <w:szCs w:val="20"/>
    </w:rPr>
  </w:style>
  <w:style w:type="paragraph" w:styleId="CommentSubject">
    <w:name w:val="annotation subject"/>
    <w:basedOn w:val="CommentText"/>
    <w:next w:val="CommentText"/>
    <w:link w:val="CommentSubjectChar"/>
    <w:uiPriority w:val="99"/>
    <w:semiHidden/>
    <w:unhideWhenUsed/>
    <w:rsid w:val="00B533F3"/>
    <w:rPr>
      <w:b/>
      <w:bCs/>
    </w:rPr>
  </w:style>
  <w:style w:type="character" w:customStyle="1" w:styleId="CommentSubjectChar">
    <w:name w:val="Comment Subject Char"/>
    <w:basedOn w:val="CommentTextChar"/>
    <w:link w:val="CommentSubject"/>
    <w:uiPriority w:val="99"/>
    <w:semiHidden/>
    <w:rsid w:val="00B533F3"/>
    <w:rPr>
      <w:b/>
      <w:bCs/>
      <w:sz w:val="20"/>
      <w:szCs w:val="20"/>
    </w:rPr>
  </w:style>
  <w:style w:type="paragraph" w:styleId="BalloonText">
    <w:name w:val="Balloon Text"/>
    <w:basedOn w:val="Normal"/>
    <w:link w:val="BalloonTextChar"/>
    <w:uiPriority w:val="99"/>
    <w:semiHidden/>
    <w:unhideWhenUsed/>
    <w:rsid w:val="00B533F3"/>
    <w:rPr>
      <w:rFonts w:ascii="Segoe UI" w:hAnsi="Segoe UI" w:eastAsiaTheme="minorHAnsi" w:cs="Segoe UI"/>
      <w:sz w:val="18"/>
      <w:szCs w:val="18"/>
    </w:rPr>
  </w:style>
  <w:style w:type="character" w:customStyle="1" w:styleId="BalloonTextChar">
    <w:name w:val="Balloon Text Char"/>
    <w:basedOn w:val="DefaultParagraphFont"/>
    <w:link w:val="BalloonText"/>
    <w:uiPriority w:val="99"/>
    <w:semiHidden/>
    <w:rsid w:val="00B533F3"/>
    <w:rPr>
      <w:rFonts w:ascii="Segoe UI" w:hAnsi="Segoe UI" w:cs="Segoe UI"/>
      <w:sz w:val="18"/>
      <w:szCs w:val="18"/>
    </w:rPr>
  </w:style>
  <w:style w:type="paragraph" w:styleId="FootnoteText">
    <w:name w:val="footnote text"/>
    <w:basedOn w:val="Normal"/>
    <w:link w:val="FootnoteTextChar"/>
    <w:uiPriority w:val="99"/>
    <w:semiHidden/>
    <w:unhideWhenUsed/>
    <w:rsid w:val="00394BBA"/>
  </w:style>
  <w:style w:type="character" w:customStyle="1" w:styleId="FootnoteTextChar">
    <w:name w:val="Footnote Text Char"/>
    <w:basedOn w:val="DefaultParagraphFont"/>
    <w:link w:val="FootnoteText"/>
    <w:uiPriority w:val="99"/>
    <w:semiHidden/>
    <w:rsid w:val="00394BB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94B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7e566b99e8bb0b2a179c2bff7ea7118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5e0d94d18c194bab902702e1eaa90dd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2" nillable="true" ma:displayName="ICR ID" ma:hidden="true" ma:internalName="ICR_x0020_ID" ma:readOnly="false">
      <xsd:simpleType>
        <xsd:restriction base="dms:Text">
          <xsd:maxLength value="255"/>
        </xsd:restriction>
      </xsd:simpleType>
    </xsd:element>
    <xsd:element name="Level" ma:index="26"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28"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1" nillable="true" ma:displayName="ICR Submission (Start)" ma:format="DateOnly" ma:hidden="true" ma:internalName="ICR_x0020_Submission_x0020__x0028_Start_x0029_" ma:readOnly="false">
      <xsd:simpleType>
        <xsd:restriction base="dms:DateTime"/>
      </xsd:simpleType>
    </xsd:element>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E85DE8A9-5CD3-41FE-A1A0-70BC17107555" xsi:nil="true"/>
    <Collection_x0020_Number xmlns="E85DE8A9-5CD3-41FE-A1A0-70BC17107555" xsi:nil="true"/>
    <Document_x0020_State xmlns="E85DE8A9-5CD3-41FE-A1A0-70BC17107555" xsi:nil="true"/>
    <Owner xmlns="5DFC53CF-7C17-4489-98AB-5F87C96333B9">
      <UserInfo>
        <DisplayName/>
        <AccountId xsi:nil="true"/>
        <AccountType/>
      </UserInfo>
    </Owner>
    <Initiation_x0020__x0028_Start_x0029_ xmlns="e85de8a9-5cd3-41fe-a1a0-70bc17107555" xsi:nil="true"/>
    <IC_x0020_Category xmlns="E85DE8A9-5CD3-41FE-A1A0-70BC17107555" xsi:nil="true"/>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 xsi:nil="true"/>
    <Business_x0020_Unit xmlns="e85de8a9-5cd3-41fe-a1a0-70bc17107555" xsi:nil="true"/>
    <Expiration_x0020_Date0 xmlns="e85de8a9-5cd3-41fe-a1a0-70bc17107555" xsi:nil="true"/>
    <Approved_x0020_by_x0020_PTO xmlns="E85DE8A9-5CD3-41FE-A1A0-70BC17107555">No</Approved_x0020_by_x0020_PTO>
    <Level xmlns="e85de8a9-5cd3-41fe-a1a0-70bc17107555" xsi:nil="true"/>
    <SharedWithUsers xmlns="5dfc53cf-7c17-4489-98ab-5f87c96333b9">
      <UserInfo>
        <DisplayName>Isaac, Justin (AMBIT)</DisplayName>
        <AccountId>115</AccountId>
        <AccountType/>
      </UserInfo>
    </SharedWithUsers>
  </documentManagement>
</p:properties>
</file>

<file path=customXml/itemProps1.xml><?xml version="1.0" encoding="utf-8"?>
<ds:datastoreItem xmlns:ds="http://schemas.openxmlformats.org/officeDocument/2006/customXml" ds:itemID="{BB62505F-3318-4A00-B1AB-1653FE420396}">
  <ds:schemaRefs>
    <ds:schemaRef ds:uri="http://schemas.openxmlformats.org/officeDocument/2006/bibliography"/>
  </ds:schemaRefs>
</ds:datastoreItem>
</file>

<file path=customXml/itemProps2.xml><?xml version="1.0" encoding="utf-8"?>
<ds:datastoreItem xmlns:ds="http://schemas.openxmlformats.org/officeDocument/2006/customXml" ds:itemID="{8E8FE60C-D95A-4AD5-B5A9-4A4A52AA8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2D8F99-7223-41F2-B0B9-3B3B7A66234A}">
  <ds:schemaRefs>
    <ds:schemaRef ds:uri="http://schemas.microsoft.com/sharepoint/v3/contenttype/forms"/>
  </ds:schemaRefs>
</ds:datastoreItem>
</file>

<file path=customXml/itemProps4.xml><?xml version="1.0" encoding="utf-8"?>
<ds:datastoreItem xmlns:ds="http://schemas.openxmlformats.org/officeDocument/2006/customXml" ds:itemID="{E0FBC9D6-2EC1-47B8-B01E-952217F590D6}">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5dfc53cf-7c17-4489-98ab-5f87c96333b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Azam, Maryam (AMBIT)</dc:creator>
  <cp:lastModifiedBy>Isaac, Justin</cp:lastModifiedBy>
  <cp:revision>2</cp:revision>
  <dcterms:created xsi:type="dcterms:W3CDTF">2023-11-16T19:12:00Z</dcterms:created>
  <dcterms:modified xsi:type="dcterms:W3CDTF">2023-11-16T19:12:00Z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