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P="005E0A0F" w14:paraId="63F56D42" w14:textId="77777777">
      <w:pPr>
        <w:pStyle w:val="NormalWeb"/>
        <w:spacing w:line="288" w:lineRule="atLeast"/>
        <w:ind w:firstLine="480"/>
        <w:jc w:val="center"/>
        <w:rPr>
          <w:u w:val="single"/>
        </w:rPr>
      </w:pPr>
      <w:bookmarkStart w:id="0" w:name="cs31d"/>
      <w:r w:rsidRPr="00F54E27">
        <w:rPr>
          <w:u w:val="single"/>
        </w:rPr>
        <w:t>SUPPORTING STATEMENT</w:t>
      </w:r>
      <w:r w:rsidRPr="00F54E27" w:rsidR="006F3F40">
        <w:rPr>
          <w:u w:val="single"/>
        </w:rPr>
        <w:t xml:space="preserve"> – PART B</w:t>
      </w:r>
    </w:p>
    <w:p w:rsidR="0055116F" w:rsidP="0055116F" w14:paraId="596D7430" w14:textId="77777777">
      <w:pPr>
        <w:jc w:val="center"/>
      </w:pPr>
      <w:r w:rsidRPr="0055116F">
        <w:t>Recruiting, Retaining, and Promoting Servicemembers who Identify as Hispanic or Latino/Latina</w:t>
      </w:r>
    </w:p>
    <w:p w:rsidR="0055116F" w:rsidRPr="0055116F" w:rsidP="0055116F" w14:paraId="570F2EE7" w14:textId="77777777">
      <w:pPr>
        <w:jc w:val="center"/>
      </w:pPr>
      <w:r w:rsidRPr="0055116F">
        <w:t>Focus Groups</w:t>
      </w:r>
      <w:r>
        <w:t xml:space="preserve"> and Survey</w:t>
      </w:r>
      <w:r w:rsidRPr="0055116F">
        <w:t xml:space="preserve"> – OMB Number: 0704-RPSS</w:t>
      </w:r>
    </w:p>
    <w:p w:rsidR="005E0A0F" w:rsidRPr="00F54E27" w:rsidP="0055116F" w14:paraId="7C87291C" w14:textId="77777777">
      <w:pPr>
        <w:pStyle w:val="NormalWeb"/>
        <w:spacing w:line="288" w:lineRule="atLeast"/>
      </w:pPr>
      <w:bookmarkStart w:id="1" w:name="cs32"/>
      <w:bookmarkEnd w:id="0"/>
      <w:r w:rsidRPr="00F54E27">
        <w:t xml:space="preserve">B.  </w:t>
      </w:r>
      <w:r w:rsidRPr="00F54E27">
        <w:rPr>
          <w:u w:val="single"/>
        </w:rPr>
        <w:t>COLLECTIONS OF INFORMATION EMPLOYING STATISTICAL METHODS</w:t>
      </w:r>
    </w:p>
    <w:bookmarkEnd w:id="1"/>
    <w:p w:rsidR="005E0A0F" w:rsidRPr="00F54E27" w:rsidP="005E0A0F" w14:paraId="6841052A" w14:textId="77777777">
      <w:pPr>
        <w:pStyle w:val="NormalWeb"/>
        <w:spacing w:line="288" w:lineRule="atLeast"/>
        <w:ind w:firstLine="900"/>
      </w:pPr>
      <w:r w:rsidRPr="00F54E27">
        <w:t xml:space="preserve">1.  </w:t>
      </w:r>
      <w:r w:rsidRPr="00F54E27">
        <w:rPr>
          <w:u w:val="single"/>
        </w:rPr>
        <w:t>Description of the Activity</w:t>
      </w:r>
    </w:p>
    <w:p w:rsidR="00E257C4" w:rsidP="00196CB9" w14:paraId="21700EFA" w14:textId="2A92E943">
      <w:pPr>
        <w:pStyle w:val="NormalWeb"/>
        <w:spacing w:line="288" w:lineRule="atLeast"/>
      </w:pPr>
      <w:r w:rsidRPr="002E0E6B">
        <w:t>This is a new data collection intended to identify and address gaps in D</w:t>
      </w:r>
      <w:r w:rsidRPr="002E0E6B" w:rsidR="008D17B2">
        <w:t>o</w:t>
      </w:r>
      <w:r w:rsidRPr="002E0E6B">
        <w:t xml:space="preserve">D’s understanding of the recruitment, retention, and career progression of Hispanic </w:t>
      </w:r>
      <w:r w:rsidRPr="002E0E6B" w:rsidR="001403F9">
        <w:t>S</w:t>
      </w:r>
      <w:r w:rsidRPr="002E0E6B">
        <w:t>ervicemembers; evaluate past efforts and initiatives by D</w:t>
      </w:r>
      <w:r w:rsidRPr="002E0E6B" w:rsidR="002C7871">
        <w:t>o</w:t>
      </w:r>
      <w:r w:rsidRPr="002E0E6B">
        <w:t>D and the Services aimed at increasing Hispanic representation</w:t>
      </w:r>
      <w:r w:rsidRPr="002E0E6B" w:rsidR="000923A6">
        <w:t xml:space="preserve"> and the challenges associated with those efforts and initiatives</w:t>
      </w:r>
      <w:r w:rsidRPr="002E0E6B">
        <w:t xml:space="preserve">; and identify key lessons learned or best practices that future initiatives should follow. As part of this study, CNA will conduct Service-specific </w:t>
      </w:r>
      <w:r w:rsidRPr="002E0E6B" w:rsidR="008D17B2">
        <w:t xml:space="preserve">in-person and virtual </w:t>
      </w:r>
      <w:r w:rsidRPr="002E0E6B">
        <w:t>focus groups with Active Duty Servicemembers in the Marine Corps, Army, Navy, Air Force, and Space Force</w:t>
      </w:r>
      <w:r>
        <w:t xml:space="preserve"> </w:t>
      </w:r>
      <w:r w:rsidRPr="00E257C4">
        <w:t>and will work with a subcontractor to conduct a survey among eligible members of the general Hispanic population who are registered to vote in the United States</w:t>
      </w:r>
      <w:r w:rsidRPr="002E0E6B">
        <w:t xml:space="preserve">. </w:t>
      </w:r>
    </w:p>
    <w:p w:rsidR="00D82025" w:rsidRPr="002E0E6B" w:rsidP="00196CB9" w14:paraId="62FB43D1" w14:textId="0182BE54">
      <w:pPr>
        <w:pStyle w:val="NormalWeb"/>
        <w:spacing w:line="288" w:lineRule="atLeast"/>
      </w:pPr>
      <w:r>
        <w:rPr>
          <w:b/>
          <w:bCs/>
        </w:rPr>
        <w:t xml:space="preserve">Focus groups: </w:t>
      </w:r>
      <w:r w:rsidRPr="002E0E6B">
        <w:t xml:space="preserve">There will be no sampling methods employed in the collection of focus group data in this study. Those who are eligible to participate in these focus groups are </w:t>
      </w:r>
      <w:r w:rsidRPr="002E0E6B" w:rsidR="001403F9">
        <w:t>A</w:t>
      </w:r>
      <w:r w:rsidRPr="002E0E6B">
        <w:t xml:space="preserve">ctive </w:t>
      </w:r>
      <w:r w:rsidRPr="002E0E6B" w:rsidR="001403F9">
        <w:t>D</w:t>
      </w:r>
      <w:r w:rsidRPr="002E0E6B">
        <w:t xml:space="preserve">uty Servicemembers </w:t>
      </w:r>
      <w:r w:rsidRPr="002E0E6B" w:rsidR="00D32BA4">
        <w:t>from selected units who fall under the following categories within</w:t>
      </w:r>
      <w:r w:rsidRPr="002E0E6B">
        <w:t xml:space="preserve"> the </w:t>
      </w:r>
      <w:r w:rsidRPr="002E0E6B" w:rsidR="001403F9">
        <w:t xml:space="preserve">Air Force, Army, Navy, </w:t>
      </w:r>
      <w:r w:rsidRPr="002E0E6B">
        <w:t>Marine Corps, and Space Force</w:t>
      </w:r>
      <w:r w:rsidRPr="002E0E6B" w:rsidR="00D32BA4">
        <w:t>:</w:t>
      </w:r>
    </w:p>
    <w:p w:rsidR="00D32BA4" w:rsidRPr="002E0E6B" w:rsidP="00D32BA4" w14:paraId="5C658F34" w14:textId="780B7271">
      <w:pPr>
        <w:pStyle w:val="NormalWeb"/>
        <w:numPr>
          <w:ilvl w:val="0"/>
          <w:numId w:val="3"/>
        </w:numPr>
        <w:spacing w:line="288" w:lineRule="atLeast"/>
      </w:pPr>
      <w:r w:rsidRPr="002E0E6B">
        <w:t xml:space="preserve">Junior enlisted (E1-E2s): </w:t>
      </w:r>
      <w:r w:rsidR="00D45A68">
        <w:t xml:space="preserve">approximately </w:t>
      </w:r>
      <w:r w:rsidRPr="002E0E6B">
        <w:t>40 per Service</w:t>
      </w:r>
    </w:p>
    <w:p w:rsidR="00D32BA4" w:rsidRPr="002E0E6B" w:rsidP="00D32BA4" w14:paraId="3F339568" w14:textId="1735E627">
      <w:pPr>
        <w:pStyle w:val="NormalWeb"/>
        <w:numPr>
          <w:ilvl w:val="0"/>
          <w:numId w:val="3"/>
        </w:numPr>
        <w:spacing w:line="288" w:lineRule="atLeast"/>
      </w:pPr>
      <w:r w:rsidRPr="002E0E6B">
        <w:t xml:space="preserve">First term enlisted approaching reenlistment decision (E3-E4s): </w:t>
      </w:r>
      <w:r w:rsidRPr="00D45A68" w:rsidR="00D45A68">
        <w:t xml:space="preserve"> </w:t>
      </w:r>
      <w:r w:rsidR="00D45A68">
        <w:t xml:space="preserve">approximately </w:t>
      </w:r>
      <w:r w:rsidRPr="002E0E6B">
        <w:t>30 per Service</w:t>
      </w:r>
    </w:p>
    <w:p w:rsidR="00D32BA4" w:rsidRPr="002E0E6B" w:rsidP="00D32BA4" w14:paraId="38F7969E" w14:textId="2D8F9977">
      <w:pPr>
        <w:pStyle w:val="NormalWeb"/>
        <w:numPr>
          <w:ilvl w:val="0"/>
          <w:numId w:val="3"/>
        </w:numPr>
        <w:spacing w:line="288" w:lineRule="atLeast"/>
      </w:pPr>
      <w:r w:rsidRPr="002E0E6B">
        <w:t xml:space="preserve">Recruiters (E4-E7s): </w:t>
      </w:r>
      <w:r w:rsidR="00D45A68">
        <w:t xml:space="preserve">approximately </w:t>
      </w:r>
      <w:r w:rsidRPr="002E0E6B">
        <w:t>10-20 per Service</w:t>
      </w:r>
      <w:r w:rsidR="00D45A68">
        <w:t>, depending on the Service (see table on next page)</w:t>
      </w:r>
    </w:p>
    <w:p w:rsidR="00D32BA4" w:rsidRPr="002E0E6B" w:rsidP="00196CB9" w14:paraId="0D59EB17" w14:textId="7F73CD41">
      <w:pPr>
        <w:pStyle w:val="NormalWeb"/>
        <w:numPr>
          <w:ilvl w:val="0"/>
          <w:numId w:val="3"/>
        </w:numPr>
        <w:spacing w:line="288" w:lineRule="atLeast"/>
      </w:pPr>
      <w:r w:rsidRPr="002E0E6B">
        <w:t xml:space="preserve">Junior officers (O1-O3s): </w:t>
      </w:r>
      <w:r w:rsidRPr="00D45A68" w:rsidR="00D45A68">
        <w:t xml:space="preserve"> </w:t>
      </w:r>
      <w:r w:rsidR="00D45A68">
        <w:t xml:space="preserve">approximately </w:t>
      </w:r>
      <w:r w:rsidRPr="002E0E6B">
        <w:t>40 per Service</w:t>
      </w:r>
    </w:p>
    <w:p w:rsidR="00D32BA4" w:rsidRPr="002E0E6B" w:rsidP="00D32BA4" w14:paraId="4D9C93F7" w14:textId="77777777">
      <w:pPr>
        <w:pStyle w:val="NormalWeb"/>
        <w:spacing w:line="288" w:lineRule="atLeast"/>
      </w:pPr>
      <w:r w:rsidRPr="002E0E6B">
        <w:t>For in-person focus groups, p</w:t>
      </w:r>
      <w:r w:rsidRPr="002E0E6B">
        <w:t xml:space="preserve">articipating </w:t>
      </w:r>
      <w:r w:rsidRPr="002E0E6B">
        <w:t xml:space="preserve">installations </w:t>
      </w:r>
      <w:r w:rsidRPr="002E0E6B">
        <w:t xml:space="preserve">will be selected by the CNA study team </w:t>
      </w:r>
      <w:r w:rsidR="00F54E27">
        <w:t>in collaboration with</w:t>
      </w:r>
      <w:r w:rsidRPr="002E0E6B" w:rsidR="00F54E27">
        <w:t xml:space="preserve"> </w:t>
      </w:r>
      <w:r w:rsidRPr="002E0E6B">
        <w:t>the study sponsor</w:t>
      </w:r>
      <w:r w:rsidR="00F54E27">
        <w:t xml:space="preserve"> and study POCs</w:t>
      </w:r>
      <w:r w:rsidRPr="002E0E6B">
        <w:t xml:space="preserve">. Eligible focus group participants from the </w:t>
      </w:r>
      <w:r w:rsidRPr="002E0E6B">
        <w:t xml:space="preserve">participating installations </w:t>
      </w:r>
      <w:r w:rsidRPr="002E0E6B">
        <w:t>will be identified through the study</w:t>
      </w:r>
      <w:r w:rsidRPr="002E0E6B" w:rsidR="00D44D51">
        <w:t xml:space="preserve">’s </w:t>
      </w:r>
      <w:r w:rsidRPr="002E0E6B">
        <w:t xml:space="preserve">designated </w:t>
      </w:r>
      <w:r w:rsidRPr="002E0E6B">
        <w:t xml:space="preserve">installation </w:t>
      </w:r>
      <w:r w:rsidRPr="002E0E6B">
        <w:t>POCs</w:t>
      </w:r>
      <w:r w:rsidRPr="002E0E6B" w:rsidR="00D44D51">
        <w:t xml:space="preserve"> (POCs will send </w:t>
      </w:r>
      <w:r w:rsidRPr="002E0E6B">
        <w:t xml:space="preserve">the CNA study team a </w:t>
      </w:r>
      <w:r w:rsidRPr="002E0E6B" w:rsidR="00415CFB">
        <w:t>list</w:t>
      </w:r>
      <w:r w:rsidRPr="002E0E6B">
        <w:t xml:space="preserve"> of eligible Servicemembers from their installations through secure means, e.g., DoD SAFE</w:t>
      </w:r>
      <w:r w:rsidRPr="002E0E6B" w:rsidR="00D44D51">
        <w:t>)</w:t>
      </w:r>
      <w:r w:rsidRPr="002E0E6B">
        <w:t xml:space="preserve">. </w:t>
      </w:r>
      <w:r w:rsidRPr="002E0E6B">
        <w:t>CNA will email with e</w:t>
      </w:r>
      <w:r w:rsidRPr="002E0E6B">
        <w:t xml:space="preserve">ligible focus group participants </w:t>
      </w:r>
      <w:r w:rsidRPr="002E0E6B">
        <w:t xml:space="preserve">to recruit those </w:t>
      </w:r>
      <w:r w:rsidRPr="002E0E6B">
        <w:t xml:space="preserve">who are interested in voluntarily participating </w:t>
      </w:r>
      <w:r w:rsidRPr="002E0E6B">
        <w:t>and assign them to specific in-person</w:t>
      </w:r>
      <w:r w:rsidRPr="002E0E6B">
        <w:t xml:space="preserve"> focus groups </w:t>
      </w:r>
      <w:r w:rsidRPr="002E0E6B" w:rsidR="00D44D51">
        <w:t>(see Supporting Statement A for additional detail about the recruitment process)</w:t>
      </w:r>
      <w:r w:rsidRPr="002E0E6B" w:rsidR="001403F9">
        <w:t>.</w:t>
      </w:r>
    </w:p>
    <w:p w:rsidR="008D17B2" w:rsidRPr="002E0E6B" w:rsidP="00D32BA4" w14:paraId="0AE556EE" w14:textId="744ED885">
      <w:pPr>
        <w:pStyle w:val="NormalWeb"/>
        <w:spacing w:line="288" w:lineRule="atLeast"/>
      </w:pPr>
      <w:r w:rsidRPr="002E0E6B">
        <w:t xml:space="preserve">For virtual focus groups, </w:t>
      </w:r>
      <w:r w:rsidRPr="002E0E6B" w:rsidR="00E94C77">
        <w:t xml:space="preserve">the participating Services will appoint Service-level POCs who will help </w:t>
      </w:r>
      <w:r w:rsidR="00421964">
        <w:t>identify eligible</w:t>
      </w:r>
      <w:r w:rsidRPr="002E0E6B" w:rsidR="00421964">
        <w:t xml:space="preserve"> </w:t>
      </w:r>
      <w:r w:rsidRPr="002E0E6B" w:rsidR="00E94C77">
        <w:t xml:space="preserve">Servicemembers to participate in virtual focus groups. The Service-level POCs will send a </w:t>
      </w:r>
      <w:r w:rsidR="00421964">
        <w:t>heads-up</w:t>
      </w:r>
      <w:r w:rsidRPr="002E0E6B" w:rsidR="00421964">
        <w:t xml:space="preserve"> </w:t>
      </w:r>
      <w:r w:rsidRPr="002E0E6B" w:rsidR="00E94C77">
        <w:t xml:space="preserve">email to eligible participants, which will </w:t>
      </w:r>
      <w:r w:rsidR="00421964">
        <w:t>request that</w:t>
      </w:r>
      <w:r w:rsidRPr="002E0E6B" w:rsidR="00421964">
        <w:t xml:space="preserve"> </w:t>
      </w:r>
      <w:r w:rsidRPr="002E0E6B" w:rsidR="00E94C77">
        <w:t xml:space="preserve">interested Servicemembers email the CNA study team. The CNA study team will follow up with eligible </w:t>
      </w:r>
      <w:r w:rsidRPr="002E0E6B" w:rsidR="00E94C77">
        <w:t xml:space="preserve">and interested Servicemembers to </w:t>
      </w:r>
      <w:r w:rsidR="00421964">
        <w:t xml:space="preserve">recruit and </w:t>
      </w:r>
      <w:r w:rsidRPr="002E0E6B" w:rsidR="00E94C77">
        <w:t xml:space="preserve">assign them to specific virtual focus groups (see Supporting Statement A for additional detail about the recruitment process). </w:t>
      </w:r>
    </w:p>
    <w:p w:rsidR="001403F9" w:rsidRPr="002E0E6B" w:rsidP="00D32BA4" w14:paraId="1B44A707" w14:textId="77777777">
      <w:pPr>
        <w:pStyle w:val="NormalWeb"/>
        <w:spacing w:line="288" w:lineRule="atLeast"/>
      </w:pPr>
      <w:r w:rsidRPr="002E0E6B">
        <w:t>The following table shows the expected number of focus group participants from each of the categories listed above across the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1"/>
        <w:gridCol w:w="1228"/>
        <w:gridCol w:w="1227"/>
        <w:gridCol w:w="1223"/>
        <w:gridCol w:w="1241"/>
        <w:gridCol w:w="1228"/>
        <w:gridCol w:w="1247"/>
      </w:tblGrid>
      <w:tr w14:paraId="53E83071" w14:textId="77777777" w:rsidTr="00837D4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98" w:type="dxa"/>
            <w:tcBorders>
              <w:top w:val="nil"/>
              <w:left w:val="nil"/>
            </w:tcBorders>
            <w:shd w:val="clear" w:color="auto" w:fill="auto"/>
          </w:tcPr>
          <w:p w:rsidR="004A3535" w:rsidRPr="002E0E6B" w:rsidP="009A6F67" w14:paraId="33C884B8" w14:textId="77777777">
            <w:pPr>
              <w:pStyle w:val="NormalWeb"/>
              <w:spacing w:line="288" w:lineRule="atLeast"/>
            </w:pPr>
          </w:p>
        </w:tc>
        <w:tc>
          <w:tcPr>
            <w:tcW w:w="1263" w:type="dxa"/>
            <w:shd w:val="clear" w:color="auto" w:fill="auto"/>
            <w:vAlign w:val="center"/>
          </w:tcPr>
          <w:p w:rsidR="004A3535" w:rsidRPr="002E0E6B" w:rsidP="006F5B45" w14:paraId="2E986422" w14:textId="77777777">
            <w:pPr>
              <w:pStyle w:val="NormalWeb"/>
              <w:spacing w:line="288" w:lineRule="atLeast"/>
              <w:jc w:val="center"/>
              <w:rPr>
                <w:b/>
                <w:bCs/>
              </w:rPr>
            </w:pPr>
            <w:r w:rsidRPr="002E0E6B">
              <w:rPr>
                <w:b/>
                <w:bCs/>
              </w:rPr>
              <w:t>Army</w:t>
            </w:r>
          </w:p>
        </w:tc>
        <w:tc>
          <w:tcPr>
            <w:tcW w:w="1263" w:type="dxa"/>
            <w:shd w:val="clear" w:color="auto" w:fill="auto"/>
            <w:vAlign w:val="center"/>
          </w:tcPr>
          <w:p w:rsidR="004A3535" w:rsidRPr="002E0E6B" w:rsidP="006F5B45" w14:paraId="2746254D" w14:textId="77777777">
            <w:pPr>
              <w:pStyle w:val="NormalWeb"/>
              <w:spacing w:line="288" w:lineRule="atLeast"/>
              <w:jc w:val="center"/>
              <w:rPr>
                <w:b/>
                <w:bCs/>
              </w:rPr>
            </w:pPr>
            <w:r w:rsidRPr="002E0E6B">
              <w:rPr>
                <w:b/>
                <w:bCs/>
              </w:rPr>
              <w:t>Air Force</w:t>
            </w:r>
          </w:p>
        </w:tc>
        <w:tc>
          <w:tcPr>
            <w:tcW w:w="1263" w:type="dxa"/>
            <w:shd w:val="clear" w:color="auto" w:fill="auto"/>
            <w:vAlign w:val="center"/>
          </w:tcPr>
          <w:p w:rsidR="004A3535" w:rsidRPr="002E0E6B" w:rsidP="006F5B45" w14:paraId="4911B03F" w14:textId="77777777">
            <w:pPr>
              <w:pStyle w:val="NormalWeb"/>
              <w:spacing w:line="288" w:lineRule="atLeast"/>
              <w:jc w:val="center"/>
              <w:rPr>
                <w:b/>
                <w:bCs/>
              </w:rPr>
            </w:pPr>
            <w:r w:rsidRPr="002E0E6B">
              <w:rPr>
                <w:b/>
                <w:bCs/>
              </w:rPr>
              <w:t>Navy</w:t>
            </w:r>
          </w:p>
        </w:tc>
        <w:tc>
          <w:tcPr>
            <w:tcW w:w="1263" w:type="dxa"/>
            <w:shd w:val="clear" w:color="auto" w:fill="auto"/>
            <w:vAlign w:val="center"/>
          </w:tcPr>
          <w:p w:rsidR="004A3535" w:rsidRPr="002E0E6B" w:rsidP="006F5B45" w14:paraId="46A34058" w14:textId="77777777">
            <w:pPr>
              <w:pStyle w:val="NormalWeb"/>
              <w:spacing w:line="288" w:lineRule="atLeast"/>
              <w:jc w:val="center"/>
              <w:rPr>
                <w:b/>
                <w:bCs/>
              </w:rPr>
            </w:pPr>
            <w:r w:rsidRPr="002E0E6B">
              <w:rPr>
                <w:b/>
                <w:bCs/>
              </w:rPr>
              <w:t>Marine Corps</w:t>
            </w:r>
          </w:p>
        </w:tc>
        <w:tc>
          <w:tcPr>
            <w:tcW w:w="1263" w:type="dxa"/>
          </w:tcPr>
          <w:p w:rsidR="004A3535" w:rsidRPr="002E0E6B" w:rsidP="006F5B45" w14:paraId="3D0BF1E6" w14:textId="38320305">
            <w:pPr>
              <w:pStyle w:val="NormalWeb"/>
              <w:spacing w:line="288" w:lineRule="atLeast"/>
              <w:jc w:val="center"/>
              <w:rPr>
                <w:b/>
                <w:bCs/>
              </w:rPr>
            </w:pPr>
            <w:r>
              <w:rPr>
                <w:b/>
                <w:bCs/>
              </w:rPr>
              <w:t>Space Force</w:t>
            </w:r>
          </w:p>
        </w:tc>
        <w:tc>
          <w:tcPr>
            <w:tcW w:w="1263" w:type="dxa"/>
            <w:shd w:val="clear" w:color="auto" w:fill="auto"/>
            <w:vAlign w:val="center"/>
          </w:tcPr>
          <w:p w:rsidR="004A3535" w:rsidRPr="002E0E6B" w:rsidP="006F5B45" w14:paraId="0FC000B7" w14:textId="60BC90CD">
            <w:pPr>
              <w:pStyle w:val="NormalWeb"/>
              <w:spacing w:line="288" w:lineRule="atLeast"/>
              <w:jc w:val="center"/>
              <w:rPr>
                <w:b/>
                <w:bCs/>
              </w:rPr>
            </w:pPr>
            <w:r w:rsidRPr="002E0E6B">
              <w:rPr>
                <w:b/>
                <w:bCs/>
              </w:rPr>
              <w:t>TOTAL</w:t>
            </w:r>
          </w:p>
        </w:tc>
      </w:tr>
      <w:tr w14:paraId="484C613B" w14:textId="77777777" w:rsidTr="00837D40">
        <w:tblPrEx>
          <w:tblW w:w="0" w:type="auto"/>
          <w:tblLook w:val="04A0"/>
        </w:tblPrEx>
        <w:tc>
          <w:tcPr>
            <w:tcW w:w="1998" w:type="dxa"/>
            <w:shd w:val="clear" w:color="auto" w:fill="auto"/>
          </w:tcPr>
          <w:p w:rsidR="004A3535" w:rsidRPr="002E0E6B" w:rsidP="009A6F67" w14:paraId="0D972F3A" w14:textId="77777777">
            <w:pPr>
              <w:pStyle w:val="NormalWeb"/>
              <w:spacing w:line="288" w:lineRule="atLeast"/>
              <w:rPr>
                <w:b/>
                <w:bCs/>
              </w:rPr>
            </w:pPr>
            <w:r w:rsidRPr="002E0E6B">
              <w:rPr>
                <w:b/>
                <w:bCs/>
              </w:rPr>
              <w:t>Junior enlisted (E1-E2s)</w:t>
            </w:r>
          </w:p>
        </w:tc>
        <w:tc>
          <w:tcPr>
            <w:tcW w:w="1263" w:type="dxa"/>
            <w:shd w:val="clear" w:color="auto" w:fill="auto"/>
          </w:tcPr>
          <w:p w:rsidR="004A3535" w:rsidRPr="002E0E6B" w:rsidP="002E0E6B" w14:paraId="7BFB852E" w14:textId="77777777">
            <w:pPr>
              <w:pStyle w:val="NormalWeb"/>
              <w:spacing w:line="288" w:lineRule="atLeast"/>
              <w:jc w:val="center"/>
            </w:pPr>
            <w:r w:rsidRPr="002E0E6B">
              <w:t>40</w:t>
            </w:r>
          </w:p>
        </w:tc>
        <w:tc>
          <w:tcPr>
            <w:tcW w:w="1263" w:type="dxa"/>
            <w:shd w:val="clear" w:color="auto" w:fill="auto"/>
          </w:tcPr>
          <w:p w:rsidR="004A3535" w:rsidRPr="002E0E6B" w:rsidP="002E0E6B" w14:paraId="7B312FFE" w14:textId="77777777">
            <w:pPr>
              <w:pStyle w:val="NormalWeb"/>
              <w:spacing w:line="288" w:lineRule="atLeast"/>
              <w:jc w:val="center"/>
            </w:pPr>
            <w:r w:rsidRPr="002E0E6B">
              <w:t>40</w:t>
            </w:r>
          </w:p>
        </w:tc>
        <w:tc>
          <w:tcPr>
            <w:tcW w:w="1263" w:type="dxa"/>
            <w:shd w:val="clear" w:color="auto" w:fill="auto"/>
          </w:tcPr>
          <w:p w:rsidR="004A3535" w:rsidRPr="002E0E6B" w:rsidP="002E0E6B" w14:paraId="290B0DE6" w14:textId="77777777">
            <w:pPr>
              <w:pStyle w:val="NormalWeb"/>
              <w:spacing w:line="288" w:lineRule="atLeast"/>
              <w:jc w:val="center"/>
            </w:pPr>
            <w:r w:rsidRPr="002E0E6B">
              <w:t>40</w:t>
            </w:r>
          </w:p>
        </w:tc>
        <w:tc>
          <w:tcPr>
            <w:tcW w:w="1263" w:type="dxa"/>
            <w:shd w:val="clear" w:color="auto" w:fill="auto"/>
          </w:tcPr>
          <w:p w:rsidR="004A3535" w:rsidRPr="002E0E6B" w:rsidP="002E0E6B" w14:paraId="2820F651" w14:textId="77777777">
            <w:pPr>
              <w:pStyle w:val="NormalWeb"/>
              <w:spacing w:line="288" w:lineRule="atLeast"/>
              <w:jc w:val="center"/>
            </w:pPr>
            <w:r w:rsidRPr="002E0E6B">
              <w:t>40</w:t>
            </w:r>
          </w:p>
        </w:tc>
        <w:tc>
          <w:tcPr>
            <w:tcW w:w="1263" w:type="dxa"/>
          </w:tcPr>
          <w:p w:rsidR="004A3535" w:rsidRPr="002E0E6B" w:rsidP="002E0E6B" w14:paraId="0D2456F3" w14:textId="3B428ADE">
            <w:pPr>
              <w:pStyle w:val="NormalWeb"/>
              <w:spacing w:line="288" w:lineRule="atLeast"/>
              <w:jc w:val="center"/>
            </w:pPr>
            <w:r>
              <w:t>40</w:t>
            </w:r>
          </w:p>
        </w:tc>
        <w:tc>
          <w:tcPr>
            <w:tcW w:w="1263" w:type="dxa"/>
            <w:shd w:val="clear" w:color="auto" w:fill="auto"/>
          </w:tcPr>
          <w:p w:rsidR="004A3535" w:rsidRPr="002E0E6B" w:rsidP="002E0E6B" w14:paraId="05166C7B" w14:textId="0E4BCDD7">
            <w:pPr>
              <w:pStyle w:val="NormalWeb"/>
              <w:spacing w:line="288" w:lineRule="atLeast"/>
              <w:jc w:val="center"/>
            </w:pPr>
            <w:r w:rsidRPr="002E0E6B">
              <w:t>200</w:t>
            </w:r>
          </w:p>
        </w:tc>
      </w:tr>
      <w:tr w14:paraId="6FA661EB" w14:textId="77777777" w:rsidTr="00837D40">
        <w:tblPrEx>
          <w:tblW w:w="0" w:type="auto"/>
          <w:tblLook w:val="04A0"/>
        </w:tblPrEx>
        <w:tc>
          <w:tcPr>
            <w:tcW w:w="1998" w:type="dxa"/>
            <w:shd w:val="clear" w:color="auto" w:fill="auto"/>
          </w:tcPr>
          <w:p w:rsidR="004A3535" w:rsidRPr="002E0E6B" w:rsidP="009A6F67" w14:paraId="353AF744" w14:textId="77777777">
            <w:pPr>
              <w:pStyle w:val="NormalWeb"/>
              <w:spacing w:line="288" w:lineRule="atLeast"/>
              <w:rPr>
                <w:b/>
                <w:bCs/>
              </w:rPr>
            </w:pPr>
            <w:r w:rsidRPr="002E0E6B">
              <w:rPr>
                <w:b/>
                <w:bCs/>
              </w:rPr>
              <w:t>First term enlisted approaching reenlistment decision (E3-E4s)</w:t>
            </w:r>
          </w:p>
        </w:tc>
        <w:tc>
          <w:tcPr>
            <w:tcW w:w="1263" w:type="dxa"/>
            <w:shd w:val="clear" w:color="auto" w:fill="auto"/>
          </w:tcPr>
          <w:p w:rsidR="004A3535" w:rsidRPr="002E0E6B" w:rsidP="002E0E6B" w14:paraId="322CB595" w14:textId="77777777">
            <w:pPr>
              <w:pStyle w:val="NormalWeb"/>
              <w:spacing w:line="288" w:lineRule="atLeast"/>
              <w:jc w:val="center"/>
            </w:pPr>
            <w:r w:rsidRPr="002E0E6B">
              <w:t>30</w:t>
            </w:r>
          </w:p>
        </w:tc>
        <w:tc>
          <w:tcPr>
            <w:tcW w:w="1263" w:type="dxa"/>
            <w:shd w:val="clear" w:color="auto" w:fill="auto"/>
          </w:tcPr>
          <w:p w:rsidR="004A3535" w:rsidRPr="002E0E6B" w:rsidP="002E0E6B" w14:paraId="783EF2B6" w14:textId="77777777">
            <w:pPr>
              <w:pStyle w:val="NormalWeb"/>
              <w:spacing w:line="288" w:lineRule="atLeast"/>
              <w:jc w:val="center"/>
            </w:pPr>
            <w:r w:rsidRPr="002E0E6B">
              <w:t>30</w:t>
            </w:r>
          </w:p>
        </w:tc>
        <w:tc>
          <w:tcPr>
            <w:tcW w:w="1263" w:type="dxa"/>
            <w:shd w:val="clear" w:color="auto" w:fill="auto"/>
          </w:tcPr>
          <w:p w:rsidR="004A3535" w:rsidRPr="002E0E6B" w:rsidP="002E0E6B" w14:paraId="21F22B4D" w14:textId="77777777">
            <w:pPr>
              <w:pStyle w:val="NormalWeb"/>
              <w:spacing w:line="288" w:lineRule="atLeast"/>
              <w:jc w:val="center"/>
            </w:pPr>
            <w:r w:rsidRPr="002E0E6B">
              <w:t>30</w:t>
            </w:r>
          </w:p>
        </w:tc>
        <w:tc>
          <w:tcPr>
            <w:tcW w:w="1263" w:type="dxa"/>
            <w:shd w:val="clear" w:color="auto" w:fill="auto"/>
          </w:tcPr>
          <w:p w:rsidR="004A3535" w:rsidRPr="002E0E6B" w:rsidP="002E0E6B" w14:paraId="6273F420" w14:textId="77777777">
            <w:pPr>
              <w:pStyle w:val="NormalWeb"/>
              <w:spacing w:line="288" w:lineRule="atLeast"/>
              <w:jc w:val="center"/>
            </w:pPr>
            <w:r w:rsidRPr="002E0E6B">
              <w:t>30</w:t>
            </w:r>
          </w:p>
        </w:tc>
        <w:tc>
          <w:tcPr>
            <w:tcW w:w="1263" w:type="dxa"/>
          </w:tcPr>
          <w:p w:rsidR="004A3535" w:rsidRPr="002E0E6B" w:rsidP="002E0E6B" w14:paraId="13C53EC4" w14:textId="42DE8630">
            <w:pPr>
              <w:pStyle w:val="NormalWeb"/>
              <w:spacing w:line="288" w:lineRule="atLeast"/>
              <w:jc w:val="center"/>
            </w:pPr>
            <w:r>
              <w:t>30</w:t>
            </w:r>
          </w:p>
        </w:tc>
        <w:tc>
          <w:tcPr>
            <w:tcW w:w="1263" w:type="dxa"/>
            <w:shd w:val="clear" w:color="auto" w:fill="auto"/>
          </w:tcPr>
          <w:p w:rsidR="004A3535" w:rsidRPr="002E0E6B" w:rsidP="002E0E6B" w14:paraId="04453F9F" w14:textId="46285157">
            <w:pPr>
              <w:pStyle w:val="NormalWeb"/>
              <w:spacing w:line="288" w:lineRule="atLeast"/>
              <w:jc w:val="center"/>
            </w:pPr>
            <w:r w:rsidRPr="002E0E6B">
              <w:t>150</w:t>
            </w:r>
          </w:p>
        </w:tc>
      </w:tr>
      <w:tr w14:paraId="599AD81F" w14:textId="77777777" w:rsidTr="00837D40">
        <w:tblPrEx>
          <w:tblW w:w="0" w:type="auto"/>
          <w:tblLook w:val="04A0"/>
        </w:tblPrEx>
        <w:tc>
          <w:tcPr>
            <w:tcW w:w="1998" w:type="dxa"/>
            <w:shd w:val="clear" w:color="auto" w:fill="auto"/>
          </w:tcPr>
          <w:p w:rsidR="004A3535" w:rsidRPr="002E0E6B" w:rsidP="009A6F67" w14:paraId="5D076630" w14:textId="77777777">
            <w:pPr>
              <w:pStyle w:val="NormalWeb"/>
              <w:spacing w:line="288" w:lineRule="atLeast"/>
              <w:rPr>
                <w:b/>
                <w:bCs/>
              </w:rPr>
            </w:pPr>
            <w:r w:rsidRPr="002E0E6B">
              <w:rPr>
                <w:b/>
                <w:bCs/>
              </w:rPr>
              <w:t>Recruiters      (E4-E7s)</w:t>
            </w:r>
          </w:p>
        </w:tc>
        <w:tc>
          <w:tcPr>
            <w:tcW w:w="1263" w:type="dxa"/>
            <w:shd w:val="clear" w:color="auto" w:fill="auto"/>
          </w:tcPr>
          <w:p w:rsidR="004A3535" w:rsidRPr="002E0E6B" w:rsidP="002E0E6B" w14:paraId="7FE815FA" w14:textId="77777777">
            <w:pPr>
              <w:pStyle w:val="NormalWeb"/>
              <w:spacing w:line="288" w:lineRule="atLeast"/>
              <w:jc w:val="center"/>
            </w:pPr>
            <w:r w:rsidRPr="002E0E6B">
              <w:t>20</w:t>
            </w:r>
          </w:p>
        </w:tc>
        <w:tc>
          <w:tcPr>
            <w:tcW w:w="1263" w:type="dxa"/>
            <w:shd w:val="clear" w:color="auto" w:fill="auto"/>
          </w:tcPr>
          <w:p w:rsidR="004A3535" w:rsidRPr="002E0E6B" w:rsidP="002E0E6B" w14:paraId="05A01029" w14:textId="77777777">
            <w:pPr>
              <w:pStyle w:val="NormalWeb"/>
              <w:spacing w:line="288" w:lineRule="atLeast"/>
              <w:jc w:val="center"/>
            </w:pPr>
            <w:r w:rsidRPr="002E0E6B">
              <w:t>20</w:t>
            </w:r>
          </w:p>
        </w:tc>
        <w:tc>
          <w:tcPr>
            <w:tcW w:w="1263" w:type="dxa"/>
            <w:shd w:val="clear" w:color="auto" w:fill="auto"/>
          </w:tcPr>
          <w:p w:rsidR="004A3535" w:rsidRPr="002E0E6B" w:rsidP="002E0E6B" w14:paraId="68989D94" w14:textId="77777777">
            <w:pPr>
              <w:pStyle w:val="NormalWeb"/>
              <w:spacing w:line="288" w:lineRule="atLeast"/>
              <w:jc w:val="center"/>
            </w:pPr>
            <w:r w:rsidRPr="002E0E6B">
              <w:t>20</w:t>
            </w:r>
          </w:p>
        </w:tc>
        <w:tc>
          <w:tcPr>
            <w:tcW w:w="1263" w:type="dxa"/>
            <w:shd w:val="clear" w:color="auto" w:fill="auto"/>
          </w:tcPr>
          <w:p w:rsidR="004A3535" w:rsidRPr="002E0E6B" w:rsidP="002E0E6B" w14:paraId="41E228CF" w14:textId="77777777">
            <w:pPr>
              <w:pStyle w:val="NormalWeb"/>
              <w:spacing w:line="288" w:lineRule="atLeast"/>
              <w:jc w:val="center"/>
            </w:pPr>
            <w:r w:rsidRPr="002E0E6B">
              <w:t>20</w:t>
            </w:r>
          </w:p>
        </w:tc>
        <w:tc>
          <w:tcPr>
            <w:tcW w:w="1263" w:type="dxa"/>
          </w:tcPr>
          <w:p w:rsidR="004A3535" w:rsidRPr="002E0E6B" w:rsidP="002E0E6B" w14:paraId="1E494230" w14:textId="44C9A741">
            <w:pPr>
              <w:pStyle w:val="NormalWeb"/>
              <w:spacing w:line="288" w:lineRule="atLeast"/>
              <w:jc w:val="center"/>
            </w:pPr>
            <w:r>
              <w:t>10</w:t>
            </w:r>
            <w:r>
              <w:rPr>
                <w:rStyle w:val="FootnoteReference"/>
              </w:rPr>
              <w:footnoteReference w:id="2"/>
            </w:r>
          </w:p>
        </w:tc>
        <w:tc>
          <w:tcPr>
            <w:tcW w:w="1263" w:type="dxa"/>
            <w:shd w:val="clear" w:color="auto" w:fill="auto"/>
          </w:tcPr>
          <w:p w:rsidR="004A3535" w:rsidRPr="002E0E6B" w:rsidP="002E0E6B" w14:paraId="0412A043" w14:textId="59CE22EE">
            <w:pPr>
              <w:pStyle w:val="NormalWeb"/>
              <w:spacing w:line="288" w:lineRule="atLeast"/>
              <w:jc w:val="center"/>
            </w:pPr>
            <w:r>
              <w:t>90</w:t>
            </w:r>
          </w:p>
        </w:tc>
      </w:tr>
      <w:tr w14:paraId="24AD643C" w14:textId="77777777" w:rsidTr="00837D40">
        <w:tblPrEx>
          <w:tblW w:w="0" w:type="auto"/>
          <w:tblLook w:val="04A0"/>
        </w:tblPrEx>
        <w:tc>
          <w:tcPr>
            <w:tcW w:w="1998" w:type="dxa"/>
            <w:shd w:val="clear" w:color="auto" w:fill="auto"/>
          </w:tcPr>
          <w:p w:rsidR="004A3535" w:rsidRPr="002E0E6B" w:rsidP="009A6F67" w14:paraId="2461F66E" w14:textId="77777777">
            <w:pPr>
              <w:pStyle w:val="NormalWeb"/>
              <w:spacing w:line="288" w:lineRule="atLeast"/>
              <w:rPr>
                <w:b/>
                <w:bCs/>
              </w:rPr>
            </w:pPr>
            <w:r w:rsidRPr="002E0E6B">
              <w:rPr>
                <w:b/>
                <w:bCs/>
              </w:rPr>
              <w:t>Junior officers (O1-O3s)</w:t>
            </w:r>
          </w:p>
        </w:tc>
        <w:tc>
          <w:tcPr>
            <w:tcW w:w="1263" w:type="dxa"/>
            <w:shd w:val="clear" w:color="auto" w:fill="auto"/>
          </w:tcPr>
          <w:p w:rsidR="004A3535" w:rsidRPr="002E0E6B" w:rsidP="002E0E6B" w14:paraId="5D379348" w14:textId="77777777">
            <w:pPr>
              <w:pStyle w:val="NormalWeb"/>
              <w:spacing w:line="288" w:lineRule="atLeast"/>
              <w:jc w:val="center"/>
            </w:pPr>
            <w:r w:rsidRPr="002E0E6B">
              <w:t>40</w:t>
            </w:r>
          </w:p>
        </w:tc>
        <w:tc>
          <w:tcPr>
            <w:tcW w:w="1263" w:type="dxa"/>
            <w:shd w:val="clear" w:color="auto" w:fill="auto"/>
          </w:tcPr>
          <w:p w:rsidR="004A3535" w:rsidRPr="002E0E6B" w:rsidP="002E0E6B" w14:paraId="381A0946" w14:textId="77777777">
            <w:pPr>
              <w:pStyle w:val="NormalWeb"/>
              <w:spacing w:line="288" w:lineRule="atLeast"/>
              <w:jc w:val="center"/>
            </w:pPr>
            <w:r w:rsidRPr="002E0E6B">
              <w:t>40</w:t>
            </w:r>
          </w:p>
        </w:tc>
        <w:tc>
          <w:tcPr>
            <w:tcW w:w="1263" w:type="dxa"/>
            <w:shd w:val="clear" w:color="auto" w:fill="auto"/>
          </w:tcPr>
          <w:p w:rsidR="004A3535" w:rsidRPr="002E0E6B" w:rsidP="002E0E6B" w14:paraId="59E28D48" w14:textId="77777777">
            <w:pPr>
              <w:pStyle w:val="NormalWeb"/>
              <w:spacing w:line="288" w:lineRule="atLeast"/>
              <w:jc w:val="center"/>
            </w:pPr>
            <w:r w:rsidRPr="002E0E6B">
              <w:t>40</w:t>
            </w:r>
          </w:p>
        </w:tc>
        <w:tc>
          <w:tcPr>
            <w:tcW w:w="1263" w:type="dxa"/>
            <w:shd w:val="clear" w:color="auto" w:fill="auto"/>
          </w:tcPr>
          <w:p w:rsidR="004A3535" w:rsidRPr="002E0E6B" w:rsidP="002E0E6B" w14:paraId="6352EE9A" w14:textId="77777777">
            <w:pPr>
              <w:pStyle w:val="NormalWeb"/>
              <w:spacing w:line="288" w:lineRule="atLeast"/>
              <w:jc w:val="center"/>
            </w:pPr>
            <w:r w:rsidRPr="002E0E6B">
              <w:t>40</w:t>
            </w:r>
          </w:p>
        </w:tc>
        <w:tc>
          <w:tcPr>
            <w:tcW w:w="1263" w:type="dxa"/>
          </w:tcPr>
          <w:p w:rsidR="004A3535" w:rsidRPr="002E0E6B" w:rsidP="002E0E6B" w14:paraId="02C24EB0" w14:textId="655A394F">
            <w:pPr>
              <w:pStyle w:val="NormalWeb"/>
              <w:spacing w:line="288" w:lineRule="atLeast"/>
              <w:jc w:val="center"/>
            </w:pPr>
            <w:r>
              <w:t>40</w:t>
            </w:r>
          </w:p>
        </w:tc>
        <w:tc>
          <w:tcPr>
            <w:tcW w:w="1263" w:type="dxa"/>
            <w:tcBorders>
              <w:bottom w:val="single" w:sz="4" w:space="0" w:color="auto"/>
            </w:tcBorders>
            <w:shd w:val="clear" w:color="auto" w:fill="auto"/>
          </w:tcPr>
          <w:p w:rsidR="004A3535" w:rsidRPr="002E0E6B" w:rsidP="002E0E6B" w14:paraId="16F08866" w14:textId="7B7CEDF8">
            <w:pPr>
              <w:pStyle w:val="NormalWeb"/>
              <w:spacing w:line="288" w:lineRule="atLeast"/>
              <w:jc w:val="center"/>
            </w:pPr>
            <w:r w:rsidRPr="002E0E6B">
              <w:t>200</w:t>
            </w:r>
          </w:p>
        </w:tc>
      </w:tr>
      <w:tr w14:paraId="55BE26C3" w14:textId="77777777" w:rsidTr="00837D40">
        <w:tblPrEx>
          <w:tblW w:w="0" w:type="auto"/>
          <w:tblLook w:val="04A0"/>
        </w:tblPrEx>
        <w:tc>
          <w:tcPr>
            <w:tcW w:w="1998" w:type="dxa"/>
            <w:shd w:val="clear" w:color="auto" w:fill="auto"/>
          </w:tcPr>
          <w:p w:rsidR="004A3535" w:rsidRPr="002E0E6B" w:rsidP="009A6F67" w14:paraId="2AEB0799" w14:textId="77777777">
            <w:pPr>
              <w:pStyle w:val="NormalWeb"/>
              <w:spacing w:line="288" w:lineRule="atLeast"/>
              <w:rPr>
                <w:b/>
                <w:bCs/>
              </w:rPr>
            </w:pPr>
            <w:r w:rsidRPr="002E0E6B">
              <w:rPr>
                <w:b/>
                <w:bCs/>
              </w:rPr>
              <w:t>TOTAL</w:t>
            </w:r>
          </w:p>
        </w:tc>
        <w:tc>
          <w:tcPr>
            <w:tcW w:w="1263" w:type="dxa"/>
            <w:shd w:val="clear" w:color="auto" w:fill="auto"/>
          </w:tcPr>
          <w:p w:rsidR="004A3535" w:rsidRPr="002E0E6B" w:rsidP="002E0E6B" w14:paraId="158F3C18" w14:textId="77777777">
            <w:pPr>
              <w:pStyle w:val="NormalWeb"/>
              <w:spacing w:line="288" w:lineRule="atLeast"/>
              <w:jc w:val="center"/>
            </w:pPr>
            <w:r w:rsidRPr="002E0E6B">
              <w:t>130</w:t>
            </w:r>
          </w:p>
        </w:tc>
        <w:tc>
          <w:tcPr>
            <w:tcW w:w="1263" w:type="dxa"/>
            <w:shd w:val="clear" w:color="auto" w:fill="auto"/>
          </w:tcPr>
          <w:p w:rsidR="004A3535" w:rsidRPr="002E0E6B" w:rsidP="002E0E6B" w14:paraId="33013172" w14:textId="77777777">
            <w:pPr>
              <w:pStyle w:val="NormalWeb"/>
              <w:spacing w:line="288" w:lineRule="atLeast"/>
              <w:jc w:val="center"/>
            </w:pPr>
            <w:r w:rsidRPr="002E0E6B">
              <w:t>130</w:t>
            </w:r>
          </w:p>
        </w:tc>
        <w:tc>
          <w:tcPr>
            <w:tcW w:w="1263" w:type="dxa"/>
            <w:shd w:val="clear" w:color="auto" w:fill="auto"/>
          </w:tcPr>
          <w:p w:rsidR="004A3535" w:rsidRPr="002E0E6B" w:rsidP="002E0E6B" w14:paraId="4FD2BC41" w14:textId="77777777">
            <w:pPr>
              <w:pStyle w:val="NormalWeb"/>
              <w:spacing w:line="288" w:lineRule="atLeast"/>
              <w:jc w:val="center"/>
            </w:pPr>
            <w:r w:rsidRPr="002E0E6B">
              <w:t>130</w:t>
            </w:r>
          </w:p>
        </w:tc>
        <w:tc>
          <w:tcPr>
            <w:tcW w:w="1263" w:type="dxa"/>
            <w:shd w:val="clear" w:color="auto" w:fill="auto"/>
          </w:tcPr>
          <w:p w:rsidR="004A3535" w:rsidRPr="002E0E6B" w:rsidP="002E0E6B" w14:paraId="628CDB49" w14:textId="77777777">
            <w:pPr>
              <w:pStyle w:val="NormalWeb"/>
              <w:spacing w:line="288" w:lineRule="atLeast"/>
              <w:jc w:val="center"/>
            </w:pPr>
            <w:r w:rsidRPr="002E0E6B">
              <w:t>130</w:t>
            </w:r>
          </w:p>
        </w:tc>
        <w:tc>
          <w:tcPr>
            <w:tcW w:w="1263" w:type="dxa"/>
          </w:tcPr>
          <w:p w:rsidR="004A3535" w:rsidRPr="002E0E6B" w:rsidP="002E0E6B" w14:paraId="17903ECD" w14:textId="187FBF2A">
            <w:pPr>
              <w:pStyle w:val="NormalWeb"/>
              <w:spacing w:line="288" w:lineRule="atLeast"/>
              <w:jc w:val="center"/>
            </w:pPr>
            <w:r>
              <w:t>120</w:t>
            </w:r>
          </w:p>
        </w:tc>
        <w:tc>
          <w:tcPr>
            <w:tcW w:w="1263" w:type="dxa"/>
            <w:tcBorders>
              <w:bottom w:val="single" w:sz="4" w:space="0" w:color="auto"/>
              <w:right w:val="single" w:sz="4" w:space="0" w:color="auto"/>
            </w:tcBorders>
            <w:shd w:val="clear" w:color="auto" w:fill="auto"/>
          </w:tcPr>
          <w:p w:rsidR="004A3535" w:rsidRPr="002E0E6B" w:rsidP="002E0E6B" w14:paraId="3DF0B0DF" w14:textId="575931C1">
            <w:pPr>
              <w:pStyle w:val="NormalWeb"/>
              <w:spacing w:line="288" w:lineRule="atLeast"/>
              <w:jc w:val="center"/>
            </w:pPr>
            <w:r>
              <w:t>640</w:t>
            </w:r>
          </w:p>
        </w:tc>
      </w:tr>
    </w:tbl>
    <w:p w:rsidR="00802270" w:rsidRPr="00802270" w:rsidP="00802270" w14:paraId="7AE1F92D" w14:textId="53684181">
      <w:pPr>
        <w:pStyle w:val="NormalWeb"/>
        <w:spacing w:line="288" w:lineRule="atLeast"/>
      </w:pPr>
      <w:r>
        <w:rPr>
          <w:b/>
          <w:bCs/>
        </w:rPr>
        <w:t xml:space="preserve">Survey: </w:t>
      </w:r>
      <w:r w:rsidRPr="00802270">
        <w:t>The potential respondent universe for this study comprises adult Hispanics</w:t>
      </w:r>
      <w:r w:rsidR="00841DF7">
        <w:t>/Latino</w:t>
      </w:r>
      <w:r w:rsidRPr="00802270">
        <w:t xml:space="preserve"> over 18 years of age who </w:t>
      </w:r>
      <w:r w:rsidR="005D21F8">
        <w:t xml:space="preserve">are identified </w:t>
      </w:r>
      <w:r w:rsidRPr="00691654" w:rsidR="005D21F8">
        <w:t>through publicly available U.S. voter registration records</w:t>
      </w:r>
      <w:r w:rsidRPr="00802270">
        <w:t>.  The population of Hispanic</w:t>
      </w:r>
      <w:r w:rsidR="00841DF7">
        <w:t>/Latino</w:t>
      </w:r>
      <w:r w:rsidR="00D71CD8">
        <w:t xml:space="preserve"> eligible</w:t>
      </w:r>
      <w:r w:rsidRPr="00802270">
        <w:t xml:space="preserve"> voters in the United States is approximately 36.2 million, of which approximately 12.3 million (33.4%) are registered to vote.  </w:t>
      </w:r>
    </w:p>
    <w:p w:rsidR="00802270" w:rsidP="00802270" w14:paraId="4A213A98" w14:textId="59BC3858">
      <w:pPr>
        <w:pStyle w:val="NormalWeb"/>
        <w:spacing w:line="288" w:lineRule="atLeast"/>
      </w:pPr>
      <w:r w:rsidRPr="00802270">
        <w:t>The sampling method to be used is a stratified random sample considering age, gender, national origin, and place of residence to ensure representation across various demographic factors within the U.S. Hispanic</w:t>
      </w:r>
      <w:r w:rsidR="00841DF7">
        <w:t>/Latino</w:t>
      </w:r>
      <w:r w:rsidRPr="00802270">
        <w:t xml:space="preserve"> population. Given our experience with FIU’s National Hispanic Survey, we anticipate a response rate of 30 percent (1,500 participants).</w:t>
      </w:r>
      <w:r>
        <w:t xml:space="preserve">  </w:t>
      </w:r>
    </w:p>
    <w:tbl>
      <w:tblPr>
        <w:tblW w:w="9405" w:type="dxa"/>
        <w:tblLook w:val="04A0"/>
      </w:tblPr>
      <w:tblGrid>
        <w:gridCol w:w="1610"/>
        <w:gridCol w:w="2032"/>
        <w:gridCol w:w="1793"/>
        <w:gridCol w:w="1236"/>
        <w:gridCol w:w="1434"/>
        <w:gridCol w:w="1300"/>
      </w:tblGrid>
      <w:tr w14:paraId="7074FDAD"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77D1ADCF" w14:textId="77777777">
            <w:pPr>
              <w:rPr>
                <w:rFonts w:ascii="Calibri" w:hAnsi="Calibri" w:cs="Calibri"/>
                <w:b/>
                <w:bCs/>
                <w:color w:val="000000"/>
                <w:sz w:val="22"/>
                <w:szCs w:val="22"/>
              </w:rPr>
            </w:pPr>
            <w:r w:rsidRPr="002464DE">
              <w:rPr>
                <w:rFonts w:ascii="Calibri" w:hAnsi="Calibri" w:cs="Calibri"/>
                <w:b/>
                <w:bCs/>
                <w:color w:val="000000"/>
                <w:sz w:val="22"/>
                <w:szCs w:val="22"/>
              </w:rPr>
              <w:t>State</w:t>
            </w:r>
          </w:p>
        </w:tc>
        <w:tc>
          <w:tcPr>
            <w:tcW w:w="2032" w:type="dxa"/>
            <w:tcBorders>
              <w:top w:val="nil"/>
              <w:left w:val="nil"/>
              <w:bottom w:val="nil"/>
              <w:right w:val="nil"/>
            </w:tcBorders>
            <w:shd w:val="clear" w:color="auto" w:fill="auto"/>
            <w:noWrap/>
            <w:vAlign w:val="bottom"/>
            <w:hideMark/>
          </w:tcPr>
          <w:p w:rsidR="00802270" w:rsidRPr="002464DE" w:rsidP="001934CB" w14:paraId="4205E12D" w14:textId="77777777">
            <w:pPr>
              <w:jc w:val="center"/>
              <w:rPr>
                <w:rFonts w:ascii="Calibri" w:hAnsi="Calibri" w:cs="Calibri"/>
                <w:b/>
                <w:bCs/>
                <w:color w:val="000000"/>
                <w:sz w:val="22"/>
                <w:szCs w:val="22"/>
              </w:rPr>
            </w:pPr>
            <w:r w:rsidRPr="002464DE">
              <w:rPr>
                <w:rFonts w:ascii="Calibri" w:hAnsi="Calibri" w:cs="Calibri"/>
                <w:b/>
                <w:bCs/>
                <w:color w:val="000000"/>
                <w:sz w:val="22"/>
                <w:szCs w:val="22"/>
              </w:rPr>
              <w:t>Hisp</w:t>
            </w:r>
            <w:r>
              <w:rPr>
                <w:rFonts w:ascii="Calibri" w:hAnsi="Calibri" w:cs="Calibri"/>
                <w:b/>
                <w:bCs/>
                <w:color w:val="000000"/>
                <w:sz w:val="22"/>
                <w:szCs w:val="22"/>
              </w:rPr>
              <w:t>anic</w:t>
            </w:r>
            <w:r w:rsidRPr="00841DF7" w:rsidR="00841DF7">
              <w:rPr>
                <w:rFonts w:ascii="Calibri" w:hAnsi="Calibri" w:cs="Calibri"/>
                <w:b/>
                <w:bCs/>
                <w:color w:val="000000"/>
                <w:sz w:val="22"/>
                <w:szCs w:val="22"/>
              </w:rPr>
              <w:t>/Latino</w:t>
            </w:r>
            <w:r w:rsidRPr="002464DE">
              <w:rPr>
                <w:rFonts w:ascii="Calibri" w:hAnsi="Calibri" w:cs="Calibri"/>
                <w:b/>
                <w:bCs/>
                <w:color w:val="000000"/>
                <w:sz w:val="22"/>
                <w:szCs w:val="22"/>
              </w:rPr>
              <w:t xml:space="preserve"> Pop. eligible to vote</w:t>
            </w:r>
          </w:p>
        </w:tc>
        <w:tc>
          <w:tcPr>
            <w:tcW w:w="1793" w:type="dxa"/>
            <w:tcBorders>
              <w:top w:val="nil"/>
              <w:left w:val="nil"/>
              <w:bottom w:val="nil"/>
              <w:right w:val="nil"/>
            </w:tcBorders>
            <w:shd w:val="clear" w:color="auto" w:fill="auto"/>
            <w:noWrap/>
            <w:vAlign w:val="bottom"/>
            <w:hideMark/>
          </w:tcPr>
          <w:p w:rsidR="00802270" w:rsidRPr="002464DE" w:rsidP="001934CB" w14:paraId="769C424D" w14:textId="77777777">
            <w:pPr>
              <w:jc w:val="center"/>
              <w:rPr>
                <w:rFonts w:ascii="Calibri" w:hAnsi="Calibri" w:cs="Calibri"/>
                <w:b/>
                <w:bCs/>
                <w:color w:val="000000"/>
                <w:sz w:val="22"/>
                <w:szCs w:val="22"/>
              </w:rPr>
            </w:pPr>
            <w:r w:rsidRPr="002464DE">
              <w:rPr>
                <w:rFonts w:ascii="Calibri" w:hAnsi="Calibri" w:cs="Calibri"/>
                <w:b/>
                <w:bCs/>
                <w:color w:val="000000"/>
                <w:sz w:val="22"/>
                <w:szCs w:val="22"/>
              </w:rPr>
              <w:t xml:space="preserve">% </w:t>
            </w:r>
            <w:r w:rsidR="009B53C1">
              <w:rPr>
                <w:rFonts w:ascii="Calibri" w:hAnsi="Calibri" w:cs="Calibri"/>
                <w:b/>
                <w:bCs/>
                <w:color w:val="000000"/>
                <w:sz w:val="22"/>
                <w:szCs w:val="22"/>
              </w:rPr>
              <w:t xml:space="preserve">of </w:t>
            </w:r>
            <w:r w:rsidRPr="002464DE">
              <w:rPr>
                <w:rFonts w:ascii="Calibri" w:hAnsi="Calibri" w:cs="Calibri"/>
                <w:b/>
                <w:bCs/>
                <w:color w:val="000000"/>
                <w:sz w:val="22"/>
                <w:szCs w:val="22"/>
              </w:rPr>
              <w:t>Hisp</w:t>
            </w:r>
            <w:r>
              <w:rPr>
                <w:rFonts w:ascii="Calibri" w:hAnsi="Calibri" w:cs="Calibri"/>
                <w:b/>
                <w:bCs/>
                <w:color w:val="000000"/>
                <w:sz w:val="22"/>
                <w:szCs w:val="22"/>
              </w:rPr>
              <w:t>anic</w:t>
            </w:r>
            <w:r w:rsidRPr="00485F8B" w:rsidR="00841DF7">
              <w:rPr>
                <w:rFonts w:ascii="Calibri" w:hAnsi="Calibri" w:cs="Calibri"/>
                <w:b/>
                <w:bCs/>
                <w:color w:val="000000"/>
                <w:sz w:val="22"/>
                <w:szCs w:val="22"/>
              </w:rPr>
              <w:t>/Latino</w:t>
            </w:r>
            <w:r w:rsidRPr="002464DE">
              <w:rPr>
                <w:rFonts w:ascii="Calibri" w:hAnsi="Calibri" w:cs="Calibri"/>
                <w:b/>
                <w:bCs/>
                <w:color w:val="000000"/>
                <w:sz w:val="22"/>
                <w:szCs w:val="22"/>
              </w:rPr>
              <w:t xml:space="preserve"> eligible voter pop.</w:t>
            </w:r>
          </w:p>
        </w:tc>
        <w:tc>
          <w:tcPr>
            <w:tcW w:w="1236" w:type="dxa"/>
            <w:tcBorders>
              <w:top w:val="nil"/>
              <w:left w:val="nil"/>
              <w:bottom w:val="nil"/>
              <w:right w:val="nil"/>
            </w:tcBorders>
            <w:shd w:val="clear" w:color="auto" w:fill="auto"/>
            <w:noWrap/>
            <w:vAlign w:val="bottom"/>
            <w:hideMark/>
          </w:tcPr>
          <w:p w:rsidR="00802270" w:rsidRPr="002464DE" w:rsidP="001934CB" w14:paraId="63A884B3" w14:textId="77777777">
            <w:pPr>
              <w:jc w:val="center"/>
              <w:rPr>
                <w:rFonts w:ascii="Calibri" w:hAnsi="Calibri" w:cs="Calibri"/>
                <w:b/>
                <w:bCs/>
                <w:color w:val="000000"/>
                <w:sz w:val="22"/>
                <w:szCs w:val="22"/>
              </w:rPr>
            </w:pPr>
            <w:r w:rsidRPr="002464DE">
              <w:rPr>
                <w:rFonts w:ascii="Calibri" w:hAnsi="Calibri" w:cs="Calibri"/>
                <w:b/>
                <w:bCs/>
                <w:color w:val="000000"/>
                <w:sz w:val="22"/>
                <w:szCs w:val="22"/>
              </w:rPr>
              <w:t>% of total sample</w:t>
            </w:r>
          </w:p>
        </w:tc>
        <w:tc>
          <w:tcPr>
            <w:tcW w:w="1434" w:type="dxa"/>
            <w:tcBorders>
              <w:top w:val="nil"/>
              <w:left w:val="nil"/>
              <w:bottom w:val="nil"/>
              <w:right w:val="nil"/>
            </w:tcBorders>
            <w:shd w:val="clear" w:color="auto" w:fill="auto"/>
            <w:noWrap/>
            <w:vAlign w:val="bottom"/>
            <w:hideMark/>
          </w:tcPr>
          <w:p w:rsidR="00802270" w:rsidRPr="002464DE" w:rsidP="001934CB" w14:paraId="52F7A343" w14:textId="77777777">
            <w:pPr>
              <w:jc w:val="center"/>
              <w:rPr>
                <w:rFonts w:ascii="Calibri" w:hAnsi="Calibri" w:cs="Calibri"/>
                <w:b/>
                <w:bCs/>
                <w:color w:val="000000"/>
                <w:sz w:val="22"/>
                <w:szCs w:val="22"/>
              </w:rPr>
            </w:pPr>
            <w:r w:rsidRPr="002464DE">
              <w:rPr>
                <w:rFonts w:ascii="Calibri" w:hAnsi="Calibri" w:cs="Calibri"/>
                <w:b/>
                <w:bCs/>
                <w:color w:val="000000"/>
                <w:sz w:val="22"/>
                <w:szCs w:val="22"/>
              </w:rPr>
              <w:t>Sample (MOE)</w:t>
            </w:r>
            <w:r w:rsidR="009B53C1">
              <w:rPr>
                <w:rFonts w:ascii="Calibri" w:hAnsi="Calibri" w:cs="Calibri"/>
                <w:b/>
                <w:bCs/>
                <w:color w:val="000000"/>
                <w:sz w:val="22"/>
                <w:szCs w:val="22"/>
              </w:rPr>
              <w:t xml:space="preserve"> </w:t>
            </w:r>
            <w:r w:rsidRPr="002464DE">
              <w:rPr>
                <w:rFonts w:ascii="Calibri" w:hAnsi="Calibri" w:cs="Calibri"/>
                <w:b/>
                <w:bCs/>
                <w:color w:val="000000"/>
                <w:sz w:val="22"/>
                <w:szCs w:val="22"/>
              </w:rPr>
              <w:t>2.53 at 95%</w:t>
            </w:r>
          </w:p>
        </w:tc>
        <w:tc>
          <w:tcPr>
            <w:tcW w:w="1296" w:type="dxa"/>
            <w:tcBorders>
              <w:top w:val="nil"/>
              <w:left w:val="nil"/>
              <w:bottom w:val="nil"/>
              <w:right w:val="nil"/>
            </w:tcBorders>
            <w:shd w:val="clear" w:color="auto" w:fill="auto"/>
            <w:noWrap/>
            <w:vAlign w:val="bottom"/>
            <w:hideMark/>
          </w:tcPr>
          <w:p w:rsidR="00802270" w:rsidRPr="002464DE" w:rsidP="001934CB" w14:paraId="013F3230" w14:textId="77777777">
            <w:pPr>
              <w:jc w:val="center"/>
              <w:rPr>
                <w:rFonts w:ascii="Calibri" w:hAnsi="Calibri" w:cs="Calibri"/>
                <w:b/>
                <w:bCs/>
                <w:color w:val="000000"/>
                <w:sz w:val="22"/>
                <w:szCs w:val="22"/>
              </w:rPr>
            </w:pPr>
            <w:r w:rsidRPr="002464DE">
              <w:rPr>
                <w:rFonts w:ascii="Calibri" w:hAnsi="Calibri" w:cs="Calibri"/>
                <w:b/>
                <w:bCs/>
                <w:color w:val="000000"/>
                <w:sz w:val="22"/>
                <w:szCs w:val="22"/>
              </w:rPr>
              <w:t>MOE-state at 90%</w:t>
            </w:r>
          </w:p>
        </w:tc>
      </w:tr>
      <w:tr w14:paraId="3F937FF4"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5334D66D" w14:textId="77777777">
            <w:pPr>
              <w:rPr>
                <w:rFonts w:ascii="Calibri" w:hAnsi="Calibri" w:cs="Calibri"/>
                <w:color w:val="000000"/>
                <w:sz w:val="22"/>
                <w:szCs w:val="22"/>
              </w:rPr>
            </w:pPr>
            <w:r w:rsidRPr="002464DE">
              <w:rPr>
                <w:rFonts w:ascii="Calibri" w:hAnsi="Calibri" w:cs="Calibri"/>
                <w:color w:val="000000"/>
                <w:sz w:val="22"/>
                <w:szCs w:val="22"/>
              </w:rPr>
              <w:t>California</w:t>
            </w:r>
          </w:p>
        </w:tc>
        <w:tc>
          <w:tcPr>
            <w:tcW w:w="2032" w:type="dxa"/>
            <w:tcBorders>
              <w:top w:val="nil"/>
              <w:left w:val="nil"/>
              <w:bottom w:val="nil"/>
              <w:right w:val="nil"/>
            </w:tcBorders>
            <w:shd w:val="clear" w:color="auto" w:fill="auto"/>
            <w:noWrap/>
            <w:vAlign w:val="bottom"/>
            <w:hideMark/>
          </w:tcPr>
          <w:p w:rsidR="00802270" w:rsidRPr="002464DE" w:rsidP="001934CB" w14:paraId="2D12ED4A" w14:textId="77777777">
            <w:pPr>
              <w:jc w:val="center"/>
              <w:rPr>
                <w:rFonts w:ascii="Calibri" w:hAnsi="Calibri" w:cs="Calibri"/>
                <w:color w:val="000000"/>
                <w:sz w:val="22"/>
                <w:szCs w:val="22"/>
              </w:rPr>
            </w:pPr>
            <w:r w:rsidRPr="002464DE">
              <w:rPr>
                <w:rFonts w:ascii="Calibri" w:hAnsi="Calibri" w:cs="Calibri"/>
                <w:color w:val="000000"/>
                <w:sz w:val="22"/>
                <w:szCs w:val="22"/>
              </w:rPr>
              <w:t>8,500,000</w:t>
            </w:r>
          </w:p>
        </w:tc>
        <w:tc>
          <w:tcPr>
            <w:tcW w:w="1793" w:type="dxa"/>
            <w:tcBorders>
              <w:top w:val="nil"/>
              <w:left w:val="nil"/>
              <w:bottom w:val="nil"/>
              <w:right w:val="nil"/>
            </w:tcBorders>
            <w:shd w:val="clear" w:color="auto" w:fill="auto"/>
            <w:noWrap/>
            <w:vAlign w:val="bottom"/>
            <w:hideMark/>
          </w:tcPr>
          <w:p w:rsidR="00802270" w:rsidRPr="002464DE" w:rsidP="001934CB" w14:paraId="4A25F39E" w14:textId="77777777">
            <w:pPr>
              <w:jc w:val="center"/>
              <w:rPr>
                <w:rFonts w:ascii="Calibri" w:hAnsi="Calibri" w:cs="Calibri"/>
                <w:color w:val="000000"/>
                <w:sz w:val="22"/>
                <w:szCs w:val="22"/>
              </w:rPr>
            </w:pPr>
            <w:r w:rsidRPr="002464DE">
              <w:rPr>
                <w:rFonts w:ascii="Calibri" w:hAnsi="Calibri" w:cs="Calibri"/>
                <w:color w:val="000000"/>
                <w:sz w:val="22"/>
                <w:szCs w:val="22"/>
              </w:rPr>
              <w:t>33%</w:t>
            </w:r>
          </w:p>
        </w:tc>
        <w:tc>
          <w:tcPr>
            <w:tcW w:w="1236" w:type="dxa"/>
            <w:tcBorders>
              <w:top w:val="nil"/>
              <w:left w:val="nil"/>
              <w:bottom w:val="nil"/>
              <w:right w:val="nil"/>
            </w:tcBorders>
            <w:shd w:val="clear" w:color="auto" w:fill="auto"/>
            <w:noWrap/>
            <w:vAlign w:val="bottom"/>
            <w:hideMark/>
          </w:tcPr>
          <w:p w:rsidR="00802270" w:rsidRPr="002464DE" w:rsidP="001934CB" w14:paraId="2CFFD608" w14:textId="77777777">
            <w:pPr>
              <w:jc w:val="center"/>
              <w:rPr>
                <w:rFonts w:ascii="Calibri" w:hAnsi="Calibri" w:cs="Calibri"/>
                <w:color w:val="000000"/>
                <w:sz w:val="22"/>
                <w:szCs w:val="22"/>
              </w:rPr>
            </w:pPr>
            <w:r w:rsidRPr="002464DE">
              <w:rPr>
                <w:rFonts w:ascii="Calibri" w:hAnsi="Calibri" w:cs="Calibri"/>
                <w:color w:val="000000"/>
                <w:sz w:val="22"/>
                <w:szCs w:val="22"/>
              </w:rPr>
              <w:t>31.29</w:t>
            </w:r>
          </w:p>
        </w:tc>
        <w:tc>
          <w:tcPr>
            <w:tcW w:w="1434" w:type="dxa"/>
            <w:tcBorders>
              <w:top w:val="nil"/>
              <w:left w:val="nil"/>
              <w:bottom w:val="nil"/>
              <w:right w:val="nil"/>
            </w:tcBorders>
            <w:shd w:val="clear" w:color="auto" w:fill="auto"/>
            <w:noWrap/>
            <w:vAlign w:val="bottom"/>
            <w:hideMark/>
          </w:tcPr>
          <w:p w:rsidR="00802270" w:rsidRPr="002464DE" w:rsidP="001934CB" w14:paraId="6DC2BE61" w14:textId="77777777">
            <w:pPr>
              <w:jc w:val="center"/>
              <w:rPr>
                <w:rFonts w:ascii="Calibri" w:hAnsi="Calibri" w:cs="Calibri"/>
                <w:color w:val="000000"/>
                <w:sz w:val="22"/>
                <w:szCs w:val="22"/>
              </w:rPr>
            </w:pPr>
            <w:r w:rsidRPr="002464DE">
              <w:rPr>
                <w:rFonts w:ascii="Calibri" w:hAnsi="Calibri" w:cs="Calibri"/>
                <w:color w:val="000000"/>
                <w:sz w:val="22"/>
                <w:szCs w:val="22"/>
              </w:rPr>
              <w:t>468</w:t>
            </w:r>
          </w:p>
        </w:tc>
        <w:tc>
          <w:tcPr>
            <w:tcW w:w="1296" w:type="dxa"/>
            <w:tcBorders>
              <w:top w:val="nil"/>
              <w:left w:val="nil"/>
              <w:bottom w:val="nil"/>
              <w:right w:val="nil"/>
            </w:tcBorders>
            <w:shd w:val="clear" w:color="auto" w:fill="auto"/>
            <w:noWrap/>
            <w:vAlign w:val="bottom"/>
            <w:hideMark/>
          </w:tcPr>
          <w:p w:rsidR="00802270" w:rsidRPr="002464DE" w:rsidP="001934CB" w14:paraId="630E8865" w14:textId="77777777">
            <w:pPr>
              <w:jc w:val="center"/>
              <w:rPr>
                <w:rFonts w:ascii="Calibri" w:hAnsi="Calibri" w:cs="Calibri"/>
                <w:color w:val="000000"/>
                <w:sz w:val="22"/>
                <w:szCs w:val="22"/>
              </w:rPr>
            </w:pPr>
            <w:r w:rsidRPr="002464DE">
              <w:rPr>
                <w:rFonts w:ascii="Calibri" w:hAnsi="Calibri" w:cs="Calibri"/>
                <w:color w:val="000000"/>
                <w:sz w:val="22"/>
                <w:szCs w:val="22"/>
              </w:rPr>
              <w:t>4.53</w:t>
            </w:r>
          </w:p>
        </w:tc>
      </w:tr>
      <w:tr w14:paraId="69769E6A"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18A097BF" w14:textId="77777777">
            <w:pPr>
              <w:rPr>
                <w:rFonts w:ascii="Calibri" w:hAnsi="Calibri" w:cs="Calibri"/>
                <w:color w:val="000000"/>
                <w:sz w:val="22"/>
                <w:szCs w:val="22"/>
              </w:rPr>
            </w:pPr>
            <w:r w:rsidRPr="002464DE">
              <w:rPr>
                <w:rFonts w:ascii="Calibri" w:hAnsi="Calibri" w:cs="Calibri"/>
                <w:color w:val="000000"/>
                <w:sz w:val="22"/>
                <w:szCs w:val="22"/>
              </w:rPr>
              <w:t>Texas</w:t>
            </w:r>
          </w:p>
        </w:tc>
        <w:tc>
          <w:tcPr>
            <w:tcW w:w="2032" w:type="dxa"/>
            <w:tcBorders>
              <w:top w:val="nil"/>
              <w:left w:val="nil"/>
              <w:bottom w:val="nil"/>
              <w:right w:val="nil"/>
            </w:tcBorders>
            <w:shd w:val="clear" w:color="auto" w:fill="auto"/>
            <w:noWrap/>
            <w:vAlign w:val="bottom"/>
            <w:hideMark/>
          </w:tcPr>
          <w:p w:rsidR="00802270" w:rsidRPr="002464DE" w:rsidP="001934CB" w14:paraId="63EA47A3" w14:textId="77777777">
            <w:pPr>
              <w:jc w:val="center"/>
              <w:rPr>
                <w:rFonts w:ascii="Calibri" w:hAnsi="Calibri" w:cs="Calibri"/>
                <w:color w:val="000000"/>
                <w:sz w:val="22"/>
                <w:szCs w:val="22"/>
              </w:rPr>
            </w:pPr>
            <w:r w:rsidRPr="002464DE">
              <w:rPr>
                <w:rFonts w:ascii="Calibri" w:hAnsi="Calibri" w:cs="Calibri"/>
                <w:color w:val="000000"/>
                <w:sz w:val="22"/>
                <w:szCs w:val="22"/>
              </w:rPr>
              <w:t>6,465,000</w:t>
            </w:r>
          </w:p>
        </w:tc>
        <w:tc>
          <w:tcPr>
            <w:tcW w:w="1793" w:type="dxa"/>
            <w:tcBorders>
              <w:top w:val="nil"/>
              <w:left w:val="nil"/>
              <w:bottom w:val="nil"/>
              <w:right w:val="nil"/>
            </w:tcBorders>
            <w:shd w:val="clear" w:color="auto" w:fill="auto"/>
            <w:noWrap/>
            <w:vAlign w:val="bottom"/>
            <w:hideMark/>
          </w:tcPr>
          <w:p w:rsidR="00802270" w:rsidRPr="002464DE" w:rsidP="001934CB" w14:paraId="2DCB1C78" w14:textId="77777777">
            <w:pPr>
              <w:jc w:val="center"/>
              <w:rPr>
                <w:rFonts w:ascii="Calibri" w:hAnsi="Calibri" w:cs="Calibri"/>
                <w:color w:val="000000"/>
                <w:sz w:val="22"/>
                <w:szCs w:val="22"/>
              </w:rPr>
            </w:pPr>
            <w:r w:rsidRPr="002464DE">
              <w:rPr>
                <w:rFonts w:ascii="Calibri" w:hAnsi="Calibri" w:cs="Calibri"/>
                <w:color w:val="000000"/>
                <w:sz w:val="22"/>
                <w:szCs w:val="22"/>
              </w:rPr>
              <w:t>32%</w:t>
            </w:r>
          </w:p>
        </w:tc>
        <w:tc>
          <w:tcPr>
            <w:tcW w:w="1236" w:type="dxa"/>
            <w:tcBorders>
              <w:top w:val="nil"/>
              <w:left w:val="nil"/>
              <w:bottom w:val="nil"/>
              <w:right w:val="nil"/>
            </w:tcBorders>
            <w:shd w:val="clear" w:color="auto" w:fill="auto"/>
            <w:noWrap/>
            <w:vAlign w:val="bottom"/>
            <w:hideMark/>
          </w:tcPr>
          <w:p w:rsidR="00802270" w:rsidRPr="002464DE" w:rsidP="001934CB" w14:paraId="641002C8" w14:textId="77777777">
            <w:pPr>
              <w:jc w:val="center"/>
              <w:rPr>
                <w:rFonts w:ascii="Calibri" w:hAnsi="Calibri" w:cs="Calibri"/>
                <w:color w:val="000000"/>
                <w:sz w:val="22"/>
                <w:szCs w:val="22"/>
              </w:rPr>
            </w:pPr>
            <w:r w:rsidRPr="002464DE">
              <w:rPr>
                <w:rFonts w:ascii="Calibri" w:hAnsi="Calibri" w:cs="Calibri"/>
                <w:color w:val="000000"/>
                <w:sz w:val="22"/>
                <w:szCs w:val="22"/>
              </w:rPr>
              <w:t>23.8</w:t>
            </w:r>
          </w:p>
        </w:tc>
        <w:tc>
          <w:tcPr>
            <w:tcW w:w="1434" w:type="dxa"/>
            <w:tcBorders>
              <w:top w:val="nil"/>
              <w:left w:val="nil"/>
              <w:bottom w:val="nil"/>
              <w:right w:val="nil"/>
            </w:tcBorders>
            <w:shd w:val="clear" w:color="auto" w:fill="auto"/>
            <w:noWrap/>
            <w:vAlign w:val="bottom"/>
            <w:hideMark/>
          </w:tcPr>
          <w:p w:rsidR="00802270" w:rsidRPr="002464DE" w:rsidP="001934CB" w14:paraId="55478EAB" w14:textId="77777777">
            <w:pPr>
              <w:jc w:val="center"/>
              <w:rPr>
                <w:rFonts w:ascii="Calibri" w:hAnsi="Calibri" w:cs="Calibri"/>
                <w:color w:val="000000"/>
                <w:sz w:val="22"/>
                <w:szCs w:val="22"/>
              </w:rPr>
            </w:pPr>
            <w:r w:rsidRPr="002464DE">
              <w:rPr>
                <w:rFonts w:ascii="Calibri" w:hAnsi="Calibri" w:cs="Calibri"/>
                <w:color w:val="000000"/>
                <w:sz w:val="22"/>
                <w:szCs w:val="22"/>
              </w:rPr>
              <w:t>357</w:t>
            </w:r>
          </w:p>
        </w:tc>
        <w:tc>
          <w:tcPr>
            <w:tcW w:w="1296" w:type="dxa"/>
            <w:tcBorders>
              <w:top w:val="nil"/>
              <w:left w:val="nil"/>
              <w:bottom w:val="nil"/>
              <w:right w:val="nil"/>
            </w:tcBorders>
            <w:shd w:val="clear" w:color="auto" w:fill="auto"/>
            <w:noWrap/>
            <w:vAlign w:val="bottom"/>
            <w:hideMark/>
          </w:tcPr>
          <w:p w:rsidR="00802270" w:rsidRPr="002464DE" w:rsidP="001934CB" w14:paraId="3539120F" w14:textId="77777777">
            <w:pPr>
              <w:jc w:val="center"/>
              <w:rPr>
                <w:rFonts w:ascii="Calibri" w:hAnsi="Calibri" w:cs="Calibri"/>
                <w:color w:val="000000"/>
                <w:sz w:val="22"/>
                <w:szCs w:val="22"/>
              </w:rPr>
            </w:pPr>
            <w:r w:rsidRPr="002464DE">
              <w:rPr>
                <w:rFonts w:ascii="Calibri" w:hAnsi="Calibri" w:cs="Calibri"/>
                <w:color w:val="000000"/>
                <w:sz w:val="22"/>
                <w:szCs w:val="22"/>
              </w:rPr>
              <w:t>5.19</w:t>
            </w:r>
          </w:p>
        </w:tc>
      </w:tr>
      <w:tr w14:paraId="7529C9BE"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06A847F7" w14:textId="77777777">
            <w:pPr>
              <w:rPr>
                <w:rFonts w:ascii="Calibri" w:hAnsi="Calibri" w:cs="Calibri"/>
                <w:color w:val="000000"/>
                <w:sz w:val="22"/>
                <w:szCs w:val="22"/>
              </w:rPr>
            </w:pPr>
            <w:r w:rsidRPr="002464DE">
              <w:rPr>
                <w:rFonts w:ascii="Calibri" w:hAnsi="Calibri" w:cs="Calibri"/>
                <w:color w:val="000000"/>
                <w:sz w:val="22"/>
                <w:szCs w:val="22"/>
              </w:rPr>
              <w:t>Florida</w:t>
            </w:r>
          </w:p>
        </w:tc>
        <w:tc>
          <w:tcPr>
            <w:tcW w:w="2032" w:type="dxa"/>
            <w:tcBorders>
              <w:top w:val="nil"/>
              <w:left w:val="nil"/>
              <w:bottom w:val="nil"/>
              <w:right w:val="nil"/>
            </w:tcBorders>
            <w:shd w:val="clear" w:color="auto" w:fill="auto"/>
            <w:noWrap/>
            <w:vAlign w:val="bottom"/>
            <w:hideMark/>
          </w:tcPr>
          <w:p w:rsidR="00802270" w:rsidRPr="002464DE" w:rsidP="001934CB" w14:paraId="00DD8116" w14:textId="77777777">
            <w:pPr>
              <w:jc w:val="center"/>
              <w:rPr>
                <w:rFonts w:ascii="Calibri" w:hAnsi="Calibri" w:cs="Calibri"/>
                <w:color w:val="000000"/>
                <w:sz w:val="22"/>
                <w:szCs w:val="22"/>
              </w:rPr>
            </w:pPr>
            <w:r w:rsidRPr="002464DE">
              <w:rPr>
                <w:rFonts w:ascii="Calibri" w:hAnsi="Calibri" w:cs="Calibri"/>
                <w:color w:val="000000"/>
                <w:sz w:val="22"/>
                <w:szCs w:val="22"/>
              </w:rPr>
              <w:t>3,515,000</w:t>
            </w:r>
          </w:p>
        </w:tc>
        <w:tc>
          <w:tcPr>
            <w:tcW w:w="1793" w:type="dxa"/>
            <w:tcBorders>
              <w:top w:val="nil"/>
              <w:left w:val="nil"/>
              <w:bottom w:val="nil"/>
              <w:right w:val="nil"/>
            </w:tcBorders>
            <w:shd w:val="clear" w:color="auto" w:fill="auto"/>
            <w:noWrap/>
            <w:vAlign w:val="bottom"/>
            <w:hideMark/>
          </w:tcPr>
          <w:p w:rsidR="00802270" w:rsidRPr="002464DE" w:rsidP="001934CB" w14:paraId="4CADDEDD" w14:textId="77777777">
            <w:pPr>
              <w:jc w:val="center"/>
              <w:rPr>
                <w:rFonts w:ascii="Calibri" w:hAnsi="Calibri" w:cs="Calibri"/>
                <w:color w:val="000000"/>
                <w:sz w:val="22"/>
                <w:szCs w:val="22"/>
              </w:rPr>
            </w:pPr>
            <w:r w:rsidRPr="002464DE">
              <w:rPr>
                <w:rFonts w:ascii="Calibri" w:hAnsi="Calibri" w:cs="Calibri"/>
                <w:color w:val="000000"/>
                <w:sz w:val="22"/>
                <w:szCs w:val="22"/>
              </w:rPr>
              <w:t>22%</w:t>
            </w:r>
          </w:p>
        </w:tc>
        <w:tc>
          <w:tcPr>
            <w:tcW w:w="1236" w:type="dxa"/>
            <w:tcBorders>
              <w:top w:val="nil"/>
              <w:left w:val="nil"/>
              <w:bottom w:val="nil"/>
              <w:right w:val="nil"/>
            </w:tcBorders>
            <w:shd w:val="clear" w:color="auto" w:fill="auto"/>
            <w:noWrap/>
            <w:vAlign w:val="bottom"/>
            <w:hideMark/>
          </w:tcPr>
          <w:p w:rsidR="00802270" w:rsidRPr="002464DE" w:rsidP="001934CB" w14:paraId="454BB521" w14:textId="77777777">
            <w:pPr>
              <w:jc w:val="center"/>
              <w:rPr>
                <w:rFonts w:ascii="Calibri" w:hAnsi="Calibri" w:cs="Calibri"/>
                <w:color w:val="000000"/>
                <w:sz w:val="22"/>
                <w:szCs w:val="22"/>
              </w:rPr>
            </w:pPr>
            <w:r w:rsidRPr="002464DE">
              <w:rPr>
                <w:rFonts w:ascii="Calibri" w:hAnsi="Calibri" w:cs="Calibri"/>
                <w:color w:val="000000"/>
                <w:sz w:val="22"/>
                <w:szCs w:val="22"/>
              </w:rPr>
              <w:t>12.94</w:t>
            </w:r>
          </w:p>
        </w:tc>
        <w:tc>
          <w:tcPr>
            <w:tcW w:w="1434" w:type="dxa"/>
            <w:tcBorders>
              <w:top w:val="nil"/>
              <w:left w:val="nil"/>
              <w:bottom w:val="nil"/>
              <w:right w:val="nil"/>
            </w:tcBorders>
            <w:shd w:val="clear" w:color="auto" w:fill="auto"/>
            <w:noWrap/>
            <w:vAlign w:val="bottom"/>
            <w:hideMark/>
          </w:tcPr>
          <w:p w:rsidR="00802270" w:rsidRPr="002464DE" w:rsidP="001934CB" w14:paraId="04708710" w14:textId="77777777">
            <w:pPr>
              <w:jc w:val="center"/>
              <w:rPr>
                <w:rFonts w:ascii="Calibri" w:hAnsi="Calibri" w:cs="Calibri"/>
                <w:color w:val="000000"/>
                <w:sz w:val="22"/>
                <w:szCs w:val="22"/>
              </w:rPr>
            </w:pPr>
            <w:r w:rsidRPr="002464DE">
              <w:rPr>
                <w:rFonts w:ascii="Calibri" w:hAnsi="Calibri" w:cs="Calibri"/>
                <w:color w:val="000000"/>
                <w:sz w:val="22"/>
                <w:szCs w:val="22"/>
              </w:rPr>
              <w:t>194</w:t>
            </w:r>
          </w:p>
        </w:tc>
        <w:tc>
          <w:tcPr>
            <w:tcW w:w="1296" w:type="dxa"/>
            <w:tcBorders>
              <w:top w:val="nil"/>
              <w:left w:val="nil"/>
              <w:bottom w:val="nil"/>
              <w:right w:val="nil"/>
            </w:tcBorders>
            <w:shd w:val="clear" w:color="auto" w:fill="auto"/>
            <w:noWrap/>
            <w:vAlign w:val="bottom"/>
            <w:hideMark/>
          </w:tcPr>
          <w:p w:rsidR="00802270" w:rsidRPr="002464DE" w:rsidP="001934CB" w14:paraId="6BFA1CA5" w14:textId="77777777">
            <w:pPr>
              <w:jc w:val="center"/>
              <w:rPr>
                <w:rFonts w:ascii="Calibri" w:hAnsi="Calibri" w:cs="Calibri"/>
                <w:color w:val="000000"/>
                <w:sz w:val="22"/>
                <w:szCs w:val="22"/>
              </w:rPr>
            </w:pPr>
            <w:r w:rsidRPr="002464DE">
              <w:rPr>
                <w:rFonts w:ascii="Calibri" w:hAnsi="Calibri" w:cs="Calibri"/>
                <w:color w:val="000000"/>
                <w:sz w:val="22"/>
                <w:szCs w:val="22"/>
              </w:rPr>
              <w:t>5.19</w:t>
            </w:r>
          </w:p>
        </w:tc>
      </w:tr>
      <w:tr w14:paraId="12AF5AE6"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5F2D7C20" w14:textId="77777777">
            <w:pPr>
              <w:rPr>
                <w:rFonts w:ascii="Calibri" w:hAnsi="Calibri" w:cs="Calibri"/>
                <w:color w:val="000000"/>
                <w:sz w:val="22"/>
                <w:szCs w:val="22"/>
              </w:rPr>
            </w:pPr>
            <w:r w:rsidRPr="002464DE">
              <w:rPr>
                <w:rFonts w:ascii="Calibri" w:hAnsi="Calibri" w:cs="Calibri"/>
                <w:color w:val="000000"/>
                <w:sz w:val="22"/>
                <w:szCs w:val="22"/>
              </w:rPr>
              <w:t>New York</w:t>
            </w:r>
          </w:p>
        </w:tc>
        <w:tc>
          <w:tcPr>
            <w:tcW w:w="2032" w:type="dxa"/>
            <w:tcBorders>
              <w:top w:val="nil"/>
              <w:left w:val="nil"/>
              <w:bottom w:val="nil"/>
              <w:right w:val="nil"/>
            </w:tcBorders>
            <w:shd w:val="clear" w:color="auto" w:fill="auto"/>
            <w:noWrap/>
            <w:vAlign w:val="bottom"/>
            <w:hideMark/>
          </w:tcPr>
          <w:p w:rsidR="00802270" w:rsidRPr="002464DE" w:rsidP="001934CB" w14:paraId="6EFFCC70" w14:textId="77777777">
            <w:pPr>
              <w:jc w:val="center"/>
              <w:rPr>
                <w:rFonts w:ascii="Calibri" w:hAnsi="Calibri" w:cs="Calibri"/>
                <w:color w:val="000000"/>
                <w:sz w:val="22"/>
                <w:szCs w:val="22"/>
              </w:rPr>
            </w:pPr>
            <w:r w:rsidRPr="002464DE">
              <w:rPr>
                <w:rFonts w:ascii="Calibri" w:hAnsi="Calibri" w:cs="Calibri"/>
                <w:color w:val="000000"/>
                <w:sz w:val="22"/>
                <w:szCs w:val="22"/>
              </w:rPr>
              <w:t>2,170,000</w:t>
            </w:r>
          </w:p>
        </w:tc>
        <w:tc>
          <w:tcPr>
            <w:tcW w:w="1793" w:type="dxa"/>
            <w:tcBorders>
              <w:top w:val="nil"/>
              <w:left w:val="nil"/>
              <w:bottom w:val="nil"/>
              <w:right w:val="nil"/>
            </w:tcBorders>
            <w:shd w:val="clear" w:color="auto" w:fill="auto"/>
            <w:noWrap/>
            <w:vAlign w:val="bottom"/>
            <w:hideMark/>
          </w:tcPr>
          <w:p w:rsidR="00802270" w:rsidRPr="002464DE" w:rsidP="001934CB" w14:paraId="6652C558" w14:textId="77777777">
            <w:pPr>
              <w:jc w:val="center"/>
              <w:rPr>
                <w:rFonts w:ascii="Calibri" w:hAnsi="Calibri" w:cs="Calibri"/>
                <w:color w:val="000000"/>
                <w:sz w:val="22"/>
                <w:szCs w:val="22"/>
              </w:rPr>
            </w:pPr>
            <w:r w:rsidRPr="002464DE">
              <w:rPr>
                <w:rFonts w:ascii="Calibri" w:hAnsi="Calibri" w:cs="Calibri"/>
                <w:color w:val="000000"/>
                <w:sz w:val="22"/>
                <w:szCs w:val="22"/>
              </w:rPr>
              <w:t>15%</w:t>
            </w:r>
          </w:p>
        </w:tc>
        <w:tc>
          <w:tcPr>
            <w:tcW w:w="1236" w:type="dxa"/>
            <w:tcBorders>
              <w:top w:val="nil"/>
              <w:left w:val="nil"/>
              <w:bottom w:val="nil"/>
              <w:right w:val="nil"/>
            </w:tcBorders>
            <w:shd w:val="clear" w:color="auto" w:fill="auto"/>
            <w:noWrap/>
            <w:vAlign w:val="bottom"/>
            <w:hideMark/>
          </w:tcPr>
          <w:p w:rsidR="00802270" w:rsidRPr="002464DE" w:rsidP="001934CB" w14:paraId="1069A719" w14:textId="77777777">
            <w:pPr>
              <w:jc w:val="center"/>
              <w:rPr>
                <w:rFonts w:ascii="Calibri" w:hAnsi="Calibri" w:cs="Calibri"/>
                <w:color w:val="000000"/>
                <w:sz w:val="22"/>
                <w:szCs w:val="22"/>
              </w:rPr>
            </w:pPr>
            <w:r w:rsidRPr="002464DE">
              <w:rPr>
                <w:rFonts w:ascii="Calibri" w:hAnsi="Calibri" w:cs="Calibri"/>
                <w:color w:val="000000"/>
                <w:sz w:val="22"/>
                <w:szCs w:val="22"/>
              </w:rPr>
              <w:t>7.98</w:t>
            </w:r>
          </w:p>
        </w:tc>
        <w:tc>
          <w:tcPr>
            <w:tcW w:w="1434" w:type="dxa"/>
            <w:tcBorders>
              <w:top w:val="nil"/>
              <w:left w:val="nil"/>
              <w:bottom w:val="nil"/>
              <w:right w:val="nil"/>
            </w:tcBorders>
            <w:shd w:val="clear" w:color="auto" w:fill="auto"/>
            <w:noWrap/>
            <w:vAlign w:val="bottom"/>
            <w:hideMark/>
          </w:tcPr>
          <w:p w:rsidR="00802270" w:rsidRPr="002464DE" w:rsidP="001934CB" w14:paraId="403C33A9" w14:textId="77777777">
            <w:pPr>
              <w:jc w:val="center"/>
              <w:rPr>
                <w:rFonts w:ascii="Calibri" w:hAnsi="Calibri" w:cs="Calibri"/>
                <w:color w:val="000000"/>
                <w:sz w:val="22"/>
                <w:szCs w:val="22"/>
              </w:rPr>
            </w:pPr>
            <w:r w:rsidRPr="002464DE">
              <w:rPr>
                <w:rFonts w:ascii="Calibri" w:hAnsi="Calibri" w:cs="Calibri"/>
                <w:color w:val="000000"/>
                <w:sz w:val="22"/>
                <w:szCs w:val="22"/>
              </w:rPr>
              <w:t>119</w:t>
            </w:r>
          </w:p>
        </w:tc>
        <w:tc>
          <w:tcPr>
            <w:tcW w:w="1296" w:type="dxa"/>
            <w:tcBorders>
              <w:top w:val="nil"/>
              <w:left w:val="nil"/>
              <w:bottom w:val="nil"/>
              <w:right w:val="nil"/>
            </w:tcBorders>
            <w:shd w:val="clear" w:color="auto" w:fill="auto"/>
            <w:noWrap/>
            <w:vAlign w:val="bottom"/>
            <w:hideMark/>
          </w:tcPr>
          <w:p w:rsidR="00802270" w:rsidRPr="002464DE" w:rsidP="001934CB" w14:paraId="6096C278" w14:textId="77777777">
            <w:pPr>
              <w:jc w:val="center"/>
              <w:rPr>
                <w:rFonts w:ascii="Calibri" w:hAnsi="Calibri" w:cs="Calibri"/>
                <w:color w:val="000000"/>
                <w:sz w:val="22"/>
                <w:szCs w:val="22"/>
              </w:rPr>
            </w:pPr>
            <w:r w:rsidRPr="002464DE">
              <w:rPr>
                <w:rFonts w:ascii="Calibri" w:hAnsi="Calibri" w:cs="Calibri"/>
                <w:color w:val="000000"/>
                <w:sz w:val="22"/>
                <w:szCs w:val="22"/>
              </w:rPr>
              <w:t>8</w:t>
            </w:r>
          </w:p>
        </w:tc>
      </w:tr>
      <w:tr w14:paraId="63F7DA5A"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6C3EF335" w14:textId="77777777">
            <w:pPr>
              <w:rPr>
                <w:rFonts w:ascii="Calibri" w:hAnsi="Calibri" w:cs="Calibri"/>
                <w:color w:val="000000"/>
                <w:sz w:val="22"/>
                <w:szCs w:val="22"/>
              </w:rPr>
            </w:pPr>
            <w:r w:rsidRPr="002464DE">
              <w:rPr>
                <w:rFonts w:ascii="Calibri" w:hAnsi="Calibri" w:cs="Calibri"/>
                <w:color w:val="000000"/>
                <w:sz w:val="22"/>
                <w:szCs w:val="22"/>
              </w:rPr>
              <w:t>Arizona</w:t>
            </w:r>
          </w:p>
        </w:tc>
        <w:tc>
          <w:tcPr>
            <w:tcW w:w="2032" w:type="dxa"/>
            <w:tcBorders>
              <w:top w:val="nil"/>
              <w:left w:val="nil"/>
              <w:bottom w:val="nil"/>
              <w:right w:val="nil"/>
            </w:tcBorders>
            <w:shd w:val="clear" w:color="auto" w:fill="auto"/>
            <w:noWrap/>
            <w:vAlign w:val="bottom"/>
            <w:hideMark/>
          </w:tcPr>
          <w:p w:rsidR="00802270" w:rsidRPr="002464DE" w:rsidP="001934CB" w14:paraId="4605274C" w14:textId="77777777">
            <w:pPr>
              <w:jc w:val="center"/>
              <w:rPr>
                <w:rFonts w:ascii="Calibri" w:hAnsi="Calibri" w:cs="Calibri"/>
                <w:color w:val="000000"/>
                <w:sz w:val="22"/>
                <w:szCs w:val="22"/>
              </w:rPr>
            </w:pPr>
            <w:r w:rsidRPr="002464DE">
              <w:rPr>
                <w:rFonts w:ascii="Calibri" w:hAnsi="Calibri" w:cs="Calibri"/>
                <w:color w:val="000000"/>
                <w:sz w:val="22"/>
                <w:szCs w:val="22"/>
              </w:rPr>
              <w:t>1,350,000</w:t>
            </w:r>
          </w:p>
        </w:tc>
        <w:tc>
          <w:tcPr>
            <w:tcW w:w="1793" w:type="dxa"/>
            <w:tcBorders>
              <w:top w:val="nil"/>
              <w:left w:val="nil"/>
              <w:bottom w:val="nil"/>
              <w:right w:val="nil"/>
            </w:tcBorders>
            <w:shd w:val="clear" w:color="auto" w:fill="auto"/>
            <w:noWrap/>
            <w:vAlign w:val="bottom"/>
            <w:hideMark/>
          </w:tcPr>
          <w:p w:rsidR="00802270" w:rsidRPr="002464DE" w:rsidP="001934CB" w14:paraId="4EC16FF1" w14:textId="77777777">
            <w:pPr>
              <w:jc w:val="center"/>
              <w:rPr>
                <w:rFonts w:ascii="Calibri" w:hAnsi="Calibri" w:cs="Calibri"/>
                <w:color w:val="000000"/>
                <w:sz w:val="22"/>
                <w:szCs w:val="22"/>
              </w:rPr>
            </w:pPr>
            <w:r w:rsidRPr="002464DE">
              <w:rPr>
                <w:rFonts w:ascii="Calibri" w:hAnsi="Calibri" w:cs="Calibri"/>
                <w:color w:val="000000"/>
                <w:sz w:val="22"/>
                <w:szCs w:val="22"/>
              </w:rPr>
              <w:t>25%</w:t>
            </w:r>
          </w:p>
        </w:tc>
        <w:tc>
          <w:tcPr>
            <w:tcW w:w="1236" w:type="dxa"/>
            <w:tcBorders>
              <w:top w:val="nil"/>
              <w:left w:val="nil"/>
              <w:bottom w:val="nil"/>
              <w:right w:val="nil"/>
            </w:tcBorders>
            <w:shd w:val="clear" w:color="auto" w:fill="auto"/>
            <w:noWrap/>
            <w:vAlign w:val="bottom"/>
            <w:hideMark/>
          </w:tcPr>
          <w:p w:rsidR="00802270" w:rsidRPr="002464DE" w:rsidP="001934CB" w14:paraId="6DF04884" w14:textId="77777777">
            <w:pPr>
              <w:jc w:val="center"/>
              <w:rPr>
                <w:rFonts w:ascii="Calibri" w:hAnsi="Calibri" w:cs="Calibri"/>
                <w:color w:val="000000"/>
                <w:sz w:val="22"/>
                <w:szCs w:val="22"/>
              </w:rPr>
            </w:pPr>
            <w:r w:rsidRPr="002464DE">
              <w:rPr>
                <w:rFonts w:ascii="Calibri" w:hAnsi="Calibri" w:cs="Calibri"/>
                <w:color w:val="000000"/>
                <w:sz w:val="22"/>
                <w:szCs w:val="22"/>
              </w:rPr>
              <w:t>4.97</w:t>
            </w:r>
          </w:p>
        </w:tc>
        <w:tc>
          <w:tcPr>
            <w:tcW w:w="1434" w:type="dxa"/>
            <w:tcBorders>
              <w:top w:val="nil"/>
              <w:left w:val="nil"/>
              <w:bottom w:val="nil"/>
              <w:right w:val="nil"/>
            </w:tcBorders>
            <w:shd w:val="clear" w:color="auto" w:fill="auto"/>
            <w:noWrap/>
            <w:vAlign w:val="bottom"/>
            <w:hideMark/>
          </w:tcPr>
          <w:p w:rsidR="00802270" w:rsidRPr="002464DE" w:rsidP="001934CB" w14:paraId="361AD33C" w14:textId="77777777">
            <w:pPr>
              <w:jc w:val="center"/>
              <w:rPr>
                <w:rFonts w:ascii="Calibri" w:hAnsi="Calibri" w:cs="Calibri"/>
                <w:color w:val="000000"/>
                <w:sz w:val="22"/>
                <w:szCs w:val="22"/>
              </w:rPr>
            </w:pPr>
            <w:r w:rsidRPr="002464DE">
              <w:rPr>
                <w:rFonts w:ascii="Calibri" w:hAnsi="Calibri" w:cs="Calibri"/>
                <w:color w:val="000000"/>
                <w:sz w:val="22"/>
                <w:szCs w:val="22"/>
              </w:rPr>
              <w:t>75</w:t>
            </w:r>
          </w:p>
        </w:tc>
        <w:tc>
          <w:tcPr>
            <w:tcW w:w="1296" w:type="dxa"/>
            <w:tcBorders>
              <w:top w:val="nil"/>
              <w:left w:val="nil"/>
              <w:bottom w:val="nil"/>
              <w:right w:val="nil"/>
            </w:tcBorders>
            <w:shd w:val="clear" w:color="auto" w:fill="auto"/>
            <w:noWrap/>
            <w:vAlign w:val="bottom"/>
            <w:hideMark/>
          </w:tcPr>
          <w:p w:rsidR="00802270" w:rsidRPr="002464DE" w:rsidP="001934CB" w14:paraId="3E267233" w14:textId="77777777">
            <w:pPr>
              <w:jc w:val="center"/>
              <w:rPr>
                <w:rFonts w:ascii="Calibri" w:hAnsi="Calibri" w:cs="Calibri"/>
                <w:color w:val="000000"/>
                <w:sz w:val="22"/>
                <w:szCs w:val="22"/>
              </w:rPr>
            </w:pPr>
            <w:r w:rsidRPr="002464DE">
              <w:rPr>
                <w:rFonts w:ascii="Calibri" w:hAnsi="Calibri" w:cs="Calibri"/>
                <w:color w:val="000000"/>
                <w:sz w:val="22"/>
                <w:szCs w:val="22"/>
              </w:rPr>
              <w:t>10</w:t>
            </w:r>
          </w:p>
        </w:tc>
      </w:tr>
      <w:tr w14:paraId="4CE3A1A8"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3680A801" w14:textId="77777777">
            <w:pPr>
              <w:rPr>
                <w:rFonts w:ascii="Calibri" w:hAnsi="Calibri" w:cs="Calibri"/>
                <w:color w:val="000000"/>
                <w:sz w:val="22"/>
                <w:szCs w:val="22"/>
              </w:rPr>
            </w:pPr>
            <w:r w:rsidRPr="002464DE">
              <w:rPr>
                <w:rFonts w:ascii="Calibri" w:hAnsi="Calibri" w:cs="Calibri"/>
                <w:color w:val="000000"/>
                <w:sz w:val="22"/>
                <w:szCs w:val="22"/>
              </w:rPr>
              <w:t>Illinois</w:t>
            </w:r>
          </w:p>
        </w:tc>
        <w:tc>
          <w:tcPr>
            <w:tcW w:w="2032" w:type="dxa"/>
            <w:tcBorders>
              <w:top w:val="nil"/>
              <w:left w:val="nil"/>
              <w:bottom w:val="nil"/>
              <w:right w:val="nil"/>
            </w:tcBorders>
            <w:shd w:val="clear" w:color="auto" w:fill="auto"/>
            <w:noWrap/>
            <w:vAlign w:val="bottom"/>
            <w:hideMark/>
          </w:tcPr>
          <w:p w:rsidR="00802270" w:rsidRPr="002464DE" w:rsidP="001934CB" w14:paraId="00BA0B21" w14:textId="77777777">
            <w:pPr>
              <w:jc w:val="center"/>
              <w:rPr>
                <w:rFonts w:ascii="Calibri" w:hAnsi="Calibri" w:cs="Calibri"/>
                <w:color w:val="000000"/>
                <w:sz w:val="22"/>
                <w:szCs w:val="22"/>
              </w:rPr>
            </w:pPr>
            <w:r w:rsidRPr="002464DE">
              <w:rPr>
                <w:rFonts w:ascii="Calibri" w:hAnsi="Calibri" w:cs="Calibri"/>
                <w:color w:val="000000"/>
                <w:sz w:val="22"/>
                <w:szCs w:val="22"/>
              </w:rPr>
              <w:t>1,195,000</w:t>
            </w:r>
          </w:p>
        </w:tc>
        <w:tc>
          <w:tcPr>
            <w:tcW w:w="1793" w:type="dxa"/>
            <w:tcBorders>
              <w:top w:val="nil"/>
              <w:left w:val="nil"/>
              <w:bottom w:val="nil"/>
              <w:right w:val="nil"/>
            </w:tcBorders>
            <w:shd w:val="clear" w:color="auto" w:fill="auto"/>
            <w:noWrap/>
            <w:vAlign w:val="bottom"/>
            <w:hideMark/>
          </w:tcPr>
          <w:p w:rsidR="00802270" w:rsidRPr="002464DE" w:rsidP="001934CB" w14:paraId="7C499F84" w14:textId="77777777">
            <w:pPr>
              <w:jc w:val="center"/>
              <w:rPr>
                <w:rFonts w:ascii="Calibri" w:hAnsi="Calibri" w:cs="Calibri"/>
                <w:color w:val="000000"/>
                <w:sz w:val="22"/>
                <w:szCs w:val="22"/>
              </w:rPr>
            </w:pPr>
            <w:r w:rsidRPr="002464DE">
              <w:rPr>
                <w:rFonts w:ascii="Calibri" w:hAnsi="Calibri" w:cs="Calibri"/>
                <w:color w:val="000000"/>
                <w:sz w:val="22"/>
                <w:szCs w:val="22"/>
              </w:rPr>
              <w:t>13%</w:t>
            </w:r>
          </w:p>
        </w:tc>
        <w:tc>
          <w:tcPr>
            <w:tcW w:w="1236" w:type="dxa"/>
            <w:tcBorders>
              <w:top w:val="nil"/>
              <w:left w:val="nil"/>
              <w:bottom w:val="nil"/>
              <w:right w:val="nil"/>
            </w:tcBorders>
            <w:shd w:val="clear" w:color="auto" w:fill="auto"/>
            <w:noWrap/>
            <w:vAlign w:val="bottom"/>
            <w:hideMark/>
          </w:tcPr>
          <w:p w:rsidR="00802270" w:rsidRPr="002464DE" w:rsidP="001934CB" w14:paraId="2F798371" w14:textId="77777777">
            <w:pPr>
              <w:jc w:val="center"/>
              <w:rPr>
                <w:rFonts w:ascii="Calibri" w:hAnsi="Calibri" w:cs="Calibri"/>
                <w:color w:val="000000"/>
                <w:sz w:val="22"/>
                <w:szCs w:val="22"/>
              </w:rPr>
            </w:pPr>
            <w:r w:rsidRPr="002464DE">
              <w:rPr>
                <w:rFonts w:ascii="Calibri" w:hAnsi="Calibri" w:cs="Calibri"/>
                <w:color w:val="000000"/>
                <w:sz w:val="22"/>
                <w:szCs w:val="22"/>
              </w:rPr>
              <w:t>4.39</w:t>
            </w:r>
          </w:p>
        </w:tc>
        <w:tc>
          <w:tcPr>
            <w:tcW w:w="1434" w:type="dxa"/>
            <w:tcBorders>
              <w:top w:val="nil"/>
              <w:left w:val="nil"/>
              <w:bottom w:val="nil"/>
              <w:right w:val="nil"/>
            </w:tcBorders>
            <w:shd w:val="clear" w:color="auto" w:fill="auto"/>
            <w:noWrap/>
            <w:vAlign w:val="bottom"/>
            <w:hideMark/>
          </w:tcPr>
          <w:p w:rsidR="00802270" w:rsidRPr="002464DE" w:rsidP="001934CB" w14:paraId="63B44810" w14:textId="77777777">
            <w:pPr>
              <w:jc w:val="center"/>
              <w:rPr>
                <w:rFonts w:ascii="Calibri" w:hAnsi="Calibri" w:cs="Calibri"/>
                <w:color w:val="000000"/>
                <w:sz w:val="22"/>
                <w:szCs w:val="22"/>
              </w:rPr>
            </w:pPr>
            <w:r w:rsidRPr="002464DE">
              <w:rPr>
                <w:rFonts w:ascii="Calibri" w:hAnsi="Calibri" w:cs="Calibri"/>
                <w:color w:val="000000"/>
                <w:sz w:val="22"/>
                <w:szCs w:val="22"/>
              </w:rPr>
              <w:t>66</w:t>
            </w:r>
          </w:p>
        </w:tc>
        <w:tc>
          <w:tcPr>
            <w:tcW w:w="1296" w:type="dxa"/>
            <w:tcBorders>
              <w:top w:val="nil"/>
              <w:left w:val="nil"/>
              <w:bottom w:val="nil"/>
              <w:right w:val="nil"/>
            </w:tcBorders>
            <w:shd w:val="clear" w:color="auto" w:fill="auto"/>
            <w:noWrap/>
            <w:vAlign w:val="bottom"/>
            <w:hideMark/>
          </w:tcPr>
          <w:p w:rsidR="00802270" w:rsidRPr="002464DE" w:rsidP="001934CB" w14:paraId="163D68A1" w14:textId="77777777">
            <w:pPr>
              <w:jc w:val="center"/>
              <w:rPr>
                <w:rFonts w:ascii="Calibri" w:hAnsi="Calibri" w:cs="Calibri"/>
                <w:color w:val="000000"/>
                <w:sz w:val="22"/>
                <w:szCs w:val="22"/>
              </w:rPr>
            </w:pPr>
            <w:r w:rsidRPr="002464DE">
              <w:rPr>
                <w:rFonts w:ascii="Calibri" w:hAnsi="Calibri" w:cs="Calibri"/>
                <w:color w:val="000000"/>
                <w:sz w:val="22"/>
                <w:szCs w:val="22"/>
              </w:rPr>
              <w:t>10</w:t>
            </w:r>
          </w:p>
        </w:tc>
      </w:tr>
      <w:tr w14:paraId="38E487D3"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53BD9A93" w14:textId="77777777">
            <w:pPr>
              <w:rPr>
                <w:rFonts w:ascii="Calibri" w:hAnsi="Calibri" w:cs="Calibri"/>
                <w:color w:val="000000"/>
                <w:sz w:val="22"/>
                <w:szCs w:val="22"/>
              </w:rPr>
            </w:pPr>
            <w:r w:rsidRPr="002464DE">
              <w:rPr>
                <w:rFonts w:ascii="Calibri" w:hAnsi="Calibri" w:cs="Calibri"/>
                <w:color w:val="000000"/>
                <w:sz w:val="22"/>
                <w:szCs w:val="22"/>
              </w:rPr>
              <w:t>New Jersey</w:t>
            </w:r>
          </w:p>
        </w:tc>
        <w:tc>
          <w:tcPr>
            <w:tcW w:w="2032" w:type="dxa"/>
            <w:tcBorders>
              <w:top w:val="nil"/>
              <w:left w:val="nil"/>
              <w:bottom w:val="nil"/>
              <w:right w:val="nil"/>
            </w:tcBorders>
            <w:shd w:val="clear" w:color="auto" w:fill="auto"/>
            <w:noWrap/>
            <w:vAlign w:val="bottom"/>
            <w:hideMark/>
          </w:tcPr>
          <w:p w:rsidR="00802270" w:rsidRPr="002464DE" w:rsidP="001934CB" w14:paraId="2BDFCC80" w14:textId="77777777">
            <w:pPr>
              <w:jc w:val="center"/>
              <w:rPr>
                <w:rFonts w:ascii="Calibri" w:hAnsi="Calibri" w:cs="Calibri"/>
                <w:color w:val="000000"/>
                <w:sz w:val="22"/>
                <w:szCs w:val="22"/>
              </w:rPr>
            </w:pPr>
            <w:r w:rsidRPr="002464DE">
              <w:rPr>
                <w:rFonts w:ascii="Calibri" w:hAnsi="Calibri" w:cs="Calibri"/>
                <w:color w:val="000000"/>
                <w:sz w:val="22"/>
                <w:szCs w:val="22"/>
              </w:rPr>
              <w:t>1,060,000</w:t>
            </w:r>
          </w:p>
        </w:tc>
        <w:tc>
          <w:tcPr>
            <w:tcW w:w="1793" w:type="dxa"/>
            <w:tcBorders>
              <w:top w:val="nil"/>
              <w:left w:val="nil"/>
              <w:bottom w:val="nil"/>
              <w:right w:val="nil"/>
            </w:tcBorders>
            <w:shd w:val="clear" w:color="auto" w:fill="auto"/>
            <w:noWrap/>
            <w:vAlign w:val="bottom"/>
            <w:hideMark/>
          </w:tcPr>
          <w:p w:rsidR="00802270" w:rsidRPr="002464DE" w:rsidP="001934CB" w14:paraId="43B50ED6" w14:textId="77777777">
            <w:pPr>
              <w:jc w:val="center"/>
              <w:rPr>
                <w:rFonts w:ascii="Calibri" w:hAnsi="Calibri" w:cs="Calibri"/>
                <w:color w:val="000000"/>
                <w:sz w:val="22"/>
                <w:szCs w:val="22"/>
              </w:rPr>
            </w:pPr>
            <w:r w:rsidRPr="002464DE">
              <w:rPr>
                <w:rFonts w:ascii="Calibri" w:hAnsi="Calibri" w:cs="Calibri"/>
                <w:color w:val="000000"/>
                <w:sz w:val="22"/>
                <w:szCs w:val="22"/>
              </w:rPr>
              <w:t>16%</w:t>
            </w:r>
          </w:p>
        </w:tc>
        <w:tc>
          <w:tcPr>
            <w:tcW w:w="1236" w:type="dxa"/>
            <w:tcBorders>
              <w:top w:val="nil"/>
              <w:left w:val="nil"/>
              <w:bottom w:val="nil"/>
              <w:right w:val="nil"/>
            </w:tcBorders>
            <w:shd w:val="clear" w:color="auto" w:fill="auto"/>
            <w:noWrap/>
            <w:vAlign w:val="bottom"/>
            <w:hideMark/>
          </w:tcPr>
          <w:p w:rsidR="00802270" w:rsidRPr="002464DE" w:rsidP="001934CB" w14:paraId="1406F466" w14:textId="77777777">
            <w:pPr>
              <w:jc w:val="center"/>
              <w:rPr>
                <w:rFonts w:ascii="Calibri" w:hAnsi="Calibri" w:cs="Calibri"/>
                <w:color w:val="000000"/>
                <w:sz w:val="22"/>
                <w:szCs w:val="22"/>
              </w:rPr>
            </w:pPr>
            <w:r w:rsidRPr="002464DE">
              <w:rPr>
                <w:rFonts w:ascii="Calibri" w:hAnsi="Calibri" w:cs="Calibri"/>
                <w:color w:val="000000"/>
                <w:sz w:val="22"/>
                <w:szCs w:val="22"/>
              </w:rPr>
              <w:t>3.9</w:t>
            </w:r>
          </w:p>
        </w:tc>
        <w:tc>
          <w:tcPr>
            <w:tcW w:w="1434" w:type="dxa"/>
            <w:tcBorders>
              <w:top w:val="nil"/>
              <w:left w:val="nil"/>
              <w:bottom w:val="nil"/>
              <w:right w:val="nil"/>
            </w:tcBorders>
            <w:shd w:val="clear" w:color="auto" w:fill="auto"/>
            <w:noWrap/>
            <w:vAlign w:val="bottom"/>
            <w:hideMark/>
          </w:tcPr>
          <w:p w:rsidR="00802270" w:rsidRPr="002464DE" w:rsidP="001934CB" w14:paraId="69DA998F" w14:textId="77777777">
            <w:pPr>
              <w:jc w:val="center"/>
              <w:rPr>
                <w:rFonts w:ascii="Calibri" w:hAnsi="Calibri" w:cs="Calibri"/>
                <w:color w:val="000000"/>
                <w:sz w:val="22"/>
                <w:szCs w:val="22"/>
              </w:rPr>
            </w:pPr>
            <w:r w:rsidRPr="002464DE">
              <w:rPr>
                <w:rFonts w:ascii="Calibri" w:hAnsi="Calibri" w:cs="Calibri"/>
                <w:color w:val="000000"/>
                <w:sz w:val="22"/>
                <w:szCs w:val="22"/>
              </w:rPr>
              <w:t>59</w:t>
            </w:r>
          </w:p>
        </w:tc>
        <w:tc>
          <w:tcPr>
            <w:tcW w:w="1296" w:type="dxa"/>
            <w:tcBorders>
              <w:top w:val="nil"/>
              <w:left w:val="nil"/>
              <w:bottom w:val="nil"/>
              <w:right w:val="nil"/>
            </w:tcBorders>
            <w:shd w:val="clear" w:color="auto" w:fill="auto"/>
            <w:noWrap/>
            <w:vAlign w:val="bottom"/>
            <w:hideMark/>
          </w:tcPr>
          <w:p w:rsidR="00802270" w:rsidRPr="002464DE" w:rsidP="001934CB" w14:paraId="0241FF1C" w14:textId="77777777">
            <w:pPr>
              <w:jc w:val="center"/>
              <w:rPr>
                <w:rFonts w:ascii="Calibri" w:hAnsi="Calibri" w:cs="Calibri"/>
                <w:color w:val="000000"/>
                <w:sz w:val="22"/>
                <w:szCs w:val="22"/>
              </w:rPr>
            </w:pPr>
            <w:r w:rsidRPr="002464DE">
              <w:rPr>
                <w:rFonts w:ascii="Calibri" w:hAnsi="Calibri" w:cs="Calibri"/>
                <w:color w:val="000000"/>
                <w:sz w:val="22"/>
                <w:szCs w:val="22"/>
              </w:rPr>
              <w:t>11</w:t>
            </w:r>
          </w:p>
        </w:tc>
      </w:tr>
      <w:tr w14:paraId="0CD62AE4"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323B7B67" w14:textId="77777777">
            <w:pPr>
              <w:rPr>
                <w:rFonts w:ascii="Calibri" w:hAnsi="Calibri" w:cs="Calibri"/>
                <w:color w:val="000000"/>
                <w:sz w:val="22"/>
                <w:szCs w:val="22"/>
              </w:rPr>
            </w:pPr>
            <w:r w:rsidRPr="002464DE">
              <w:rPr>
                <w:rFonts w:ascii="Calibri" w:hAnsi="Calibri" w:cs="Calibri"/>
                <w:color w:val="000000"/>
                <w:sz w:val="22"/>
                <w:szCs w:val="22"/>
              </w:rPr>
              <w:t>Colorado</w:t>
            </w:r>
          </w:p>
        </w:tc>
        <w:tc>
          <w:tcPr>
            <w:tcW w:w="2032" w:type="dxa"/>
            <w:tcBorders>
              <w:top w:val="nil"/>
              <w:left w:val="nil"/>
              <w:bottom w:val="nil"/>
              <w:right w:val="nil"/>
            </w:tcBorders>
            <w:shd w:val="clear" w:color="auto" w:fill="auto"/>
            <w:noWrap/>
            <w:vAlign w:val="bottom"/>
            <w:hideMark/>
          </w:tcPr>
          <w:p w:rsidR="00802270" w:rsidRPr="002464DE" w:rsidP="001934CB" w14:paraId="2EF9EF6B" w14:textId="77777777">
            <w:pPr>
              <w:jc w:val="center"/>
              <w:rPr>
                <w:rFonts w:ascii="Calibri" w:hAnsi="Calibri" w:cs="Calibri"/>
                <w:color w:val="000000"/>
                <w:sz w:val="22"/>
                <w:szCs w:val="22"/>
              </w:rPr>
            </w:pPr>
            <w:r w:rsidRPr="002464DE">
              <w:rPr>
                <w:rFonts w:ascii="Calibri" w:hAnsi="Calibri" w:cs="Calibri"/>
                <w:color w:val="000000"/>
                <w:sz w:val="22"/>
                <w:szCs w:val="22"/>
              </w:rPr>
              <w:t>755,000</w:t>
            </w:r>
          </w:p>
        </w:tc>
        <w:tc>
          <w:tcPr>
            <w:tcW w:w="1793" w:type="dxa"/>
            <w:tcBorders>
              <w:top w:val="nil"/>
              <w:left w:val="nil"/>
              <w:bottom w:val="nil"/>
              <w:right w:val="nil"/>
            </w:tcBorders>
            <w:shd w:val="clear" w:color="auto" w:fill="auto"/>
            <w:noWrap/>
            <w:vAlign w:val="bottom"/>
            <w:hideMark/>
          </w:tcPr>
          <w:p w:rsidR="00802270" w:rsidRPr="002464DE" w:rsidP="001934CB" w14:paraId="45629CE9" w14:textId="77777777">
            <w:pPr>
              <w:jc w:val="center"/>
              <w:rPr>
                <w:rFonts w:ascii="Calibri" w:hAnsi="Calibri" w:cs="Calibri"/>
                <w:color w:val="000000"/>
                <w:sz w:val="22"/>
                <w:szCs w:val="22"/>
              </w:rPr>
            </w:pPr>
            <w:r w:rsidRPr="002464DE">
              <w:rPr>
                <w:rFonts w:ascii="Calibri" w:hAnsi="Calibri" w:cs="Calibri"/>
                <w:color w:val="000000"/>
                <w:sz w:val="22"/>
                <w:szCs w:val="22"/>
              </w:rPr>
              <w:t>17%</w:t>
            </w:r>
          </w:p>
        </w:tc>
        <w:tc>
          <w:tcPr>
            <w:tcW w:w="1236" w:type="dxa"/>
            <w:tcBorders>
              <w:top w:val="nil"/>
              <w:left w:val="nil"/>
              <w:bottom w:val="nil"/>
              <w:right w:val="nil"/>
            </w:tcBorders>
            <w:shd w:val="clear" w:color="auto" w:fill="auto"/>
            <w:noWrap/>
            <w:vAlign w:val="bottom"/>
            <w:hideMark/>
          </w:tcPr>
          <w:p w:rsidR="00802270" w:rsidRPr="002464DE" w:rsidP="001934CB" w14:paraId="732A6398" w14:textId="77777777">
            <w:pPr>
              <w:jc w:val="center"/>
              <w:rPr>
                <w:rFonts w:ascii="Calibri" w:hAnsi="Calibri" w:cs="Calibri"/>
                <w:color w:val="000000"/>
                <w:sz w:val="22"/>
                <w:szCs w:val="22"/>
              </w:rPr>
            </w:pPr>
            <w:r w:rsidRPr="002464DE">
              <w:rPr>
                <w:rFonts w:ascii="Calibri" w:hAnsi="Calibri" w:cs="Calibri"/>
                <w:color w:val="000000"/>
                <w:sz w:val="22"/>
                <w:szCs w:val="22"/>
              </w:rPr>
              <w:t>2.77</w:t>
            </w:r>
          </w:p>
        </w:tc>
        <w:tc>
          <w:tcPr>
            <w:tcW w:w="1434" w:type="dxa"/>
            <w:tcBorders>
              <w:top w:val="nil"/>
              <w:left w:val="nil"/>
              <w:bottom w:val="nil"/>
              <w:right w:val="nil"/>
            </w:tcBorders>
            <w:shd w:val="clear" w:color="auto" w:fill="auto"/>
            <w:noWrap/>
            <w:vAlign w:val="bottom"/>
            <w:hideMark/>
          </w:tcPr>
          <w:p w:rsidR="00802270" w:rsidRPr="002464DE" w:rsidP="001934CB" w14:paraId="3C3BACF7" w14:textId="77777777">
            <w:pPr>
              <w:jc w:val="center"/>
              <w:rPr>
                <w:rFonts w:ascii="Calibri" w:hAnsi="Calibri" w:cs="Calibri"/>
                <w:color w:val="000000"/>
                <w:sz w:val="22"/>
                <w:szCs w:val="22"/>
              </w:rPr>
            </w:pPr>
            <w:r w:rsidRPr="002464DE">
              <w:rPr>
                <w:rFonts w:ascii="Calibri" w:hAnsi="Calibri" w:cs="Calibri"/>
                <w:color w:val="000000"/>
                <w:sz w:val="22"/>
                <w:szCs w:val="22"/>
              </w:rPr>
              <w:t>42</w:t>
            </w:r>
          </w:p>
        </w:tc>
        <w:tc>
          <w:tcPr>
            <w:tcW w:w="1296" w:type="dxa"/>
            <w:tcBorders>
              <w:top w:val="nil"/>
              <w:left w:val="nil"/>
              <w:bottom w:val="nil"/>
              <w:right w:val="nil"/>
            </w:tcBorders>
            <w:shd w:val="clear" w:color="auto" w:fill="auto"/>
            <w:noWrap/>
            <w:vAlign w:val="bottom"/>
            <w:hideMark/>
          </w:tcPr>
          <w:p w:rsidR="00802270" w:rsidRPr="002464DE" w:rsidP="001934CB" w14:paraId="58674530" w14:textId="77777777">
            <w:pPr>
              <w:jc w:val="center"/>
              <w:rPr>
                <w:rFonts w:ascii="Calibri" w:hAnsi="Calibri" w:cs="Calibri"/>
                <w:color w:val="000000"/>
                <w:sz w:val="22"/>
                <w:szCs w:val="22"/>
              </w:rPr>
            </w:pPr>
            <w:r w:rsidRPr="002464DE">
              <w:rPr>
                <w:rFonts w:ascii="Calibri" w:hAnsi="Calibri" w:cs="Calibri"/>
                <w:color w:val="000000"/>
                <w:sz w:val="22"/>
                <w:szCs w:val="22"/>
              </w:rPr>
              <w:t>13</w:t>
            </w:r>
          </w:p>
        </w:tc>
      </w:tr>
      <w:tr w14:paraId="3069E8BC"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0F382840" w14:textId="77777777">
            <w:pPr>
              <w:rPr>
                <w:rFonts w:ascii="Calibri" w:hAnsi="Calibri" w:cs="Calibri"/>
                <w:color w:val="000000"/>
                <w:sz w:val="22"/>
                <w:szCs w:val="22"/>
              </w:rPr>
            </w:pPr>
            <w:r w:rsidRPr="002464DE">
              <w:rPr>
                <w:rFonts w:ascii="Calibri" w:hAnsi="Calibri" w:cs="Calibri"/>
                <w:color w:val="000000"/>
                <w:sz w:val="22"/>
                <w:szCs w:val="22"/>
              </w:rPr>
              <w:t>New Mexico</w:t>
            </w:r>
          </w:p>
        </w:tc>
        <w:tc>
          <w:tcPr>
            <w:tcW w:w="2032" w:type="dxa"/>
            <w:tcBorders>
              <w:top w:val="nil"/>
              <w:left w:val="nil"/>
              <w:bottom w:val="nil"/>
              <w:right w:val="nil"/>
            </w:tcBorders>
            <w:shd w:val="clear" w:color="auto" w:fill="auto"/>
            <w:noWrap/>
            <w:vAlign w:val="bottom"/>
            <w:hideMark/>
          </w:tcPr>
          <w:p w:rsidR="00802270" w:rsidRPr="002464DE" w:rsidP="001934CB" w14:paraId="786CD44C" w14:textId="77777777">
            <w:pPr>
              <w:jc w:val="center"/>
              <w:rPr>
                <w:rFonts w:ascii="Calibri" w:hAnsi="Calibri" w:cs="Calibri"/>
                <w:color w:val="000000"/>
                <w:sz w:val="22"/>
                <w:szCs w:val="22"/>
              </w:rPr>
            </w:pPr>
            <w:r w:rsidRPr="002464DE">
              <w:rPr>
                <w:rFonts w:ascii="Calibri" w:hAnsi="Calibri" w:cs="Calibri"/>
                <w:color w:val="000000"/>
                <w:sz w:val="22"/>
                <w:szCs w:val="22"/>
              </w:rPr>
              <w:t>695,000</w:t>
            </w:r>
          </w:p>
        </w:tc>
        <w:tc>
          <w:tcPr>
            <w:tcW w:w="1793" w:type="dxa"/>
            <w:tcBorders>
              <w:top w:val="nil"/>
              <w:left w:val="nil"/>
              <w:bottom w:val="nil"/>
              <w:right w:val="nil"/>
            </w:tcBorders>
            <w:shd w:val="clear" w:color="auto" w:fill="auto"/>
            <w:noWrap/>
            <w:vAlign w:val="bottom"/>
            <w:hideMark/>
          </w:tcPr>
          <w:p w:rsidR="00802270" w:rsidRPr="002464DE" w:rsidP="001934CB" w14:paraId="02195888" w14:textId="77777777">
            <w:pPr>
              <w:jc w:val="center"/>
              <w:rPr>
                <w:rFonts w:ascii="Calibri" w:hAnsi="Calibri" w:cs="Calibri"/>
                <w:color w:val="000000"/>
                <w:sz w:val="22"/>
                <w:szCs w:val="22"/>
              </w:rPr>
            </w:pPr>
            <w:r w:rsidRPr="002464DE">
              <w:rPr>
                <w:rFonts w:ascii="Calibri" w:hAnsi="Calibri" w:cs="Calibri"/>
                <w:color w:val="000000"/>
                <w:sz w:val="22"/>
                <w:szCs w:val="22"/>
              </w:rPr>
              <w:t>45%</w:t>
            </w:r>
          </w:p>
        </w:tc>
        <w:tc>
          <w:tcPr>
            <w:tcW w:w="1236" w:type="dxa"/>
            <w:tcBorders>
              <w:top w:val="nil"/>
              <w:left w:val="nil"/>
              <w:bottom w:val="nil"/>
              <w:right w:val="nil"/>
            </w:tcBorders>
            <w:shd w:val="clear" w:color="auto" w:fill="auto"/>
            <w:noWrap/>
            <w:vAlign w:val="bottom"/>
            <w:hideMark/>
          </w:tcPr>
          <w:p w:rsidR="00802270" w:rsidRPr="002464DE" w:rsidP="001934CB" w14:paraId="216602B2" w14:textId="77777777">
            <w:pPr>
              <w:jc w:val="center"/>
              <w:rPr>
                <w:rFonts w:ascii="Calibri" w:hAnsi="Calibri" w:cs="Calibri"/>
                <w:color w:val="000000"/>
                <w:sz w:val="22"/>
                <w:szCs w:val="22"/>
              </w:rPr>
            </w:pPr>
            <w:r w:rsidRPr="002464DE">
              <w:rPr>
                <w:rFonts w:ascii="Calibri" w:hAnsi="Calibri" w:cs="Calibri"/>
                <w:color w:val="000000"/>
                <w:sz w:val="22"/>
                <w:szCs w:val="22"/>
              </w:rPr>
              <w:t>2.5</w:t>
            </w:r>
          </w:p>
        </w:tc>
        <w:tc>
          <w:tcPr>
            <w:tcW w:w="1434" w:type="dxa"/>
            <w:tcBorders>
              <w:top w:val="nil"/>
              <w:left w:val="nil"/>
              <w:bottom w:val="nil"/>
              <w:right w:val="nil"/>
            </w:tcBorders>
            <w:shd w:val="clear" w:color="auto" w:fill="auto"/>
            <w:noWrap/>
            <w:vAlign w:val="bottom"/>
            <w:hideMark/>
          </w:tcPr>
          <w:p w:rsidR="00802270" w:rsidRPr="002464DE" w:rsidP="001934CB" w14:paraId="61821D5D" w14:textId="77777777">
            <w:pPr>
              <w:jc w:val="center"/>
              <w:rPr>
                <w:rFonts w:ascii="Calibri" w:hAnsi="Calibri" w:cs="Calibri"/>
                <w:color w:val="000000"/>
                <w:sz w:val="22"/>
                <w:szCs w:val="22"/>
              </w:rPr>
            </w:pPr>
            <w:r w:rsidRPr="002464DE">
              <w:rPr>
                <w:rFonts w:ascii="Calibri" w:hAnsi="Calibri" w:cs="Calibri"/>
                <w:color w:val="000000"/>
                <w:sz w:val="22"/>
                <w:szCs w:val="22"/>
              </w:rPr>
              <w:t>38</w:t>
            </w:r>
          </w:p>
        </w:tc>
        <w:tc>
          <w:tcPr>
            <w:tcW w:w="1296" w:type="dxa"/>
            <w:tcBorders>
              <w:top w:val="nil"/>
              <w:left w:val="nil"/>
              <w:bottom w:val="nil"/>
              <w:right w:val="nil"/>
            </w:tcBorders>
            <w:shd w:val="clear" w:color="auto" w:fill="auto"/>
            <w:noWrap/>
            <w:vAlign w:val="bottom"/>
            <w:hideMark/>
          </w:tcPr>
          <w:p w:rsidR="00802270" w:rsidRPr="002464DE" w:rsidP="001934CB" w14:paraId="57AD5A31" w14:textId="77777777">
            <w:pPr>
              <w:jc w:val="center"/>
              <w:rPr>
                <w:rFonts w:ascii="Calibri" w:hAnsi="Calibri" w:cs="Calibri"/>
                <w:color w:val="000000"/>
                <w:sz w:val="22"/>
                <w:szCs w:val="22"/>
              </w:rPr>
            </w:pPr>
            <w:r w:rsidRPr="002464DE">
              <w:rPr>
                <w:rFonts w:ascii="Calibri" w:hAnsi="Calibri" w:cs="Calibri"/>
                <w:color w:val="000000"/>
                <w:sz w:val="22"/>
                <w:szCs w:val="22"/>
              </w:rPr>
              <w:t>13</w:t>
            </w:r>
          </w:p>
        </w:tc>
      </w:tr>
      <w:tr w14:paraId="060964A2"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6A125374" w14:textId="77777777">
            <w:pPr>
              <w:rPr>
                <w:rFonts w:ascii="Calibri" w:hAnsi="Calibri" w:cs="Calibri"/>
                <w:color w:val="000000"/>
                <w:sz w:val="22"/>
                <w:szCs w:val="22"/>
              </w:rPr>
            </w:pPr>
            <w:r w:rsidRPr="002464DE">
              <w:rPr>
                <w:rFonts w:ascii="Calibri" w:hAnsi="Calibri" w:cs="Calibri"/>
                <w:color w:val="000000"/>
                <w:sz w:val="22"/>
                <w:szCs w:val="22"/>
              </w:rPr>
              <w:t>Georgia</w:t>
            </w:r>
          </w:p>
        </w:tc>
        <w:tc>
          <w:tcPr>
            <w:tcW w:w="2032" w:type="dxa"/>
            <w:tcBorders>
              <w:top w:val="nil"/>
              <w:left w:val="nil"/>
              <w:bottom w:val="nil"/>
              <w:right w:val="nil"/>
            </w:tcBorders>
            <w:shd w:val="clear" w:color="auto" w:fill="auto"/>
            <w:noWrap/>
            <w:vAlign w:val="bottom"/>
            <w:hideMark/>
          </w:tcPr>
          <w:p w:rsidR="00802270" w:rsidRPr="002464DE" w:rsidP="001934CB" w14:paraId="5C187D34" w14:textId="77777777">
            <w:pPr>
              <w:jc w:val="center"/>
              <w:rPr>
                <w:rFonts w:ascii="Calibri" w:hAnsi="Calibri" w:cs="Calibri"/>
                <w:color w:val="000000"/>
                <w:sz w:val="22"/>
                <w:szCs w:val="22"/>
              </w:rPr>
            </w:pPr>
            <w:r w:rsidRPr="002464DE">
              <w:rPr>
                <w:rFonts w:ascii="Calibri" w:hAnsi="Calibri" w:cs="Calibri"/>
                <w:color w:val="000000"/>
                <w:sz w:val="22"/>
                <w:szCs w:val="22"/>
              </w:rPr>
              <w:t>485,000</w:t>
            </w:r>
          </w:p>
        </w:tc>
        <w:tc>
          <w:tcPr>
            <w:tcW w:w="1793" w:type="dxa"/>
            <w:tcBorders>
              <w:top w:val="nil"/>
              <w:left w:val="nil"/>
              <w:bottom w:val="nil"/>
              <w:right w:val="nil"/>
            </w:tcBorders>
            <w:shd w:val="clear" w:color="auto" w:fill="auto"/>
            <w:noWrap/>
            <w:vAlign w:val="bottom"/>
            <w:hideMark/>
          </w:tcPr>
          <w:p w:rsidR="00802270" w:rsidRPr="002464DE" w:rsidP="001934CB" w14:paraId="32881B98" w14:textId="77777777">
            <w:pPr>
              <w:jc w:val="center"/>
              <w:rPr>
                <w:rFonts w:ascii="Calibri" w:hAnsi="Calibri" w:cs="Calibri"/>
                <w:color w:val="000000"/>
                <w:sz w:val="22"/>
                <w:szCs w:val="22"/>
              </w:rPr>
            </w:pPr>
            <w:r w:rsidRPr="002464DE">
              <w:rPr>
                <w:rFonts w:ascii="Calibri" w:hAnsi="Calibri" w:cs="Calibri"/>
                <w:color w:val="000000"/>
                <w:sz w:val="22"/>
                <w:szCs w:val="22"/>
              </w:rPr>
              <w:t>6%</w:t>
            </w:r>
          </w:p>
        </w:tc>
        <w:tc>
          <w:tcPr>
            <w:tcW w:w="1236" w:type="dxa"/>
            <w:tcBorders>
              <w:top w:val="nil"/>
              <w:left w:val="nil"/>
              <w:bottom w:val="nil"/>
              <w:right w:val="nil"/>
            </w:tcBorders>
            <w:shd w:val="clear" w:color="auto" w:fill="auto"/>
            <w:noWrap/>
            <w:vAlign w:val="bottom"/>
            <w:hideMark/>
          </w:tcPr>
          <w:p w:rsidR="00802270" w:rsidRPr="002464DE" w:rsidP="001934CB" w14:paraId="2A9758AF" w14:textId="77777777">
            <w:pPr>
              <w:jc w:val="center"/>
              <w:rPr>
                <w:rFonts w:ascii="Calibri" w:hAnsi="Calibri" w:cs="Calibri"/>
                <w:color w:val="000000"/>
                <w:sz w:val="22"/>
                <w:szCs w:val="22"/>
              </w:rPr>
            </w:pPr>
            <w:r w:rsidRPr="002464DE">
              <w:rPr>
                <w:rFonts w:ascii="Calibri" w:hAnsi="Calibri" w:cs="Calibri"/>
                <w:color w:val="000000"/>
                <w:sz w:val="22"/>
                <w:szCs w:val="22"/>
              </w:rPr>
              <w:t>1.78</w:t>
            </w:r>
          </w:p>
        </w:tc>
        <w:tc>
          <w:tcPr>
            <w:tcW w:w="1434" w:type="dxa"/>
            <w:tcBorders>
              <w:top w:val="nil"/>
              <w:left w:val="nil"/>
              <w:bottom w:val="nil"/>
              <w:right w:val="nil"/>
            </w:tcBorders>
            <w:shd w:val="clear" w:color="auto" w:fill="auto"/>
            <w:noWrap/>
            <w:vAlign w:val="bottom"/>
            <w:hideMark/>
          </w:tcPr>
          <w:p w:rsidR="00802270" w:rsidRPr="002464DE" w:rsidP="001934CB" w14:paraId="0B31E979" w14:textId="77777777">
            <w:pPr>
              <w:jc w:val="center"/>
              <w:rPr>
                <w:rFonts w:ascii="Calibri" w:hAnsi="Calibri" w:cs="Calibri"/>
                <w:color w:val="000000"/>
                <w:sz w:val="22"/>
                <w:szCs w:val="22"/>
              </w:rPr>
            </w:pPr>
            <w:r w:rsidRPr="002464DE">
              <w:rPr>
                <w:rFonts w:ascii="Calibri" w:hAnsi="Calibri" w:cs="Calibri"/>
                <w:color w:val="000000"/>
                <w:sz w:val="22"/>
                <w:szCs w:val="22"/>
              </w:rPr>
              <w:t>27</w:t>
            </w:r>
          </w:p>
        </w:tc>
        <w:tc>
          <w:tcPr>
            <w:tcW w:w="1296" w:type="dxa"/>
            <w:tcBorders>
              <w:top w:val="nil"/>
              <w:left w:val="nil"/>
              <w:bottom w:val="nil"/>
              <w:right w:val="nil"/>
            </w:tcBorders>
            <w:shd w:val="clear" w:color="auto" w:fill="auto"/>
            <w:noWrap/>
            <w:vAlign w:val="bottom"/>
            <w:hideMark/>
          </w:tcPr>
          <w:p w:rsidR="00802270" w:rsidRPr="002464DE" w:rsidP="001934CB" w14:paraId="14D68DC4" w14:textId="77777777">
            <w:pPr>
              <w:jc w:val="center"/>
              <w:rPr>
                <w:rFonts w:ascii="Calibri" w:hAnsi="Calibri" w:cs="Calibri"/>
                <w:color w:val="000000"/>
                <w:sz w:val="22"/>
                <w:szCs w:val="22"/>
              </w:rPr>
            </w:pPr>
            <w:r w:rsidRPr="002464DE">
              <w:rPr>
                <w:rFonts w:ascii="Calibri" w:hAnsi="Calibri" w:cs="Calibri"/>
                <w:color w:val="000000"/>
                <w:sz w:val="22"/>
                <w:szCs w:val="22"/>
              </w:rPr>
              <w:t>16</w:t>
            </w:r>
          </w:p>
        </w:tc>
      </w:tr>
      <w:tr w14:paraId="0F720413"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316658D2" w14:textId="77777777">
            <w:pPr>
              <w:rPr>
                <w:rFonts w:ascii="Calibri" w:hAnsi="Calibri" w:cs="Calibri"/>
                <w:color w:val="000000"/>
                <w:sz w:val="22"/>
                <w:szCs w:val="22"/>
              </w:rPr>
            </w:pPr>
            <w:r w:rsidRPr="002464DE">
              <w:rPr>
                <w:rFonts w:ascii="Calibri" w:hAnsi="Calibri" w:cs="Calibri"/>
                <w:color w:val="000000"/>
                <w:sz w:val="22"/>
                <w:szCs w:val="22"/>
              </w:rPr>
              <w:t>Nevada</w:t>
            </w:r>
          </w:p>
        </w:tc>
        <w:tc>
          <w:tcPr>
            <w:tcW w:w="2032" w:type="dxa"/>
            <w:tcBorders>
              <w:top w:val="nil"/>
              <w:left w:val="nil"/>
              <w:bottom w:val="nil"/>
              <w:right w:val="nil"/>
            </w:tcBorders>
            <w:shd w:val="clear" w:color="auto" w:fill="auto"/>
            <w:noWrap/>
            <w:vAlign w:val="bottom"/>
            <w:hideMark/>
          </w:tcPr>
          <w:p w:rsidR="00802270" w:rsidRPr="002464DE" w:rsidP="001934CB" w14:paraId="3E6A2C15" w14:textId="77777777">
            <w:pPr>
              <w:jc w:val="center"/>
              <w:rPr>
                <w:rFonts w:ascii="Calibri" w:hAnsi="Calibri" w:cs="Calibri"/>
                <w:color w:val="000000"/>
                <w:sz w:val="22"/>
                <w:szCs w:val="22"/>
              </w:rPr>
            </w:pPr>
            <w:r w:rsidRPr="002464DE">
              <w:rPr>
                <w:rFonts w:ascii="Calibri" w:hAnsi="Calibri" w:cs="Calibri"/>
                <w:color w:val="000000"/>
                <w:sz w:val="22"/>
                <w:szCs w:val="22"/>
              </w:rPr>
              <w:t>485,000</w:t>
            </w:r>
          </w:p>
        </w:tc>
        <w:tc>
          <w:tcPr>
            <w:tcW w:w="1793" w:type="dxa"/>
            <w:tcBorders>
              <w:top w:val="nil"/>
              <w:left w:val="nil"/>
              <w:bottom w:val="nil"/>
              <w:right w:val="nil"/>
            </w:tcBorders>
            <w:shd w:val="clear" w:color="auto" w:fill="auto"/>
            <w:noWrap/>
            <w:vAlign w:val="bottom"/>
            <w:hideMark/>
          </w:tcPr>
          <w:p w:rsidR="00802270" w:rsidRPr="002464DE" w:rsidP="001934CB" w14:paraId="0A29F986" w14:textId="77777777">
            <w:pPr>
              <w:jc w:val="center"/>
              <w:rPr>
                <w:rFonts w:ascii="Calibri" w:hAnsi="Calibri" w:cs="Calibri"/>
                <w:color w:val="000000"/>
                <w:sz w:val="22"/>
                <w:szCs w:val="22"/>
              </w:rPr>
            </w:pPr>
            <w:r w:rsidRPr="002464DE">
              <w:rPr>
                <w:rFonts w:ascii="Calibri" w:hAnsi="Calibri" w:cs="Calibri"/>
                <w:color w:val="000000"/>
                <w:sz w:val="22"/>
                <w:szCs w:val="22"/>
              </w:rPr>
              <w:t>22%</w:t>
            </w:r>
          </w:p>
        </w:tc>
        <w:tc>
          <w:tcPr>
            <w:tcW w:w="1236" w:type="dxa"/>
            <w:tcBorders>
              <w:top w:val="nil"/>
              <w:left w:val="nil"/>
              <w:bottom w:val="nil"/>
              <w:right w:val="nil"/>
            </w:tcBorders>
            <w:shd w:val="clear" w:color="auto" w:fill="auto"/>
            <w:noWrap/>
            <w:vAlign w:val="bottom"/>
            <w:hideMark/>
          </w:tcPr>
          <w:p w:rsidR="00802270" w:rsidRPr="002464DE" w:rsidP="001934CB" w14:paraId="07563FA2" w14:textId="77777777">
            <w:pPr>
              <w:jc w:val="center"/>
              <w:rPr>
                <w:rFonts w:ascii="Calibri" w:hAnsi="Calibri" w:cs="Calibri"/>
                <w:color w:val="000000"/>
                <w:sz w:val="22"/>
                <w:szCs w:val="22"/>
              </w:rPr>
            </w:pPr>
            <w:r w:rsidRPr="002464DE">
              <w:rPr>
                <w:rFonts w:ascii="Calibri" w:hAnsi="Calibri" w:cs="Calibri"/>
                <w:color w:val="000000"/>
                <w:sz w:val="22"/>
                <w:szCs w:val="22"/>
              </w:rPr>
              <w:t>1.78</w:t>
            </w:r>
          </w:p>
        </w:tc>
        <w:tc>
          <w:tcPr>
            <w:tcW w:w="1434" w:type="dxa"/>
            <w:tcBorders>
              <w:top w:val="nil"/>
              <w:left w:val="nil"/>
              <w:bottom w:val="nil"/>
              <w:right w:val="nil"/>
            </w:tcBorders>
            <w:shd w:val="clear" w:color="auto" w:fill="auto"/>
            <w:noWrap/>
            <w:vAlign w:val="bottom"/>
            <w:hideMark/>
          </w:tcPr>
          <w:p w:rsidR="00802270" w:rsidRPr="002464DE" w:rsidP="001934CB" w14:paraId="12D3D4F0" w14:textId="77777777">
            <w:pPr>
              <w:jc w:val="center"/>
              <w:rPr>
                <w:rFonts w:ascii="Calibri" w:hAnsi="Calibri" w:cs="Calibri"/>
                <w:color w:val="000000"/>
                <w:sz w:val="22"/>
                <w:szCs w:val="22"/>
              </w:rPr>
            </w:pPr>
            <w:r w:rsidRPr="002464DE">
              <w:rPr>
                <w:rFonts w:ascii="Calibri" w:hAnsi="Calibri" w:cs="Calibri"/>
                <w:color w:val="000000"/>
                <w:sz w:val="22"/>
                <w:szCs w:val="22"/>
              </w:rPr>
              <w:t>27</w:t>
            </w:r>
          </w:p>
        </w:tc>
        <w:tc>
          <w:tcPr>
            <w:tcW w:w="1296" w:type="dxa"/>
            <w:tcBorders>
              <w:top w:val="nil"/>
              <w:left w:val="nil"/>
              <w:bottom w:val="nil"/>
              <w:right w:val="nil"/>
            </w:tcBorders>
            <w:shd w:val="clear" w:color="auto" w:fill="auto"/>
            <w:noWrap/>
            <w:vAlign w:val="bottom"/>
            <w:hideMark/>
          </w:tcPr>
          <w:p w:rsidR="00802270" w:rsidRPr="002464DE" w:rsidP="001934CB" w14:paraId="639CBFAC" w14:textId="77777777">
            <w:pPr>
              <w:jc w:val="center"/>
              <w:rPr>
                <w:rFonts w:ascii="Calibri" w:hAnsi="Calibri" w:cs="Calibri"/>
                <w:color w:val="000000"/>
                <w:sz w:val="22"/>
                <w:szCs w:val="22"/>
              </w:rPr>
            </w:pPr>
            <w:r w:rsidRPr="002464DE">
              <w:rPr>
                <w:rFonts w:ascii="Calibri" w:hAnsi="Calibri" w:cs="Calibri"/>
                <w:color w:val="000000"/>
                <w:sz w:val="22"/>
                <w:szCs w:val="22"/>
              </w:rPr>
              <w:t>16</w:t>
            </w:r>
          </w:p>
        </w:tc>
      </w:tr>
      <w:tr w14:paraId="1EB43B57"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24131788" w14:textId="77777777">
            <w:pPr>
              <w:rPr>
                <w:rFonts w:ascii="Calibri" w:hAnsi="Calibri" w:cs="Calibri"/>
                <w:color w:val="000000"/>
                <w:sz w:val="22"/>
                <w:szCs w:val="22"/>
              </w:rPr>
            </w:pPr>
            <w:r w:rsidRPr="002464DE">
              <w:rPr>
                <w:rFonts w:ascii="Calibri" w:hAnsi="Calibri" w:cs="Calibri"/>
                <w:color w:val="000000"/>
                <w:sz w:val="22"/>
                <w:szCs w:val="22"/>
              </w:rPr>
              <w:t>Massachusetts</w:t>
            </w:r>
          </w:p>
        </w:tc>
        <w:tc>
          <w:tcPr>
            <w:tcW w:w="2032" w:type="dxa"/>
            <w:tcBorders>
              <w:top w:val="nil"/>
              <w:left w:val="nil"/>
              <w:bottom w:val="nil"/>
              <w:right w:val="nil"/>
            </w:tcBorders>
            <w:shd w:val="clear" w:color="auto" w:fill="auto"/>
            <w:noWrap/>
            <w:vAlign w:val="bottom"/>
            <w:hideMark/>
          </w:tcPr>
          <w:p w:rsidR="00802270" w:rsidRPr="002464DE" w:rsidP="001934CB" w14:paraId="0B7A92F4" w14:textId="77777777">
            <w:pPr>
              <w:jc w:val="center"/>
              <w:rPr>
                <w:rFonts w:ascii="Calibri" w:hAnsi="Calibri" w:cs="Calibri"/>
                <w:color w:val="000000"/>
                <w:sz w:val="22"/>
                <w:szCs w:val="22"/>
              </w:rPr>
            </w:pPr>
            <w:r w:rsidRPr="002464DE">
              <w:rPr>
                <w:rFonts w:ascii="Calibri" w:hAnsi="Calibri" w:cs="Calibri"/>
                <w:color w:val="000000"/>
                <w:sz w:val="22"/>
                <w:szCs w:val="22"/>
              </w:rPr>
              <w:t>485,000</w:t>
            </w:r>
          </w:p>
        </w:tc>
        <w:tc>
          <w:tcPr>
            <w:tcW w:w="1793" w:type="dxa"/>
            <w:tcBorders>
              <w:top w:val="nil"/>
              <w:left w:val="nil"/>
              <w:bottom w:val="nil"/>
              <w:right w:val="nil"/>
            </w:tcBorders>
            <w:shd w:val="clear" w:color="auto" w:fill="auto"/>
            <w:noWrap/>
            <w:vAlign w:val="bottom"/>
            <w:hideMark/>
          </w:tcPr>
          <w:p w:rsidR="00802270" w:rsidRPr="002464DE" w:rsidP="001934CB" w14:paraId="7864463F" w14:textId="77777777">
            <w:pPr>
              <w:jc w:val="center"/>
              <w:rPr>
                <w:rFonts w:ascii="Calibri" w:hAnsi="Calibri" w:cs="Calibri"/>
                <w:color w:val="000000"/>
                <w:sz w:val="22"/>
                <w:szCs w:val="22"/>
              </w:rPr>
            </w:pPr>
            <w:r w:rsidRPr="002464DE">
              <w:rPr>
                <w:rFonts w:ascii="Calibri" w:hAnsi="Calibri" w:cs="Calibri"/>
                <w:color w:val="000000"/>
                <w:sz w:val="22"/>
                <w:szCs w:val="22"/>
              </w:rPr>
              <w:t>9%</w:t>
            </w:r>
          </w:p>
        </w:tc>
        <w:tc>
          <w:tcPr>
            <w:tcW w:w="1236" w:type="dxa"/>
            <w:tcBorders>
              <w:top w:val="nil"/>
              <w:left w:val="nil"/>
              <w:bottom w:val="nil"/>
              <w:right w:val="nil"/>
            </w:tcBorders>
            <w:shd w:val="clear" w:color="auto" w:fill="auto"/>
            <w:noWrap/>
            <w:vAlign w:val="bottom"/>
            <w:hideMark/>
          </w:tcPr>
          <w:p w:rsidR="00802270" w:rsidRPr="002464DE" w:rsidP="001934CB" w14:paraId="39E7D426" w14:textId="77777777">
            <w:pPr>
              <w:jc w:val="center"/>
              <w:rPr>
                <w:rFonts w:ascii="Calibri" w:hAnsi="Calibri" w:cs="Calibri"/>
                <w:color w:val="000000"/>
                <w:sz w:val="22"/>
                <w:szCs w:val="22"/>
              </w:rPr>
            </w:pPr>
            <w:r w:rsidRPr="002464DE">
              <w:rPr>
                <w:rFonts w:ascii="Calibri" w:hAnsi="Calibri" w:cs="Calibri"/>
                <w:color w:val="000000"/>
                <w:sz w:val="22"/>
                <w:szCs w:val="22"/>
              </w:rPr>
              <w:t>1.78</w:t>
            </w:r>
          </w:p>
        </w:tc>
        <w:tc>
          <w:tcPr>
            <w:tcW w:w="1434" w:type="dxa"/>
            <w:tcBorders>
              <w:top w:val="nil"/>
              <w:left w:val="nil"/>
              <w:bottom w:val="nil"/>
              <w:right w:val="nil"/>
            </w:tcBorders>
            <w:shd w:val="clear" w:color="auto" w:fill="auto"/>
            <w:noWrap/>
            <w:vAlign w:val="bottom"/>
            <w:hideMark/>
          </w:tcPr>
          <w:p w:rsidR="00802270" w:rsidRPr="002464DE" w:rsidP="001934CB" w14:paraId="0DC299FD" w14:textId="77777777">
            <w:pPr>
              <w:jc w:val="center"/>
              <w:rPr>
                <w:rFonts w:ascii="Calibri" w:hAnsi="Calibri" w:cs="Calibri"/>
                <w:color w:val="000000"/>
                <w:sz w:val="22"/>
                <w:szCs w:val="22"/>
              </w:rPr>
            </w:pPr>
            <w:r w:rsidRPr="002464DE">
              <w:rPr>
                <w:rFonts w:ascii="Calibri" w:hAnsi="Calibri" w:cs="Calibri"/>
                <w:color w:val="000000"/>
                <w:sz w:val="22"/>
                <w:szCs w:val="22"/>
              </w:rPr>
              <w:t>28</w:t>
            </w:r>
          </w:p>
        </w:tc>
        <w:tc>
          <w:tcPr>
            <w:tcW w:w="1296" w:type="dxa"/>
            <w:tcBorders>
              <w:top w:val="nil"/>
              <w:left w:val="nil"/>
              <w:bottom w:val="nil"/>
              <w:right w:val="nil"/>
            </w:tcBorders>
            <w:shd w:val="clear" w:color="auto" w:fill="auto"/>
            <w:noWrap/>
            <w:vAlign w:val="bottom"/>
            <w:hideMark/>
          </w:tcPr>
          <w:p w:rsidR="00802270" w:rsidRPr="002464DE" w:rsidP="001934CB" w14:paraId="7D9A2CC3" w14:textId="77777777">
            <w:pPr>
              <w:jc w:val="center"/>
              <w:rPr>
                <w:rFonts w:ascii="Calibri" w:hAnsi="Calibri" w:cs="Calibri"/>
                <w:color w:val="000000"/>
                <w:sz w:val="22"/>
                <w:szCs w:val="22"/>
              </w:rPr>
            </w:pPr>
            <w:r w:rsidRPr="002464DE">
              <w:rPr>
                <w:rFonts w:ascii="Calibri" w:hAnsi="Calibri" w:cs="Calibri"/>
                <w:color w:val="000000"/>
                <w:sz w:val="22"/>
                <w:szCs w:val="22"/>
              </w:rPr>
              <w:t>16</w:t>
            </w:r>
          </w:p>
        </w:tc>
      </w:tr>
      <w:tr w14:paraId="429B0225" w14:textId="77777777" w:rsidTr="001934CB">
        <w:tblPrEx>
          <w:tblW w:w="9405" w:type="dxa"/>
          <w:tblLook w:val="04A0"/>
        </w:tblPrEx>
        <w:trPr>
          <w:trHeight w:val="157"/>
        </w:trPr>
        <w:tc>
          <w:tcPr>
            <w:tcW w:w="1610" w:type="dxa"/>
            <w:tcBorders>
              <w:top w:val="nil"/>
              <w:left w:val="nil"/>
              <w:bottom w:val="nil"/>
              <w:right w:val="nil"/>
            </w:tcBorders>
            <w:shd w:val="clear" w:color="auto" w:fill="auto"/>
            <w:noWrap/>
            <w:vAlign w:val="bottom"/>
            <w:hideMark/>
          </w:tcPr>
          <w:p w:rsidR="00802270" w:rsidRPr="002464DE" w:rsidP="001934CB" w14:paraId="03552DE2" w14:textId="77777777">
            <w:pPr>
              <w:rPr>
                <w:rFonts w:ascii="Calibri" w:hAnsi="Calibri" w:cs="Calibri"/>
                <w:color w:val="000000"/>
                <w:sz w:val="22"/>
                <w:szCs w:val="22"/>
              </w:rPr>
            </w:pPr>
            <w:r w:rsidRPr="002464DE">
              <w:rPr>
                <w:rFonts w:ascii="Calibri" w:hAnsi="Calibri" w:cs="Calibri"/>
                <w:color w:val="000000"/>
                <w:sz w:val="22"/>
                <w:szCs w:val="22"/>
              </w:rPr>
              <w:t xml:space="preserve">Total Pop. </w:t>
            </w:r>
          </w:p>
        </w:tc>
        <w:tc>
          <w:tcPr>
            <w:tcW w:w="2032" w:type="dxa"/>
            <w:tcBorders>
              <w:top w:val="nil"/>
              <w:left w:val="nil"/>
              <w:bottom w:val="nil"/>
              <w:right w:val="nil"/>
            </w:tcBorders>
            <w:shd w:val="clear" w:color="auto" w:fill="auto"/>
            <w:noWrap/>
            <w:vAlign w:val="bottom"/>
            <w:hideMark/>
          </w:tcPr>
          <w:p w:rsidR="00802270" w:rsidRPr="002464DE" w:rsidP="001934CB" w14:paraId="75CDF032" w14:textId="77777777">
            <w:pPr>
              <w:jc w:val="center"/>
              <w:rPr>
                <w:rFonts w:ascii="Calibri" w:hAnsi="Calibri" w:cs="Calibri"/>
                <w:color w:val="000000"/>
                <w:sz w:val="22"/>
                <w:szCs w:val="22"/>
              </w:rPr>
            </w:pPr>
            <w:r w:rsidRPr="002464DE">
              <w:rPr>
                <w:rFonts w:ascii="Calibri" w:hAnsi="Calibri" w:cs="Calibri"/>
                <w:color w:val="000000"/>
                <w:sz w:val="22"/>
                <w:szCs w:val="22"/>
              </w:rPr>
              <w:t>27,160,000</w:t>
            </w:r>
          </w:p>
        </w:tc>
        <w:tc>
          <w:tcPr>
            <w:tcW w:w="1793" w:type="dxa"/>
            <w:tcBorders>
              <w:top w:val="nil"/>
              <w:left w:val="nil"/>
              <w:bottom w:val="nil"/>
              <w:right w:val="nil"/>
            </w:tcBorders>
            <w:shd w:val="clear" w:color="auto" w:fill="auto"/>
            <w:noWrap/>
            <w:vAlign w:val="bottom"/>
            <w:hideMark/>
          </w:tcPr>
          <w:p w:rsidR="00802270" w:rsidRPr="002464DE" w:rsidP="001934CB" w14:paraId="788497BD" w14:textId="77777777">
            <w:pPr>
              <w:jc w:val="center"/>
              <w:rPr>
                <w:rFonts w:ascii="Calibri" w:hAnsi="Calibri" w:cs="Calibri"/>
                <w:color w:val="000000"/>
                <w:sz w:val="22"/>
                <w:szCs w:val="22"/>
              </w:rPr>
            </w:pPr>
          </w:p>
        </w:tc>
        <w:tc>
          <w:tcPr>
            <w:tcW w:w="1236" w:type="dxa"/>
            <w:tcBorders>
              <w:top w:val="nil"/>
              <w:left w:val="nil"/>
              <w:bottom w:val="nil"/>
              <w:right w:val="nil"/>
            </w:tcBorders>
            <w:shd w:val="clear" w:color="auto" w:fill="auto"/>
            <w:noWrap/>
            <w:vAlign w:val="bottom"/>
            <w:hideMark/>
          </w:tcPr>
          <w:p w:rsidR="00802270" w:rsidRPr="002464DE" w:rsidP="001934CB" w14:paraId="11BE1BE2" w14:textId="77777777">
            <w:pPr>
              <w:jc w:val="center"/>
              <w:rPr>
                <w:rFonts w:ascii="Calibri" w:hAnsi="Calibri" w:cs="Calibri"/>
                <w:color w:val="000000"/>
                <w:sz w:val="22"/>
                <w:szCs w:val="22"/>
              </w:rPr>
            </w:pPr>
            <w:r w:rsidRPr="002464DE">
              <w:rPr>
                <w:rFonts w:ascii="Calibri" w:hAnsi="Calibri" w:cs="Calibri"/>
                <w:color w:val="000000"/>
                <w:sz w:val="22"/>
                <w:szCs w:val="22"/>
              </w:rPr>
              <w:t>99.88</w:t>
            </w:r>
          </w:p>
        </w:tc>
        <w:tc>
          <w:tcPr>
            <w:tcW w:w="1434" w:type="dxa"/>
            <w:tcBorders>
              <w:top w:val="nil"/>
              <w:left w:val="nil"/>
              <w:bottom w:val="nil"/>
              <w:right w:val="nil"/>
            </w:tcBorders>
            <w:shd w:val="clear" w:color="auto" w:fill="auto"/>
            <w:noWrap/>
            <w:vAlign w:val="bottom"/>
            <w:hideMark/>
          </w:tcPr>
          <w:p w:rsidR="00802270" w:rsidRPr="002464DE" w:rsidP="001934CB" w14:paraId="45406812" w14:textId="77777777">
            <w:pPr>
              <w:jc w:val="center"/>
              <w:rPr>
                <w:rFonts w:ascii="Calibri" w:hAnsi="Calibri" w:cs="Calibri"/>
                <w:color w:val="000000"/>
                <w:sz w:val="22"/>
                <w:szCs w:val="22"/>
              </w:rPr>
            </w:pPr>
            <w:r w:rsidRPr="002464DE">
              <w:rPr>
                <w:rFonts w:ascii="Calibri" w:hAnsi="Calibri" w:cs="Calibri"/>
                <w:color w:val="000000"/>
                <w:sz w:val="22"/>
                <w:szCs w:val="22"/>
              </w:rPr>
              <w:t>1500</w:t>
            </w:r>
          </w:p>
        </w:tc>
        <w:tc>
          <w:tcPr>
            <w:tcW w:w="1296" w:type="dxa"/>
            <w:tcBorders>
              <w:top w:val="nil"/>
              <w:left w:val="nil"/>
              <w:bottom w:val="nil"/>
              <w:right w:val="nil"/>
            </w:tcBorders>
            <w:shd w:val="clear" w:color="auto" w:fill="auto"/>
            <w:noWrap/>
            <w:vAlign w:val="bottom"/>
            <w:hideMark/>
          </w:tcPr>
          <w:p w:rsidR="00802270" w:rsidRPr="002464DE" w:rsidP="001934CB" w14:paraId="52E55281" w14:textId="77777777">
            <w:pPr>
              <w:jc w:val="center"/>
              <w:rPr>
                <w:rFonts w:ascii="Calibri" w:hAnsi="Calibri" w:cs="Calibri"/>
                <w:color w:val="000000"/>
                <w:sz w:val="22"/>
                <w:szCs w:val="22"/>
              </w:rPr>
            </w:pPr>
          </w:p>
        </w:tc>
      </w:tr>
      <w:tr w14:paraId="6412D46C" w14:textId="77777777" w:rsidTr="001934CB">
        <w:tblPrEx>
          <w:tblW w:w="9405" w:type="dxa"/>
          <w:tblLook w:val="04A0"/>
        </w:tblPrEx>
        <w:trPr>
          <w:trHeight w:val="1530"/>
        </w:trPr>
        <w:tc>
          <w:tcPr>
            <w:tcW w:w="9405" w:type="dxa"/>
            <w:gridSpan w:val="6"/>
            <w:tcBorders>
              <w:top w:val="nil"/>
              <w:left w:val="nil"/>
              <w:bottom w:val="nil"/>
              <w:right w:val="nil"/>
            </w:tcBorders>
            <w:shd w:val="clear" w:color="auto" w:fill="auto"/>
            <w:hideMark/>
          </w:tcPr>
          <w:p w:rsidR="00802270" w:rsidRPr="002464DE" w:rsidP="001934CB" w14:paraId="4FAE12C4" w14:textId="4023BE70">
            <w:pPr>
              <w:rPr>
                <w:rFonts w:ascii="Calibri" w:hAnsi="Calibri" w:cs="Calibri"/>
                <w:color w:val="000000"/>
                <w:sz w:val="20"/>
                <w:szCs w:val="20"/>
              </w:rPr>
            </w:pPr>
            <w:r w:rsidRPr="002464DE">
              <w:rPr>
                <w:rFonts w:ascii="Calibri" w:hAnsi="Calibri" w:cs="Calibri"/>
                <w:color w:val="000000"/>
                <w:sz w:val="20"/>
                <w:szCs w:val="20"/>
              </w:rPr>
              <w:t>To achieve a margin of error</w:t>
            </w:r>
            <w:r w:rsidR="009B53C1">
              <w:rPr>
                <w:rFonts w:ascii="Calibri" w:hAnsi="Calibri" w:cs="Calibri"/>
                <w:color w:val="000000"/>
                <w:sz w:val="20"/>
                <w:szCs w:val="20"/>
              </w:rPr>
              <w:t xml:space="preserve"> (MOE)</w:t>
            </w:r>
            <w:r w:rsidRPr="002464DE">
              <w:rPr>
                <w:rFonts w:ascii="Calibri" w:hAnsi="Calibri" w:cs="Calibri"/>
                <w:color w:val="000000"/>
                <w:sz w:val="20"/>
                <w:szCs w:val="20"/>
              </w:rPr>
              <w:t xml:space="preserve"> of not less than 5.5% for each state with a 95% confidence level, each state would require a sample size of approximately 317 respondents, regardless of the population size.  The margin of error formula, with the finite population correction applied, tends to converge to a similar sample size when the population is </w:t>
            </w:r>
            <w:r w:rsidRPr="002464DE" w:rsidR="006F5B45">
              <w:rPr>
                <w:rFonts w:ascii="Calibri" w:hAnsi="Calibri" w:cs="Calibri"/>
                <w:color w:val="000000"/>
                <w:sz w:val="20"/>
                <w:szCs w:val="20"/>
              </w:rPr>
              <w:t>large,</w:t>
            </w:r>
            <w:r w:rsidRPr="002464DE">
              <w:rPr>
                <w:rFonts w:ascii="Calibri" w:hAnsi="Calibri" w:cs="Calibri"/>
                <w:color w:val="000000"/>
                <w:sz w:val="20"/>
                <w:szCs w:val="20"/>
              </w:rPr>
              <w:t xml:space="preserve"> and the desired margin of error is relatively large as well. ​​We would need to draw a sample size of 3</w:t>
            </w:r>
            <w:r w:rsidR="009B53C1">
              <w:rPr>
                <w:rFonts w:ascii="Calibri" w:hAnsi="Calibri" w:cs="Calibri"/>
                <w:color w:val="000000"/>
                <w:sz w:val="20"/>
                <w:szCs w:val="20"/>
              </w:rPr>
              <w:t>,</w:t>
            </w:r>
            <w:r w:rsidRPr="002464DE">
              <w:rPr>
                <w:rFonts w:ascii="Calibri" w:hAnsi="Calibri" w:cs="Calibri"/>
                <w:color w:val="000000"/>
                <w:sz w:val="20"/>
                <w:szCs w:val="20"/>
              </w:rPr>
              <w:t xml:space="preserve">804. </w:t>
            </w:r>
            <w:r w:rsidR="00712E94">
              <w:rPr>
                <w:rFonts w:ascii="Calibri" w:hAnsi="Calibri" w:cs="Calibri"/>
                <w:color w:val="000000"/>
                <w:sz w:val="20"/>
                <w:szCs w:val="20"/>
              </w:rPr>
              <w:t>If needed, w</w:t>
            </w:r>
            <w:r w:rsidRPr="002464DE">
              <w:rPr>
                <w:rFonts w:ascii="Calibri" w:hAnsi="Calibri" w:cs="Calibri"/>
                <w:color w:val="000000"/>
                <w:sz w:val="20"/>
                <w:szCs w:val="20"/>
              </w:rPr>
              <w:t xml:space="preserve">e can adjust the sample size per state so that the samples are not as </w:t>
            </w:r>
            <w:r w:rsidRPr="002464DE" w:rsidR="006F5B45">
              <w:rPr>
                <w:rFonts w:ascii="Calibri" w:hAnsi="Calibri" w:cs="Calibri"/>
                <w:color w:val="000000"/>
                <w:sz w:val="20"/>
                <w:szCs w:val="20"/>
              </w:rPr>
              <w:t>small,</w:t>
            </w:r>
            <w:r w:rsidRPr="002464DE">
              <w:rPr>
                <w:rFonts w:ascii="Calibri" w:hAnsi="Calibri" w:cs="Calibri"/>
                <w:color w:val="000000"/>
                <w:sz w:val="20"/>
                <w:szCs w:val="20"/>
              </w:rPr>
              <w:t xml:space="preserve"> and </w:t>
            </w:r>
            <w:r w:rsidR="009B53C1">
              <w:rPr>
                <w:rFonts w:ascii="Calibri" w:hAnsi="Calibri" w:cs="Calibri"/>
                <w:color w:val="000000"/>
                <w:sz w:val="20"/>
                <w:szCs w:val="20"/>
              </w:rPr>
              <w:t>MOE</w:t>
            </w:r>
            <w:r w:rsidRPr="002464DE">
              <w:rPr>
                <w:rFonts w:ascii="Calibri" w:hAnsi="Calibri" w:cs="Calibri"/>
                <w:color w:val="000000"/>
                <w:sz w:val="20"/>
                <w:szCs w:val="20"/>
              </w:rPr>
              <w:t xml:space="preserve"> is reduced to more acceptable levels.  </w:t>
            </w:r>
          </w:p>
        </w:tc>
      </w:tr>
    </w:tbl>
    <w:p w:rsidR="005E0A0F" w:rsidRPr="00F54E27" w:rsidP="00802270" w14:paraId="416C30AA" w14:textId="77777777">
      <w:pPr>
        <w:pStyle w:val="NormalWeb"/>
        <w:spacing w:line="288" w:lineRule="atLeast"/>
        <w:ind w:firstLine="900"/>
      </w:pPr>
      <w:r w:rsidRPr="00F54E27">
        <w:t xml:space="preserve">2.  </w:t>
      </w:r>
      <w:r w:rsidRPr="00F54E27">
        <w:rPr>
          <w:u w:val="single"/>
        </w:rPr>
        <w:t>Procedures for the Collection of Information</w:t>
      </w:r>
    </w:p>
    <w:p w:rsidR="005E0A0F" w:rsidRPr="00F54E27" w:rsidP="00D44D51" w14:paraId="6E93C624" w14:textId="77777777">
      <w:pPr>
        <w:pStyle w:val="NormalWeb"/>
        <w:numPr>
          <w:ilvl w:val="0"/>
          <w:numId w:val="4"/>
        </w:numPr>
        <w:spacing w:line="288" w:lineRule="atLeast"/>
      </w:pPr>
      <w:r w:rsidRPr="00F54E27">
        <w:t>Statistical methodologies for stratification and sample selection</w:t>
      </w:r>
      <w:r w:rsidR="009B53C1">
        <w:t>;</w:t>
      </w:r>
    </w:p>
    <w:p w:rsidR="00D44D51" w:rsidP="00D44D51" w14:paraId="362551DC" w14:textId="77777777">
      <w:pPr>
        <w:pStyle w:val="NormalWeb"/>
        <w:spacing w:line="288" w:lineRule="atLeast"/>
        <w:ind w:left="1620"/>
      </w:pPr>
      <w:r>
        <w:rPr>
          <w:b/>
          <w:bCs/>
        </w:rPr>
        <w:t xml:space="preserve">Focus groups: </w:t>
      </w:r>
      <w:r w:rsidRPr="002E0E6B">
        <w:t>We are not stratifying the sample for collection of information.</w:t>
      </w:r>
      <w:r w:rsidRPr="00F54E27">
        <w:t xml:space="preserve"> </w:t>
      </w:r>
    </w:p>
    <w:p w:rsidR="00802270" w:rsidRPr="00802270" w:rsidP="00D44D51" w14:paraId="50C22549" w14:textId="77777777">
      <w:pPr>
        <w:pStyle w:val="NormalWeb"/>
        <w:spacing w:line="288" w:lineRule="atLeast"/>
        <w:ind w:left="1620"/>
      </w:pPr>
      <w:r>
        <w:rPr>
          <w:b/>
          <w:bCs/>
        </w:rPr>
        <w:t xml:space="preserve">Survey: </w:t>
      </w:r>
      <w:r w:rsidRPr="00802270">
        <w:t>In the collection of information about Hispanic</w:t>
      </w:r>
      <w:r w:rsidR="00841DF7">
        <w:t>/Latino</w:t>
      </w:r>
      <w:r w:rsidRPr="00802270">
        <w:t xml:space="preserve"> </w:t>
      </w:r>
      <w:r w:rsidR="005D21F8">
        <w:t>adults</w:t>
      </w:r>
      <w:r w:rsidRPr="00802270" w:rsidR="005D21F8">
        <w:t xml:space="preserve"> </w:t>
      </w:r>
      <w:r w:rsidRPr="00802270">
        <w:t>in the United States, stratification and sample selection techniques will be employed to ensure that the sample accurately represents the diverse demographics of Hispanic</w:t>
      </w:r>
      <w:r w:rsidRPr="00841DF7" w:rsidR="00687C52">
        <w:t>/Latino</w:t>
      </w:r>
      <w:r w:rsidRPr="00802270">
        <w:t xml:space="preserve"> </w:t>
      </w:r>
      <w:r w:rsidR="005D21F8">
        <w:t>adults in the United States</w:t>
      </w:r>
      <w:r w:rsidRPr="00802270" w:rsidR="005D21F8">
        <w:t xml:space="preserve"> </w:t>
      </w:r>
      <w:r w:rsidRPr="00802270">
        <w:t>across different regions, age groups, genders, socioeconomic statuses, national origin, and other relevant factors. Stratification involves dividing the population into homogeneous subgroups (strata) based on certain characteristics, and then sampling from each stratum proportionally to ensure adequate representation. This will help to minimize sampling bias and improve the generalizability of the survey results to the broader population of Hispanic</w:t>
      </w:r>
      <w:r w:rsidRPr="00841DF7" w:rsidR="00687C52">
        <w:t>/Latino</w:t>
      </w:r>
      <w:r w:rsidRPr="00802270">
        <w:t xml:space="preserve"> </w:t>
      </w:r>
      <w:r w:rsidR="005D21F8">
        <w:t>adults</w:t>
      </w:r>
      <w:r w:rsidRPr="00802270" w:rsidR="005D21F8">
        <w:t xml:space="preserve"> </w:t>
      </w:r>
      <w:r w:rsidRPr="00802270">
        <w:t xml:space="preserve">in the </w:t>
      </w:r>
      <w:r w:rsidR="005D21F8">
        <w:t>United States</w:t>
      </w:r>
      <w:r w:rsidRPr="00802270">
        <w:t>.</w:t>
      </w:r>
    </w:p>
    <w:p w:rsidR="005E0A0F" w:rsidRPr="00F54E27" w:rsidP="00D44D51" w14:paraId="431D3C7C" w14:textId="77777777">
      <w:pPr>
        <w:pStyle w:val="NormalWeb"/>
        <w:numPr>
          <w:ilvl w:val="0"/>
          <w:numId w:val="4"/>
        </w:numPr>
        <w:spacing w:line="288" w:lineRule="atLeast"/>
      </w:pPr>
      <w:r w:rsidRPr="00F54E27">
        <w:t>Estimation procedures</w:t>
      </w:r>
      <w:r w:rsidR="009B53C1">
        <w:t>;</w:t>
      </w:r>
    </w:p>
    <w:p w:rsidR="00D44D51" w:rsidP="00D44D51" w14:paraId="53A62827" w14:textId="77777777">
      <w:pPr>
        <w:pStyle w:val="NormalWeb"/>
        <w:spacing w:line="288" w:lineRule="atLeast"/>
        <w:ind w:left="1620"/>
      </w:pPr>
      <w:r>
        <w:rPr>
          <w:b/>
          <w:bCs/>
        </w:rPr>
        <w:t xml:space="preserve">Focus groups: </w:t>
      </w:r>
      <w:r w:rsidRPr="002E0E6B">
        <w:t>We do not plan on employing estimation procedures.</w:t>
      </w:r>
      <w:r w:rsidRPr="00F54E27">
        <w:t xml:space="preserve"> </w:t>
      </w:r>
    </w:p>
    <w:p w:rsidR="00802270" w:rsidRPr="00F54E27" w:rsidP="00D44D51" w14:paraId="285F4878" w14:textId="77777777">
      <w:pPr>
        <w:pStyle w:val="NormalWeb"/>
        <w:spacing w:line="288" w:lineRule="atLeast"/>
        <w:ind w:left="1620"/>
      </w:pPr>
      <w:r>
        <w:rPr>
          <w:b/>
          <w:bCs/>
        </w:rPr>
        <w:t>Survey:</w:t>
      </w:r>
      <w:r>
        <w:t xml:space="preserve"> </w:t>
      </w:r>
      <w:r w:rsidRPr="00802270">
        <w:t>In this particular study we will use standard estimation procedures</w:t>
      </w:r>
      <w:r>
        <w:t xml:space="preserve">.  We will examine sample </w:t>
      </w:r>
      <w:r w:rsidRPr="002464DE">
        <w:t xml:space="preserve">proportions as estimators of specific variables.  We will also use confidence intervals (in this study 95% with an MOE of 2.53 for the entire sample and a 90% confidence interval with </w:t>
      </w:r>
      <w:r w:rsidR="009B53C1">
        <w:t>an MOE</w:t>
      </w:r>
      <w:r w:rsidRPr="002464DE">
        <w:t xml:space="preserve"> ranging upwards depending on the state and the sample size</w:t>
      </w:r>
      <w:r w:rsidR="009B53C1">
        <w:t>)</w:t>
      </w:r>
      <w:r>
        <w:t>.</w:t>
      </w:r>
    </w:p>
    <w:p w:rsidR="005E0A0F" w:rsidRPr="00F54E27" w:rsidP="00D44D51" w14:paraId="6A6BF770" w14:textId="77777777">
      <w:pPr>
        <w:pStyle w:val="NormalWeb"/>
        <w:numPr>
          <w:ilvl w:val="0"/>
          <w:numId w:val="4"/>
        </w:numPr>
        <w:spacing w:line="288" w:lineRule="atLeast"/>
      </w:pPr>
      <w:r w:rsidRPr="00F54E27">
        <w:t xml:space="preserve">   </w:t>
      </w:r>
      <w:r w:rsidRPr="00F54E27">
        <w:t>Degree of accuracy needed for the Purpose discussed in the justification</w:t>
      </w:r>
      <w:r w:rsidR="009B53C1">
        <w:t>;</w:t>
      </w:r>
    </w:p>
    <w:p w:rsidR="00D44D51" w:rsidP="00D44D51" w14:paraId="4B006757" w14:textId="77777777">
      <w:pPr>
        <w:pStyle w:val="NormalWeb"/>
        <w:spacing w:line="288" w:lineRule="atLeast"/>
        <w:ind w:left="1620"/>
      </w:pPr>
      <w:r>
        <w:rPr>
          <w:b/>
          <w:bCs/>
        </w:rPr>
        <w:t xml:space="preserve">Focus groups: </w:t>
      </w:r>
      <w:r w:rsidRPr="002E0E6B">
        <w:t>No estimation procedures are being used.</w:t>
      </w:r>
      <w:r w:rsidRPr="00F54E27">
        <w:t xml:space="preserve"> </w:t>
      </w:r>
    </w:p>
    <w:p w:rsidR="00802270" w:rsidRPr="00F54E27" w:rsidP="00D44D51" w14:paraId="698964C5" w14:textId="77777777">
      <w:pPr>
        <w:pStyle w:val="NormalWeb"/>
        <w:spacing w:line="288" w:lineRule="atLeast"/>
        <w:ind w:left="1620"/>
      </w:pPr>
      <w:r>
        <w:rPr>
          <w:b/>
          <w:bCs/>
        </w:rPr>
        <w:t>Survey:</w:t>
      </w:r>
      <w:r>
        <w:t xml:space="preserve"> </w:t>
      </w:r>
      <w:r w:rsidRPr="00802270">
        <w:t>Determining the degree of accuracy involves considering primarily the sample size, margin of error and confidence level. These factors help quantify the survey's precision and how well it represents the views of the broader Hispanic</w:t>
      </w:r>
      <w:r w:rsidRPr="00841DF7" w:rsidR="00841DF7">
        <w:t>/Latino</w:t>
      </w:r>
      <w:r w:rsidRPr="00802270">
        <w:t xml:space="preserve"> population in the context of our survey’s objectives. We are calculating our degree of accuracy based on a sample size of 1500, a confidence level of 95% and a margin of error of 2.53%.  We are also assuming that margins of error for subgroups will be larger than for the total sample.</w:t>
      </w:r>
      <w:r>
        <w:t xml:space="preserve"> (Please refer to table provided above.)</w:t>
      </w:r>
    </w:p>
    <w:p w:rsidR="005E0A0F" w:rsidRPr="00F54E27" w:rsidP="00D44D51" w14:paraId="56EBD68C" w14:textId="77777777">
      <w:pPr>
        <w:pStyle w:val="NormalWeb"/>
        <w:numPr>
          <w:ilvl w:val="0"/>
          <w:numId w:val="4"/>
        </w:numPr>
        <w:spacing w:line="288" w:lineRule="atLeast"/>
      </w:pPr>
      <w:r w:rsidRPr="00F54E27">
        <w:t>Unusual problems requiring specialized sampling procedures; and</w:t>
      </w:r>
    </w:p>
    <w:p w:rsidR="00D44D51" w:rsidP="009016EF" w14:paraId="309291CD" w14:textId="77777777">
      <w:pPr>
        <w:pStyle w:val="NormalWeb"/>
        <w:spacing w:line="288" w:lineRule="atLeast"/>
        <w:ind w:left="1620"/>
      </w:pPr>
      <w:r>
        <w:rPr>
          <w:b/>
          <w:bCs/>
        </w:rPr>
        <w:t xml:space="preserve">Focus groups: </w:t>
      </w:r>
      <w:r w:rsidRPr="002E0E6B">
        <w:t>There are no unusual problems requiring specialized sampling procedures.</w:t>
      </w:r>
    </w:p>
    <w:p w:rsidR="00802270" w:rsidRPr="00F54E27" w:rsidP="009016EF" w14:paraId="01F03041" w14:textId="77777777">
      <w:pPr>
        <w:pStyle w:val="NormalWeb"/>
        <w:spacing w:line="288" w:lineRule="atLeast"/>
        <w:ind w:left="1620"/>
      </w:pPr>
      <w:r>
        <w:rPr>
          <w:b/>
          <w:bCs/>
        </w:rPr>
        <w:t>Survey:</w:t>
      </w:r>
      <w:r>
        <w:t xml:space="preserve"> </w:t>
      </w:r>
      <w:r w:rsidRPr="00802270">
        <w:t xml:space="preserve">We do not anticipate unusual problems that will require specialized sampling procedures. However, if certain segments of the </w:t>
      </w:r>
      <w:r w:rsidR="005D21F8">
        <w:t xml:space="preserve">U.S. </w:t>
      </w:r>
      <w:r w:rsidRPr="00802270">
        <w:t>Hispanic</w:t>
      </w:r>
      <w:r w:rsidRPr="00841DF7" w:rsidR="00841DF7">
        <w:t>/Latino</w:t>
      </w:r>
      <w:r w:rsidRPr="00802270">
        <w:t xml:space="preserve"> </w:t>
      </w:r>
      <w:r w:rsidR="005D21F8">
        <w:t>adult</w:t>
      </w:r>
      <w:r w:rsidRPr="00802270" w:rsidR="005D21F8">
        <w:t xml:space="preserve"> </w:t>
      </w:r>
      <w:r w:rsidRPr="00802270">
        <w:t>population are difficult to reach or underrepresented in traditional sampling frames (such individuals with limited English proficiency), we will employ innovative sampling methods, such as respondent-driven sampling, to ensure adequate representation. We do not anticipate this situation to occur.  Additionally, as with any survey, concerns about non-response bias or sample coverage may require us to implement weighting adjustments or post-stratification techniques to address these issues.</w:t>
      </w:r>
    </w:p>
    <w:p w:rsidR="005E0A0F" w:rsidRPr="00F54E27" w:rsidP="009016EF" w14:paraId="7677EBBA" w14:textId="77777777">
      <w:pPr>
        <w:pStyle w:val="NormalWeb"/>
        <w:numPr>
          <w:ilvl w:val="0"/>
          <w:numId w:val="4"/>
        </w:numPr>
        <w:spacing w:line="288" w:lineRule="atLeast"/>
      </w:pPr>
      <w:r w:rsidRPr="00F54E27">
        <w:t xml:space="preserve">   </w:t>
      </w:r>
      <w:r w:rsidRPr="00F54E27">
        <w:t>Use of periodic or cyclical data collections to reduce respondent burden.</w:t>
      </w:r>
    </w:p>
    <w:p w:rsidR="005F7BD3" w:rsidP="009016EF" w14:paraId="719B2EAA" w14:textId="77777777">
      <w:pPr>
        <w:pStyle w:val="NormalWeb"/>
        <w:spacing w:line="288" w:lineRule="atLeast"/>
        <w:ind w:left="1620"/>
      </w:pPr>
      <w:r>
        <w:rPr>
          <w:b/>
          <w:bCs/>
        </w:rPr>
        <w:t xml:space="preserve">Focus groups: </w:t>
      </w:r>
      <w:r w:rsidRPr="002E0E6B" w:rsidR="000923A6">
        <w:t>The focus groups for this study will be conducted one time with each of the participating Services.</w:t>
      </w:r>
    </w:p>
    <w:p w:rsidR="00802270" w:rsidRPr="00090F2B" w:rsidP="009016EF" w14:paraId="695A167B" w14:textId="77777777">
      <w:pPr>
        <w:pStyle w:val="NormalWeb"/>
        <w:spacing w:line="288" w:lineRule="atLeast"/>
        <w:ind w:left="1620"/>
      </w:pPr>
      <w:r>
        <w:rPr>
          <w:b/>
          <w:bCs/>
        </w:rPr>
        <w:t>Survey:</w:t>
      </w:r>
      <w:r>
        <w:t xml:space="preserve"> </w:t>
      </w:r>
      <w:r w:rsidRPr="002E0E6B">
        <w:t xml:space="preserve">The </w:t>
      </w:r>
      <w:r>
        <w:t>survey</w:t>
      </w:r>
      <w:r w:rsidRPr="002E0E6B">
        <w:t xml:space="preserve"> for this study will be conducted one time</w:t>
      </w:r>
      <w:r>
        <w:t>.</w:t>
      </w:r>
    </w:p>
    <w:p w:rsidR="005E0A0F" w:rsidRPr="00F54E27" w:rsidP="005E0A0F" w14:paraId="401D6E16" w14:textId="77777777">
      <w:pPr>
        <w:pStyle w:val="NormalWeb"/>
        <w:spacing w:line="288" w:lineRule="atLeast"/>
        <w:ind w:firstLine="900"/>
      </w:pPr>
      <w:r w:rsidRPr="00F54E27">
        <w:t xml:space="preserve">3.  </w:t>
      </w:r>
      <w:r w:rsidRPr="00F54E27">
        <w:rPr>
          <w:u w:val="single"/>
        </w:rPr>
        <w:t>Maximization of Response Rates, Non-response, and Reliability</w:t>
      </w:r>
    </w:p>
    <w:p w:rsidR="00C34C48" w:rsidRPr="00802270" w:rsidP="00802270" w14:paraId="44151011" w14:textId="70E27F27">
      <w:pPr>
        <w:pStyle w:val="NormalWeb"/>
        <w:spacing w:line="288" w:lineRule="atLeast"/>
        <w:ind w:left="1620"/>
        <w:rPr>
          <w:b/>
          <w:bCs/>
        </w:rPr>
      </w:pPr>
      <w:r>
        <w:rPr>
          <w:b/>
          <w:bCs/>
        </w:rPr>
        <w:t xml:space="preserve">Focus groups: </w:t>
      </w:r>
      <w:r w:rsidRPr="002E0E6B" w:rsidR="009016EF">
        <w:t xml:space="preserve">CNA will rely on the study’s designated </w:t>
      </w:r>
      <w:r w:rsidRPr="002E0E6B" w:rsidR="005F7BD3">
        <w:t xml:space="preserve">installation and Service-level </w:t>
      </w:r>
      <w:r w:rsidRPr="002E0E6B" w:rsidR="009016EF">
        <w:t>POCs to identify eligible focus group participants</w:t>
      </w:r>
      <w:r w:rsidRPr="002E0E6B" w:rsidR="005F7BD3">
        <w:t xml:space="preserve">, and then CNA will </w:t>
      </w:r>
      <w:r w:rsidR="00421964">
        <w:t xml:space="preserve">conduct </w:t>
      </w:r>
      <w:r w:rsidRPr="002E0E6B" w:rsidR="005F7BD3">
        <w:t xml:space="preserve">the recruitment efforts to help maintain </w:t>
      </w:r>
      <w:r w:rsidRPr="002E0E6B" w:rsidR="006C7A33">
        <w:t xml:space="preserve">participants’ </w:t>
      </w:r>
      <w:r w:rsidRPr="002E0E6B" w:rsidR="005F7BD3">
        <w:t>confidentiality and to help prevent any Servicemembers from feeling coerced to participate in focus groups.</w:t>
      </w:r>
    </w:p>
    <w:p w:rsidR="006F3F40" w:rsidP="00AD1E97" w14:paraId="7716405A" w14:textId="77777777">
      <w:pPr>
        <w:pStyle w:val="NormalWeb"/>
        <w:spacing w:line="288" w:lineRule="atLeast"/>
        <w:ind w:left="1620"/>
      </w:pPr>
      <w:r w:rsidRPr="002E0E6B">
        <w:t xml:space="preserve">To help focus group participants remember to attend their specific focus group sessions, </w:t>
      </w:r>
      <w:r w:rsidRPr="002E0E6B" w:rsidR="005F7BD3">
        <w:t xml:space="preserve">the CNA study team </w:t>
      </w:r>
      <w:r w:rsidRPr="002E0E6B">
        <w:t xml:space="preserve">will </w:t>
      </w:r>
      <w:r w:rsidRPr="002E0E6B" w:rsidR="00AD1E97">
        <w:t>email</w:t>
      </w:r>
      <w:r w:rsidRPr="002E0E6B">
        <w:t xml:space="preserve"> calendar invites to in-person </w:t>
      </w:r>
      <w:r w:rsidRPr="002E0E6B" w:rsidR="005F7BD3">
        <w:t xml:space="preserve">and </w:t>
      </w:r>
      <w:r w:rsidRPr="002E0E6B">
        <w:t xml:space="preserve">virtual focus group participants (CNA will ask focus group participants to confirm the correct email address to use for the calendar invite to ensure that </w:t>
      </w:r>
      <w:r w:rsidRPr="002E0E6B" w:rsidR="00AD1E97">
        <w:t>the participants receive it at the email address they prefer for the calendar invite).</w:t>
      </w:r>
    </w:p>
    <w:p w:rsidR="004A3535" w:rsidP="00AD1E97" w14:paraId="5A1E8877" w14:textId="0B95DF27">
      <w:pPr>
        <w:pStyle w:val="NormalWeb"/>
        <w:spacing w:line="288" w:lineRule="atLeast"/>
        <w:ind w:left="1620"/>
      </w:pPr>
      <w:r w:rsidRPr="004A3535">
        <w:t xml:space="preserve">We plan to supplement the qualitative data we collect through our focus groups with quantitative data from other sources, such as JAMRS. Recognizing that our focus group sample will not be sufficient to make our findings generalizable to the total population, we will use quantitative sources (such as JAMRS) to supplement our findings. The focus group inputs will provide additional information that can only be collected using qualitative means; they will provide context for many JAMRS findings. In other words, the use of the quantitative data (JAMRS) along with the qualitative data (focus groups) will be complimentary rather than duplicative: the quantitative data provide findings on the “what” and the focus groups will provide qualitative data that we are hoping will </w:t>
      </w:r>
      <w:r w:rsidR="008D163E">
        <w:t>help explain</w:t>
      </w:r>
      <w:r w:rsidRPr="004A3535">
        <w:t xml:space="preserve"> the “why”</w:t>
      </w:r>
      <w:r w:rsidR="008D163E">
        <w:t xml:space="preserve"> behind those responses.</w:t>
      </w:r>
      <w:r w:rsidRPr="004A3535">
        <w:t xml:space="preserve"> Additionally, we may consult the JAMRS data after collecting focus group data to identify and analyze any themes that emerge </w:t>
      </w:r>
      <w:r w:rsidR="008D163E">
        <w:t>consistently from</w:t>
      </w:r>
      <w:r w:rsidRPr="004A3535">
        <w:t xml:space="preserve"> both data sources.</w:t>
      </w:r>
    </w:p>
    <w:p w:rsidR="00802270" w:rsidRPr="00802270" w:rsidP="00802270" w14:paraId="2BAFB748" w14:textId="77777777">
      <w:pPr>
        <w:pStyle w:val="NormalWeb"/>
        <w:spacing w:line="288" w:lineRule="atLeast"/>
        <w:ind w:left="1620"/>
      </w:pPr>
      <w:r>
        <w:rPr>
          <w:b/>
          <w:bCs/>
        </w:rPr>
        <w:t xml:space="preserve">Survey: </w:t>
      </w:r>
      <w:r w:rsidRPr="00802270">
        <w:t>To maximize response rates and address instances of non-response in a survey of 1</w:t>
      </w:r>
      <w:r w:rsidR="001D1611">
        <w:t>,5</w:t>
      </w:r>
      <w:r w:rsidRPr="00802270">
        <w:t xml:space="preserve">00 </w:t>
      </w:r>
      <w:r w:rsidR="00951E0D">
        <w:t xml:space="preserve">eligible </w:t>
      </w:r>
      <w:r w:rsidRPr="00802270">
        <w:t>Hispanic</w:t>
      </w:r>
      <w:r w:rsidRPr="00841DF7" w:rsidR="00841DF7">
        <w:t>/Latino</w:t>
      </w:r>
      <w:r w:rsidRPr="00802270">
        <w:t xml:space="preserve"> </w:t>
      </w:r>
      <w:r w:rsidR="005D21F8">
        <w:t>adults</w:t>
      </w:r>
      <w:r w:rsidRPr="00802270" w:rsidR="005D21F8">
        <w:t xml:space="preserve"> </w:t>
      </w:r>
      <w:r w:rsidRPr="00802270">
        <w:t xml:space="preserve">in the United States, we will employ </w:t>
      </w:r>
      <w:r w:rsidR="00AF662F">
        <w:t>the following</w:t>
      </w:r>
      <w:r w:rsidRPr="00802270" w:rsidR="00AF662F">
        <w:t xml:space="preserve"> </w:t>
      </w:r>
      <w:r w:rsidRPr="00802270">
        <w:t>methods:</w:t>
      </w:r>
    </w:p>
    <w:p w:rsidR="00AF662F" w:rsidP="00AF662F" w14:paraId="0F16FEEE" w14:textId="77777777">
      <w:pPr>
        <w:pStyle w:val="NormalWeb"/>
        <w:numPr>
          <w:ilvl w:val="0"/>
          <w:numId w:val="6"/>
        </w:numPr>
        <w:spacing w:line="288" w:lineRule="atLeast"/>
      </w:pPr>
      <w:r w:rsidRPr="00802270">
        <w:t>Clear and Concise Communication: We will ensure that survey invitations and questions are clear, concise, and culturally sensitive to the Hispanic</w:t>
      </w:r>
      <w:r w:rsidRPr="00841DF7" w:rsidR="00841DF7">
        <w:t>/Latino</w:t>
      </w:r>
      <w:r w:rsidRPr="00802270">
        <w:t xml:space="preserve"> population.  We will use bilingual materials to accommodate respondents who may prefer Spanish.</w:t>
      </w:r>
    </w:p>
    <w:p w:rsidR="00802270" w:rsidP="00EA0EFA" w14:paraId="003EA5AA" w14:textId="77777777">
      <w:pPr>
        <w:pStyle w:val="NormalWeb"/>
        <w:numPr>
          <w:ilvl w:val="0"/>
          <w:numId w:val="6"/>
        </w:numPr>
        <w:spacing w:before="240" w:beforeAutospacing="0" w:line="288" w:lineRule="atLeast"/>
        <w:ind w:left="2347"/>
      </w:pPr>
      <w:r w:rsidRPr="00802270">
        <w:t xml:space="preserve">Multiple Modes of Data Collection: </w:t>
      </w:r>
      <w:r>
        <w:t>To gather data for our survey, we will implement a multifaceted approach to ensure a diverse range of responses from the U</w:t>
      </w:r>
      <w:r w:rsidR="005D21F8">
        <w:t>.</w:t>
      </w:r>
      <w:r>
        <w:t>S</w:t>
      </w:r>
      <w:r w:rsidR="005D21F8">
        <w:t>.</w:t>
      </w:r>
      <w:r>
        <w:t xml:space="preserve"> Hispanic</w:t>
      </w:r>
      <w:r w:rsidRPr="00841DF7" w:rsidR="00841DF7">
        <w:t>/Latino</w:t>
      </w:r>
      <w:r>
        <w:t xml:space="preserve"> </w:t>
      </w:r>
      <w:r w:rsidR="005D21F8">
        <w:t xml:space="preserve">adult </w:t>
      </w:r>
      <w:r>
        <w:t xml:space="preserve">demographic. Initially, we will employ ASISA's </w:t>
      </w:r>
      <w:r w:rsidRPr="002631EF" w:rsidR="00DA0A5B">
        <w:t xml:space="preserve">Computer Assisted Telephone Interview (CATI) </w:t>
      </w:r>
      <w:r>
        <w:t xml:space="preserve">system to reach out to a randomly selected </w:t>
      </w:r>
      <w:r w:rsidR="005D21F8">
        <w:t>sample of adults who identify as</w:t>
      </w:r>
      <w:r>
        <w:t xml:space="preserve"> Hispanic</w:t>
      </w:r>
      <w:r w:rsidRPr="00841DF7" w:rsidR="00841DF7">
        <w:t>/Latino</w:t>
      </w:r>
      <w:r>
        <w:t xml:space="preserve"> </w:t>
      </w:r>
      <w:r w:rsidR="005D21F8">
        <w:t xml:space="preserve">in publicly available U.S. </w:t>
      </w:r>
      <w:r>
        <w:t xml:space="preserve">voter registration </w:t>
      </w:r>
      <w:r w:rsidR="005D21F8">
        <w:t xml:space="preserve">records </w:t>
      </w:r>
      <w:r>
        <w:t xml:space="preserve">for </w:t>
      </w:r>
      <w:r w:rsidR="00DA0A5B">
        <w:t>the phone-based, CATI version of the survey (please see the Supporting Statement A for more detail on the CATI procedures)</w:t>
      </w:r>
      <w:r>
        <w:t>. Should the initial call go unanswered, we will attempt a second call and leave a voicemail providing a callback number for the recipient's convenience.</w:t>
      </w:r>
    </w:p>
    <w:p w:rsidR="00802270" w:rsidRPr="00B20774" w:rsidP="00EA0EFA" w14:paraId="7E661CE2" w14:textId="77777777">
      <w:pPr>
        <w:pStyle w:val="NormalWeb"/>
        <w:spacing w:line="288" w:lineRule="atLeast"/>
        <w:ind w:left="2340"/>
      </w:pPr>
      <w:r w:rsidRPr="00B20774">
        <w:t xml:space="preserve">If ASISA is unable to recruit the full survey sample using the CATI methodology, FIU will work through the online survey platform Qualtrics to field the survey online. Through this method, Qualtrics will field the online survey through survey panels made up of eligible individuals who provide their email addresses in the publicly available </w:t>
      </w:r>
      <w:r w:rsidR="005D21F8">
        <w:t xml:space="preserve">U.S. </w:t>
      </w:r>
      <w:r w:rsidRPr="00B20774">
        <w:t xml:space="preserve">voter registration records. </w:t>
      </w:r>
      <w:r w:rsidRPr="001D1611" w:rsidR="001D1611">
        <w:t xml:space="preserve">The online Qualtrics sample will be a new sample that is different from the sample used through the CATI system. This new Qualtrics sample will not include those who failed to respond to </w:t>
      </w:r>
      <w:r w:rsidR="005D21F8">
        <w:t>through the</w:t>
      </w:r>
      <w:r w:rsidRPr="001D1611" w:rsidR="005D21F8">
        <w:t xml:space="preserve"> </w:t>
      </w:r>
      <w:r w:rsidRPr="001D1611" w:rsidR="001D1611">
        <w:t>CATI system.</w:t>
      </w:r>
      <w:r w:rsidRPr="00B20774">
        <w:t xml:space="preserve"> Upon accessing the online survey through the provided URL, eligible individuals will be provided with </w:t>
      </w:r>
      <w:r w:rsidRPr="00B20774">
        <w:t>information about the study and their participation in the survey as part of the study and will be required to provide their informed consent prior to beginning the survey.</w:t>
      </w:r>
      <w:r w:rsidR="00AF662F">
        <w:t xml:space="preserve"> Each eligible individual will receive a unique </w:t>
      </w:r>
      <w:r w:rsidR="005D21F8">
        <w:t>URL</w:t>
      </w:r>
      <w:r w:rsidR="00AF662F">
        <w:t xml:space="preserve"> that will allow them to each complete and submit the survey once.</w:t>
      </w:r>
    </w:p>
    <w:p w:rsidR="00802270" w:rsidRPr="00802270" w:rsidP="00EA0EFA" w14:paraId="2E6EF7CD" w14:textId="77777777">
      <w:pPr>
        <w:pStyle w:val="NormalWeb"/>
        <w:spacing w:line="288" w:lineRule="atLeast"/>
        <w:ind w:left="2340"/>
      </w:pPr>
      <w:r>
        <w:t xml:space="preserve">Should these measures still fall short of our sample size goal, we will proceed to draw an additional </w:t>
      </w:r>
      <w:r w:rsidR="005D21F8">
        <w:t xml:space="preserve">random sample </w:t>
      </w:r>
      <w:r>
        <w:t xml:space="preserve">of </w:t>
      </w:r>
      <w:r w:rsidR="005D21F8">
        <w:t xml:space="preserve">eligible </w:t>
      </w:r>
      <w:r>
        <w:t xml:space="preserve">participants from the </w:t>
      </w:r>
      <w:r w:rsidR="005D21F8">
        <w:t xml:space="preserve">publicly available </w:t>
      </w:r>
      <w:r>
        <w:t>U</w:t>
      </w:r>
      <w:r w:rsidR="005D21F8">
        <w:t>.</w:t>
      </w:r>
      <w:r>
        <w:t>S</w:t>
      </w:r>
      <w:r w:rsidR="005D21F8">
        <w:t>.</w:t>
      </w:r>
      <w:r>
        <w:t xml:space="preserve"> Hispanic</w:t>
      </w:r>
      <w:r w:rsidRPr="00841DF7" w:rsidR="00841DF7">
        <w:t>/Latino</w:t>
      </w:r>
      <w:r>
        <w:t xml:space="preserve"> </w:t>
      </w:r>
      <w:r w:rsidR="005D21F8">
        <w:t>v</w:t>
      </w:r>
      <w:r>
        <w:t xml:space="preserve">oter registration </w:t>
      </w:r>
      <w:r w:rsidR="005D21F8">
        <w:t xml:space="preserve">records </w:t>
      </w:r>
      <w:r>
        <w:t>and reiterate the outlined process. By offering a combination of CATI and online surveys, we aim to cater to different preferences and levels of access to technology, thereby maximizing response rates and ensuring a comprehensive dataset.</w:t>
      </w:r>
    </w:p>
    <w:p w:rsidR="00802270" w:rsidRPr="00802270" w:rsidP="00EA0EFA" w14:paraId="72253256" w14:textId="77777777">
      <w:pPr>
        <w:pStyle w:val="NormalWeb"/>
        <w:numPr>
          <w:ilvl w:val="0"/>
          <w:numId w:val="6"/>
        </w:numPr>
        <w:spacing w:before="240" w:beforeAutospacing="0" w:line="288" w:lineRule="atLeast"/>
        <w:ind w:left="2347"/>
      </w:pPr>
      <w:r w:rsidRPr="00802270">
        <w:t xml:space="preserve">Incentives: we will not provide monetary or other incentives.  </w:t>
      </w:r>
    </w:p>
    <w:p w:rsidR="00802270" w:rsidRPr="00802270" w:rsidP="00EA0EFA" w14:paraId="1808F64B" w14:textId="77777777">
      <w:pPr>
        <w:pStyle w:val="NormalWeb"/>
        <w:numPr>
          <w:ilvl w:val="0"/>
          <w:numId w:val="6"/>
        </w:numPr>
        <w:spacing w:before="240" w:beforeAutospacing="0" w:line="288" w:lineRule="atLeast"/>
        <w:ind w:left="2347"/>
      </w:pPr>
      <w:r>
        <w:t>Targeted Recruitment Materials</w:t>
      </w:r>
      <w:r w:rsidRPr="00B03545">
        <w:t xml:space="preserve">:  </w:t>
      </w:r>
      <w:r>
        <w:t>For the Qualtrics online version of the survey, we will email separate</w:t>
      </w:r>
      <w:r w:rsidRPr="00B03545">
        <w:t xml:space="preserve"> </w:t>
      </w:r>
      <w:r w:rsidRPr="00802270">
        <w:t xml:space="preserve">survey invitations and follow-up reminders </w:t>
      </w:r>
      <w:r>
        <w:t xml:space="preserve">to each eligible individual (i.e., not mass emails) </w:t>
      </w:r>
      <w:r w:rsidRPr="00802270">
        <w:t>to make respondents feel valued and more likely to participate.</w:t>
      </w:r>
      <w:r w:rsidR="00AF662F">
        <w:t xml:space="preserve"> </w:t>
      </w:r>
    </w:p>
    <w:p w:rsidR="00802270" w:rsidRPr="00802270" w:rsidP="00EA0EFA" w14:paraId="2ADD6833" w14:textId="77777777">
      <w:pPr>
        <w:pStyle w:val="NormalWeb"/>
        <w:numPr>
          <w:ilvl w:val="0"/>
          <w:numId w:val="6"/>
        </w:numPr>
        <w:spacing w:before="240" w:beforeAutospacing="0" w:line="288" w:lineRule="atLeast"/>
        <w:ind w:left="2347"/>
      </w:pPr>
      <w:r w:rsidRPr="00802270">
        <w:t>Follow-up: We will implement a systematic follow-up procedure for non-respondents, which may include: one phone call and a voice mail message</w:t>
      </w:r>
      <w:r w:rsidR="00DA0A5B">
        <w:t xml:space="preserve"> for the CATI version of the survey and a follow-up email invitation for the Qualtrics version of the survey</w:t>
      </w:r>
      <w:r w:rsidRPr="00802270">
        <w:t>.</w:t>
      </w:r>
    </w:p>
    <w:p w:rsidR="00802270" w:rsidRPr="00802270" w:rsidP="00EA0EFA" w14:paraId="0AF334E9" w14:textId="77777777">
      <w:pPr>
        <w:pStyle w:val="NormalWeb"/>
        <w:numPr>
          <w:ilvl w:val="0"/>
          <w:numId w:val="6"/>
        </w:numPr>
        <w:spacing w:before="240" w:beforeAutospacing="0" w:line="288" w:lineRule="atLeast"/>
        <w:ind w:left="2347"/>
      </w:pPr>
      <w:r w:rsidRPr="00802270">
        <w:t>Establishing Trust: We will clearly communicate the purpose of the</w:t>
      </w:r>
      <w:r w:rsidR="00AF662F">
        <w:t xml:space="preserve"> </w:t>
      </w:r>
      <w:r w:rsidRPr="00802270">
        <w:t>survey, how the data will be used, and assure respondents of confidentiality. Building trust encourages participation.</w:t>
      </w:r>
    </w:p>
    <w:p w:rsidR="00802270" w:rsidRPr="00802270" w:rsidP="00802270" w14:paraId="2F4193F4" w14:textId="77777777">
      <w:pPr>
        <w:pStyle w:val="NormalWeb"/>
        <w:spacing w:line="288" w:lineRule="atLeast"/>
        <w:ind w:left="1620"/>
      </w:pPr>
      <w:r w:rsidRPr="00802270">
        <w:t>To ensure the accuracy and reliability of responses</w:t>
      </w:r>
      <w:r w:rsidR="00DA0A5B">
        <w:t xml:space="preserve">, we will </w:t>
      </w:r>
      <w:r w:rsidR="008013D5">
        <w:t>employ the following methods</w:t>
      </w:r>
      <w:r w:rsidRPr="00802270">
        <w:t>:</w:t>
      </w:r>
    </w:p>
    <w:p w:rsidR="00802270" w:rsidRPr="00802270" w:rsidP="00EA0EFA" w14:paraId="01D5D228" w14:textId="77777777">
      <w:pPr>
        <w:pStyle w:val="NormalWeb"/>
        <w:numPr>
          <w:ilvl w:val="0"/>
          <w:numId w:val="6"/>
        </w:numPr>
        <w:spacing w:before="240" w:beforeAutospacing="0" w:line="288" w:lineRule="atLeast"/>
        <w:ind w:left="2347"/>
      </w:pPr>
      <w:r w:rsidRPr="00802270">
        <w:t>Random Sampling: We will ensure that the sample of 1,500 Hispanic</w:t>
      </w:r>
      <w:r w:rsidRPr="00841DF7" w:rsidR="00841DF7">
        <w:t>/Latino</w:t>
      </w:r>
      <w:r w:rsidRPr="00802270">
        <w:t xml:space="preserve"> </w:t>
      </w:r>
      <w:r w:rsidR="005D21F8">
        <w:t>adults</w:t>
      </w:r>
      <w:r w:rsidRPr="00802270" w:rsidR="005D21F8">
        <w:t xml:space="preserve"> </w:t>
      </w:r>
      <w:r w:rsidRPr="00802270">
        <w:t>is randomly selected from the population of interest. Random sampling helps to reduce bias and allows for generalizability of findings to the broader Hispanic</w:t>
      </w:r>
      <w:r w:rsidRPr="00841DF7" w:rsidR="00841DF7">
        <w:t>/Latino</w:t>
      </w:r>
      <w:r w:rsidRPr="00802270">
        <w:t xml:space="preserve"> </w:t>
      </w:r>
      <w:r w:rsidR="005D21F8">
        <w:t>adult</w:t>
      </w:r>
      <w:r w:rsidRPr="00802270" w:rsidR="005D21F8">
        <w:t xml:space="preserve"> </w:t>
      </w:r>
      <w:r w:rsidRPr="00802270">
        <w:t>population in the United States.</w:t>
      </w:r>
    </w:p>
    <w:p w:rsidR="008013D5" w:rsidP="008013D5" w14:paraId="02EC0C32" w14:textId="77777777">
      <w:pPr>
        <w:pStyle w:val="NormalWeb"/>
        <w:numPr>
          <w:ilvl w:val="0"/>
          <w:numId w:val="6"/>
        </w:numPr>
        <w:spacing w:before="240" w:beforeAutospacing="0" w:line="288" w:lineRule="atLeast"/>
        <w:ind w:left="2347"/>
      </w:pPr>
      <w:r>
        <w:t xml:space="preserve">Filter questions: Before receiving the first survey question, each respondent will be asked </w:t>
      </w:r>
      <w:r w:rsidR="005D21F8">
        <w:t xml:space="preserve">two </w:t>
      </w:r>
      <w:r>
        <w:t>filter questions to ensure that only those who are eligible can participate in the survey</w:t>
      </w:r>
      <w:r w:rsidR="00982107">
        <w:t xml:space="preserve"> (the filter questions </w:t>
      </w:r>
      <w:r w:rsidRPr="00982107" w:rsidR="00982107">
        <w:t>ask whether respondents identify as Hispanic/Latino and whether they are at least 18 years of age</w:t>
      </w:r>
      <w:r w:rsidR="00982107">
        <w:t>)</w:t>
      </w:r>
      <w:r>
        <w:t>.</w:t>
      </w:r>
    </w:p>
    <w:p w:rsidR="008013D5" w:rsidRPr="00802270" w:rsidP="008013D5" w14:paraId="349C8E78" w14:textId="77777777">
      <w:pPr>
        <w:pStyle w:val="NormalWeb"/>
        <w:numPr>
          <w:ilvl w:val="0"/>
          <w:numId w:val="6"/>
        </w:numPr>
        <w:spacing w:before="240" w:beforeAutospacing="0" w:line="288" w:lineRule="atLeast"/>
        <w:ind w:left="2347"/>
      </w:pPr>
      <w:r>
        <w:t>Targeted Recruitment Materials</w:t>
      </w:r>
      <w:r w:rsidRPr="00B03545">
        <w:t xml:space="preserve">:  </w:t>
      </w:r>
      <w:r>
        <w:t xml:space="preserve">As mentioned above, each eligible individual included in the sample(s) for the Qualtrics online survey will receive a unique </w:t>
      </w:r>
      <w:r w:rsidR="005D21F8">
        <w:t>URL</w:t>
      </w:r>
      <w:r>
        <w:t xml:space="preserve"> that will allow them to each complete and submit the survey once. U</w:t>
      </w:r>
      <w:r w:rsidRPr="00485F8B">
        <w:t xml:space="preserve">se of unique </w:t>
      </w:r>
      <w:r w:rsidRPr="00485F8B" w:rsidR="005D21F8">
        <w:t>URLs</w:t>
      </w:r>
      <w:r w:rsidRPr="00485F8B">
        <w:t xml:space="preserve"> sent through targeted recruitment emails also ensures that only those who are eligible can access the survey.</w:t>
      </w:r>
    </w:p>
    <w:p w:rsidR="00802270" w:rsidRPr="00802270" w:rsidP="00EA0EFA" w14:paraId="751253D3" w14:textId="77777777">
      <w:pPr>
        <w:pStyle w:val="NormalWeb"/>
        <w:numPr>
          <w:ilvl w:val="0"/>
          <w:numId w:val="6"/>
        </w:numPr>
        <w:spacing w:before="240" w:beforeAutospacing="0" w:line="288" w:lineRule="atLeast"/>
        <w:ind w:left="2347"/>
      </w:pPr>
      <w:r w:rsidRPr="00802270">
        <w:t xml:space="preserve">Data Cleaning: We will implement procedures to clean and verify the data collected, such as removing incomplete responses </w:t>
      </w:r>
      <w:r w:rsidR="00DA0A5B">
        <w:t xml:space="preserve">(defined as those completing less than 75 percent of the survey) </w:t>
      </w:r>
      <w:r w:rsidRPr="00802270">
        <w:t>that may skew results.</w:t>
      </w:r>
    </w:p>
    <w:p w:rsidR="00802270" w:rsidRPr="00802270" w:rsidP="00EA0EFA" w14:paraId="5B26ADBA" w14:textId="77777777">
      <w:pPr>
        <w:pStyle w:val="NormalWeb"/>
        <w:numPr>
          <w:ilvl w:val="0"/>
          <w:numId w:val="6"/>
        </w:numPr>
        <w:spacing w:before="240" w:beforeAutospacing="0" w:line="288" w:lineRule="atLeast"/>
        <w:ind w:left="2347"/>
      </w:pPr>
      <w:r w:rsidRPr="00802270">
        <w:t xml:space="preserve">Statistical Analysis: </w:t>
      </w:r>
      <w:r w:rsidRPr="007C07CA" w:rsidR="007C07CA">
        <w:t>We will utilize appropriate statistical techniques to analyze the data, ensuring that conclusions drawn from the survey results are robust and reliable. Specifically, we will stratify our sample by gender, state, age group, and income level, to ensure it is representative of the U</w:t>
      </w:r>
      <w:r w:rsidR="00982107">
        <w:t>.</w:t>
      </w:r>
      <w:r w:rsidRPr="007C07CA" w:rsidR="007C07CA">
        <w:t>S</w:t>
      </w:r>
      <w:r w:rsidR="00982107">
        <w:t>.</w:t>
      </w:r>
      <w:r w:rsidRPr="007C07CA" w:rsidR="007C07CA">
        <w:t xml:space="preserve"> population as represented in the American Community Survey. After cleaning the final dataset of respondents who completed at least 75 percent of the survey, we will run frequencies, generate cross tabs, conduct t-tests (with associated margins of error), and conduct regression analysis.</w:t>
      </w:r>
    </w:p>
    <w:p w:rsidR="00802270" w:rsidRPr="00802270" w:rsidP="00EA0EFA" w14:paraId="75E39DF2" w14:textId="77777777">
      <w:pPr>
        <w:pStyle w:val="NormalWeb"/>
        <w:numPr>
          <w:ilvl w:val="0"/>
          <w:numId w:val="6"/>
        </w:numPr>
        <w:spacing w:before="240" w:beforeAutospacing="0" w:line="288" w:lineRule="atLeast"/>
        <w:ind w:left="2347"/>
      </w:pPr>
      <w:r w:rsidRPr="00802270">
        <w:t>Expert Review: We have consulted with FIU experts in survey methodology and Hispanic</w:t>
      </w:r>
      <w:r w:rsidRPr="00841DF7" w:rsidR="00841DF7">
        <w:t>/Latino</w:t>
      </w:r>
      <w:r w:rsidRPr="00802270">
        <w:t xml:space="preserve"> demographics who reviewed the survey instrument and methodology to ensure validity and reliability</w:t>
      </w:r>
      <w:r>
        <w:t>.</w:t>
      </w:r>
      <w:r w:rsidR="00DA0A5B">
        <w:t xml:space="preserve"> The survey methodology, procedures, and materials will also go through D</w:t>
      </w:r>
      <w:r w:rsidR="00F3356D">
        <w:t>o</w:t>
      </w:r>
      <w:r w:rsidR="00DA0A5B">
        <w:t>D expert review as part of the PRA/OMB review process.</w:t>
      </w:r>
    </w:p>
    <w:p w:rsidR="005E0A0F" w:rsidRPr="00F54E27" w:rsidP="005E0A0F" w14:paraId="382F43E7" w14:textId="77777777">
      <w:pPr>
        <w:pStyle w:val="NormalWeb"/>
        <w:spacing w:line="288" w:lineRule="atLeast"/>
        <w:ind w:firstLine="900"/>
      </w:pPr>
      <w:r w:rsidRPr="00F54E27">
        <w:t xml:space="preserve">4.  </w:t>
      </w:r>
      <w:r w:rsidRPr="00F54E27">
        <w:rPr>
          <w:u w:val="single"/>
        </w:rPr>
        <w:t>Tests of Procedures</w:t>
      </w:r>
    </w:p>
    <w:p w:rsidR="00A93CBF" w:rsidP="00C34C48" w14:paraId="084CB97B" w14:textId="77777777">
      <w:pPr>
        <w:pStyle w:val="NormalWeb"/>
        <w:spacing w:line="288" w:lineRule="atLeast"/>
        <w:ind w:left="1620"/>
      </w:pPr>
      <w:r>
        <w:rPr>
          <w:b/>
          <w:bCs/>
        </w:rPr>
        <w:t xml:space="preserve">Focus groups: </w:t>
      </w:r>
      <w:r w:rsidRPr="002E0E6B" w:rsidR="00C34C48">
        <w:t>Focus groups questions were developed by CNA and reviewed by the sponsor to ensure that all questions are appropriate and useful for their intended purposes.</w:t>
      </w:r>
    </w:p>
    <w:p w:rsidR="00802270" w:rsidRPr="00802270" w:rsidP="00802270" w14:paraId="02745EE2" w14:textId="77777777">
      <w:pPr>
        <w:pStyle w:val="NormalWeb"/>
        <w:spacing w:line="288" w:lineRule="atLeast"/>
        <w:ind w:left="1620"/>
      </w:pPr>
      <w:r>
        <w:rPr>
          <w:b/>
          <w:bCs/>
        </w:rPr>
        <w:t>Survey:</w:t>
      </w:r>
      <w:r>
        <w:t xml:space="preserve"> </w:t>
      </w:r>
      <w:r w:rsidRPr="00802270">
        <w:t xml:space="preserve">To ensure the effectiveness and efficiency of data collection procedures for the random sample of 1,500 </w:t>
      </w:r>
      <w:r w:rsidR="00F3356D">
        <w:t xml:space="preserve">eligible </w:t>
      </w:r>
      <w:r w:rsidRPr="00802270">
        <w:t>Hispanic</w:t>
      </w:r>
      <w:r w:rsidRPr="00841DF7" w:rsidR="00841DF7">
        <w:t>/Latino</w:t>
      </w:r>
      <w:r w:rsidRPr="00802270">
        <w:t xml:space="preserve"> </w:t>
      </w:r>
      <w:r w:rsidR="00F3356D">
        <w:t>adults</w:t>
      </w:r>
      <w:r w:rsidRPr="00802270" w:rsidR="00F3356D">
        <w:t xml:space="preserve"> </w:t>
      </w:r>
      <w:r w:rsidRPr="00802270">
        <w:t xml:space="preserve">in the United States, we will undertake </w:t>
      </w:r>
      <w:r w:rsidR="00513645">
        <w:t>the following</w:t>
      </w:r>
      <w:r w:rsidRPr="00802270" w:rsidR="00513645">
        <w:t xml:space="preserve"> </w:t>
      </w:r>
      <w:r w:rsidRPr="00802270">
        <w:t>tests of procedures and methods:</w:t>
      </w:r>
    </w:p>
    <w:p w:rsidR="00802270" w:rsidRPr="00802270" w:rsidP="00E41BD5" w14:paraId="4568A43F" w14:textId="77777777">
      <w:pPr>
        <w:pStyle w:val="NormalWeb"/>
        <w:numPr>
          <w:ilvl w:val="0"/>
          <w:numId w:val="6"/>
        </w:numPr>
        <w:spacing w:before="240" w:beforeAutospacing="0" w:line="288" w:lineRule="atLeast"/>
        <w:ind w:left="2347"/>
      </w:pPr>
      <w:r w:rsidRPr="00802270">
        <w:t xml:space="preserve">Usability Testing: We will assess the usability of the data collection tools being used. We work closely with our vendor to ensure that our needs are met. We will ensure that the platform is user-friendly and accessible to respondents.    </w:t>
      </w:r>
    </w:p>
    <w:p w:rsidR="00802270" w:rsidRPr="00802270" w:rsidP="00E41BD5" w14:paraId="5A71DBCE" w14:textId="77777777">
      <w:pPr>
        <w:pStyle w:val="NormalWeb"/>
        <w:numPr>
          <w:ilvl w:val="0"/>
          <w:numId w:val="6"/>
        </w:numPr>
        <w:spacing w:before="240" w:beforeAutospacing="0" w:line="288" w:lineRule="atLeast"/>
        <w:ind w:left="2347"/>
      </w:pPr>
      <w:r w:rsidRPr="00802270">
        <w:t>Response Time Analysis: We will monitor the time taken by respondents to complete the survey.</w:t>
      </w:r>
    </w:p>
    <w:p w:rsidR="00802270" w:rsidRPr="00802270" w:rsidP="00E41BD5" w14:paraId="5D0A534A" w14:textId="77777777">
      <w:pPr>
        <w:pStyle w:val="NormalWeb"/>
        <w:numPr>
          <w:ilvl w:val="0"/>
          <w:numId w:val="6"/>
        </w:numPr>
        <w:spacing w:before="240" w:beforeAutospacing="0" w:line="288" w:lineRule="atLeast"/>
        <w:ind w:left="2347"/>
      </w:pPr>
      <w:r w:rsidRPr="00802270">
        <w:t>Interviewer Training: We will provide comprehensive training to ensure consistency in administration and data collection procedures.</w:t>
      </w:r>
    </w:p>
    <w:p w:rsidR="00802270" w:rsidRPr="002E0E6B" w:rsidP="00802270" w14:paraId="702A1579" w14:textId="77777777">
      <w:pPr>
        <w:pStyle w:val="NormalWeb"/>
        <w:spacing w:line="288" w:lineRule="atLeast"/>
        <w:ind w:left="1620"/>
      </w:pPr>
      <w:r w:rsidRPr="00802270">
        <w:t>By conducting these tests of procedures and methods, we will reduce respondent burden, and improve the overall utility and effectiveness of data collection for the sample of 1,500 Hispanic</w:t>
      </w:r>
      <w:r w:rsidRPr="00841DF7" w:rsidR="00841DF7">
        <w:t>/Latino</w:t>
      </w:r>
      <w:r w:rsidRPr="00802270">
        <w:t xml:space="preserve"> </w:t>
      </w:r>
      <w:r w:rsidR="00F3356D">
        <w:t>adults</w:t>
      </w:r>
      <w:r w:rsidRPr="00802270" w:rsidR="00F3356D">
        <w:t xml:space="preserve"> </w:t>
      </w:r>
      <w:r w:rsidRPr="00802270">
        <w:t>in the United States.</w:t>
      </w:r>
    </w:p>
    <w:p w:rsidR="005E0A0F" w:rsidRPr="00F54E27" w:rsidP="005E0A0F" w14:paraId="1986A9C3" w14:textId="77777777">
      <w:pPr>
        <w:pStyle w:val="NormalWeb"/>
        <w:spacing w:line="288" w:lineRule="atLeast"/>
        <w:ind w:firstLine="900"/>
      </w:pPr>
      <w:r w:rsidRPr="00F54E27">
        <w:t xml:space="preserve">5.  </w:t>
      </w:r>
      <w:r w:rsidRPr="00F54E27">
        <w:rPr>
          <w:u w:val="single"/>
        </w:rPr>
        <w:t>Statistical Consultation and Information Analysis</w:t>
      </w:r>
    </w:p>
    <w:p w:rsidR="00F434B6" w:rsidRPr="00F54E27" w:rsidP="00802270" w14:paraId="5E2B5968" w14:textId="77777777">
      <w:pPr>
        <w:pStyle w:val="NormalWeb"/>
        <w:spacing w:line="288" w:lineRule="atLeast"/>
        <w:ind w:left="1260"/>
      </w:pPr>
      <w:r w:rsidRPr="00F54E27">
        <w:t>a. </w:t>
      </w:r>
      <w:r w:rsidRPr="00F54E27" w:rsidR="005E0A0F">
        <w:t>Provide names and telephone number of individual(s) consulted on statistical aspects of the design.</w:t>
      </w:r>
    </w:p>
    <w:p w:rsidR="00C34C48" w:rsidP="00C34C48" w14:paraId="4011D421" w14:textId="77777777">
      <w:pPr>
        <w:pStyle w:val="NormalWeb"/>
        <w:spacing w:line="288" w:lineRule="atLeast"/>
        <w:ind w:left="1620"/>
      </w:pPr>
      <w:r>
        <w:rPr>
          <w:b/>
          <w:bCs/>
        </w:rPr>
        <w:t xml:space="preserve">Focus groups: </w:t>
      </w:r>
      <w:r w:rsidRPr="002E0E6B">
        <w:t>There was no consultation on the study design outside of the CNA team and the sponsor.</w:t>
      </w:r>
    </w:p>
    <w:p w:rsidR="00802270" w:rsidP="00802270" w14:paraId="0703DEAB" w14:textId="77777777">
      <w:pPr>
        <w:pStyle w:val="NormalWeb"/>
        <w:spacing w:line="288" w:lineRule="atLeast"/>
        <w:ind w:left="1620"/>
      </w:pPr>
      <w:r>
        <w:rPr>
          <w:b/>
          <w:bCs/>
        </w:rPr>
        <w:t>Survey:</w:t>
      </w:r>
      <w:r>
        <w:t xml:space="preserve"> </w:t>
      </w:r>
    </w:p>
    <w:p w:rsidR="00802270" w:rsidRPr="00802270" w:rsidP="00802270" w14:paraId="3A81F015" w14:textId="77777777">
      <w:pPr>
        <w:pStyle w:val="NormalWeb"/>
        <w:spacing w:line="288" w:lineRule="atLeast"/>
        <w:ind w:left="1620"/>
      </w:pPr>
      <w:r w:rsidRPr="00802270">
        <w:t>Eduardo A. Gamarra, Professor, Department of Politics and International Relations and Director of the Latino Public Opinion Forum, FIU (305) 348-1718</w:t>
      </w:r>
    </w:p>
    <w:p w:rsidR="00802270" w:rsidRPr="00802270" w:rsidP="00802270" w14:paraId="25E424AE" w14:textId="77777777">
      <w:pPr>
        <w:pStyle w:val="NormalWeb"/>
        <w:spacing w:line="288" w:lineRule="atLeast"/>
        <w:ind w:left="1620"/>
      </w:pPr>
      <w:r w:rsidRPr="00802270">
        <w:t>Jose Miguel Cruz, Director of Research, Latin American and Caribbean Center, FIU (305) 348-2894</w:t>
      </w:r>
    </w:p>
    <w:p w:rsidR="00802270" w:rsidRPr="00802270" w:rsidP="00802270" w14:paraId="3C5FF2E4" w14:textId="77777777">
      <w:pPr>
        <w:pStyle w:val="NormalWeb"/>
        <w:spacing w:line="288" w:lineRule="atLeast"/>
        <w:ind w:left="1620"/>
      </w:pPr>
      <w:r w:rsidRPr="00802270">
        <w:t>Dr. Guillermo Grenier, Professor, Department of Global &amp; Sociocultural Studies, Florida International University   (305) 348-3217</w:t>
      </w:r>
    </w:p>
    <w:p w:rsidR="00802270" w:rsidRPr="002E0E6B" w:rsidP="00802270" w14:paraId="47F5D9D6" w14:textId="77777777">
      <w:pPr>
        <w:pStyle w:val="NormalWeb"/>
        <w:spacing w:line="288" w:lineRule="atLeast"/>
        <w:ind w:left="1620"/>
      </w:pPr>
      <w:r w:rsidRPr="00802270">
        <w:t>Qing Lai, PhD, Associate Professor of Demography and Sociology, Graduate Program Director, Department of Global &amp; Sociocultural Studies, Florida International University, SIPA 313 (305) 348-6663</w:t>
      </w:r>
    </w:p>
    <w:p w:rsidR="00F1447C" w:rsidRPr="00F54E27" w:rsidP="00802270" w14:paraId="3DB2CBBF" w14:textId="77777777">
      <w:pPr>
        <w:pStyle w:val="NormalWeb"/>
        <w:spacing w:line="288" w:lineRule="atLeast"/>
        <w:ind w:left="1260"/>
      </w:pPr>
      <w:r w:rsidRPr="00F54E27">
        <w:t>b. </w:t>
      </w:r>
      <w:r w:rsidRPr="00F54E27" w:rsidR="005E0A0F">
        <w:t>Provide name and organization of person(s) who will actually collect and analyze the collected information.</w:t>
      </w:r>
    </w:p>
    <w:p w:rsidR="00C34C48" w:rsidP="00C34C48" w14:paraId="0F3F3289" w14:textId="77777777">
      <w:pPr>
        <w:pStyle w:val="NormalWeb"/>
        <w:spacing w:line="288" w:lineRule="atLeast"/>
        <w:ind w:left="1620"/>
      </w:pPr>
      <w:r w:rsidRPr="00802270">
        <w:rPr>
          <w:b/>
          <w:bCs/>
        </w:rPr>
        <w:t>Focus groups:</w:t>
      </w:r>
      <w:r>
        <w:rPr>
          <w:b/>
          <w:bCs/>
        </w:rPr>
        <w:t xml:space="preserve"> </w:t>
      </w:r>
      <w:r w:rsidRPr="002E0E6B" w:rsidR="000923A6">
        <w:t>Lauren Malone</w:t>
      </w:r>
      <w:r w:rsidRPr="002E0E6B">
        <w:t xml:space="preserve">, CNA, will be the lead analyst responsible for collecting and analyzing focus group data. </w:t>
      </w:r>
    </w:p>
    <w:p w:rsidR="008F4D68" w:rsidP="008F4D68" w14:paraId="06826493" w14:textId="77777777">
      <w:pPr>
        <w:pStyle w:val="NormalWeb"/>
        <w:spacing w:line="288" w:lineRule="atLeast"/>
        <w:ind w:left="1620"/>
      </w:pPr>
      <w:r w:rsidRPr="00802270">
        <w:rPr>
          <w:b/>
          <w:bCs/>
        </w:rPr>
        <w:t>Survey:</w:t>
      </w:r>
      <w:r w:rsidRPr="00802270">
        <w:t xml:space="preserve"> </w:t>
      </w:r>
    </w:p>
    <w:p w:rsidR="008F4D68" w:rsidP="008F4D68" w14:paraId="535914B9" w14:textId="77777777">
      <w:pPr>
        <w:pStyle w:val="NormalWeb"/>
        <w:spacing w:line="288" w:lineRule="atLeast"/>
        <w:ind w:left="1620"/>
      </w:pPr>
      <w:r w:rsidRPr="00802270">
        <w:t xml:space="preserve">ASISA Research Group </w:t>
      </w:r>
      <w:hyperlink r:id="rId6" w:history="1">
        <w:r w:rsidRPr="00802270">
          <w:t>https://asisaresearch.com/about-us/?lang=en</w:t>
        </w:r>
      </w:hyperlink>
      <w:r w:rsidRPr="00802270">
        <w:t xml:space="preserve"> 1-305-850-6755</w:t>
      </w:r>
    </w:p>
    <w:p w:rsidR="00802270" w:rsidRPr="002E0E6B" w:rsidP="008F4D68" w14:paraId="1B7CD553" w14:textId="77777777">
      <w:pPr>
        <w:pStyle w:val="NormalWeb"/>
        <w:spacing w:line="288" w:lineRule="atLeast"/>
        <w:ind w:left="1620"/>
      </w:pPr>
      <w:r w:rsidRPr="00802270">
        <w:t>Overall supervision by Eduardo A. Gamarra, Professor, FIU</w:t>
      </w:r>
    </w:p>
    <w:p w:rsidR="00C34C48" w:rsidRPr="00F92085" w:rsidP="00F434B6" w14:paraId="1F109C02" w14:textId="77777777">
      <w:pPr>
        <w:pStyle w:val="NormalWeb"/>
        <w:spacing w:line="288" w:lineRule="atLeast"/>
        <w:ind w:firstLine="1260"/>
      </w:pPr>
    </w:p>
    <w:sectPr w:rsidSect="00E9086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20D68C18" w14:textId="77777777">
    <w:pPr>
      <w:pStyle w:val="Footer"/>
      <w:jc w:val="center"/>
    </w:pPr>
    <w:r>
      <w:fldChar w:fldCharType="begin"/>
    </w:r>
    <w:r>
      <w:instrText xml:space="preserve"> PAGE   \* MERGEFORMAT </w:instrText>
    </w:r>
    <w:r>
      <w:fldChar w:fldCharType="separate"/>
    </w:r>
    <w:r w:rsidR="00B74856">
      <w:rPr>
        <w:noProof/>
      </w:rPr>
      <w:t>2</w:t>
    </w:r>
    <w:r>
      <w:fldChar w:fldCharType="end"/>
    </w:r>
  </w:p>
  <w:p w:rsidR="00977A74" w14:paraId="61C931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1EB7" w:rsidP="00977A74" w14:paraId="7E73B152" w14:textId="77777777">
      <w:r>
        <w:separator/>
      </w:r>
    </w:p>
  </w:footnote>
  <w:footnote w:type="continuationSeparator" w:id="1">
    <w:p w:rsidR="00621EB7" w:rsidP="00977A74" w14:paraId="77566D99" w14:textId="77777777">
      <w:r>
        <w:continuationSeparator/>
      </w:r>
    </w:p>
  </w:footnote>
  <w:footnote w:id="2">
    <w:p w:rsidR="004A3535" w14:paraId="0722466D" w14:textId="54D54C22">
      <w:pPr>
        <w:pStyle w:val="FootnoteText"/>
      </w:pPr>
      <w:r>
        <w:rPr>
          <w:rStyle w:val="FootnoteReference"/>
        </w:rPr>
        <w:footnoteRef/>
      </w:r>
      <w:r>
        <w:t xml:space="preserve"> Due to the small number of recruiters within the </w:t>
      </w:r>
      <w:r w:rsidRPr="004A3535">
        <w:t>Space Force population, we will be conducting focus groups with a smaller number of Space Force recruiters (10 rather than 20), to help protect confidentiality and to reduce the overall respondent burden on that population.</w:t>
      </w:r>
      <w:r>
        <w:t xml:space="preserve"> </w:t>
      </w:r>
      <w:r w:rsidRPr="004A3535">
        <w:t>Please note that focus groups with recruiters will be conducted virtually, so we will not know their locations</w:t>
      </w:r>
      <w:r w:rsidR="00090633">
        <w:t xml:space="preserve"> (i.e., it will not be possible to identify which recruiters participated)</w:t>
      </w:r>
      <w:r w:rsidRPr="004A353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57053"/>
    <w:multiLevelType w:val="hybridMultilevel"/>
    <w:tmpl w:val="42B201D4"/>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
    <w:nsid w:val="0AFF01AF"/>
    <w:multiLevelType w:val="hybridMultilevel"/>
    <w:tmpl w:val="4A02C27E"/>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2">
    <w:nsid w:val="14733208"/>
    <w:multiLevelType w:val="multilevel"/>
    <w:tmpl w:val="189E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014D2E"/>
    <w:multiLevelType w:val="hybridMultilevel"/>
    <w:tmpl w:val="16C4C54A"/>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D3E6BD4"/>
    <w:multiLevelType w:val="hybridMultilevel"/>
    <w:tmpl w:val="0A802330"/>
    <w:lvl w:ilvl="0">
      <w:start w:val="1"/>
      <w:numFmt w:val="bullet"/>
      <w:lvlText w:val=""/>
      <w:lvlJc w:val="left"/>
      <w:pPr>
        <w:ind w:left="2347" w:hanging="360"/>
      </w:pPr>
      <w:rPr>
        <w:rFonts w:ascii="Symbol" w:hAnsi="Symbol" w:hint="default"/>
      </w:rPr>
    </w:lvl>
    <w:lvl w:ilvl="1" w:tentative="1">
      <w:start w:val="1"/>
      <w:numFmt w:val="bullet"/>
      <w:lvlText w:val="o"/>
      <w:lvlJc w:val="left"/>
      <w:pPr>
        <w:ind w:left="3067" w:hanging="360"/>
      </w:pPr>
      <w:rPr>
        <w:rFonts w:ascii="Courier New" w:hAnsi="Courier New" w:cs="Courier New" w:hint="default"/>
      </w:rPr>
    </w:lvl>
    <w:lvl w:ilvl="2" w:tentative="1">
      <w:start w:val="1"/>
      <w:numFmt w:val="bullet"/>
      <w:lvlText w:val=""/>
      <w:lvlJc w:val="left"/>
      <w:pPr>
        <w:ind w:left="3787" w:hanging="360"/>
      </w:pPr>
      <w:rPr>
        <w:rFonts w:ascii="Wingdings" w:hAnsi="Wingdings" w:hint="default"/>
      </w:rPr>
    </w:lvl>
    <w:lvl w:ilvl="3" w:tentative="1">
      <w:start w:val="1"/>
      <w:numFmt w:val="bullet"/>
      <w:lvlText w:val=""/>
      <w:lvlJc w:val="left"/>
      <w:pPr>
        <w:ind w:left="4507" w:hanging="360"/>
      </w:pPr>
      <w:rPr>
        <w:rFonts w:ascii="Symbol" w:hAnsi="Symbol" w:hint="default"/>
      </w:rPr>
    </w:lvl>
    <w:lvl w:ilvl="4" w:tentative="1">
      <w:start w:val="1"/>
      <w:numFmt w:val="bullet"/>
      <w:lvlText w:val="o"/>
      <w:lvlJc w:val="left"/>
      <w:pPr>
        <w:ind w:left="5227" w:hanging="360"/>
      </w:pPr>
      <w:rPr>
        <w:rFonts w:ascii="Courier New" w:hAnsi="Courier New" w:cs="Courier New" w:hint="default"/>
      </w:rPr>
    </w:lvl>
    <w:lvl w:ilvl="5" w:tentative="1">
      <w:start w:val="1"/>
      <w:numFmt w:val="bullet"/>
      <w:lvlText w:val=""/>
      <w:lvlJc w:val="left"/>
      <w:pPr>
        <w:ind w:left="5947" w:hanging="360"/>
      </w:pPr>
      <w:rPr>
        <w:rFonts w:ascii="Wingdings" w:hAnsi="Wingdings" w:hint="default"/>
      </w:rPr>
    </w:lvl>
    <w:lvl w:ilvl="6" w:tentative="1">
      <w:start w:val="1"/>
      <w:numFmt w:val="bullet"/>
      <w:lvlText w:val=""/>
      <w:lvlJc w:val="left"/>
      <w:pPr>
        <w:ind w:left="6667" w:hanging="360"/>
      </w:pPr>
      <w:rPr>
        <w:rFonts w:ascii="Symbol" w:hAnsi="Symbol" w:hint="default"/>
      </w:rPr>
    </w:lvl>
    <w:lvl w:ilvl="7" w:tentative="1">
      <w:start w:val="1"/>
      <w:numFmt w:val="bullet"/>
      <w:lvlText w:val="o"/>
      <w:lvlJc w:val="left"/>
      <w:pPr>
        <w:ind w:left="7387" w:hanging="360"/>
      </w:pPr>
      <w:rPr>
        <w:rFonts w:ascii="Courier New" w:hAnsi="Courier New" w:cs="Courier New" w:hint="default"/>
      </w:rPr>
    </w:lvl>
    <w:lvl w:ilvl="8" w:tentative="1">
      <w:start w:val="1"/>
      <w:numFmt w:val="bullet"/>
      <w:lvlText w:val=""/>
      <w:lvlJc w:val="left"/>
      <w:pPr>
        <w:ind w:left="8107" w:hanging="360"/>
      </w:pPr>
      <w:rPr>
        <w:rFonts w:ascii="Wingdings" w:hAnsi="Wingdings" w:hint="default"/>
      </w:rPr>
    </w:lvl>
  </w:abstractNum>
  <w:abstractNum w:abstractNumId="5">
    <w:nsid w:val="66D07B76"/>
    <w:multiLevelType w:val="hybridMultilevel"/>
    <w:tmpl w:val="84DC6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2761875">
    <w:abstractNumId w:val="3"/>
  </w:num>
  <w:num w:numId="2" w16cid:durableId="1260258391">
    <w:abstractNumId w:val="3"/>
  </w:num>
  <w:num w:numId="3" w16cid:durableId="945968549">
    <w:abstractNumId w:val="5"/>
  </w:num>
  <w:num w:numId="4" w16cid:durableId="1491213637">
    <w:abstractNumId w:val="0"/>
  </w:num>
  <w:num w:numId="5" w16cid:durableId="505482198">
    <w:abstractNumId w:val="2"/>
  </w:num>
  <w:num w:numId="6" w16cid:durableId="1395081105">
    <w:abstractNumId w:val="1"/>
  </w:num>
  <w:num w:numId="7" w16cid:durableId="1710252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27E1E"/>
    <w:rsid w:val="00060643"/>
    <w:rsid w:val="00090633"/>
    <w:rsid w:val="00090F2B"/>
    <w:rsid w:val="000923A6"/>
    <w:rsid w:val="000B65EE"/>
    <w:rsid w:val="000B67F9"/>
    <w:rsid w:val="0011279F"/>
    <w:rsid w:val="001403F9"/>
    <w:rsid w:val="00146F7E"/>
    <w:rsid w:val="001934CB"/>
    <w:rsid w:val="00196CB9"/>
    <w:rsid w:val="001A2E5F"/>
    <w:rsid w:val="001D1611"/>
    <w:rsid w:val="002464DE"/>
    <w:rsid w:val="002631EF"/>
    <w:rsid w:val="00270AB4"/>
    <w:rsid w:val="00285D5F"/>
    <w:rsid w:val="002C5732"/>
    <w:rsid w:val="002C7871"/>
    <w:rsid w:val="002E0E6B"/>
    <w:rsid w:val="002F5C3B"/>
    <w:rsid w:val="0030008B"/>
    <w:rsid w:val="003E01FF"/>
    <w:rsid w:val="003E2C2B"/>
    <w:rsid w:val="003F17A3"/>
    <w:rsid w:val="00403F03"/>
    <w:rsid w:val="00410357"/>
    <w:rsid w:val="00415CFB"/>
    <w:rsid w:val="00421964"/>
    <w:rsid w:val="00424DA9"/>
    <w:rsid w:val="00425FFF"/>
    <w:rsid w:val="004367C7"/>
    <w:rsid w:val="00485F8B"/>
    <w:rsid w:val="004A3535"/>
    <w:rsid w:val="00513645"/>
    <w:rsid w:val="0053561C"/>
    <w:rsid w:val="0055116F"/>
    <w:rsid w:val="005D21F8"/>
    <w:rsid w:val="005E0A0F"/>
    <w:rsid w:val="005F06C9"/>
    <w:rsid w:val="005F7BD3"/>
    <w:rsid w:val="00603C1C"/>
    <w:rsid w:val="00604E73"/>
    <w:rsid w:val="006103BC"/>
    <w:rsid w:val="00621EB7"/>
    <w:rsid w:val="00651C4C"/>
    <w:rsid w:val="00687C52"/>
    <w:rsid w:val="00691654"/>
    <w:rsid w:val="006A6054"/>
    <w:rsid w:val="006B2B17"/>
    <w:rsid w:val="006C7A33"/>
    <w:rsid w:val="006F3F40"/>
    <w:rsid w:val="006F5B45"/>
    <w:rsid w:val="007002D4"/>
    <w:rsid w:val="00712E94"/>
    <w:rsid w:val="00745590"/>
    <w:rsid w:val="00772811"/>
    <w:rsid w:val="007A4A28"/>
    <w:rsid w:val="007C07CA"/>
    <w:rsid w:val="008013D5"/>
    <w:rsid w:val="00802270"/>
    <w:rsid w:val="008220FB"/>
    <w:rsid w:val="008347ED"/>
    <w:rsid w:val="00841DF7"/>
    <w:rsid w:val="008863BC"/>
    <w:rsid w:val="008C63CB"/>
    <w:rsid w:val="008D163E"/>
    <w:rsid w:val="008D17B2"/>
    <w:rsid w:val="008F4D68"/>
    <w:rsid w:val="009016EF"/>
    <w:rsid w:val="00921F6D"/>
    <w:rsid w:val="00951E0D"/>
    <w:rsid w:val="009531AC"/>
    <w:rsid w:val="00966388"/>
    <w:rsid w:val="00977A74"/>
    <w:rsid w:val="00982107"/>
    <w:rsid w:val="009A6F67"/>
    <w:rsid w:val="009B53C1"/>
    <w:rsid w:val="009F0B30"/>
    <w:rsid w:val="009F28DB"/>
    <w:rsid w:val="00A0691F"/>
    <w:rsid w:val="00A117E7"/>
    <w:rsid w:val="00A93CBF"/>
    <w:rsid w:val="00AC4FE1"/>
    <w:rsid w:val="00AD1E97"/>
    <w:rsid w:val="00AE6180"/>
    <w:rsid w:val="00AF662F"/>
    <w:rsid w:val="00B03545"/>
    <w:rsid w:val="00B20774"/>
    <w:rsid w:val="00B20906"/>
    <w:rsid w:val="00B22542"/>
    <w:rsid w:val="00B74856"/>
    <w:rsid w:val="00B9421B"/>
    <w:rsid w:val="00C34C48"/>
    <w:rsid w:val="00C34D08"/>
    <w:rsid w:val="00C34F73"/>
    <w:rsid w:val="00C53FA6"/>
    <w:rsid w:val="00C66D8C"/>
    <w:rsid w:val="00CE17FE"/>
    <w:rsid w:val="00D32BA4"/>
    <w:rsid w:val="00D342E4"/>
    <w:rsid w:val="00D44D51"/>
    <w:rsid w:val="00D45A68"/>
    <w:rsid w:val="00D46148"/>
    <w:rsid w:val="00D4630D"/>
    <w:rsid w:val="00D560A4"/>
    <w:rsid w:val="00D71CD8"/>
    <w:rsid w:val="00D74625"/>
    <w:rsid w:val="00D82025"/>
    <w:rsid w:val="00DA0A5B"/>
    <w:rsid w:val="00DD01A6"/>
    <w:rsid w:val="00DD6C9F"/>
    <w:rsid w:val="00DE40E8"/>
    <w:rsid w:val="00E205F8"/>
    <w:rsid w:val="00E257C4"/>
    <w:rsid w:val="00E3442C"/>
    <w:rsid w:val="00E41BD5"/>
    <w:rsid w:val="00E42DA0"/>
    <w:rsid w:val="00E9086C"/>
    <w:rsid w:val="00E94C77"/>
    <w:rsid w:val="00E96C26"/>
    <w:rsid w:val="00EA0EFA"/>
    <w:rsid w:val="00EB4A26"/>
    <w:rsid w:val="00ED1B86"/>
    <w:rsid w:val="00F1447C"/>
    <w:rsid w:val="00F3356D"/>
    <w:rsid w:val="00F434B6"/>
    <w:rsid w:val="00F54E27"/>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BE5A6E"/>
  <w15:chartTrackingRefBased/>
  <w15:docId w15:val="{8352DEEB-02FE-4A78-88BD-39F74E91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D32BA4"/>
    <w:pPr>
      <w:ind w:left="720"/>
    </w:pPr>
    <w:rPr>
      <w:rFonts w:ascii="Calibri" w:eastAsia="Calibri" w:hAnsi="Calibri" w:cs="Calibri"/>
      <w:sz w:val="22"/>
      <w:szCs w:val="22"/>
    </w:rPr>
  </w:style>
  <w:style w:type="table" w:styleId="TableGrid">
    <w:name w:val="Table Grid"/>
    <w:basedOn w:val="TableNormal"/>
    <w:uiPriority w:val="59"/>
    <w:rsid w:val="00140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3F17A3"/>
    <w:rPr>
      <w:sz w:val="16"/>
      <w:szCs w:val="16"/>
    </w:rPr>
  </w:style>
  <w:style w:type="paragraph" w:styleId="CommentText">
    <w:name w:val="annotation text"/>
    <w:basedOn w:val="Normal"/>
    <w:link w:val="CommentTextChar"/>
    <w:uiPriority w:val="99"/>
    <w:unhideWhenUsed/>
    <w:rsid w:val="003F17A3"/>
    <w:rPr>
      <w:sz w:val="20"/>
      <w:szCs w:val="20"/>
    </w:rPr>
  </w:style>
  <w:style w:type="character" w:customStyle="1" w:styleId="CommentTextChar">
    <w:name w:val="Comment Text Char"/>
    <w:link w:val="CommentText"/>
    <w:uiPriority w:val="99"/>
    <w:rsid w:val="003F17A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F17A3"/>
    <w:rPr>
      <w:b/>
      <w:bCs/>
    </w:rPr>
  </w:style>
  <w:style w:type="character" w:customStyle="1" w:styleId="CommentSubjectChar">
    <w:name w:val="Comment Subject Char"/>
    <w:link w:val="CommentSubject"/>
    <w:uiPriority w:val="99"/>
    <w:semiHidden/>
    <w:rsid w:val="003F17A3"/>
    <w:rPr>
      <w:rFonts w:ascii="Times New Roman" w:eastAsia="Times New Roman" w:hAnsi="Times New Roman"/>
      <w:b/>
      <w:bCs/>
    </w:rPr>
  </w:style>
  <w:style w:type="paragraph" w:styleId="Revision">
    <w:name w:val="Revision"/>
    <w:hidden/>
    <w:uiPriority w:val="99"/>
    <w:semiHidden/>
    <w:rsid w:val="00604E73"/>
    <w:rPr>
      <w:rFonts w:ascii="Times New Roman" w:eastAsia="Times New Roman" w:hAnsi="Times New Roman"/>
      <w:sz w:val="24"/>
      <w:szCs w:val="24"/>
    </w:rPr>
  </w:style>
  <w:style w:type="character" w:styleId="Hyperlink">
    <w:name w:val="Hyperlink"/>
    <w:uiPriority w:val="99"/>
    <w:unhideWhenUsed/>
    <w:rsid w:val="00802270"/>
    <w:rPr>
      <w:color w:val="0563C1"/>
      <w:u w:val="single"/>
    </w:rPr>
  </w:style>
  <w:style w:type="character" w:customStyle="1" w:styleId="cf01">
    <w:name w:val="cf01"/>
    <w:rsid w:val="001D1611"/>
    <w:rPr>
      <w:rFonts w:ascii="Segoe UI" w:hAnsi="Segoe UI" w:cs="Segoe UI" w:hint="default"/>
      <w:sz w:val="18"/>
      <w:szCs w:val="18"/>
    </w:rPr>
  </w:style>
  <w:style w:type="paragraph" w:styleId="FootnoteText">
    <w:name w:val="footnote text"/>
    <w:basedOn w:val="Normal"/>
    <w:link w:val="FootnoteTextChar"/>
    <w:uiPriority w:val="99"/>
    <w:semiHidden/>
    <w:unhideWhenUsed/>
    <w:rsid w:val="00D74625"/>
    <w:rPr>
      <w:sz w:val="20"/>
      <w:szCs w:val="20"/>
    </w:rPr>
  </w:style>
  <w:style w:type="character" w:customStyle="1" w:styleId="FootnoteTextChar">
    <w:name w:val="Footnote Text Char"/>
    <w:basedOn w:val="DefaultParagraphFont"/>
    <w:link w:val="FootnoteText"/>
    <w:uiPriority w:val="99"/>
    <w:semiHidden/>
    <w:rsid w:val="00D74625"/>
    <w:rPr>
      <w:rFonts w:ascii="Times New Roman" w:eastAsia="Times New Roman" w:hAnsi="Times New Roman"/>
    </w:rPr>
  </w:style>
  <w:style w:type="character" w:styleId="FootnoteReference">
    <w:name w:val="footnote reference"/>
    <w:basedOn w:val="DefaultParagraphFont"/>
    <w:uiPriority w:val="99"/>
    <w:semiHidden/>
    <w:unhideWhenUsed/>
    <w:rsid w:val="00D746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asisaresearch.com/about-us/?lang=en"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40FA-49B7-49A8-AEE7-8E3CF1ED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Agyeman, Nana B CTR WHS ESD (USA)</cp:lastModifiedBy>
  <cp:revision>2</cp:revision>
  <cp:lastPrinted>2013-01-25T22:13:00Z</cp:lastPrinted>
  <dcterms:created xsi:type="dcterms:W3CDTF">2025-01-24T12:26:00Z</dcterms:created>
  <dcterms:modified xsi:type="dcterms:W3CDTF">2025-01-24T12:26:00Z</dcterms:modified>
</cp:coreProperties>
</file>