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P="00CE5AA9" w14:paraId="22E2A2F0" w14:textId="267F7532">
      <w:pPr>
        <w:tabs>
          <w:tab w:val="center" w:pos="4680"/>
        </w:tabs>
        <w:spacing w:before="120"/>
        <w:jc w:val="center"/>
        <w:rPr>
          <w:rFonts w:ascii="Arial" w:hAnsi="Arial" w:cs="Arial"/>
          <w:b/>
          <w:bCs/>
          <w:sz w:val="32"/>
          <w:szCs w:val="32"/>
        </w:rPr>
      </w:pPr>
      <w:r w:rsidRPr="00EA6E19">
        <w:rPr>
          <w:rFonts w:ascii="Arial" w:hAnsi="Arial" w:cs="Arial"/>
          <w:b/>
          <w:bCs/>
          <w:sz w:val="32"/>
          <w:szCs w:val="32"/>
        </w:rPr>
        <w:t>Evidence</w:t>
      </w:r>
      <w:r w:rsidR="002A19E7">
        <w:rPr>
          <w:rFonts w:ascii="Arial" w:hAnsi="Arial" w:cs="Arial"/>
          <w:b/>
          <w:bCs/>
          <w:sz w:val="32"/>
          <w:szCs w:val="32"/>
        </w:rPr>
        <w:t xml:space="preserve"> </w:t>
      </w:r>
      <w:r w:rsidRPr="00EA6E19">
        <w:rPr>
          <w:rFonts w:ascii="Arial" w:hAnsi="Arial" w:cs="Arial"/>
          <w:b/>
          <w:bCs/>
          <w:sz w:val="32"/>
          <w:szCs w:val="32"/>
        </w:rPr>
        <w:t>Based Telehealth Network Program</w:t>
      </w:r>
      <w:r>
        <w:rPr>
          <w:rFonts w:ascii="Arial" w:hAnsi="Arial" w:cs="Arial"/>
          <w:b/>
          <w:bCs/>
          <w:sz w:val="32"/>
          <w:szCs w:val="32"/>
        </w:rPr>
        <w:t xml:space="preserve"> Measures</w:t>
      </w:r>
    </w:p>
    <w:p w:rsidR="00EA6E19" w:rsidRPr="00C45431" w:rsidP="00CE5AA9" w14:paraId="43B9A310" w14:textId="77777777">
      <w:pPr>
        <w:tabs>
          <w:tab w:val="center" w:pos="4680"/>
        </w:tabs>
        <w:spacing w:before="120"/>
        <w:jc w:val="center"/>
        <w:rPr>
          <w:rFonts w:ascii="Arial" w:hAnsi="Arial" w:cs="Arial"/>
          <w:b/>
          <w:bCs/>
          <w:sz w:val="32"/>
          <w:szCs w:val="32"/>
        </w:rPr>
      </w:pPr>
    </w:p>
    <w:p w:rsidR="00BA1A0C" w:rsidRPr="00C45431" w:rsidP="00CE5AA9" w14:paraId="22E2A2F2" w14:textId="756124F5">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5F5409">
        <w:rPr>
          <w:rFonts w:ascii="Arial" w:hAnsi="Arial" w:cs="Arial"/>
          <w:b/>
          <w:bCs/>
          <w:sz w:val="32"/>
          <w:szCs w:val="32"/>
        </w:rPr>
        <w:t>06</w:t>
      </w:r>
      <w:r w:rsidRPr="00C45431">
        <w:rPr>
          <w:rFonts w:ascii="Arial" w:hAnsi="Arial" w:cs="Arial"/>
          <w:b/>
          <w:bCs/>
          <w:sz w:val="32"/>
          <w:szCs w:val="32"/>
        </w:rPr>
        <w:t>-</w:t>
      </w:r>
      <w:r w:rsidRPr="00CC7F6C" w:rsidR="00BB52FB">
        <w:rPr>
          <w:rFonts w:ascii="Arial" w:hAnsi="Arial" w:cs="Arial"/>
          <w:b/>
          <w:bCs/>
          <w:sz w:val="32"/>
          <w:szCs w:val="32"/>
        </w:rPr>
        <w:t>0043</w:t>
      </w: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6BDA8C80">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2131DC">
        <w:rPr>
          <w:sz w:val="24"/>
        </w:rPr>
        <w:t>Revision</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6C2256" w:rsidRPr="00EC0BD8" w:rsidP="000D7CEA" w14:paraId="385D53D5" w14:textId="2AD3CEF4">
      <w:pPr>
        <w:numPr>
          <w:ilvl w:val="0"/>
          <w:numId w:val="1"/>
        </w:numPr>
        <w:tabs>
          <w:tab w:val="num" w:pos="360"/>
          <w:tab w:val="clear" w:pos="1080"/>
        </w:tabs>
        <w:spacing w:before="120"/>
        <w:ind w:left="360"/>
        <w:rPr>
          <w:rFonts w:ascii="Arial" w:hAnsi="Arial" w:cs="Arial"/>
          <w:sz w:val="24"/>
        </w:rPr>
      </w:pPr>
      <w:r w:rsidRPr="00EC0BD8">
        <w:rPr>
          <w:rFonts w:ascii="Arial" w:hAnsi="Arial" w:cs="Arial"/>
          <w:b/>
          <w:sz w:val="24"/>
          <w:u w:val="single"/>
        </w:rPr>
        <w:t>Circumstances Making the Collection of Information Necessary</w:t>
      </w:r>
    </w:p>
    <w:p w:rsidR="006C2256" w:rsidRPr="00BD673F" w:rsidP="00D600DA" w14:paraId="4E4CC29A" w14:textId="2DEE51CB">
      <w:pPr>
        <w:ind w:left="360"/>
        <w:rPr>
          <w:sz w:val="24"/>
        </w:rPr>
      </w:pPr>
      <w:r w:rsidRPr="00BD673F">
        <w:rPr>
          <w:sz w:val="24"/>
        </w:rPr>
        <w:t xml:space="preserve">The Health Resources and Services Administration’s (HRSA) </w:t>
      </w:r>
      <w:r>
        <w:rPr>
          <w:sz w:val="24"/>
        </w:rPr>
        <w:t>Office for the Advancement of Telehealth (OAT)</w:t>
      </w:r>
      <w:r w:rsidRPr="00BD673F">
        <w:rPr>
          <w:sz w:val="24"/>
        </w:rPr>
        <w:t xml:space="preserve"> is requesting Office of Management and Budget (OMB) approval for performance and clinical measure forms which collect information on grantee activities for the Evidence-Based Telehealth Network Program. </w:t>
      </w:r>
    </w:p>
    <w:p w:rsidR="00917EFC" w:rsidRPr="003117CF" w:rsidP="00D600DA" w14:paraId="7B3D0F41" w14:textId="0273C8E5">
      <w:pPr>
        <w:spacing w:before="120"/>
        <w:ind w:left="360"/>
        <w:rPr>
          <w:sz w:val="24"/>
        </w:rPr>
      </w:pPr>
      <w:r>
        <w:rPr>
          <w:sz w:val="24"/>
        </w:rPr>
        <w:t>OAT seeks a</w:t>
      </w:r>
      <w:r w:rsidRPr="003117CF">
        <w:rPr>
          <w:sz w:val="24"/>
        </w:rPr>
        <w:t xml:space="preserve"> </w:t>
      </w:r>
      <w:r w:rsidRPr="003117CF">
        <w:rPr>
          <w:sz w:val="24"/>
        </w:rPr>
        <w:t xml:space="preserve">revision of </w:t>
      </w:r>
      <w:r>
        <w:rPr>
          <w:sz w:val="24"/>
        </w:rPr>
        <w:t xml:space="preserve">a </w:t>
      </w:r>
      <w:r w:rsidRPr="003117CF">
        <w:rPr>
          <w:sz w:val="24"/>
        </w:rPr>
        <w:t>currently approved information</w:t>
      </w:r>
      <w:r w:rsidR="003559C3">
        <w:rPr>
          <w:sz w:val="24"/>
        </w:rPr>
        <w:t xml:space="preserve"> </w:t>
      </w:r>
      <w:r w:rsidRPr="003117CF">
        <w:rPr>
          <w:sz w:val="24"/>
        </w:rPr>
        <w:t>collection of measures for the Office for the Advancement of Telehealth’s Evidence</w:t>
      </w:r>
      <w:r w:rsidR="003559C3">
        <w:rPr>
          <w:sz w:val="24"/>
        </w:rPr>
        <w:t>-</w:t>
      </w:r>
      <w:r w:rsidRPr="003117CF">
        <w:rPr>
          <w:sz w:val="24"/>
        </w:rPr>
        <w:t>Based Telehealth Network Program</w:t>
      </w:r>
      <w:r w:rsidR="00CD636B">
        <w:rPr>
          <w:sz w:val="24"/>
        </w:rPr>
        <w:t xml:space="preserve">. </w:t>
      </w:r>
      <w:r w:rsidR="003559C3">
        <w:rPr>
          <w:sz w:val="24"/>
        </w:rPr>
        <w:t xml:space="preserve">This program </w:t>
      </w:r>
      <w:r>
        <w:rPr>
          <w:sz w:val="24"/>
        </w:rPr>
        <w:t>involves</w:t>
      </w:r>
      <w:r w:rsidRPr="003117CF">
        <w:rPr>
          <w:sz w:val="24"/>
        </w:rPr>
        <w:t xml:space="preserve"> cooperative agreements administered in accordance with s</w:t>
      </w:r>
      <w:r w:rsidRPr="003117CF">
        <w:rPr>
          <w:color w:val="242424"/>
          <w:sz w:val="24"/>
          <w:shd w:val="clear" w:color="auto" w:fill="FFFFFF"/>
        </w:rPr>
        <w:t>ection 330I of the Public Health Service Act (42 U.S.C. 254c-14), as amended</w:t>
      </w:r>
      <w:r w:rsidR="00CD636B">
        <w:rPr>
          <w:sz w:val="24"/>
        </w:rPr>
        <w:t xml:space="preserve">. </w:t>
      </w:r>
      <w:r w:rsidRPr="003117CF">
        <w:rPr>
          <w:sz w:val="24"/>
        </w:rPr>
        <w:t>The purpose of this program is to fund evidence-based projects that utilize telehealth technologies through telehealth networks to expand access to, and improve access to and the quality of, health care services. This program will work to help assess the effectiveness of evidence-based practices with the use of telehealth for patients, providers, and payers.</w:t>
      </w:r>
    </w:p>
    <w:p w:rsidR="00853EF6" w:rsidP="00263CCA" w14:paraId="6C1B9081" w14:textId="21D3A791">
      <w:pPr>
        <w:pStyle w:val="BodyText"/>
        <w:spacing w:before="120"/>
        <w:ind w:left="360"/>
        <w:rPr>
          <w:sz w:val="24"/>
        </w:rPr>
      </w:pPr>
      <w:bookmarkStart w:id="0" w:name="_Hlk139469358"/>
      <w:r w:rsidRPr="003117CF">
        <w:rPr>
          <w:sz w:val="24"/>
        </w:rPr>
        <w:t>In the Evidence</w:t>
      </w:r>
      <w:r>
        <w:rPr>
          <w:sz w:val="24"/>
        </w:rPr>
        <w:t xml:space="preserve"> </w:t>
      </w:r>
      <w:r w:rsidRPr="003117CF">
        <w:rPr>
          <w:sz w:val="24"/>
        </w:rPr>
        <w:t xml:space="preserve">Based Telehealth Network Program Report, the adjusted data collection instrument </w:t>
      </w:r>
      <w:r w:rsidRPr="003117CF">
        <w:rPr>
          <w:bCs/>
          <w:sz w:val="24"/>
        </w:rPr>
        <w:t>includes the addition, removal</w:t>
      </w:r>
      <w:r w:rsidR="00CD636B">
        <w:rPr>
          <w:bCs/>
          <w:sz w:val="24"/>
        </w:rPr>
        <w:t>,</w:t>
      </w:r>
      <w:r w:rsidRPr="003117CF">
        <w:rPr>
          <w:bCs/>
          <w:sz w:val="24"/>
        </w:rPr>
        <w:t xml:space="preserve"> and revision of </w:t>
      </w:r>
      <w:r w:rsidRPr="003117CF">
        <w:rPr>
          <w:sz w:val="24"/>
        </w:rPr>
        <w:t xml:space="preserve">measures, with 27 total data elements addressing patient encounter information. The current measures focus on behavioral health, and the proposed adjusted measures </w:t>
      </w:r>
      <w:r w:rsidRPr="00BD72FE" w:rsidR="00263CCA">
        <w:rPr>
          <w:sz w:val="24"/>
        </w:rPr>
        <w:t xml:space="preserve">include additional </w:t>
      </w:r>
      <w:r w:rsidR="00263CCA">
        <w:rPr>
          <w:sz w:val="24"/>
        </w:rPr>
        <w:t>primary service options</w:t>
      </w:r>
      <w:r w:rsidRPr="00BD72FE" w:rsidR="00263CCA">
        <w:rPr>
          <w:sz w:val="24"/>
        </w:rPr>
        <w:t xml:space="preserve"> </w:t>
      </w:r>
      <w:r w:rsidR="00263CCA">
        <w:rPr>
          <w:sz w:val="24"/>
        </w:rPr>
        <w:t>of</w:t>
      </w:r>
      <w:r w:rsidRPr="00BD72FE" w:rsidR="00263CCA">
        <w:rPr>
          <w:sz w:val="24"/>
        </w:rPr>
        <w:t xml:space="preserve"> primary care, acute care, maternal care, substance use disorder and chronic care management in alignment with the Notice of Funding Opportunity</w:t>
      </w:r>
      <w:r w:rsidR="00CD636B">
        <w:rPr>
          <w:sz w:val="24"/>
        </w:rPr>
        <w:t xml:space="preserve">. </w:t>
      </w:r>
      <w:r w:rsidRPr="00263CCA" w:rsidR="00263CCA">
        <w:rPr>
          <w:sz w:val="24"/>
        </w:rPr>
        <w:t xml:space="preserve">Four additional elements were added </w:t>
      </w:r>
      <w:r w:rsidR="00263CCA">
        <w:rPr>
          <w:sz w:val="24"/>
        </w:rPr>
        <w:t>to capture</w:t>
      </w:r>
      <w:r w:rsidRPr="00263CCA" w:rsidR="00263CCA">
        <w:rPr>
          <w:sz w:val="24"/>
        </w:rPr>
        <w:t xml:space="preserve"> enrollment dates, preferred languages, zip code and encounter date.</w:t>
      </w:r>
      <w:r w:rsidR="00263CCA">
        <w:rPr>
          <w:sz w:val="24"/>
        </w:rPr>
        <w:t xml:space="preserve"> </w:t>
      </w:r>
      <w:r>
        <w:rPr>
          <w:sz w:val="24"/>
        </w:rPr>
        <w:t>O</w:t>
      </w:r>
      <w:r w:rsidRPr="00853EF6">
        <w:rPr>
          <w:sz w:val="24"/>
        </w:rPr>
        <w:t xml:space="preserve">utcome measures were </w:t>
      </w:r>
      <w:r w:rsidR="00263CCA">
        <w:rPr>
          <w:sz w:val="24"/>
        </w:rPr>
        <w:t xml:space="preserve">also </w:t>
      </w:r>
      <w:r w:rsidRPr="00853EF6">
        <w:rPr>
          <w:sz w:val="24"/>
        </w:rPr>
        <w:t xml:space="preserve">expanded to include </w:t>
      </w:r>
      <w:r w:rsidR="008F5AB5">
        <w:rPr>
          <w:sz w:val="24"/>
        </w:rPr>
        <w:t>six</w:t>
      </w:r>
      <w:r w:rsidRPr="00853EF6">
        <w:rPr>
          <w:sz w:val="24"/>
        </w:rPr>
        <w:t xml:space="preserve"> new data elements</w:t>
      </w:r>
      <w:r w:rsidR="000217F4">
        <w:rPr>
          <w:sz w:val="24"/>
        </w:rPr>
        <w:t xml:space="preserve"> including smoking status, vaping status, medications, blood pressure</w:t>
      </w:r>
      <w:r w:rsidR="004E3228">
        <w:rPr>
          <w:sz w:val="24"/>
        </w:rPr>
        <w:t>,</w:t>
      </w:r>
      <w:r w:rsidR="000217F4">
        <w:rPr>
          <w:sz w:val="24"/>
        </w:rPr>
        <w:t xml:space="preserve"> Hemoglobin A1C and height and weight.</w:t>
      </w:r>
    </w:p>
    <w:p w:rsidR="00C30C25" w:rsidRPr="003117CF" w:rsidP="00D600DA" w14:paraId="7EF5DBA9" w14:textId="331AB67F">
      <w:pPr>
        <w:pStyle w:val="BodyText"/>
        <w:spacing w:before="120"/>
        <w:ind w:left="360"/>
        <w:rPr>
          <w:sz w:val="24"/>
        </w:rPr>
      </w:pPr>
      <w:r w:rsidRPr="003117CF">
        <w:rPr>
          <w:sz w:val="24"/>
        </w:rPr>
        <w:t xml:space="preserve">The estimated burden for </w:t>
      </w:r>
      <w:r w:rsidRPr="003117CF" w:rsidR="00AE504A">
        <w:rPr>
          <w:sz w:val="24"/>
        </w:rPr>
        <w:t xml:space="preserve">this collection instrument </w:t>
      </w:r>
      <w:r w:rsidRPr="003117CF">
        <w:rPr>
          <w:sz w:val="24"/>
        </w:rPr>
        <w:t>has decreased since the data collection frequency is changing from monthly to quarterly</w:t>
      </w:r>
      <w:r w:rsidR="00CD636B">
        <w:rPr>
          <w:sz w:val="24"/>
        </w:rPr>
        <w:t xml:space="preserve">. </w:t>
      </w:r>
    </w:p>
    <w:p w:rsidR="006C2256" w:rsidRPr="00C45431" w:rsidP="000D7CEA" w14:paraId="30F4EDDA" w14:textId="78AEFB4C">
      <w:pPr>
        <w:spacing w:before="120"/>
        <w:ind w:left="360"/>
        <w:rPr>
          <w:rFonts w:ascii="Arial" w:hAnsi="Arial" w:cs="Arial"/>
          <w:sz w:val="24"/>
        </w:rPr>
      </w:pPr>
      <w:r w:rsidRPr="003117CF">
        <w:rPr>
          <w:sz w:val="24"/>
        </w:rPr>
        <w:t>In addition, the Performance Improvement Measurement System (PIMS) electronic reporting system, built into the Electronic Handbook (EHB)</w:t>
      </w:r>
      <w:r w:rsidRPr="009D15A3">
        <w:rPr>
          <w:sz w:val="24"/>
        </w:rPr>
        <w:t xml:space="preserve"> web-based portal</w:t>
      </w:r>
      <w:r>
        <w:rPr>
          <w:sz w:val="24"/>
        </w:rPr>
        <w:t>, is</w:t>
      </w:r>
      <w:r w:rsidRPr="009D15A3">
        <w:rPr>
          <w:sz w:val="24"/>
        </w:rPr>
        <w:t xml:space="preserve"> used by award recipients to submit information to HRSA</w:t>
      </w:r>
      <w:r w:rsidR="00CD636B">
        <w:rPr>
          <w:sz w:val="24"/>
        </w:rPr>
        <w:t xml:space="preserve">. </w:t>
      </w:r>
      <w:r>
        <w:rPr>
          <w:sz w:val="24"/>
        </w:rPr>
        <w:t xml:space="preserve">This </w:t>
      </w:r>
      <w:r w:rsidRPr="009D15A3">
        <w:rPr>
          <w:sz w:val="24"/>
        </w:rPr>
        <w:t xml:space="preserve">annual </w:t>
      </w:r>
      <w:r>
        <w:rPr>
          <w:sz w:val="24"/>
        </w:rPr>
        <w:t xml:space="preserve">data </w:t>
      </w:r>
      <w:r w:rsidRPr="009D15A3">
        <w:rPr>
          <w:sz w:val="24"/>
        </w:rPr>
        <w:t xml:space="preserve">collection specifically ensures awarded projects </w:t>
      </w:r>
      <w:r w:rsidRPr="003117CF">
        <w:rPr>
          <w:sz w:val="24"/>
        </w:rPr>
        <w:t>adequately fulfill the authorized goals for the Telehealth Network Progra</w:t>
      </w:r>
      <w:r w:rsidRPr="003117CF" w:rsidR="00AE504A">
        <w:rPr>
          <w:sz w:val="24"/>
        </w:rPr>
        <w:t>m</w:t>
      </w:r>
      <w:r w:rsidR="00CD636B">
        <w:rPr>
          <w:sz w:val="24"/>
        </w:rPr>
        <w:t xml:space="preserve">. </w:t>
      </w:r>
      <w:r w:rsidRPr="003117CF">
        <w:rPr>
          <w:rFonts w:eastAsiaTheme="minorEastAsia" w:cstheme="minorBidi"/>
          <w:sz w:val="24"/>
        </w:rPr>
        <w:t>This revision allows for</w:t>
      </w:r>
      <w:r w:rsidRPr="003117CF" w:rsidR="00917EFC">
        <w:rPr>
          <w:sz w:val="24"/>
        </w:rPr>
        <w:t xml:space="preserve"> information </w:t>
      </w:r>
      <w:r w:rsidRPr="003117CF" w:rsidR="00AE504A">
        <w:rPr>
          <w:sz w:val="24"/>
        </w:rPr>
        <w:t xml:space="preserve">and measures </w:t>
      </w:r>
      <w:r w:rsidRPr="003117CF" w:rsidR="00917EFC">
        <w:rPr>
          <w:sz w:val="24"/>
        </w:rPr>
        <w:t>collected from grantees in the</w:t>
      </w:r>
      <w:r w:rsidRPr="003117CF" w:rsidR="00AE504A">
        <w:rPr>
          <w:sz w:val="24"/>
        </w:rPr>
        <w:t xml:space="preserve"> PIMS </w:t>
      </w:r>
      <w:r w:rsidRPr="003117CF">
        <w:rPr>
          <w:sz w:val="24"/>
        </w:rPr>
        <w:t xml:space="preserve">to </w:t>
      </w:r>
      <w:r w:rsidRPr="003117CF" w:rsidR="00AE504A">
        <w:rPr>
          <w:sz w:val="24"/>
        </w:rPr>
        <w:t xml:space="preserve">be </w:t>
      </w:r>
      <w:r w:rsidRPr="003117CF">
        <w:rPr>
          <w:sz w:val="24"/>
        </w:rPr>
        <w:t>align</w:t>
      </w:r>
      <w:r w:rsidRPr="003117CF" w:rsidR="00AE504A">
        <w:rPr>
          <w:sz w:val="24"/>
        </w:rPr>
        <w:t>ed</w:t>
      </w:r>
      <w:r w:rsidRPr="003117CF">
        <w:rPr>
          <w:sz w:val="24"/>
        </w:rPr>
        <w:t xml:space="preserve"> more closely</w:t>
      </w:r>
      <w:r w:rsidRPr="003117CF" w:rsidR="00917EFC">
        <w:rPr>
          <w:sz w:val="24"/>
        </w:rPr>
        <w:t xml:space="preserve"> with the Notice of Funding </w:t>
      </w:r>
      <w:r w:rsidRPr="003117CF" w:rsidR="003559C3">
        <w:rPr>
          <w:sz w:val="24"/>
        </w:rPr>
        <w:t>Opportunity and</w:t>
      </w:r>
      <w:r w:rsidRPr="003117CF" w:rsidR="00917EFC">
        <w:rPr>
          <w:sz w:val="24"/>
        </w:rPr>
        <w:t xml:space="preserve"> assist</w:t>
      </w:r>
      <w:r w:rsidRPr="003117CF">
        <w:rPr>
          <w:sz w:val="24"/>
        </w:rPr>
        <w:t>s</w:t>
      </w:r>
      <w:r w:rsidRPr="003117CF" w:rsidR="00917EFC">
        <w:rPr>
          <w:sz w:val="24"/>
        </w:rPr>
        <w:t xml:space="preserve"> in clarifying program measures and impact</w:t>
      </w:r>
      <w:r w:rsidR="00CD636B">
        <w:rPr>
          <w:sz w:val="24"/>
        </w:rPr>
        <w:t xml:space="preserve">. </w:t>
      </w:r>
      <w:r w:rsidRPr="003117CF" w:rsidR="00917EFC">
        <w:rPr>
          <w:sz w:val="24"/>
        </w:rPr>
        <w:t>These adjustments allow OAT to gain a more thorough understanding of how to utilize telehealth technologies to improve access to, and improve the quality of, health care services.</w:t>
      </w:r>
      <w:bookmarkEnd w:id="0"/>
    </w:p>
    <w:p w:rsidR="00C30C25" w:rsidRPr="00CD636B" w:rsidP="000D7CEA" w14:paraId="54A19D1C" w14:textId="0DB63667">
      <w:pPr>
        <w:numPr>
          <w:ilvl w:val="0"/>
          <w:numId w:val="1"/>
        </w:numPr>
        <w:tabs>
          <w:tab w:val="num" w:pos="360"/>
          <w:tab w:val="clear" w:pos="1080"/>
        </w:tabs>
        <w:spacing w:before="240"/>
        <w:ind w:left="360"/>
        <w:rPr>
          <w:sz w:val="24"/>
        </w:rPr>
      </w:pPr>
      <w:r w:rsidRPr="00CD636B">
        <w:rPr>
          <w:rFonts w:ascii="Arial" w:hAnsi="Arial" w:cs="Arial"/>
          <w:b/>
          <w:sz w:val="24"/>
          <w:u w:val="single"/>
        </w:rPr>
        <w:t>Purpose and Use of Information Collection</w:t>
      </w:r>
    </w:p>
    <w:p w:rsidR="005D65C7" w:rsidRPr="003117CF" w:rsidP="00D600DA" w14:paraId="0529D642" w14:textId="5F8BA8E6">
      <w:pPr>
        <w:spacing w:before="120"/>
        <w:ind w:left="360"/>
        <w:rPr>
          <w:rFonts w:eastAsiaTheme="minorEastAsia"/>
          <w:sz w:val="24"/>
        </w:rPr>
      </w:pPr>
      <w:r>
        <w:rPr>
          <w:sz w:val="24"/>
        </w:rPr>
        <w:t>OAT</w:t>
      </w:r>
      <w:r w:rsidRPr="000675E4">
        <w:rPr>
          <w:sz w:val="24"/>
        </w:rPr>
        <w:t xml:space="preserve"> is proposing to conduct data collection of </w:t>
      </w:r>
      <w:r w:rsidR="0095092B">
        <w:rPr>
          <w:sz w:val="24"/>
        </w:rPr>
        <w:t xml:space="preserve">grantee </w:t>
      </w:r>
      <w:r w:rsidRPr="000675E4">
        <w:rPr>
          <w:sz w:val="24"/>
        </w:rPr>
        <w:t xml:space="preserve">information for </w:t>
      </w:r>
      <w:r>
        <w:rPr>
          <w:sz w:val="24"/>
        </w:rPr>
        <w:t>the</w:t>
      </w:r>
      <w:r w:rsidRPr="000675E4">
        <w:rPr>
          <w:sz w:val="24"/>
        </w:rPr>
        <w:t xml:space="preserve"> Evidence</w:t>
      </w:r>
      <w:r w:rsidR="0095092B">
        <w:rPr>
          <w:sz w:val="24"/>
        </w:rPr>
        <w:t xml:space="preserve"> </w:t>
      </w:r>
      <w:r w:rsidRPr="000675E4">
        <w:rPr>
          <w:sz w:val="24"/>
        </w:rPr>
        <w:t xml:space="preserve">Based </w:t>
      </w:r>
      <w:r w:rsidRPr="003117CF">
        <w:rPr>
          <w:sz w:val="24"/>
        </w:rPr>
        <w:t xml:space="preserve">Telehealth </w:t>
      </w:r>
      <w:r w:rsidRPr="003117CF">
        <w:rPr>
          <w:sz w:val="24"/>
        </w:rPr>
        <w:t xml:space="preserve">Network </w:t>
      </w:r>
      <w:r w:rsidRPr="003117CF">
        <w:rPr>
          <w:sz w:val="24"/>
        </w:rPr>
        <w:t>Program</w:t>
      </w:r>
      <w:r w:rsidR="00CD636B">
        <w:rPr>
          <w:sz w:val="24"/>
        </w:rPr>
        <w:t xml:space="preserve">. </w:t>
      </w:r>
      <w:r w:rsidRPr="003117CF">
        <w:rPr>
          <w:sz w:val="24"/>
        </w:rPr>
        <w:t xml:space="preserve">This program provides funding to </w:t>
      </w:r>
      <w:r w:rsidRPr="003117CF">
        <w:rPr>
          <w:rFonts w:eastAsiaTheme="minorEastAsia"/>
          <w:sz w:val="24"/>
        </w:rPr>
        <w:t xml:space="preserve">support </w:t>
      </w:r>
      <w:r w:rsidR="00025295">
        <w:rPr>
          <w:rFonts w:eastAsiaTheme="minorEastAsia"/>
          <w:sz w:val="24"/>
        </w:rPr>
        <w:t xml:space="preserve">evidence-based </w:t>
      </w:r>
      <w:r w:rsidRPr="003117CF">
        <w:rPr>
          <w:rFonts w:eastAsiaTheme="minorEastAsia"/>
          <w:sz w:val="24"/>
        </w:rPr>
        <w:t>projects that use</w:t>
      </w:r>
      <w:r w:rsidR="00D75A33">
        <w:rPr>
          <w:rFonts w:eastAsiaTheme="minorEastAsia"/>
          <w:sz w:val="24"/>
        </w:rPr>
        <w:t xml:space="preserve"> telehealth technologies through</w:t>
      </w:r>
      <w:r w:rsidRPr="003117CF">
        <w:rPr>
          <w:rFonts w:eastAsiaTheme="minorEastAsia"/>
          <w:sz w:val="24"/>
        </w:rPr>
        <w:t xml:space="preserve"> telehealth networks to increase access to </w:t>
      </w:r>
      <w:r w:rsidR="00D75A33">
        <w:rPr>
          <w:rFonts w:eastAsiaTheme="minorEastAsia"/>
          <w:sz w:val="24"/>
        </w:rPr>
        <w:t>health care</w:t>
      </w:r>
      <w:r w:rsidRPr="003117CF" w:rsidR="00D75A33">
        <w:rPr>
          <w:rFonts w:eastAsiaTheme="minorEastAsia"/>
          <w:sz w:val="24"/>
        </w:rPr>
        <w:t xml:space="preserve"> </w:t>
      </w:r>
      <w:r w:rsidRPr="003117CF">
        <w:rPr>
          <w:rFonts w:eastAsiaTheme="minorEastAsia"/>
          <w:sz w:val="24"/>
        </w:rPr>
        <w:t xml:space="preserve">services in rural </w:t>
      </w:r>
      <w:r w:rsidR="00025295">
        <w:rPr>
          <w:rFonts w:eastAsiaTheme="minorEastAsia"/>
          <w:sz w:val="24"/>
        </w:rPr>
        <w:t xml:space="preserve">areas, </w:t>
      </w:r>
      <w:r w:rsidRPr="003117CF">
        <w:rPr>
          <w:rFonts w:eastAsiaTheme="minorEastAsia"/>
          <w:sz w:val="24"/>
        </w:rPr>
        <w:t>frontier communities</w:t>
      </w:r>
      <w:r w:rsidR="00025295">
        <w:rPr>
          <w:rFonts w:eastAsiaTheme="minorEastAsia"/>
          <w:sz w:val="24"/>
        </w:rPr>
        <w:t>, medically underserved areas, and for medically underserved populations</w:t>
      </w:r>
      <w:r w:rsidR="00CD636B">
        <w:rPr>
          <w:rFonts w:eastAsiaTheme="minorEastAsia"/>
          <w:sz w:val="24"/>
        </w:rPr>
        <w:t xml:space="preserve">. </w:t>
      </w:r>
    </w:p>
    <w:p w:rsidR="00AE504A" w:rsidRPr="003117CF" w:rsidP="00D600DA" w14:paraId="04CF4195" w14:textId="293F5D3C">
      <w:pPr>
        <w:spacing w:before="120"/>
        <w:ind w:left="360"/>
        <w:rPr>
          <w:sz w:val="24"/>
        </w:rPr>
      </w:pPr>
      <w:r w:rsidRPr="003117CF">
        <w:rPr>
          <w:rFonts w:eastAsiaTheme="minorEastAsia"/>
          <w:sz w:val="24"/>
        </w:rPr>
        <w:t>The developed measures support OAT</w:t>
      </w:r>
      <w:r w:rsidR="008D1FEF">
        <w:rPr>
          <w:rFonts w:eastAsiaTheme="minorEastAsia"/>
          <w:sz w:val="24"/>
        </w:rPr>
        <w:t>’s</w:t>
      </w:r>
      <w:r w:rsidRPr="003117CF">
        <w:rPr>
          <w:rFonts w:eastAsiaTheme="minorEastAsia"/>
          <w:sz w:val="24"/>
        </w:rPr>
        <w:t xml:space="preserve"> objective to contribute to the evidence base for assessing the effectiveness of telehealth care services for patients, providers, and payers. </w:t>
      </w:r>
      <w:r w:rsidRPr="003117CF" w:rsidR="0002112F">
        <w:rPr>
          <w:sz w:val="24"/>
        </w:rPr>
        <w:t xml:space="preserve">The measures </w:t>
      </w:r>
      <w:r w:rsidRPr="003117CF">
        <w:rPr>
          <w:sz w:val="24"/>
        </w:rPr>
        <w:t xml:space="preserve">also </w:t>
      </w:r>
      <w:r w:rsidRPr="003117CF" w:rsidR="0002112F">
        <w:rPr>
          <w:sz w:val="24"/>
        </w:rPr>
        <w:t>enable HRSA and OAT to capture data that illustrate the impact and scope of federal funding along with assessing these efforts</w:t>
      </w:r>
      <w:r w:rsidR="00CD636B">
        <w:rPr>
          <w:sz w:val="24"/>
        </w:rPr>
        <w:t xml:space="preserve">. </w:t>
      </w:r>
      <w:r w:rsidRPr="003117CF" w:rsidR="00917EFC">
        <w:rPr>
          <w:sz w:val="24"/>
        </w:rPr>
        <w:t>Quarterly</w:t>
      </w:r>
      <w:r w:rsidRPr="003117CF" w:rsidR="006C2256">
        <w:rPr>
          <w:sz w:val="24"/>
        </w:rPr>
        <w:t xml:space="preserve"> collected data will provide quantitative information about the </w:t>
      </w:r>
      <w:r w:rsidRPr="003117CF">
        <w:rPr>
          <w:sz w:val="24"/>
        </w:rPr>
        <w:t xml:space="preserve">funded </w:t>
      </w:r>
      <w:r w:rsidRPr="003117CF" w:rsidR="006C2256">
        <w:rPr>
          <w:sz w:val="24"/>
        </w:rPr>
        <w:t>programs, specifically the characteristics of improving access to needed health services and improving health outcomes</w:t>
      </w:r>
      <w:r w:rsidR="00CD636B">
        <w:rPr>
          <w:sz w:val="24"/>
        </w:rPr>
        <w:t xml:space="preserve">. </w:t>
      </w:r>
      <w:r w:rsidRPr="003117CF" w:rsidR="00917EFC">
        <w:rPr>
          <w:sz w:val="24"/>
        </w:rPr>
        <w:t>The measures cover the principal topic areas of interest to OAT, including: (a) population demographics; (b) access to health care; (c) cost savings and cost-effectiveness; and (d) clinical outcomes.</w:t>
      </w:r>
    </w:p>
    <w:p w:rsidR="006C2256" w:rsidRPr="00011DA2" w:rsidP="00D600DA" w14:paraId="480AF3D2" w14:textId="7EE88BF4">
      <w:pPr>
        <w:spacing w:before="120"/>
        <w:ind w:left="360"/>
        <w:rPr>
          <w:sz w:val="24"/>
        </w:rPr>
      </w:pPr>
      <w:r w:rsidRPr="003117CF">
        <w:rPr>
          <w:sz w:val="24"/>
        </w:rPr>
        <w:t>These assessments will provide valuable information from the Evidence-Based Telehealth Network Program</w:t>
      </w:r>
      <w:r w:rsidRPr="003117CF" w:rsidR="00AE504A">
        <w:rPr>
          <w:sz w:val="24"/>
        </w:rPr>
        <w:t xml:space="preserve">, </w:t>
      </w:r>
      <w:r w:rsidRPr="003117CF">
        <w:rPr>
          <w:sz w:val="24"/>
        </w:rPr>
        <w:t>enabling HRSA to assess the success of the program</w:t>
      </w:r>
      <w:r w:rsidR="00CD636B">
        <w:rPr>
          <w:sz w:val="24"/>
        </w:rPr>
        <w:t xml:space="preserve">. </w:t>
      </w:r>
      <w:r w:rsidRPr="003117CF">
        <w:rPr>
          <w:sz w:val="24"/>
        </w:rPr>
        <w:t>Collecting performance measures will ensure that funded</w:t>
      </w:r>
      <w:r w:rsidRPr="00011DA2">
        <w:rPr>
          <w:sz w:val="24"/>
        </w:rPr>
        <w:t xml:space="preserve"> </w:t>
      </w:r>
      <w:r>
        <w:rPr>
          <w:sz w:val="24"/>
        </w:rPr>
        <w:t>projects</w:t>
      </w:r>
      <w:r w:rsidRPr="00011DA2">
        <w:rPr>
          <w:sz w:val="24"/>
        </w:rPr>
        <w:t xml:space="preserve"> have demonstrated a need for services in their communities a</w:t>
      </w:r>
      <w:r>
        <w:rPr>
          <w:sz w:val="24"/>
        </w:rPr>
        <w:t>nd utilize those federal funds effectively to</w:t>
      </w:r>
      <w:r w:rsidRPr="00011DA2">
        <w:rPr>
          <w:sz w:val="24"/>
        </w:rPr>
        <w:t xml:space="preserve"> provide services to meet those needs.</w:t>
      </w:r>
      <w:r w:rsidR="00CD636B">
        <w:rPr>
          <w:sz w:val="24"/>
        </w:rPr>
        <w:t xml:space="preserve"> This information includes:</w:t>
      </w:r>
    </w:p>
    <w:p w:rsidR="006C2256" w:rsidP="005D65C7" w14:paraId="6738A796" w14:textId="5FED4DBA">
      <w:pPr>
        <w:widowControl/>
        <w:numPr>
          <w:ilvl w:val="0"/>
          <w:numId w:val="8"/>
        </w:numPr>
        <w:autoSpaceDE/>
        <w:autoSpaceDN/>
        <w:adjustRightInd/>
        <w:spacing w:before="120"/>
        <w:ind w:left="1800"/>
        <w:rPr>
          <w:sz w:val="24"/>
        </w:rPr>
      </w:pPr>
      <w:r>
        <w:rPr>
          <w:sz w:val="24"/>
        </w:rPr>
        <w:t>Demographics for the Telehealth Network Program user population</w:t>
      </w:r>
      <w:r w:rsidR="00CD636B">
        <w:rPr>
          <w:sz w:val="24"/>
        </w:rPr>
        <w:t>;</w:t>
      </w:r>
    </w:p>
    <w:p w:rsidR="006C2256" w:rsidRPr="00011DA2" w:rsidP="00F51ABF" w14:paraId="03821FB4" w14:textId="504F9F09">
      <w:pPr>
        <w:widowControl/>
        <w:numPr>
          <w:ilvl w:val="0"/>
          <w:numId w:val="8"/>
        </w:numPr>
        <w:autoSpaceDE/>
        <w:autoSpaceDN/>
        <w:adjustRightInd/>
        <w:ind w:left="1800"/>
        <w:rPr>
          <w:sz w:val="24"/>
        </w:rPr>
      </w:pPr>
      <w:r>
        <w:rPr>
          <w:sz w:val="24"/>
        </w:rPr>
        <w:t>The types of settings</w:t>
      </w:r>
      <w:r w:rsidR="005D65C7">
        <w:rPr>
          <w:sz w:val="24"/>
        </w:rPr>
        <w:t xml:space="preserve"> where</w:t>
      </w:r>
      <w:r>
        <w:rPr>
          <w:sz w:val="24"/>
        </w:rPr>
        <w:t xml:space="preserve"> telehealth services are provided</w:t>
      </w:r>
      <w:r w:rsidR="00CD636B">
        <w:rPr>
          <w:sz w:val="24"/>
        </w:rPr>
        <w:t>;</w:t>
      </w:r>
      <w:r>
        <w:rPr>
          <w:sz w:val="24"/>
        </w:rPr>
        <w:t xml:space="preserve"> </w:t>
      </w:r>
    </w:p>
    <w:p w:rsidR="006C2256" w:rsidRPr="00011DA2" w:rsidP="00F51ABF" w14:paraId="3206F9AF" w14:textId="6E2AAB76">
      <w:pPr>
        <w:widowControl/>
        <w:numPr>
          <w:ilvl w:val="0"/>
          <w:numId w:val="8"/>
        </w:numPr>
        <w:autoSpaceDE/>
        <w:autoSpaceDN/>
        <w:adjustRightInd/>
        <w:ind w:left="1800"/>
        <w:rPr>
          <w:sz w:val="24"/>
        </w:rPr>
      </w:pPr>
      <w:r w:rsidRPr="00011DA2">
        <w:rPr>
          <w:sz w:val="24"/>
        </w:rPr>
        <w:t xml:space="preserve">The </w:t>
      </w:r>
      <w:r>
        <w:rPr>
          <w:sz w:val="24"/>
        </w:rPr>
        <w:t xml:space="preserve">types of telehealth services </w:t>
      </w:r>
      <w:r w:rsidR="005D65C7">
        <w:rPr>
          <w:sz w:val="24"/>
        </w:rPr>
        <w:t xml:space="preserve">that are </w:t>
      </w:r>
      <w:r>
        <w:rPr>
          <w:sz w:val="24"/>
        </w:rPr>
        <w:t>funded through the program</w:t>
      </w:r>
      <w:r w:rsidR="00CD636B">
        <w:rPr>
          <w:sz w:val="24"/>
        </w:rPr>
        <w:t>;</w:t>
      </w:r>
    </w:p>
    <w:p w:rsidR="006C2256" w:rsidP="00F51ABF" w14:paraId="50A57861" w14:textId="648558BA">
      <w:pPr>
        <w:widowControl/>
        <w:numPr>
          <w:ilvl w:val="0"/>
          <w:numId w:val="8"/>
        </w:numPr>
        <w:autoSpaceDE/>
        <w:autoSpaceDN/>
        <w:adjustRightInd/>
        <w:ind w:left="1800"/>
        <w:rPr>
          <w:sz w:val="24"/>
        </w:rPr>
      </w:pPr>
      <w:r>
        <w:rPr>
          <w:sz w:val="24"/>
        </w:rPr>
        <w:t>Access to telehealth services funded through the program</w:t>
      </w:r>
      <w:r w:rsidR="00CD636B">
        <w:rPr>
          <w:sz w:val="24"/>
        </w:rPr>
        <w:t>;</w:t>
      </w:r>
    </w:p>
    <w:p w:rsidR="006C2256" w:rsidP="00F51ABF" w14:paraId="7707F7DA" w14:textId="648F947E">
      <w:pPr>
        <w:widowControl/>
        <w:numPr>
          <w:ilvl w:val="0"/>
          <w:numId w:val="8"/>
        </w:numPr>
        <w:autoSpaceDE/>
        <w:autoSpaceDN/>
        <w:adjustRightInd/>
        <w:ind w:left="1800"/>
        <w:rPr>
          <w:sz w:val="24"/>
        </w:rPr>
      </w:pPr>
      <w:r>
        <w:rPr>
          <w:sz w:val="24"/>
        </w:rPr>
        <w:t>The impact of cost effectiveness/cost savings on the population served</w:t>
      </w:r>
      <w:r w:rsidR="00CD636B">
        <w:rPr>
          <w:sz w:val="24"/>
        </w:rPr>
        <w:t>; and</w:t>
      </w:r>
    </w:p>
    <w:p w:rsidR="006C2256" w:rsidRPr="005D65C7" w:rsidP="00C30C25" w14:paraId="219F930D" w14:textId="0C3D5379">
      <w:pPr>
        <w:widowControl/>
        <w:numPr>
          <w:ilvl w:val="0"/>
          <w:numId w:val="8"/>
        </w:numPr>
        <w:autoSpaceDE/>
        <w:autoSpaceDN/>
        <w:adjustRightInd/>
        <w:ind w:left="1800"/>
        <w:rPr>
          <w:sz w:val="24"/>
        </w:rPr>
      </w:pPr>
      <w:r>
        <w:rPr>
          <w:sz w:val="24"/>
        </w:rPr>
        <w:t>The degree to which funding has affected patient care access among the population served</w:t>
      </w:r>
      <w:r w:rsidR="00CD636B">
        <w:rPr>
          <w:sz w:val="24"/>
        </w:rPr>
        <w:t>.</w:t>
      </w:r>
    </w:p>
    <w:p w:rsidR="006C2256" w:rsidRPr="00011DA2" w:rsidP="00D600DA" w14:paraId="03235DEE" w14:textId="3A4E0295">
      <w:pPr>
        <w:spacing w:before="120"/>
        <w:ind w:left="360"/>
        <w:rPr>
          <w:sz w:val="24"/>
        </w:rPr>
      </w:pPr>
      <w:r>
        <w:rPr>
          <w:sz w:val="24"/>
        </w:rPr>
        <w:t>Reports from the database are</w:t>
      </w:r>
      <w:r w:rsidRPr="00011DA2">
        <w:rPr>
          <w:sz w:val="24"/>
        </w:rPr>
        <w:t xml:space="preserve"> capable of identifying and </w:t>
      </w:r>
      <w:r>
        <w:rPr>
          <w:sz w:val="24"/>
        </w:rPr>
        <w:t>guiding OAT’s response</w:t>
      </w:r>
      <w:r w:rsidRPr="00011DA2">
        <w:rPr>
          <w:sz w:val="24"/>
        </w:rPr>
        <w:t xml:space="preserve"> to the needs of the</w:t>
      </w:r>
      <w:r>
        <w:rPr>
          <w:sz w:val="24"/>
        </w:rPr>
        <w:t xml:space="preserve"> grantee recipient and</w:t>
      </w:r>
      <w:r w:rsidRPr="00011DA2">
        <w:rPr>
          <w:sz w:val="24"/>
        </w:rPr>
        <w:t xml:space="preserve"> </w:t>
      </w:r>
      <w:r>
        <w:rPr>
          <w:sz w:val="24"/>
        </w:rPr>
        <w:t>OAT programing</w:t>
      </w:r>
      <w:r w:rsidR="00CD636B">
        <w:rPr>
          <w:sz w:val="24"/>
        </w:rPr>
        <w:t xml:space="preserve">. </w:t>
      </w:r>
      <w:r w:rsidRPr="00011DA2">
        <w:rPr>
          <w:sz w:val="24"/>
        </w:rPr>
        <w:t>The database</w:t>
      </w:r>
      <w:r>
        <w:rPr>
          <w:sz w:val="24"/>
        </w:rPr>
        <w:t>:</w:t>
      </w:r>
    </w:p>
    <w:p w:rsidR="006C2256" w:rsidRPr="00011DA2" w:rsidP="005D65C7" w14:paraId="7ED72942" w14:textId="0A702014">
      <w:pPr>
        <w:widowControl/>
        <w:numPr>
          <w:ilvl w:val="0"/>
          <w:numId w:val="7"/>
        </w:numPr>
        <w:tabs>
          <w:tab w:val="clear" w:pos="720"/>
          <w:tab w:val="num" w:pos="1080"/>
          <w:tab w:val="num" w:pos="1440"/>
        </w:tabs>
        <w:autoSpaceDE/>
        <w:autoSpaceDN/>
        <w:adjustRightInd/>
        <w:spacing w:before="120"/>
        <w:ind w:left="1800"/>
        <w:rPr>
          <w:sz w:val="24"/>
        </w:rPr>
      </w:pPr>
      <w:r w:rsidRPr="00011DA2">
        <w:rPr>
          <w:sz w:val="24"/>
        </w:rPr>
        <w:t xml:space="preserve">Provides uniformly defined data for </w:t>
      </w:r>
      <w:r>
        <w:rPr>
          <w:sz w:val="24"/>
        </w:rPr>
        <w:t>OAT grant programs</w:t>
      </w:r>
      <w:r w:rsidR="00CD636B">
        <w:rPr>
          <w:sz w:val="24"/>
        </w:rPr>
        <w:t>;</w:t>
      </w:r>
    </w:p>
    <w:p w:rsidR="006C2256" w:rsidRPr="00011DA2" w:rsidP="003A5373" w14:paraId="1F56C9DA" w14:textId="4E9B9B34">
      <w:pPr>
        <w:widowControl/>
        <w:numPr>
          <w:ilvl w:val="0"/>
          <w:numId w:val="7"/>
        </w:numPr>
        <w:tabs>
          <w:tab w:val="clear" w:pos="720"/>
          <w:tab w:val="num" w:pos="1080"/>
          <w:tab w:val="num" w:pos="1440"/>
        </w:tabs>
        <w:autoSpaceDE/>
        <w:autoSpaceDN/>
        <w:adjustRightInd/>
        <w:ind w:left="1800"/>
        <w:rPr>
          <w:sz w:val="24"/>
        </w:rPr>
      </w:pPr>
      <w:r w:rsidRPr="00011DA2">
        <w:rPr>
          <w:sz w:val="24"/>
        </w:rPr>
        <w:t xml:space="preserve">Yields </w:t>
      </w:r>
      <w:r>
        <w:rPr>
          <w:sz w:val="24"/>
        </w:rPr>
        <w:t xml:space="preserve">evidence-based </w:t>
      </w:r>
      <w:r w:rsidRPr="00011DA2">
        <w:rPr>
          <w:sz w:val="24"/>
        </w:rPr>
        <w:t>information</w:t>
      </w:r>
      <w:r>
        <w:rPr>
          <w:sz w:val="24"/>
        </w:rPr>
        <w:t xml:space="preserve"> </w:t>
      </w:r>
      <w:r w:rsidRPr="00011DA2">
        <w:rPr>
          <w:sz w:val="24"/>
        </w:rPr>
        <w:t>that</w:t>
      </w:r>
      <w:r>
        <w:rPr>
          <w:sz w:val="24"/>
        </w:rPr>
        <w:t xml:space="preserve"> may </w:t>
      </w:r>
      <w:r w:rsidR="00BF293F">
        <w:rPr>
          <w:sz w:val="24"/>
        </w:rPr>
        <w:t xml:space="preserve">be </w:t>
      </w:r>
      <w:r w:rsidRPr="00011DA2">
        <w:rPr>
          <w:sz w:val="24"/>
        </w:rPr>
        <w:t>lack</w:t>
      </w:r>
      <w:r w:rsidR="00BF293F">
        <w:rPr>
          <w:sz w:val="24"/>
        </w:rPr>
        <w:t>ing</w:t>
      </w:r>
      <w:r>
        <w:rPr>
          <w:sz w:val="24"/>
        </w:rPr>
        <w:t xml:space="preserve"> in</w:t>
      </w:r>
      <w:r w:rsidRPr="00011DA2">
        <w:rPr>
          <w:sz w:val="24"/>
        </w:rPr>
        <w:t xml:space="preserve"> </w:t>
      </w:r>
      <w:r>
        <w:rPr>
          <w:sz w:val="24"/>
        </w:rPr>
        <w:t xml:space="preserve">national and state </w:t>
      </w:r>
      <w:r w:rsidR="00BF293F">
        <w:rPr>
          <w:sz w:val="24"/>
        </w:rPr>
        <w:t>research</w:t>
      </w:r>
      <w:r w:rsidR="00CD636B">
        <w:rPr>
          <w:sz w:val="24"/>
        </w:rPr>
        <w:t>; and</w:t>
      </w:r>
    </w:p>
    <w:p w:rsidR="006C2256" w:rsidP="003A5373" w14:paraId="5F8A6C5C" w14:textId="0AC54545">
      <w:pPr>
        <w:widowControl/>
        <w:numPr>
          <w:ilvl w:val="0"/>
          <w:numId w:val="7"/>
        </w:numPr>
        <w:tabs>
          <w:tab w:val="clear" w:pos="720"/>
          <w:tab w:val="num" w:pos="1080"/>
          <w:tab w:val="num" w:pos="1440"/>
        </w:tabs>
        <w:autoSpaceDE/>
        <w:autoSpaceDN/>
        <w:adjustRightInd/>
        <w:ind w:left="1800"/>
        <w:rPr>
          <w:sz w:val="24"/>
        </w:rPr>
      </w:pPr>
      <w:r w:rsidRPr="00011DA2">
        <w:rPr>
          <w:sz w:val="24"/>
        </w:rPr>
        <w:t>Facilitates the electronic transmission of data by the grantees, through use of s</w:t>
      </w:r>
      <w:r>
        <w:rPr>
          <w:sz w:val="24"/>
        </w:rPr>
        <w:t>tandard formats and definitions</w:t>
      </w:r>
      <w:r w:rsidR="00CD636B">
        <w:rPr>
          <w:sz w:val="24"/>
        </w:rPr>
        <w:t>.</w:t>
      </w:r>
    </w:p>
    <w:p w:rsidR="006C2256" w:rsidP="00D600DA" w14:paraId="0717E57C" w14:textId="5DC5DA2E">
      <w:pPr>
        <w:widowControl/>
        <w:tabs>
          <w:tab w:val="num" w:pos="1440"/>
        </w:tabs>
        <w:autoSpaceDE/>
        <w:autoSpaceDN/>
        <w:adjustRightInd/>
        <w:spacing w:before="120"/>
        <w:ind w:left="360"/>
        <w:rPr>
          <w:sz w:val="24"/>
        </w:rPr>
      </w:pPr>
      <w:r>
        <w:rPr>
          <w:sz w:val="24"/>
        </w:rPr>
        <w:t>Without collection of this data, it would be difficult to ascertain the collective impact of these programs across all Telehealth Network Program grantees and determine of how funding has improved the characteristics and outcomes mentioned above</w:t>
      </w:r>
      <w:r w:rsidR="00CD636B">
        <w:rPr>
          <w:sz w:val="24"/>
        </w:rPr>
        <w:t xml:space="preserve">. </w:t>
      </w:r>
    </w:p>
    <w:p w:rsidR="006C2256" w:rsidP="000D7CEA" w14:paraId="2AEADC63" w14:textId="0A4FFE91">
      <w:pPr>
        <w:widowControl/>
        <w:tabs>
          <w:tab w:val="num" w:pos="1440"/>
        </w:tabs>
        <w:autoSpaceDE/>
        <w:autoSpaceDN/>
        <w:adjustRightInd/>
        <w:spacing w:before="120"/>
        <w:ind w:left="360"/>
        <w:rPr>
          <w:sz w:val="24"/>
        </w:rPr>
      </w:pPr>
      <w:r>
        <w:rPr>
          <w:sz w:val="24"/>
        </w:rPr>
        <w:t>Lack of such data would also impede future efforts to create resources and funding opportunities that are able to address the gaps and healthcare needs presented in the data findings.</w:t>
      </w:r>
    </w:p>
    <w:p w:rsidR="009B3794" w:rsidRPr="00C45431" w:rsidP="00F51ABF" w14:paraId="22E2A300"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3559C3" w:rsidRPr="003117CF" w:rsidP="00D600DA" w14:paraId="21E8CA03" w14:textId="0457DE6E">
      <w:pPr>
        <w:widowControl/>
        <w:spacing w:before="120"/>
        <w:ind w:left="360"/>
        <w:rPr>
          <w:sz w:val="24"/>
        </w:rPr>
      </w:pPr>
      <w:r>
        <w:rPr>
          <w:sz w:val="24"/>
        </w:rPr>
        <w:t>The Evidence-Based Telehealth Network Program utilizes electronic collection.</w:t>
      </w:r>
      <w:r w:rsidR="00685423">
        <w:rPr>
          <w:sz w:val="24"/>
        </w:rPr>
        <w:t xml:space="preserve"> The Evidence-Based Telehealth Network Program collection uses the </w:t>
      </w:r>
      <w:r w:rsidRPr="00AF458F" w:rsidR="00AF458F">
        <w:rPr>
          <w:sz w:val="24"/>
        </w:rPr>
        <w:t>Direct-to-</w:t>
      </w:r>
      <w:r w:rsidR="00AF458F">
        <w:rPr>
          <w:sz w:val="24"/>
        </w:rPr>
        <w:t>C</w:t>
      </w:r>
      <w:r w:rsidRPr="00AF458F" w:rsidR="00AF458F">
        <w:rPr>
          <w:sz w:val="24"/>
        </w:rPr>
        <w:t xml:space="preserve">onsumer Telehealth Evidence Collection </w:t>
      </w:r>
      <w:r w:rsidR="00AF458F">
        <w:rPr>
          <w:sz w:val="24"/>
        </w:rPr>
        <w:t>(</w:t>
      </w:r>
      <w:r w:rsidRPr="00AF458F" w:rsidR="00AF458F">
        <w:rPr>
          <w:sz w:val="24"/>
        </w:rPr>
        <w:t>D-TEC</w:t>
      </w:r>
      <w:r w:rsidR="00AF458F">
        <w:rPr>
          <w:sz w:val="24"/>
        </w:rPr>
        <w:t>)</w:t>
      </w:r>
      <w:r w:rsidRPr="00AF458F" w:rsidR="00AF458F">
        <w:rPr>
          <w:sz w:val="24"/>
        </w:rPr>
        <w:t xml:space="preserve"> tool </w:t>
      </w:r>
      <w:r w:rsidR="00477853">
        <w:rPr>
          <w:sz w:val="24"/>
        </w:rPr>
        <w:t>on</w:t>
      </w:r>
      <w:r w:rsidRPr="00AF458F" w:rsidR="00477853">
        <w:rPr>
          <w:sz w:val="24"/>
        </w:rPr>
        <w:t xml:space="preserve"> </w:t>
      </w:r>
      <w:r w:rsidRPr="00AF458F" w:rsidR="00AF458F">
        <w:rPr>
          <w:sz w:val="24"/>
        </w:rPr>
        <w:t>the REDCap® platform</w:t>
      </w:r>
      <w:r w:rsidR="00685423">
        <w:rPr>
          <w:sz w:val="24"/>
        </w:rPr>
        <w:t>, which is</w:t>
      </w:r>
      <w:r w:rsidRPr="003117CF">
        <w:rPr>
          <w:sz w:val="24"/>
        </w:rPr>
        <w:t xml:space="preserve"> </w:t>
      </w:r>
      <w:r w:rsidR="00685423">
        <w:rPr>
          <w:sz w:val="24"/>
        </w:rPr>
        <w:t xml:space="preserve">an </w:t>
      </w:r>
      <w:r w:rsidRPr="003117CF">
        <w:rPr>
          <w:sz w:val="24"/>
        </w:rPr>
        <w:t xml:space="preserve">100% electronic and </w:t>
      </w:r>
      <w:r w:rsidR="00AF458F">
        <w:rPr>
          <w:sz w:val="24"/>
        </w:rPr>
        <w:t>a</w:t>
      </w:r>
      <w:r w:rsidRPr="00AF458F" w:rsidR="00AF458F">
        <w:rPr>
          <w:sz w:val="24"/>
        </w:rPr>
        <w:t xml:space="preserve"> web-based application </w:t>
      </w:r>
      <w:r w:rsidR="00AF458F">
        <w:rPr>
          <w:sz w:val="24"/>
        </w:rPr>
        <w:t>for</w:t>
      </w:r>
      <w:r w:rsidRPr="00AF458F" w:rsidR="00AF458F">
        <w:rPr>
          <w:sz w:val="24"/>
        </w:rPr>
        <w:t xml:space="preserve"> data </w:t>
      </w:r>
      <w:r w:rsidR="00AF458F">
        <w:rPr>
          <w:sz w:val="24"/>
        </w:rPr>
        <w:t>collection</w:t>
      </w:r>
      <w:r w:rsidR="00CD636B">
        <w:rPr>
          <w:sz w:val="24"/>
        </w:rPr>
        <w:t xml:space="preserve">. </w:t>
      </w:r>
      <w:r w:rsidR="00AF458F">
        <w:rPr>
          <w:sz w:val="24"/>
        </w:rPr>
        <w:t xml:space="preserve">This tool will support </w:t>
      </w:r>
      <w:r w:rsidRPr="003117CF">
        <w:rPr>
          <w:sz w:val="24"/>
        </w:rPr>
        <w:t>the evidence-based clinical measures data elements in a pre-established form</w:t>
      </w:r>
      <w:r w:rsidR="00CD636B">
        <w:rPr>
          <w:sz w:val="24"/>
        </w:rPr>
        <w:t xml:space="preserve">. </w:t>
      </w:r>
      <w:r w:rsidRPr="003117CF">
        <w:rPr>
          <w:sz w:val="24"/>
        </w:rPr>
        <w:t xml:space="preserve">Respondents are also able to use formatted files which allows for flexibility based on preference for </w:t>
      </w:r>
      <w:r>
        <w:rPr>
          <w:sz w:val="24"/>
        </w:rPr>
        <w:t xml:space="preserve">and ease of </w:t>
      </w:r>
      <w:r w:rsidRPr="003117CF">
        <w:rPr>
          <w:sz w:val="24"/>
        </w:rPr>
        <w:t>response submissions.</w:t>
      </w:r>
    </w:p>
    <w:p w:rsidR="00263F17" w:rsidRPr="003117CF" w:rsidP="00D600DA" w14:paraId="239D97AE" w14:textId="26DACC03">
      <w:pPr>
        <w:widowControl/>
        <w:spacing w:before="120"/>
        <w:ind w:left="360"/>
        <w:rPr>
          <w:sz w:val="24"/>
        </w:rPr>
      </w:pPr>
      <w:r w:rsidRPr="00775AC0">
        <w:rPr>
          <w:sz w:val="24"/>
        </w:rPr>
        <w:t xml:space="preserve">The </w:t>
      </w:r>
      <w:r w:rsidRPr="003117CF">
        <w:rPr>
          <w:sz w:val="24"/>
        </w:rPr>
        <w:t>OAT PIMS tool is 100% electronic within HRSA’s Electronic Handbook</w:t>
      </w:r>
      <w:r w:rsidR="00CD636B">
        <w:rPr>
          <w:sz w:val="24"/>
        </w:rPr>
        <w:t xml:space="preserve">. </w:t>
      </w:r>
      <w:r w:rsidRPr="003117CF">
        <w:rPr>
          <w:sz w:val="24"/>
        </w:rPr>
        <w:t>The system design provides pre-formatted and interactive data entry that helps assure standardized data across the Telehealth Network Programs and greatly simplifies the data entry process</w:t>
      </w:r>
      <w:r w:rsidR="00CD636B">
        <w:rPr>
          <w:sz w:val="24"/>
        </w:rPr>
        <w:t xml:space="preserve">. </w:t>
      </w:r>
      <w:r w:rsidRPr="003117CF">
        <w:rPr>
          <w:sz w:val="24"/>
        </w:rPr>
        <w:t>The grantee provides sites and service information</w:t>
      </w:r>
      <w:r w:rsidRPr="003117CF" w:rsidR="005D65C7">
        <w:rPr>
          <w:sz w:val="24"/>
        </w:rPr>
        <w:t>,</w:t>
      </w:r>
      <w:r w:rsidRPr="003117CF">
        <w:rPr>
          <w:sz w:val="24"/>
        </w:rPr>
        <w:t xml:space="preserve"> and the system only generates forms based on this data</w:t>
      </w:r>
      <w:r w:rsidR="00CD636B">
        <w:rPr>
          <w:sz w:val="24"/>
        </w:rPr>
        <w:t xml:space="preserve">. </w:t>
      </w:r>
    </w:p>
    <w:p w:rsidR="006C2256" w:rsidRPr="00C45431" w:rsidP="000D7CEA" w14:paraId="2A4A6F3B" w14:textId="267F8676">
      <w:pPr>
        <w:widowControl/>
        <w:spacing w:before="120"/>
        <w:ind w:left="360"/>
        <w:rPr>
          <w:rFonts w:ascii="Arial" w:hAnsi="Arial" w:cs="Arial"/>
          <w:sz w:val="24"/>
        </w:rPr>
      </w:pPr>
      <w:r w:rsidRPr="003117CF">
        <w:rPr>
          <w:sz w:val="24"/>
        </w:rPr>
        <w:t>Instructions are included with each data collection tool</w:t>
      </w:r>
      <w:r w:rsidR="00CD636B">
        <w:rPr>
          <w:sz w:val="24"/>
        </w:rPr>
        <w:t xml:space="preserve">. </w:t>
      </w:r>
      <w:r w:rsidRPr="003117CF">
        <w:rPr>
          <w:sz w:val="24"/>
        </w:rPr>
        <w:t xml:space="preserve">The time burden is minimal since there is no </w:t>
      </w:r>
      <w:r w:rsidRPr="003117CF" w:rsidR="005D65C7">
        <w:rPr>
          <w:sz w:val="24"/>
        </w:rPr>
        <w:t xml:space="preserve">written </w:t>
      </w:r>
      <w:r w:rsidRPr="003117CF">
        <w:rPr>
          <w:sz w:val="24"/>
        </w:rPr>
        <w:t>data entry element for program staff</w:t>
      </w:r>
      <w:r w:rsidRPr="00011DA2">
        <w:rPr>
          <w:sz w:val="24"/>
        </w:rPr>
        <w:t xml:space="preserve"> due to the electronic transmission from grantee systems to the PIMS; additionally, there is less chance of error in translating data and analysis of the data.</w:t>
      </w:r>
    </w:p>
    <w:p w:rsidR="002131DC" w:rsidRPr="00CD636B" w:rsidP="000D7CEA" w14:paraId="721762A3" w14:textId="055633B7">
      <w:pPr>
        <w:numPr>
          <w:ilvl w:val="0"/>
          <w:numId w:val="1"/>
        </w:numPr>
        <w:tabs>
          <w:tab w:val="num" w:pos="360"/>
          <w:tab w:val="clear" w:pos="1080"/>
        </w:tabs>
        <w:spacing w:before="120"/>
        <w:ind w:left="360"/>
        <w:rPr>
          <w:rFonts w:ascii="Arial" w:hAnsi="Arial" w:cs="Arial"/>
          <w:sz w:val="24"/>
        </w:rPr>
      </w:pPr>
      <w:r w:rsidRPr="00CD636B">
        <w:rPr>
          <w:rFonts w:ascii="Arial" w:hAnsi="Arial" w:cs="Arial"/>
          <w:b/>
          <w:sz w:val="24"/>
          <w:u w:val="single"/>
        </w:rPr>
        <w:t>Efforts to Identify Duplication and Use of Similar Information</w:t>
      </w:r>
    </w:p>
    <w:p w:rsidR="002131DC" w:rsidRPr="00C45431" w:rsidP="000D7CEA" w14:paraId="7C657C82" w14:textId="4BF3965C">
      <w:pPr>
        <w:spacing w:before="120"/>
        <w:ind w:left="360"/>
        <w:rPr>
          <w:rFonts w:ascii="Arial" w:hAnsi="Arial" w:cs="Arial"/>
          <w:b/>
          <w:sz w:val="24"/>
        </w:rPr>
      </w:pPr>
      <w:r w:rsidRPr="003117CF">
        <w:rPr>
          <w:sz w:val="24"/>
        </w:rPr>
        <w:t>There is no other data source available</w:t>
      </w:r>
      <w:r w:rsidRPr="003117CF" w:rsidR="0079378A">
        <w:rPr>
          <w:sz w:val="24"/>
        </w:rPr>
        <w:t xml:space="preserve"> for this specific grant</w:t>
      </w:r>
      <w:r w:rsidRPr="003117CF">
        <w:rPr>
          <w:sz w:val="24"/>
        </w:rPr>
        <w:t>, which tracks the</w:t>
      </w:r>
      <w:r w:rsidR="001130A3">
        <w:rPr>
          <w:sz w:val="24"/>
        </w:rPr>
        <w:t xml:space="preserve"> activities of grantees </w:t>
      </w:r>
      <w:r w:rsidRPr="003117CF">
        <w:rPr>
          <w:sz w:val="24"/>
        </w:rPr>
        <w:t>participating in the Telehealth Network Program</w:t>
      </w:r>
      <w:r w:rsidR="00CD636B">
        <w:rPr>
          <w:sz w:val="24"/>
        </w:rPr>
        <w:t xml:space="preserve">. </w:t>
      </w:r>
      <w:r w:rsidRPr="003117CF">
        <w:rPr>
          <w:rFonts w:cs="Arial"/>
          <w:sz w:val="24"/>
        </w:rPr>
        <w:t>The information is not intended to reflect all telehealth activity nationwide; it reflects only the activity of the telehealth programs funded by HRSA’s OAT.</w:t>
      </w:r>
    </w:p>
    <w:p w:rsidR="002131DC" w:rsidRPr="00CD636B" w:rsidP="000D7CEA" w14:paraId="72B46D85" w14:textId="5ADC2D06">
      <w:pPr>
        <w:numPr>
          <w:ilvl w:val="0"/>
          <w:numId w:val="1"/>
        </w:numPr>
        <w:tabs>
          <w:tab w:val="num" w:pos="360"/>
          <w:tab w:val="clear" w:pos="1080"/>
        </w:tabs>
        <w:spacing w:before="120"/>
        <w:ind w:left="360"/>
        <w:rPr>
          <w:rFonts w:ascii="Arial" w:hAnsi="Arial" w:cs="Arial"/>
          <w:bCs/>
          <w:color w:val="000000"/>
          <w:sz w:val="24"/>
        </w:rPr>
      </w:pPr>
      <w:r w:rsidRPr="00CD636B">
        <w:rPr>
          <w:rFonts w:ascii="Arial" w:hAnsi="Arial" w:cs="Arial"/>
          <w:b/>
          <w:sz w:val="24"/>
          <w:u w:val="single"/>
        </w:rPr>
        <w:t>Impact on Small Businesses or Other Small Entities</w:t>
      </w:r>
    </w:p>
    <w:p w:rsidR="002131DC" w:rsidRPr="00C45431" w:rsidP="000D7CEA" w14:paraId="6D57B00C" w14:textId="4BB824B5">
      <w:pPr>
        <w:spacing w:before="120"/>
        <w:ind w:left="360"/>
        <w:rPr>
          <w:rFonts w:ascii="Arial" w:hAnsi="Arial" w:cs="Arial"/>
          <w:b/>
          <w:sz w:val="24"/>
        </w:rPr>
      </w:pPr>
      <w:r w:rsidRPr="003117CF">
        <w:rPr>
          <w:sz w:val="24"/>
        </w:rPr>
        <w:t xml:space="preserve">Every effort has been made to ensure the data requested is data that is currently being collected by the </w:t>
      </w:r>
      <w:r w:rsidR="003559C3">
        <w:rPr>
          <w:sz w:val="24"/>
        </w:rPr>
        <w:t>grantee projects</w:t>
      </w:r>
      <w:r w:rsidRPr="003117CF">
        <w:rPr>
          <w:sz w:val="24"/>
        </w:rPr>
        <w:t xml:space="preserve"> or can be easily incorporated into normal project procedures. Data being requested is useful in determining whether grantee goals and objectives are being met. The data collection activities will not have a significant impact on small entities.</w:t>
      </w:r>
    </w:p>
    <w:p w:rsidR="002131DC" w:rsidRPr="00CD636B" w:rsidP="000D7CEA" w14:paraId="510AD3B4" w14:textId="72651250">
      <w:pPr>
        <w:widowControl/>
        <w:numPr>
          <w:ilvl w:val="0"/>
          <w:numId w:val="1"/>
        </w:numPr>
        <w:tabs>
          <w:tab w:val="num" w:pos="360"/>
          <w:tab w:val="clear" w:pos="1080"/>
        </w:tabs>
        <w:autoSpaceDE/>
        <w:autoSpaceDN/>
        <w:adjustRightInd/>
        <w:spacing w:before="120"/>
        <w:ind w:left="360"/>
        <w:rPr>
          <w:rFonts w:ascii="Arial" w:hAnsi="Arial" w:cs="Arial"/>
          <w:sz w:val="24"/>
        </w:rPr>
      </w:pPr>
      <w:r w:rsidRPr="00CD636B">
        <w:rPr>
          <w:rFonts w:ascii="Arial" w:hAnsi="Arial" w:cs="Arial"/>
          <w:b/>
          <w:sz w:val="24"/>
          <w:u w:val="single"/>
        </w:rPr>
        <w:t>Consequences of Collecting the Information Less Frequent</w:t>
      </w:r>
      <w:r w:rsidRPr="00CD636B" w:rsidR="001325B2">
        <w:rPr>
          <w:rFonts w:ascii="Arial" w:hAnsi="Arial" w:cs="Arial"/>
          <w:b/>
          <w:sz w:val="24"/>
          <w:u w:val="single"/>
        </w:rPr>
        <w:t>ly</w:t>
      </w:r>
    </w:p>
    <w:p w:rsidR="002131DC" w:rsidRPr="002131DC" w:rsidP="000D7CEA" w14:paraId="712298B4" w14:textId="7C27F9EE">
      <w:pPr>
        <w:pStyle w:val="ListParagraph"/>
        <w:ind w:left="360"/>
        <w:rPr>
          <w:rFonts w:ascii="Arial" w:hAnsi="Arial" w:cs="Arial"/>
          <w:sz w:val="24"/>
        </w:rPr>
      </w:pPr>
      <w:r w:rsidRPr="0097555D">
        <w:rPr>
          <w:color w:val="000000"/>
          <w:sz w:val="24"/>
        </w:rPr>
        <w:t>Respondents will respond to this data collection on a</w:t>
      </w:r>
      <w:r w:rsidRPr="0097555D" w:rsidR="00263F17">
        <w:rPr>
          <w:color w:val="000000"/>
          <w:sz w:val="24"/>
        </w:rPr>
        <w:t xml:space="preserve"> quarterly and annual </w:t>
      </w:r>
      <w:r w:rsidRPr="0097555D">
        <w:rPr>
          <w:color w:val="000000"/>
          <w:sz w:val="24"/>
        </w:rPr>
        <w:t xml:space="preserve">basis. </w:t>
      </w:r>
      <w:r w:rsidRPr="0097555D" w:rsidR="00263F17">
        <w:rPr>
          <w:rFonts w:cstheme="minorHAnsi"/>
          <w:sz w:val="24"/>
        </w:rPr>
        <w:t>This information is needed by OAT and HRSA to measure effective use of grant dollars, identify approaches that can be used to enhance the evidence</w:t>
      </w:r>
      <w:r w:rsidR="003559C3">
        <w:rPr>
          <w:rFonts w:cstheme="minorHAnsi"/>
          <w:sz w:val="24"/>
        </w:rPr>
        <w:t>-</w:t>
      </w:r>
      <w:r w:rsidRPr="0097555D" w:rsidR="00263F17">
        <w:rPr>
          <w:rFonts w:cstheme="minorHAnsi"/>
          <w:sz w:val="24"/>
        </w:rPr>
        <w:t>base for telehealth and report on progress toward strategic goals and objectives. Without collection of this data</w:t>
      </w:r>
      <w:r w:rsidRPr="0097555D" w:rsidR="00BF293F">
        <w:rPr>
          <w:rFonts w:cstheme="minorHAnsi"/>
          <w:sz w:val="24"/>
        </w:rPr>
        <w:t xml:space="preserve"> and at this </w:t>
      </w:r>
      <w:r w:rsidRPr="0097555D" w:rsidR="00BF293F">
        <w:rPr>
          <w:rFonts w:cstheme="minorHAnsi"/>
          <w:sz w:val="24"/>
        </w:rPr>
        <w:t>frequency</w:t>
      </w:r>
      <w:r w:rsidRPr="0097555D" w:rsidR="00263F17">
        <w:rPr>
          <w:rFonts w:cstheme="minorHAnsi"/>
          <w:sz w:val="24"/>
        </w:rPr>
        <w:t>, it would be difficult to ascertain the collective impact of the Evidence</w:t>
      </w:r>
      <w:r w:rsidR="003559C3">
        <w:rPr>
          <w:rFonts w:cstheme="minorHAnsi"/>
          <w:sz w:val="24"/>
        </w:rPr>
        <w:t xml:space="preserve"> </w:t>
      </w:r>
      <w:r w:rsidRPr="0097555D" w:rsidR="00263F17">
        <w:rPr>
          <w:rFonts w:cstheme="minorHAnsi"/>
          <w:sz w:val="24"/>
        </w:rPr>
        <w:t>Based Telehealth Network Program and determine how funding has</w:t>
      </w:r>
      <w:r w:rsidR="003559C3">
        <w:rPr>
          <w:rFonts w:cstheme="minorHAnsi"/>
          <w:sz w:val="24"/>
        </w:rPr>
        <w:t xml:space="preserve"> helped to</w:t>
      </w:r>
      <w:r w:rsidRPr="0097555D" w:rsidR="00263F17">
        <w:rPr>
          <w:rFonts w:cstheme="minorHAnsi"/>
          <w:sz w:val="24"/>
        </w:rPr>
        <w:t xml:space="preserve"> improve health outcomes</w:t>
      </w:r>
      <w:r w:rsidR="00CD636B">
        <w:rPr>
          <w:rFonts w:cstheme="minorHAnsi"/>
          <w:sz w:val="24"/>
        </w:rPr>
        <w:t xml:space="preserve">. </w:t>
      </w:r>
      <w:r w:rsidRPr="0097555D" w:rsidR="00405B25">
        <w:rPr>
          <w:rFonts w:cstheme="minorHAnsi"/>
          <w:sz w:val="24"/>
        </w:rPr>
        <w:t xml:space="preserve">Collecting the data less frequently </w:t>
      </w:r>
      <w:r w:rsidR="00133DBC">
        <w:rPr>
          <w:rFonts w:cstheme="minorHAnsi"/>
          <w:sz w:val="24"/>
        </w:rPr>
        <w:t>may</w:t>
      </w:r>
      <w:r w:rsidRPr="0097555D" w:rsidR="00405B25">
        <w:rPr>
          <w:rFonts w:cstheme="minorHAnsi"/>
          <w:sz w:val="24"/>
        </w:rPr>
        <w:t xml:space="preserve"> </w:t>
      </w:r>
      <w:r w:rsidR="00133DBC">
        <w:rPr>
          <w:rFonts w:cstheme="minorHAnsi"/>
          <w:sz w:val="24"/>
        </w:rPr>
        <w:t>impact</w:t>
      </w:r>
      <w:r w:rsidRPr="0097555D" w:rsidR="00405B25">
        <w:rPr>
          <w:rFonts w:cstheme="minorHAnsi"/>
          <w:sz w:val="24"/>
        </w:rPr>
        <w:t xml:space="preserve"> the evaluation and may increase burden</w:t>
      </w:r>
      <w:r w:rsidR="0097555D">
        <w:rPr>
          <w:rFonts w:cstheme="minorHAnsi"/>
          <w:sz w:val="24"/>
        </w:rPr>
        <w:t xml:space="preserve"> for respondents</w:t>
      </w:r>
      <w:r w:rsidRPr="0097555D" w:rsidR="00405B25">
        <w:rPr>
          <w:rFonts w:cstheme="minorHAnsi"/>
          <w:sz w:val="24"/>
        </w:rPr>
        <w:t>, requiring grantees to submit larger amounts of data at one point in time</w:t>
      </w:r>
      <w:r w:rsidR="00CD636B">
        <w:rPr>
          <w:rFonts w:cstheme="minorHAnsi"/>
          <w:sz w:val="24"/>
        </w:rPr>
        <w:t xml:space="preserve">. </w:t>
      </w:r>
      <w:r w:rsidRPr="0097555D">
        <w:rPr>
          <w:color w:val="000000"/>
          <w:sz w:val="24"/>
        </w:rPr>
        <w:t>There are no legal obstacles to reduce the burden.</w:t>
      </w:r>
    </w:p>
    <w:p w:rsidR="00405B25" w:rsidP="00F51ABF" w14:paraId="0048E8E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405B25" w:rsidRPr="00405B25" w:rsidP="00405B25" w14:paraId="01E3DC7C" w14:textId="24AC0909">
      <w:pPr>
        <w:spacing w:before="240"/>
        <w:ind w:left="360"/>
        <w:rPr>
          <w:rFonts w:ascii="Arial" w:hAnsi="Arial" w:cs="Arial"/>
          <w:b/>
          <w:sz w:val="24"/>
        </w:rPr>
      </w:pPr>
      <w:r w:rsidRPr="0097555D">
        <w:rPr>
          <w:bCs/>
          <w:sz w:val="24"/>
        </w:rPr>
        <w:t>This project is consistent with the guidelines in 5 CFR 1320.5.</w:t>
      </w:r>
    </w:p>
    <w:p w:rsidR="009B3794" w:rsidRPr="00C45431" w:rsidP="00F51ABF" w14:paraId="22E2A31C"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2131DC" w:rsidP="002131DC" w14:paraId="73B6AB98" w14:textId="799B6A20">
      <w:pPr>
        <w:spacing w:before="120"/>
        <w:rPr>
          <w:rFonts w:ascii="Arial" w:hAnsi="Arial" w:cs="Arial"/>
          <w:b/>
          <w:sz w:val="28"/>
          <w:szCs w:val="28"/>
        </w:rPr>
      </w:pPr>
      <w:r w:rsidRPr="00C45431">
        <w:rPr>
          <w:rFonts w:ascii="Arial" w:hAnsi="Arial" w:cs="Arial"/>
          <w:b/>
          <w:sz w:val="28"/>
          <w:szCs w:val="28"/>
        </w:rPr>
        <w:t>Section 8A:</w:t>
      </w:r>
    </w:p>
    <w:p w:rsidR="00405B25" w:rsidRPr="002131DC" w:rsidP="000D7CEA" w14:paraId="16834413" w14:textId="19D326ED">
      <w:pPr>
        <w:spacing w:before="120"/>
        <w:ind w:left="360"/>
        <w:rPr>
          <w:rFonts w:ascii="Arial" w:hAnsi="Arial" w:cs="Arial"/>
          <w:sz w:val="24"/>
        </w:rPr>
      </w:pPr>
      <w:r w:rsidRPr="00174F40">
        <w:rPr>
          <w:sz w:val="24"/>
        </w:rPr>
        <w:t xml:space="preserve">A 60-day Federal Register Notice was published in the Federal Register on </w:t>
      </w:r>
      <w:r>
        <w:rPr>
          <w:sz w:val="24"/>
        </w:rPr>
        <w:t>August 18</w:t>
      </w:r>
      <w:r w:rsidRPr="00174F40">
        <w:rPr>
          <w:sz w:val="24"/>
        </w:rPr>
        <w:t>, 20</w:t>
      </w:r>
      <w:r>
        <w:rPr>
          <w:sz w:val="24"/>
        </w:rPr>
        <w:t>23</w:t>
      </w:r>
      <w:r w:rsidRPr="00174F40">
        <w:rPr>
          <w:sz w:val="24"/>
        </w:rPr>
        <w:t xml:space="preserve">, vol. </w:t>
      </w:r>
      <w:r>
        <w:rPr>
          <w:sz w:val="24"/>
        </w:rPr>
        <w:t>88</w:t>
      </w:r>
      <w:r w:rsidRPr="00174F40">
        <w:rPr>
          <w:sz w:val="24"/>
        </w:rPr>
        <w:t xml:space="preserve">, No. </w:t>
      </w:r>
      <w:r>
        <w:rPr>
          <w:sz w:val="24"/>
        </w:rPr>
        <w:t>159</w:t>
      </w:r>
      <w:r w:rsidRPr="00174F40">
        <w:rPr>
          <w:sz w:val="24"/>
        </w:rPr>
        <w:t>; pp. 56640-</w:t>
      </w:r>
      <w:r>
        <w:rPr>
          <w:sz w:val="24"/>
        </w:rPr>
        <w:t>41</w:t>
      </w:r>
      <w:r w:rsidRPr="00174F40">
        <w:rPr>
          <w:sz w:val="24"/>
        </w:rPr>
        <w:t xml:space="preserve"> (</w:t>
      </w:r>
      <w:r w:rsidRPr="0097555D" w:rsidR="0097555D">
        <w:rPr>
          <w:sz w:val="24"/>
        </w:rPr>
        <w:t>56640</w:t>
      </w:r>
      <w:r w:rsidR="0097555D">
        <w:rPr>
          <w:sz w:val="24"/>
        </w:rPr>
        <w:t>-</w:t>
      </w:r>
      <w:r w:rsidRPr="0097555D" w:rsidR="0097555D">
        <w:t xml:space="preserve"> </w:t>
      </w:r>
      <w:r w:rsidRPr="0097555D" w:rsidR="0097555D">
        <w:rPr>
          <w:sz w:val="24"/>
        </w:rPr>
        <w:t>56641</w:t>
      </w:r>
      <w:r w:rsidRPr="00174F40">
        <w:rPr>
          <w:sz w:val="24"/>
        </w:rPr>
        <w:t xml:space="preserve">). </w:t>
      </w:r>
      <w:r w:rsidRPr="00174F40" w:rsidR="002226F7">
        <w:rPr>
          <w:sz w:val="24"/>
        </w:rPr>
        <w:t xml:space="preserve">A </w:t>
      </w:r>
      <w:r w:rsidR="002226F7">
        <w:rPr>
          <w:sz w:val="24"/>
        </w:rPr>
        <w:t>30</w:t>
      </w:r>
      <w:r w:rsidRPr="00174F40" w:rsidR="002226F7">
        <w:rPr>
          <w:sz w:val="24"/>
        </w:rPr>
        <w:t xml:space="preserve">-day Federal Register Notice was published in the Federal Register on </w:t>
      </w:r>
      <w:r w:rsidR="002226F7">
        <w:rPr>
          <w:sz w:val="24"/>
        </w:rPr>
        <w:t>November 29, 2023,</w:t>
      </w:r>
      <w:r w:rsidRPr="00174F40" w:rsidR="002226F7">
        <w:rPr>
          <w:sz w:val="24"/>
        </w:rPr>
        <w:t xml:space="preserve"> vol. </w:t>
      </w:r>
      <w:r w:rsidR="002226F7">
        <w:rPr>
          <w:sz w:val="24"/>
        </w:rPr>
        <w:t>88</w:t>
      </w:r>
      <w:r w:rsidRPr="00174F40" w:rsidR="002226F7">
        <w:rPr>
          <w:sz w:val="24"/>
        </w:rPr>
        <w:t xml:space="preserve">, No. </w:t>
      </w:r>
      <w:r w:rsidR="002226F7">
        <w:rPr>
          <w:sz w:val="24"/>
        </w:rPr>
        <w:t>228</w:t>
      </w:r>
      <w:r w:rsidRPr="00174F40" w:rsidR="002226F7">
        <w:rPr>
          <w:sz w:val="24"/>
        </w:rPr>
        <w:t xml:space="preserve">; pp. </w:t>
      </w:r>
      <w:r w:rsidR="002226F7">
        <w:rPr>
          <w:sz w:val="24"/>
        </w:rPr>
        <w:t>83419</w:t>
      </w:r>
      <w:r w:rsidRPr="00174F40" w:rsidR="002226F7">
        <w:rPr>
          <w:sz w:val="24"/>
        </w:rPr>
        <w:t>-</w:t>
      </w:r>
      <w:r w:rsidR="002226F7">
        <w:rPr>
          <w:sz w:val="24"/>
        </w:rPr>
        <w:t>20</w:t>
      </w:r>
      <w:r w:rsidRPr="00174F40" w:rsidR="002226F7">
        <w:rPr>
          <w:sz w:val="24"/>
        </w:rPr>
        <w:t xml:space="preserve"> (</w:t>
      </w:r>
      <w:r w:rsidR="002226F7">
        <w:rPr>
          <w:sz w:val="24"/>
        </w:rPr>
        <w:t>83419-</w:t>
      </w:r>
      <w:r w:rsidRPr="0097555D" w:rsidR="002226F7">
        <w:t xml:space="preserve"> </w:t>
      </w:r>
      <w:r w:rsidR="002226F7">
        <w:rPr>
          <w:sz w:val="24"/>
        </w:rPr>
        <w:t>83420</w:t>
      </w:r>
      <w:r w:rsidRPr="00174F40" w:rsidR="002226F7">
        <w:rPr>
          <w:sz w:val="24"/>
        </w:rPr>
        <w:t xml:space="preserve">). </w:t>
      </w:r>
      <w:r w:rsidRPr="00174F40">
        <w:rPr>
          <w:sz w:val="24"/>
        </w:rPr>
        <w:t>There were no public comments.</w:t>
      </w:r>
    </w:p>
    <w:p w:rsidR="005F0944" w:rsidRPr="005F0944" w:rsidP="005F0944" w14:paraId="31912B6D" w14:textId="0E6D284A">
      <w:pPr>
        <w:spacing w:before="120"/>
        <w:rPr>
          <w:rFonts w:ascii="Arial" w:hAnsi="Arial" w:cs="Arial"/>
          <w:b/>
          <w:sz w:val="28"/>
          <w:szCs w:val="28"/>
        </w:rPr>
      </w:pPr>
      <w:r w:rsidRPr="00C45431">
        <w:rPr>
          <w:rFonts w:ascii="Arial" w:hAnsi="Arial" w:cs="Arial"/>
          <w:b/>
          <w:sz w:val="28"/>
          <w:szCs w:val="28"/>
        </w:rPr>
        <w:t>Section 8B:</w:t>
      </w:r>
    </w:p>
    <w:p w:rsidR="00174F40" w:rsidP="00174F40" w14:paraId="4DB301FE" w14:textId="23210A17">
      <w:pPr>
        <w:spacing w:before="120"/>
        <w:ind w:left="360"/>
        <w:rPr>
          <w:bCs/>
          <w:sz w:val="24"/>
        </w:rPr>
      </w:pPr>
      <w:r>
        <w:rPr>
          <w:bCs/>
          <w:sz w:val="24"/>
        </w:rPr>
        <w:t>HRSA’s Rural Telehealth Research Center has a cooperative agreement with the Office for the Advancement of Telehealth</w:t>
      </w:r>
      <w:r w:rsidR="00CD636B">
        <w:rPr>
          <w:bCs/>
          <w:sz w:val="24"/>
        </w:rPr>
        <w:t xml:space="preserve">. </w:t>
      </w:r>
      <w:r>
        <w:rPr>
          <w:bCs/>
          <w:sz w:val="24"/>
        </w:rPr>
        <w:t xml:space="preserve">As the lead researcher, </w:t>
      </w:r>
      <w:r w:rsidR="00C567A6">
        <w:rPr>
          <w:bCs/>
          <w:sz w:val="24"/>
        </w:rPr>
        <w:t>HRSA’s Rural Telehealth Research Center</w:t>
      </w:r>
      <w:r>
        <w:rPr>
          <w:bCs/>
          <w:sz w:val="24"/>
        </w:rPr>
        <w:t xml:space="preserve"> w</w:t>
      </w:r>
      <w:r w:rsidR="00C567A6">
        <w:rPr>
          <w:bCs/>
          <w:sz w:val="24"/>
        </w:rPr>
        <w:t>as</w:t>
      </w:r>
      <w:r>
        <w:rPr>
          <w:bCs/>
          <w:sz w:val="24"/>
        </w:rPr>
        <w:t xml:space="preserve"> </w:t>
      </w:r>
      <w:r w:rsidRPr="00133DBC" w:rsidR="00133DBC">
        <w:rPr>
          <w:bCs/>
          <w:sz w:val="24"/>
        </w:rPr>
        <w:t xml:space="preserve">consulted </w:t>
      </w:r>
      <w:r>
        <w:rPr>
          <w:bCs/>
          <w:sz w:val="24"/>
        </w:rPr>
        <w:t>to conduct a literature review but found there were no comparable existing measures and research.</w:t>
      </w:r>
    </w:p>
    <w:p w:rsidR="009B3794" w:rsidRPr="00C45431" w:rsidP="00F51ABF" w14:paraId="22E2A32A"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2131DC" w:rsidRPr="002131DC" w:rsidP="000D7CEA" w14:paraId="2024C7B3" w14:textId="5B36C4B0">
      <w:pPr>
        <w:spacing w:before="240"/>
        <w:ind w:firstLine="360"/>
        <w:rPr>
          <w:rFonts w:ascii="Arial" w:hAnsi="Arial" w:cs="Arial"/>
          <w:b/>
          <w:sz w:val="24"/>
        </w:rPr>
      </w:pPr>
      <w:r w:rsidRPr="003117CF">
        <w:rPr>
          <w:sz w:val="24"/>
        </w:rPr>
        <w:t>Respondents will not receive any payments or gifts.</w:t>
      </w:r>
    </w:p>
    <w:p w:rsidR="009B3794" w:rsidRPr="00C45431" w:rsidP="00F51ABF" w14:paraId="22E2A32E"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97555D" w:rsidP="0097555D" w14:paraId="0195D958" w14:textId="6BFB774E">
      <w:pPr>
        <w:spacing w:before="120"/>
        <w:ind w:left="360"/>
        <w:rPr>
          <w:sz w:val="24"/>
        </w:rPr>
      </w:pPr>
      <w:r w:rsidRPr="0097555D">
        <w:rPr>
          <w:sz w:val="24"/>
        </w:rPr>
        <w:t xml:space="preserve">The </w:t>
      </w:r>
      <w:r w:rsidRPr="00AF458F" w:rsidR="00914A3B">
        <w:rPr>
          <w:sz w:val="24"/>
        </w:rPr>
        <w:t xml:space="preserve">D-TEC </w:t>
      </w:r>
      <w:r w:rsidR="00914A3B">
        <w:rPr>
          <w:sz w:val="24"/>
        </w:rPr>
        <w:t>T</w:t>
      </w:r>
      <w:r w:rsidRPr="00AF458F" w:rsidR="00914A3B">
        <w:rPr>
          <w:sz w:val="24"/>
        </w:rPr>
        <w:t xml:space="preserve">ool </w:t>
      </w:r>
      <w:r w:rsidR="00536AB2">
        <w:rPr>
          <w:sz w:val="24"/>
        </w:rPr>
        <w:t>that include</w:t>
      </w:r>
      <w:r w:rsidR="00914A3B">
        <w:rPr>
          <w:sz w:val="24"/>
        </w:rPr>
        <w:t>s</w:t>
      </w:r>
      <w:r w:rsidR="00536AB2">
        <w:rPr>
          <w:sz w:val="24"/>
        </w:rPr>
        <w:t xml:space="preserve"> data from the </w:t>
      </w:r>
      <w:r w:rsidRPr="003117CF" w:rsidR="00536AB2">
        <w:rPr>
          <w:sz w:val="24"/>
        </w:rPr>
        <w:t xml:space="preserve">Evidence-Based Telehealth Network Program </w:t>
      </w:r>
      <w:r w:rsidR="00914A3B">
        <w:rPr>
          <w:sz w:val="24"/>
        </w:rPr>
        <w:t>is</w:t>
      </w:r>
      <w:r w:rsidR="00536AB2">
        <w:rPr>
          <w:sz w:val="24"/>
        </w:rPr>
        <w:t xml:space="preserve"> </w:t>
      </w:r>
      <w:r w:rsidR="00293AF2">
        <w:rPr>
          <w:sz w:val="24"/>
        </w:rPr>
        <w:t>maintained by</w:t>
      </w:r>
      <w:r w:rsidR="00536AB2">
        <w:rPr>
          <w:sz w:val="24"/>
        </w:rPr>
        <w:t xml:space="preserve"> HRSA grantees, </w:t>
      </w:r>
      <w:r w:rsidR="00914A3B">
        <w:rPr>
          <w:sz w:val="24"/>
        </w:rPr>
        <w:t xml:space="preserve">and </w:t>
      </w:r>
      <w:r w:rsidR="00536AB2">
        <w:rPr>
          <w:sz w:val="24"/>
        </w:rPr>
        <w:t xml:space="preserve">not </w:t>
      </w:r>
      <w:r w:rsidR="00914A3B">
        <w:rPr>
          <w:sz w:val="24"/>
        </w:rPr>
        <w:t xml:space="preserve">by </w:t>
      </w:r>
      <w:r w:rsidR="007A2ED7">
        <w:rPr>
          <w:sz w:val="24"/>
        </w:rPr>
        <w:t>HRSA</w:t>
      </w:r>
      <w:r w:rsidR="00CD636B">
        <w:rPr>
          <w:sz w:val="24"/>
        </w:rPr>
        <w:t xml:space="preserve">. </w:t>
      </w:r>
      <w:r w:rsidR="00623BAD">
        <w:rPr>
          <w:sz w:val="24"/>
        </w:rPr>
        <w:t xml:space="preserve">HRSA maintains </w:t>
      </w:r>
      <w:r w:rsidR="00536AB2">
        <w:rPr>
          <w:sz w:val="24"/>
        </w:rPr>
        <w:t>the PIMS tool</w:t>
      </w:r>
      <w:r w:rsidR="00623BAD">
        <w:rPr>
          <w:sz w:val="24"/>
        </w:rPr>
        <w:t xml:space="preserve"> which</w:t>
      </w:r>
      <w:r w:rsidR="00536AB2">
        <w:rPr>
          <w:sz w:val="24"/>
        </w:rPr>
        <w:t xml:space="preserve"> does not collect data about individuals</w:t>
      </w:r>
      <w:r w:rsidRPr="0097555D">
        <w:rPr>
          <w:sz w:val="24"/>
        </w:rPr>
        <w:t>; therefore, the Privacy Act is not applicable to this activity</w:t>
      </w:r>
      <w:r w:rsidR="00CD636B">
        <w:rPr>
          <w:sz w:val="24"/>
        </w:rPr>
        <w:t xml:space="preserve">. </w:t>
      </w:r>
      <w:r w:rsidRPr="0097555D">
        <w:rPr>
          <w:sz w:val="24"/>
        </w:rPr>
        <w:t>The proposed performance measures will be used only in aggregate data for program activities.</w:t>
      </w:r>
      <w:r w:rsidR="00685423">
        <w:rPr>
          <w:sz w:val="24"/>
        </w:rPr>
        <w:t xml:space="preserve"> </w:t>
      </w:r>
      <w:r w:rsidRPr="00685423" w:rsidR="00685423">
        <w:rPr>
          <w:sz w:val="24"/>
        </w:rPr>
        <w:t>Data will be kept private to the extent allowed by law</w:t>
      </w:r>
      <w:r w:rsidR="00685423">
        <w:rPr>
          <w:sz w:val="24"/>
        </w:rPr>
        <w:t>.</w:t>
      </w:r>
    </w:p>
    <w:p w:rsidR="002131DC" w:rsidP="000D7CEA" w14:paraId="505E2EE7" w14:textId="291CDF40">
      <w:pPr>
        <w:pStyle w:val="ListParagraph"/>
        <w:spacing w:before="120"/>
        <w:ind w:left="360"/>
        <w:rPr>
          <w:rFonts w:ascii="Arial" w:hAnsi="Arial" w:cs="Arial"/>
          <w:sz w:val="24"/>
        </w:rPr>
      </w:pPr>
      <w:r>
        <w:rPr>
          <w:sz w:val="24"/>
        </w:rPr>
        <w:t>Grantees are responsible for meeting</w:t>
      </w:r>
      <w:r w:rsidRPr="00405B25">
        <w:rPr>
          <w:sz w:val="24"/>
        </w:rPr>
        <w:t xml:space="preserve"> requirements of the HHS regulations for the protection of human subjects from research risks, including the following: (1) discuss plans to seek </w:t>
      </w:r>
      <w:r w:rsidR="003559C3">
        <w:rPr>
          <w:sz w:val="24"/>
        </w:rPr>
        <w:t>Institutional Review Board (IRB)</w:t>
      </w:r>
      <w:r w:rsidRPr="00405B25">
        <w:rPr>
          <w:sz w:val="24"/>
        </w:rPr>
        <w:t xml:space="preserve"> approval or exemption; (2) develop all required documentation for submission of research protocol to IRB; (3) communicate with IRB regarding the research protocol; (4) communicate about IRB’s decision and any IRB subsequent issues with HRSA.</w:t>
      </w:r>
    </w:p>
    <w:p w:rsidR="00405B25" w:rsidP="00F51ABF" w14:paraId="26CCB711"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2131DC" w:rsidRPr="002131DC" w:rsidP="00405B25" w14:paraId="2A794DE6" w14:textId="3E37780D">
      <w:pPr>
        <w:spacing w:before="240"/>
        <w:ind w:left="360"/>
        <w:rPr>
          <w:sz w:val="24"/>
        </w:rPr>
      </w:pPr>
      <w:r w:rsidRPr="003117CF">
        <w:rPr>
          <w:sz w:val="24"/>
        </w:rPr>
        <w:t xml:space="preserve">Race and ethnicity </w:t>
      </w:r>
      <w:r w:rsidR="00685423">
        <w:rPr>
          <w:sz w:val="24"/>
        </w:rPr>
        <w:t xml:space="preserve">data </w:t>
      </w:r>
      <w:r w:rsidRPr="003117CF">
        <w:rPr>
          <w:sz w:val="24"/>
        </w:rPr>
        <w:t>are collected within the data instrument</w:t>
      </w:r>
      <w:r w:rsidR="00CD636B">
        <w:rPr>
          <w:sz w:val="24"/>
        </w:rPr>
        <w:t xml:space="preserve">. </w:t>
      </w:r>
      <w:r w:rsidRPr="003117CF" w:rsidR="00405B25">
        <w:rPr>
          <w:sz w:val="24"/>
        </w:rPr>
        <w:t xml:space="preserve">This information will help </w:t>
      </w:r>
      <w:r w:rsidRPr="003117CF" w:rsidR="00405B25">
        <w:rPr>
          <w:sz w:val="24"/>
        </w:rPr>
        <w:t xml:space="preserve">OAT </w:t>
      </w:r>
      <w:r w:rsidRPr="003117CF" w:rsidR="00BF293F">
        <w:rPr>
          <w:sz w:val="24"/>
        </w:rPr>
        <w:t>gain</w:t>
      </w:r>
      <w:r w:rsidRPr="003117CF" w:rsidR="00405B25">
        <w:rPr>
          <w:sz w:val="24"/>
        </w:rPr>
        <w:t xml:space="preserve"> a more thorough understanding of how different demographics utilize telehealth technologies through telehealth to improve access to, and improve the quality of, health care services</w:t>
      </w:r>
      <w:r w:rsidR="00CD636B">
        <w:rPr>
          <w:sz w:val="24"/>
        </w:rPr>
        <w:t xml:space="preserve">. </w:t>
      </w:r>
      <w:r w:rsidRPr="003117CF" w:rsidR="00235063">
        <w:rPr>
          <w:sz w:val="24"/>
        </w:rPr>
        <w:t>The</w:t>
      </w:r>
      <w:r w:rsidR="003117CF">
        <w:rPr>
          <w:sz w:val="24"/>
        </w:rPr>
        <w:t xml:space="preserve">se measures will be deidentified for the </w:t>
      </w:r>
      <w:r w:rsidRPr="003117CF" w:rsidR="00235063">
        <w:rPr>
          <w:sz w:val="24"/>
        </w:rPr>
        <w:t xml:space="preserve">data </w:t>
      </w:r>
      <w:r w:rsidR="003117CF">
        <w:rPr>
          <w:sz w:val="24"/>
        </w:rPr>
        <w:t>collection.</w:t>
      </w:r>
    </w:p>
    <w:p w:rsidR="009B3794" w:rsidRPr="00F51ABF" w:rsidP="00F51ABF" w14:paraId="22E2A33C" w14:textId="5A82F041">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685423" w:rsidRPr="00C45431" w:rsidP="000D7CEA" w14:paraId="36A4BC88" w14:textId="77777777">
      <w:pPr>
        <w:ind w:left="360"/>
        <w:rPr>
          <w:rFonts w:ascii="Arial" w:hAnsi="Arial" w:cs="Arial"/>
          <w:sz w:val="24"/>
        </w:rPr>
      </w:pPr>
    </w:p>
    <w:p w:rsidR="009B3794" w:rsidRPr="00C45431" w:rsidP="00CA3DA6" w14:paraId="22E2A33F" w14:textId="74D3524B">
      <w:pPr>
        <w:widowControl/>
        <w:tabs>
          <w:tab w:val="num" w:pos="720"/>
        </w:tabs>
        <w:spacing w:before="120"/>
        <w:rPr>
          <w:rFonts w:ascii="Arial" w:hAnsi="Arial" w:cs="Arial"/>
          <w:sz w:val="24"/>
        </w:rPr>
      </w:pPr>
      <w:r w:rsidRPr="00C45431">
        <w:rPr>
          <w:rFonts w:ascii="Arial" w:hAnsi="Arial" w:cs="Arial"/>
          <w:b/>
          <w:sz w:val="28"/>
          <w:szCs w:val="28"/>
        </w:rPr>
        <w:t>12A</w:t>
      </w:r>
      <w:r w:rsidR="00CD636B">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p w:rsidR="0042636B" w:rsidP="00CA3DA6" w14:paraId="54285558" w14:textId="5F35F7FF">
      <w:pPr>
        <w:widowControl/>
        <w:tabs>
          <w:tab w:val="num" w:pos="990"/>
        </w:tabs>
        <w:spacing w:before="120"/>
        <w:ind w:left="270"/>
        <w:rPr>
          <w:rFonts w:ascii="Arial" w:hAnsi="Arial" w:cs="Arial"/>
          <w:sz w:val="24"/>
        </w:rPr>
      </w:pPr>
    </w:p>
    <w:p w:rsidR="00685423" w:rsidRPr="000D7CEA" w:rsidP="000D7CEA" w14:paraId="3477E900" w14:textId="32C39D86">
      <w:pPr>
        <w:widowControl/>
        <w:tabs>
          <w:tab w:val="num" w:pos="720"/>
        </w:tabs>
        <w:rPr>
          <w:b/>
          <w:sz w:val="24"/>
        </w:rPr>
      </w:pPr>
      <w:r>
        <w:rPr>
          <w:b/>
          <w:sz w:val="24"/>
        </w:rPr>
        <w:t>Table 1: Estimated Annualized Burden Hours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563"/>
        <w:gridCol w:w="1564"/>
        <w:gridCol w:w="1483"/>
        <w:gridCol w:w="1372"/>
        <w:gridCol w:w="1284"/>
        <w:gridCol w:w="1172"/>
        <w:gridCol w:w="916"/>
      </w:tblGrid>
      <w:tr w14:paraId="16310F62" w14:textId="77777777" w:rsidTr="0042636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555"/>
          <w:tblHeader/>
          <w:jc w:val="center"/>
        </w:trPr>
        <w:tc>
          <w:tcPr>
            <w:tcW w:w="955" w:type="pct"/>
            <w:tcBorders>
              <w:top w:val="single" w:sz="2" w:space="0" w:color="auto"/>
              <w:left w:val="single" w:sz="2" w:space="0" w:color="auto"/>
              <w:bottom w:val="single" w:sz="2" w:space="0" w:color="auto"/>
              <w:right w:val="single" w:sz="2" w:space="0" w:color="auto"/>
            </w:tcBorders>
          </w:tcPr>
          <w:p w:rsidR="002131DC" w:rsidRPr="002131DC" w:rsidP="002131DC" w14:paraId="5BC73AB2" w14:textId="77777777">
            <w:pPr>
              <w:jc w:val="center"/>
              <w:rPr>
                <w:rFonts w:ascii="Arial" w:hAnsi="Arial" w:cs="Arial"/>
                <w:b/>
                <w:szCs w:val="20"/>
              </w:rPr>
            </w:pPr>
            <w:r w:rsidRPr="002131DC">
              <w:rPr>
                <w:rFonts w:ascii="Arial" w:hAnsi="Arial" w:cs="Arial"/>
                <w:b/>
                <w:szCs w:val="20"/>
              </w:rPr>
              <w:t>Type of</w:t>
            </w:r>
          </w:p>
          <w:p w:rsidR="002131DC" w:rsidRPr="001C4817" w:rsidP="002131DC" w14:paraId="79B7892F" w14:textId="4219F8F9">
            <w:pPr>
              <w:jc w:val="center"/>
              <w:rPr>
                <w:rFonts w:ascii="Arial" w:hAnsi="Arial" w:cs="Arial"/>
                <w:b/>
                <w:szCs w:val="20"/>
              </w:rPr>
            </w:pPr>
            <w:r w:rsidRPr="002131DC">
              <w:rPr>
                <w:rFonts w:ascii="Arial" w:hAnsi="Arial" w:cs="Arial"/>
                <w:b/>
                <w:szCs w:val="20"/>
              </w:rPr>
              <w:t>Respondent</w:t>
            </w:r>
          </w:p>
        </w:tc>
        <w:tc>
          <w:tcPr>
            <w:tcW w:w="955" w:type="pct"/>
            <w:tcBorders>
              <w:top w:val="single" w:sz="2" w:space="0" w:color="auto"/>
              <w:left w:val="single" w:sz="2" w:space="0" w:color="auto"/>
              <w:bottom w:val="single" w:sz="2" w:space="0" w:color="auto"/>
              <w:right w:val="single" w:sz="2" w:space="0" w:color="auto"/>
            </w:tcBorders>
            <w:vAlign w:val="bottom"/>
            <w:hideMark/>
          </w:tcPr>
          <w:p w:rsidR="002131DC" w:rsidRPr="002131DC" w:rsidP="002131DC" w14:paraId="616CD701" w14:textId="77777777">
            <w:pPr>
              <w:jc w:val="center"/>
              <w:rPr>
                <w:rFonts w:ascii="Arial" w:hAnsi="Arial" w:cs="Arial"/>
                <w:b/>
                <w:szCs w:val="20"/>
              </w:rPr>
            </w:pPr>
            <w:r w:rsidRPr="002131DC">
              <w:rPr>
                <w:rFonts w:ascii="Arial" w:hAnsi="Arial" w:cs="Arial"/>
                <w:b/>
                <w:szCs w:val="20"/>
              </w:rPr>
              <w:t>Form</w:t>
            </w:r>
          </w:p>
          <w:p w:rsidR="002131DC" w:rsidRPr="001C4817" w:rsidP="002131DC" w14:paraId="4AE3D04A" w14:textId="27811A9B">
            <w:pPr>
              <w:jc w:val="center"/>
              <w:rPr>
                <w:rFonts w:ascii="Arial" w:hAnsi="Arial" w:cs="Arial"/>
                <w:b/>
                <w:szCs w:val="20"/>
              </w:rPr>
            </w:pPr>
            <w:r w:rsidRPr="002131DC">
              <w:rPr>
                <w:rFonts w:ascii="Arial" w:hAnsi="Arial" w:cs="Arial"/>
                <w:b/>
                <w:szCs w:val="20"/>
              </w:rPr>
              <w:t>Name</w:t>
            </w:r>
          </w:p>
        </w:tc>
        <w:tc>
          <w:tcPr>
            <w:tcW w:w="740" w:type="pct"/>
            <w:tcBorders>
              <w:top w:val="single" w:sz="2" w:space="0" w:color="auto"/>
              <w:left w:val="single" w:sz="2" w:space="0" w:color="auto"/>
              <w:bottom w:val="single" w:sz="2" w:space="0" w:color="auto"/>
              <w:right w:val="single" w:sz="2" w:space="0" w:color="auto"/>
            </w:tcBorders>
            <w:vAlign w:val="bottom"/>
            <w:hideMark/>
          </w:tcPr>
          <w:p w:rsidR="002131DC" w:rsidRPr="001C4817" w:rsidP="00F37071" w14:paraId="20BA92B5" w14:textId="77777777">
            <w:pPr>
              <w:jc w:val="center"/>
              <w:rPr>
                <w:rFonts w:ascii="Arial" w:hAnsi="Arial" w:cs="Arial"/>
                <w:b/>
                <w:szCs w:val="20"/>
              </w:rPr>
            </w:pPr>
            <w:r w:rsidRPr="001C4817">
              <w:rPr>
                <w:rFonts w:ascii="Arial" w:hAnsi="Arial" w:cs="Arial"/>
                <w:b/>
                <w:szCs w:val="20"/>
              </w:rPr>
              <w:t xml:space="preserve">Number </w:t>
            </w:r>
          </w:p>
          <w:p w:rsidR="002131DC" w:rsidRPr="001C4817" w:rsidP="00F37071" w14:paraId="309AEBD8" w14:textId="77777777">
            <w:pPr>
              <w:jc w:val="center"/>
              <w:rPr>
                <w:rFonts w:ascii="Arial" w:hAnsi="Arial" w:cs="Arial"/>
                <w:b/>
                <w:szCs w:val="20"/>
              </w:rPr>
            </w:pPr>
            <w:r w:rsidRPr="001C4817">
              <w:rPr>
                <w:rFonts w:ascii="Arial" w:hAnsi="Arial" w:cs="Arial"/>
                <w:b/>
                <w:szCs w:val="20"/>
              </w:rPr>
              <w:t>of Respondents</w:t>
            </w:r>
          </w:p>
        </w:tc>
        <w:tc>
          <w:tcPr>
            <w:tcW w:w="655" w:type="pct"/>
            <w:tcBorders>
              <w:top w:val="single" w:sz="2" w:space="0" w:color="auto"/>
              <w:left w:val="single" w:sz="2" w:space="0" w:color="auto"/>
              <w:bottom w:val="single" w:sz="2" w:space="0" w:color="auto"/>
              <w:right w:val="single" w:sz="2" w:space="0" w:color="auto"/>
            </w:tcBorders>
            <w:vAlign w:val="bottom"/>
            <w:hideMark/>
          </w:tcPr>
          <w:p w:rsidR="002131DC" w:rsidRPr="001C4817" w:rsidP="00F37071" w14:paraId="425678E3" w14:textId="77777777">
            <w:pPr>
              <w:jc w:val="center"/>
              <w:rPr>
                <w:rFonts w:ascii="Arial" w:hAnsi="Arial" w:cs="Arial"/>
                <w:b/>
                <w:szCs w:val="20"/>
              </w:rPr>
            </w:pPr>
            <w:r w:rsidRPr="001C4817">
              <w:rPr>
                <w:rFonts w:ascii="Arial" w:hAnsi="Arial" w:cs="Arial"/>
                <w:b/>
                <w:szCs w:val="20"/>
              </w:rPr>
              <w:t>Number of Responses per Respondent</w:t>
            </w:r>
          </w:p>
        </w:tc>
        <w:tc>
          <w:tcPr>
            <w:tcW w:w="655" w:type="pct"/>
            <w:tcBorders>
              <w:top w:val="single" w:sz="2" w:space="0" w:color="auto"/>
              <w:left w:val="single" w:sz="2" w:space="0" w:color="auto"/>
              <w:bottom w:val="single" w:sz="2" w:space="0" w:color="auto"/>
              <w:right w:val="single" w:sz="2" w:space="0" w:color="auto"/>
            </w:tcBorders>
            <w:vAlign w:val="bottom"/>
            <w:hideMark/>
          </w:tcPr>
          <w:p w:rsidR="002131DC" w:rsidRPr="001C4817" w:rsidP="00F37071" w14:paraId="0A6877E2" w14:textId="77777777">
            <w:pPr>
              <w:jc w:val="center"/>
              <w:rPr>
                <w:rFonts w:ascii="Arial" w:hAnsi="Arial" w:cs="Arial"/>
                <w:b/>
                <w:szCs w:val="20"/>
              </w:rPr>
            </w:pPr>
            <w:r w:rsidRPr="001C4817">
              <w:rPr>
                <w:rFonts w:ascii="Arial" w:hAnsi="Arial" w:cs="Arial"/>
                <w:b/>
                <w:szCs w:val="20"/>
              </w:rPr>
              <w:t>Total Responses</w:t>
            </w:r>
          </w:p>
        </w:tc>
        <w:tc>
          <w:tcPr>
            <w:tcW w:w="539" w:type="pct"/>
            <w:tcBorders>
              <w:top w:val="single" w:sz="2" w:space="0" w:color="auto"/>
              <w:left w:val="single" w:sz="2" w:space="0" w:color="auto"/>
              <w:bottom w:val="single" w:sz="2" w:space="0" w:color="auto"/>
              <w:right w:val="single" w:sz="2" w:space="0" w:color="auto"/>
            </w:tcBorders>
            <w:vAlign w:val="bottom"/>
            <w:hideMark/>
          </w:tcPr>
          <w:p w:rsidR="002131DC" w:rsidRPr="001C4817" w:rsidP="00F37071" w14:paraId="64CBBD4A" w14:textId="77777777">
            <w:pPr>
              <w:jc w:val="center"/>
              <w:rPr>
                <w:rFonts w:ascii="Arial" w:hAnsi="Arial" w:cs="Arial"/>
                <w:b/>
                <w:szCs w:val="20"/>
              </w:rPr>
            </w:pPr>
            <w:r w:rsidRPr="001C4817">
              <w:rPr>
                <w:rFonts w:ascii="Arial" w:hAnsi="Arial" w:cs="Arial"/>
                <w:b/>
                <w:szCs w:val="20"/>
              </w:rPr>
              <w:t>Average Burden per Response (in hours)</w:t>
            </w:r>
          </w:p>
        </w:tc>
        <w:tc>
          <w:tcPr>
            <w:tcW w:w="501" w:type="pct"/>
            <w:tcBorders>
              <w:top w:val="single" w:sz="2" w:space="0" w:color="auto"/>
              <w:left w:val="single" w:sz="2" w:space="0" w:color="auto"/>
              <w:bottom w:val="single" w:sz="2" w:space="0" w:color="auto"/>
              <w:right w:val="single" w:sz="2" w:space="0" w:color="auto"/>
            </w:tcBorders>
            <w:vAlign w:val="bottom"/>
            <w:hideMark/>
          </w:tcPr>
          <w:p w:rsidR="002131DC" w:rsidRPr="001C4817" w:rsidP="00F37071" w14:paraId="7729B5D1" w14:textId="77777777">
            <w:pPr>
              <w:jc w:val="center"/>
              <w:rPr>
                <w:rFonts w:ascii="Arial" w:hAnsi="Arial" w:cs="Arial"/>
                <w:b/>
                <w:szCs w:val="20"/>
              </w:rPr>
            </w:pPr>
            <w:r w:rsidRPr="001C4817">
              <w:rPr>
                <w:rFonts w:ascii="Arial" w:hAnsi="Arial" w:cs="Arial"/>
                <w:b/>
                <w:szCs w:val="20"/>
              </w:rPr>
              <w:t>Total Burden Hours</w:t>
            </w:r>
          </w:p>
        </w:tc>
      </w:tr>
      <w:tr w14:paraId="7C62E81C" w14:textId="77777777" w:rsidTr="0042636B">
        <w:tblPrEx>
          <w:tblW w:w="5000" w:type="pct"/>
          <w:jc w:val="center"/>
          <w:tblLook w:val="04A0"/>
        </w:tblPrEx>
        <w:trPr>
          <w:trHeight w:val="278"/>
          <w:jc w:val="center"/>
        </w:trPr>
        <w:tc>
          <w:tcPr>
            <w:tcW w:w="955" w:type="pct"/>
            <w:tcBorders>
              <w:top w:val="single" w:sz="2" w:space="0" w:color="auto"/>
              <w:left w:val="single" w:sz="2" w:space="0" w:color="auto"/>
              <w:bottom w:val="single" w:sz="2" w:space="0" w:color="auto"/>
              <w:right w:val="single" w:sz="2" w:space="0" w:color="auto"/>
            </w:tcBorders>
          </w:tcPr>
          <w:p w:rsidR="002131DC" w:rsidP="00F37071" w14:paraId="34047CBF" w14:textId="05BF0C7C">
            <w:pPr>
              <w:rPr>
                <w:sz w:val="24"/>
              </w:rPr>
            </w:pPr>
            <w:r>
              <w:rPr>
                <w:sz w:val="24"/>
              </w:rPr>
              <w:t>Project Director</w:t>
            </w:r>
          </w:p>
        </w:tc>
        <w:tc>
          <w:tcPr>
            <w:tcW w:w="955" w:type="pct"/>
            <w:tcBorders>
              <w:top w:val="single" w:sz="2" w:space="0" w:color="auto"/>
              <w:left w:val="single" w:sz="2" w:space="0" w:color="auto"/>
              <w:bottom w:val="single" w:sz="2" w:space="0" w:color="auto"/>
              <w:right w:val="single" w:sz="2" w:space="0" w:color="auto"/>
            </w:tcBorders>
            <w:hideMark/>
          </w:tcPr>
          <w:p w:rsidR="002131DC" w:rsidRPr="001C4817" w:rsidP="00F37071" w14:paraId="7327F133" w14:textId="1116D560">
            <w:pPr>
              <w:rPr>
                <w:rFonts w:ascii="Arial" w:hAnsi="Arial" w:cs="Arial"/>
              </w:rPr>
            </w:pPr>
            <w:r>
              <w:rPr>
                <w:sz w:val="24"/>
              </w:rPr>
              <w:t>Evidence-Based Telehealth Network Program Report</w:t>
            </w:r>
          </w:p>
        </w:tc>
        <w:tc>
          <w:tcPr>
            <w:tcW w:w="740" w:type="pct"/>
            <w:tcBorders>
              <w:top w:val="single" w:sz="2" w:space="0" w:color="auto"/>
              <w:left w:val="single" w:sz="2" w:space="0" w:color="auto"/>
              <w:bottom w:val="single" w:sz="2" w:space="0" w:color="auto"/>
              <w:right w:val="single" w:sz="2" w:space="0" w:color="auto"/>
            </w:tcBorders>
            <w:noWrap/>
          </w:tcPr>
          <w:p w:rsidR="002131DC" w:rsidRPr="001C4817" w:rsidP="00F37071" w14:paraId="5E5D201F" w14:textId="77777777">
            <w:pPr>
              <w:jc w:val="right"/>
              <w:rPr>
                <w:rFonts w:ascii="Arial" w:hAnsi="Arial" w:cs="Arial"/>
              </w:rPr>
            </w:pPr>
            <w:r>
              <w:rPr>
                <w:sz w:val="24"/>
                <w:lang w:val="fr-FR"/>
              </w:rPr>
              <w:t>11</w:t>
            </w:r>
          </w:p>
        </w:tc>
        <w:tc>
          <w:tcPr>
            <w:tcW w:w="655" w:type="pct"/>
            <w:tcBorders>
              <w:top w:val="single" w:sz="2" w:space="0" w:color="auto"/>
              <w:left w:val="single" w:sz="2" w:space="0" w:color="auto"/>
              <w:bottom w:val="single" w:sz="2" w:space="0" w:color="auto"/>
              <w:right w:val="single" w:sz="2" w:space="0" w:color="auto"/>
            </w:tcBorders>
            <w:noWrap/>
          </w:tcPr>
          <w:p w:rsidR="002131DC" w:rsidRPr="001C4817" w:rsidP="00F37071" w14:paraId="35A622FF" w14:textId="77777777">
            <w:pPr>
              <w:jc w:val="right"/>
              <w:rPr>
                <w:rFonts w:ascii="Arial" w:hAnsi="Arial" w:cs="Arial"/>
              </w:rPr>
            </w:pPr>
            <w:r>
              <w:rPr>
                <w:sz w:val="24"/>
                <w:lang w:val="fr-FR"/>
              </w:rPr>
              <w:t>4</w:t>
            </w:r>
          </w:p>
        </w:tc>
        <w:tc>
          <w:tcPr>
            <w:tcW w:w="655" w:type="pct"/>
            <w:tcBorders>
              <w:top w:val="single" w:sz="2" w:space="0" w:color="auto"/>
              <w:left w:val="single" w:sz="2" w:space="0" w:color="auto"/>
              <w:bottom w:val="single" w:sz="2" w:space="0" w:color="auto"/>
              <w:right w:val="single" w:sz="2" w:space="0" w:color="auto"/>
            </w:tcBorders>
          </w:tcPr>
          <w:p w:rsidR="002131DC" w:rsidRPr="001C4817" w:rsidP="00F37071" w14:paraId="41997364" w14:textId="77777777">
            <w:pPr>
              <w:jc w:val="right"/>
              <w:rPr>
                <w:rFonts w:ascii="Arial" w:hAnsi="Arial" w:cs="Arial"/>
              </w:rPr>
            </w:pPr>
            <w:r>
              <w:rPr>
                <w:sz w:val="24"/>
                <w:lang w:val="fr-FR"/>
              </w:rPr>
              <w:t>44</w:t>
            </w:r>
          </w:p>
        </w:tc>
        <w:tc>
          <w:tcPr>
            <w:tcW w:w="539" w:type="pct"/>
            <w:tcBorders>
              <w:top w:val="single" w:sz="2" w:space="0" w:color="auto"/>
              <w:left w:val="single" w:sz="2" w:space="0" w:color="auto"/>
              <w:bottom w:val="single" w:sz="2" w:space="0" w:color="auto"/>
              <w:right w:val="single" w:sz="2" w:space="0" w:color="auto"/>
            </w:tcBorders>
            <w:noWrap/>
          </w:tcPr>
          <w:p w:rsidR="002131DC" w:rsidRPr="001C4817" w:rsidP="00F37071" w14:paraId="36ECAC9A" w14:textId="77777777">
            <w:pPr>
              <w:jc w:val="right"/>
              <w:rPr>
                <w:rFonts w:ascii="Arial" w:hAnsi="Arial" w:cs="Arial"/>
              </w:rPr>
            </w:pPr>
            <w:r>
              <w:rPr>
                <w:sz w:val="24"/>
                <w:lang w:val="fr-FR"/>
              </w:rPr>
              <w:t>31</w:t>
            </w:r>
          </w:p>
        </w:tc>
        <w:tc>
          <w:tcPr>
            <w:tcW w:w="501" w:type="pct"/>
            <w:tcBorders>
              <w:top w:val="single" w:sz="2" w:space="0" w:color="auto"/>
              <w:left w:val="single" w:sz="2" w:space="0" w:color="auto"/>
              <w:bottom w:val="single" w:sz="2" w:space="0" w:color="auto"/>
              <w:right w:val="single" w:sz="2" w:space="0" w:color="auto"/>
            </w:tcBorders>
          </w:tcPr>
          <w:p w:rsidR="002131DC" w:rsidRPr="001C4817" w:rsidP="00F37071" w14:paraId="30A671A7" w14:textId="77777777">
            <w:pPr>
              <w:jc w:val="right"/>
              <w:rPr>
                <w:rFonts w:ascii="Arial" w:hAnsi="Arial" w:cs="Arial"/>
              </w:rPr>
            </w:pPr>
            <w:r>
              <w:rPr>
                <w:sz w:val="24"/>
                <w:lang w:val="fr-FR"/>
              </w:rPr>
              <w:t>1,364</w:t>
            </w:r>
          </w:p>
        </w:tc>
      </w:tr>
      <w:tr w14:paraId="7FEA5591" w14:textId="77777777" w:rsidTr="0042636B">
        <w:tblPrEx>
          <w:tblW w:w="5000" w:type="pct"/>
          <w:jc w:val="center"/>
          <w:tblLook w:val="04A0"/>
        </w:tblPrEx>
        <w:trPr>
          <w:trHeight w:val="278"/>
          <w:jc w:val="center"/>
        </w:trPr>
        <w:tc>
          <w:tcPr>
            <w:tcW w:w="955" w:type="pct"/>
            <w:tcBorders>
              <w:top w:val="single" w:sz="2" w:space="0" w:color="auto"/>
              <w:left w:val="single" w:sz="2" w:space="0" w:color="auto"/>
              <w:bottom w:val="single" w:sz="2" w:space="0" w:color="auto"/>
              <w:right w:val="single" w:sz="2" w:space="0" w:color="auto"/>
            </w:tcBorders>
          </w:tcPr>
          <w:p w:rsidR="002131DC" w:rsidP="00F37071" w14:paraId="4B677CAA" w14:textId="05861235">
            <w:pPr>
              <w:rPr>
                <w:sz w:val="24"/>
                <w:lang w:val="fr-FR"/>
              </w:rPr>
            </w:pPr>
            <w:r>
              <w:rPr>
                <w:sz w:val="24"/>
                <w:lang w:val="fr-FR"/>
              </w:rPr>
              <w:t>Project Director</w:t>
            </w:r>
          </w:p>
        </w:tc>
        <w:tc>
          <w:tcPr>
            <w:tcW w:w="955" w:type="pct"/>
            <w:tcBorders>
              <w:top w:val="single" w:sz="2" w:space="0" w:color="auto"/>
              <w:left w:val="single" w:sz="2" w:space="0" w:color="auto"/>
              <w:bottom w:val="single" w:sz="2" w:space="0" w:color="auto"/>
              <w:right w:val="single" w:sz="2" w:space="0" w:color="auto"/>
            </w:tcBorders>
            <w:hideMark/>
          </w:tcPr>
          <w:p w:rsidR="002131DC" w:rsidRPr="001C4817" w:rsidP="00F37071" w14:paraId="796F6F35" w14:textId="2B32800F">
            <w:pPr>
              <w:rPr>
                <w:rFonts w:ascii="Arial" w:hAnsi="Arial" w:cs="Arial"/>
              </w:rPr>
            </w:pPr>
            <w:r>
              <w:rPr>
                <w:sz w:val="24"/>
                <w:lang w:val="fr-FR"/>
              </w:rPr>
              <w:t>Telehealth Performance Measurement Report</w:t>
            </w:r>
          </w:p>
        </w:tc>
        <w:tc>
          <w:tcPr>
            <w:tcW w:w="740" w:type="pct"/>
            <w:tcBorders>
              <w:top w:val="single" w:sz="2" w:space="0" w:color="auto"/>
              <w:left w:val="single" w:sz="2" w:space="0" w:color="auto"/>
              <w:bottom w:val="single" w:sz="2" w:space="0" w:color="auto"/>
              <w:right w:val="single" w:sz="2" w:space="0" w:color="auto"/>
            </w:tcBorders>
            <w:noWrap/>
          </w:tcPr>
          <w:p w:rsidR="002131DC" w:rsidRPr="001C4817" w:rsidP="00F37071" w14:paraId="430A39F7" w14:textId="77777777">
            <w:pPr>
              <w:jc w:val="right"/>
              <w:rPr>
                <w:rFonts w:ascii="Arial" w:hAnsi="Arial" w:cs="Arial"/>
              </w:rPr>
            </w:pPr>
            <w:r>
              <w:rPr>
                <w:sz w:val="24"/>
                <w:lang w:val="fr-FR"/>
              </w:rPr>
              <w:t>11</w:t>
            </w:r>
          </w:p>
        </w:tc>
        <w:tc>
          <w:tcPr>
            <w:tcW w:w="655" w:type="pct"/>
            <w:tcBorders>
              <w:top w:val="single" w:sz="2" w:space="0" w:color="auto"/>
              <w:left w:val="single" w:sz="2" w:space="0" w:color="auto"/>
              <w:bottom w:val="single" w:sz="2" w:space="0" w:color="auto"/>
              <w:right w:val="single" w:sz="2" w:space="0" w:color="auto"/>
            </w:tcBorders>
            <w:noWrap/>
          </w:tcPr>
          <w:p w:rsidR="002131DC" w:rsidRPr="001C4817" w:rsidP="00F37071" w14:paraId="7A5EA05A" w14:textId="77777777">
            <w:pPr>
              <w:jc w:val="right"/>
              <w:rPr>
                <w:rFonts w:ascii="Arial" w:hAnsi="Arial" w:cs="Arial"/>
              </w:rPr>
            </w:pPr>
            <w:r>
              <w:rPr>
                <w:sz w:val="24"/>
                <w:lang w:val="fr-FR"/>
              </w:rPr>
              <w:t>1</w:t>
            </w:r>
          </w:p>
        </w:tc>
        <w:tc>
          <w:tcPr>
            <w:tcW w:w="655" w:type="pct"/>
            <w:tcBorders>
              <w:top w:val="single" w:sz="2" w:space="0" w:color="auto"/>
              <w:left w:val="single" w:sz="2" w:space="0" w:color="auto"/>
              <w:bottom w:val="single" w:sz="2" w:space="0" w:color="auto"/>
              <w:right w:val="single" w:sz="2" w:space="0" w:color="auto"/>
            </w:tcBorders>
          </w:tcPr>
          <w:p w:rsidR="002131DC" w:rsidRPr="001C4817" w:rsidP="00F37071" w14:paraId="1B3AA4EB" w14:textId="77777777">
            <w:pPr>
              <w:jc w:val="right"/>
              <w:rPr>
                <w:rFonts w:ascii="Arial" w:hAnsi="Arial" w:cs="Arial"/>
              </w:rPr>
            </w:pPr>
            <w:r>
              <w:rPr>
                <w:sz w:val="24"/>
                <w:lang w:val="fr-FR"/>
              </w:rPr>
              <w:t>11</w:t>
            </w:r>
          </w:p>
        </w:tc>
        <w:tc>
          <w:tcPr>
            <w:tcW w:w="539" w:type="pct"/>
            <w:tcBorders>
              <w:top w:val="single" w:sz="2" w:space="0" w:color="auto"/>
              <w:left w:val="single" w:sz="2" w:space="0" w:color="auto"/>
              <w:bottom w:val="single" w:sz="2" w:space="0" w:color="auto"/>
              <w:right w:val="single" w:sz="2" w:space="0" w:color="auto"/>
            </w:tcBorders>
            <w:noWrap/>
          </w:tcPr>
          <w:p w:rsidR="002131DC" w:rsidRPr="001C4817" w:rsidP="00F37071" w14:paraId="33D5878A" w14:textId="77777777">
            <w:pPr>
              <w:jc w:val="right"/>
              <w:rPr>
                <w:rFonts w:ascii="Arial" w:hAnsi="Arial" w:cs="Arial"/>
              </w:rPr>
            </w:pPr>
            <w:r>
              <w:rPr>
                <w:sz w:val="24"/>
                <w:lang w:val="fr-FR"/>
              </w:rPr>
              <w:t>5</w:t>
            </w:r>
          </w:p>
        </w:tc>
        <w:tc>
          <w:tcPr>
            <w:tcW w:w="501" w:type="pct"/>
            <w:tcBorders>
              <w:top w:val="single" w:sz="2" w:space="0" w:color="auto"/>
              <w:left w:val="single" w:sz="2" w:space="0" w:color="auto"/>
              <w:bottom w:val="single" w:sz="2" w:space="0" w:color="auto"/>
              <w:right w:val="single" w:sz="2" w:space="0" w:color="auto"/>
            </w:tcBorders>
          </w:tcPr>
          <w:p w:rsidR="002131DC" w:rsidRPr="001C4817" w:rsidP="00F37071" w14:paraId="21BD8D81" w14:textId="77777777">
            <w:pPr>
              <w:jc w:val="right"/>
              <w:rPr>
                <w:rFonts w:ascii="Arial" w:hAnsi="Arial" w:cs="Arial"/>
              </w:rPr>
            </w:pPr>
            <w:r>
              <w:rPr>
                <w:sz w:val="24"/>
              </w:rPr>
              <w:t>55</w:t>
            </w:r>
          </w:p>
        </w:tc>
      </w:tr>
      <w:tr w14:paraId="6DF2642F" w14:textId="77777777" w:rsidTr="0042636B">
        <w:tblPrEx>
          <w:tblW w:w="5000" w:type="pct"/>
          <w:jc w:val="center"/>
          <w:tblLook w:val="04A0"/>
        </w:tblPrEx>
        <w:trPr>
          <w:trHeight w:val="278"/>
          <w:jc w:val="center"/>
        </w:trPr>
        <w:tc>
          <w:tcPr>
            <w:tcW w:w="955" w:type="pct"/>
            <w:tcBorders>
              <w:top w:val="single" w:sz="2" w:space="0" w:color="auto"/>
              <w:left w:val="single" w:sz="2" w:space="0" w:color="auto"/>
              <w:bottom w:val="single" w:sz="2" w:space="0" w:color="auto"/>
              <w:right w:val="single" w:sz="2" w:space="0" w:color="auto"/>
            </w:tcBorders>
          </w:tcPr>
          <w:p w:rsidR="002131DC" w:rsidRPr="00043A0A" w:rsidP="00F37071" w14:paraId="497B87BE" w14:textId="77777777">
            <w:pPr>
              <w:rPr>
                <w:sz w:val="24"/>
                <w:lang w:val="fr-FR"/>
              </w:rPr>
            </w:pPr>
          </w:p>
        </w:tc>
        <w:tc>
          <w:tcPr>
            <w:tcW w:w="955" w:type="pct"/>
            <w:tcBorders>
              <w:top w:val="single" w:sz="2" w:space="0" w:color="auto"/>
              <w:left w:val="single" w:sz="2" w:space="0" w:color="auto"/>
              <w:bottom w:val="single" w:sz="2" w:space="0" w:color="auto"/>
              <w:right w:val="single" w:sz="2" w:space="0" w:color="auto"/>
            </w:tcBorders>
          </w:tcPr>
          <w:p w:rsidR="002131DC" w:rsidP="00F37071" w14:paraId="5BE1955C" w14:textId="5C266EF5">
            <w:pPr>
              <w:rPr>
                <w:sz w:val="24"/>
                <w:lang w:val="fr-FR"/>
              </w:rPr>
            </w:pPr>
            <w:r w:rsidRPr="00043A0A">
              <w:rPr>
                <w:sz w:val="24"/>
                <w:lang w:val="fr-FR"/>
              </w:rPr>
              <w:t>Total</w:t>
            </w:r>
          </w:p>
        </w:tc>
        <w:tc>
          <w:tcPr>
            <w:tcW w:w="740" w:type="pct"/>
            <w:tcBorders>
              <w:top w:val="single" w:sz="2" w:space="0" w:color="auto"/>
              <w:left w:val="single" w:sz="2" w:space="0" w:color="auto"/>
              <w:bottom w:val="single" w:sz="2" w:space="0" w:color="auto"/>
              <w:right w:val="single" w:sz="2" w:space="0" w:color="auto"/>
            </w:tcBorders>
            <w:noWrap/>
          </w:tcPr>
          <w:p w:rsidR="002131DC" w:rsidP="00F37071" w14:paraId="782BC3A9" w14:textId="77777777">
            <w:pPr>
              <w:jc w:val="right"/>
              <w:rPr>
                <w:sz w:val="24"/>
                <w:lang w:val="fr-FR"/>
              </w:rPr>
            </w:pPr>
            <w:r>
              <w:rPr>
                <w:sz w:val="24"/>
                <w:lang w:val="fr-FR"/>
              </w:rPr>
              <w:t>11*</w:t>
            </w:r>
          </w:p>
        </w:tc>
        <w:tc>
          <w:tcPr>
            <w:tcW w:w="655" w:type="pct"/>
            <w:tcBorders>
              <w:top w:val="single" w:sz="2" w:space="0" w:color="auto"/>
              <w:left w:val="single" w:sz="2" w:space="0" w:color="auto"/>
              <w:bottom w:val="single" w:sz="2" w:space="0" w:color="auto"/>
              <w:right w:val="single" w:sz="2" w:space="0" w:color="auto"/>
            </w:tcBorders>
            <w:noWrap/>
          </w:tcPr>
          <w:p w:rsidR="002131DC" w:rsidP="00F37071" w14:paraId="41FE110C" w14:textId="77777777">
            <w:pPr>
              <w:jc w:val="right"/>
              <w:rPr>
                <w:sz w:val="24"/>
                <w:lang w:val="fr-FR"/>
              </w:rPr>
            </w:pPr>
          </w:p>
        </w:tc>
        <w:tc>
          <w:tcPr>
            <w:tcW w:w="655" w:type="pct"/>
            <w:tcBorders>
              <w:top w:val="single" w:sz="2" w:space="0" w:color="auto"/>
              <w:left w:val="single" w:sz="2" w:space="0" w:color="auto"/>
              <w:bottom w:val="single" w:sz="2" w:space="0" w:color="auto"/>
              <w:right w:val="single" w:sz="2" w:space="0" w:color="auto"/>
            </w:tcBorders>
          </w:tcPr>
          <w:p w:rsidR="002131DC" w:rsidP="00F37071" w14:paraId="4AE0CD81" w14:textId="14ADB911">
            <w:pPr>
              <w:jc w:val="right"/>
              <w:rPr>
                <w:sz w:val="24"/>
                <w:lang w:val="fr-FR"/>
              </w:rPr>
            </w:pPr>
            <w:r>
              <w:rPr>
                <w:sz w:val="24"/>
                <w:lang w:val="fr-FR"/>
              </w:rPr>
              <w:t>55</w:t>
            </w:r>
          </w:p>
        </w:tc>
        <w:tc>
          <w:tcPr>
            <w:tcW w:w="539" w:type="pct"/>
            <w:tcBorders>
              <w:top w:val="single" w:sz="2" w:space="0" w:color="auto"/>
              <w:left w:val="single" w:sz="2" w:space="0" w:color="auto"/>
              <w:bottom w:val="single" w:sz="2" w:space="0" w:color="auto"/>
              <w:right w:val="single" w:sz="2" w:space="0" w:color="auto"/>
            </w:tcBorders>
            <w:noWrap/>
          </w:tcPr>
          <w:p w:rsidR="002131DC" w:rsidP="00F37071" w14:paraId="2D38A708" w14:textId="77777777">
            <w:pPr>
              <w:jc w:val="right"/>
              <w:rPr>
                <w:sz w:val="24"/>
                <w:lang w:val="fr-FR"/>
              </w:rPr>
            </w:pPr>
          </w:p>
        </w:tc>
        <w:tc>
          <w:tcPr>
            <w:tcW w:w="501" w:type="pct"/>
            <w:tcBorders>
              <w:top w:val="single" w:sz="2" w:space="0" w:color="auto"/>
              <w:left w:val="single" w:sz="2" w:space="0" w:color="auto"/>
              <w:bottom w:val="single" w:sz="2" w:space="0" w:color="auto"/>
              <w:right w:val="single" w:sz="2" w:space="0" w:color="auto"/>
            </w:tcBorders>
          </w:tcPr>
          <w:p w:rsidR="002131DC" w:rsidP="00F37071" w14:paraId="716C9739" w14:textId="77777777">
            <w:pPr>
              <w:jc w:val="right"/>
              <w:rPr>
                <w:sz w:val="24"/>
              </w:rPr>
            </w:pPr>
            <w:r>
              <w:rPr>
                <w:sz w:val="24"/>
              </w:rPr>
              <w:t>1,419</w:t>
            </w:r>
          </w:p>
        </w:tc>
      </w:tr>
    </w:tbl>
    <w:p w:rsidR="002131DC" w:rsidP="002131DC" w14:paraId="2FBB98DB" w14:textId="609E240E">
      <w:pPr>
        <w:spacing w:line="480" w:lineRule="auto"/>
        <w:rPr>
          <w:sz w:val="24"/>
        </w:rPr>
      </w:pPr>
      <w:r w:rsidRPr="0086319C">
        <w:rPr>
          <w:sz w:val="24"/>
        </w:rPr>
        <w:t xml:space="preserve">* HRSA estimates </w:t>
      </w:r>
      <w:r>
        <w:rPr>
          <w:sz w:val="24"/>
        </w:rPr>
        <w:t>11</w:t>
      </w:r>
      <w:r w:rsidRPr="0086319C">
        <w:rPr>
          <w:sz w:val="24"/>
        </w:rPr>
        <w:t xml:space="preserve"> unique respondents, each completing the two forms.</w:t>
      </w:r>
    </w:p>
    <w:p w:rsidR="002131DC" w:rsidRPr="00011DA2" w:rsidP="002131DC" w14:paraId="22C0E752" w14:textId="78838C1B">
      <w:pPr>
        <w:widowControl/>
        <w:tabs>
          <w:tab w:val="num" w:pos="1080"/>
        </w:tabs>
        <w:spacing w:before="120"/>
        <w:rPr>
          <w:sz w:val="24"/>
        </w:rPr>
      </w:pPr>
      <w:r w:rsidRPr="00011DA2">
        <w:rPr>
          <w:sz w:val="24"/>
        </w:rPr>
        <w:t xml:space="preserve">These estimates were determined by consultations with </w:t>
      </w:r>
      <w:r w:rsidR="00F16142">
        <w:rPr>
          <w:sz w:val="24"/>
        </w:rPr>
        <w:t xml:space="preserve">a sample of </w:t>
      </w:r>
      <w:r w:rsidR="00DF7930">
        <w:rPr>
          <w:sz w:val="24"/>
        </w:rPr>
        <w:t xml:space="preserve">six </w:t>
      </w:r>
      <w:r w:rsidRPr="00011DA2">
        <w:rPr>
          <w:sz w:val="24"/>
        </w:rPr>
        <w:t xml:space="preserve">current grantees </w:t>
      </w:r>
      <w:r>
        <w:rPr>
          <w:sz w:val="24"/>
        </w:rPr>
        <w:t>from the program.</w:t>
      </w:r>
      <w:r w:rsidRPr="00011DA2">
        <w:rPr>
          <w:sz w:val="24"/>
        </w:rPr>
        <w:t xml:space="preserve"> These grantees were sent a draft of the questions that pertain to their program</w:t>
      </w:r>
      <w:r w:rsidR="00CD636B">
        <w:rPr>
          <w:sz w:val="24"/>
        </w:rPr>
        <w:t xml:space="preserve">. </w:t>
      </w:r>
      <w:r w:rsidRPr="00011DA2">
        <w:rPr>
          <w:sz w:val="24"/>
        </w:rPr>
        <w:t>They were asked to estimate how m</w:t>
      </w:r>
      <w:r>
        <w:rPr>
          <w:sz w:val="24"/>
        </w:rPr>
        <w:t>uch time it would take to respond to</w:t>
      </w:r>
      <w:r w:rsidRPr="00011DA2">
        <w:rPr>
          <w:sz w:val="24"/>
        </w:rPr>
        <w:t xml:space="preserve"> the questions.</w:t>
      </w:r>
    </w:p>
    <w:p w:rsidR="00685423" w:rsidP="002131DC" w14:paraId="1C0A276C" w14:textId="69A2E28A">
      <w:pPr>
        <w:widowControl/>
        <w:tabs>
          <w:tab w:val="num" w:pos="1080"/>
        </w:tabs>
        <w:spacing w:before="120"/>
        <w:rPr>
          <w:sz w:val="24"/>
        </w:rPr>
      </w:pPr>
      <w:r w:rsidRPr="00011DA2">
        <w:rPr>
          <w:sz w:val="24"/>
        </w:rPr>
        <w:t>It should also be noted that the burden is expected to vary across the gra</w:t>
      </w:r>
      <w:r>
        <w:rPr>
          <w:sz w:val="24"/>
        </w:rPr>
        <w:t xml:space="preserve">ntees. </w:t>
      </w:r>
      <w:r w:rsidRPr="00011DA2">
        <w:rPr>
          <w:sz w:val="24"/>
        </w:rPr>
        <w:t>This variation is tied primarily to the type of program activities specific to the grantee’s project and current data collection system.</w:t>
      </w:r>
    </w:p>
    <w:p w:rsidR="002131DC" w:rsidRPr="002131DC" w:rsidP="000D7CEA" w14:paraId="2DDA1769" w14:textId="77777777">
      <w:pPr>
        <w:widowControl/>
        <w:tabs>
          <w:tab w:val="num" w:pos="1080"/>
        </w:tabs>
        <w:spacing w:before="120"/>
        <w:rPr>
          <w:sz w:val="24"/>
        </w:rPr>
      </w:pPr>
    </w:p>
    <w:p w:rsidR="00685423" w:rsidRPr="000D7CEA" w:rsidP="000D7CEA" w14:paraId="48B4C396" w14:textId="28D9B65B">
      <w:pPr>
        <w:widowControl/>
        <w:rPr>
          <w:rFonts w:ascii="Arial" w:hAnsi="Arial" w:cs="Arial"/>
          <w:b/>
          <w:sz w:val="28"/>
          <w:szCs w:val="28"/>
        </w:rPr>
      </w:pPr>
      <w:r w:rsidRPr="00C45431">
        <w:rPr>
          <w:rFonts w:ascii="Arial" w:hAnsi="Arial" w:cs="Arial"/>
          <w:b/>
          <w:sz w:val="28"/>
          <w:szCs w:val="28"/>
        </w:rPr>
        <w:t>12B</w:t>
      </w:r>
      <w:r w:rsidRPr="000D7CEA" w:rsidR="00CD636B">
        <w:rPr>
          <w:rFonts w:ascii="Arial" w:hAnsi="Arial" w:cs="Arial"/>
          <w:b/>
          <w:sz w:val="28"/>
          <w:szCs w:val="28"/>
        </w:rPr>
        <w:t xml:space="preserve">. </w:t>
      </w:r>
      <w:r w:rsidRPr="000D7CEA">
        <w:rPr>
          <w:rFonts w:ascii="Arial" w:hAnsi="Arial" w:cs="Arial"/>
          <w:b/>
          <w:sz w:val="28"/>
          <w:szCs w:val="28"/>
        </w:rPr>
        <w:t xml:space="preserve">Estimated Annualized Burden Costs </w:t>
      </w:r>
    </w:p>
    <w:p w:rsidR="00685423" w:rsidRPr="00C45431" w:rsidP="00CA3DA6" w14:paraId="4C3005C5" w14:textId="43357BF4">
      <w:pPr>
        <w:widowControl/>
        <w:spacing w:before="120"/>
        <w:rPr>
          <w:rFonts w:ascii="Arial" w:hAnsi="Arial" w:cs="Arial"/>
          <w:sz w:val="28"/>
          <w:szCs w:val="28"/>
        </w:rPr>
      </w:pPr>
      <w:r w:rsidRPr="008007D6">
        <w:rPr>
          <w:sz w:val="24"/>
        </w:rPr>
        <w:t xml:space="preserve">The Department of Labor website was used to determine </w:t>
      </w:r>
      <w:r w:rsidR="00091A31">
        <w:rPr>
          <w:sz w:val="24"/>
        </w:rPr>
        <w:t xml:space="preserve">the </w:t>
      </w:r>
      <w:r w:rsidRPr="008007D6">
        <w:rPr>
          <w:sz w:val="24"/>
        </w:rPr>
        <w:t>appropriate wage rate for respondents (</w:t>
      </w:r>
      <w:hyperlink r:id="rId8" w:history="1">
        <w:r w:rsidRPr="008007D6">
          <w:rPr>
            <w:rStyle w:val="Hyperlink"/>
            <w:sz w:val="24"/>
          </w:rPr>
          <w:t>http://www.bls.gov/bls/blswage.htm</w:t>
        </w:r>
      </w:hyperlink>
      <w:r w:rsidRPr="008007D6">
        <w:rPr>
          <w:sz w:val="24"/>
        </w:rPr>
        <w:t>).</w:t>
      </w:r>
      <w:r w:rsidR="00091A31">
        <w:rPr>
          <w:sz w:val="24"/>
        </w:rPr>
        <w:t xml:space="preserve"> Because the forms will be completed by Project Directors, the wage category used was “Management Occupations”, which has a median wage of $51.62 per hour. When calculating the estimated annual burden costs (see Table 3), the median wage is multiplied by 2 to account for overhead costs, for a total of $103.24.</w:t>
      </w:r>
    </w:p>
    <w:p w:rsidR="002131DC" w:rsidRPr="000D7CEA" w:rsidP="000D7CEA" w14:paraId="02519CE5" w14:textId="107589D6">
      <w:pPr>
        <w:widowControl/>
        <w:rPr>
          <w:bCs/>
          <w:sz w:val="24"/>
        </w:rPr>
      </w:pPr>
      <w:r>
        <w:rPr>
          <w:b/>
          <w:sz w:val="24"/>
        </w:rPr>
        <w:br w:type="column"/>
      </w:r>
      <w:r w:rsidRPr="00091A31">
        <w:rPr>
          <w:b/>
          <w:sz w:val="24"/>
        </w:rPr>
        <w:t>Table 3: Estimated Annual Burden Costs</w:t>
      </w:r>
    </w:p>
    <w:tbl>
      <w:tblPr>
        <w:tblW w:w="61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630"/>
        <w:gridCol w:w="1220"/>
        <w:gridCol w:w="1731"/>
      </w:tblGrid>
      <w:tr w14:paraId="76A1B636" w14:textId="77777777" w:rsidTr="000D7CEA">
        <w:tblPrEx>
          <w:tblW w:w="61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03" w:type="dxa"/>
          </w:tcPr>
          <w:p w:rsidR="002131DC" w:rsidRPr="000D7CEA" w:rsidP="000D7CEA" w14:paraId="39DDEFD4" w14:textId="75E110A3">
            <w:pPr>
              <w:widowControl/>
              <w:spacing w:before="120"/>
              <w:jc w:val="center"/>
              <w:rPr>
                <w:sz w:val="24"/>
              </w:rPr>
            </w:pPr>
            <w:r w:rsidRPr="000D7CEA">
              <w:rPr>
                <w:b/>
                <w:bCs/>
                <w:sz w:val="24"/>
              </w:rPr>
              <w:t>Type of</w:t>
            </w:r>
            <w:r w:rsidR="00091A31">
              <w:rPr>
                <w:b/>
                <w:bCs/>
                <w:sz w:val="24"/>
              </w:rPr>
              <w:t xml:space="preserve"> </w:t>
            </w:r>
            <w:r w:rsidRPr="000D7CEA">
              <w:rPr>
                <w:b/>
                <w:bCs/>
                <w:sz w:val="24"/>
              </w:rPr>
              <w:t>Respondent</w:t>
            </w:r>
          </w:p>
          <w:p w:rsidR="002131DC" w:rsidRPr="000D7CEA" w:rsidP="000D7CEA" w14:paraId="124663B2" w14:textId="77777777">
            <w:pPr>
              <w:widowControl/>
              <w:spacing w:before="120"/>
              <w:jc w:val="center"/>
              <w:rPr>
                <w:b/>
                <w:bCs/>
                <w:sz w:val="24"/>
              </w:rPr>
            </w:pPr>
          </w:p>
        </w:tc>
        <w:tc>
          <w:tcPr>
            <w:tcW w:w="1277" w:type="dxa"/>
          </w:tcPr>
          <w:p w:rsidR="002131DC" w:rsidRPr="000D7CEA" w:rsidP="000D7CEA" w14:paraId="66AA568D" w14:textId="28B18E5A">
            <w:pPr>
              <w:widowControl/>
              <w:spacing w:before="120"/>
              <w:jc w:val="center"/>
              <w:rPr>
                <w:b/>
                <w:bCs/>
                <w:sz w:val="24"/>
              </w:rPr>
            </w:pPr>
            <w:r w:rsidRPr="000D7CEA">
              <w:rPr>
                <w:b/>
                <w:bCs/>
                <w:sz w:val="24"/>
              </w:rPr>
              <w:t>Total BurdenHours</w:t>
            </w:r>
          </w:p>
        </w:tc>
        <w:tc>
          <w:tcPr>
            <w:tcW w:w="1342" w:type="dxa"/>
          </w:tcPr>
          <w:p w:rsidR="002131DC" w:rsidRPr="000D7CEA" w:rsidP="000D7CEA" w14:paraId="7F6305A6" w14:textId="7AEE08EA">
            <w:pPr>
              <w:widowControl/>
              <w:spacing w:before="120"/>
              <w:jc w:val="center"/>
              <w:rPr>
                <w:b/>
                <w:bCs/>
                <w:sz w:val="24"/>
              </w:rPr>
            </w:pPr>
            <w:r w:rsidRPr="000D7CEA">
              <w:rPr>
                <w:b/>
                <w:bCs/>
                <w:sz w:val="24"/>
              </w:rPr>
              <w:t>Hourly</w:t>
            </w:r>
            <w:r w:rsidR="00091A31">
              <w:rPr>
                <w:b/>
                <w:bCs/>
                <w:sz w:val="24"/>
              </w:rPr>
              <w:t xml:space="preserve"> Median Wage Rate (x2)</w:t>
            </w:r>
          </w:p>
        </w:tc>
        <w:tc>
          <w:tcPr>
            <w:tcW w:w="1900" w:type="dxa"/>
          </w:tcPr>
          <w:p w:rsidR="002131DC" w:rsidRPr="000D7CEA" w:rsidP="000D7CEA" w14:paraId="72926E63" w14:textId="18D8E309">
            <w:pPr>
              <w:widowControl/>
              <w:spacing w:before="120"/>
              <w:jc w:val="center"/>
              <w:rPr>
                <w:b/>
                <w:bCs/>
                <w:sz w:val="24"/>
              </w:rPr>
            </w:pPr>
            <w:r w:rsidRPr="000D7CEA">
              <w:rPr>
                <w:b/>
                <w:bCs/>
                <w:sz w:val="24"/>
              </w:rPr>
              <w:t>Total Respondent Costs</w:t>
            </w:r>
          </w:p>
        </w:tc>
      </w:tr>
      <w:tr w14:paraId="66D2F83D" w14:textId="77777777" w:rsidTr="000D7CEA">
        <w:tblPrEx>
          <w:tblW w:w="6122" w:type="dxa"/>
          <w:tblInd w:w="-113" w:type="dxa"/>
          <w:tblLook w:val="01E0"/>
        </w:tblPrEx>
        <w:tc>
          <w:tcPr>
            <w:tcW w:w="1603" w:type="dxa"/>
          </w:tcPr>
          <w:p w:rsidR="002131DC" w:rsidRPr="000D7CEA" w:rsidP="00F37071" w14:paraId="34D82556" w14:textId="77777777">
            <w:pPr>
              <w:spacing w:before="120"/>
              <w:rPr>
                <w:sz w:val="24"/>
              </w:rPr>
            </w:pPr>
            <w:r w:rsidRPr="000D7CEA">
              <w:rPr>
                <w:sz w:val="24"/>
              </w:rPr>
              <w:t>Project Director</w:t>
            </w:r>
          </w:p>
        </w:tc>
        <w:tc>
          <w:tcPr>
            <w:tcW w:w="1277" w:type="dxa"/>
          </w:tcPr>
          <w:p w:rsidR="002131DC" w:rsidRPr="000D7CEA" w:rsidP="00F37071" w14:paraId="631D277C" w14:textId="01E90792">
            <w:pPr>
              <w:spacing w:before="120"/>
              <w:rPr>
                <w:sz w:val="24"/>
              </w:rPr>
            </w:pPr>
            <w:r w:rsidRPr="000D7CEA">
              <w:rPr>
                <w:sz w:val="24"/>
              </w:rPr>
              <w:t xml:space="preserve"> </w:t>
            </w:r>
            <w:r w:rsidRPr="000D7CEA" w:rsidR="0042636B">
              <w:rPr>
                <w:sz w:val="24"/>
              </w:rPr>
              <w:t>1,419</w:t>
            </w:r>
          </w:p>
        </w:tc>
        <w:tc>
          <w:tcPr>
            <w:tcW w:w="1342" w:type="dxa"/>
          </w:tcPr>
          <w:p w:rsidR="002131DC" w:rsidRPr="000D7CEA" w:rsidP="00F37071" w14:paraId="7080B8AE" w14:textId="040F8683">
            <w:pPr>
              <w:spacing w:before="120"/>
              <w:jc w:val="right"/>
              <w:rPr>
                <w:sz w:val="24"/>
              </w:rPr>
            </w:pPr>
            <w:r w:rsidRPr="000D7CEA">
              <w:rPr>
                <w:sz w:val="24"/>
              </w:rPr>
              <w:t>$</w:t>
            </w:r>
            <w:r w:rsidR="00091A31">
              <w:rPr>
                <w:sz w:val="24"/>
              </w:rPr>
              <w:t>103.24</w:t>
            </w:r>
            <w:r w:rsidRPr="000D7CEA">
              <w:rPr>
                <w:sz w:val="24"/>
              </w:rPr>
              <w:t xml:space="preserve"> </w:t>
            </w:r>
          </w:p>
        </w:tc>
        <w:tc>
          <w:tcPr>
            <w:tcW w:w="1900" w:type="dxa"/>
          </w:tcPr>
          <w:p w:rsidR="002131DC" w:rsidRPr="000D7CEA" w:rsidP="00F37071" w14:paraId="1539D5FD" w14:textId="62A7F786">
            <w:pPr>
              <w:spacing w:before="120"/>
              <w:jc w:val="right"/>
              <w:rPr>
                <w:sz w:val="24"/>
              </w:rPr>
            </w:pPr>
            <w:r w:rsidRPr="000D7CEA">
              <w:rPr>
                <w:sz w:val="24"/>
              </w:rPr>
              <w:t>$</w:t>
            </w:r>
            <w:r w:rsidRPr="00091A31" w:rsidR="0042636B">
              <w:t xml:space="preserve"> </w:t>
            </w:r>
            <w:r w:rsidRPr="00091A31" w:rsidR="00091A31">
              <w:rPr>
                <w:sz w:val="24"/>
              </w:rPr>
              <w:t>146,497.56</w:t>
            </w:r>
          </w:p>
        </w:tc>
      </w:tr>
      <w:tr w14:paraId="5B0ABC67" w14:textId="77777777" w:rsidTr="000D7CEA">
        <w:tblPrEx>
          <w:tblW w:w="6122" w:type="dxa"/>
          <w:tblInd w:w="-113" w:type="dxa"/>
          <w:tblLook w:val="01E0"/>
        </w:tblPrEx>
        <w:trPr>
          <w:trHeight w:val="440"/>
        </w:trPr>
        <w:tc>
          <w:tcPr>
            <w:tcW w:w="1603" w:type="dxa"/>
          </w:tcPr>
          <w:p w:rsidR="0042636B" w:rsidRPr="000D7CEA" w:rsidP="0042636B" w14:paraId="468A383E" w14:textId="77777777">
            <w:pPr>
              <w:widowControl/>
              <w:spacing w:before="120"/>
              <w:rPr>
                <w:sz w:val="24"/>
              </w:rPr>
            </w:pPr>
            <w:r w:rsidRPr="000D7CEA">
              <w:rPr>
                <w:sz w:val="24"/>
              </w:rPr>
              <w:t>Total</w:t>
            </w:r>
          </w:p>
        </w:tc>
        <w:tc>
          <w:tcPr>
            <w:tcW w:w="1277" w:type="dxa"/>
          </w:tcPr>
          <w:p w:rsidR="0042636B" w:rsidRPr="000D7CEA" w:rsidP="0042636B" w14:paraId="3F9C7492" w14:textId="6DB717E4">
            <w:pPr>
              <w:widowControl/>
              <w:spacing w:before="120"/>
              <w:rPr>
                <w:sz w:val="24"/>
              </w:rPr>
            </w:pPr>
          </w:p>
        </w:tc>
        <w:tc>
          <w:tcPr>
            <w:tcW w:w="1342" w:type="dxa"/>
          </w:tcPr>
          <w:p w:rsidR="0042636B" w:rsidRPr="000D7CEA" w:rsidP="0042636B" w14:paraId="7030DAE7" w14:textId="5E6898B4">
            <w:pPr>
              <w:widowControl/>
              <w:spacing w:before="120"/>
              <w:jc w:val="right"/>
              <w:rPr>
                <w:sz w:val="24"/>
              </w:rPr>
            </w:pPr>
          </w:p>
        </w:tc>
        <w:tc>
          <w:tcPr>
            <w:tcW w:w="1900" w:type="dxa"/>
          </w:tcPr>
          <w:p w:rsidR="0042636B" w:rsidRPr="000D7CEA" w:rsidP="0042636B" w14:paraId="1D4AD644" w14:textId="60CFC8C3">
            <w:pPr>
              <w:widowControl/>
              <w:spacing w:before="120"/>
              <w:jc w:val="right"/>
              <w:rPr>
                <w:sz w:val="24"/>
              </w:rPr>
            </w:pPr>
            <w:r w:rsidRPr="000D7CEA">
              <w:rPr>
                <w:sz w:val="24"/>
              </w:rPr>
              <w:t>$</w:t>
            </w:r>
            <w:r w:rsidRPr="00091A31">
              <w:t xml:space="preserve"> </w:t>
            </w:r>
            <w:r w:rsidRPr="00091A31" w:rsidR="00091A31">
              <w:rPr>
                <w:sz w:val="24"/>
              </w:rPr>
              <w:t>146,497.56</w:t>
            </w:r>
          </w:p>
        </w:tc>
      </w:tr>
    </w:tbl>
    <w:p w:rsidR="002131DC" w:rsidRPr="000D7CEA" w:rsidP="000D7CEA" w14:paraId="6B37EB9F" w14:textId="1E55CF10">
      <w:pPr>
        <w:pStyle w:val="BodyTextIndent"/>
        <w:spacing w:before="120"/>
        <w:ind w:left="0"/>
        <w:rPr>
          <w:rFonts w:ascii="Times New Roman" w:hAnsi="Times New Roman"/>
          <w:sz w:val="20"/>
          <w:szCs w:val="20"/>
        </w:rPr>
      </w:pPr>
      <w:r w:rsidRPr="000D7CEA">
        <w:rPr>
          <w:rFonts w:ascii="Times New Roman" w:hAnsi="Times New Roman"/>
          <w:sz w:val="20"/>
          <w:szCs w:val="20"/>
        </w:rPr>
        <w:t xml:space="preserve">* </w:t>
      </w:r>
      <w:r w:rsidRPr="000D7CEA" w:rsidR="00091A31">
        <w:rPr>
          <w:rFonts w:ascii="Times New Roman" w:hAnsi="Times New Roman"/>
          <w:sz w:val="20"/>
          <w:szCs w:val="20"/>
        </w:rPr>
        <w:t xml:space="preserve">Source:  </w:t>
      </w:r>
      <w:hyperlink r:id="rId9" w:history="1">
        <w:r w:rsidRPr="000D7CEA" w:rsidR="00091A31">
          <w:rPr>
            <w:rStyle w:val="Hyperlink"/>
            <w:rFonts w:ascii="Times New Roman" w:hAnsi="Times New Roman"/>
            <w:sz w:val="20"/>
            <w:szCs w:val="20"/>
          </w:rPr>
          <w:t>https://www.bls.gov/oes/current/oes110000.htm</w:t>
        </w:r>
      </w:hyperlink>
      <w:r w:rsidRPr="000D7CEA" w:rsidR="00091A31">
        <w:rPr>
          <w:rFonts w:ascii="Times New Roman" w:hAnsi="Times New Roman"/>
          <w:sz w:val="20"/>
          <w:szCs w:val="20"/>
        </w:rPr>
        <w:t xml:space="preserve">. Hourly median wage multiplied by 2 to account for overhead costs. </w:t>
      </w:r>
    </w:p>
    <w:p w:rsidR="009B3794" w:rsidRPr="00C45431" w:rsidP="00F51ABF" w14:paraId="22E2A391"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2131DC" w:rsidRPr="002131DC" w:rsidP="000D7CEA" w14:paraId="61C3F365" w14:textId="5CF553B4">
      <w:pPr>
        <w:spacing w:before="240"/>
        <w:ind w:left="360"/>
        <w:rPr>
          <w:rFonts w:ascii="Arial" w:hAnsi="Arial" w:cs="Arial"/>
          <w:bCs/>
        </w:rPr>
      </w:pPr>
      <w:r w:rsidRPr="003117CF">
        <w:rPr>
          <w:sz w:val="24"/>
        </w:rPr>
        <w:t>Other than their time, there is no cost to respondents.</w:t>
      </w:r>
    </w:p>
    <w:p w:rsidR="0042636B" w:rsidRPr="00091A31" w:rsidP="000D7CEA" w14:paraId="270CA508" w14:textId="4A9917C0">
      <w:pPr>
        <w:numPr>
          <w:ilvl w:val="0"/>
          <w:numId w:val="1"/>
        </w:numPr>
        <w:tabs>
          <w:tab w:val="num" w:pos="360"/>
          <w:tab w:val="clear" w:pos="1080"/>
        </w:tabs>
        <w:spacing w:before="240"/>
        <w:ind w:left="360"/>
        <w:rPr>
          <w:rStyle w:val="BodyTextFi"/>
          <w:sz w:val="24"/>
        </w:rPr>
      </w:pPr>
      <w:r w:rsidRPr="00091A31">
        <w:rPr>
          <w:rFonts w:ascii="Arial" w:hAnsi="Arial" w:cs="Arial"/>
          <w:b/>
          <w:sz w:val="24"/>
          <w:u w:val="single"/>
        </w:rPr>
        <w:t>Annualized Cost to Federal Government</w:t>
      </w:r>
    </w:p>
    <w:p w:rsidR="0042636B" w:rsidRPr="003117CF" w:rsidP="00CB6B82" w14:paraId="1EC10883" w14:textId="6E310826">
      <w:pPr>
        <w:spacing w:before="120"/>
        <w:ind w:left="360"/>
        <w:rPr>
          <w:rStyle w:val="BodyTextFi"/>
          <w:sz w:val="24"/>
        </w:rPr>
      </w:pPr>
      <w:r w:rsidRPr="003117CF">
        <w:rPr>
          <w:rStyle w:val="BodyTextFi"/>
          <w:sz w:val="24"/>
        </w:rPr>
        <w:t xml:space="preserve">The contract task that supports this collection is for approximately $ </w:t>
      </w:r>
      <w:r w:rsidRPr="003117CF">
        <w:rPr>
          <w:rStyle w:val="BodyTextFi"/>
          <w:sz w:val="24"/>
          <w:u w:val="single"/>
        </w:rPr>
        <w:t>488,000</w:t>
      </w:r>
      <w:r w:rsidRPr="003117CF">
        <w:rPr>
          <w:rStyle w:val="BodyTextFi"/>
          <w:sz w:val="24"/>
        </w:rPr>
        <w:t xml:space="preserve"> per year. This includes contracts and cooperative agreements/grants supporting program and program measurement</w:t>
      </w:r>
      <w:r w:rsidR="00CD636B">
        <w:rPr>
          <w:rStyle w:val="BodyTextFi"/>
          <w:sz w:val="24"/>
        </w:rPr>
        <w:t xml:space="preserve">. </w:t>
      </w:r>
      <w:r w:rsidRPr="003117CF">
        <w:rPr>
          <w:rStyle w:val="BodyTextFi"/>
          <w:sz w:val="24"/>
        </w:rPr>
        <w:t xml:space="preserve"> </w:t>
      </w:r>
    </w:p>
    <w:p w:rsidR="00C31AB3" w:rsidP="002131DC" w14:paraId="1BC436F4" w14:textId="77777777">
      <w:pPr>
        <w:pStyle w:val="BodyTextIndent"/>
        <w:spacing w:before="120"/>
        <w:ind w:left="360"/>
        <w:rPr>
          <w:rFonts w:ascii="Times New Roman" w:hAnsi="Times New Roman"/>
        </w:rPr>
      </w:pPr>
      <w:r w:rsidRPr="003117CF">
        <w:rPr>
          <w:rFonts w:ascii="Times New Roman" w:hAnsi="Times New Roman"/>
        </w:rPr>
        <w:t xml:space="preserve">Staff at OAT monitor the grants and provide guidance to grantee project staff at a cost of </w:t>
      </w:r>
      <w:r w:rsidR="003E7B68">
        <w:rPr>
          <w:rFonts w:ascii="Times New Roman" w:hAnsi="Times New Roman"/>
        </w:rPr>
        <w:t xml:space="preserve">40% FTE at </w:t>
      </w:r>
      <w:r w:rsidRPr="003117CF">
        <w:rPr>
          <w:rFonts w:ascii="Times New Roman" w:hAnsi="Times New Roman"/>
        </w:rPr>
        <w:t>$</w:t>
      </w:r>
      <w:r w:rsidRPr="00192707" w:rsidR="00192707">
        <w:rPr>
          <w:rFonts w:ascii="Times New Roman" w:hAnsi="Times New Roman"/>
        </w:rPr>
        <w:t>66,980.16</w:t>
      </w:r>
      <w:r w:rsidRPr="003117CF">
        <w:rPr>
          <w:rFonts w:ascii="Times New Roman" w:hAnsi="Times New Roman"/>
        </w:rPr>
        <w:t xml:space="preserve"> per year (</w:t>
      </w:r>
      <w:r w:rsidR="003E7B68">
        <w:rPr>
          <w:rFonts w:ascii="Times New Roman" w:hAnsi="Times New Roman"/>
        </w:rPr>
        <w:t>832</w:t>
      </w:r>
      <w:r w:rsidRPr="003117CF">
        <w:rPr>
          <w:rFonts w:ascii="Times New Roman" w:hAnsi="Times New Roman"/>
        </w:rPr>
        <w:t xml:space="preserve"> hours per year at $</w:t>
      </w:r>
      <w:r w:rsidR="00853EF6">
        <w:rPr>
          <w:rFonts w:ascii="Times New Roman" w:hAnsi="Times New Roman"/>
        </w:rPr>
        <w:t>53.67</w:t>
      </w:r>
      <w:r w:rsidRPr="003117CF">
        <w:rPr>
          <w:rFonts w:ascii="Times New Roman" w:hAnsi="Times New Roman"/>
        </w:rPr>
        <w:t xml:space="preserve"> per hour at a </w:t>
      </w:r>
      <w:hyperlink r:id="rId10" w:history="1">
        <w:r w:rsidRPr="003117CF">
          <w:rPr>
            <w:rStyle w:val="Hyperlink"/>
            <w:rFonts w:ascii="Times New Roman" w:hAnsi="Times New Roman"/>
          </w:rPr>
          <w:t>GS-</w:t>
        </w:r>
        <w:r w:rsidRPr="003117CF" w:rsidR="00B23CB2">
          <w:rPr>
            <w:rStyle w:val="Hyperlink"/>
            <w:rFonts w:ascii="Times New Roman" w:hAnsi="Times New Roman"/>
          </w:rPr>
          <w:t>13</w:t>
        </w:r>
        <w:r w:rsidRPr="003117CF">
          <w:rPr>
            <w:rStyle w:val="Hyperlink"/>
            <w:rFonts w:ascii="Times New Roman" w:hAnsi="Times New Roman"/>
          </w:rPr>
          <w:t xml:space="preserve"> Step 1</w:t>
        </w:r>
      </w:hyperlink>
      <w:r w:rsidRPr="003117CF">
        <w:rPr>
          <w:rFonts w:ascii="Times New Roman" w:hAnsi="Times New Roman"/>
        </w:rPr>
        <w:t xml:space="preserve"> salary level</w:t>
      </w:r>
      <w:r w:rsidR="00192707">
        <w:rPr>
          <w:rFonts w:ascii="Times New Roman" w:hAnsi="Times New Roman"/>
        </w:rPr>
        <w:t>, multiplied by 1.5 to account for overhead costs</w:t>
      </w:r>
      <w:r w:rsidRPr="003117CF">
        <w:rPr>
          <w:rFonts w:ascii="Times New Roman" w:hAnsi="Times New Roman"/>
        </w:rPr>
        <w:t>)</w:t>
      </w:r>
      <w:r w:rsidR="00CD636B">
        <w:rPr>
          <w:rFonts w:ascii="Times New Roman" w:hAnsi="Times New Roman"/>
        </w:rPr>
        <w:t>.</w:t>
      </w:r>
    </w:p>
    <w:p w:rsidR="002131DC" w:rsidRPr="00C31AB3" w:rsidP="00C31AB3" w14:paraId="2000D55E" w14:textId="5107AA93">
      <w:pPr>
        <w:pStyle w:val="BodyTextIndent"/>
        <w:spacing w:before="120"/>
        <w:ind w:left="360"/>
        <w:rPr>
          <w:szCs w:val="22"/>
        </w:rPr>
      </w:pPr>
      <w:r>
        <w:rPr>
          <w:rFonts w:ascii="Times New Roman" w:hAnsi="Times New Roman"/>
        </w:rPr>
        <w:t xml:space="preserve">The total annual cost to the federal government is $554,980.16 per year, which rounds down to $554,980 in ROCIS. </w:t>
      </w:r>
    </w:p>
    <w:p w:rsidR="00B231D0" w:rsidRPr="00091A31" w:rsidP="000D7CEA" w14:paraId="72B240F5" w14:textId="4AF5E451">
      <w:pPr>
        <w:numPr>
          <w:ilvl w:val="0"/>
          <w:numId w:val="1"/>
        </w:numPr>
        <w:tabs>
          <w:tab w:val="num" w:pos="360"/>
          <w:tab w:val="clear" w:pos="1080"/>
        </w:tabs>
        <w:spacing w:before="120"/>
        <w:ind w:left="360"/>
        <w:rPr>
          <w:rFonts w:ascii="Arial" w:hAnsi="Arial" w:cs="Arial"/>
        </w:rPr>
      </w:pPr>
      <w:r w:rsidRPr="00091A31">
        <w:rPr>
          <w:rFonts w:ascii="Arial" w:hAnsi="Arial" w:cs="Arial"/>
          <w:b/>
          <w:sz w:val="24"/>
          <w:u w:val="single"/>
        </w:rPr>
        <w:t>Explanation for Program Changes or Adjustments</w:t>
      </w:r>
    </w:p>
    <w:p w:rsidR="00B231D0" w:rsidRPr="00C45431" w:rsidP="00B231D0" w14:paraId="42CAB1DD" w14:textId="2A89FEF4">
      <w:pPr>
        <w:pStyle w:val="BodyTextIndent"/>
        <w:spacing w:before="120"/>
        <w:ind w:left="360"/>
        <w:rPr>
          <w:rFonts w:ascii="Arial" w:hAnsi="Arial" w:cs="Arial"/>
        </w:rPr>
      </w:pPr>
      <w:r w:rsidRPr="003117CF">
        <w:rPr>
          <w:rFonts w:ascii="Times New Roman" w:hAnsi="Times New Roman"/>
        </w:rPr>
        <w:t xml:space="preserve">With this </w:t>
      </w:r>
      <w:r w:rsidRPr="003117CF" w:rsidR="00CB6B82">
        <w:rPr>
          <w:rFonts w:ascii="Times New Roman" w:hAnsi="Times New Roman"/>
        </w:rPr>
        <w:t>change</w:t>
      </w:r>
      <w:r w:rsidRPr="003117CF">
        <w:rPr>
          <w:rFonts w:ascii="Times New Roman" w:hAnsi="Times New Roman"/>
        </w:rPr>
        <w:t>, t</w:t>
      </w:r>
      <w:r w:rsidRPr="003117CF">
        <w:rPr>
          <w:rFonts w:ascii="Times New Roman" w:hAnsi="Times New Roman"/>
        </w:rPr>
        <w:t xml:space="preserve">he total estimated burden hours are less since </w:t>
      </w:r>
      <w:r w:rsidR="00AF2F5C">
        <w:rPr>
          <w:rFonts w:ascii="Times New Roman" w:hAnsi="Times New Roman"/>
        </w:rPr>
        <w:t>the currently approved measure package is for 14 grantees instead of the current</w:t>
      </w:r>
      <w:r w:rsidRPr="003117CF">
        <w:rPr>
          <w:rFonts w:ascii="Times New Roman" w:hAnsi="Times New Roman"/>
        </w:rPr>
        <w:t xml:space="preserve"> 11 grantees</w:t>
      </w:r>
      <w:r w:rsidR="00AF2F5C">
        <w:rPr>
          <w:rFonts w:ascii="Times New Roman" w:hAnsi="Times New Roman"/>
        </w:rPr>
        <w:t xml:space="preserve"> i</w:t>
      </w:r>
      <w:r w:rsidRPr="003117CF">
        <w:rPr>
          <w:rFonts w:ascii="Times New Roman" w:hAnsi="Times New Roman"/>
        </w:rPr>
        <w:t>n the program</w:t>
      </w:r>
      <w:r w:rsidR="00CD636B">
        <w:rPr>
          <w:rFonts w:ascii="Times New Roman" w:hAnsi="Times New Roman"/>
        </w:rPr>
        <w:t xml:space="preserve">. </w:t>
      </w:r>
      <w:r w:rsidRPr="003117CF">
        <w:rPr>
          <w:rFonts w:ascii="Times New Roman" w:hAnsi="Times New Roman"/>
        </w:rPr>
        <w:t>Some of the data elements are being updated, but the frequency of data collection is changing from monthly to quarterly.</w:t>
      </w:r>
    </w:p>
    <w:p w:rsidR="002131DC" w:rsidRPr="00091A31" w:rsidP="000D7CEA" w14:paraId="764590C5" w14:textId="0B069762">
      <w:pPr>
        <w:numPr>
          <w:ilvl w:val="0"/>
          <w:numId w:val="1"/>
        </w:numPr>
        <w:tabs>
          <w:tab w:val="num" w:pos="360"/>
          <w:tab w:val="clear" w:pos="1080"/>
        </w:tabs>
        <w:spacing w:before="120"/>
        <w:ind w:left="360"/>
        <w:rPr>
          <w:rFonts w:ascii="Arial" w:hAnsi="Arial" w:cs="Arial"/>
          <w:bCs/>
          <w:sz w:val="24"/>
        </w:rPr>
      </w:pPr>
      <w:r w:rsidRPr="00091A31">
        <w:rPr>
          <w:rFonts w:ascii="Arial" w:hAnsi="Arial" w:cs="Arial"/>
          <w:b/>
          <w:sz w:val="24"/>
          <w:u w:val="single"/>
        </w:rPr>
        <w:t>Plans for Tabulation</w:t>
      </w:r>
      <w:r w:rsidRPr="00091A31" w:rsidR="002118B4">
        <w:rPr>
          <w:rFonts w:ascii="Arial" w:hAnsi="Arial" w:cs="Arial"/>
          <w:b/>
          <w:sz w:val="24"/>
          <w:u w:val="single"/>
        </w:rPr>
        <w:t xml:space="preserve">, </w:t>
      </w:r>
      <w:r w:rsidRPr="00091A31">
        <w:rPr>
          <w:rFonts w:ascii="Arial" w:hAnsi="Arial" w:cs="Arial"/>
          <w:b/>
          <w:sz w:val="24"/>
          <w:u w:val="single"/>
        </w:rPr>
        <w:t>Publication</w:t>
      </w:r>
      <w:r w:rsidRPr="00091A31" w:rsidR="002118B4">
        <w:rPr>
          <w:rFonts w:ascii="Arial" w:hAnsi="Arial" w:cs="Arial"/>
          <w:b/>
          <w:sz w:val="24"/>
          <w:u w:val="single"/>
        </w:rPr>
        <w:t>,</w:t>
      </w:r>
      <w:r w:rsidRPr="00091A31">
        <w:rPr>
          <w:rFonts w:ascii="Arial" w:hAnsi="Arial" w:cs="Arial"/>
          <w:b/>
          <w:sz w:val="24"/>
          <w:u w:val="single"/>
        </w:rPr>
        <w:t xml:space="preserve"> and Project Time Schedule</w:t>
      </w:r>
    </w:p>
    <w:p w:rsidR="00CB6B82" w:rsidP="003117CF" w14:paraId="04EB337A" w14:textId="2FAA1CCD">
      <w:pPr>
        <w:spacing w:before="120"/>
        <w:ind w:left="360"/>
        <w:rPr>
          <w:sz w:val="24"/>
        </w:rPr>
      </w:pPr>
      <w:r w:rsidRPr="00AA52EF">
        <w:rPr>
          <w:sz w:val="24"/>
        </w:rPr>
        <w:t>Planning is underway for determining how to analyze the data with the Rural Telehealth Research Center</w:t>
      </w:r>
      <w:r w:rsidR="00CD636B">
        <w:rPr>
          <w:sz w:val="24"/>
        </w:rPr>
        <w:t xml:space="preserve">. </w:t>
      </w:r>
      <w:r w:rsidR="003117CF">
        <w:rPr>
          <w:sz w:val="24"/>
        </w:rPr>
        <w:t>Collective d</w:t>
      </w:r>
      <w:r w:rsidRPr="00AA52EF">
        <w:rPr>
          <w:sz w:val="24"/>
        </w:rPr>
        <w:t>ata may be used to document the impact and success of program</w:t>
      </w:r>
      <w:r w:rsidR="00CD636B">
        <w:rPr>
          <w:sz w:val="24"/>
        </w:rPr>
        <w:t xml:space="preserve">. </w:t>
      </w:r>
      <w:r w:rsidRPr="00AA52EF" w:rsidR="00F91C8A">
        <w:rPr>
          <w:sz w:val="24"/>
        </w:rPr>
        <w:t>Data collection will begin approximately two weeks after OMB clearance and continue throughout the remainder of the project period</w:t>
      </w:r>
      <w:r w:rsidR="00F91C8A">
        <w:rPr>
          <w:sz w:val="24"/>
        </w:rPr>
        <w:t>, or as soon as possible</w:t>
      </w:r>
      <w:r w:rsidR="00CD636B">
        <w:rPr>
          <w:sz w:val="24"/>
        </w:rPr>
        <w:t xml:space="preserve">. </w:t>
      </w:r>
      <w:r w:rsidRPr="003117CF" w:rsidR="003117CF">
        <w:rPr>
          <w:sz w:val="24"/>
        </w:rPr>
        <w:t xml:space="preserve">The data collection will </w:t>
      </w:r>
      <w:r w:rsidR="00F91C8A">
        <w:rPr>
          <w:sz w:val="24"/>
        </w:rPr>
        <w:t>take place</w:t>
      </w:r>
      <w:r w:rsidRPr="003117CF" w:rsidR="003117CF">
        <w:rPr>
          <w:sz w:val="24"/>
        </w:rPr>
        <w:t xml:space="preserve"> through</w:t>
      </w:r>
      <w:r w:rsidR="003117CF">
        <w:rPr>
          <w:sz w:val="24"/>
        </w:rPr>
        <w:t>out the Evidence-Based Telehealth Network Program</w:t>
      </w:r>
      <w:r w:rsidR="00F91C8A">
        <w:rPr>
          <w:sz w:val="24"/>
        </w:rPr>
        <w:t xml:space="preserve"> that goes through August 31, 2026</w:t>
      </w:r>
      <w:r w:rsidR="00CD636B">
        <w:rPr>
          <w:sz w:val="24"/>
        </w:rPr>
        <w:t xml:space="preserve">. </w:t>
      </w:r>
      <w:r w:rsidR="00F91C8A">
        <w:rPr>
          <w:sz w:val="24"/>
        </w:rPr>
        <w:t>Following, t</w:t>
      </w:r>
      <w:r w:rsidRPr="003117CF" w:rsidR="003117CF">
        <w:rPr>
          <w:sz w:val="24"/>
        </w:rPr>
        <w:t xml:space="preserve">he </w:t>
      </w:r>
      <w:r w:rsidR="00F91C8A">
        <w:rPr>
          <w:sz w:val="24"/>
        </w:rPr>
        <w:t>Telehealth Re</w:t>
      </w:r>
      <w:r w:rsidRPr="003117CF" w:rsidR="003117CF">
        <w:rPr>
          <w:sz w:val="24"/>
        </w:rPr>
        <w:t xml:space="preserve">search </w:t>
      </w:r>
      <w:r w:rsidR="00F91C8A">
        <w:rPr>
          <w:sz w:val="24"/>
        </w:rPr>
        <w:t>C</w:t>
      </w:r>
      <w:r w:rsidRPr="003117CF" w:rsidR="003117CF">
        <w:rPr>
          <w:sz w:val="24"/>
        </w:rPr>
        <w:t xml:space="preserve">enter will propose </w:t>
      </w:r>
      <w:r w:rsidR="00F91C8A">
        <w:rPr>
          <w:sz w:val="24"/>
        </w:rPr>
        <w:t>a</w:t>
      </w:r>
      <w:r w:rsidRPr="003117CF" w:rsidR="003117CF">
        <w:rPr>
          <w:sz w:val="24"/>
        </w:rPr>
        <w:t xml:space="preserve"> </w:t>
      </w:r>
      <w:r w:rsidRPr="00AF458F" w:rsidR="003117CF">
        <w:rPr>
          <w:sz w:val="24"/>
        </w:rPr>
        <w:t>project to focus on analysis and manuscript development</w:t>
      </w:r>
      <w:r w:rsidR="00CD636B">
        <w:rPr>
          <w:sz w:val="24"/>
        </w:rPr>
        <w:t xml:space="preserve">. </w:t>
      </w:r>
      <w:r w:rsidRPr="00AF458F">
        <w:rPr>
          <w:sz w:val="24"/>
        </w:rPr>
        <w:t xml:space="preserve">This information </w:t>
      </w:r>
      <w:r w:rsidRPr="00AF458F" w:rsidR="00F51ABF">
        <w:rPr>
          <w:sz w:val="24"/>
        </w:rPr>
        <w:t>will be used for publications</w:t>
      </w:r>
      <w:r w:rsidR="00CD636B">
        <w:rPr>
          <w:sz w:val="24"/>
        </w:rPr>
        <w:t xml:space="preserve">. </w:t>
      </w:r>
      <w:r w:rsidRPr="00AF458F">
        <w:rPr>
          <w:sz w:val="24"/>
        </w:rPr>
        <w:t xml:space="preserve">Additionally, </w:t>
      </w:r>
      <w:r w:rsidRPr="00AF458F" w:rsidR="0030365E">
        <w:rPr>
          <w:sz w:val="24"/>
        </w:rPr>
        <w:t xml:space="preserve">OAT may include select measures and data points as part of the </w:t>
      </w:r>
      <w:r w:rsidRPr="00AF458F" w:rsidR="0030365E">
        <w:rPr>
          <w:sz w:val="24"/>
        </w:rPr>
        <w:t xml:space="preserve">annual budget justification and as </w:t>
      </w:r>
      <w:r w:rsidRPr="00AF458F">
        <w:rPr>
          <w:sz w:val="24"/>
        </w:rPr>
        <w:t>part of legislatively</w:t>
      </w:r>
      <w:r w:rsidRPr="00AF458F" w:rsidR="00F91C8A">
        <w:rPr>
          <w:sz w:val="24"/>
        </w:rPr>
        <w:t>-</w:t>
      </w:r>
      <w:r w:rsidRPr="00AF458F">
        <w:rPr>
          <w:sz w:val="24"/>
        </w:rPr>
        <w:t>required reporting</w:t>
      </w:r>
      <w:r w:rsidRPr="00AF458F" w:rsidR="00AF458F">
        <w:rPr>
          <w:sz w:val="24"/>
        </w:rPr>
        <w:t>.</w:t>
      </w:r>
    </w:p>
    <w:p w:rsidR="003117CF" w:rsidRPr="003117CF" w:rsidP="003117CF" w14:paraId="49E74D50" w14:textId="77777777">
      <w:pPr>
        <w:spacing w:before="120"/>
        <w:ind w:left="360"/>
        <w:rPr>
          <w:sz w:val="24"/>
        </w:rPr>
      </w:pPr>
    </w:p>
    <w:p w:rsidR="009B3794" w:rsidRPr="00C45431" w:rsidP="00F51ABF" w14:paraId="22E2A3A3" w14:textId="24D11A50">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3117CF" w:rsidRPr="002131DC" w:rsidP="00CA3DA6" w14:paraId="3D6BE50F" w14:textId="2C1FB71F">
      <w:pPr>
        <w:pStyle w:val="BodyTextIndent"/>
        <w:spacing w:before="120"/>
        <w:ind w:left="360"/>
        <w:rPr>
          <w:rFonts w:ascii="Arial" w:hAnsi="Arial" w:cs="Arial"/>
          <w:bCs/>
        </w:rPr>
      </w:pPr>
      <w:r w:rsidRPr="00AA52EF">
        <w:rPr>
          <w:rFonts w:ascii="Times New Roman" w:hAnsi="Times New Roman"/>
        </w:rPr>
        <w:t>The OMB number and Expiration date will be displayed on every page of every form/instrument</w:t>
      </w:r>
      <w:r>
        <w:rPr>
          <w:rFonts w:ascii="Times New Roman" w:hAnsi="Times New Roman"/>
        </w:rPr>
        <w:t>.</w:t>
      </w:r>
    </w:p>
    <w:p w:rsidR="002131DC" w:rsidRPr="00091A31" w:rsidP="000D7CEA" w14:paraId="4C2A103D" w14:textId="57C0E126">
      <w:pPr>
        <w:numPr>
          <w:ilvl w:val="0"/>
          <w:numId w:val="1"/>
        </w:numPr>
        <w:tabs>
          <w:tab w:val="num" w:pos="360"/>
          <w:tab w:val="clear" w:pos="1080"/>
        </w:tabs>
        <w:spacing w:before="120"/>
        <w:ind w:left="360"/>
        <w:rPr>
          <w:rFonts w:ascii="Arial" w:hAnsi="Arial" w:cs="Arial"/>
          <w:bCs/>
        </w:rPr>
      </w:pPr>
      <w:r w:rsidRPr="00091A31">
        <w:rPr>
          <w:rFonts w:ascii="Arial" w:hAnsi="Arial" w:cs="Arial"/>
          <w:b/>
          <w:sz w:val="24"/>
          <w:u w:val="single"/>
        </w:rPr>
        <w:t>Exceptions to Certification for Paperwork Reduction Act Submissions</w:t>
      </w:r>
    </w:p>
    <w:p w:rsidR="002131DC" w:rsidP="002131DC" w14:paraId="38C97277" w14:textId="77777777">
      <w:pPr>
        <w:pStyle w:val="BodyTextIndent"/>
        <w:spacing w:before="120"/>
        <w:ind w:left="360"/>
        <w:rPr>
          <w:rFonts w:ascii="Times New Roman" w:hAnsi="Times New Roman"/>
        </w:rPr>
      </w:pPr>
      <w:r w:rsidRPr="003117CF">
        <w:rPr>
          <w:rFonts w:ascii="Times New Roman" w:hAnsi="Times New Roman"/>
        </w:rPr>
        <w:t>There are no exceptions to the certification.</w:t>
      </w:r>
    </w:p>
    <w:p w:rsidR="002131DC" w:rsidRPr="002131DC" w:rsidP="00CA3DA6" w14:paraId="7F63F560" w14:textId="77777777">
      <w:pPr>
        <w:pStyle w:val="BodyTextIndent"/>
        <w:spacing w:before="120"/>
        <w:ind w:left="360"/>
        <w:rPr>
          <w:rFonts w:ascii="Arial" w:hAnsi="Arial" w:cs="Arial"/>
          <w:bCs/>
        </w:rPr>
      </w:pPr>
    </w:p>
    <w:sectPr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B41A4"/>
    <w:multiLevelType w:val="hybridMultilevel"/>
    <w:tmpl w:val="3F643F82"/>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07EE5347"/>
    <w:multiLevelType w:val="hybridMultilevel"/>
    <w:tmpl w:val="18F27E5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08804D1D"/>
    <w:multiLevelType w:val="hybridMultilevel"/>
    <w:tmpl w:val="0A80109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7103F0"/>
    <w:multiLevelType w:val="hybridMultilevel"/>
    <w:tmpl w:val="3AB497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276715D"/>
    <w:multiLevelType w:val="hybridMultilevel"/>
    <w:tmpl w:val="9474C90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
    <w:nsid w:val="16422238"/>
    <w:multiLevelType w:val="hybridMultilevel"/>
    <w:tmpl w:val="05F6045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24D40234"/>
    <w:multiLevelType w:val="hybridMultilevel"/>
    <w:tmpl w:val="697E5D7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2BB218B3"/>
    <w:multiLevelType w:val="hybridMultilevel"/>
    <w:tmpl w:val="A3349D2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
    <w:nsid w:val="2C3652CD"/>
    <w:multiLevelType w:val="hybridMultilevel"/>
    <w:tmpl w:val="B0902E7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2EE825FF"/>
    <w:multiLevelType w:val="hybridMultilevel"/>
    <w:tmpl w:val="BA3E6EE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31414ADD"/>
    <w:multiLevelType w:val="hybridMultilevel"/>
    <w:tmpl w:val="A148BB7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3C27772E"/>
    <w:multiLevelType w:val="hybridMultilevel"/>
    <w:tmpl w:val="0960252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
    <w:nsid w:val="3C8B5779"/>
    <w:multiLevelType w:val="hybridMultilevel"/>
    <w:tmpl w:val="1E56382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6">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731341"/>
    <w:multiLevelType w:val="hybridMultilevel"/>
    <w:tmpl w:val="C14861B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53757A9F"/>
    <w:multiLevelType w:val="hybridMultilevel"/>
    <w:tmpl w:val="1600795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5D8F1021"/>
    <w:multiLevelType w:val="hybridMultilevel"/>
    <w:tmpl w:val="C7D603D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1">
    <w:nsid w:val="625C22A6"/>
    <w:multiLevelType w:val="hybridMultilevel"/>
    <w:tmpl w:val="E21A7C70"/>
    <w:lvl w:ilvl="0">
      <w:start w:val="1"/>
      <w:numFmt w:val="bullet"/>
      <w:lvlText w:val=""/>
      <w:lvlJc w:val="left"/>
      <w:pPr>
        <w:ind w:left="-216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0"/>
        </w:tabs>
        <w:ind w:left="0" w:hanging="360"/>
      </w:pPr>
    </w:lvl>
    <w:lvl w:ilvl="4" w:tentative="1">
      <w:start w:val="1"/>
      <w:numFmt w:val="lowerLetter"/>
      <w:lvlText w:val="%5."/>
      <w:lvlJc w:val="left"/>
      <w:pPr>
        <w:tabs>
          <w:tab w:val="num" w:pos="720"/>
        </w:tabs>
        <w:ind w:left="720" w:hanging="360"/>
      </w:pPr>
    </w:lvl>
    <w:lvl w:ilvl="5" w:tentative="1">
      <w:start w:val="1"/>
      <w:numFmt w:val="lowerRoman"/>
      <w:lvlText w:val="%6."/>
      <w:lvlJc w:val="right"/>
      <w:pPr>
        <w:tabs>
          <w:tab w:val="num" w:pos="1440"/>
        </w:tabs>
        <w:ind w:left="1440" w:hanging="180"/>
      </w:pPr>
    </w:lvl>
    <w:lvl w:ilvl="6" w:tentative="1">
      <w:start w:val="1"/>
      <w:numFmt w:val="decimal"/>
      <w:lvlText w:val="%7."/>
      <w:lvlJc w:val="left"/>
      <w:pPr>
        <w:tabs>
          <w:tab w:val="num" w:pos="2160"/>
        </w:tabs>
        <w:ind w:left="2160" w:hanging="360"/>
      </w:pPr>
    </w:lvl>
    <w:lvl w:ilvl="7" w:tentative="1">
      <w:start w:val="1"/>
      <w:numFmt w:val="lowerLetter"/>
      <w:lvlText w:val="%8."/>
      <w:lvlJc w:val="left"/>
      <w:pPr>
        <w:tabs>
          <w:tab w:val="num" w:pos="2880"/>
        </w:tabs>
        <w:ind w:left="2880" w:hanging="360"/>
      </w:pPr>
    </w:lvl>
    <w:lvl w:ilvl="8" w:tentative="1">
      <w:start w:val="1"/>
      <w:numFmt w:val="lowerRoman"/>
      <w:lvlText w:val="%9."/>
      <w:lvlJc w:val="right"/>
      <w:pPr>
        <w:tabs>
          <w:tab w:val="num" w:pos="3600"/>
        </w:tabs>
        <w:ind w:left="3600" w:hanging="180"/>
      </w:pPr>
    </w:lvl>
  </w:abstractNum>
  <w:abstractNum w:abstractNumId="22">
    <w:nsid w:val="64C10C76"/>
    <w:multiLevelType w:val="hybridMultilevel"/>
    <w:tmpl w:val="69EE358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3">
    <w:nsid w:val="6BB251E7"/>
    <w:multiLevelType w:val="hybridMultilevel"/>
    <w:tmpl w:val="9E047B8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4">
    <w:nsid w:val="6EFC7FC9"/>
    <w:multiLevelType w:val="hybridMultilevel"/>
    <w:tmpl w:val="3718E29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715774B5"/>
    <w:multiLevelType w:val="hybridMultilevel"/>
    <w:tmpl w:val="1B0012B6"/>
    <w:lvl w:ilvl="0">
      <w:start w:val="1"/>
      <w:numFmt w:val="decimal"/>
      <w:lvlText w:val="%1."/>
      <w:lvlJc w:val="left"/>
      <w:pPr>
        <w:tabs>
          <w:tab w:val="num" w:pos="2880"/>
        </w:tabs>
        <w:ind w:left="28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3281790"/>
    <w:multiLevelType w:val="hybridMultilevel"/>
    <w:tmpl w:val="2B78E1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046298045">
    <w:abstractNumId w:val="16"/>
  </w:num>
  <w:num w:numId="2" w16cid:durableId="1132139388">
    <w:abstractNumId w:val="6"/>
  </w:num>
  <w:num w:numId="3" w16cid:durableId="2079399461">
    <w:abstractNumId w:val="27"/>
  </w:num>
  <w:num w:numId="4" w16cid:durableId="1721395311">
    <w:abstractNumId w:val="3"/>
  </w:num>
  <w:num w:numId="5" w16cid:durableId="537090559">
    <w:abstractNumId w:val="19"/>
  </w:num>
  <w:num w:numId="6" w16cid:durableId="2130277196">
    <w:abstractNumId w:val="4"/>
  </w:num>
  <w:num w:numId="7" w16cid:durableId="24526229">
    <w:abstractNumId w:val="5"/>
  </w:num>
  <w:num w:numId="8" w16cid:durableId="1158813663">
    <w:abstractNumId w:val="21"/>
  </w:num>
  <w:num w:numId="9" w16cid:durableId="285160941">
    <w:abstractNumId w:val="20"/>
  </w:num>
  <w:num w:numId="10" w16cid:durableId="1501893800">
    <w:abstractNumId w:val="8"/>
  </w:num>
  <w:num w:numId="11" w16cid:durableId="590701102">
    <w:abstractNumId w:val="7"/>
  </w:num>
  <w:num w:numId="12" w16cid:durableId="1532062931">
    <w:abstractNumId w:val="17"/>
  </w:num>
  <w:num w:numId="13" w16cid:durableId="1454594184">
    <w:abstractNumId w:val="22"/>
  </w:num>
  <w:num w:numId="14" w16cid:durableId="1347168473">
    <w:abstractNumId w:val="9"/>
  </w:num>
  <w:num w:numId="15" w16cid:durableId="1098406223">
    <w:abstractNumId w:val="10"/>
  </w:num>
  <w:num w:numId="16" w16cid:durableId="302344813">
    <w:abstractNumId w:val="14"/>
  </w:num>
  <w:num w:numId="17" w16cid:durableId="732121918">
    <w:abstractNumId w:val="1"/>
  </w:num>
  <w:num w:numId="18" w16cid:durableId="32001715">
    <w:abstractNumId w:val="23"/>
  </w:num>
  <w:num w:numId="19" w16cid:durableId="935138286">
    <w:abstractNumId w:val="18"/>
  </w:num>
  <w:num w:numId="20" w16cid:durableId="768087471">
    <w:abstractNumId w:val="24"/>
  </w:num>
  <w:num w:numId="21" w16cid:durableId="891581626">
    <w:abstractNumId w:val="2"/>
  </w:num>
  <w:num w:numId="22" w16cid:durableId="2063819403">
    <w:abstractNumId w:val="15"/>
  </w:num>
  <w:num w:numId="23" w16cid:durableId="580800049">
    <w:abstractNumId w:val="13"/>
  </w:num>
  <w:num w:numId="24" w16cid:durableId="1670256493">
    <w:abstractNumId w:val="25"/>
  </w:num>
  <w:num w:numId="25" w16cid:durableId="437912299">
    <w:abstractNumId w:val="0"/>
  </w:num>
  <w:num w:numId="26" w16cid:durableId="8263480">
    <w:abstractNumId w:val="11"/>
  </w:num>
  <w:num w:numId="27" w16cid:durableId="937174987">
    <w:abstractNumId w:val="12"/>
  </w:num>
  <w:num w:numId="28" w16cid:durableId="208282898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1DA2"/>
    <w:rsid w:val="00015505"/>
    <w:rsid w:val="0002112F"/>
    <w:rsid w:val="000217F4"/>
    <w:rsid w:val="00025295"/>
    <w:rsid w:val="00035337"/>
    <w:rsid w:val="00043A0A"/>
    <w:rsid w:val="00051452"/>
    <w:rsid w:val="00055397"/>
    <w:rsid w:val="000675E4"/>
    <w:rsid w:val="00074B82"/>
    <w:rsid w:val="00074C89"/>
    <w:rsid w:val="00077B6E"/>
    <w:rsid w:val="00091A31"/>
    <w:rsid w:val="00094615"/>
    <w:rsid w:val="000C6249"/>
    <w:rsid w:val="000D7CEA"/>
    <w:rsid w:val="001130A3"/>
    <w:rsid w:val="001325B2"/>
    <w:rsid w:val="00133DBC"/>
    <w:rsid w:val="00174F40"/>
    <w:rsid w:val="001920C3"/>
    <w:rsid w:val="00192707"/>
    <w:rsid w:val="001B51C6"/>
    <w:rsid w:val="001C00AE"/>
    <w:rsid w:val="001C4817"/>
    <w:rsid w:val="001D4856"/>
    <w:rsid w:val="001F4397"/>
    <w:rsid w:val="001F5D29"/>
    <w:rsid w:val="002045C3"/>
    <w:rsid w:val="002118B4"/>
    <w:rsid w:val="002131DC"/>
    <w:rsid w:val="002226F7"/>
    <w:rsid w:val="00235063"/>
    <w:rsid w:val="0026148B"/>
    <w:rsid w:val="00263CCA"/>
    <w:rsid w:val="00263F17"/>
    <w:rsid w:val="002640E7"/>
    <w:rsid w:val="00280354"/>
    <w:rsid w:val="00281924"/>
    <w:rsid w:val="00293AF2"/>
    <w:rsid w:val="002A19E7"/>
    <w:rsid w:val="002D57F8"/>
    <w:rsid w:val="0030365E"/>
    <w:rsid w:val="003117CF"/>
    <w:rsid w:val="00322313"/>
    <w:rsid w:val="003559C3"/>
    <w:rsid w:val="00391E16"/>
    <w:rsid w:val="003A1EE6"/>
    <w:rsid w:val="003A5373"/>
    <w:rsid w:val="003D23B1"/>
    <w:rsid w:val="003E7B68"/>
    <w:rsid w:val="003F567A"/>
    <w:rsid w:val="00405B25"/>
    <w:rsid w:val="0042636B"/>
    <w:rsid w:val="00452881"/>
    <w:rsid w:val="00472847"/>
    <w:rsid w:val="004746CA"/>
    <w:rsid w:val="00477194"/>
    <w:rsid w:val="00477853"/>
    <w:rsid w:val="00490720"/>
    <w:rsid w:val="004E3228"/>
    <w:rsid w:val="004E687D"/>
    <w:rsid w:val="00503BAB"/>
    <w:rsid w:val="00506574"/>
    <w:rsid w:val="005343E0"/>
    <w:rsid w:val="00536AB2"/>
    <w:rsid w:val="00596D83"/>
    <w:rsid w:val="005D045A"/>
    <w:rsid w:val="005D65C7"/>
    <w:rsid w:val="005D7625"/>
    <w:rsid w:val="005E1765"/>
    <w:rsid w:val="005E5444"/>
    <w:rsid w:val="005F0944"/>
    <w:rsid w:val="005F5409"/>
    <w:rsid w:val="00605B3E"/>
    <w:rsid w:val="00613096"/>
    <w:rsid w:val="00623BAD"/>
    <w:rsid w:val="00624019"/>
    <w:rsid w:val="00627FFD"/>
    <w:rsid w:val="00680D76"/>
    <w:rsid w:val="00685423"/>
    <w:rsid w:val="006A7E04"/>
    <w:rsid w:val="006C2256"/>
    <w:rsid w:val="0073114C"/>
    <w:rsid w:val="00775AC0"/>
    <w:rsid w:val="0079378A"/>
    <w:rsid w:val="007957A8"/>
    <w:rsid w:val="007A2ED7"/>
    <w:rsid w:val="007C22E4"/>
    <w:rsid w:val="007F047A"/>
    <w:rsid w:val="008002AB"/>
    <w:rsid w:val="008007D6"/>
    <w:rsid w:val="00853EF6"/>
    <w:rsid w:val="0086319C"/>
    <w:rsid w:val="008A0CB2"/>
    <w:rsid w:val="008B04CA"/>
    <w:rsid w:val="008B7D90"/>
    <w:rsid w:val="008D1FEF"/>
    <w:rsid w:val="008D2D67"/>
    <w:rsid w:val="008F5AB5"/>
    <w:rsid w:val="00914A3B"/>
    <w:rsid w:val="00917EFC"/>
    <w:rsid w:val="00935E77"/>
    <w:rsid w:val="0095092B"/>
    <w:rsid w:val="0097555D"/>
    <w:rsid w:val="009B3794"/>
    <w:rsid w:val="009B7E4D"/>
    <w:rsid w:val="009D15A3"/>
    <w:rsid w:val="009D5AE9"/>
    <w:rsid w:val="00A1688A"/>
    <w:rsid w:val="00A52435"/>
    <w:rsid w:val="00A57093"/>
    <w:rsid w:val="00A820EF"/>
    <w:rsid w:val="00A92CAB"/>
    <w:rsid w:val="00AA52EF"/>
    <w:rsid w:val="00AE504A"/>
    <w:rsid w:val="00AE7154"/>
    <w:rsid w:val="00AF2F5C"/>
    <w:rsid w:val="00AF458F"/>
    <w:rsid w:val="00B04582"/>
    <w:rsid w:val="00B231D0"/>
    <w:rsid w:val="00B23CB2"/>
    <w:rsid w:val="00B23E86"/>
    <w:rsid w:val="00B655C6"/>
    <w:rsid w:val="00BA1A0C"/>
    <w:rsid w:val="00BB52FB"/>
    <w:rsid w:val="00BD673F"/>
    <w:rsid w:val="00BD72FE"/>
    <w:rsid w:val="00BF293F"/>
    <w:rsid w:val="00BF2F34"/>
    <w:rsid w:val="00C259B3"/>
    <w:rsid w:val="00C30C25"/>
    <w:rsid w:val="00C31AB3"/>
    <w:rsid w:val="00C45431"/>
    <w:rsid w:val="00C567A6"/>
    <w:rsid w:val="00C74B86"/>
    <w:rsid w:val="00CA3DA6"/>
    <w:rsid w:val="00CB6B82"/>
    <w:rsid w:val="00CC7F6C"/>
    <w:rsid w:val="00CD1811"/>
    <w:rsid w:val="00CD36E7"/>
    <w:rsid w:val="00CD636B"/>
    <w:rsid w:val="00CE5AA9"/>
    <w:rsid w:val="00CF64A5"/>
    <w:rsid w:val="00D11CA3"/>
    <w:rsid w:val="00D25831"/>
    <w:rsid w:val="00D46313"/>
    <w:rsid w:val="00D56CC2"/>
    <w:rsid w:val="00D600DA"/>
    <w:rsid w:val="00D65D3F"/>
    <w:rsid w:val="00D71E2F"/>
    <w:rsid w:val="00D74B86"/>
    <w:rsid w:val="00D75A33"/>
    <w:rsid w:val="00D912E1"/>
    <w:rsid w:val="00D92E1D"/>
    <w:rsid w:val="00DB0568"/>
    <w:rsid w:val="00DE3A45"/>
    <w:rsid w:val="00DF7930"/>
    <w:rsid w:val="00E00CEE"/>
    <w:rsid w:val="00E203FA"/>
    <w:rsid w:val="00E34A1F"/>
    <w:rsid w:val="00E4420A"/>
    <w:rsid w:val="00E669A6"/>
    <w:rsid w:val="00E724ED"/>
    <w:rsid w:val="00E87554"/>
    <w:rsid w:val="00E962DB"/>
    <w:rsid w:val="00EA6E19"/>
    <w:rsid w:val="00EC0BD8"/>
    <w:rsid w:val="00EC38CD"/>
    <w:rsid w:val="00ED18EA"/>
    <w:rsid w:val="00EE529C"/>
    <w:rsid w:val="00F07D0A"/>
    <w:rsid w:val="00F16142"/>
    <w:rsid w:val="00F20B4A"/>
    <w:rsid w:val="00F35332"/>
    <w:rsid w:val="00F37071"/>
    <w:rsid w:val="00F4221E"/>
    <w:rsid w:val="00F51ABF"/>
    <w:rsid w:val="00F91C8A"/>
    <w:rsid w:val="00FE6C30"/>
    <w:rsid w:val="46637808"/>
    <w:rsid w:val="6046FB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DBC"/>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BodyText">
    <w:name w:val="Body Text"/>
    <w:basedOn w:val="Normal"/>
    <w:link w:val="BodyTextChar"/>
    <w:uiPriority w:val="99"/>
    <w:unhideWhenUsed/>
    <w:rsid w:val="006C2256"/>
    <w:pPr>
      <w:spacing w:after="120"/>
    </w:pPr>
  </w:style>
  <w:style w:type="character" w:customStyle="1" w:styleId="BodyTextChar">
    <w:name w:val="Body Text Char"/>
    <w:basedOn w:val="DefaultParagraphFont"/>
    <w:link w:val="BodyText"/>
    <w:uiPriority w:val="99"/>
    <w:rsid w:val="006C2256"/>
    <w:rPr>
      <w:szCs w:val="24"/>
    </w:rPr>
  </w:style>
  <w:style w:type="character" w:styleId="CommentReference">
    <w:name w:val="annotation reference"/>
    <w:basedOn w:val="DefaultParagraphFont"/>
    <w:unhideWhenUsed/>
    <w:rsid w:val="006C2256"/>
    <w:rPr>
      <w:sz w:val="16"/>
      <w:szCs w:val="16"/>
    </w:rPr>
  </w:style>
  <w:style w:type="paragraph" w:styleId="CommentText">
    <w:name w:val="annotation text"/>
    <w:basedOn w:val="Normal"/>
    <w:link w:val="CommentTextChar"/>
    <w:uiPriority w:val="99"/>
    <w:unhideWhenUsed/>
    <w:rsid w:val="006C2256"/>
    <w:rPr>
      <w:szCs w:val="20"/>
    </w:rPr>
  </w:style>
  <w:style w:type="character" w:customStyle="1" w:styleId="CommentTextChar">
    <w:name w:val="Comment Text Char"/>
    <w:basedOn w:val="DefaultParagraphFont"/>
    <w:link w:val="CommentText"/>
    <w:uiPriority w:val="99"/>
    <w:rsid w:val="006C2256"/>
  </w:style>
  <w:style w:type="character" w:customStyle="1" w:styleId="BodyTextIndentChar">
    <w:name w:val="Body Text Indent Char"/>
    <w:basedOn w:val="DefaultParagraphFont"/>
    <w:link w:val="BodyTextIndent"/>
    <w:rsid w:val="002131DC"/>
    <w:rPr>
      <w:rFonts w:ascii="Baskerville Old Face" w:hAnsi="Baskerville Old Face"/>
      <w:sz w:val="24"/>
      <w:szCs w:val="24"/>
    </w:rPr>
  </w:style>
  <w:style w:type="paragraph" w:styleId="Header">
    <w:name w:val="header"/>
    <w:basedOn w:val="Normal"/>
    <w:link w:val="HeaderChar"/>
    <w:unhideWhenUsed/>
    <w:rsid w:val="00917EFC"/>
    <w:pPr>
      <w:tabs>
        <w:tab w:val="center" w:pos="4680"/>
        <w:tab w:val="right" w:pos="9360"/>
      </w:tabs>
    </w:pPr>
  </w:style>
  <w:style w:type="character" w:customStyle="1" w:styleId="HeaderChar">
    <w:name w:val="Header Char"/>
    <w:basedOn w:val="DefaultParagraphFont"/>
    <w:link w:val="Header"/>
    <w:rsid w:val="00917EFC"/>
    <w:rPr>
      <w:szCs w:val="24"/>
    </w:rPr>
  </w:style>
  <w:style w:type="paragraph" w:styleId="Footer">
    <w:name w:val="footer"/>
    <w:basedOn w:val="Normal"/>
    <w:link w:val="FooterChar"/>
    <w:unhideWhenUsed/>
    <w:rsid w:val="00917EFC"/>
    <w:pPr>
      <w:tabs>
        <w:tab w:val="center" w:pos="4680"/>
        <w:tab w:val="right" w:pos="9360"/>
      </w:tabs>
    </w:pPr>
  </w:style>
  <w:style w:type="character" w:customStyle="1" w:styleId="FooterChar">
    <w:name w:val="Footer Char"/>
    <w:basedOn w:val="DefaultParagraphFont"/>
    <w:link w:val="Footer"/>
    <w:rsid w:val="00917EFC"/>
    <w:rPr>
      <w:szCs w:val="24"/>
    </w:rPr>
  </w:style>
  <w:style w:type="paragraph" w:styleId="CommentSubject">
    <w:name w:val="annotation subject"/>
    <w:basedOn w:val="CommentText"/>
    <w:next w:val="CommentText"/>
    <w:link w:val="CommentSubjectChar"/>
    <w:semiHidden/>
    <w:unhideWhenUsed/>
    <w:rsid w:val="00263F17"/>
    <w:rPr>
      <w:b/>
      <w:bCs/>
    </w:rPr>
  </w:style>
  <w:style w:type="character" w:customStyle="1" w:styleId="CommentSubjectChar">
    <w:name w:val="Comment Subject Char"/>
    <w:basedOn w:val="CommentTextChar"/>
    <w:link w:val="CommentSubject"/>
    <w:semiHidden/>
    <w:rsid w:val="00263F17"/>
    <w:rPr>
      <w:b/>
      <w:bCs/>
    </w:rPr>
  </w:style>
  <w:style w:type="character" w:styleId="UnresolvedMention">
    <w:name w:val="Unresolved Mention"/>
    <w:basedOn w:val="DefaultParagraphFont"/>
    <w:uiPriority w:val="99"/>
    <w:semiHidden/>
    <w:unhideWhenUsed/>
    <w:rsid w:val="00174F40"/>
    <w:rPr>
      <w:color w:val="605E5C"/>
      <w:shd w:val="clear" w:color="auto" w:fill="E1DFDD"/>
    </w:rPr>
  </w:style>
  <w:style w:type="character" w:styleId="FollowedHyperlink">
    <w:name w:val="FollowedHyperlink"/>
    <w:basedOn w:val="DefaultParagraphFont"/>
    <w:semiHidden/>
    <w:unhideWhenUsed/>
    <w:rsid w:val="0042636B"/>
    <w:rPr>
      <w:color w:val="800080" w:themeColor="followedHyperlink"/>
      <w:u w:val="single"/>
    </w:rPr>
  </w:style>
  <w:style w:type="character" w:customStyle="1" w:styleId="BodyTextFi">
    <w:name w:val="Body Text Fi"/>
    <w:rsid w:val="0042636B"/>
  </w:style>
  <w:style w:type="paragraph" w:styleId="Revision">
    <w:name w:val="Revision"/>
    <w:hidden/>
    <w:uiPriority w:val="99"/>
    <w:semiHidden/>
    <w:rsid w:val="00D71E2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pay.org/gs/2023/GS-13"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bls/blswage.htm" TargetMode="External" /><Relationship Id="rId9" Type="http://schemas.openxmlformats.org/officeDocument/2006/relationships/hyperlink" Target="https://www.bls.gov/oes/current/oes1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1993b8-963c-40f8-bb77-721e51881077" xsi:nil="true"/>
    <_dlc_DocIdUrl xmlns="721993b8-963c-40f8-bb77-721e51881077">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DB03F3A7A704B96FA2859FDCE6C8D" ma:contentTypeVersion="" ma:contentTypeDescription="Create a new document." ma:contentTypeScope="" ma:versionID="bf965c7e8eb5b5a614cb3e862341432c">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c30171c483855133bb8f400fead784ca"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9447-424B-46F1-97B6-0598EFE31B15}">
  <ds:schemaRefs>
    <ds:schemaRef ds:uri="0da5d3f8-c2bc-48c1-9c46-6ed742716744"/>
    <ds:schemaRef ds:uri="http://purl.org/dc/terms/"/>
    <ds:schemaRef ds:uri="http://schemas.openxmlformats.org/package/2006/metadata/core-properties"/>
    <ds:schemaRef ds:uri="http://purl.org/dc/dcmitype/"/>
    <ds:schemaRef ds:uri="721993b8-963c-40f8-bb77-721e51881077"/>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BD739CA0-9C2D-418E-86A3-F20454DC62B9}">
  <ds:schemaRefs>
    <ds:schemaRef ds:uri="http://schemas.openxmlformats.org/officeDocument/2006/bibliography"/>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CAD6A33-4973-4BE7-AF2B-E3EF3A57B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2207</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8</cp:revision>
  <cp:lastPrinted>2010-10-14T13:41:00Z</cp:lastPrinted>
  <dcterms:created xsi:type="dcterms:W3CDTF">2023-11-15T21:40:00Z</dcterms:created>
  <dcterms:modified xsi:type="dcterms:W3CDTF">2023-11-29T18:04:00Z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0x010100961DB03F3A7A704B96FA2859FDCE6C8D</vt:lpwstr>
  </property>
  <property fmtid="{D5CDD505-2E9C-101B-9397-08002B2CF9AE}" pid="3" name="Order">
    <vt:r8>4600</vt:r8>
  </property>
  <property fmtid="{D5CDD505-2E9C-101B-9397-08002B2CF9AE}" pid="4" name="_dlc_DocIdItemGuid">
    <vt:lpwstr>3ccfd19e-1bd0-49eb-850e-d64d834aea79</vt:lpwstr>
  </property>
</Properties>
</file>