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5F91" w:rsidP="00BF5F91" w14:paraId="3C0362A7" w14:textId="77777777">
      <w:pPr>
        <w:spacing w:before="120"/>
        <w:jc w:val="center"/>
      </w:pPr>
      <w:r>
        <w:t>U.S.</w:t>
      </w:r>
      <w:r>
        <w:t xml:space="preserve"> Food and Drug Administration</w:t>
      </w:r>
      <w:r>
        <w:br/>
      </w:r>
      <w:r w:rsidRPr="00C00740">
        <w:t>Generic Clearance: Request for Data to Support Social and Behavioral Research</w:t>
      </w:r>
      <w:r>
        <w:br/>
        <w:t>OMB Control Number 0910-0847</w:t>
      </w:r>
      <w:r>
        <w:br/>
        <w:t>Gen IC Request for Approval</w:t>
      </w:r>
    </w:p>
    <w:p w:rsidR="00BF5F91" w:rsidP="005E23BA" w14:paraId="68EC7170" w14:textId="77777777">
      <w:pPr>
        <w:spacing w:before="120"/>
      </w:pPr>
    </w:p>
    <w:p w:rsidR="00E11003" w:rsidP="00633DF8" w14:paraId="2495479B" w14:textId="6980D0B3">
      <w:pPr>
        <w:autoSpaceDE w:val="0"/>
        <w:autoSpaceDN w:val="0"/>
        <w:adjustRightInd w:val="0"/>
        <w:rPr>
          <w:rFonts w:ascii="TimesNewRomanPSMT" w:hAnsi="TimesNewRomanPSMT" w:cs="TimesNewRomanPSMT"/>
        </w:rPr>
      </w:pPr>
      <w:r w:rsidRPr="00BF5F91">
        <w:rPr>
          <w:rFonts w:eastAsia="Calibri"/>
          <w:b/>
        </w:rPr>
        <w:t>Title of Gen IC:</w:t>
      </w:r>
      <w:r w:rsidRPr="00BF5F91">
        <w:rPr>
          <w:rFonts w:eastAsia="Calibri"/>
        </w:rPr>
        <w:t xml:space="preserve"> </w:t>
      </w:r>
      <w:bookmarkStart w:id="0" w:name="_Hlk116393715"/>
      <w:r w:rsidRPr="00633DF8" w:rsidR="00780251">
        <w:rPr>
          <w:rFonts w:ascii="TimesNewRomanPSMT" w:hAnsi="TimesNewRomanPSMT" w:cs="TimesNewRomanPSMT"/>
        </w:rPr>
        <w:t>M</w:t>
      </w:r>
      <w:r w:rsidR="00092919">
        <w:rPr>
          <w:rFonts w:ascii="TimesNewRomanPSMT" w:hAnsi="TimesNewRomanPSMT" w:cs="TimesNewRomanPSMT"/>
        </w:rPr>
        <w:t>u</w:t>
      </w:r>
      <w:r w:rsidRPr="00633DF8" w:rsidR="00780251">
        <w:rPr>
          <w:rFonts w:ascii="TimesNewRomanPSMT" w:hAnsi="TimesNewRomanPSMT" w:cs="TimesNewRomanPSMT"/>
        </w:rPr>
        <w:t xml:space="preserve">ltimorbidity and Medications: </w:t>
      </w:r>
      <w:r w:rsidR="00092919">
        <w:rPr>
          <w:rFonts w:ascii="TimesNewRomanPSMT" w:hAnsi="TimesNewRomanPSMT" w:cs="TimesNewRomanPSMT"/>
        </w:rPr>
        <w:t>T</w:t>
      </w:r>
      <w:r w:rsidRPr="00633DF8" w:rsidR="00780251">
        <w:rPr>
          <w:rFonts w:ascii="TimesNewRomanPSMT" w:hAnsi="TimesNewRomanPSMT" w:cs="TimesNewRomanPSMT"/>
        </w:rPr>
        <w:t xml:space="preserve">he </w:t>
      </w:r>
      <w:r w:rsidR="00092919">
        <w:rPr>
          <w:rFonts w:ascii="TimesNewRomanPSMT" w:hAnsi="TimesNewRomanPSMT" w:cs="TimesNewRomanPSMT"/>
        </w:rPr>
        <w:t>U</w:t>
      </w:r>
      <w:r w:rsidRPr="00633DF8" w:rsidR="00780251">
        <w:rPr>
          <w:rFonts w:ascii="TimesNewRomanPSMT" w:hAnsi="TimesNewRomanPSMT" w:cs="TimesNewRomanPSMT"/>
        </w:rPr>
        <w:t xml:space="preserve">nheard </w:t>
      </w:r>
      <w:r w:rsidR="00092919">
        <w:rPr>
          <w:rFonts w:ascii="TimesNewRomanPSMT" w:hAnsi="TimesNewRomanPSMT" w:cs="TimesNewRomanPSMT"/>
        </w:rPr>
        <w:t>P</w:t>
      </w:r>
      <w:r w:rsidRPr="00633DF8" w:rsidR="00780251">
        <w:rPr>
          <w:rFonts w:ascii="TimesNewRomanPSMT" w:hAnsi="TimesNewRomanPSMT" w:cs="TimesNewRomanPSMT"/>
        </w:rPr>
        <w:t>erspective of</w:t>
      </w:r>
      <w:r w:rsidR="00633DF8">
        <w:rPr>
          <w:rFonts w:ascii="TimesNewRomanPSMT" w:hAnsi="TimesNewRomanPSMT" w:cs="TimesNewRomanPSMT"/>
        </w:rPr>
        <w:t xml:space="preserve"> </w:t>
      </w:r>
      <w:r w:rsidR="00092919">
        <w:rPr>
          <w:rFonts w:ascii="TimesNewRomanPSMT" w:hAnsi="TimesNewRomanPSMT" w:cs="TimesNewRomanPSMT"/>
        </w:rPr>
        <w:t>O</w:t>
      </w:r>
      <w:r w:rsidRPr="00633DF8" w:rsidR="00780251">
        <w:rPr>
          <w:rFonts w:ascii="TimesNewRomanPSMT" w:hAnsi="TimesNewRomanPSMT" w:cs="TimesNewRomanPSMT"/>
        </w:rPr>
        <w:t xml:space="preserve">lder </w:t>
      </w:r>
      <w:r w:rsidR="00092919">
        <w:rPr>
          <w:rFonts w:ascii="TimesNewRomanPSMT" w:hAnsi="TimesNewRomanPSMT" w:cs="TimesNewRomanPSMT"/>
        </w:rPr>
        <w:t>A</w:t>
      </w:r>
      <w:r w:rsidRPr="00633DF8" w:rsidR="00780251">
        <w:rPr>
          <w:rFonts w:ascii="TimesNewRomanPSMT" w:hAnsi="TimesNewRomanPSMT" w:cs="TimesNewRomanPSMT"/>
        </w:rPr>
        <w:t>dults</w:t>
      </w:r>
      <w:r w:rsidR="00633DF8">
        <w:rPr>
          <w:rFonts w:ascii="TimesNewRomanPSMT" w:hAnsi="TimesNewRomanPSMT" w:cs="TimesNewRomanPSMT"/>
        </w:rPr>
        <w:t xml:space="preserve">    </w:t>
      </w:r>
    </w:p>
    <w:bookmarkEnd w:id="0"/>
    <w:p w:rsidR="00633DF8" w:rsidRPr="00633DF8" w:rsidP="00633DF8" w14:paraId="07E84B01" w14:textId="77777777">
      <w:pPr>
        <w:autoSpaceDE w:val="0"/>
        <w:autoSpaceDN w:val="0"/>
        <w:adjustRightInd w:val="0"/>
        <w:rPr>
          <w:rFonts w:ascii="TimesNewRomanPSMT" w:hAnsi="TimesNewRomanPSMT" w:cs="TimesNewRomanPSMT"/>
        </w:rPr>
      </w:pPr>
    </w:p>
    <w:p w:rsidR="00BF5F91" w:rsidRPr="00826F17" w:rsidP="008B645B" w14:paraId="0DE8D52F" w14:textId="39B4D30E">
      <w:pPr>
        <w:numPr>
          <w:ilvl w:val="0"/>
          <w:numId w:val="23"/>
        </w:numPr>
        <w:rPr>
          <w:b/>
        </w:rPr>
      </w:pPr>
      <w:r w:rsidRPr="00826F17">
        <w:rPr>
          <w:b/>
        </w:rPr>
        <w:t>Statement of Need:</w:t>
      </w:r>
      <w:r w:rsidR="00EF559C">
        <w:rPr>
          <w:b/>
        </w:rPr>
        <w:t xml:space="preserve"> </w:t>
      </w:r>
    </w:p>
    <w:p w:rsidR="008B645B" w:rsidRPr="00BF5F91" w:rsidP="008B645B" w14:paraId="384737AD" w14:textId="77777777">
      <w:pPr>
        <w:ind w:left="360"/>
        <w:rPr>
          <w:b/>
        </w:rPr>
      </w:pPr>
    </w:p>
    <w:p w:rsidR="00E11003" w:rsidP="00E11003" w14:paraId="1F2FCC41" w14:textId="0A0A8682">
      <w:pPr>
        <w:ind w:left="360"/>
        <w:rPr>
          <w:rFonts w:eastAsia="Calibri"/>
        </w:rPr>
      </w:pPr>
      <w:r w:rsidRPr="00A1348D">
        <w:rPr>
          <w:rFonts w:eastAsia="Calibri"/>
        </w:rPr>
        <w:t xml:space="preserve">The Food and Drug Administration </w:t>
      </w:r>
      <w:r w:rsidR="00EC12BC">
        <w:rPr>
          <w:rFonts w:eastAsia="Calibri"/>
        </w:rPr>
        <w:t xml:space="preserve">(FDA) </w:t>
      </w:r>
      <w:r w:rsidRPr="00A1348D">
        <w:rPr>
          <w:rFonts w:eastAsia="Calibri"/>
        </w:rPr>
        <w:t xml:space="preserve">is responsible for protecting the public health by ensuring the safety, efficacy, and security of human and veterinary drugs, biological products, and medical devices; and by ensuring the safety of our nation's food supply, cosmetics, and products that emit radiation.  </w:t>
      </w:r>
    </w:p>
    <w:p w:rsidR="00E11003" w:rsidRPr="00A1348D" w:rsidP="00E11003" w14:paraId="07BB9C61" w14:textId="77777777">
      <w:pPr>
        <w:ind w:left="360"/>
        <w:rPr>
          <w:rFonts w:eastAsia="Calibri"/>
        </w:rPr>
      </w:pPr>
    </w:p>
    <w:p w:rsidR="00E11003" w:rsidRPr="003A38E2" w:rsidP="003A38E2" w14:paraId="436AE2A5" w14:textId="0BF5124E">
      <w:pPr>
        <w:ind w:left="360"/>
      </w:pPr>
      <w:r w:rsidRPr="003A38E2">
        <w:t xml:space="preserve">The older adult population consumes </w:t>
      </w:r>
      <w:r w:rsidRPr="003A38E2">
        <w:t>the majority of</w:t>
      </w:r>
      <w:r w:rsidRPr="003A38E2">
        <w:t xml:space="preserve"> prescription medications marketed in the United States yet is under-represented in drug development studies, clinical testing, and formal post-marketing evaluations.</w:t>
      </w:r>
      <w:r w:rsidR="009C08A9">
        <w:t xml:space="preserve"> </w:t>
      </w:r>
      <w:r w:rsidRPr="003A38E2">
        <w:t xml:space="preserve">The high rate of adverse drug effects, discontinuation, and poor adherence to prescribed medications are likely related to unrecognized considerations for older adults and the challenges they face. Older adults commonly have multiple chronic conditions, take multiple medications, but also have functional and cognitive limitations that are not characterized in electronic health care records. These “typical” older adults have had limited inclusion in drug development and evaluation trials. </w:t>
      </w:r>
      <w:r w:rsidRPr="003A38E2" w:rsidR="009B3647">
        <w:rPr>
          <w:rFonts w:eastAsia="Calibri"/>
        </w:rPr>
        <w:t>This may lead to insufficient data on the efficacy and safety among the ultimate users of medications</w:t>
      </w:r>
      <w:r w:rsidRPr="003A38E2">
        <w:rPr>
          <w:rFonts w:eastAsia="Calibri"/>
        </w:rPr>
        <w:t>.</w:t>
      </w:r>
      <w:r w:rsidRPr="003A38E2" w:rsidR="00263DCF">
        <w:rPr>
          <w:rFonts w:eastAsia="Calibri"/>
        </w:rPr>
        <w:t xml:space="preserve"> </w:t>
      </w:r>
    </w:p>
    <w:p w:rsidR="00572743" w:rsidRPr="00A1348D" w:rsidP="00E11003" w14:paraId="04C25EC1" w14:textId="77777777">
      <w:pPr>
        <w:ind w:left="360"/>
        <w:rPr>
          <w:rFonts w:eastAsia="Calibri"/>
        </w:rPr>
      </w:pPr>
    </w:p>
    <w:p w:rsidR="00BF5F91" w:rsidP="00E11003" w14:paraId="2FB9C837" w14:textId="7F5517E6">
      <w:pPr>
        <w:ind w:left="360"/>
        <w:rPr>
          <w:rFonts w:eastAsia="Calibri"/>
        </w:rPr>
      </w:pPr>
      <w:r w:rsidRPr="00A1348D">
        <w:rPr>
          <w:rFonts w:eastAsia="Calibri"/>
        </w:rPr>
        <w:t xml:space="preserve">The purpose of this research is to increase </w:t>
      </w:r>
      <w:r w:rsidR="00EC12BC">
        <w:rPr>
          <w:rFonts w:eastAsia="Calibri"/>
        </w:rPr>
        <w:t>FDA’s</w:t>
      </w:r>
      <w:r w:rsidRPr="00A1348D">
        <w:rPr>
          <w:rFonts w:eastAsia="Calibri"/>
        </w:rPr>
        <w:t xml:space="preserve"> understanding </w:t>
      </w:r>
      <w:r>
        <w:rPr>
          <w:rFonts w:eastAsia="Calibri"/>
        </w:rPr>
        <w:t xml:space="preserve">of </w:t>
      </w:r>
      <w:r w:rsidRPr="00A1348D">
        <w:rPr>
          <w:rFonts w:eastAsia="Calibri"/>
        </w:rPr>
        <w:t>beliefs</w:t>
      </w:r>
      <w:r w:rsidR="005B7DFF">
        <w:rPr>
          <w:rFonts w:eastAsia="Calibri"/>
        </w:rPr>
        <w:t>,</w:t>
      </w:r>
      <w:r w:rsidRPr="00A1348D">
        <w:rPr>
          <w:rFonts w:eastAsia="Calibri"/>
        </w:rPr>
        <w:t xml:space="preserve"> attitudes</w:t>
      </w:r>
      <w:r w:rsidR="005B7DFF">
        <w:rPr>
          <w:rFonts w:eastAsia="Calibri"/>
        </w:rPr>
        <w:t xml:space="preserve">, </w:t>
      </w:r>
      <w:r>
        <w:rPr>
          <w:rFonts w:eastAsia="Calibri"/>
        </w:rPr>
        <w:t>barriers</w:t>
      </w:r>
      <w:r>
        <w:rPr>
          <w:rFonts w:eastAsia="Calibri"/>
        </w:rPr>
        <w:t xml:space="preserve"> and enablers of</w:t>
      </w:r>
      <w:r w:rsidRPr="00A1348D">
        <w:rPr>
          <w:rFonts w:eastAsia="Calibri"/>
        </w:rPr>
        <w:t xml:space="preserve"> participati</w:t>
      </w:r>
      <w:r>
        <w:rPr>
          <w:rFonts w:eastAsia="Calibri"/>
        </w:rPr>
        <w:t>on</w:t>
      </w:r>
      <w:r w:rsidRPr="00A1348D">
        <w:rPr>
          <w:rFonts w:eastAsia="Calibri"/>
        </w:rPr>
        <w:t xml:space="preserve"> in clinical trials</w:t>
      </w:r>
      <w:r>
        <w:rPr>
          <w:rFonts w:eastAsia="Calibri"/>
        </w:rPr>
        <w:t xml:space="preserve"> among </w:t>
      </w:r>
      <w:r w:rsidR="003A38E2">
        <w:rPr>
          <w:rFonts w:eastAsia="Calibri"/>
        </w:rPr>
        <w:t>older adults</w:t>
      </w:r>
      <w:r>
        <w:rPr>
          <w:rFonts w:eastAsia="Calibri"/>
        </w:rPr>
        <w:t xml:space="preserve"> living with </w:t>
      </w:r>
      <w:r w:rsidR="003A38E2">
        <w:rPr>
          <w:rFonts w:eastAsia="Calibri"/>
        </w:rPr>
        <w:t>multiple chronic medical conditions and taking multiple medications</w:t>
      </w:r>
      <w:r>
        <w:rPr>
          <w:rFonts w:eastAsia="Calibri"/>
        </w:rPr>
        <w:t>. This will help design and develop effective recruitment strategies directed towards th</w:t>
      </w:r>
      <w:r w:rsidR="003A38E2">
        <w:rPr>
          <w:rFonts w:eastAsia="Calibri"/>
        </w:rPr>
        <w:t>is patient population</w:t>
      </w:r>
      <w:r w:rsidR="00A659C3">
        <w:rPr>
          <w:rFonts w:eastAsia="Calibri"/>
        </w:rPr>
        <w:t>, which in turn is essential for enhancing the safety and efficacy of new drugs</w:t>
      </w:r>
      <w:r w:rsidRPr="00A1348D">
        <w:rPr>
          <w:rFonts w:eastAsia="Calibri"/>
        </w:rPr>
        <w:t>.</w:t>
      </w:r>
    </w:p>
    <w:p w:rsidR="00E84F48" w:rsidP="00E11003" w14:paraId="0542B600" w14:textId="77777777">
      <w:pPr>
        <w:ind w:left="360"/>
      </w:pPr>
    </w:p>
    <w:p w:rsidR="00B70D84" w:rsidP="00996BB1" w14:paraId="2003FE96" w14:textId="53CBF887">
      <w:pPr>
        <w:ind w:left="360"/>
      </w:pPr>
      <w:r>
        <w:t>The research aligns with the FDA’s objectives to “strengthen social and behavioral science to promote informed decision-making about FDA-regulated products</w:t>
      </w:r>
      <w:r w:rsidR="009B72F7">
        <w:t>.</w:t>
      </w:r>
      <w:r>
        <w:t xml:space="preserve">” It meets the </w:t>
      </w:r>
      <w:r w:rsidR="00DE7E2B">
        <w:t>agency</w:t>
      </w:r>
      <w:r>
        <w:t>’s goals by identifying and filling gaps in key areas of knowledge; reaching diverse audiences; assessing perceptions and attitudes about clinical trial participation; and identifying strategies to improve clinical trial participation in older adults. This study will be used to support educational and public information programs (21 U.S.C. Section 393(d)(2)(D))</w:t>
      </w:r>
      <w:r w:rsidR="00DE7E2B">
        <w:t>.</w:t>
      </w:r>
      <w:r>
        <w:t>”</w:t>
      </w:r>
    </w:p>
    <w:p w:rsidR="001862B9" w:rsidRPr="00BF5F91" w:rsidP="00E11003" w14:paraId="4A4903C6" w14:textId="77777777">
      <w:pPr>
        <w:ind w:left="360"/>
      </w:pPr>
    </w:p>
    <w:p w:rsidR="00572743" w:rsidRPr="00572743" w:rsidP="00322AAA" w14:paraId="15BF4377" w14:textId="77777777">
      <w:pPr>
        <w:keepNext/>
        <w:widowControl w:val="0"/>
        <w:numPr>
          <w:ilvl w:val="0"/>
          <w:numId w:val="23"/>
        </w:numPr>
        <w:rPr>
          <w:rFonts w:eastAsia="Calibri"/>
        </w:rPr>
      </w:pPr>
      <w:r w:rsidRPr="00572743">
        <w:rPr>
          <w:b/>
        </w:rPr>
        <w:t>Intended Use of the Information:</w:t>
      </w:r>
    </w:p>
    <w:p w:rsidR="00572743" w:rsidRPr="00572743" w:rsidP="00572743" w14:paraId="658BF0CA" w14:textId="77777777">
      <w:pPr>
        <w:ind w:left="360"/>
        <w:rPr>
          <w:rFonts w:eastAsia="Calibri"/>
        </w:rPr>
      </w:pPr>
    </w:p>
    <w:p w:rsidR="00A15399" w:rsidP="00A15399" w14:paraId="3BDD307F" w14:textId="184B3E31">
      <w:pPr>
        <w:ind w:left="360"/>
        <w:rPr>
          <w:rFonts w:eastAsia="Calibri"/>
        </w:rPr>
      </w:pPr>
      <w:r>
        <w:t>Information collected will</w:t>
      </w:r>
      <w:r w:rsidRPr="00466550" w:rsidR="00AC21A5">
        <w:t xml:space="preserve"> inform the design of future clinical trials, minimize the observed obstacles and maximize or add the motivators identified in order to achieve enrollment in clinical trials that better represent the ultimate treatment populations</w:t>
      </w:r>
      <w:r w:rsidR="002E5F32">
        <w:t xml:space="preserve"> to assure that efficacy and safety are addressed during the evaluation of new medical therapies</w:t>
      </w:r>
      <w:r w:rsidRPr="00466550" w:rsidR="00AC21A5">
        <w:t xml:space="preserve">. </w:t>
      </w:r>
      <w:r w:rsidR="00572743">
        <w:t xml:space="preserve">This </w:t>
      </w:r>
      <w:r w:rsidR="007756F0">
        <w:t>quantitative survey</w:t>
      </w:r>
      <w:r w:rsidR="00AF2E71">
        <w:t xml:space="preserve"> portion of the study complements the </w:t>
      </w:r>
      <w:r w:rsidR="007078D6">
        <w:t>qualitative portion of Generic IC OMB Control Number 0910-0497 entitled “</w:t>
      </w:r>
      <w:r w:rsidRPr="00722CB4" w:rsidR="00722CB4">
        <w:t>MUltimorbidity and Medications: the unheard perspective of older Under-Represented Racial and Ethnic Minority Adults</w:t>
      </w:r>
      <w:r w:rsidR="004143D8">
        <w:t>”</w:t>
      </w:r>
      <w:r w:rsidR="00FF7561">
        <w:t xml:space="preserve"> approved on October 13, 2022</w:t>
      </w:r>
      <w:r w:rsidR="006B02AF">
        <w:t xml:space="preserve"> (ICR Reference Number </w:t>
      </w:r>
      <w:r w:rsidR="00F21C25">
        <w:t>202008-0910-021)</w:t>
      </w:r>
      <w:r w:rsidR="00C42E08">
        <w:t>.</w:t>
      </w:r>
      <w:r w:rsidR="004143D8">
        <w:t xml:space="preserve"> </w:t>
      </w:r>
      <w:r w:rsidR="003B5136">
        <w:t xml:space="preserve">The </w:t>
      </w:r>
      <w:r w:rsidR="00AA7CB4">
        <w:t>survey question</w:t>
      </w:r>
      <w:r w:rsidR="00D14568">
        <w:t>naire</w:t>
      </w:r>
      <w:r w:rsidR="00AA7CB4">
        <w:t xml:space="preserve"> </w:t>
      </w:r>
      <w:r w:rsidR="00CE655C">
        <w:t>address</w:t>
      </w:r>
      <w:r w:rsidR="000C57B6">
        <w:t>es</w:t>
      </w:r>
      <w:r w:rsidR="00CE655C">
        <w:t xml:space="preserve"> different perspectives</w:t>
      </w:r>
      <w:r w:rsidR="00C9718C">
        <w:t xml:space="preserve"> of clinical trials enrollment for older adults</w:t>
      </w:r>
      <w:r w:rsidR="00CE655C">
        <w:t xml:space="preserve"> </w:t>
      </w:r>
      <w:r w:rsidR="005F35E6">
        <w:t>that complement</w:t>
      </w:r>
      <w:r w:rsidR="000C57B6">
        <w:t>s</w:t>
      </w:r>
      <w:r w:rsidR="005F35E6">
        <w:t xml:space="preserve"> the focus group moderator guide. </w:t>
      </w:r>
      <w:r w:rsidR="00074F70">
        <w:t xml:space="preserve">The survey questionnaire is available in both English and Spanish to reach a diverse population that meet the study eligibility and does not often partake in clinical trials. </w:t>
      </w:r>
      <w:r w:rsidR="00FA395F">
        <w:t>T</w:t>
      </w:r>
      <w:r w:rsidR="00AE212E">
        <w:t xml:space="preserve">he </w:t>
      </w:r>
      <w:r w:rsidR="005F35E6">
        <w:t xml:space="preserve">qualitative focus groups are </w:t>
      </w:r>
      <w:r w:rsidR="00C9718C">
        <w:t>conducted in older Asian population</w:t>
      </w:r>
      <w:r w:rsidR="001800D8">
        <w:t xml:space="preserve"> </w:t>
      </w:r>
      <w:r w:rsidRPr="001800D8" w:rsidR="001800D8">
        <w:t>of Chinese origin</w:t>
      </w:r>
      <w:r w:rsidR="00B2371C">
        <w:t xml:space="preserve"> on their perspectives of factors that</w:t>
      </w:r>
      <w:r w:rsidR="00901B3E">
        <w:t xml:space="preserve"> inform their </w:t>
      </w:r>
      <w:r w:rsidRPr="001800D8" w:rsidR="001800D8">
        <w:t>decision</w:t>
      </w:r>
      <w:r w:rsidR="00901B3E">
        <w:t xml:space="preserve"> making</w:t>
      </w:r>
      <w:r w:rsidRPr="001800D8" w:rsidR="001800D8">
        <w:t xml:space="preserve"> about whether to join clinical trials in which they take a medicine</w:t>
      </w:r>
      <w:r w:rsidR="00316892">
        <w:t xml:space="preserve"> </w:t>
      </w:r>
      <w:r w:rsidR="00AE212E">
        <w:t xml:space="preserve">while the quantitative survey questionnaires are administered to older </w:t>
      </w:r>
      <w:r w:rsidR="0018212B">
        <w:t xml:space="preserve">diverse population </w:t>
      </w:r>
      <w:r w:rsidR="00DC544C">
        <w:t>with multiple medical problems</w:t>
      </w:r>
      <w:r w:rsidR="00ED1798">
        <w:t xml:space="preserve"> or taking multiple medications </w:t>
      </w:r>
      <w:r w:rsidR="00E22837">
        <w:t>and</w:t>
      </w:r>
      <w:r w:rsidR="00ED1798">
        <w:t xml:space="preserve"> are not usually enrolled in</w:t>
      </w:r>
      <w:r w:rsidR="0035221A">
        <w:t xml:space="preserve"> clinical trials. </w:t>
      </w:r>
      <w:r w:rsidR="00260A7A">
        <w:t xml:space="preserve"> The focus group discussions</w:t>
      </w:r>
      <w:r w:rsidRPr="00F642D6" w:rsidR="00F642D6">
        <w:t xml:space="preserve"> elicit additional knowledge and themes that may be unique to one group </w:t>
      </w:r>
      <w:r w:rsidR="00F642D6">
        <w:t xml:space="preserve">and </w:t>
      </w:r>
      <w:r w:rsidR="00260A7A">
        <w:t xml:space="preserve">are </w:t>
      </w:r>
      <w:r w:rsidR="00947FA7">
        <w:t xml:space="preserve">only conducted in Asian population of Chinese origin due </w:t>
      </w:r>
      <w:r w:rsidR="001B6B99">
        <w:t xml:space="preserve">budget constraint and </w:t>
      </w:r>
      <w:r w:rsidR="002430A0">
        <w:t xml:space="preserve">manpower of study stuff; future studies plan to expand to other underrepresented populations to </w:t>
      </w:r>
      <w:r w:rsidR="005826E4">
        <w:t>capture an in-depth understanding of their voices via the qualitative method</w:t>
      </w:r>
      <w:r w:rsidR="001B6B99">
        <w:t xml:space="preserve">. </w:t>
      </w:r>
      <w:r w:rsidRPr="005E21BA">
        <w:rPr>
          <w:rFonts w:eastAsia="Calibri"/>
        </w:rPr>
        <w:t xml:space="preserve">Combining the two types of data means </w:t>
      </w:r>
      <w:r>
        <w:rPr>
          <w:rFonts w:eastAsia="Calibri"/>
        </w:rPr>
        <w:t>maximizing</w:t>
      </w:r>
      <w:r w:rsidRPr="005E21BA">
        <w:rPr>
          <w:rFonts w:eastAsia="Calibri"/>
        </w:rPr>
        <w:t xml:space="preserve"> benefit</w:t>
      </w:r>
      <w:r>
        <w:rPr>
          <w:rFonts w:eastAsia="Calibri"/>
        </w:rPr>
        <w:t>s</w:t>
      </w:r>
      <w:r w:rsidRPr="005E21BA">
        <w:rPr>
          <w:rFonts w:eastAsia="Calibri"/>
        </w:rPr>
        <w:t xml:space="preserve"> from both the detailed, contextualized insights of qualitative data and the generalizable, externally valid insights of quantitative data. The strengths of one type of data often mitigate the weaknesses of the other.</w:t>
      </w:r>
      <w:r>
        <w:rPr>
          <w:rFonts w:eastAsia="Calibri"/>
        </w:rPr>
        <w:t xml:space="preserve"> </w:t>
      </w:r>
      <w:r w:rsidRPr="00446298">
        <w:rPr>
          <w:rFonts w:eastAsia="Calibri"/>
        </w:rPr>
        <w:t>Mixed method approaches allow researchers to use a diversity of methods, combining inductive and deductive thinking, and offsetting limitations of exclusively quantitative and qualitative research through a complementary approach that maximizes strengths of each data type and facilitates a more comprehensive understanding of health issues and potential resolutions.</w:t>
      </w:r>
      <w:r>
        <w:rPr>
          <w:rFonts w:eastAsia="Calibri"/>
        </w:rPr>
        <w:t xml:space="preserve"> </w:t>
      </w:r>
    </w:p>
    <w:p w:rsidR="00DB797F" w:rsidP="00A15399" w14:paraId="67E0D389" w14:textId="77777777">
      <w:pPr>
        <w:ind w:left="360"/>
        <w:rPr>
          <w:rFonts w:eastAsia="Calibri"/>
        </w:rPr>
      </w:pPr>
    </w:p>
    <w:p w:rsidR="00DB797F" w:rsidRPr="005E21BA" w:rsidP="00A15399" w14:paraId="64DFC45B" w14:textId="03BC5E21">
      <w:pPr>
        <w:ind w:left="360"/>
        <w:rPr>
          <w:rFonts w:eastAsia="Calibri"/>
        </w:rPr>
      </w:pPr>
      <w:r w:rsidRPr="00691EE5">
        <w:rPr>
          <w:rFonts w:eastAsia="Calibri"/>
        </w:rPr>
        <w:t>The data</w:t>
      </w:r>
      <w:r>
        <w:rPr>
          <w:rFonts w:eastAsia="Calibri"/>
        </w:rPr>
        <w:t xml:space="preserve"> collected</w:t>
      </w:r>
      <w:r w:rsidRPr="00691EE5">
        <w:rPr>
          <w:rFonts w:eastAsia="Calibri"/>
        </w:rPr>
        <w:t xml:space="preserve"> will not be used for the purposes of making policy or regulatory decisions. Rather, the data will</w:t>
      </w:r>
      <w:r w:rsidR="004D53B8">
        <w:rPr>
          <w:rFonts w:eastAsia="Calibri"/>
        </w:rPr>
        <w:t xml:space="preserve"> provide a comprehensive perspective </w:t>
      </w:r>
      <w:r w:rsidR="006B0AF9">
        <w:rPr>
          <w:rFonts w:eastAsia="Calibri"/>
        </w:rPr>
        <w:t xml:space="preserve">of older Americans </w:t>
      </w:r>
      <w:r w:rsidR="00B63FBE">
        <w:rPr>
          <w:rFonts w:eastAsia="Calibri"/>
        </w:rPr>
        <w:t>on</w:t>
      </w:r>
      <w:r w:rsidR="006B0AF9">
        <w:rPr>
          <w:rFonts w:eastAsia="Calibri"/>
        </w:rPr>
        <w:t xml:space="preserve"> </w:t>
      </w:r>
      <w:r w:rsidR="00474825">
        <w:rPr>
          <w:rFonts w:eastAsia="Calibri"/>
        </w:rPr>
        <w:t xml:space="preserve">medical </w:t>
      </w:r>
      <w:r w:rsidR="006B0AF9">
        <w:rPr>
          <w:rFonts w:eastAsia="Calibri"/>
        </w:rPr>
        <w:t>therapeutic</w:t>
      </w:r>
      <w:r w:rsidR="00474825">
        <w:rPr>
          <w:rFonts w:eastAsia="Calibri"/>
        </w:rPr>
        <w:t xml:space="preserve"> but</w:t>
      </w:r>
      <w:r w:rsidR="006B0AF9">
        <w:rPr>
          <w:rFonts w:eastAsia="Calibri"/>
        </w:rPr>
        <w:t xml:space="preserve"> are under-represented in clinical trials</w:t>
      </w:r>
      <w:r w:rsidR="009811B3">
        <w:rPr>
          <w:rFonts w:eastAsia="Calibri"/>
        </w:rPr>
        <w:t xml:space="preserve"> that studied the effi</w:t>
      </w:r>
      <w:r w:rsidR="00BB31BC">
        <w:rPr>
          <w:rFonts w:eastAsia="Calibri"/>
        </w:rPr>
        <w:t>cacy and safety of those therapeutics. With a better understanding of their beliefs, attitudes</w:t>
      </w:r>
      <w:r w:rsidR="007F75E4">
        <w:rPr>
          <w:rFonts w:eastAsia="Calibri"/>
        </w:rPr>
        <w:t xml:space="preserve">, and knowledge of clinical trials participation, future recruitment strategies and </w:t>
      </w:r>
      <w:r w:rsidR="00CC55A1">
        <w:rPr>
          <w:rFonts w:eastAsia="Calibri"/>
        </w:rPr>
        <w:t xml:space="preserve">education materials can be designed to address the gaps. </w:t>
      </w:r>
    </w:p>
    <w:p w:rsidR="00E11003" w:rsidRPr="004B57A3" w:rsidP="007F2392" w14:paraId="44A156F1" w14:textId="6A1137F1">
      <w:pPr>
        <w:autoSpaceDE w:val="0"/>
        <w:autoSpaceDN w:val="0"/>
        <w:adjustRightInd w:val="0"/>
        <w:ind w:left="360"/>
        <w:rPr>
          <w:rFonts w:ascii="ITCFranklinGothicStd-Book" w:hAnsi="ITCFranklinGothicStd-Book" w:cs="ITCFranklinGothicStd-Book"/>
          <w:sz w:val="16"/>
          <w:szCs w:val="16"/>
        </w:rPr>
      </w:pPr>
      <w:r>
        <w:t xml:space="preserve"> </w:t>
      </w:r>
    </w:p>
    <w:p w:rsidR="00BF5F91" w:rsidRPr="00BF5F91" w:rsidP="008B645B" w14:paraId="66D4705D" w14:textId="77777777">
      <w:pPr>
        <w:widowControl w:val="0"/>
        <w:numPr>
          <w:ilvl w:val="0"/>
          <w:numId w:val="23"/>
        </w:numPr>
        <w:contextualSpacing/>
        <w:rPr>
          <w:b/>
          <w:snapToGrid w:val="0"/>
        </w:rPr>
      </w:pPr>
      <w:r w:rsidRPr="00BF5F91">
        <w:rPr>
          <w:b/>
          <w:snapToGrid w:val="0"/>
        </w:rPr>
        <w:t>Description of Respondents:</w:t>
      </w:r>
    </w:p>
    <w:p w:rsidR="004E2609" w:rsidP="00E11003" w14:paraId="068FF8CB" w14:textId="77777777">
      <w:pPr>
        <w:widowControl w:val="0"/>
        <w:ind w:left="360"/>
      </w:pPr>
    </w:p>
    <w:p w:rsidR="005B1F80" w:rsidRPr="00A1348D" w:rsidP="00E11003" w14:paraId="7EE79498" w14:textId="051A38B2">
      <w:pPr>
        <w:widowControl w:val="0"/>
        <w:ind w:left="360"/>
        <w:rPr>
          <w:rFonts w:eastAsia="Calibri"/>
        </w:rPr>
      </w:pPr>
      <w:r>
        <w:t>Study</w:t>
      </w:r>
      <w:r>
        <w:rPr>
          <w:spacing w:val="-1"/>
        </w:rPr>
        <w:t xml:space="preserve"> </w:t>
      </w:r>
      <w:r>
        <w:t>participants</w:t>
      </w:r>
      <w:r>
        <w:rPr>
          <w:spacing w:val="-1"/>
        </w:rPr>
        <w:t xml:space="preserve"> </w:t>
      </w:r>
      <w:r>
        <w:t>will</w:t>
      </w:r>
      <w:r>
        <w:rPr>
          <w:spacing w:val="-1"/>
        </w:rPr>
        <w:t xml:space="preserve"> </w:t>
      </w:r>
      <w:r>
        <w:t>include</w:t>
      </w:r>
      <w:r>
        <w:rPr>
          <w:spacing w:val="-1"/>
        </w:rPr>
        <w:t xml:space="preserve"> </w:t>
      </w:r>
      <w:r w:rsidR="00B9342E">
        <w:rPr>
          <w:spacing w:val="-1"/>
        </w:rPr>
        <w:t xml:space="preserve">adults </w:t>
      </w:r>
      <w:r w:rsidR="007F2392">
        <w:t>a</w:t>
      </w:r>
      <w:r w:rsidR="007F2392">
        <w:rPr>
          <w:rFonts w:eastAsia="Calibri"/>
        </w:rPr>
        <w:t>ged</w:t>
      </w:r>
      <w:r w:rsidR="004B57A3">
        <w:rPr>
          <w:rFonts w:eastAsia="Calibri"/>
        </w:rPr>
        <w:t xml:space="preserve"> 65-year</w:t>
      </w:r>
      <w:r w:rsidR="000B6760">
        <w:rPr>
          <w:rFonts w:eastAsia="Calibri"/>
        </w:rPr>
        <w:t>s</w:t>
      </w:r>
      <w:r w:rsidR="004B57A3">
        <w:rPr>
          <w:rFonts w:eastAsia="Calibri"/>
        </w:rPr>
        <w:t>-old and above</w:t>
      </w:r>
      <w:r w:rsidR="000B6760">
        <w:rPr>
          <w:rFonts w:eastAsia="Calibri"/>
        </w:rPr>
        <w:t xml:space="preserve"> living in the community</w:t>
      </w:r>
      <w:r w:rsidR="004B57A3">
        <w:rPr>
          <w:spacing w:val="-1"/>
        </w:rPr>
        <w:t xml:space="preserve"> </w:t>
      </w:r>
      <w:r w:rsidR="000B6760">
        <w:rPr>
          <w:spacing w:val="-1"/>
        </w:rPr>
        <w:t xml:space="preserve">who have </w:t>
      </w:r>
      <w:r>
        <w:t>experience</w:t>
      </w:r>
      <w:r>
        <w:rPr>
          <w:spacing w:val="-1"/>
        </w:rPr>
        <w:t xml:space="preserve"> </w:t>
      </w:r>
      <w:r>
        <w:t>with</w:t>
      </w:r>
      <w:r>
        <w:rPr>
          <w:spacing w:val="-1"/>
        </w:rPr>
        <w:t xml:space="preserve"> </w:t>
      </w:r>
      <w:r>
        <w:t>drug</w:t>
      </w:r>
      <w:r>
        <w:rPr>
          <w:spacing w:val="-1"/>
        </w:rPr>
        <w:t xml:space="preserve"> </w:t>
      </w:r>
      <w:r>
        <w:t>products</w:t>
      </w:r>
      <w:r w:rsidR="004B57A3">
        <w:t>.</w:t>
      </w:r>
      <w:r>
        <w:rPr>
          <w:rFonts w:eastAsia="Calibri"/>
        </w:rPr>
        <w:t xml:space="preserve"> </w:t>
      </w:r>
    </w:p>
    <w:p w:rsidR="00E11003" w:rsidRPr="00BF5F91" w:rsidP="008B645B" w14:paraId="153C923E" w14:textId="77777777">
      <w:pPr>
        <w:widowControl w:val="0"/>
        <w:rPr>
          <w:snapToGrid w:val="0"/>
        </w:rPr>
      </w:pPr>
    </w:p>
    <w:p w:rsidR="00BF5F91" w:rsidRPr="00BF5F91" w:rsidP="008B645B" w14:paraId="4FC31449" w14:textId="77777777">
      <w:pPr>
        <w:numPr>
          <w:ilvl w:val="0"/>
          <w:numId w:val="23"/>
        </w:numPr>
        <w:contextualSpacing/>
      </w:pPr>
      <w:r w:rsidRPr="00BF5F91">
        <w:rPr>
          <w:b/>
        </w:rPr>
        <w:t xml:space="preserve">How the Information is Collected: </w:t>
      </w:r>
    </w:p>
    <w:p w:rsidR="00BF5F91" w:rsidRPr="00BF5F91" w:rsidP="008B645B" w14:paraId="09EE2477" w14:textId="77777777"/>
    <w:p w:rsidR="00301E64" w:rsidP="00301E64" w14:paraId="0FF9AAF2" w14:textId="4DD25758">
      <w:pPr>
        <w:widowControl w:val="0"/>
        <w:ind w:left="360"/>
        <w:rPr>
          <w:rFonts w:eastAsia="Calibri"/>
        </w:rPr>
      </w:pPr>
      <w:r>
        <w:rPr>
          <w:rFonts w:eastAsia="Calibri"/>
        </w:rPr>
        <w:t>Information will be collected with survey</w:t>
      </w:r>
      <w:r w:rsidR="00B9342E">
        <w:rPr>
          <w:rFonts w:eastAsia="Calibri"/>
        </w:rPr>
        <w:t>s that will be available on-line or via postal mail</w:t>
      </w:r>
      <w:r w:rsidR="00322AAA">
        <w:rPr>
          <w:rFonts w:eastAsia="Calibri"/>
        </w:rPr>
        <w:t xml:space="preserve"> or telephone for those requesting assistance</w:t>
      </w:r>
      <w:r>
        <w:rPr>
          <w:rFonts w:eastAsia="Calibri"/>
        </w:rPr>
        <w:t xml:space="preserve">. </w:t>
      </w:r>
      <w:r w:rsidR="00C22D1B">
        <w:rPr>
          <w:rFonts w:eastAsia="Calibri"/>
        </w:rPr>
        <w:t xml:space="preserve">The survey </w:t>
      </w:r>
      <w:r w:rsidR="004C0005">
        <w:rPr>
          <w:rFonts w:eastAsia="Calibri"/>
        </w:rPr>
        <w:t xml:space="preserve">has been </w:t>
      </w:r>
      <w:r w:rsidR="00B27520">
        <w:rPr>
          <w:rFonts w:eastAsia="Calibri"/>
        </w:rPr>
        <w:t>created</w:t>
      </w:r>
      <w:r w:rsidR="00B9342E">
        <w:rPr>
          <w:rFonts w:eastAsia="Calibri"/>
        </w:rPr>
        <w:t xml:space="preserve"> in </w:t>
      </w:r>
      <w:r w:rsidR="00C22D1B">
        <w:rPr>
          <w:rFonts w:eastAsia="Calibri"/>
        </w:rPr>
        <w:t>English</w:t>
      </w:r>
      <w:r w:rsidR="00B27520">
        <w:rPr>
          <w:rFonts w:eastAsia="Calibri"/>
        </w:rPr>
        <w:t xml:space="preserve"> and translated into Spanish as a significant portion of older patients receiving multiple medications are Hispanic/Latino and have Spanish as a primary language</w:t>
      </w:r>
      <w:r w:rsidR="003260ED">
        <w:rPr>
          <w:rFonts w:eastAsia="Calibri"/>
        </w:rPr>
        <w:t>.</w:t>
      </w:r>
      <w:r w:rsidR="00B9342E">
        <w:rPr>
          <w:rFonts w:eastAsia="Calibri"/>
        </w:rPr>
        <w:t xml:space="preserve"> </w:t>
      </w:r>
      <w:r w:rsidR="00B27520">
        <w:rPr>
          <w:rFonts w:eastAsia="Calibri"/>
        </w:rPr>
        <w:t xml:space="preserve">The </w:t>
      </w:r>
      <w:r w:rsidR="009B4B1A">
        <w:rPr>
          <w:rFonts w:eastAsia="Calibri"/>
        </w:rPr>
        <w:t xml:space="preserve">survey has been translated to </w:t>
      </w:r>
      <w:r w:rsidR="00B27520">
        <w:rPr>
          <w:rFonts w:eastAsia="Calibri"/>
        </w:rPr>
        <w:t xml:space="preserve">Spanish by an American Translators Association certified entity. </w:t>
      </w:r>
      <w:r w:rsidR="00B9342E">
        <w:rPr>
          <w:rFonts w:eastAsia="Calibri"/>
        </w:rPr>
        <w:t xml:space="preserve">Surveys will be housed in a secure Qualtrics platform. </w:t>
      </w:r>
      <w:r w:rsidR="00866AB8">
        <w:rPr>
          <w:rFonts w:eastAsia="Calibri"/>
        </w:rPr>
        <w:t xml:space="preserve">This platform serves the purpose of wide reach to eligible individuals worldwide, </w:t>
      </w:r>
      <w:r w:rsidR="00950CB9">
        <w:rPr>
          <w:rFonts w:eastAsia="Calibri"/>
        </w:rPr>
        <w:t xml:space="preserve">can be used through a computer or a mobile device, </w:t>
      </w:r>
      <w:r w:rsidR="00866AB8">
        <w:rPr>
          <w:rFonts w:eastAsia="Calibri"/>
        </w:rPr>
        <w:t xml:space="preserve">and provides anonymity for participants. </w:t>
      </w:r>
      <w:r w:rsidR="00B9342E">
        <w:rPr>
          <w:rFonts w:eastAsia="Calibri"/>
        </w:rPr>
        <w:t xml:space="preserve">Surveys completed on paper </w:t>
      </w:r>
      <w:r w:rsidR="00322AAA">
        <w:rPr>
          <w:rFonts w:eastAsia="Calibri"/>
        </w:rPr>
        <w:t xml:space="preserve">(or by telephone) </w:t>
      </w:r>
      <w:r w:rsidR="00B9342E">
        <w:rPr>
          <w:rFonts w:eastAsia="Calibri"/>
        </w:rPr>
        <w:t xml:space="preserve">will have anonymized data entered in the Qualtrics database by research staff.  </w:t>
      </w:r>
    </w:p>
    <w:p w:rsidR="00F53A4B" w:rsidP="00301E64" w14:paraId="781FC4DA" w14:textId="77777777">
      <w:pPr>
        <w:widowControl w:val="0"/>
        <w:ind w:left="360"/>
        <w:rPr>
          <w:rFonts w:eastAsia="Calibri"/>
        </w:rPr>
      </w:pPr>
    </w:p>
    <w:p w:rsidR="00BF5F91" w:rsidP="00633DF8" w14:paraId="404D39BC" w14:textId="46579971">
      <w:pPr>
        <w:widowControl w:val="0"/>
        <w:ind w:left="360"/>
      </w:pPr>
      <w:r>
        <w:t>Invitations</w:t>
      </w:r>
      <w:r w:rsidR="00E026FB">
        <w:t xml:space="preserve">, </w:t>
      </w:r>
      <w:r>
        <w:t>sent</w:t>
      </w:r>
      <w:r w:rsidR="00E026FB">
        <w:t xml:space="preserve"> via email and postal letter,</w:t>
      </w:r>
      <w:r>
        <w:t xml:space="preserve"> for participation will contain</w:t>
      </w:r>
      <w:r>
        <w:rPr>
          <w:spacing w:val="-1"/>
        </w:rPr>
        <w:t xml:space="preserve"> </w:t>
      </w:r>
      <w:r>
        <w:t>the</w:t>
      </w:r>
      <w:r>
        <w:rPr>
          <w:spacing w:val="-1"/>
        </w:rPr>
        <w:t xml:space="preserve"> </w:t>
      </w:r>
      <w:r>
        <w:t>title,</w:t>
      </w:r>
      <w:r>
        <w:rPr>
          <w:spacing w:val="-1"/>
        </w:rPr>
        <w:t xml:space="preserve"> </w:t>
      </w:r>
      <w:r>
        <w:t>an</w:t>
      </w:r>
      <w:r>
        <w:rPr>
          <w:spacing w:val="-1"/>
        </w:rPr>
        <w:t xml:space="preserve"> </w:t>
      </w:r>
      <w:r>
        <w:t>explanation</w:t>
      </w:r>
      <w:r>
        <w:rPr>
          <w:spacing w:val="-1"/>
        </w:rPr>
        <w:t xml:space="preserve"> </w:t>
      </w:r>
      <w:r>
        <w:t>of</w:t>
      </w:r>
      <w:r>
        <w:rPr>
          <w:spacing w:val="-1"/>
        </w:rPr>
        <w:t xml:space="preserve"> </w:t>
      </w:r>
      <w:r>
        <w:t>the</w:t>
      </w:r>
      <w:r>
        <w:rPr>
          <w:spacing w:val="-1"/>
        </w:rPr>
        <w:t xml:space="preserve"> </w:t>
      </w:r>
      <w:r>
        <w:t>research</w:t>
      </w:r>
      <w:r>
        <w:rPr>
          <w:spacing w:val="-1"/>
        </w:rPr>
        <w:t xml:space="preserve"> </w:t>
      </w:r>
      <w:r>
        <w:t>being conducted,</w:t>
      </w:r>
      <w:r>
        <w:rPr>
          <w:spacing w:val="-1"/>
        </w:rPr>
        <w:t xml:space="preserve"> </w:t>
      </w:r>
      <w:r>
        <w:t>the</w:t>
      </w:r>
      <w:r>
        <w:rPr>
          <w:spacing w:val="-1"/>
        </w:rPr>
        <w:t xml:space="preserve"> </w:t>
      </w:r>
      <w:r>
        <w:t>expected</w:t>
      </w:r>
      <w:r>
        <w:rPr>
          <w:spacing w:val="-1"/>
        </w:rPr>
        <w:t xml:space="preserve"> </w:t>
      </w:r>
      <w:r>
        <w:t>length</w:t>
      </w:r>
      <w:r>
        <w:rPr>
          <w:spacing w:val="-1"/>
        </w:rPr>
        <w:t xml:space="preserve"> </w:t>
      </w:r>
      <w:r>
        <w:t>of</w:t>
      </w:r>
      <w:r>
        <w:rPr>
          <w:spacing w:val="-1"/>
        </w:rPr>
        <w:t xml:space="preserve"> </w:t>
      </w:r>
      <w:r>
        <w:t xml:space="preserve">participation, any incentive </w:t>
      </w:r>
      <w:r>
        <w:rPr>
          <w:spacing w:val="-1"/>
        </w:rPr>
        <w:t>amount</w:t>
      </w:r>
      <w:r>
        <w:t xml:space="preserve"> that </w:t>
      </w:r>
      <w:r>
        <w:rPr>
          <w:spacing w:val="-1"/>
        </w:rPr>
        <w:t>may</w:t>
      </w:r>
      <w:r>
        <w:t xml:space="preserve"> be provided</w:t>
      </w:r>
      <w:r>
        <w:rPr>
          <w:spacing w:val="26"/>
        </w:rPr>
        <w:t xml:space="preserve"> </w:t>
      </w:r>
      <w:r>
        <w:t xml:space="preserve">for successful </w:t>
      </w:r>
      <w:r>
        <w:rPr>
          <w:spacing w:val="-1"/>
        </w:rPr>
        <w:t>completion</w:t>
      </w:r>
      <w:r>
        <w:t xml:space="preserve"> of the </w:t>
      </w:r>
      <w:r>
        <w:rPr>
          <w:spacing w:val="-1"/>
        </w:rPr>
        <w:t>survey,</w:t>
      </w:r>
      <w:r>
        <w:t xml:space="preserve"> and how an individual’s data</w:t>
      </w:r>
      <w:r>
        <w:rPr>
          <w:spacing w:val="-2"/>
        </w:rPr>
        <w:t xml:space="preserve"> </w:t>
      </w:r>
      <w:r>
        <w:rPr>
          <w:spacing w:val="-1"/>
        </w:rPr>
        <w:t xml:space="preserve">will be kept </w:t>
      </w:r>
      <w:r w:rsidR="00633DF8">
        <w:t>secure to the extent permitted by law</w:t>
      </w:r>
      <w:r w:rsidR="00092919">
        <w:t>.</w:t>
      </w:r>
    </w:p>
    <w:p w:rsidR="00092919" w:rsidRPr="00BF5F91" w:rsidP="00633DF8" w14:paraId="0519466B" w14:textId="77777777">
      <w:pPr>
        <w:widowControl w:val="0"/>
        <w:ind w:left="360"/>
        <w:rPr>
          <w:b/>
        </w:rPr>
      </w:pPr>
    </w:p>
    <w:p w:rsidR="004E2609" w:rsidRPr="00D50EDB" w:rsidP="00633DF8" w14:paraId="52AAF198" w14:textId="5E934F78">
      <w:pPr>
        <w:numPr>
          <w:ilvl w:val="0"/>
          <w:numId w:val="23"/>
        </w:numPr>
        <w:spacing w:after="240"/>
      </w:pPr>
      <w:r w:rsidRPr="004E2609">
        <w:rPr>
          <w:b/>
        </w:rPr>
        <w:t>Confidentiality of Respondents:</w:t>
      </w:r>
    </w:p>
    <w:p w:rsidR="00D50EDB" w:rsidP="00F63793" w14:paraId="18BBE68F" w14:textId="0F0C85D7">
      <w:pPr>
        <w:numPr>
          <w:ilvl w:val="0"/>
          <w:numId w:val="27"/>
        </w:numPr>
      </w:pPr>
      <w:r>
        <w:t>The study information sheet provided during the recruitment phase states:</w:t>
      </w:r>
    </w:p>
    <w:p w:rsidR="00D50EDB" w:rsidP="00D50EDB" w14:paraId="7B88BD82" w14:textId="196D9B38">
      <w:pPr>
        <w:pStyle w:val="NormalWeb"/>
        <w:ind w:left="360"/>
        <w:rPr>
          <w:bCs/>
          <w:color w:val="auto"/>
        </w:rPr>
      </w:pPr>
      <w:r>
        <w:rPr>
          <w:bCs/>
          <w:color w:val="auto"/>
        </w:rPr>
        <w:t>“</w:t>
      </w:r>
      <w:r w:rsidRPr="001A490C">
        <w:rPr>
          <w:bCs/>
          <w:color w:val="auto"/>
        </w:rPr>
        <w:t>We will do our best to protect the in</w:t>
      </w:r>
      <w:r>
        <w:rPr>
          <w:bCs/>
          <w:color w:val="auto"/>
        </w:rPr>
        <w:t xml:space="preserve">formation we collect from you. </w:t>
      </w:r>
      <w:r w:rsidRPr="001A490C">
        <w:rPr>
          <w:bCs/>
          <w:color w:val="auto"/>
        </w:rPr>
        <w:t xml:space="preserve">Information </w:t>
      </w:r>
      <w:r>
        <w:rPr>
          <w:bCs/>
          <w:color w:val="auto"/>
        </w:rPr>
        <w:t>that</w:t>
      </w:r>
      <w:r w:rsidRPr="001A490C">
        <w:rPr>
          <w:bCs/>
          <w:color w:val="auto"/>
        </w:rPr>
        <w:t xml:space="preserve"> identifies you will be kept secure</w:t>
      </w:r>
      <w:r w:rsidR="003B0760">
        <w:rPr>
          <w:bCs/>
          <w:color w:val="auto"/>
        </w:rPr>
        <w:t xml:space="preserve"> to the extent permitted by law</w:t>
      </w:r>
      <w:r w:rsidRPr="001A490C">
        <w:rPr>
          <w:bCs/>
          <w:color w:val="auto"/>
        </w:rPr>
        <w:t xml:space="preserve">. The completed surveys will be kept secure </w:t>
      </w:r>
      <w:r w:rsidR="00850C36">
        <w:rPr>
          <w:bCs/>
          <w:color w:val="auto"/>
        </w:rPr>
        <w:t>to the extent permitted by law</w:t>
      </w:r>
      <w:r w:rsidR="003B0760">
        <w:rPr>
          <w:bCs/>
          <w:color w:val="auto"/>
        </w:rPr>
        <w:t xml:space="preserve"> as well</w:t>
      </w:r>
      <w:r w:rsidR="00850C36">
        <w:rPr>
          <w:bCs/>
          <w:color w:val="auto"/>
        </w:rPr>
        <w:t xml:space="preserve"> </w:t>
      </w:r>
      <w:r w:rsidRPr="00D367D6">
        <w:rPr>
          <w:bCs/>
          <w:color w:val="auto"/>
        </w:rPr>
        <w:t>and separate from information that identifies you.</w:t>
      </w:r>
      <w:r w:rsidRPr="001A490C">
        <w:rPr>
          <w:bCs/>
          <w:color w:val="auto"/>
        </w:rPr>
        <w:t xml:space="preserve"> Only a </w:t>
      </w:r>
      <w:r w:rsidRPr="001A490C">
        <w:rPr>
          <w:bCs/>
          <w:color w:val="auto"/>
        </w:rPr>
        <w:t>small number of researchers will have direct access to completed surveys. If this study is published or presented at scientific meetings, names and other information that might identify you will not be used.</w:t>
      </w:r>
      <w:r>
        <w:rPr>
          <w:bCs/>
          <w:color w:val="auto"/>
        </w:rPr>
        <w:t>”</w:t>
      </w:r>
    </w:p>
    <w:p w:rsidR="00D50EDB" w:rsidP="00D50EDB" w14:paraId="47DB21F5" w14:textId="77777777">
      <w:pPr>
        <w:pStyle w:val="NormalWeb"/>
        <w:ind w:left="360"/>
      </w:pPr>
      <w:r>
        <w:rPr>
          <w:bCs/>
          <w:color w:val="auto"/>
        </w:rPr>
        <w:t>“</w:t>
      </w:r>
      <w:r w:rsidRPr="00D367D6">
        <w:t>Researchers will use your information to conduct this study. Once the study is done using your information, we may share it with other researchers so they can use it for other studies in the future. We will not share your name or any other personal information that would let the researchers know who you are.</w:t>
      </w:r>
      <w:r>
        <w:t>”</w:t>
      </w:r>
    </w:p>
    <w:p w:rsidR="00D50EDB" w:rsidRPr="00430040" w:rsidP="00D50EDB" w14:paraId="3CB2860D" w14:textId="77777777">
      <w:pPr>
        <w:spacing w:before="100" w:beforeAutospacing="1" w:after="100" w:afterAutospacing="1"/>
        <w:ind w:left="360"/>
      </w:pPr>
      <w:r w:rsidRPr="00D30620">
        <w:rPr>
          <w:bCs/>
        </w:rPr>
        <w:t>Authorized representatives from the following organizations may review your research data for the purpose of monitoring or managing the conduct of this study:</w:t>
      </w:r>
      <w:r w:rsidRPr="00D30620">
        <w:rPr>
          <w:bCs/>
        </w:rPr>
        <w:t xml:space="preserve"> </w:t>
      </w:r>
    </w:p>
    <w:p w:rsidR="00345CE4" w:rsidRPr="00322AAA" w:rsidP="00345CE4" w14:paraId="27CD7698" w14:textId="77777777">
      <w:pPr>
        <w:numPr>
          <w:ilvl w:val="0"/>
          <w:numId w:val="28"/>
        </w:numPr>
        <w:spacing w:before="100" w:beforeAutospacing="1" w:after="100" w:afterAutospacing="1"/>
      </w:pPr>
      <w:r>
        <w:rPr>
          <w:iCs/>
        </w:rPr>
        <w:t xml:space="preserve">Representatives of the University of California </w:t>
      </w:r>
    </w:p>
    <w:p w:rsidR="00D50EDB" w:rsidRPr="00322AAA" w:rsidP="00345CE4" w14:paraId="104B5ED8" w14:textId="77777777">
      <w:pPr>
        <w:numPr>
          <w:ilvl w:val="0"/>
          <w:numId w:val="28"/>
        </w:numPr>
        <w:spacing w:before="100" w:beforeAutospacing="1" w:after="100" w:afterAutospacing="1"/>
      </w:pPr>
      <w:r w:rsidRPr="00345CE4">
        <w:rPr>
          <w:iCs/>
        </w:rPr>
        <w:t>Representatives of the Food and Drug Administration (FDA)</w:t>
      </w:r>
    </w:p>
    <w:p w:rsidR="00322AAA" w:rsidP="00345CE4" w14:paraId="36822BBB" w14:textId="2DEAC431">
      <w:pPr>
        <w:pStyle w:val="ListParagraph"/>
        <w:widowControl w:val="0"/>
        <w:numPr>
          <w:ilvl w:val="0"/>
          <w:numId w:val="28"/>
        </w:numPr>
        <w:tabs>
          <w:tab w:val="left" w:pos="594"/>
          <w:tab w:val="left" w:pos="595"/>
        </w:tabs>
        <w:autoSpaceDE w:val="0"/>
        <w:autoSpaceDN w:val="0"/>
      </w:pPr>
      <w:r>
        <w:t xml:space="preserve"> </w:t>
      </w:r>
      <w:r w:rsidR="001C4BC6">
        <w:t xml:space="preserve"> </w:t>
      </w:r>
      <w:r>
        <w:t>Representatives of the Office of Human Research Protections (OHRP)</w:t>
      </w:r>
    </w:p>
    <w:p w:rsidR="00D50EDB" w:rsidRPr="00FE432C" w:rsidP="00424135" w14:paraId="0618B7B5" w14:textId="77777777"/>
    <w:p w:rsidR="00BF5F91" w:rsidRPr="00226212" w:rsidP="008B645B" w14:paraId="7D4C5246" w14:textId="09369AA1">
      <w:pPr>
        <w:ind w:left="360"/>
      </w:pPr>
      <w:r>
        <w:rPr>
          <w:color w:val="000000"/>
        </w:rPr>
        <w:t xml:space="preserve">b) </w:t>
      </w:r>
      <w:r w:rsidR="00293DCC">
        <w:rPr>
          <w:color w:val="000000"/>
        </w:rPr>
        <w:t>Our</w:t>
      </w:r>
      <w:r w:rsidRPr="00BF5F91">
        <w:rPr>
          <w:color w:val="000000"/>
        </w:rPr>
        <w:t xml:space="preserve"> survey instrument</w:t>
      </w:r>
      <w:r w:rsidR="00293DCC">
        <w:rPr>
          <w:color w:val="000000"/>
        </w:rPr>
        <w:t xml:space="preserve"> </w:t>
      </w:r>
      <w:r w:rsidR="00345CE4">
        <w:rPr>
          <w:color w:val="000000"/>
        </w:rPr>
        <w:t xml:space="preserve">also </w:t>
      </w:r>
      <w:r w:rsidR="00293DCC">
        <w:rPr>
          <w:color w:val="000000"/>
        </w:rPr>
        <w:t>displays the following statement</w:t>
      </w:r>
      <w:r w:rsidRPr="00BF5F91">
        <w:rPr>
          <w:color w:val="000000"/>
        </w:rPr>
        <w:t xml:space="preserve">: </w:t>
      </w:r>
      <w:r w:rsidRPr="00226212">
        <w:rPr>
          <w:color w:val="000000"/>
        </w:rPr>
        <w:t>“</w:t>
      </w:r>
      <w:r w:rsidR="00B9342E">
        <w:t xml:space="preserve">Your answers </w:t>
      </w:r>
      <w:r w:rsidR="00092919">
        <w:t>will be kept</w:t>
      </w:r>
      <w:r w:rsidR="00B9342E">
        <w:t xml:space="preserve"> </w:t>
      </w:r>
      <w:r w:rsidR="00633DF8">
        <w:t>secure to the extent permitted by law</w:t>
      </w:r>
      <w:r w:rsidRPr="00226212" w:rsidR="00293DCC">
        <w:t>.</w:t>
      </w:r>
      <w:r w:rsidR="00BA3244">
        <w:t>”</w:t>
      </w:r>
      <w:r w:rsidRPr="00226212" w:rsidR="00293DCC">
        <w:t xml:space="preserve"> </w:t>
      </w:r>
    </w:p>
    <w:p w:rsidR="00BF5F91" w:rsidRPr="00BF5F91" w:rsidP="008B645B" w14:paraId="73FD381E" w14:textId="77777777">
      <w:pPr>
        <w:widowControl w:val="0"/>
        <w:ind w:left="360"/>
        <w:contextualSpacing/>
        <w:rPr>
          <w:snapToGrid w:val="0"/>
        </w:rPr>
      </w:pPr>
    </w:p>
    <w:p w:rsidR="00BF5F91" w:rsidRPr="00BF5F91" w:rsidP="00FE432C" w14:paraId="545EDE4B" w14:textId="77777777">
      <w:pPr>
        <w:numPr>
          <w:ilvl w:val="0"/>
          <w:numId w:val="23"/>
        </w:numPr>
        <w:contextualSpacing/>
        <w:rPr>
          <w:b/>
        </w:rPr>
      </w:pPr>
      <w:r w:rsidRPr="00BF5F91">
        <w:rPr>
          <w:b/>
        </w:rPr>
        <w:t>Amount and Justification for Proposed Incentive:</w:t>
      </w:r>
    </w:p>
    <w:p w:rsidR="00BF5F91" w:rsidRPr="00BF5F91" w:rsidP="00FE432C" w14:paraId="5682C5C7" w14:textId="77777777">
      <w:pPr>
        <w:rPr>
          <w:b/>
        </w:rPr>
      </w:pPr>
    </w:p>
    <w:p w:rsidR="007F2392" w:rsidP="00451A29" w14:paraId="4ED1E569" w14:textId="36A5AD2C">
      <w:pPr>
        <w:ind w:left="360"/>
      </w:pPr>
      <w:r>
        <w:t xml:space="preserve">An incentive is offered for this research. </w:t>
      </w:r>
      <w:r w:rsidRPr="0028147F">
        <w:t xml:space="preserve">Participants will be </w:t>
      </w:r>
      <w:r>
        <w:t xml:space="preserve">a </w:t>
      </w:r>
      <w:r w:rsidRPr="0028147F">
        <w:t xml:space="preserve">provided </w:t>
      </w:r>
      <w:r>
        <w:t xml:space="preserve">a gift card of </w:t>
      </w:r>
      <w:r w:rsidRPr="0028147F">
        <w:t>$</w:t>
      </w:r>
      <w:r>
        <w:t>25</w:t>
      </w:r>
      <w:r w:rsidRPr="0028147F">
        <w:t xml:space="preserve"> </w:t>
      </w:r>
      <w:r w:rsidR="00345CE4">
        <w:t>in</w:t>
      </w:r>
      <w:r w:rsidRPr="0028147F">
        <w:t xml:space="preserve"> appreciation for </w:t>
      </w:r>
      <w:r w:rsidR="00345CE4">
        <w:t>participation in the survey</w:t>
      </w:r>
      <w:r>
        <w:t xml:space="preserve">, an amount </w:t>
      </w:r>
      <w:r w:rsidRPr="00396BE9">
        <w:t xml:space="preserve">determined based on average hourly wages among residents of the </w:t>
      </w:r>
      <w:r>
        <w:t xml:space="preserve">California. According to the </w:t>
      </w:r>
      <w:r w:rsidRPr="00633DF8">
        <w:rPr>
          <w:rStyle w:val="Emphasis"/>
          <w:i w:val="0"/>
          <w:iCs w:val="0"/>
        </w:rPr>
        <w:t>U.S.</w:t>
      </w:r>
      <w:r>
        <w:t xml:space="preserve"> Bureau of Labor Statistics, the </w:t>
      </w:r>
      <w:r>
        <w:rPr>
          <w:rStyle w:val="Emphasis"/>
        </w:rPr>
        <w:t>average hourly wage</w:t>
      </w:r>
      <w:r>
        <w:t xml:space="preserve"> of </w:t>
      </w:r>
      <w:r>
        <w:rPr>
          <w:rStyle w:val="Emphasis"/>
        </w:rPr>
        <w:t>United States</w:t>
      </w:r>
      <w:r>
        <w:t xml:space="preserve"> citizens as of </w:t>
      </w:r>
      <w:r w:rsidR="00633DF8">
        <w:t>July,</w:t>
      </w:r>
      <w:r w:rsidR="00092919">
        <w:t xml:space="preserve"> </w:t>
      </w:r>
      <w:r w:rsidR="00633DF8">
        <w:t>2022</w:t>
      </w:r>
      <w:r>
        <w:t xml:space="preserve"> was $</w:t>
      </w:r>
      <w:r w:rsidR="00633DF8">
        <w:t>32.27</w:t>
      </w:r>
      <w:r>
        <w:t xml:space="preserve">.  Focus group participants </w:t>
      </w:r>
      <w:r w:rsidR="00E026FB">
        <w:t>are</w:t>
      </w:r>
      <w:r>
        <w:t xml:space="preserve"> older adults. Older adults are a</w:t>
      </w:r>
      <w:r w:rsidRPr="009F530A">
        <w:t xml:space="preserve"> unique </w:t>
      </w:r>
      <w:r>
        <w:t xml:space="preserve">and hard-to-reach </w:t>
      </w:r>
      <w:r w:rsidRPr="009F530A">
        <w:t>respondent group</w:t>
      </w:r>
      <w:r>
        <w:t xml:space="preserve"> </w:t>
      </w:r>
      <w:r w:rsidRPr="009F530A">
        <w:t xml:space="preserve">as </w:t>
      </w:r>
      <w:r>
        <w:t xml:space="preserve">usual </w:t>
      </w:r>
      <w:r w:rsidRPr="009F530A">
        <w:t xml:space="preserve">communications and outreach efforts </w:t>
      </w:r>
      <w:r>
        <w:t xml:space="preserve">alone </w:t>
      </w:r>
      <w:r w:rsidRPr="009F530A">
        <w:t>may not appropriately identify existing barriers to participation</w:t>
      </w:r>
      <w:r>
        <w:t xml:space="preserve"> including high opportunity costs</w:t>
      </w:r>
      <w:r w:rsidRPr="009F530A">
        <w:t>.</w:t>
      </w:r>
      <w:r w:rsidRPr="0028147F">
        <w:t xml:space="preserve"> Additional justification for providing the dollar amount in compensation </w:t>
      </w:r>
      <w:r>
        <w:t>is</w:t>
      </w:r>
      <w:r w:rsidRPr="0028147F">
        <w:t xml:space="preserve"> included below</w:t>
      </w:r>
      <w:r>
        <w:t>.</w:t>
      </w:r>
      <w:r w:rsidRPr="0028147F">
        <w:t xml:space="preserve"> </w:t>
      </w:r>
    </w:p>
    <w:p w:rsidR="007F2392" w:rsidRPr="0028147F" w:rsidP="007F2392" w14:paraId="655AC183" w14:textId="77777777">
      <w:pPr>
        <w:ind w:left="1440"/>
      </w:pPr>
    </w:p>
    <w:p w:rsidR="007F2392" w:rsidP="00451A29" w14:paraId="65BEACA8" w14:textId="77777777">
      <w:pPr>
        <w:ind w:left="360"/>
      </w:pPr>
      <w:r w:rsidRPr="0028147F">
        <w:t xml:space="preserve">The </w:t>
      </w:r>
      <w:r>
        <w:t>token of appreciation</w:t>
      </w:r>
      <w:r w:rsidRPr="0028147F">
        <w:t xml:space="preserve"> </w:t>
      </w:r>
      <w:r>
        <w:t xml:space="preserve">in this study </w:t>
      </w:r>
      <w:r w:rsidRPr="0028147F">
        <w:t>is intended to recognize and thank each participant for taking the time to answer the questions as honestly as possible.</w:t>
      </w:r>
      <w:r>
        <w:t xml:space="preserve"> The cost of living in the Los Angeles Metropolitan area</w:t>
      </w:r>
      <w:r w:rsidR="003260ED">
        <w:t xml:space="preserve"> </w:t>
      </w:r>
      <w:r w:rsidR="00345CE4">
        <w:t xml:space="preserve">is estimated to be 41%-49% higher than the national average </w:t>
      </w:r>
      <w:r w:rsidR="003260ED">
        <w:t xml:space="preserve">and </w:t>
      </w:r>
      <w:r w:rsidR="00345CE4">
        <w:t xml:space="preserve">costs in </w:t>
      </w:r>
      <w:r w:rsidR="003260ED">
        <w:t>the San Francisco Bay Area</w:t>
      </w:r>
      <w:r w:rsidR="00345CE4">
        <w:t xml:space="preserve"> are estimated to be twice the national average. </w:t>
      </w:r>
      <w:r>
        <w:t xml:space="preserve"> The amount of the token of appreciation accounts for recruitment from this geographical area </w:t>
      </w:r>
      <w:r>
        <w:t>in light of</w:t>
      </w:r>
      <w:r>
        <w:t xml:space="preserve"> the additional factors discussed below. </w:t>
      </w:r>
    </w:p>
    <w:p w:rsidR="007F2392" w:rsidRPr="0028147F" w:rsidP="007F2392" w14:paraId="5EF2A2B7" w14:textId="77777777">
      <w:pPr>
        <w:ind w:left="720"/>
      </w:pPr>
    </w:p>
    <w:p w:rsidR="007F2392" w:rsidP="007F2392" w14:paraId="1D591FB9" w14:textId="3311DD6F">
      <w:pPr>
        <w:ind w:left="360"/>
        <w:rPr>
          <w:color w:val="000000"/>
          <w:shd w:val="clear" w:color="auto" w:fill="FFFFFF"/>
        </w:rPr>
      </w:pPr>
      <w:r>
        <w:rPr>
          <w:b/>
          <w:bCs/>
          <w:color w:val="000000"/>
          <w:shd w:val="clear" w:color="auto" w:fill="FFFFFF"/>
        </w:rPr>
        <w:t>Older adults</w:t>
      </w:r>
      <w:r w:rsidRPr="00396BE9">
        <w:rPr>
          <w:b/>
          <w:bCs/>
          <w:color w:val="000000"/>
          <w:shd w:val="clear" w:color="auto" w:fill="FFFFFF"/>
        </w:rPr>
        <w:t xml:space="preserve"> involvement in research</w:t>
      </w:r>
    </w:p>
    <w:p w:rsidR="006870BE" w:rsidP="007F2392" w14:paraId="78FA2926" w14:textId="77777777">
      <w:pPr>
        <w:ind w:left="360"/>
      </w:pPr>
    </w:p>
    <w:p w:rsidR="007F2392" w:rsidP="00FE432C" w14:paraId="7F22BC7E" w14:textId="170F1A23">
      <w:pPr>
        <w:ind w:left="360"/>
      </w:pPr>
      <w:r>
        <w:t>Recruiting older persons with diverse health statuses as participants in research projects is a challenge for health researchers, particularly because persons with health impairments and in socially disadvantaged living conditions are difficult to reach.</w:t>
      </w:r>
      <w:r w:rsidR="00DF6847">
        <w:t xml:space="preserve">  </w:t>
      </w:r>
      <w:r w:rsidR="003239D5">
        <w:t>Persons in deprived living conditions and with ill health often face special barriers that may hinder them from participating in society in general, as well as in research. Including such groups is therefore a major methodological challenge for empirical research</w:t>
      </w:r>
      <w:r w:rsidR="00B61FB5">
        <w:t>.</w:t>
      </w:r>
      <w:r w:rsidR="006870BE">
        <w:t xml:space="preserve">  </w:t>
      </w:r>
      <w:r w:rsidR="003239D5">
        <w:t>Against this background, these individuals are ‘hard-to-reach’.</w:t>
      </w:r>
      <w:r w:rsidR="00B61FB5">
        <w:t xml:space="preserve">  Strategies to increase enrollment of older adults have been studied and four central steps</w:t>
      </w:r>
      <w:r w:rsidR="00345CE4">
        <w:t xml:space="preserve"> have been</w:t>
      </w:r>
      <w:r w:rsidR="00B61FB5">
        <w:t xml:space="preserve"> identified with “offer incentives” as the second central step.</w:t>
      </w:r>
      <w:r w:rsidR="003D64EF">
        <w:t xml:space="preserve"> The successful strategies of using incentives included small monetary incentives.</w:t>
      </w:r>
      <w:r w:rsidR="003F35E2">
        <w:t xml:space="preserve"> </w:t>
      </w:r>
    </w:p>
    <w:p w:rsidR="0040453C" w:rsidRPr="00BF5F91" w:rsidP="00FE432C" w14:paraId="6B5E6BA7" w14:textId="77777777"/>
    <w:p w:rsidR="00BF5F91" w:rsidRPr="00BF5F91" w:rsidP="00FE432C" w14:paraId="2054D4A4" w14:textId="77777777">
      <w:pPr>
        <w:numPr>
          <w:ilvl w:val="0"/>
          <w:numId w:val="23"/>
        </w:numPr>
        <w:contextualSpacing/>
        <w:rPr>
          <w:b/>
        </w:rPr>
      </w:pPr>
      <w:r w:rsidRPr="00BF5F91">
        <w:rPr>
          <w:b/>
        </w:rPr>
        <w:t>Questions of a Sensitive Nature:</w:t>
      </w:r>
    </w:p>
    <w:p w:rsidR="00BF5F91" w:rsidRPr="00BF5F91" w:rsidP="00FE432C" w14:paraId="716E4B80" w14:textId="77777777">
      <w:pPr>
        <w:ind w:left="360"/>
        <w:contextualSpacing/>
      </w:pPr>
    </w:p>
    <w:p w:rsidR="00215658" w:rsidRPr="00215658" w:rsidP="00215658" w14:paraId="6F88B36B" w14:textId="2EEDBBD3">
      <w:pPr>
        <w:spacing w:after="200" w:line="276" w:lineRule="auto"/>
        <w:ind w:left="360"/>
        <w:rPr>
          <w:rFonts w:eastAsia="Calibri"/>
        </w:rPr>
      </w:pPr>
      <w:bookmarkStart w:id="1" w:name="_Hlk25583889"/>
      <w:r w:rsidRPr="0C0D1D51">
        <w:t xml:space="preserve">The survey does not include </w:t>
      </w:r>
      <w:r w:rsidRPr="0C0D1D51">
        <w:rPr>
          <w:snapToGrid w:val="0"/>
        </w:rPr>
        <w:t>questions of a sensitive nature</w:t>
      </w:r>
      <w:r w:rsidRPr="00215658">
        <w:rPr>
          <w:rFonts w:eastAsia="Calibri"/>
        </w:rPr>
        <w:t>.</w:t>
      </w:r>
    </w:p>
    <w:bookmarkEnd w:id="1"/>
    <w:p w:rsidR="00BF5F91" w:rsidRPr="00BF5F91" w:rsidP="00FE432C" w14:paraId="504B8417" w14:textId="77777777">
      <w:pPr>
        <w:numPr>
          <w:ilvl w:val="0"/>
          <w:numId w:val="23"/>
        </w:numPr>
        <w:contextualSpacing/>
        <w:rPr>
          <w:b/>
        </w:rPr>
      </w:pPr>
      <w:r w:rsidRPr="00BF5F91">
        <w:rPr>
          <w:b/>
        </w:rPr>
        <w:t>Description of Statistical Methods:</w:t>
      </w:r>
    </w:p>
    <w:p w:rsidR="00BF5F91" w:rsidP="00FE432C" w14:paraId="7C174357" w14:textId="77777777">
      <w:pPr>
        <w:contextualSpacing/>
        <w:rPr>
          <w:rFonts w:eastAsia="Calibri"/>
        </w:rPr>
      </w:pPr>
    </w:p>
    <w:p w:rsidR="00C22D1B" w:rsidP="00C22D1B" w14:paraId="237F4A68" w14:textId="3F6CFD71">
      <w:pPr>
        <w:ind w:left="360"/>
      </w:pPr>
      <w:bookmarkStart w:id="2" w:name="_Hlk65745771"/>
      <w:r>
        <w:t>T</w:t>
      </w:r>
      <w:r w:rsidRPr="00245362">
        <w:t xml:space="preserve">rained research staff </w:t>
      </w:r>
      <w:r w:rsidR="00826F17">
        <w:t xml:space="preserve">of </w:t>
      </w:r>
      <w:r w:rsidR="009E1860">
        <w:t xml:space="preserve">the University of California at San Francisco and at </w:t>
      </w:r>
      <w:r w:rsidR="003A2BE8">
        <w:t xml:space="preserve">the University of California at </w:t>
      </w:r>
      <w:r w:rsidR="009E1860">
        <w:t>Los Angeles</w:t>
      </w:r>
      <w:r>
        <w:t xml:space="preserve"> </w:t>
      </w:r>
      <w:r w:rsidRPr="00245362">
        <w:t xml:space="preserve">will </w:t>
      </w:r>
      <w:r>
        <w:t xml:space="preserve">be responsible for </w:t>
      </w:r>
      <w:r w:rsidR="00675C3B">
        <w:t xml:space="preserve">distributing invitations for participation, </w:t>
      </w:r>
      <w:r>
        <w:t xml:space="preserve">data collection, data cleaning, and analysis </w:t>
      </w:r>
      <w:r w:rsidR="00826F17">
        <w:t>of the data</w:t>
      </w:r>
      <w:r>
        <w:t xml:space="preserve">. </w:t>
      </w:r>
      <w:r w:rsidR="003A2BE8">
        <w:t>A</w:t>
      </w:r>
      <w:r>
        <w:t>nalysis will include descriptive analyses</w:t>
      </w:r>
      <w:r w:rsidR="00675C3B">
        <w:t xml:space="preserve"> of the study participants and </w:t>
      </w:r>
      <w:r w:rsidR="003A2BE8">
        <w:t xml:space="preserve">quantitative analyses with frequency and proportions of respondents selecting options in </w:t>
      </w:r>
      <w:r w:rsidR="00675C3B">
        <w:t>survey responses</w:t>
      </w:r>
      <w:r>
        <w:t>. Multi-variate analysis could potentially be performed</w:t>
      </w:r>
      <w:r w:rsidR="009C5615">
        <w:t xml:space="preserve"> when sample size and data distribution </w:t>
      </w:r>
      <w:r w:rsidR="00A12901">
        <w:t>allows and</w:t>
      </w:r>
      <w:r>
        <w:t xml:space="preserve"> will be guided by the initial results of the descriptive analyses. </w:t>
      </w:r>
      <w:r w:rsidR="00826F17">
        <w:t>Statistical analyses will be performed using</w:t>
      </w:r>
      <w:r w:rsidR="002F406D">
        <w:t xml:space="preserve"> Statistical Analysis System</w:t>
      </w:r>
      <w:r w:rsidR="00675C3B">
        <w:t xml:space="preserve"> </w:t>
      </w:r>
      <w:r w:rsidR="002F406D">
        <w:t>(</w:t>
      </w:r>
      <w:r w:rsidRPr="00137DC2" w:rsidR="00675C3B">
        <w:t>SAS</w:t>
      </w:r>
      <w:r w:rsidR="002F406D">
        <w:t xml:space="preserve">) </w:t>
      </w:r>
      <w:r w:rsidR="00C73C3C">
        <w:t>v.</w:t>
      </w:r>
      <w:r w:rsidRPr="00137DC2" w:rsidR="00675C3B">
        <w:t xml:space="preserve">9.4 or </w:t>
      </w:r>
      <w:r w:rsidR="00C73C3C">
        <w:t>R</w:t>
      </w:r>
      <w:r w:rsidRPr="00137DC2" w:rsidR="00873436">
        <w:t>.</w:t>
      </w:r>
    </w:p>
    <w:bookmarkEnd w:id="2"/>
    <w:p w:rsidR="00C22D1B" w:rsidP="00FE432C" w14:paraId="3883B518" w14:textId="77777777">
      <w:pPr>
        <w:contextualSpacing/>
        <w:rPr>
          <w:rFonts w:eastAsia="Calibri"/>
        </w:rPr>
      </w:pPr>
    </w:p>
    <w:p w:rsidR="00BF5F91" w:rsidRPr="00BF5F91" w:rsidP="00EC12BC" w14:paraId="203A3E48" w14:textId="6C3D101F">
      <w:pPr>
        <w:numPr>
          <w:ilvl w:val="0"/>
          <w:numId w:val="23"/>
        </w:numPr>
        <w:contextualSpacing/>
        <w:rPr>
          <w:b/>
        </w:rPr>
      </w:pPr>
      <w:bookmarkStart w:id="3" w:name="_Hlk25234219"/>
      <w:r w:rsidRPr="00BF5F91">
        <w:rPr>
          <w:b/>
        </w:rPr>
        <w:t xml:space="preserve">Burden Hour Computation: </w:t>
      </w:r>
      <w:r w:rsidR="00EC12BC">
        <w:br/>
      </w:r>
    </w:p>
    <w:tbl>
      <w:tblPr>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50"/>
        <w:gridCol w:w="1530"/>
        <w:gridCol w:w="1710"/>
        <w:gridCol w:w="1003"/>
      </w:tblGrid>
      <w:tr w14:paraId="722E6446" w14:textId="77777777" w:rsidTr="003F73AA">
        <w:tblPrEx>
          <w:tblW w:w="91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50" w:type="dxa"/>
            <w:shd w:val="clear" w:color="auto" w:fill="E7E6E6"/>
          </w:tcPr>
          <w:p w:rsidR="00BF5F91" w:rsidRPr="00BF5F91" w:rsidP="00FE432C" w14:paraId="75740760" w14:textId="77777777">
            <w:pPr>
              <w:rPr>
                <w:b/>
              </w:rPr>
            </w:pPr>
            <w:r w:rsidRPr="00BF5F91">
              <w:rPr>
                <w:b/>
              </w:rPr>
              <w:t xml:space="preserve">Type/Category of Respondent </w:t>
            </w:r>
          </w:p>
        </w:tc>
        <w:tc>
          <w:tcPr>
            <w:tcW w:w="1530" w:type="dxa"/>
            <w:shd w:val="clear" w:color="auto" w:fill="E7E6E6"/>
          </w:tcPr>
          <w:p w:rsidR="00BF5F91" w:rsidRPr="00BF5F91" w:rsidP="00FE432C" w14:paraId="7F4BE90E" w14:textId="77777777">
            <w:pPr>
              <w:rPr>
                <w:b/>
              </w:rPr>
            </w:pPr>
            <w:r w:rsidRPr="00BF5F91">
              <w:rPr>
                <w:b/>
              </w:rPr>
              <w:t>No. of Respondents</w:t>
            </w:r>
          </w:p>
        </w:tc>
        <w:tc>
          <w:tcPr>
            <w:tcW w:w="1710" w:type="dxa"/>
            <w:shd w:val="clear" w:color="auto" w:fill="E7E6E6"/>
          </w:tcPr>
          <w:p w:rsidR="00BF5F91" w:rsidRPr="00BF5F91" w:rsidP="00FE432C" w14:paraId="1E38AF9B" w14:textId="13304B5C">
            <w:pPr>
              <w:rPr>
                <w:b/>
              </w:rPr>
            </w:pPr>
            <w:r w:rsidRPr="00BF5F91">
              <w:rPr>
                <w:b/>
              </w:rPr>
              <w:t>Participation Time (</w:t>
            </w:r>
            <w:r w:rsidR="00990219">
              <w:rPr>
                <w:b/>
              </w:rPr>
              <w:t>mins</w:t>
            </w:r>
            <w:r w:rsidRPr="00BF5F91">
              <w:rPr>
                <w:b/>
              </w:rPr>
              <w:t>)</w:t>
            </w:r>
          </w:p>
        </w:tc>
        <w:tc>
          <w:tcPr>
            <w:tcW w:w="1003" w:type="dxa"/>
            <w:shd w:val="clear" w:color="auto" w:fill="E7E6E6"/>
          </w:tcPr>
          <w:p w:rsidR="00BF5F91" w:rsidRPr="00BF5F91" w:rsidP="00FE432C" w14:paraId="7FB587F9" w14:textId="77777777">
            <w:pPr>
              <w:rPr>
                <w:b/>
              </w:rPr>
            </w:pPr>
            <w:r w:rsidRPr="00BF5F91">
              <w:rPr>
                <w:b/>
              </w:rPr>
              <w:t>Burden (hours)</w:t>
            </w:r>
          </w:p>
        </w:tc>
      </w:tr>
      <w:tr w14:paraId="225B7C77" w14:textId="77777777" w:rsidTr="003F73AA">
        <w:tblPrEx>
          <w:tblW w:w="9193" w:type="dxa"/>
          <w:tblInd w:w="468" w:type="dxa"/>
          <w:tblLayout w:type="fixed"/>
          <w:tblLook w:val="01E0"/>
        </w:tblPrEx>
        <w:trPr>
          <w:trHeight w:val="274"/>
        </w:trPr>
        <w:tc>
          <w:tcPr>
            <w:tcW w:w="4950" w:type="dxa"/>
          </w:tcPr>
          <w:p w:rsidR="00B63DE7" w:rsidP="00FE432C" w14:paraId="201363DF" w14:textId="0E459FF7">
            <w:r>
              <w:t>Survey s</w:t>
            </w:r>
            <w:r w:rsidR="00426C8E">
              <w:t>creen</w:t>
            </w:r>
            <w:r>
              <w:t>er</w:t>
            </w:r>
            <w:r w:rsidR="00426C8E">
              <w:t xml:space="preserve"> </w:t>
            </w:r>
            <w:r>
              <w:t>respondents</w:t>
            </w:r>
            <w:r w:rsidR="0042326C">
              <w:t xml:space="preserve"> </w:t>
            </w:r>
          </w:p>
        </w:tc>
        <w:tc>
          <w:tcPr>
            <w:tcW w:w="1530" w:type="dxa"/>
          </w:tcPr>
          <w:p w:rsidR="00B63DE7" w:rsidP="00641C14" w14:paraId="22EB2646" w14:textId="20168346">
            <w:pPr>
              <w:jc w:val="right"/>
            </w:pPr>
            <w:r>
              <w:t>1,</w:t>
            </w:r>
            <w:r w:rsidR="0042326C">
              <w:t>150</w:t>
            </w:r>
          </w:p>
        </w:tc>
        <w:tc>
          <w:tcPr>
            <w:tcW w:w="1710" w:type="dxa"/>
          </w:tcPr>
          <w:p w:rsidR="00B63DE7" w:rsidP="00641C14" w14:paraId="3228111D" w14:textId="123546A6">
            <w:pPr>
              <w:jc w:val="right"/>
            </w:pPr>
            <w:r>
              <w:t>5</w:t>
            </w:r>
          </w:p>
        </w:tc>
        <w:tc>
          <w:tcPr>
            <w:tcW w:w="1003" w:type="dxa"/>
          </w:tcPr>
          <w:p w:rsidR="00B63DE7" w:rsidP="00641C14" w14:paraId="46255C87" w14:textId="4AD7EF2B">
            <w:pPr>
              <w:jc w:val="right"/>
            </w:pPr>
            <w:r>
              <w:t>95.8</w:t>
            </w:r>
          </w:p>
        </w:tc>
      </w:tr>
      <w:tr w14:paraId="583C4367" w14:textId="77777777" w:rsidTr="003F73AA">
        <w:tblPrEx>
          <w:tblW w:w="9193" w:type="dxa"/>
          <w:tblInd w:w="468" w:type="dxa"/>
          <w:tblLayout w:type="fixed"/>
          <w:tblLook w:val="01E0"/>
        </w:tblPrEx>
        <w:trPr>
          <w:trHeight w:val="274"/>
        </w:trPr>
        <w:tc>
          <w:tcPr>
            <w:tcW w:w="4950" w:type="dxa"/>
          </w:tcPr>
          <w:p w:rsidR="00BF5F91" w:rsidRPr="00BF5F91" w:rsidP="00FE432C" w14:paraId="78C9C557" w14:textId="58FF32B1">
            <w:r>
              <w:t>S</w:t>
            </w:r>
            <w:r w:rsidR="00D61A47">
              <w:t xml:space="preserve">urvey </w:t>
            </w:r>
            <w:r w:rsidR="00956242">
              <w:t>respondents</w:t>
            </w:r>
            <w:r w:rsidR="00D61A47">
              <w:t xml:space="preserve"> (&gt; </w:t>
            </w:r>
            <w:r>
              <w:t>65</w:t>
            </w:r>
            <w:r w:rsidR="00D61A47">
              <w:t xml:space="preserve"> years of age)</w:t>
            </w:r>
          </w:p>
        </w:tc>
        <w:tc>
          <w:tcPr>
            <w:tcW w:w="1530" w:type="dxa"/>
          </w:tcPr>
          <w:p w:rsidR="00BF5F91" w:rsidRPr="00BF5F91" w:rsidP="00641C14" w14:paraId="6FA49ACE" w14:textId="77777777">
            <w:pPr>
              <w:jc w:val="right"/>
            </w:pPr>
            <w:r>
              <w:t>1</w:t>
            </w:r>
            <w:r w:rsidR="00D61A47">
              <w:t>,000</w:t>
            </w:r>
          </w:p>
        </w:tc>
        <w:tc>
          <w:tcPr>
            <w:tcW w:w="1710" w:type="dxa"/>
          </w:tcPr>
          <w:p w:rsidR="00BF5F91" w:rsidRPr="00BF5F91" w:rsidP="00641C14" w14:paraId="18D3C8F3" w14:textId="1293D4CB">
            <w:pPr>
              <w:jc w:val="right"/>
            </w:pPr>
            <w:r>
              <w:t>20</w:t>
            </w:r>
          </w:p>
        </w:tc>
        <w:tc>
          <w:tcPr>
            <w:tcW w:w="1003" w:type="dxa"/>
          </w:tcPr>
          <w:p w:rsidR="00BF5F91" w:rsidRPr="00BF5F91" w:rsidP="00641C14" w14:paraId="0FD0CC5A" w14:textId="5148839F">
            <w:pPr>
              <w:jc w:val="right"/>
            </w:pPr>
            <w:r>
              <w:t>333</w:t>
            </w:r>
            <w:r w:rsidR="00AE0BC0">
              <w:t>.3</w:t>
            </w:r>
            <w:r w:rsidR="00A9565A">
              <w:t xml:space="preserve"> </w:t>
            </w:r>
          </w:p>
        </w:tc>
      </w:tr>
      <w:tr w14:paraId="1245DFCE" w14:textId="77777777" w:rsidTr="003F73AA">
        <w:tblPrEx>
          <w:tblW w:w="9193" w:type="dxa"/>
          <w:tblInd w:w="468" w:type="dxa"/>
          <w:tblLayout w:type="fixed"/>
          <w:tblLook w:val="01E0"/>
        </w:tblPrEx>
        <w:trPr>
          <w:trHeight w:val="274"/>
        </w:trPr>
        <w:tc>
          <w:tcPr>
            <w:tcW w:w="4950" w:type="dxa"/>
          </w:tcPr>
          <w:p w:rsidR="00566CF0" w:rsidP="00FE432C" w14:paraId="5A3419A4" w14:textId="331E28AF">
            <w:r>
              <w:t>Total</w:t>
            </w:r>
          </w:p>
        </w:tc>
        <w:tc>
          <w:tcPr>
            <w:tcW w:w="1530" w:type="dxa"/>
          </w:tcPr>
          <w:p w:rsidR="00566CF0" w:rsidP="00641C14" w14:paraId="1BC88E42" w14:textId="28AF7BCE">
            <w:pPr>
              <w:jc w:val="right"/>
            </w:pPr>
            <w:r>
              <w:t>1</w:t>
            </w:r>
            <w:r w:rsidR="00B34C03">
              <w:t>,</w:t>
            </w:r>
            <w:r>
              <w:t>150</w:t>
            </w:r>
          </w:p>
        </w:tc>
        <w:tc>
          <w:tcPr>
            <w:tcW w:w="1710" w:type="dxa"/>
          </w:tcPr>
          <w:p w:rsidR="00566CF0" w:rsidP="00641C14" w14:paraId="7806401B" w14:textId="4CEFEE6E">
            <w:pPr>
              <w:jc w:val="right"/>
            </w:pPr>
            <w:r>
              <w:t>--</w:t>
            </w:r>
          </w:p>
        </w:tc>
        <w:tc>
          <w:tcPr>
            <w:tcW w:w="1003" w:type="dxa"/>
          </w:tcPr>
          <w:p w:rsidR="00566CF0" w:rsidP="00641C14" w14:paraId="22D64C9D" w14:textId="00B39AA8">
            <w:pPr>
              <w:jc w:val="right"/>
            </w:pPr>
            <w:r>
              <w:t>429</w:t>
            </w:r>
            <w:r w:rsidR="008063D1">
              <w:t>.</w:t>
            </w:r>
            <w:r>
              <w:t>1</w:t>
            </w:r>
            <w:r w:rsidR="00A9565A">
              <w:t xml:space="preserve"> </w:t>
            </w:r>
          </w:p>
        </w:tc>
      </w:tr>
    </w:tbl>
    <w:p w:rsidR="00BF5F91" w:rsidRPr="00BF5F91" w:rsidP="00FE432C" w14:paraId="1840DBDE" w14:textId="77777777">
      <w:pPr>
        <w:rPr>
          <w:b/>
        </w:rPr>
      </w:pPr>
    </w:p>
    <w:p w:rsidR="00BF5F91" w:rsidRPr="00BF5F91" w:rsidP="00FE432C" w14:paraId="0B3F855E" w14:textId="77777777">
      <w:pPr>
        <w:widowControl w:val="0"/>
        <w:numPr>
          <w:ilvl w:val="0"/>
          <w:numId w:val="23"/>
        </w:numPr>
        <w:contextualSpacing/>
        <w:rPr>
          <w:b/>
          <w:snapToGrid w:val="0"/>
        </w:rPr>
      </w:pPr>
      <w:r w:rsidRPr="00BF5F91">
        <w:rPr>
          <w:b/>
          <w:snapToGrid w:val="0"/>
        </w:rPr>
        <w:t xml:space="preserve">Date(s) to be Conducted:  </w:t>
      </w:r>
    </w:p>
    <w:p w:rsidR="00760787" w:rsidP="00FE432C" w14:paraId="35AB782C" w14:textId="77777777">
      <w:pPr>
        <w:widowControl w:val="0"/>
        <w:ind w:left="360"/>
        <w:contextualSpacing/>
        <w:rPr>
          <w:rFonts w:eastAsia="Calibri"/>
        </w:rPr>
      </w:pPr>
    </w:p>
    <w:p w:rsidR="00BF5F91" w:rsidP="00FE432C" w14:paraId="1EEC1B57" w14:textId="50AD96F8">
      <w:pPr>
        <w:widowControl w:val="0"/>
        <w:ind w:left="360"/>
        <w:contextualSpacing/>
        <w:rPr>
          <w:snapToGrid w:val="0"/>
        </w:rPr>
      </w:pPr>
      <w:r>
        <w:rPr>
          <w:rFonts w:eastAsia="Calibri"/>
        </w:rPr>
        <w:t>The online survey will take place</w:t>
      </w:r>
      <w:r w:rsidR="00AE046A">
        <w:rPr>
          <w:rFonts w:eastAsia="Calibri"/>
        </w:rPr>
        <w:t xml:space="preserve"> </w:t>
      </w:r>
      <w:r w:rsidR="0082193B">
        <w:rPr>
          <w:rFonts w:eastAsia="Calibri"/>
        </w:rPr>
        <w:t>March</w:t>
      </w:r>
      <w:r w:rsidR="00AE046A">
        <w:rPr>
          <w:rFonts w:eastAsia="Calibri"/>
        </w:rPr>
        <w:t xml:space="preserve"> </w:t>
      </w:r>
      <w:r w:rsidR="00B63DE7">
        <w:rPr>
          <w:rFonts w:eastAsia="Calibri"/>
        </w:rPr>
        <w:t>– M</w:t>
      </w:r>
      <w:r w:rsidR="005D063B">
        <w:rPr>
          <w:rFonts w:eastAsia="Calibri"/>
        </w:rPr>
        <w:t>ay</w:t>
      </w:r>
      <w:r w:rsidR="00B63DE7">
        <w:rPr>
          <w:rFonts w:eastAsia="Calibri"/>
        </w:rPr>
        <w:t xml:space="preserve"> 2023</w:t>
      </w:r>
      <w:r>
        <w:rPr>
          <w:rFonts w:eastAsia="Calibri"/>
        </w:rPr>
        <w:t>.</w:t>
      </w:r>
    </w:p>
    <w:p w:rsidR="00D61A47" w:rsidRPr="00BF5F91" w:rsidP="00FE432C" w14:paraId="62E18C91" w14:textId="77777777">
      <w:pPr>
        <w:widowControl w:val="0"/>
        <w:ind w:left="360"/>
        <w:contextualSpacing/>
        <w:rPr>
          <w:snapToGrid w:val="0"/>
        </w:rPr>
      </w:pPr>
    </w:p>
    <w:p w:rsidR="00BF5F91" w:rsidRPr="00BF5F91" w:rsidP="00FE432C" w14:paraId="01DA8277" w14:textId="77777777">
      <w:pPr>
        <w:numPr>
          <w:ilvl w:val="0"/>
          <w:numId w:val="23"/>
        </w:numPr>
        <w:contextualSpacing/>
      </w:pPr>
      <w:r w:rsidRPr="00BF5F91">
        <w:rPr>
          <w:b/>
        </w:rPr>
        <w:t xml:space="preserve">Requested Approval Date: </w:t>
      </w:r>
    </w:p>
    <w:p w:rsidR="00760787" w:rsidP="00D61A47" w14:paraId="142DD881" w14:textId="77777777">
      <w:pPr>
        <w:ind w:left="360"/>
        <w:rPr>
          <w:rFonts w:eastAsia="Calibri"/>
        </w:rPr>
      </w:pPr>
    </w:p>
    <w:p w:rsidR="00BF5F91" w:rsidP="00D61A47" w14:paraId="36CBBAB1" w14:textId="17CE307B">
      <w:pPr>
        <w:ind w:left="360"/>
        <w:rPr>
          <w:b/>
        </w:rPr>
      </w:pPr>
      <w:r>
        <w:rPr>
          <w:rFonts w:eastAsia="Calibri"/>
        </w:rPr>
        <w:t>March 15, 2023</w:t>
      </w:r>
    </w:p>
    <w:p w:rsidR="00D61A47" w:rsidRPr="00BF5F91" w:rsidP="00D61A47" w14:paraId="40C5D944" w14:textId="77777777">
      <w:pPr>
        <w:ind w:left="360"/>
        <w:rPr>
          <w:b/>
        </w:rPr>
      </w:pPr>
    </w:p>
    <w:p w:rsidR="00BF5F91" w:rsidRPr="00BF5F91" w:rsidP="00FE432C" w14:paraId="012CE2B1" w14:textId="77777777">
      <w:pPr>
        <w:numPr>
          <w:ilvl w:val="0"/>
          <w:numId w:val="23"/>
        </w:numPr>
        <w:contextualSpacing/>
        <w:rPr>
          <w:b/>
        </w:rPr>
      </w:pPr>
      <w:r w:rsidRPr="00BF5F91">
        <w:rPr>
          <w:b/>
        </w:rPr>
        <w:t>FDA Contacts:</w:t>
      </w:r>
    </w:p>
    <w:p w:rsidR="00BF5F91" w:rsidRPr="00BF5F91" w:rsidP="00FE432C" w14:paraId="320163BD" w14:textId="77777777">
      <w:pPr>
        <w:ind w:left="720"/>
        <w:contextualSpacing/>
        <w:rPr>
          <w:b/>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500"/>
      </w:tblGrid>
      <w:tr w14:paraId="7AE44DDC" w14:textId="77777777" w:rsidTr="003F73AA">
        <w:tblPrEx>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770" w:type="dxa"/>
            <w:shd w:val="clear" w:color="auto" w:fill="auto"/>
          </w:tcPr>
          <w:p w:rsidR="00BF5F91" w:rsidRPr="00BF5F91" w:rsidP="00FE432C" w14:paraId="7A5C0F6B" w14:textId="77777777">
            <w:pPr>
              <w:rPr>
                <w:rFonts w:eastAsia="Calibri"/>
                <w:bCs/>
              </w:rPr>
            </w:pPr>
            <w:bookmarkStart w:id="4" w:name="_Hlk25584364"/>
            <w:r w:rsidRPr="00BF5F91">
              <w:rPr>
                <w:rFonts w:eastAsia="Calibri"/>
                <w:bCs/>
              </w:rPr>
              <w:t>Program Office Contact</w:t>
            </w:r>
          </w:p>
        </w:tc>
        <w:tc>
          <w:tcPr>
            <w:tcW w:w="4500" w:type="dxa"/>
            <w:shd w:val="clear" w:color="auto" w:fill="auto"/>
          </w:tcPr>
          <w:p w:rsidR="00BF5F91" w:rsidRPr="00BF5F91" w:rsidP="00FE432C" w14:paraId="38C86555" w14:textId="77777777">
            <w:pPr>
              <w:rPr>
                <w:rFonts w:eastAsia="Calibri"/>
                <w:bCs/>
              </w:rPr>
            </w:pPr>
            <w:r w:rsidRPr="00BF5F91">
              <w:rPr>
                <w:rFonts w:eastAsia="Calibri"/>
                <w:bCs/>
              </w:rPr>
              <w:t>FDA PRA Contact</w:t>
            </w:r>
          </w:p>
        </w:tc>
      </w:tr>
      <w:tr w14:paraId="6F2EE8AD" w14:textId="77777777" w:rsidTr="003F73AA">
        <w:tblPrEx>
          <w:tblW w:w="0" w:type="auto"/>
          <w:tblInd w:w="355" w:type="dxa"/>
          <w:tblLook w:val="04A0"/>
        </w:tblPrEx>
        <w:tc>
          <w:tcPr>
            <w:tcW w:w="4770" w:type="dxa"/>
            <w:shd w:val="clear" w:color="auto" w:fill="auto"/>
          </w:tcPr>
          <w:p w:rsidR="00630BBA" w:rsidRPr="002F406D" w:rsidP="00630BBA" w14:paraId="238BE4EA" w14:textId="4FAF50EB">
            <w:pPr>
              <w:rPr>
                <w:rFonts w:eastAsia="Calibri"/>
              </w:rPr>
            </w:pPr>
            <w:r w:rsidRPr="002F406D">
              <w:rPr>
                <w:rFonts w:eastAsia="Calibri"/>
              </w:rPr>
              <w:t>Qi Liu, PhD, MStat, FCP</w:t>
            </w:r>
          </w:p>
          <w:p w:rsidR="002F406D" w:rsidRPr="002F406D" w:rsidP="00630BBA" w14:paraId="13C028DB" w14:textId="0575B1D5">
            <w:pPr>
              <w:rPr>
                <w:rFonts w:eastAsia="Calibri"/>
              </w:rPr>
            </w:pPr>
            <w:r w:rsidRPr="002F406D">
              <w:rPr>
                <w:rFonts w:eastAsiaTheme="minorHAnsi"/>
              </w:rPr>
              <w:t>Associate Director for Innovation &amp;Partnership</w:t>
            </w:r>
          </w:p>
          <w:p w:rsidR="00633DF8" w:rsidRPr="002F406D" w:rsidP="00630BBA" w14:paraId="03918DD4" w14:textId="77777777">
            <w:r w:rsidRPr="002F406D">
              <w:t xml:space="preserve">Office of Clinical Pharmacology </w:t>
            </w:r>
          </w:p>
          <w:p w:rsidR="00D726E7" w:rsidRPr="002F406D" w:rsidP="00630BBA" w14:paraId="7CA1E2DB" w14:textId="2B99EFD6">
            <w:r w:rsidRPr="002F406D">
              <w:t>Office of Translational Sciences</w:t>
            </w:r>
          </w:p>
          <w:p w:rsidR="00760787" w:rsidRPr="002F406D" w:rsidP="00630BBA" w14:paraId="3F579122" w14:textId="39152911">
            <w:r w:rsidRPr="002F406D">
              <w:t>C</w:t>
            </w:r>
            <w:r w:rsidRPr="002F406D" w:rsidR="00D726E7">
              <w:t>enter for Drug Evaluation and Research</w:t>
            </w:r>
          </w:p>
          <w:p w:rsidR="00BF5F91" w:rsidRPr="002F406D" w:rsidP="00630BBA" w14:paraId="45149973" w14:textId="77777777">
            <w:pPr>
              <w:rPr>
                <w:rFonts w:eastAsia="Calibri"/>
                <w:color w:val="0000FF"/>
                <w:u w:val="single"/>
              </w:rPr>
            </w:pPr>
            <w:hyperlink r:id="rId8" w:history="1">
              <w:r w:rsidRPr="002F406D" w:rsidR="00760787">
                <w:rPr>
                  <w:rStyle w:val="Hyperlink"/>
                  <w:rFonts w:eastAsia="Calibri"/>
                </w:rPr>
                <w:t>Qi.Liu@fda.hhs.gov</w:t>
              </w:r>
            </w:hyperlink>
          </w:p>
          <w:p w:rsidR="00357B6C" w:rsidRPr="007210D5" w:rsidP="00630BBA" w14:paraId="48D99F60" w14:textId="065C8BC1">
            <w:pPr>
              <w:rPr>
                <w:rFonts w:eastAsia="Calibri"/>
              </w:rPr>
            </w:pPr>
            <w:r w:rsidRPr="00451A29">
              <w:rPr>
                <w:rFonts w:eastAsia="Calibri"/>
              </w:rPr>
              <w:t>301-796-1568</w:t>
            </w:r>
          </w:p>
        </w:tc>
        <w:tc>
          <w:tcPr>
            <w:tcW w:w="4500" w:type="dxa"/>
            <w:shd w:val="clear" w:color="auto" w:fill="auto"/>
          </w:tcPr>
          <w:p w:rsidR="007E2412" w:rsidP="00FE432C" w14:paraId="2C79011C" w14:textId="4F269C0A">
            <w:pPr>
              <w:rPr>
                <w:rFonts w:eastAsia="Calibri"/>
                <w:bCs/>
              </w:rPr>
            </w:pPr>
            <w:r>
              <w:rPr>
                <w:rFonts w:eastAsia="Calibri"/>
                <w:bCs/>
              </w:rPr>
              <w:t>JonnaLynn Capezzuto</w:t>
            </w:r>
          </w:p>
          <w:p w:rsidR="007210D5" w:rsidP="00FE432C" w14:paraId="6DA5FFFA" w14:textId="77777777">
            <w:pPr>
              <w:rPr>
                <w:rFonts w:eastAsia="Calibri"/>
                <w:bCs/>
              </w:rPr>
            </w:pPr>
            <w:r>
              <w:rPr>
                <w:rFonts w:eastAsia="Calibri"/>
                <w:bCs/>
              </w:rPr>
              <w:t>Paperwork Reduction Act Staff</w:t>
            </w:r>
          </w:p>
          <w:p w:rsidR="007210D5" w:rsidP="00FE432C" w14:paraId="7C59755C" w14:textId="1D6C4345">
            <w:pPr>
              <w:rPr>
                <w:rFonts w:eastAsia="Calibri"/>
                <w:bCs/>
              </w:rPr>
            </w:pPr>
            <w:hyperlink r:id="rId9" w:history="1">
              <w:r w:rsidRPr="00087E33">
                <w:rPr>
                  <w:rStyle w:val="Hyperlink"/>
                  <w:rFonts w:eastAsia="Calibri"/>
                  <w:bCs/>
                </w:rPr>
                <w:t>Jonnalynn.capezzuto@fda.hhs.gov</w:t>
              </w:r>
            </w:hyperlink>
          </w:p>
          <w:p w:rsidR="007210D5" w:rsidRPr="00BF5F91" w:rsidP="00FE432C" w14:paraId="0012E02E" w14:textId="4C1B02A4">
            <w:pPr>
              <w:rPr>
                <w:rFonts w:eastAsia="Calibri"/>
                <w:bCs/>
              </w:rPr>
            </w:pPr>
            <w:r>
              <w:rPr>
                <w:rFonts w:eastAsia="Calibri"/>
                <w:bCs/>
              </w:rPr>
              <w:t>301-796-3794</w:t>
            </w:r>
          </w:p>
        </w:tc>
      </w:tr>
      <w:bookmarkEnd w:id="3"/>
      <w:bookmarkEnd w:id="4"/>
    </w:tbl>
    <w:p w:rsidR="00826F17" w:rsidRPr="00BF5F91" w:rsidP="0093770F" w14:paraId="10E3C355" w14:textId="215DF4F8">
      <w:pPr>
        <w:contextualSpacing/>
        <w:rPr>
          <w:rFonts w:eastAsia="Calibri"/>
        </w:rPr>
      </w:pPr>
    </w:p>
    <w:sectPr w:rsidSect="008B645B">
      <w:footerReference w:type="default" r:id="rId10"/>
      <w:endnotePr>
        <w:numFmt w:val="decimal"/>
      </w:endnotePr>
      <w:pgSz w:w="12240" w:h="15840"/>
      <w:pgMar w:top="72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2AEE" w14:paraId="7B9E78D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57BB">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12D7B"/>
    <w:multiLevelType w:val="singleLevel"/>
    <w:tmpl w:val="44735331"/>
    <w:lvl w:ilvl="0">
      <w:start w:va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72D75CB"/>
    <w:multiLevelType w:val="hybridMultilevel"/>
    <w:tmpl w:val="6898EBF2"/>
    <w:lvl w:ilvl="0">
      <w:start w:val="0"/>
      <w:numFmt w:val="bullet"/>
      <w:lvlText w:val=""/>
      <w:lvlJc w:val="left"/>
      <w:pPr>
        <w:ind w:left="595" w:hanging="360"/>
      </w:pPr>
      <w:rPr>
        <w:rFonts w:ascii="Wingdings" w:eastAsia="Wingdings" w:hAnsi="Wingdings" w:cs="Wingdings" w:hint="default"/>
        <w:w w:val="100"/>
        <w:sz w:val="24"/>
        <w:szCs w:val="24"/>
        <w:lang w:val="en-US" w:eastAsia="en-US" w:bidi="en-US"/>
      </w:rPr>
    </w:lvl>
    <w:lvl w:ilvl="1">
      <w:start w:val="0"/>
      <w:numFmt w:val="bullet"/>
      <w:lvlText w:val="•"/>
      <w:lvlJc w:val="left"/>
      <w:pPr>
        <w:ind w:left="1490" w:hanging="360"/>
      </w:pPr>
      <w:rPr>
        <w:rFonts w:hint="default"/>
        <w:lang w:val="en-US" w:eastAsia="en-US" w:bidi="en-US"/>
      </w:rPr>
    </w:lvl>
    <w:lvl w:ilvl="2">
      <w:start w:val="0"/>
      <w:numFmt w:val="bullet"/>
      <w:lvlText w:val="•"/>
      <w:lvlJc w:val="left"/>
      <w:pPr>
        <w:ind w:left="2380" w:hanging="360"/>
      </w:pPr>
      <w:rPr>
        <w:rFonts w:hint="default"/>
        <w:lang w:val="en-US" w:eastAsia="en-US" w:bidi="en-US"/>
      </w:rPr>
    </w:lvl>
    <w:lvl w:ilvl="3">
      <w:start w:val="0"/>
      <w:numFmt w:val="bullet"/>
      <w:lvlText w:val="•"/>
      <w:lvlJc w:val="left"/>
      <w:pPr>
        <w:ind w:left="3270" w:hanging="360"/>
      </w:pPr>
      <w:rPr>
        <w:rFonts w:hint="default"/>
        <w:lang w:val="en-US" w:eastAsia="en-US" w:bidi="en-US"/>
      </w:rPr>
    </w:lvl>
    <w:lvl w:ilvl="4">
      <w:start w:val="0"/>
      <w:numFmt w:val="bullet"/>
      <w:lvlText w:val="•"/>
      <w:lvlJc w:val="left"/>
      <w:pPr>
        <w:ind w:left="4160" w:hanging="360"/>
      </w:pPr>
      <w:rPr>
        <w:rFonts w:hint="default"/>
        <w:lang w:val="en-US" w:eastAsia="en-US" w:bidi="en-US"/>
      </w:rPr>
    </w:lvl>
    <w:lvl w:ilvl="5">
      <w:start w:val="0"/>
      <w:numFmt w:val="bullet"/>
      <w:lvlText w:val="•"/>
      <w:lvlJc w:val="left"/>
      <w:pPr>
        <w:ind w:left="5050" w:hanging="360"/>
      </w:pPr>
      <w:rPr>
        <w:rFonts w:hint="default"/>
        <w:lang w:val="en-US" w:eastAsia="en-US" w:bidi="en-US"/>
      </w:rPr>
    </w:lvl>
    <w:lvl w:ilvl="6">
      <w:start w:val="0"/>
      <w:numFmt w:val="bullet"/>
      <w:lvlText w:val="•"/>
      <w:lvlJc w:val="left"/>
      <w:pPr>
        <w:ind w:left="5940" w:hanging="360"/>
      </w:pPr>
      <w:rPr>
        <w:rFonts w:hint="default"/>
        <w:lang w:val="en-US" w:eastAsia="en-US" w:bidi="en-US"/>
      </w:rPr>
    </w:lvl>
    <w:lvl w:ilvl="7">
      <w:start w:val="0"/>
      <w:numFmt w:val="bullet"/>
      <w:lvlText w:val="•"/>
      <w:lvlJc w:val="left"/>
      <w:pPr>
        <w:ind w:left="6830" w:hanging="360"/>
      </w:pPr>
      <w:rPr>
        <w:rFonts w:hint="default"/>
        <w:lang w:val="en-US" w:eastAsia="en-US" w:bidi="en-US"/>
      </w:rPr>
    </w:lvl>
    <w:lvl w:ilvl="8">
      <w:start w:val="0"/>
      <w:numFmt w:val="bullet"/>
      <w:lvlText w:val="•"/>
      <w:lvlJc w:val="left"/>
      <w:pPr>
        <w:ind w:left="7720" w:hanging="360"/>
      </w:pPr>
      <w:rPr>
        <w:rFonts w:hint="default"/>
        <w:lang w:val="en-US" w:eastAsia="en-US" w:bidi="en-US"/>
      </w:rPr>
    </w:lvl>
  </w:abstractNum>
  <w:abstractNum w:abstractNumId="5">
    <w:nsid w:val="078C28BE"/>
    <w:multiLevelType w:val="hybridMultilevel"/>
    <w:tmpl w:val="8F3EA4A6"/>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0970332C"/>
    <w:multiLevelType w:val="hybridMultilevel"/>
    <w:tmpl w:val="9370B4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E0224BC"/>
    <w:multiLevelType w:val="hybridMultilevel"/>
    <w:tmpl w:val="17AEF6E6"/>
    <w:lvl w:ilvl="0">
      <w:start w:val="2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FD56E1D"/>
    <w:multiLevelType w:val="hybridMultilevel"/>
    <w:tmpl w:val="27FE97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6C550A"/>
    <w:multiLevelType w:val="singleLevel"/>
    <w:tmpl w:val="241A6F21"/>
    <w:lvl w:ilvl="0">
      <w:start w:val="0"/>
      <w:numFmt w:val="bullet"/>
      <w:lvlText w:val="n"/>
      <w:lvlJc w:val="left"/>
      <w:pPr>
        <w:tabs>
          <w:tab w:val="num" w:pos="1800"/>
        </w:tabs>
        <w:ind w:left="1800" w:hanging="576"/>
      </w:pPr>
      <w:rPr>
        <w:rFonts w:ascii="Wingdings" w:hAnsi="Wingdings" w:cs="Wingdings" w:hint="default"/>
        <w:color w:val="000000"/>
      </w:rPr>
    </w:lvl>
  </w:abstractNum>
  <w:abstractNum w:abstractNumId="12">
    <w:nsid w:val="221F2707"/>
    <w:multiLevelType w:val="hybridMultilevel"/>
    <w:tmpl w:val="81260BB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E645C6B"/>
    <w:multiLevelType w:val="singleLevel"/>
    <w:tmpl w:val="4DA19B50"/>
    <w:lvl w:ilvl="0">
      <w:start w:val="0"/>
      <w:numFmt w:val="bullet"/>
      <w:lvlText w:val="·"/>
      <w:lvlJc w:val="left"/>
      <w:pPr>
        <w:tabs>
          <w:tab w:val="num" w:pos="1440"/>
        </w:tabs>
        <w:ind w:left="1440" w:hanging="360"/>
      </w:pPr>
      <w:rPr>
        <w:rFonts w:ascii="Symbol" w:hAnsi="Symbol" w:cs="Symbol" w:hint="default"/>
        <w:color w:val="000000"/>
      </w:rPr>
    </w:lvl>
  </w:abstractNum>
  <w:abstractNum w:abstractNumId="15">
    <w:nsid w:val="300746F5"/>
    <w:multiLevelType w:val="hybridMultilevel"/>
    <w:tmpl w:val="B8AE794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42C0038"/>
    <w:multiLevelType w:val="hybridMultilevel"/>
    <w:tmpl w:val="13563C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4F4E3AEB"/>
    <w:multiLevelType w:val="hybridMultilevel"/>
    <w:tmpl w:val="26F29C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2024F46"/>
    <w:multiLevelType w:val="hybridMultilevel"/>
    <w:tmpl w:val="C8E45B46"/>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94C4C1C"/>
    <w:multiLevelType w:val="hybridMultilevel"/>
    <w:tmpl w:val="11C622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5">
    <w:nsid w:val="6C0D07D9"/>
    <w:multiLevelType w:val="hybrid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03031231">
    <w:abstractNumId w:val="18"/>
  </w:num>
  <w:num w:numId="2" w16cid:durableId="1124353361">
    <w:abstractNumId w:val="27"/>
  </w:num>
  <w:num w:numId="3" w16cid:durableId="152112686">
    <w:abstractNumId w:val="26"/>
  </w:num>
  <w:num w:numId="4" w16cid:durableId="1047530538">
    <w:abstractNumId w:val="28"/>
  </w:num>
  <w:num w:numId="5" w16cid:durableId="1607497412">
    <w:abstractNumId w:val="8"/>
  </w:num>
  <w:num w:numId="6" w16cid:durableId="825824700">
    <w:abstractNumId w:val="2"/>
  </w:num>
  <w:num w:numId="7" w16cid:durableId="1225679545">
    <w:abstractNumId w:val="16"/>
  </w:num>
  <w:num w:numId="8" w16cid:durableId="1358237577">
    <w:abstractNumId w:val="24"/>
  </w:num>
  <w:num w:numId="9" w16cid:durableId="1253321836">
    <w:abstractNumId w:val="17"/>
  </w:num>
  <w:num w:numId="10" w16cid:durableId="772481105">
    <w:abstractNumId w:val="3"/>
  </w:num>
  <w:num w:numId="11" w16cid:durableId="716009556">
    <w:abstractNumId w:val="9"/>
  </w:num>
  <w:num w:numId="12" w16cid:durableId="1274167036">
    <w:abstractNumId w:val="13"/>
  </w:num>
  <w:num w:numId="13" w16cid:durableId="2076312260">
    <w:abstractNumId w:val="1"/>
  </w:num>
  <w:num w:numId="14" w16cid:durableId="1024163064">
    <w:abstractNumId w:val="15"/>
  </w:num>
  <w:num w:numId="15" w16cid:durableId="952514330">
    <w:abstractNumId w:val="25"/>
  </w:num>
  <w:num w:numId="16" w16cid:durableId="916013174">
    <w:abstractNumId w:val="22"/>
  </w:num>
  <w:num w:numId="17" w16cid:durableId="31268082">
    <w:abstractNumId w:val="0"/>
  </w:num>
  <w:num w:numId="18" w16cid:durableId="1750082164">
    <w:abstractNumId w:val="14"/>
  </w:num>
  <w:num w:numId="19" w16cid:durableId="1751149703">
    <w:abstractNumId w:val="11"/>
  </w:num>
  <w:num w:numId="20" w16cid:durableId="1698265274">
    <w:abstractNumId w:val="21"/>
  </w:num>
  <w:num w:numId="21" w16cid:durableId="1230263393">
    <w:abstractNumId w:val="19"/>
  </w:num>
  <w:num w:numId="22" w16cid:durableId="1149132654">
    <w:abstractNumId w:val="20"/>
  </w:num>
  <w:num w:numId="23" w16cid:durableId="616450972">
    <w:abstractNumId w:val="5"/>
  </w:num>
  <w:num w:numId="24" w16cid:durableId="66151392">
    <w:abstractNumId w:val="23"/>
  </w:num>
  <w:num w:numId="25" w16cid:durableId="297229041">
    <w:abstractNumId w:val="12"/>
  </w:num>
  <w:num w:numId="26" w16cid:durableId="383793958">
    <w:abstractNumId w:val="7"/>
  </w:num>
  <w:num w:numId="27" w16cid:durableId="983119207">
    <w:abstractNumId w:val="10"/>
  </w:num>
  <w:num w:numId="28" w16cid:durableId="1931425942">
    <w:abstractNumId w:val="6"/>
  </w:num>
  <w:num w:numId="29" w16cid:durableId="2027554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11283"/>
    <w:rsid w:val="000165E4"/>
    <w:rsid w:val="00020F17"/>
    <w:rsid w:val="0003505F"/>
    <w:rsid w:val="00035B5C"/>
    <w:rsid w:val="000368A2"/>
    <w:rsid w:val="00064179"/>
    <w:rsid w:val="00074F70"/>
    <w:rsid w:val="00080BC0"/>
    <w:rsid w:val="000813B9"/>
    <w:rsid w:val="00084C1B"/>
    <w:rsid w:val="00084EF1"/>
    <w:rsid w:val="000857BB"/>
    <w:rsid w:val="00087A80"/>
    <w:rsid w:val="00087E33"/>
    <w:rsid w:val="000903B9"/>
    <w:rsid w:val="00091CF4"/>
    <w:rsid w:val="00092919"/>
    <w:rsid w:val="00093D32"/>
    <w:rsid w:val="0009729A"/>
    <w:rsid w:val="000A43BC"/>
    <w:rsid w:val="000A525C"/>
    <w:rsid w:val="000B1952"/>
    <w:rsid w:val="000B34FC"/>
    <w:rsid w:val="000B6760"/>
    <w:rsid w:val="000C386B"/>
    <w:rsid w:val="000C412C"/>
    <w:rsid w:val="000C46CA"/>
    <w:rsid w:val="000C57B6"/>
    <w:rsid w:val="000C5E35"/>
    <w:rsid w:val="000D11DE"/>
    <w:rsid w:val="000E2A3E"/>
    <w:rsid w:val="000E2FAA"/>
    <w:rsid w:val="000E7C99"/>
    <w:rsid w:val="000E7D76"/>
    <w:rsid w:val="000F1CDA"/>
    <w:rsid w:val="00104B02"/>
    <w:rsid w:val="00110747"/>
    <w:rsid w:val="00115C87"/>
    <w:rsid w:val="0012213A"/>
    <w:rsid w:val="001223A3"/>
    <w:rsid w:val="001251CC"/>
    <w:rsid w:val="00126D06"/>
    <w:rsid w:val="00132EF8"/>
    <w:rsid w:val="001356AA"/>
    <w:rsid w:val="00135B9C"/>
    <w:rsid w:val="00137DC2"/>
    <w:rsid w:val="00140343"/>
    <w:rsid w:val="00154574"/>
    <w:rsid w:val="00165D41"/>
    <w:rsid w:val="0016612F"/>
    <w:rsid w:val="001677D9"/>
    <w:rsid w:val="00172A6E"/>
    <w:rsid w:val="0017724E"/>
    <w:rsid w:val="00177575"/>
    <w:rsid w:val="001800D8"/>
    <w:rsid w:val="0018212B"/>
    <w:rsid w:val="001862B9"/>
    <w:rsid w:val="00190AA2"/>
    <w:rsid w:val="00190D79"/>
    <w:rsid w:val="001A1228"/>
    <w:rsid w:val="001A490C"/>
    <w:rsid w:val="001A68F4"/>
    <w:rsid w:val="001B0DE5"/>
    <w:rsid w:val="001B0EE3"/>
    <w:rsid w:val="001B6B99"/>
    <w:rsid w:val="001C0117"/>
    <w:rsid w:val="001C4BC6"/>
    <w:rsid w:val="001D19B4"/>
    <w:rsid w:val="001D4998"/>
    <w:rsid w:val="001D559E"/>
    <w:rsid w:val="001D6068"/>
    <w:rsid w:val="001E0E7C"/>
    <w:rsid w:val="001E198B"/>
    <w:rsid w:val="001E4519"/>
    <w:rsid w:val="001E5915"/>
    <w:rsid w:val="001F09C0"/>
    <w:rsid w:val="00201308"/>
    <w:rsid w:val="002016CE"/>
    <w:rsid w:val="0020194F"/>
    <w:rsid w:val="002121F4"/>
    <w:rsid w:val="00215658"/>
    <w:rsid w:val="00215E85"/>
    <w:rsid w:val="00226212"/>
    <w:rsid w:val="00233662"/>
    <w:rsid w:val="00236D33"/>
    <w:rsid w:val="00237D3A"/>
    <w:rsid w:val="002430A0"/>
    <w:rsid w:val="00245362"/>
    <w:rsid w:val="002508ED"/>
    <w:rsid w:val="00252F72"/>
    <w:rsid w:val="002531FC"/>
    <w:rsid w:val="00255B16"/>
    <w:rsid w:val="00260A7A"/>
    <w:rsid w:val="00261565"/>
    <w:rsid w:val="00263DCF"/>
    <w:rsid w:val="00264C93"/>
    <w:rsid w:val="00272823"/>
    <w:rsid w:val="00280997"/>
    <w:rsid w:val="0028147F"/>
    <w:rsid w:val="00281A30"/>
    <w:rsid w:val="0029130E"/>
    <w:rsid w:val="00293DCC"/>
    <w:rsid w:val="00295ECC"/>
    <w:rsid w:val="002A448C"/>
    <w:rsid w:val="002A7043"/>
    <w:rsid w:val="002B6AFF"/>
    <w:rsid w:val="002C43D9"/>
    <w:rsid w:val="002C57A7"/>
    <w:rsid w:val="002D4599"/>
    <w:rsid w:val="002E35FA"/>
    <w:rsid w:val="002E5F32"/>
    <w:rsid w:val="002F3B80"/>
    <w:rsid w:val="002F402A"/>
    <w:rsid w:val="002F406D"/>
    <w:rsid w:val="002F5329"/>
    <w:rsid w:val="002F5492"/>
    <w:rsid w:val="002F61FC"/>
    <w:rsid w:val="00301E64"/>
    <w:rsid w:val="003073BF"/>
    <w:rsid w:val="00315ACA"/>
    <w:rsid w:val="00316892"/>
    <w:rsid w:val="00322AAA"/>
    <w:rsid w:val="003239D5"/>
    <w:rsid w:val="003260ED"/>
    <w:rsid w:val="00331C9C"/>
    <w:rsid w:val="00345CE4"/>
    <w:rsid w:val="00346B0F"/>
    <w:rsid w:val="00346DEA"/>
    <w:rsid w:val="00347C3D"/>
    <w:rsid w:val="0035221A"/>
    <w:rsid w:val="0035310A"/>
    <w:rsid w:val="00355A0F"/>
    <w:rsid w:val="00357B6C"/>
    <w:rsid w:val="00360995"/>
    <w:rsid w:val="00364051"/>
    <w:rsid w:val="00371BAC"/>
    <w:rsid w:val="003762F7"/>
    <w:rsid w:val="00380D01"/>
    <w:rsid w:val="00383F4E"/>
    <w:rsid w:val="0038641D"/>
    <w:rsid w:val="00395626"/>
    <w:rsid w:val="00396BE9"/>
    <w:rsid w:val="003A2BE8"/>
    <w:rsid w:val="003A2F10"/>
    <w:rsid w:val="003A38E2"/>
    <w:rsid w:val="003A6832"/>
    <w:rsid w:val="003B0760"/>
    <w:rsid w:val="003B219D"/>
    <w:rsid w:val="003B5136"/>
    <w:rsid w:val="003B58CD"/>
    <w:rsid w:val="003B74D8"/>
    <w:rsid w:val="003B7576"/>
    <w:rsid w:val="003B7ADD"/>
    <w:rsid w:val="003C79A5"/>
    <w:rsid w:val="003D022B"/>
    <w:rsid w:val="003D0EC1"/>
    <w:rsid w:val="003D64EF"/>
    <w:rsid w:val="003F117D"/>
    <w:rsid w:val="003F1C7A"/>
    <w:rsid w:val="003F2DD9"/>
    <w:rsid w:val="003F35E2"/>
    <w:rsid w:val="003F6E1A"/>
    <w:rsid w:val="003F73AA"/>
    <w:rsid w:val="00402F6C"/>
    <w:rsid w:val="0040453C"/>
    <w:rsid w:val="004050B6"/>
    <w:rsid w:val="00411149"/>
    <w:rsid w:val="004143D8"/>
    <w:rsid w:val="00415A18"/>
    <w:rsid w:val="00420E90"/>
    <w:rsid w:val="00422ADF"/>
    <w:rsid w:val="0042326C"/>
    <w:rsid w:val="00423A24"/>
    <w:rsid w:val="00424135"/>
    <w:rsid w:val="00426C8E"/>
    <w:rsid w:val="00430040"/>
    <w:rsid w:val="00433D7A"/>
    <w:rsid w:val="0043542C"/>
    <w:rsid w:val="0044338A"/>
    <w:rsid w:val="00446298"/>
    <w:rsid w:val="00451A29"/>
    <w:rsid w:val="00456600"/>
    <w:rsid w:val="00457F70"/>
    <w:rsid w:val="00463066"/>
    <w:rsid w:val="00464C5D"/>
    <w:rsid w:val="00466550"/>
    <w:rsid w:val="00472F94"/>
    <w:rsid w:val="00474825"/>
    <w:rsid w:val="00485924"/>
    <w:rsid w:val="00491844"/>
    <w:rsid w:val="0049419A"/>
    <w:rsid w:val="004A4E73"/>
    <w:rsid w:val="004B4C74"/>
    <w:rsid w:val="004B57A3"/>
    <w:rsid w:val="004B694D"/>
    <w:rsid w:val="004C0005"/>
    <w:rsid w:val="004C5DD3"/>
    <w:rsid w:val="004D4133"/>
    <w:rsid w:val="004D53B8"/>
    <w:rsid w:val="004E2609"/>
    <w:rsid w:val="004E2AD0"/>
    <w:rsid w:val="004E76C1"/>
    <w:rsid w:val="004F3B03"/>
    <w:rsid w:val="004F7BD3"/>
    <w:rsid w:val="00507F7B"/>
    <w:rsid w:val="00512E74"/>
    <w:rsid w:val="00515F62"/>
    <w:rsid w:val="0052010F"/>
    <w:rsid w:val="0052065C"/>
    <w:rsid w:val="00521818"/>
    <w:rsid w:val="00521F03"/>
    <w:rsid w:val="00524BC5"/>
    <w:rsid w:val="0052796B"/>
    <w:rsid w:val="00527F6C"/>
    <w:rsid w:val="00535DF6"/>
    <w:rsid w:val="005418B5"/>
    <w:rsid w:val="00543544"/>
    <w:rsid w:val="00545F15"/>
    <w:rsid w:val="00551805"/>
    <w:rsid w:val="0055202B"/>
    <w:rsid w:val="005541B8"/>
    <w:rsid w:val="005541F6"/>
    <w:rsid w:val="00555460"/>
    <w:rsid w:val="005622A3"/>
    <w:rsid w:val="00566CF0"/>
    <w:rsid w:val="00570A54"/>
    <w:rsid w:val="005726F3"/>
    <w:rsid w:val="00572743"/>
    <w:rsid w:val="0057336F"/>
    <w:rsid w:val="005826E4"/>
    <w:rsid w:val="005841D2"/>
    <w:rsid w:val="005A18A4"/>
    <w:rsid w:val="005A34D0"/>
    <w:rsid w:val="005A60BF"/>
    <w:rsid w:val="005B018D"/>
    <w:rsid w:val="005B1F80"/>
    <w:rsid w:val="005B31D9"/>
    <w:rsid w:val="005B619C"/>
    <w:rsid w:val="005B7DFF"/>
    <w:rsid w:val="005C37C7"/>
    <w:rsid w:val="005D0440"/>
    <w:rsid w:val="005D063B"/>
    <w:rsid w:val="005D538A"/>
    <w:rsid w:val="005E21BA"/>
    <w:rsid w:val="005E23BA"/>
    <w:rsid w:val="005E3386"/>
    <w:rsid w:val="005E4981"/>
    <w:rsid w:val="005F2337"/>
    <w:rsid w:val="005F233D"/>
    <w:rsid w:val="005F35E6"/>
    <w:rsid w:val="00602B5B"/>
    <w:rsid w:val="00602CB4"/>
    <w:rsid w:val="00607046"/>
    <w:rsid w:val="006073F7"/>
    <w:rsid w:val="00621494"/>
    <w:rsid w:val="00627B0E"/>
    <w:rsid w:val="00627E27"/>
    <w:rsid w:val="00630BBA"/>
    <w:rsid w:val="00633DF8"/>
    <w:rsid w:val="00641C14"/>
    <w:rsid w:val="00642C2C"/>
    <w:rsid w:val="00644197"/>
    <w:rsid w:val="006462D9"/>
    <w:rsid w:val="00653B3C"/>
    <w:rsid w:val="00673F95"/>
    <w:rsid w:val="00675C3B"/>
    <w:rsid w:val="00677811"/>
    <w:rsid w:val="006805F2"/>
    <w:rsid w:val="006819C8"/>
    <w:rsid w:val="00682641"/>
    <w:rsid w:val="006870BE"/>
    <w:rsid w:val="00691966"/>
    <w:rsid w:val="00691EE5"/>
    <w:rsid w:val="00696316"/>
    <w:rsid w:val="00696B03"/>
    <w:rsid w:val="006A157D"/>
    <w:rsid w:val="006A67BC"/>
    <w:rsid w:val="006A6C9D"/>
    <w:rsid w:val="006B02AF"/>
    <w:rsid w:val="006B0AF9"/>
    <w:rsid w:val="006B332E"/>
    <w:rsid w:val="006D2C8A"/>
    <w:rsid w:val="006D3B31"/>
    <w:rsid w:val="006D5732"/>
    <w:rsid w:val="006F0F52"/>
    <w:rsid w:val="007078D6"/>
    <w:rsid w:val="007210D5"/>
    <w:rsid w:val="00722CB4"/>
    <w:rsid w:val="0072545C"/>
    <w:rsid w:val="007342FB"/>
    <w:rsid w:val="0073562F"/>
    <w:rsid w:val="00736332"/>
    <w:rsid w:val="00741675"/>
    <w:rsid w:val="007424EB"/>
    <w:rsid w:val="0074463A"/>
    <w:rsid w:val="00744F5B"/>
    <w:rsid w:val="0074607F"/>
    <w:rsid w:val="00750EF3"/>
    <w:rsid w:val="00760787"/>
    <w:rsid w:val="00760A54"/>
    <w:rsid w:val="00761D61"/>
    <w:rsid w:val="007645F0"/>
    <w:rsid w:val="007713B3"/>
    <w:rsid w:val="0077452A"/>
    <w:rsid w:val="007756F0"/>
    <w:rsid w:val="00776440"/>
    <w:rsid w:val="00780251"/>
    <w:rsid w:val="00786714"/>
    <w:rsid w:val="00787F81"/>
    <w:rsid w:val="00790079"/>
    <w:rsid w:val="00792EBB"/>
    <w:rsid w:val="0079375C"/>
    <w:rsid w:val="007957EC"/>
    <w:rsid w:val="00796760"/>
    <w:rsid w:val="007A4331"/>
    <w:rsid w:val="007B045B"/>
    <w:rsid w:val="007B5F94"/>
    <w:rsid w:val="007B777E"/>
    <w:rsid w:val="007C2716"/>
    <w:rsid w:val="007E0A58"/>
    <w:rsid w:val="007E2412"/>
    <w:rsid w:val="007E3D09"/>
    <w:rsid w:val="007E7A89"/>
    <w:rsid w:val="007F2392"/>
    <w:rsid w:val="007F6CC3"/>
    <w:rsid w:val="007F75E4"/>
    <w:rsid w:val="007F7888"/>
    <w:rsid w:val="008063D1"/>
    <w:rsid w:val="00807526"/>
    <w:rsid w:val="008108B3"/>
    <w:rsid w:val="0082193B"/>
    <w:rsid w:val="008225CC"/>
    <w:rsid w:val="00826F17"/>
    <w:rsid w:val="00830839"/>
    <w:rsid w:val="00831122"/>
    <w:rsid w:val="00834B2F"/>
    <w:rsid w:val="00840740"/>
    <w:rsid w:val="00846290"/>
    <w:rsid w:val="00850C36"/>
    <w:rsid w:val="00851990"/>
    <w:rsid w:val="00866AB8"/>
    <w:rsid w:val="00873436"/>
    <w:rsid w:val="00874231"/>
    <w:rsid w:val="00882AE4"/>
    <w:rsid w:val="008863D0"/>
    <w:rsid w:val="00890604"/>
    <w:rsid w:val="008A0BD0"/>
    <w:rsid w:val="008B09E9"/>
    <w:rsid w:val="008B23F8"/>
    <w:rsid w:val="008B3293"/>
    <w:rsid w:val="008B4DE4"/>
    <w:rsid w:val="008B645B"/>
    <w:rsid w:val="008D4738"/>
    <w:rsid w:val="008D565E"/>
    <w:rsid w:val="008D6768"/>
    <w:rsid w:val="008E6145"/>
    <w:rsid w:val="008F0979"/>
    <w:rsid w:val="008F6E91"/>
    <w:rsid w:val="00901B3E"/>
    <w:rsid w:val="0091368D"/>
    <w:rsid w:val="00913B87"/>
    <w:rsid w:val="0091537E"/>
    <w:rsid w:val="00915E13"/>
    <w:rsid w:val="00921BB0"/>
    <w:rsid w:val="00923212"/>
    <w:rsid w:val="0093770F"/>
    <w:rsid w:val="00940B8D"/>
    <w:rsid w:val="00947FA7"/>
    <w:rsid w:val="00950CB9"/>
    <w:rsid w:val="00956242"/>
    <w:rsid w:val="0096489D"/>
    <w:rsid w:val="009770AD"/>
    <w:rsid w:val="009811B3"/>
    <w:rsid w:val="00985667"/>
    <w:rsid w:val="00987CD2"/>
    <w:rsid w:val="00990219"/>
    <w:rsid w:val="0099223D"/>
    <w:rsid w:val="00996BB1"/>
    <w:rsid w:val="009B0C30"/>
    <w:rsid w:val="009B3647"/>
    <w:rsid w:val="009B4B1A"/>
    <w:rsid w:val="009B5ECF"/>
    <w:rsid w:val="009B72F7"/>
    <w:rsid w:val="009C08A9"/>
    <w:rsid w:val="009C3A82"/>
    <w:rsid w:val="009C5615"/>
    <w:rsid w:val="009D3BC6"/>
    <w:rsid w:val="009D6B7A"/>
    <w:rsid w:val="009E12CA"/>
    <w:rsid w:val="009E1860"/>
    <w:rsid w:val="009E6FFF"/>
    <w:rsid w:val="009F530A"/>
    <w:rsid w:val="009F5A9D"/>
    <w:rsid w:val="00A03A0A"/>
    <w:rsid w:val="00A12901"/>
    <w:rsid w:val="00A1348D"/>
    <w:rsid w:val="00A15399"/>
    <w:rsid w:val="00A175DD"/>
    <w:rsid w:val="00A22D50"/>
    <w:rsid w:val="00A24671"/>
    <w:rsid w:val="00A25982"/>
    <w:rsid w:val="00A26BA5"/>
    <w:rsid w:val="00A34D07"/>
    <w:rsid w:val="00A366BD"/>
    <w:rsid w:val="00A44BF9"/>
    <w:rsid w:val="00A46671"/>
    <w:rsid w:val="00A53BA2"/>
    <w:rsid w:val="00A561D5"/>
    <w:rsid w:val="00A63790"/>
    <w:rsid w:val="00A659C3"/>
    <w:rsid w:val="00A659C8"/>
    <w:rsid w:val="00A74F98"/>
    <w:rsid w:val="00A77790"/>
    <w:rsid w:val="00A82DCC"/>
    <w:rsid w:val="00A83609"/>
    <w:rsid w:val="00A8419F"/>
    <w:rsid w:val="00A86765"/>
    <w:rsid w:val="00A9565A"/>
    <w:rsid w:val="00AA0314"/>
    <w:rsid w:val="00AA189F"/>
    <w:rsid w:val="00AA3E70"/>
    <w:rsid w:val="00AA7CB4"/>
    <w:rsid w:val="00AB642D"/>
    <w:rsid w:val="00AC21A5"/>
    <w:rsid w:val="00AC4CEB"/>
    <w:rsid w:val="00AD578A"/>
    <w:rsid w:val="00AE046A"/>
    <w:rsid w:val="00AE0BC0"/>
    <w:rsid w:val="00AE212E"/>
    <w:rsid w:val="00AE2C02"/>
    <w:rsid w:val="00AF2E71"/>
    <w:rsid w:val="00AF5E47"/>
    <w:rsid w:val="00B11250"/>
    <w:rsid w:val="00B17F2E"/>
    <w:rsid w:val="00B2371C"/>
    <w:rsid w:val="00B27520"/>
    <w:rsid w:val="00B27E3D"/>
    <w:rsid w:val="00B3101F"/>
    <w:rsid w:val="00B330AE"/>
    <w:rsid w:val="00B335A0"/>
    <w:rsid w:val="00B34C03"/>
    <w:rsid w:val="00B3548A"/>
    <w:rsid w:val="00B378CA"/>
    <w:rsid w:val="00B402A6"/>
    <w:rsid w:val="00B41016"/>
    <w:rsid w:val="00B412FF"/>
    <w:rsid w:val="00B459DF"/>
    <w:rsid w:val="00B47419"/>
    <w:rsid w:val="00B57732"/>
    <w:rsid w:val="00B61FB5"/>
    <w:rsid w:val="00B63DE7"/>
    <w:rsid w:val="00B63FBE"/>
    <w:rsid w:val="00B65370"/>
    <w:rsid w:val="00B70D84"/>
    <w:rsid w:val="00B83DBA"/>
    <w:rsid w:val="00B86C41"/>
    <w:rsid w:val="00B9342E"/>
    <w:rsid w:val="00B9344F"/>
    <w:rsid w:val="00B9695E"/>
    <w:rsid w:val="00BA0510"/>
    <w:rsid w:val="00BA11BC"/>
    <w:rsid w:val="00BA3244"/>
    <w:rsid w:val="00BA4B29"/>
    <w:rsid w:val="00BB31BC"/>
    <w:rsid w:val="00BC3385"/>
    <w:rsid w:val="00BD1BEE"/>
    <w:rsid w:val="00BD2A9F"/>
    <w:rsid w:val="00BD5424"/>
    <w:rsid w:val="00BF0967"/>
    <w:rsid w:val="00BF0C59"/>
    <w:rsid w:val="00BF5F91"/>
    <w:rsid w:val="00BF7AEF"/>
    <w:rsid w:val="00C00740"/>
    <w:rsid w:val="00C01242"/>
    <w:rsid w:val="00C0615D"/>
    <w:rsid w:val="00C13EA3"/>
    <w:rsid w:val="00C2021B"/>
    <w:rsid w:val="00C2101D"/>
    <w:rsid w:val="00C22D1B"/>
    <w:rsid w:val="00C274B5"/>
    <w:rsid w:val="00C279A8"/>
    <w:rsid w:val="00C30DEE"/>
    <w:rsid w:val="00C42E08"/>
    <w:rsid w:val="00C440FB"/>
    <w:rsid w:val="00C60C08"/>
    <w:rsid w:val="00C62019"/>
    <w:rsid w:val="00C73C3C"/>
    <w:rsid w:val="00C76E17"/>
    <w:rsid w:val="00C81FFD"/>
    <w:rsid w:val="00C82B1C"/>
    <w:rsid w:val="00C94E65"/>
    <w:rsid w:val="00C9718C"/>
    <w:rsid w:val="00CC55A1"/>
    <w:rsid w:val="00CD1167"/>
    <w:rsid w:val="00CE57C2"/>
    <w:rsid w:val="00CE5D91"/>
    <w:rsid w:val="00CE655C"/>
    <w:rsid w:val="00CF10F4"/>
    <w:rsid w:val="00D023BB"/>
    <w:rsid w:val="00D1230C"/>
    <w:rsid w:val="00D1326F"/>
    <w:rsid w:val="00D14568"/>
    <w:rsid w:val="00D163DE"/>
    <w:rsid w:val="00D164C1"/>
    <w:rsid w:val="00D276A0"/>
    <w:rsid w:val="00D30620"/>
    <w:rsid w:val="00D333F6"/>
    <w:rsid w:val="00D33F93"/>
    <w:rsid w:val="00D340AB"/>
    <w:rsid w:val="00D367D6"/>
    <w:rsid w:val="00D50EDB"/>
    <w:rsid w:val="00D52605"/>
    <w:rsid w:val="00D53FB0"/>
    <w:rsid w:val="00D542D4"/>
    <w:rsid w:val="00D61A47"/>
    <w:rsid w:val="00D64CED"/>
    <w:rsid w:val="00D726E7"/>
    <w:rsid w:val="00D77013"/>
    <w:rsid w:val="00D9108E"/>
    <w:rsid w:val="00D9438A"/>
    <w:rsid w:val="00D95AEE"/>
    <w:rsid w:val="00DA1EEE"/>
    <w:rsid w:val="00DA22A5"/>
    <w:rsid w:val="00DA3B80"/>
    <w:rsid w:val="00DB1F7F"/>
    <w:rsid w:val="00DB47C4"/>
    <w:rsid w:val="00DB797F"/>
    <w:rsid w:val="00DC4461"/>
    <w:rsid w:val="00DC47D1"/>
    <w:rsid w:val="00DC544C"/>
    <w:rsid w:val="00DC76EE"/>
    <w:rsid w:val="00DD1669"/>
    <w:rsid w:val="00DD1CCA"/>
    <w:rsid w:val="00DD33DB"/>
    <w:rsid w:val="00DD6106"/>
    <w:rsid w:val="00DE3394"/>
    <w:rsid w:val="00DE3758"/>
    <w:rsid w:val="00DE598C"/>
    <w:rsid w:val="00DE7E2B"/>
    <w:rsid w:val="00DF0924"/>
    <w:rsid w:val="00DF5AB3"/>
    <w:rsid w:val="00DF610B"/>
    <w:rsid w:val="00DF6847"/>
    <w:rsid w:val="00E00BFD"/>
    <w:rsid w:val="00E026FB"/>
    <w:rsid w:val="00E032F1"/>
    <w:rsid w:val="00E11003"/>
    <w:rsid w:val="00E148EA"/>
    <w:rsid w:val="00E215FA"/>
    <w:rsid w:val="00E22837"/>
    <w:rsid w:val="00E26798"/>
    <w:rsid w:val="00E428C7"/>
    <w:rsid w:val="00E43F56"/>
    <w:rsid w:val="00E45BA0"/>
    <w:rsid w:val="00E521B4"/>
    <w:rsid w:val="00E629FF"/>
    <w:rsid w:val="00E64301"/>
    <w:rsid w:val="00E748F3"/>
    <w:rsid w:val="00E74EC2"/>
    <w:rsid w:val="00E82D42"/>
    <w:rsid w:val="00E84110"/>
    <w:rsid w:val="00E84F48"/>
    <w:rsid w:val="00E85779"/>
    <w:rsid w:val="00E90EB0"/>
    <w:rsid w:val="00E92204"/>
    <w:rsid w:val="00E962B3"/>
    <w:rsid w:val="00EA0586"/>
    <w:rsid w:val="00EA7EAB"/>
    <w:rsid w:val="00EA7FA5"/>
    <w:rsid w:val="00EB0B53"/>
    <w:rsid w:val="00EC12BC"/>
    <w:rsid w:val="00EC4BFD"/>
    <w:rsid w:val="00ED1798"/>
    <w:rsid w:val="00ED3939"/>
    <w:rsid w:val="00ED3BAC"/>
    <w:rsid w:val="00ED3DF9"/>
    <w:rsid w:val="00EE2769"/>
    <w:rsid w:val="00EE3F3C"/>
    <w:rsid w:val="00EE56F1"/>
    <w:rsid w:val="00EE679F"/>
    <w:rsid w:val="00EE7334"/>
    <w:rsid w:val="00EF559C"/>
    <w:rsid w:val="00EF5C43"/>
    <w:rsid w:val="00F038CC"/>
    <w:rsid w:val="00F12AEE"/>
    <w:rsid w:val="00F17B07"/>
    <w:rsid w:val="00F21C25"/>
    <w:rsid w:val="00F2355D"/>
    <w:rsid w:val="00F3704A"/>
    <w:rsid w:val="00F53A4B"/>
    <w:rsid w:val="00F60E09"/>
    <w:rsid w:val="00F63793"/>
    <w:rsid w:val="00F63A8B"/>
    <w:rsid w:val="00F642D6"/>
    <w:rsid w:val="00F65DB6"/>
    <w:rsid w:val="00F67C4A"/>
    <w:rsid w:val="00F72489"/>
    <w:rsid w:val="00F83881"/>
    <w:rsid w:val="00F8611F"/>
    <w:rsid w:val="00F9082C"/>
    <w:rsid w:val="00F957CA"/>
    <w:rsid w:val="00F967A7"/>
    <w:rsid w:val="00FA2211"/>
    <w:rsid w:val="00FA395F"/>
    <w:rsid w:val="00FA6DE5"/>
    <w:rsid w:val="00FA787A"/>
    <w:rsid w:val="00FB2FC9"/>
    <w:rsid w:val="00FC5061"/>
    <w:rsid w:val="00FC61E1"/>
    <w:rsid w:val="00FD29CE"/>
    <w:rsid w:val="00FE432C"/>
    <w:rsid w:val="00FE45BF"/>
    <w:rsid w:val="00FF7561"/>
    <w:rsid w:val="0C0D1D51"/>
  </w:rsids>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99rr0d4x9zw5e0xenpzdzpra909rapfptt&quot;&gt;jbs11 Copy 5.17.2022&lt;record-ids&gt;&lt;item&gt;5012&lt;/item&gt;&lt;item&gt;5042&lt;/item&gt;&lt;item&gt;5112&lt;/item&gt;&lt;item&gt;5115&lt;/item&gt;&lt;item&gt;5116&lt;/item&gt;&lt;item&gt;5117&lt;/item&gt;&lt;item&gt;5118&lt;/item&gt;&lt;item&gt;5119&lt;/item&gt;&lt;item&gt;5120&lt;/item&gt;&lt;item&gt;512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C90BBA"/>
  <w15:chartTrackingRefBased/>
  <w15:docId w15:val="{8E93C53A-C563-49FA-ACD4-CCEC6D4B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uiPriority w:val="99"/>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1"/>
    <w:qFormat/>
    <w:rsid w:val="00E26798"/>
    <w:pPr>
      <w:ind w:left="720"/>
    </w:pPr>
  </w:style>
  <w:style w:type="paragraph" w:styleId="FootnoteText">
    <w:name w:val="footnote text"/>
    <w:basedOn w:val="Normal"/>
    <w:link w:val="FootnoteTextChar"/>
    <w:unhideWhenUsed/>
    <w:rsid w:val="00B27E3D"/>
    <w:rPr>
      <w:sz w:val="20"/>
      <w:szCs w:val="20"/>
    </w:rPr>
  </w:style>
  <w:style w:type="character" w:customStyle="1" w:styleId="FootnoteTextChar">
    <w:name w:val="Footnote Text Char"/>
    <w:basedOn w:val="DefaultParagraphFont"/>
    <w:link w:val="FootnoteText"/>
    <w:rsid w:val="00B27E3D"/>
  </w:style>
  <w:style w:type="character" w:styleId="FootnoteReference">
    <w:name w:val="footnote reference"/>
    <w:unhideWhenUsed/>
    <w:rsid w:val="00B27E3D"/>
    <w:rPr>
      <w:vertAlign w:val="superscript"/>
    </w:rPr>
  </w:style>
  <w:style w:type="table" w:styleId="TableGrid">
    <w:name w:val="Table Grid"/>
    <w:basedOn w:val="TableNormal"/>
    <w:uiPriority w:val="59"/>
    <w:rsid w:val="00BF5F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C22D1B"/>
    <w:rPr>
      <w:sz w:val="16"/>
      <w:szCs w:val="16"/>
    </w:rPr>
  </w:style>
  <w:style w:type="paragraph" w:styleId="CommentText">
    <w:name w:val="annotation text"/>
    <w:basedOn w:val="Normal"/>
    <w:link w:val="CommentTextChar"/>
    <w:uiPriority w:val="99"/>
    <w:unhideWhenUsed/>
    <w:rsid w:val="00C22D1B"/>
    <w:rPr>
      <w:sz w:val="20"/>
      <w:szCs w:val="20"/>
    </w:rPr>
  </w:style>
  <w:style w:type="character" w:customStyle="1" w:styleId="CommentTextChar">
    <w:name w:val="Comment Text Char"/>
    <w:basedOn w:val="DefaultParagraphFont"/>
    <w:link w:val="CommentText"/>
    <w:uiPriority w:val="99"/>
    <w:rsid w:val="00C22D1B"/>
  </w:style>
  <w:style w:type="character" w:styleId="FollowedHyperlink">
    <w:name w:val="FollowedHyperlink"/>
    <w:uiPriority w:val="99"/>
    <w:semiHidden/>
    <w:unhideWhenUsed/>
    <w:rsid w:val="00E748F3"/>
    <w:rPr>
      <w:color w:val="954F72"/>
      <w:u w:val="single"/>
    </w:rPr>
  </w:style>
  <w:style w:type="character" w:styleId="UnresolvedMention">
    <w:name w:val="Unresolved Mention"/>
    <w:uiPriority w:val="99"/>
    <w:semiHidden/>
    <w:unhideWhenUsed/>
    <w:rsid w:val="00422ADF"/>
    <w:rPr>
      <w:color w:val="605E5C"/>
      <w:shd w:val="clear" w:color="auto" w:fill="E1DFDD"/>
    </w:rPr>
  </w:style>
  <w:style w:type="paragraph" w:styleId="EndnoteText">
    <w:name w:val="endnote text"/>
    <w:basedOn w:val="Normal"/>
    <w:link w:val="EndnoteTextChar"/>
    <w:uiPriority w:val="99"/>
    <w:semiHidden/>
    <w:unhideWhenUsed/>
    <w:rsid w:val="009B3647"/>
    <w:rPr>
      <w:sz w:val="20"/>
      <w:szCs w:val="20"/>
    </w:rPr>
  </w:style>
  <w:style w:type="character" w:customStyle="1" w:styleId="EndnoteTextChar">
    <w:name w:val="Endnote Text Char"/>
    <w:basedOn w:val="DefaultParagraphFont"/>
    <w:link w:val="EndnoteText"/>
    <w:uiPriority w:val="99"/>
    <w:semiHidden/>
    <w:rsid w:val="009B3647"/>
  </w:style>
  <w:style w:type="character" w:styleId="EndnoteReference">
    <w:name w:val="endnote reference"/>
    <w:uiPriority w:val="99"/>
    <w:semiHidden/>
    <w:unhideWhenUsed/>
    <w:rsid w:val="009B3647"/>
    <w:rPr>
      <w:vertAlign w:val="superscript"/>
    </w:rPr>
  </w:style>
  <w:style w:type="paragraph" w:styleId="CommentSubject">
    <w:name w:val="annotation subject"/>
    <w:basedOn w:val="CommentText"/>
    <w:next w:val="CommentText"/>
    <w:link w:val="CommentSubjectChar"/>
    <w:uiPriority w:val="99"/>
    <w:semiHidden/>
    <w:unhideWhenUsed/>
    <w:rsid w:val="00463066"/>
    <w:rPr>
      <w:b/>
      <w:bCs/>
    </w:rPr>
  </w:style>
  <w:style w:type="character" w:customStyle="1" w:styleId="CommentSubjectChar">
    <w:name w:val="Comment Subject Char"/>
    <w:link w:val="CommentSubject"/>
    <w:uiPriority w:val="99"/>
    <w:semiHidden/>
    <w:rsid w:val="00463066"/>
    <w:rPr>
      <w:b/>
      <w:bCs/>
    </w:rPr>
  </w:style>
  <w:style w:type="paragraph" w:styleId="Revision">
    <w:name w:val="Revision"/>
    <w:hidden/>
    <w:uiPriority w:val="99"/>
    <w:semiHidden/>
    <w:rsid w:val="005B7DFF"/>
    <w:rPr>
      <w:sz w:val="24"/>
      <w:szCs w:val="24"/>
    </w:rPr>
  </w:style>
  <w:style w:type="character" w:styleId="Emphasis">
    <w:name w:val="Emphasis"/>
    <w:uiPriority w:val="20"/>
    <w:qFormat/>
    <w:rsid w:val="009E1860"/>
    <w:rPr>
      <w:i/>
      <w:iCs/>
    </w:rPr>
  </w:style>
  <w:style w:type="paragraph" w:customStyle="1" w:styleId="EndNoteBibliographyTitle">
    <w:name w:val="EndNote Bibliography Title"/>
    <w:basedOn w:val="Normal"/>
    <w:link w:val="EndNoteBibliographyTitleChar"/>
    <w:rsid w:val="00675C3B"/>
    <w:pPr>
      <w:jc w:val="center"/>
    </w:pPr>
    <w:rPr>
      <w:noProof/>
    </w:rPr>
  </w:style>
  <w:style w:type="character" w:customStyle="1" w:styleId="EndNoteBibliographyTitleChar">
    <w:name w:val="EndNote Bibliography Title Char"/>
    <w:link w:val="EndNoteBibliographyTitle"/>
    <w:rsid w:val="00675C3B"/>
    <w:rPr>
      <w:noProof/>
      <w:sz w:val="24"/>
      <w:szCs w:val="24"/>
    </w:rPr>
  </w:style>
  <w:style w:type="paragraph" w:customStyle="1" w:styleId="EndNoteBibliography">
    <w:name w:val="EndNote Bibliography"/>
    <w:basedOn w:val="Normal"/>
    <w:link w:val="EndNoteBibliographyChar"/>
    <w:rsid w:val="00675C3B"/>
    <w:rPr>
      <w:noProof/>
    </w:rPr>
  </w:style>
  <w:style w:type="character" w:customStyle="1" w:styleId="EndNoteBibliographyChar">
    <w:name w:val="EndNote Bibliography Char"/>
    <w:link w:val="EndNoteBibliography"/>
    <w:rsid w:val="00675C3B"/>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i.Liu@fda.hhs.gov" TargetMode="External" /><Relationship Id="rId9" Type="http://schemas.openxmlformats.org/officeDocument/2006/relationships/hyperlink" Target="mailto:Jonnalynn.capezzuto@fda.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17CE75F4DEC4D80522EAF4278EB71" ma:contentTypeVersion="6" ma:contentTypeDescription="Create a new document." ma:contentTypeScope="" ma:versionID="1057a58e781fdc88b8705287933f9fd4">
  <xsd:schema xmlns:xsd="http://www.w3.org/2001/XMLSchema" xmlns:xs="http://www.w3.org/2001/XMLSchema" xmlns:p="http://schemas.microsoft.com/office/2006/metadata/properties" xmlns:ns2="b5022a83-871b-4d85-bad2-b5228c1d4066" targetNamespace="http://schemas.microsoft.com/office/2006/metadata/properties" ma:root="true" ma:fieldsID="93de2c6b4f40ac2ab22141ff566d0aaf" ns2:_="">
    <xsd:import namespace="b5022a83-871b-4d85-bad2-b5228c1d40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2a83-871b-4d85-bad2-b5228c1d4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F1525-1B28-4987-93EE-7A2E8580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2a83-871b-4d85-bad2-b5228c1d4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FF443-75D8-4373-B739-360647AE74F7}">
  <ds:schemaRefs>
    <ds:schemaRef ds:uri="http://schemas.openxmlformats.org/officeDocument/2006/bibliography"/>
  </ds:schemaRefs>
</ds:datastoreItem>
</file>

<file path=customXml/itemProps3.xml><?xml version="1.0" encoding="utf-8"?>
<ds:datastoreItem xmlns:ds="http://schemas.openxmlformats.org/officeDocument/2006/customXml" ds:itemID="{B4CCC25A-A271-4481-AA31-63B9FB3FF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8B5DC9-5B7C-44CC-8924-B370D6A06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1723</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StClair, Christopher</dc:creator>
  <cp:keywords>MERC OMB MEP</cp:keywords>
  <cp:lastModifiedBy>Capezzuto, JonnaLynn</cp:lastModifiedBy>
  <cp:revision>4</cp:revision>
  <cp:lastPrinted>2013-06-14T13:30:00Z</cp:lastPrinted>
  <dcterms:created xsi:type="dcterms:W3CDTF">2023-03-06T17:13:00Z</dcterms:created>
  <dcterms:modified xsi:type="dcterms:W3CDTF">2023-03-06T17:14:00Z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0x0101006B717CE75F4DEC4D80522EAF4278EB71</vt:lpwstr>
  </property>
  <property fmtid="{D5CDD505-2E9C-101B-9397-08002B2CF9AE}" pid="3" name="_NewReviewCycle">
    <vt:lpwstr/>
  </property>
</Properties>
</file>