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F91" w:rsidP="00BF5F91" w14:paraId="56685CEC" w14:textId="503556AA">
      <w:pPr>
        <w:spacing w:before="120"/>
        <w:jc w:val="center"/>
      </w:pPr>
      <w:r>
        <w:t>U.S.</w:t>
      </w:r>
      <w:r>
        <w:t xml:space="preserve"> Food and Drug Administration</w:t>
      </w:r>
      <w:r>
        <w:br/>
        <w:t>Generic Clearance: Request for Data to Support Social and Behavioral Research</w:t>
      </w:r>
      <w:r>
        <w:br/>
        <w:t>OMB Control Number 0910-</w:t>
      </w:r>
      <w:r w:rsidR="00B41C41">
        <w:t>0847</w:t>
      </w:r>
      <w:r>
        <w:br/>
        <w:t>Gen IC Request for Approval</w:t>
      </w:r>
    </w:p>
    <w:p w:rsidR="00BF5F91" w:rsidP="005E23BA" w14:paraId="7CC1B7E0" w14:textId="77777777">
      <w:pPr>
        <w:spacing w:before="120"/>
      </w:pPr>
    </w:p>
    <w:p w:rsidR="008B645B" w:rsidP="001B52C7" w14:paraId="65D89ABC" w14:textId="5A1E2BB0">
      <w:pPr>
        <w:jc w:val="both"/>
        <w:rPr>
          <w:color w:val="000000"/>
          <w:spacing w:val="-1"/>
        </w:rPr>
      </w:pPr>
      <w:r w:rsidRPr="00BF5F91">
        <w:rPr>
          <w:rFonts w:eastAsia="Calibri"/>
          <w:b/>
        </w:rPr>
        <w:t>Title of Gen IC:</w:t>
      </w:r>
      <w:r w:rsidRPr="00BF5F91">
        <w:rPr>
          <w:rFonts w:eastAsia="Calibri"/>
        </w:rPr>
        <w:t xml:space="preserve"> </w:t>
      </w:r>
      <w:r w:rsidRPr="000D79C1" w:rsidR="000D79C1">
        <w:rPr>
          <w:color w:val="000000"/>
          <w:spacing w:val="-1"/>
        </w:rPr>
        <w:t xml:space="preserve">A </w:t>
      </w:r>
      <w:r w:rsidR="00CE18FD">
        <w:rPr>
          <w:color w:val="000000"/>
          <w:spacing w:val="-1"/>
        </w:rPr>
        <w:t>P</w:t>
      </w:r>
      <w:r w:rsidRPr="000D79C1" w:rsidR="000D79C1">
        <w:rPr>
          <w:color w:val="000000"/>
          <w:spacing w:val="-1"/>
        </w:rPr>
        <w:t xml:space="preserve">ositive </w:t>
      </w:r>
      <w:r w:rsidR="00CE18FD">
        <w:rPr>
          <w:color w:val="000000"/>
          <w:spacing w:val="-1"/>
        </w:rPr>
        <w:t>D</w:t>
      </w:r>
      <w:r w:rsidRPr="000D79C1" w:rsidR="000D79C1">
        <w:rPr>
          <w:color w:val="000000"/>
          <w:spacing w:val="-1"/>
        </w:rPr>
        <w:t xml:space="preserve">eviance </w:t>
      </w:r>
      <w:r w:rsidR="00CE18FD">
        <w:rPr>
          <w:color w:val="000000"/>
          <w:spacing w:val="-1"/>
        </w:rPr>
        <w:t>A</w:t>
      </w:r>
      <w:r w:rsidRPr="000D79C1" w:rsidR="000D79C1">
        <w:rPr>
          <w:color w:val="000000"/>
          <w:spacing w:val="-1"/>
        </w:rPr>
        <w:t xml:space="preserve">pproach for </w:t>
      </w:r>
      <w:r w:rsidR="00CE18FD">
        <w:rPr>
          <w:color w:val="000000"/>
          <w:spacing w:val="-1"/>
        </w:rPr>
        <w:t>R</w:t>
      </w:r>
      <w:r w:rsidRPr="000D79C1" w:rsidR="000D79C1">
        <w:rPr>
          <w:color w:val="000000"/>
          <w:spacing w:val="-1"/>
        </w:rPr>
        <w:t xml:space="preserve">epresenting </w:t>
      </w:r>
      <w:r w:rsidR="00CE18FD">
        <w:rPr>
          <w:color w:val="000000"/>
          <w:spacing w:val="-1"/>
        </w:rPr>
        <w:t>W</w:t>
      </w:r>
      <w:r w:rsidRPr="000D79C1" w:rsidR="000D79C1">
        <w:rPr>
          <w:color w:val="000000"/>
          <w:spacing w:val="-1"/>
        </w:rPr>
        <w:t xml:space="preserve">omen, </w:t>
      </w:r>
      <w:r w:rsidR="00CE18FD">
        <w:rPr>
          <w:color w:val="000000"/>
          <w:spacing w:val="-1"/>
        </w:rPr>
        <w:t>O</w:t>
      </w:r>
      <w:r w:rsidRPr="000D79C1" w:rsidR="000D79C1">
        <w:rPr>
          <w:color w:val="000000"/>
          <w:spacing w:val="-1"/>
        </w:rPr>
        <w:t xml:space="preserve">lder </w:t>
      </w:r>
      <w:r w:rsidR="00CE18FD">
        <w:rPr>
          <w:color w:val="000000"/>
          <w:spacing w:val="-1"/>
        </w:rPr>
        <w:t>A</w:t>
      </w:r>
      <w:r w:rsidRPr="000D79C1" w:rsidR="000D79C1">
        <w:rPr>
          <w:color w:val="000000"/>
          <w:spacing w:val="-1"/>
        </w:rPr>
        <w:t xml:space="preserve">dults and </w:t>
      </w:r>
      <w:r w:rsidR="00CE18FD">
        <w:rPr>
          <w:color w:val="000000"/>
          <w:spacing w:val="-1"/>
        </w:rPr>
        <w:t>P</w:t>
      </w:r>
      <w:r w:rsidRPr="000D79C1" w:rsidR="000D79C1">
        <w:rPr>
          <w:color w:val="000000"/>
          <w:spacing w:val="-1"/>
        </w:rPr>
        <w:t xml:space="preserve">atients </w:t>
      </w:r>
      <w:r w:rsidR="00CE18FD">
        <w:rPr>
          <w:color w:val="000000"/>
          <w:spacing w:val="-1"/>
        </w:rPr>
        <w:t>I</w:t>
      </w:r>
      <w:r w:rsidRPr="000D79C1" w:rsidR="000D79C1">
        <w:rPr>
          <w:color w:val="000000"/>
          <w:spacing w:val="-1"/>
        </w:rPr>
        <w:t xml:space="preserve">dentifying as </w:t>
      </w:r>
      <w:r w:rsidR="00CE18FD">
        <w:rPr>
          <w:color w:val="000000"/>
          <w:spacing w:val="-1"/>
        </w:rPr>
        <w:t>R</w:t>
      </w:r>
      <w:r w:rsidRPr="000D79C1" w:rsidR="000D79C1">
        <w:rPr>
          <w:color w:val="000000"/>
          <w:spacing w:val="-1"/>
        </w:rPr>
        <w:t xml:space="preserve">acial and </w:t>
      </w:r>
      <w:r w:rsidR="00CE18FD">
        <w:rPr>
          <w:color w:val="000000"/>
          <w:spacing w:val="-1"/>
        </w:rPr>
        <w:t>E</w:t>
      </w:r>
      <w:r w:rsidRPr="000D79C1" w:rsidR="000D79C1">
        <w:rPr>
          <w:color w:val="000000"/>
          <w:spacing w:val="-1"/>
        </w:rPr>
        <w:t xml:space="preserve">thnic </w:t>
      </w:r>
      <w:r w:rsidR="00CE18FD">
        <w:rPr>
          <w:color w:val="000000"/>
          <w:spacing w:val="-1"/>
        </w:rPr>
        <w:t>M</w:t>
      </w:r>
      <w:r w:rsidRPr="000D79C1" w:rsidR="000D79C1">
        <w:rPr>
          <w:color w:val="000000"/>
          <w:spacing w:val="-1"/>
        </w:rPr>
        <w:t xml:space="preserve">inorities in </w:t>
      </w:r>
      <w:r w:rsidR="00CE18FD">
        <w:rPr>
          <w:color w:val="000000"/>
          <w:spacing w:val="-1"/>
        </w:rPr>
        <w:t>O</w:t>
      </w:r>
      <w:r w:rsidRPr="000D79C1" w:rsidR="000D79C1">
        <w:rPr>
          <w:color w:val="000000"/>
          <w:spacing w:val="-1"/>
        </w:rPr>
        <w:t xml:space="preserve">ncology </w:t>
      </w:r>
      <w:r w:rsidR="00CE18FD">
        <w:rPr>
          <w:color w:val="000000"/>
          <w:spacing w:val="-1"/>
        </w:rPr>
        <w:t>R</w:t>
      </w:r>
      <w:r w:rsidRPr="000D79C1" w:rsidR="000D79C1">
        <w:rPr>
          <w:color w:val="000000"/>
          <w:spacing w:val="-1"/>
        </w:rPr>
        <w:t>esearch</w:t>
      </w:r>
    </w:p>
    <w:p w:rsidR="00CA0A3D" w:rsidRPr="00BF5F91" w:rsidP="001B52C7" w14:paraId="369351F9" w14:textId="77777777">
      <w:pPr>
        <w:jc w:val="both"/>
        <w:rPr>
          <w:rFonts w:eastAsia="Calibri"/>
        </w:rPr>
      </w:pPr>
    </w:p>
    <w:p w:rsidR="00BF5F91" w:rsidP="001B52C7" w14:paraId="41B50C4B" w14:textId="77777777">
      <w:pPr>
        <w:numPr>
          <w:ilvl w:val="0"/>
          <w:numId w:val="23"/>
        </w:numPr>
        <w:jc w:val="both"/>
        <w:rPr>
          <w:b/>
        </w:rPr>
      </w:pPr>
      <w:r w:rsidRPr="00BF5F91">
        <w:rPr>
          <w:b/>
        </w:rPr>
        <w:t>Statement of Need:</w:t>
      </w:r>
    </w:p>
    <w:p w:rsidR="00F61DA3" w:rsidP="00F61DA3" w14:paraId="6B4C9435" w14:textId="77777777">
      <w:pPr>
        <w:pStyle w:val="ListParagraph"/>
        <w:ind w:left="360"/>
      </w:pPr>
    </w:p>
    <w:p w:rsidR="00BF0610" w:rsidP="00B24722" w14:paraId="0A8796BB" w14:textId="3F62A5DE">
      <w:pPr>
        <w:ind w:left="360"/>
      </w:pPr>
      <w:r w:rsidRPr="00401EC7">
        <w:t xml:space="preserve">The purpose of </w:t>
      </w:r>
      <w:r w:rsidRPr="00401EC7">
        <w:rPr>
          <w:snapToGrid w:val="0"/>
          <w:color w:val="000000" w:themeColor="text1"/>
        </w:rPr>
        <w:t>this</w:t>
      </w:r>
      <w:r w:rsidRPr="00401EC7">
        <w:t xml:space="preserve"> information collection is to identify practices, strategies and organizational contexts </w:t>
      </w:r>
      <w:r w:rsidR="009F0C90">
        <w:t xml:space="preserve">that </w:t>
      </w:r>
      <w:r w:rsidRPr="00401EC7">
        <w:t xml:space="preserve">allows </w:t>
      </w:r>
      <w:r w:rsidR="009F0C90">
        <w:t>sponsors to</w:t>
      </w:r>
      <w:r w:rsidRPr="00401EC7">
        <w:t xml:space="preserve"> achieve top performance in recruiting underrepresented minorities in oncology clinical trials. </w:t>
      </w:r>
      <w:r w:rsidR="00D133A0">
        <w:t>The researchers will use a positive deviance approach to identify top performers.</w:t>
      </w:r>
    </w:p>
    <w:p w:rsidR="00D133A0" w:rsidP="00B24722" w14:paraId="763997AB" w14:textId="1A7C77F4">
      <w:pPr>
        <w:ind w:left="360"/>
      </w:pPr>
    </w:p>
    <w:p w:rsidR="00462B38" w:rsidP="00B24722" w14:paraId="2929E4DC" w14:textId="2CA4C66D">
      <w:pPr>
        <w:ind w:left="360"/>
      </w:pPr>
      <w:r>
        <w:t xml:space="preserve">The researchers will </w:t>
      </w:r>
      <w:r w:rsidR="009F0C90">
        <w:t>analyze</w:t>
      </w:r>
      <w:r w:rsidR="00D9279A">
        <w:t xml:space="preserve"> pivotal trials supporting FDA approval of novel cancer therapeutics from 20</w:t>
      </w:r>
      <w:r w:rsidR="00696D57">
        <w:t>12</w:t>
      </w:r>
      <w:r w:rsidR="00D9279A">
        <w:t>-2021 to identify top performing sponsors (“positive deviants”</w:t>
      </w:r>
      <w:r w:rsidR="0095600C">
        <w:t>)</w:t>
      </w:r>
      <w:r w:rsidR="00D9279A">
        <w:t xml:space="preserve"> on enrolling demographically representative trial populations. </w:t>
      </w:r>
      <w:r>
        <w:t xml:space="preserve">Trial participant demographics </w:t>
      </w:r>
      <w:r w:rsidR="00A44468">
        <w:t xml:space="preserve">will be </w:t>
      </w:r>
      <w:r>
        <w:t xml:space="preserve">compared to those of the patients with the disease or condition targeted in a study by constructing a participant-to-prevalence ratio (PPR). Studies with at least a PPR of 0.8 </w:t>
      </w:r>
      <w:r w:rsidR="6947D9F8">
        <w:t>will be</w:t>
      </w:r>
      <w:r>
        <w:t xml:space="preserve"> considered to have adequate representation and </w:t>
      </w:r>
      <w:r w:rsidR="489A4C91">
        <w:t xml:space="preserve">will </w:t>
      </w:r>
      <w:r>
        <w:t xml:space="preserve">receive a score of 100%. </w:t>
      </w:r>
    </w:p>
    <w:p w:rsidR="00462B38" w:rsidP="00B24722" w14:paraId="208BF85B" w14:textId="2B7341DF">
      <w:pPr>
        <w:ind w:left="360"/>
      </w:pPr>
    </w:p>
    <w:p w:rsidR="004172AA" w:rsidP="004172AA" w14:paraId="08ACA69E" w14:textId="1ADC995B">
      <w:pPr>
        <w:ind w:left="360"/>
      </w:pPr>
      <w:r>
        <w:t xml:space="preserve">FDA is seeking OMB approval to conduct </w:t>
      </w:r>
      <w:r w:rsidR="00BF4D99">
        <w:t>24</w:t>
      </w:r>
      <w:r w:rsidR="003B3240">
        <w:t xml:space="preserve"> </w:t>
      </w:r>
      <w:r>
        <w:t xml:space="preserve">interviews with </w:t>
      </w:r>
      <w:r w:rsidR="00710CFE">
        <w:t>respondents</w:t>
      </w:r>
      <w:r>
        <w:t xml:space="preserve"> i</w:t>
      </w:r>
      <w:r w:rsidR="0095600C">
        <w:t>dentified as positive deviants as described above</w:t>
      </w:r>
      <w:r>
        <w:t>. Each interview will last approximately 60</w:t>
      </w:r>
      <w:r w:rsidR="003B3240">
        <w:t xml:space="preserve"> </w:t>
      </w:r>
      <w:r>
        <w:t>minutes. Transcribed data will be analyzed using a constant comparative approach.</w:t>
      </w:r>
    </w:p>
    <w:p w:rsidR="004172AA" w:rsidP="00B24722" w14:paraId="7FB2C7EC" w14:textId="77777777">
      <w:pPr>
        <w:ind w:left="360"/>
      </w:pPr>
    </w:p>
    <w:p w:rsidR="00332451" w:rsidRPr="00401EC7" w:rsidP="0012405B" w14:paraId="51702A59" w14:textId="1BF40024">
      <w:pPr>
        <w:autoSpaceDE w:val="0"/>
        <w:autoSpaceDN w:val="0"/>
        <w:adjustRightInd w:val="0"/>
        <w:spacing w:after="120"/>
        <w:ind w:left="360"/>
        <w:rPr>
          <w:shd w:val="clear" w:color="auto" w:fill="FFFFFF"/>
        </w:rPr>
      </w:pPr>
      <w:r>
        <w:t>E</w:t>
      </w:r>
      <w:r w:rsidRPr="00401EC7">
        <w:t>fforts to improve representation and diversity in clinical research span decades, yet disparities in enrollment persist. Studies show new cancer therapies are often tested in patients who are younger, healthier, and more likely to identify as White than real world patients with studied conditions</w:t>
      </w:r>
      <w:r w:rsidRPr="00401EC7">
        <w:rPr>
          <w:shd w:val="clear" w:color="auto" w:fill="FFFFFF"/>
        </w:rPr>
        <w:t>.</w:t>
      </w:r>
      <w:r w:rsidRPr="00401EC7" w:rsidR="00DA6282">
        <w:rPr>
          <w:shd w:val="clear" w:color="auto" w:fill="FFFFFF"/>
        </w:rPr>
        <w:t xml:space="preserve"> </w:t>
      </w:r>
      <w:r w:rsidRPr="00401EC7">
        <w:rPr>
          <w:shd w:val="clear" w:color="auto" w:fill="FFFFFF"/>
        </w:rPr>
        <w:t xml:space="preserve">Women are </w:t>
      </w:r>
      <w:r w:rsidRPr="00401EC7">
        <w:t>under-represented in trials for some types of cancer</w:t>
      </w:r>
      <w:r w:rsidRPr="00401EC7" w:rsidR="0F5AC9DE">
        <w:t>,</w:t>
      </w:r>
      <w:r w:rsidRPr="00401EC7">
        <w:t xml:space="preserve"> too.</w:t>
      </w:r>
      <w:r w:rsidRPr="00401EC7">
        <w:rPr>
          <w:shd w:val="clear" w:color="auto" w:fill="FFFFFF"/>
        </w:rPr>
        <w:t xml:space="preserve"> The barriers to enrolling representative trial participants have been well-described and include provider bias, patient mistrust of a health system with a long history of racism, trial eligibility criteria, and financial barriers, among others.</w:t>
      </w:r>
      <w:r w:rsidRPr="00401EC7" w:rsidR="00DA6282">
        <w:rPr>
          <w:shd w:val="clear" w:color="auto" w:fill="FFFFFF"/>
        </w:rPr>
        <w:t xml:space="preserve"> </w:t>
      </w:r>
      <w:r w:rsidRPr="00401EC7">
        <w:rPr>
          <w:shd w:val="clear" w:color="auto" w:fill="FFFFFF"/>
        </w:rPr>
        <w:t>Provider behaviors and strategies certainly play a role; some evidence suggests that Black and Latinx patients may be less likely to be asked to participate in studies than White patients.</w:t>
      </w:r>
    </w:p>
    <w:p w:rsidR="00332451" w:rsidRPr="00401EC7" w:rsidP="0012405B" w14:paraId="57156E93" w14:textId="29459601">
      <w:pPr>
        <w:autoSpaceDE w:val="0"/>
        <w:autoSpaceDN w:val="0"/>
        <w:adjustRightInd w:val="0"/>
        <w:spacing w:after="120"/>
        <w:ind w:left="360"/>
        <w:rPr>
          <w:shd w:val="clear" w:color="auto" w:fill="FFFFFF"/>
        </w:rPr>
      </w:pPr>
      <w:r w:rsidRPr="00401EC7">
        <w:rPr>
          <w:shd w:val="clear" w:color="auto" w:fill="FFFFFF"/>
        </w:rPr>
        <w:t xml:space="preserve">When trial participants do not represent the age, sex, racial or </w:t>
      </w:r>
      <w:r w:rsidRPr="00401EC7" w:rsidR="00CA59FC">
        <w:rPr>
          <w:shd w:val="clear" w:color="auto" w:fill="FFFFFF"/>
        </w:rPr>
        <w:t>ethnic identity</w:t>
      </w:r>
      <w:r w:rsidRPr="00401EC7">
        <w:rPr>
          <w:shd w:val="clear" w:color="auto" w:fill="FFFFFF"/>
        </w:rPr>
        <w:t xml:space="preserve"> </w:t>
      </w:r>
      <w:r w:rsidRPr="00401EC7">
        <w:t xml:space="preserve">of patients for whom treatment is indicated, </w:t>
      </w:r>
      <w:r w:rsidRPr="00401EC7">
        <w:rPr>
          <w:shd w:val="clear" w:color="auto" w:fill="FFFFFF"/>
        </w:rPr>
        <w:t>clinicians, payers and patients can be left wondering how to apply trial findings for themselves and patients.</w:t>
      </w:r>
      <w:r w:rsidRPr="00401EC7" w:rsidR="00DA6282">
        <w:t xml:space="preserve"> </w:t>
      </w:r>
      <w:r w:rsidRPr="00401EC7">
        <w:t xml:space="preserve">This can harm patients through several mechanisms. In some cases, when the risks of a treatment in real-world patients are substantially higher than trial participants, then using those treatments in routine practice may result in greater harm than benefit. In other instances, clinicians may avoid using new treatments in certain patient groups (such as older patients), even though they may benefit. Further, inadequate inclusion can </w:t>
      </w:r>
      <w:r w:rsidRPr="00401EC7">
        <w:rPr>
          <w:shd w:val="clear" w:color="auto" w:fill="FFFFFF"/>
        </w:rPr>
        <w:t>exclude certain groups from the</w:t>
      </w:r>
      <w:r w:rsidRPr="00401EC7">
        <w:t xml:space="preserve"> benefits of research, especially having treatments guided by evidence applying to patients like them. Such exclusion can risk harm exposure and </w:t>
      </w:r>
      <w:r w:rsidRPr="00401EC7">
        <w:rPr>
          <w:shd w:val="clear" w:color="auto" w:fill="FFFFFF"/>
        </w:rPr>
        <w:t>lost opportunities to pursue more effective therapies</w:t>
      </w:r>
      <w:r w:rsidRPr="00401EC7">
        <w:t xml:space="preserve">. </w:t>
      </w:r>
    </w:p>
    <w:p w:rsidR="00F61DA3" w:rsidP="0012405B" w14:paraId="5C25F5AE" w14:textId="08315BCB">
      <w:pPr>
        <w:autoSpaceDE w:val="0"/>
        <w:autoSpaceDN w:val="0"/>
        <w:adjustRightInd w:val="0"/>
        <w:spacing w:after="120"/>
        <w:ind w:left="360"/>
      </w:pPr>
      <w:r>
        <w:t xml:space="preserve">Previous </w:t>
      </w:r>
      <w:r w:rsidR="0012405B">
        <w:t xml:space="preserve">research </w:t>
      </w:r>
      <w:r w:rsidR="002E4969">
        <w:t xml:space="preserve">evaluating publicly available data about the </w:t>
      </w:r>
      <w:r w:rsidR="00024ACD">
        <w:t xml:space="preserve">numbers of historically underrepresented groups included in </w:t>
      </w:r>
      <w:r w:rsidR="00B24722">
        <w:t>pivotal trials supporting novel cancer therapeutics</w:t>
      </w:r>
      <w:r w:rsidR="00512B50">
        <w:t xml:space="preserve"> that were</w:t>
      </w:r>
      <w:r w:rsidR="00B24722">
        <w:t xml:space="preserve"> approved by the FDA from 2012 to 2017, shows some trials are better than others and some </w:t>
      </w:r>
      <w:r w:rsidR="00B24722">
        <w:t>companies are consistently better than their peers at enrolling representative samples.</w:t>
      </w:r>
      <w:r w:rsidRPr="042712EB" w:rsidR="00DA6282">
        <w:rPr>
          <w:rStyle w:val="Emphasis"/>
          <w:rFonts w:eastAsiaTheme="majorEastAsia"/>
        </w:rPr>
        <w:t xml:space="preserve"> </w:t>
      </w:r>
      <w:r w:rsidRPr="042712EB" w:rsidR="00B24722">
        <w:rPr>
          <w:rStyle w:val="Emphasis"/>
          <w:rFonts w:eastAsiaTheme="majorEastAsia"/>
        </w:rPr>
        <w:t xml:space="preserve">We propose studying what distinguishes exceptional performing sponsors and trials from their peers on specific measures, using a positive deviance approach, to determine </w:t>
      </w:r>
      <w:r w:rsidR="00B24722">
        <w:t>shared behaviors, strategies and contexts enabling them to perform better</w:t>
      </w:r>
      <w:r w:rsidR="00D14E95">
        <w:t xml:space="preserve"> </w:t>
      </w:r>
      <w:r w:rsidR="00B24722">
        <w:t>that can be generalized and implemented by the broader research community to produce similar results.</w:t>
      </w:r>
    </w:p>
    <w:p w:rsidR="0090394D" w:rsidRPr="0090394D" w:rsidP="0090394D" w14:paraId="07A4A9DB" w14:textId="4146A76B">
      <w:pPr>
        <w:numPr>
          <w:ilvl w:val="0"/>
          <w:numId w:val="23"/>
        </w:numPr>
        <w:rPr>
          <w:color w:val="000000"/>
        </w:rPr>
      </w:pPr>
      <w:r w:rsidRPr="0090394D">
        <w:rPr>
          <w:b/>
        </w:rPr>
        <w:t>Intended Use of the Information:</w:t>
      </w:r>
      <w:r w:rsidRPr="0090394D">
        <w:rPr>
          <w:b/>
        </w:rPr>
        <w:br/>
      </w:r>
    </w:p>
    <w:p w:rsidR="00CA72E1" w:rsidP="002875EF" w14:paraId="08AC06CF" w14:textId="59CBD69A">
      <w:pPr>
        <w:ind w:left="360"/>
        <w:rPr>
          <w:color w:val="000000"/>
        </w:rPr>
      </w:pPr>
      <w:r w:rsidRPr="00CA72E1">
        <w:rPr>
          <w:color w:val="000000"/>
        </w:rPr>
        <w:t xml:space="preserve">The objective of the proposed work is qualitative understanding </w:t>
      </w:r>
      <w:r>
        <w:rPr>
          <w:color w:val="000000"/>
        </w:rPr>
        <w:t>of the factors which</w:t>
      </w:r>
      <w:r w:rsidR="00EC7206">
        <w:rPr>
          <w:color w:val="000000"/>
        </w:rPr>
        <w:t xml:space="preserve"> lead to adequate representation of minority groups in oncology clinical trials</w:t>
      </w:r>
      <w:r w:rsidRPr="00CA72E1">
        <w:rPr>
          <w:color w:val="000000"/>
        </w:rPr>
        <w:t xml:space="preserve">. The aim is not statistical representation, but instead to gather information </w:t>
      </w:r>
      <w:r w:rsidR="00BF0610">
        <w:rPr>
          <w:color w:val="000000"/>
        </w:rPr>
        <w:t>from multiple sponsors</w:t>
      </w:r>
      <w:r w:rsidRPr="00CA72E1">
        <w:rPr>
          <w:color w:val="000000"/>
        </w:rPr>
        <w:t>.</w:t>
      </w:r>
      <w:r w:rsidR="0094660D">
        <w:rPr>
          <w:color w:val="000000"/>
        </w:rPr>
        <w:t xml:space="preserve"> The goal </w:t>
      </w:r>
      <w:r w:rsidR="00A44468">
        <w:rPr>
          <w:color w:val="000000"/>
        </w:rPr>
        <w:t xml:space="preserve">of the project is </w:t>
      </w:r>
      <w:r w:rsidR="0094660D">
        <w:rPr>
          <w:color w:val="000000"/>
        </w:rPr>
        <w:t xml:space="preserve">to publish </w:t>
      </w:r>
      <w:r w:rsidR="002D3E32">
        <w:rPr>
          <w:color w:val="000000"/>
        </w:rPr>
        <w:t xml:space="preserve">manuscripts to </w:t>
      </w:r>
      <w:r w:rsidR="00A44468">
        <w:rPr>
          <w:color w:val="000000"/>
        </w:rPr>
        <w:t>disseminate information to the scientific community about</w:t>
      </w:r>
      <w:r w:rsidR="002D3E32">
        <w:rPr>
          <w:color w:val="000000"/>
        </w:rPr>
        <w:t xml:space="preserve"> </w:t>
      </w:r>
      <w:r w:rsidR="001F2A0A">
        <w:rPr>
          <w:color w:val="000000"/>
        </w:rPr>
        <w:t xml:space="preserve">strategies to </w:t>
      </w:r>
      <w:r w:rsidR="002D3E32">
        <w:rPr>
          <w:color w:val="000000"/>
        </w:rPr>
        <w:t>increas</w:t>
      </w:r>
      <w:r w:rsidR="001F2A0A">
        <w:rPr>
          <w:color w:val="000000"/>
        </w:rPr>
        <w:t>e</w:t>
      </w:r>
      <w:r w:rsidR="002D3E32">
        <w:rPr>
          <w:color w:val="000000"/>
        </w:rPr>
        <w:t xml:space="preserve"> enrollment of</w:t>
      </w:r>
      <w:r w:rsidRPr="00CA72E1">
        <w:rPr>
          <w:color w:val="000000"/>
        </w:rPr>
        <w:t xml:space="preserve"> </w:t>
      </w:r>
      <w:r w:rsidR="00ED62F8">
        <w:rPr>
          <w:color w:val="000000"/>
        </w:rPr>
        <w:t>unrepresented groups in oncology clinical trials.</w:t>
      </w:r>
      <w:r w:rsidR="008A124E">
        <w:rPr>
          <w:color w:val="000000"/>
        </w:rPr>
        <w:t xml:space="preserve"> </w:t>
      </w:r>
      <w:r w:rsidRPr="00CA72E1">
        <w:rPr>
          <w:color w:val="000000"/>
        </w:rPr>
        <w:t>The data collection proposed here will not be directly used for making policy or regulatory decisions.</w:t>
      </w:r>
    </w:p>
    <w:p w:rsidR="00856B5D" w:rsidRPr="00BF5F91" w:rsidP="00CC3781" w14:paraId="77D32E40" w14:textId="17DD3A2B">
      <w:pPr>
        <w:ind w:left="360"/>
        <w:jc w:val="both"/>
      </w:pPr>
    </w:p>
    <w:p w:rsidR="00BF5F91" w:rsidRPr="00BF5F91" w:rsidP="001B52C7" w14:paraId="43189D36" w14:textId="77777777">
      <w:pPr>
        <w:widowControl w:val="0"/>
        <w:numPr>
          <w:ilvl w:val="0"/>
          <w:numId w:val="23"/>
        </w:numPr>
        <w:contextualSpacing/>
        <w:jc w:val="both"/>
        <w:rPr>
          <w:b/>
          <w:snapToGrid w:val="0"/>
        </w:rPr>
      </w:pPr>
      <w:r w:rsidRPr="00BF5F91">
        <w:rPr>
          <w:b/>
          <w:snapToGrid w:val="0"/>
        </w:rPr>
        <w:t>Description of Respondents:</w:t>
      </w:r>
    </w:p>
    <w:p w:rsidR="001754F9" w:rsidP="001B52C7" w14:paraId="29248DCA" w14:textId="7A6040D8">
      <w:pPr>
        <w:widowControl w:val="0"/>
        <w:ind w:left="360"/>
        <w:jc w:val="both"/>
        <w:rPr>
          <w:snapToGrid w:val="0"/>
        </w:rPr>
      </w:pPr>
    </w:p>
    <w:p w:rsidR="003B3240" w:rsidP="00435461" w14:paraId="3E5CE883" w14:textId="3954401C">
      <w:pPr>
        <w:ind w:left="360"/>
        <w:rPr>
          <w:snapToGrid w:val="0"/>
          <w:color w:val="000000" w:themeColor="text1"/>
        </w:rPr>
      </w:pPr>
      <w:r>
        <w:rPr>
          <w:snapToGrid w:val="0"/>
          <w:color w:val="000000" w:themeColor="text1"/>
        </w:rPr>
        <w:t xml:space="preserve">Study respondents will be </w:t>
      </w:r>
      <w:r w:rsidR="00CD6B8A">
        <w:rPr>
          <w:snapToGrid w:val="0"/>
          <w:color w:val="000000" w:themeColor="text1"/>
        </w:rPr>
        <w:t>staff and administrators</w:t>
      </w:r>
      <w:r>
        <w:rPr>
          <w:snapToGrid w:val="0"/>
          <w:color w:val="000000" w:themeColor="text1"/>
        </w:rPr>
        <w:t xml:space="preserve"> </w:t>
      </w:r>
      <w:r w:rsidR="009444D7">
        <w:rPr>
          <w:snapToGrid w:val="0"/>
          <w:color w:val="000000" w:themeColor="text1"/>
        </w:rPr>
        <w:t>from</w:t>
      </w:r>
      <w:r>
        <w:rPr>
          <w:snapToGrid w:val="0"/>
          <w:color w:val="000000" w:themeColor="text1"/>
        </w:rPr>
        <w:t xml:space="preserve"> organizations</w:t>
      </w:r>
      <w:r w:rsidR="00CD6B8A">
        <w:rPr>
          <w:snapToGrid w:val="0"/>
          <w:color w:val="000000" w:themeColor="text1"/>
        </w:rPr>
        <w:t xml:space="preserve"> </w:t>
      </w:r>
      <w:r>
        <w:rPr>
          <w:snapToGrid w:val="0"/>
          <w:color w:val="000000" w:themeColor="text1"/>
        </w:rPr>
        <w:t>who sponsored pivotal</w:t>
      </w:r>
      <w:r>
        <w:rPr>
          <w:snapToGrid w:val="0"/>
          <w:color w:val="000000" w:themeColor="text1"/>
        </w:rPr>
        <w:t xml:space="preserve"> trials </w:t>
      </w:r>
      <w:r>
        <w:rPr>
          <w:snapToGrid w:val="0"/>
          <w:color w:val="000000" w:themeColor="text1"/>
        </w:rPr>
        <w:t xml:space="preserve">supporting novel oncology drug approvals by the FDA between 2012 and 2021 who </w:t>
      </w:r>
      <w:r>
        <w:rPr>
          <w:snapToGrid w:val="0"/>
          <w:color w:val="000000" w:themeColor="text1"/>
        </w:rPr>
        <w:t xml:space="preserve">have successfully recruited underrepresented minority groups </w:t>
      </w:r>
      <w:r>
        <w:rPr>
          <w:snapToGrid w:val="0"/>
          <w:color w:val="000000" w:themeColor="text1"/>
        </w:rPr>
        <w:t>and</w:t>
      </w:r>
      <w:r w:rsidR="00A77C5F">
        <w:rPr>
          <w:snapToGrid w:val="0"/>
          <w:color w:val="000000" w:themeColor="text1"/>
        </w:rPr>
        <w:t xml:space="preserve"> </w:t>
      </w:r>
      <w:r>
        <w:rPr>
          <w:snapToGrid w:val="0"/>
          <w:color w:val="000000" w:themeColor="text1"/>
        </w:rPr>
        <w:t xml:space="preserve">are </w:t>
      </w:r>
      <w:r w:rsidR="00A77C5F">
        <w:rPr>
          <w:snapToGrid w:val="0"/>
          <w:color w:val="000000" w:themeColor="text1"/>
        </w:rPr>
        <w:t>identified as positive deviants as described above.</w:t>
      </w:r>
      <w:r>
        <w:rPr>
          <w:snapToGrid w:val="0"/>
          <w:color w:val="000000" w:themeColor="text1"/>
        </w:rPr>
        <w:t xml:space="preserve"> These sponsors are all from industry, comprised of pharmaceutical and biotechnology companies.</w:t>
      </w:r>
    </w:p>
    <w:p w:rsidR="00284EF8" w:rsidP="003B3240" w14:paraId="666FF608" w14:textId="77777777">
      <w:pPr>
        <w:ind w:left="360"/>
        <w:rPr>
          <w:snapToGrid w:val="0"/>
          <w:color w:val="000000" w:themeColor="text1"/>
        </w:rPr>
      </w:pPr>
    </w:p>
    <w:p w:rsidR="002E4BC3" w:rsidP="00435461" w14:paraId="7B212EE3" w14:textId="3F19F07C">
      <w:pPr>
        <w:ind w:left="360"/>
        <w:rPr>
          <w:snapToGrid w:val="0"/>
          <w:color w:val="000000" w:themeColor="text1"/>
        </w:rPr>
      </w:pPr>
      <w:r>
        <w:rPr>
          <w:snapToGrid w:val="0"/>
          <w:color w:val="000000" w:themeColor="text1"/>
        </w:rPr>
        <w:t>Respondents will not be segmented</w:t>
      </w:r>
      <w:r w:rsidRPr="424CC4D6" w:rsidR="11D33F44">
        <w:rPr>
          <w:color w:val="000000" w:themeColor="text1"/>
        </w:rPr>
        <w:t xml:space="preserve">; that is all respondents will be analyzed in a single group </w:t>
      </w:r>
      <w:r w:rsidRPr="424CC4D6" w:rsidR="11D33F44">
        <w:rPr>
          <w:color w:val="000000" w:themeColor="text1"/>
        </w:rPr>
        <w:t xml:space="preserve">and </w:t>
      </w:r>
      <w:r w:rsidRPr="424CC4D6">
        <w:rPr>
          <w:color w:val="000000" w:themeColor="text1"/>
        </w:rPr>
        <w:t xml:space="preserve"> </w:t>
      </w:r>
      <w:r w:rsidRPr="424CC4D6" w:rsidR="11D33F44">
        <w:rPr>
          <w:color w:val="000000" w:themeColor="text1"/>
        </w:rPr>
        <w:t>not</w:t>
      </w:r>
      <w:r w:rsidRPr="424CC4D6" w:rsidR="11D33F44">
        <w:rPr>
          <w:color w:val="000000" w:themeColor="text1"/>
        </w:rPr>
        <w:t xml:space="preserve"> segmented into subgroups.</w:t>
      </w:r>
    </w:p>
    <w:p w:rsidR="00284EF8" w:rsidP="00435461" w14:paraId="43A5E3AE" w14:textId="4E1C6E04">
      <w:pPr>
        <w:ind w:left="360"/>
        <w:rPr>
          <w:snapToGrid w:val="0"/>
          <w:color w:val="000000" w:themeColor="text1"/>
        </w:rPr>
      </w:pPr>
    </w:p>
    <w:p w:rsidR="00BF5F91" w:rsidRPr="00BF5F91" w:rsidP="001B52C7" w14:paraId="2222D0D9" w14:textId="77777777">
      <w:pPr>
        <w:numPr>
          <w:ilvl w:val="0"/>
          <w:numId w:val="23"/>
        </w:numPr>
        <w:contextualSpacing/>
        <w:jc w:val="both"/>
      </w:pPr>
      <w:r w:rsidRPr="00BF5F91">
        <w:rPr>
          <w:b/>
        </w:rPr>
        <w:t xml:space="preserve">How the Information is Collected: </w:t>
      </w:r>
    </w:p>
    <w:p w:rsidR="00BF5F91" w:rsidRPr="00BF5F91" w:rsidP="001B52C7" w14:paraId="2CB2CBE8" w14:textId="77777777">
      <w:pPr>
        <w:jc w:val="both"/>
      </w:pPr>
    </w:p>
    <w:p w:rsidR="00207F09" w:rsidP="00207F09" w14:paraId="267010BB" w14:textId="6008875D">
      <w:pPr>
        <w:pStyle w:val="ListParagraph"/>
        <w:ind w:left="360"/>
      </w:pPr>
      <w:r>
        <w:t xml:space="preserve">After identifying top performing sponsors through </w:t>
      </w:r>
      <w:r w:rsidR="000C101B">
        <w:t>an analysis of the scientific literature, t</w:t>
      </w:r>
      <w:r>
        <w:t>he researchers will send invitations</w:t>
      </w:r>
      <w:r w:rsidR="000C101B">
        <w:t xml:space="preserve"> to potential participants</w:t>
      </w:r>
      <w:r>
        <w:t xml:space="preserve"> by e</w:t>
      </w:r>
      <w:r w:rsidR="001F2A0A">
        <w:t>-</w:t>
      </w:r>
      <w:r>
        <w:t>mail</w:t>
      </w:r>
      <w:r w:rsidR="00F9676A">
        <w:t>.</w:t>
      </w:r>
      <w:r w:rsidR="008C5F0F">
        <w:t xml:space="preserve"> </w:t>
      </w:r>
      <w:r w:rsidR="00BC2748">
        <w:t xml:space="preserve">Before each interview, the researchers will obtain oral consent from each participant. </w:t>
      </w:r>
      <w:r>
        <w:t xml:space="preserve">Prior to each interview, staff and administrators will complete a brief demographic survey and general questions about challenges relating to diversity, </w:t>
      </w:r>
      <w:r w:rsidR="00CA59FC">
        <w:t>equity,</w:t>
      </w:r>
      <w:r>
        <w:t xml:space="preserve"> and inclusion in oncology clinical research. </w:t>
      </w:r>
      <w:r w:rsidRPr="00401EC7">
        <w:t xml:space="preserve">The researchers will use a standardized interview guide that begins with a general question: </w:t>
      </w:r>
    </w:p>
    <w:p w:rsidR="000442EC" w:rsidRPr="00401EC7" w:rsidP="00207F09" w14:paraId="5ACEB46E" w14:textId="77777777">
      <w:pPr>
        <w:pStyle w:val="ListParagraph"/>
        <w:ind w:left="360"/>
      </w:pPr>
    </w:p>
    <w:p w:rsidR="00207F09" w:rsidRPr="00BC2748" w:rsidP="00207F09" w14:paraId="343E9A32" w14:textId="77777777">
      <w:pPr>
        <w:ind w:left="360"/>
        <w:rPr>
          <w:i/>
          <w:iCs/>
        </w:rPr>
      </w:pPr>
      <w:r w:rsidRPr="00BC2748">
        <w:rPr>
          <w:i/>
          <w:iCs/>
        </w:rPr>
        <w:t xml:space="preserve">“In the last 3-5 years, what are the major initiatives your group has undertaken to enable representation of women, older adults and or Asian, Black and </w:t>
      </w:r>
      <w:r w:rsidRPr="00BC2748">
        <w:rPr>
          <w:i/>
          <w:iCs/>
        </w:rPr>
        <w:t>LatinX</w:t>
      </w:r>
      <w:r w:rsidRPr="00BC2748">
        <w:rPr>
          <w:i/>
          <w:iCs/>
        </w:rPr>
        <w:t xml:space="preserve"> identifying patients in trials;” </w:t>
      </w:r>
    </w:p>
    <w:p w:rsidR="00207F09" w:rsidP="00207F09" w14:paraId="60AE35D9" w14:textId="77777777">
      <w:pPr>
        <w:ind w:left="360"/>
      </w:pPr>
    </w:p>
    <w:p w:rsidR="00207F09" w:rsidRPr="00401EC7" w:rsidP="00207F09" w14:paraId="16549CD4" w14:textId="36F41BED">
      <w:pPr>
        <w:ind w:left="360"/>
      </w:pPr>
      <w:r>
        <w:t xml:space="preserve">The interviewers will then ask </w:t>
      </w:r>
      <w:r w:rsidRPr="00401EC7">
        <w:rPr>
          <w:bCs/>
          <w:color w:val="000000"/>
        </w:rPr>
        <w:t>r</w:t>
      </w:r>
      <w:r w:rsidRPr="00401EC7">
        <w:t>espondents to describe specific instances of difficulty and success in research execution and experiences monitoring progress and sustaining efforts. Interview responses comprising stories and vignettes will be encouraged.</w:t>
      </w:r>
      <w:r>
        <w:t xml:space="preserve"> </w:t>
      </w:r>
    </w:p>
    <w:p w:rsidR="008E7198" w:rsidP="001B52C7" w14:paraId="4BC5EED3" w14:textId="77777777">
      <w:pPr>
        <w:jc w:val="both"/>
        <w:rPr>
          <w:b/>
        </w:rPr>
      </w:pPr>
    </w:p>
    <w:p w:rsidR="00BF5F91" w:rsidRPr="00FE432C" w:rsidP="001B52C7" w14:paraId="4D94E6E0" w14:textId="77777777">
      <w:pPr>
        <w:numPr>
          <w:ilvl w:val="0"/>
          <w:numId w:val="23"/>
        </w:numPr>
        <w:jc w:val="both"/>
      </w:pPr>
      <w:r w:rsidRPr="00BF5F91">
        <w:rPr>
          <w:b/>
        </w:rPr>
        <w:t>Confidentiality of Respondents:</w:t>
      </w:r>
    </w:p>
    <w:p w:rsidR="00FE432C" w:rsidRPr="00BF5F91" w:rsidP="001B52C7" w14:paraId="646A01E7" w14:textId="77777777">
      <w:pPr>
        <w:ind w:left="360"/>
        <w:jc w:val="both"/>
      </w:pPr>
    </w:p>
    <w:p w:rsidR="009167B0" w:rsidRPr="00514CE1" w:rsidP="00435461" w14:paraId="2E0A4B38" w14:textId="5E3553B0">
      <w:pPr>
        <w:ind w:left="360"/>
        <w:rPr>
          <w:color w:val="000000" w:themeColor="text1"/>
        </w:rPr>
      </w:pPr>
      <w:r w:rsidRPr="00514CE1">
        <w:rPr>
          <w:color w:val="000000" w:themeColor="text1"/>
        </w:rPr>
        <w:t xml:space="preserve">The following procedures will be used by </w:t>
      </w:r>
      <w:r w:rsidRPr="00514CE1" w:rsidR="00141BCD">
        <w:rPr>
          <w:color w:val="000000" w:themeColor="text1"/>
        </w:rPr>
        <w:t xml:space="preserve">the </w:t>
      </w:r>
      <w:r w:rsidR="00CD10D4">
        <w:rPr>
          <w:color w:val="000000" w:themeColor="text1"/>
        </w:rPr>
        <w:t>Yale</w:t>
      </w:r>
      <w:r w:rsidRPr="00514CE1" w:rsidR="00141BCD">
        <w:rPr>
          <w:color w:val="000000" w:themeColor="text1"/>
        </w:rPr>
        <w:t xml:space="preserve"> research team</w:t>
      </w:r>
      <w:r w:rsidRPr="00514CE1">
        <w:rPr>
          <w:color w:val="000000" w:themeColor="text1"/>
        </w:rPr>
        <w:t xml:space="preserve"> to ensure participants identity and information will </w:t>
      </w:r>
      <w:r w:rsidR="008F7F51">
        <w:rPr>
          <w:color w:val="000000" w:themeColor="text1"/>
        </w:rPr>
        <w:t>be kept secure</w:t>
      </w:r>
      <w:r w:rsidRPr="00514CE1">
        <w:rPr>
          <w:color w:val="000000" w:themeColor="text1"/>
        </w:rPr>
        <w:t xml:space="preserve"> to the extent permitted by law before, during, and after fielding.</w:t>
      </w:r>
    </w:p>
    <w:p w:rsidR="009167B0" w:rsidRPr="00514CE1" w:rsidP="00435461" w14:paraId="5BF45FBC" w14:textId="77777777">
      <w:pPr>
        <w:ind w:left="360"/>
        <w:rPr>
          <w:color w:val="000000" w:themeColor="text1"/>
        </w:rPr>
      </w:pPr>
      <w:r w:rsidRPr="00514CE1">
        <w:rPr>
          <w:color w:val="000000" w:themeColor="text1"/>
        </w:rPr>
        <w:t xml:space="preserve"> </w:t>
      </w:r>
    </w:p>
    <w:p w:rsidR="003B3240" w:rsidP="003B3240" w14:paraId="314D0373" w14:textId="6562AF88">
      <w:pPr>
        <w:pStyle w:val="ListParagraph"/>
        <w:numPr>
          <w:ilvl w:val="0"/>
          <w:numId w:val="27"/>
        </w:numPr>
        <w:rPr>
          <w:color w:val="000000" w:themeColor="text1"/>
        </w:rPr>
      </w:pPr>
      <w:r w:rsidRPr="00B907F9">
        <w:rPr>
          <w:color w:val="000000" w:themeColor="text1"/>
        </w:rPr>
        <w:t xml:space="preserve">Full names of the participants will be used only for </w:t>
      </w:r>
      <w:r w:rsidRPr="00B907F9" w:rsidR="009B3436">
        <w:rPr>
          <w:color w:val="000000" w:themeColor="text1"/>
        </w:rPr>
        <w:t xml:space="preserve">recruitment and </w:t>
      </w:r>
      <w:r w:rsidRPr="00F21DAE">
        <w:rPr>
          <w:color w:val="000000" w:themeColor="text1"/>
        </w:rPr>
        <w:t xml:space="preserve">scheduling purposes and will not be </w:t>
      </w:r>
      <w:r w:rsidRPr="00B907F9" w:rsidR="009B3436">
        <w:rPr>
          <w:color w:val="000000" w:themeColor="text1"/>
        </w:rPr>
        <w:t xml:space="preserve">included </w:t>
      </w:r>
      <w:r w:rsidRPr="00B907F9">
        <w:rPr>
          <w:color w:val="000000" w:themeColor="text1"/>
        </w:rPr>
        <w:t>on any interview materials provided to</w:t>
      </w:r>
      <w:r w:rsidRPr="00B907F9" w:rsidR="00514CE1">
        <w:rPr>
          <w:color w:val="000000" w:themeColor="text1"/>
        </w:rPr>
        <w:t xml:space="preserve"> the</w:t>
      </w:r>
      <w:r w:rsidRPr="00B907F9">
        <w:rPr>
          <w:color w:val="000000" w:themeColor="text1"/>
        </w:rPr>
        <w:t xml:space="preserve"> FDA (e.g., typed lists of participants); instead, each participant will be assigned a unique </w:t>
      </w:r>
      <w:r w:rsidRPr="00B907F9" w:rsidR="00514CE1">
        <w:rPr>
          <w:color w:val="000000" w:themeColor="text1"/>
        </w:rPr>
        <w:t>ID</w:t>
      </w:r>
      <w:r w:rsidRPr="00B907F9">
        <w:rPr>
          <w:color w:val="000000" w:themeColor="text1"/>
        </w:rPr>
        <w:t xml:space="preserve"> by which they will be referred. </w:t>
      </w:r>
      <w:r w:rsidR="005A5A59">
        <w:rPr>
          <w:color w:val="000000" w:themeColor="text1"/>
        </w:rPr>
        <w:t>All information obtained about participants during the conversation will be held in confidence and accessible only to the research team.</w:t>
      </w:r>
    </w:p>
    <w:p w:rsidR="003B3240" w:rsidP="00B67AA4" w14:paraId="520A88C1" w14:textId="77777777">
      <w:pPr>
        <w:pStyle w:val="ListParagraph"/>
        <w:ind w:left="1080"/>
        <w:rPr>
          <w:color w:val="000000" w:themeColor="text1"/>
        </w:rPr>
      </w:pPr>
    </w:p>
    <w:p w:rsidR="003B3240" w:rsidP="003B3240" w14:paraId="4A70C972" w14:textId="5AA3818B">
      <w:pPr>
        <w:pStyle w:val="ListParagraph"/>
        <w:numPr>
          <w:ilvl w:val="0"/>
          <w:numId w:val="27"/>
        </w:numPr>
      </w:pPr>
      <w:r w:rsidRPr="003B3240">
        <w:t>S</w:t>
      </w:r>
      <w:r w:rsidRPr="003B3240" w:rsidR="009167B0">
        <w:t xml:space="preserve">creening-related information will not be tied to any PII, but identified and matched by the assigned unique ID. For scheduling information, this will be limited to first name, last name, email, and phone number(s). </w:t>
      </w:r>
    </w:p>
    <w:p w:rsidR="00210E37" w:rsidRPr="003B3240" w:rsidP="00B67AA4" w14:paraId="5E752F2E" w14:textId="77777777">
      <w:pPr>
        <w:pStyle w:val="ListParagraph"/>
        <w:ind w:left="1080"/>
        <w:rPr>
          <w:color w:val="000000" w:themeColor="text1"/>
        </w:rPr>
      </w:pPr>
    </w:p>
    <w:p w:rsidR="00AD62E6" w:rsidRPr="00545031" w:rsidP="00B2288B" w14:paraId="38C90729" w14:textId="1780499D">
      <w:pPr>
        <w:pStyle w:val="ListParagraph"/>
        <w:numPr>
          <w:ilvl w:val="0"/>
          <w:numId w:val="27"/>
        </w:numPr>
        <w:rPr>
          <w:color w:val="000000" w:themeColor="text1"/>
        </w:rPr>
      </w:pPr>
      <w:r w:rsidRPr="00545031">
        <w:rPr>
          <w:color w:val="000000" w:themeColor="text1"/>
        </w:rPr>
        <w:t>Zoom a</w:t>
      </w:r>
      <w:r w:rsidRPr="00545031" w:rsidR="009167B0">
        <w:rPr>
          <w:color w:val="000000" w:themeColor="text1"/>
        </w:rPr>
        <w:t>udio recordings</w:t>
      </w:r>
      <w:r w:rsidRPr="00545031" w:rsidR="00514CE1">
        <w:rPr>
          <w:color w:val="000000" w:themeColor="text1"/>
        </w:rPr>
        <w:t xml:space="preserve"> will </w:t>
      </w:r>
      <w:r w:rsidRPr="00545031" w:rsidR="00B907F9">
        <w:rPr>
          <w:color w:val="000000" w:themeColor="text1"/>
        </w:rPr>
        <w:t xml:space="preserve">be stored on a server only accessible to study staff with research permissions. </w:t>
      </w:r>
      <w:r w:rsidRPr="00545031" w:rsidR="00436D55">
        <w:rPr>
          <w:rFonts w:eastAsia="Calibri"/>
          <w:color w:val="000000" w:themeColor="text1"/>
        </w:rPr>
        <w:t xml:space="preserve">FDA will not receive any audio recordings. </w:t>
      </w:r>
      <w:r w:rsidRPr="00545031" w:rsidR="00F21DAE">
        <w:rPr>
          <w:color w:val="000000" w:themeColor="text1"/>
        </w:rPr>
        <w:t>Written excerpts, summaries, and</w:t>
      </w:r>
      <w:r w:rsidRPr="00545031" w:rsidR="00514CE1">
        <w:rPr>
          <w:color w:val="000000" w:themeColor="text1"/>
        </w:rPr>
        <w:t xml:space="preserve"> written</w:t>
      </w:r>
      <w:r w:rsidRPr="00545031" w:rsidR="009167B0">
        <w:rPr>
          <w:color w:val="000000" w:themeColor="text1"/>
        </w:rPr>
        <w:t xml:space="preserve"> reports will not contain any PII. </w:t>
      </w:r>
    </w:p>
    <w:p w:rsidR="00210E37" w:rsidRPr="00210E37" w:rsidP="00435461" w14:paraId="1A0FB57C" w14:textId="77777777">
      <w:pPr>
        <w:rPr>
          <w:color w:val="000000" w:themeColor="text1"/>
        </w:rPr>
      </w:pPr>
    </w:p>
    <w:p w:rsidR="00AD62E6" w:rsidRPr="00545031" w:rsidP="004660D5" w14:paraId="13249234" w14:textId="0F7C7976">
      <w:pPr>
        <w:pStyle w:val="ListParagraph"/>
        <w:numPr>
          <w:ilvl w:val="0"/>
          <w:numId w:val="27"/>
        </w:numPr>
        <w:rPr>
          <w:color w:val="000000" w:themeColor="text1"/>
        </w:rPr>
      </w:pPr>
      <w:r w:rsidRPr="00545031">
        <w:rPr>
          <w:color w:val="000000" w:themeColor="text1"/>
        </w:rPr>
        <w:t>Analyses will be conducted on the aggregate.</w:t>
      </w:r>
      <w:r w:rsidRPr="00545031">
        <w:rPr>
          <w:color w:val="000000" w:themeColor="text1"/>
        </w:rPr>
        <w:t xml:space="preserve"> </w:t>
      </w:r>
      <w:r w:rsidRPr="00545031">
        <w:rPr>
          <w:color w:val="000000" w:themeColor="text1"/>
        </w:rPr>
        <w:t>Any</w:t>
      </w:r>
      <w:r w:rsidRPr="00545031" w:rsidR="009167B0">
        <w:rPr>
          <w:color w:val="000000" w:themeColor="text1"/>
        </w:rPr>
        <w:t xml:space="preserve"> individual responses</w:t>
      </w:r>
      <w:r w:rsidRPr="00545031">
        <w:rPr>
          <w:color w:val="000000" w:themeColor="text1"/>
        </w:rPr>
        <w:t>, such as exemplar quotes used in reporting, will not be attributed to specific participants.</w:t>
      </w:r>
    </w:p>
    <w:p w:rsidR="009167B0" w:rsidRPr="00514CE1" w:rsidP="00435461" w14:paraId="769F2283" w14:textId="77777777">
      <w:pPr>
        <w:rPr>
          <w:color w:val="000000" w:themeColor="text1"/>
        </w:rPr>
      </w:pPr>
    </w:p>
    <w:p w:rsidR="009167B0" w:rsidRPr="00514CE1" w:rsidP="006B4A38" w14:paraId="51FBE2EA" w14:textId="020BC3BD">
      <w:pPr>
        <w:ind w:left="360"/>
        <w:rPr>
          <w:color w:val="000000" w:themeColor="text1"/>
        </w:rPr>
      </w:pPr>
      <w:r w:rsidRPr="00514CE1">
        <w:rPr>
          <w:color w:val="000000" w:themeColor="text1"/>
        </w:rPr>
        <w:t xml:space="preserve">The </w:t>
      </w:r>
      <w:r w:rsidR="00F21DAE">
        <w:rPr>
          <w:color w:val="000000" w:themeColor="text1"/>
        </w:rPr>
        <w:t xml:space="preserve">oral </w:t>
      </w:r>
      <w:r w:rsidRPr="00514CE1">
        <w:rPr>
          <w:color w:val="000000" w:themeColor="text1"/>
        </w:rPr>
        <w:t xml:space="preserve">informed consent </w:t>
      </w:r>
      <w:r w:rsidR="00F21DAE">
        <w:rPr>
          <w:color w:val="000000" w:themeColor="text1"/>
        </w:rPr>
        <w:t xml:space="preserve">procedure </w:t>
      </w:r>
      <w:r w:rsidRPr="00514CE1">
        <w:rPr>
          <w:color w:val="000000" w:themeColor="text1"/>
        </w:rPr>
        <w:t>will contain language that notifies participants of the audio recording</w:t>
      </w:r>
      <w:r w:rsidR="00E60268">
        <w:rPr>
          <w:color w:val="000000" w:themeColor="text1"/>
        </w:rPr>
        <w:t xml:space="preserve"> via Zoom</w:t>
      </w:r>
      <w:r w:rsidRPr="00514CE1">
        <w:rPr>
          <w:color w:val="000000" w:themeColor="text1"/>
        </w:rPr>
        <w:t xml:space="preserve">. Before each interview begins, the </w:t>
      </w:r>
      <w:r w:rsidRPr="00514CE1" w:rsidR="00B46A0E">
        <w:rPr>
          <w:color w:val="000000" w:themeColor="text1"/>
        </w:rPr>
        <w:t xml:space="preserve">interviewer </w:t>
      </w:r>
      <w:r w:rsidRPr="00514CE1">
        <w:rPr>
          <w:color w:val="000000" w:themeColor="text1"/>
        </w:rPr>
        <w:t>will confirm consent by</w:t>
      </w:r>
      <w:r w:rsidR="006B4A38">
        <w:rPr>
          <w:color w:val="000000" w:themeColor="text1"/>
        </w:rPr>
        <w:t xml:space="preserve"> </w:t>
      </w:r>
      <w:r w:rsidRPr="00514CE1">
        <w:rPr>
          <w:color w:val="000000" w:themeColor="text1"/>
        </w:rPr>
        <w:t xml:space="preserve">receiving verbal affirmation from the participants to record the session. </w:t>
      </w:r>
    </w:p>
    <w:p w:rsidR="00BF5F91" w:rsidRPr="00BF5F91" w:rsidP="00435461" w14:paraId="64F7CF5F" w14:textId="77777777">
      <w:pPr>
        <w:rPr>
          <w:color w:val="000000"/>
        </w:rPr>
      </w:pPr>
    </w:p>
    <w:p w:rsidR="00BF5F91" w:rsidRPr="00BF5F91" w:rsidP="00435461" w14:paraId="11DB6933" w14:textId="157A0E51">
      <w:pPr>
        <w:ind w:left="360"/>
      </w:pPr>
      <w:r>
        <w:rPr>
          <w:color w:val="000000"/>
        </w:rPr>
        <w:t>The following</w:t>
      </w:r>
      <w:r w:rsidRPr="00BF5F91">
        <w:rPr>
          <w:color w:val="000000"/>
        </w:rPr>
        <w:t xml:space="preserve"> statement </w:t>
      </w:r>
      <w:r w:rsidR="00E60268">
        <w:rPr>
          <w:color w:val="000000"/>
        </w:rPr>
        <w:t>is included in the oral consent email script</w:t>
      </w:r>
      <w:r w:rsidRPr="00BF5F91">
        <w:rPr>
          <w:color w:val="000000"/>
        </w:rPr>
        <w:t>: “</w:t>
      </w:r>
      <w:r w:rsidRPr="00351A60" w:rsidR="00351A60">
        <w:rPr>
          <w:color w:val="000000"/>
        </w:rPr>
        <w:t>Please understand your participation is voluntary and you have the right to withdraw your consent or discontinue participation at any time without penalty</w:t>
      </w:r>
      <w:r w:rsidRPr="00BF5F91">
        <w:t>.”</w:t>
      </w:r>
    </w:p>
    <w:p w:rsidR="00113A4D" w:rsidRPr="00BF5F91" w:rsidP="00113A4D" w14:paraId="6E0A61EA" w14:textId="77777777">
      <w:pPr>
        <w:widowControl w:val="0"/>
        <w:ind w:left="360"/>
        <w:contextualSpacing/>
        <w:jc w:val="both"/>
        <w:rPr>
          <w:snapToGrid w:val="0"/>
        </w:rPr>
      </w:pPr>
    </w:p>
    <w:p w:rsidR="00BF5F91" w:rsidRPr="00BF5F91" w:rsidP="001B52C7" w14:paraId="4F346212" w14:textId="77777777">
      <w:pPr>
        <w:numPr>
          <w:ilvl w:val="0"/>
          <w:numId w:val="23"/>
        </w:numPr>
        <w:contextualSpacing/>
        <w:jc w:val="both"/>
        <w:rPr>
          <w:b/>
        </w:rPr>
      </w:pPr>
      <w:r w:rsidRPr="00BF5F91">
        <w:rPr>
          <w:b/>
        </w:rPr>
        <w:t>Amount and Justification for Proposed Incentive:</w:t>
      </w:r>
    </w:p>
    <w:p w:rsidR="00BF5F91" w:rsidRPr="00BF5F91" w:rsidP="001B52C7" w14:paraId="27A32089" w14:textId="77777777">
      <w:pPr>
        <w:jc w:val="both"/>
        <w:rPr>
          <w:b/>
        </w:rPr>
      </w:pPr>
    </w:p>
    <w:p w:rsidR="00BF5F91" w:rsidRPr="00BF5F91" w:rsidP="00435461" w14:paraId="3823F300" w14:textId="017A9BFA">
      <w:pPr>
        <w:ind w:left="360"/>
      </w:pPr>
      <w:r>
        <w:rPr>
          <w:rFonts w:eastAsia="Calibri"/>
        </w:rPr>
        <w:t>No incentive is provided.</w:t>
      </w:r>
    </w:p>
    <w:p w:rsidR="007359F1" w:rsidP="00435461" w14:paraId="79406FEA" w14:textId="14034F92">
      <w:r>
        <w:t xml:space="preserve">  </w:t>
      </w:r>
    </w:p>
    <w:p w:rsidR="00BF5F91" w:rsidRPr="00BF5F91" w:rsidP="00435461" w14:paraId="075B561B" w14:textId="77777777">
      <w:pPr>
        <w:numPr>
          <w:ilvl w:val="0"/>
          <w:numId w:val="23"/>
        </w:numPr>
        <w:contextualSpacing/>
        <w:rPr>
          <w:b/>
        </w:rPr>
      </w:pPr>
      <w:r w:rsidRPr="00BF5F91">
        <w:rPr>
          <w:b/>
        </w:rPr>
        <w:t>Questions of a Sensitive Nature:</w:t>
      </w:r>
    </w:p>
    <w:p w:rsidR="008F126F" w:rsidRPr="00BF5F91" w:rsidP="00435461" w14:paraId="7221E6F9" w14:textId="77777777">
      <w:pPr>
        <w:ind w:left="360"/>
        <w:contextualSpacing/>
        <w:rPr>
          <w:rFonts w:eastAsia="Calibri"/>
        </w:rPr>
      </w:pPr>
      <w:bookmarkStart w:id="0" w:name="_Hlk25583889"/>
    </w:p>
    <w:p w:rsidR="00CD5A59" w:rsidP="00435461" w14:paraId="63D4EDD1" w14:textId="2EF4A3AB">
      <w:pPr>
        <w:ind w:left="360"/>
        <w:rPr>
          <w:color w:val="000000" w:themeColor="text1"/>
        </w:rPr>
      </w:pPr>
      <w:r>
        <w:rPr>
          <w:color w:val="000000" w:themeColor="text1"/>
        </w:rPr>
        <w:t xml:space="preserve">The </w:t>
      </w:r>
      <w:r w:rsidR="00907298">
        <w:rPr>
          <w:color w:val="000000" w:themeColor="text1"/>
        </w:rPr>
        <w:t xml:space="preserve">Yale </w:t>
      </w:r>
      <w:r>
        <w:rPr>
          <w:color w:val="000000" w:themeColor="text1"/>
        </w:rPr>
        <w:t xml:space="preserve">research team </w:t>
      </w:r>
      <w:r w:rsidR="00F62525">
        <w:rPr>
          <w:color w:val="000000" w:themeColor="text1"/>
        </w:rPr>
        <w:t>will</w:t>
      </w:r>
      <w:r w:rsidRPr="002D65CE">
        <w:rPr>
          <w:color w:val="000000" w:themeColor="text1"/>
        </w:rPr>
        <w:t xml:space="preserve"> not ask any sensitive questions in the interviews. Participants will be asked to describe their professional experience, in general, with respect to </w:t>
      </w:r>
      <w:r w:rsidR="00907298">
        <w:rPr>
          <w:color w:val="000000" w:themeColor="text1"/>
        </w:rPr>
        <w:t xml:space="preserve">managing clinical trials of oncology </w:t>
      </w:r>
      <w:r w:rsidR="003E51C4">
        <w:rPr>
          <w:color w:val="000000" w:themeColor="text1"/>
        </w:rPr>
        <w:t>therapeutics</w:t>
      </w:r>
      <w:r w:rsidRPr="002D65CE" w:rsidR="0051236C">
        <w:rPr>
          <w:color w:val="000000" w:themeColor="text1"/>
        </w:rPr>
        <w:t xml:space="preserve">. </w:t>
      </w:r>
      <w:r w:rsidR="003E51C4">
        <w:rPr>
          <w:color w:val="000000" w:themeColor="text1"/>
        </w:rPr>
        <w:t>R</w:t>
      </w:r>
      <w:r w:rsidRPr="002D65CE">
        <w:rPr>
          <w:color w:val="000000" w:themeColor="text1"/>
        </w:rPr>
        <w:t xml:space="preserve">espondents will be told that they may skip questions that they do not want to answer or may stop participating at any time. </w:t>
      </w:r>
    </w:p>
    <w:p w:rsidR="006B4A38" w:rsidRPr="00F1761B" w:rsidP="00435461" w14:paraId="784A84F2" w14:textId="77777777">
      <w:pPr>
        <w:ind w:left="360"/>
        <w:rPr>
          <w:color w:val="000000" w:themeColor="text1"/>
        </w:rPr>
      </w:pPr>
    </w:p>
    <w:bookmarkEnd w:id="0"/>
    <w:p w:rsidR="00BF5F91" w:rsidRPr="00BF5F91" w:rsidP="00435461" w14:paraId="02845CF6" w14:textId="77777777">
      <w:pPr>
        <w:numPr>
          <w:ilvl w:val="0"/>
          <w:numId w:val="23"/>
        </w:numPr>
        <w:contextualSpacing/>
        <w:rPr>
          <w:b/>
        </w:rPr>
      </w:pPr>
      <w:r w:rsidRPr="00BF5F91">
        <w:rPr>
          <w:b/>
        </w:rPr>
        <w:t>Description of Statistical Methods:</w:t>
      </w:r>
    </w:p>
    <w:p w:rsidR="00445B5A" w:rsidP="00435461" w14:paraId="5206DE98" w14:textId="6C965A76">
      <w:pPr>
        <w:contextualSpacing/>
        <w:rPr>
          <w:rFonts w:eastAsia="Calibri"/>
          <w:color w:val="FF0000"/>
        </w:rPr>
      </w:pPr>
    </w:p>
    <w:p w:rsidR="004F68D5" w:rsidP="00435461" w14:paraId="48B5191C" w14:textId="559CC1E4">
      <w:pPr>
        <w:ind w:left="360"/>
        <w:contextualSpacing/>
        <w:rPr>
          <w:rFonts w:eastAsia="Calibri"/>
        </w:rPr>
      </w:pPr>
      <w:r>
        <w:rPr>
          <w:rFonts w:eastAsia="Calibri"/>
        </w:rPr>
        <w:t xml:space="preserve">Yale </w:t>
      </w:r>
      <w:r w:rsidR="00C52722">
        <w:rPr>
          <w:rFonts w:eastAsia="Calibri"/>
        </w:rPr>
        <w:t xml:space="preserve">does not plan to use statistical methods in this </w:t>
      </w:r>
      <w:r w:rsidR="004259EB">
        <w:rPr>
          <w:rFonts w:eastAsia="Calibri"/>
        </w:rPr>
        <w:t xml:space="preserve">qualitative </w:t>
      </w:r>
      <w:r w:rsidR="002C2DDA">
        <w:rPr>
          <w:rFonts w:eastAsia="Calibri"/>
        </w:rPr>
        <w:t>study,</w:t>
      </w:r>
      <w:r w:rsidR="00C52722">
        <w:rPr>
          <w:rFonts w:eastAsia="Calibri"/>
        </w:rPr>
        <w:t xml:space="preserve"> but rather qualitative analysis methods</w:t>
      </w:r>
      <w:r w:rsidR="00D772DA">
        <w:rPr>
          <w:rFonts w:eastAsia="Calibri"/>
        </w:rPr>
        <w:t xml:space="preserve"> appropriate for interview data</w:t>
      </w:r>
      <w:r w:rsidR="00C52722">
        <w:rPr>
          <w:rFonts w:eastAsia="Calibri"/>
        </w:rPr>
        <w:t>.</w:t>
      </w:r>
    </w:p>
    <w:p w:rsidR="004F68D5" w:rsidP="00435461" w14:paraId="6A726D53" w14:textId="77777777">
      <w:pPr>
        <w:ind w:left="360"/>
        <w:contextualSpacing/>
        <w:rPr>
          <w:rFonts w:eastAsia="Calibri"/>
        </w:rPr>
      </w:pPr>
    </w:p>
    <w:p w:rsidR="004F68D5" w:rsidP="00934BE7" w14:paraId="689E6E41" w14:textId="5E06F8D6">
      <w:pPr>
        <w:ind w:left="360"/>
      </w:pPr>
      <w:r w:rsidRPr="00E93DB4">
        <w:t xml:space="preserve">Descriptive characteristics on sponsors will be recorded in a standardized data collection form. </w:t>
      </w:r>
      <w:r w:rsidRPr="00401EC7">
        <w:t>Transcribed data will be analyzed using a constant comparative approach. An initial code list will be used to organize transcripts of the first 2 interviews and then iterated from subsequent ones. Using the final code, 2-3 researchers will independently code all transcripts and meet as a group to code in joint sessions, achieving consensus and assigning codes to observations by a negotiated group process. Specific analysis will be conducted to identify distinct themes shared</w:t>
      </w:r>
      <w:r w:rsidR="00934BE7">
        <w:t xml:space="preserve"> </w:t>
      </w:r>
      <w:r w:rsidRPr="00401EC7">
        <w:t xml:space="preserve">by </w:t>
      </w:r>
      <w:r w:rsidRPr="00401EC7" w:rsidR="00CA59FC">
        <w:t>high performers</w:t>
      </w:r>
      <w:r w:rsidRPr="00401EC7">
        <w:t xml:space="preserve"> on specific measures. Findings will be characterized and disseminated through a series of high impact peer-reviewed journal articles and presentations. Lessons learned from low performers will also be noted.</w:t>
      </w:r>
      <w:r w:rsidR="00240063">
        <w:t xml:space="preserve"> The researchers plan to use NVivo to analyze interview data.</w:t>
      </w:r>
    </w:p>
    <w:p w:rsidR="0026610F" w:rsidRPr="00401EC7" w:rsidP="004F68D5" w14:paraId="6D1500EA" w14:textId="77777777">
      <w:pPr>
        <w:ind w:left="360"/>
      </w:pPr>
    </w:p>
    <w:p w:rsidR="00BF5F91" w:rsidRPr="00BF5F91" w:rsidP="001B52C7" w14:paraId="790CA4EC" w14:textId="49912085">
      <w:pPr>
        <w:numPr>
          <w:ilvl w:val="0"/>
          <w:numId w:val="23"/>
        </w:numPr>
        <w:contextualSpacing/>
        <w:jc w:val="both"/>
      </w:pPr>
      <w:bookmarkStart w:id="1" w:name="_Hlk25234219"/>
      <w:r w:rsidRPr="00BF5F91">
        <w:rPr>
          <w:b/>
        </w:rPr>
        <w:t xml:space="preserve">Burden Hour Computation: </w:t>
      </w:r>
    </w:p>
    <w:p w:rsidR="00BF5F91" w:rsidRPr="00BF5F91" w:rsidP="001B52C7" w14:paraId="751FFCF3" w14:textId="77777777">
      <w:pPr>
        <w:ind w:left="360"/>
        <w:jc w:val="both"/>
      </w:pPr>
    </w:p>
    <w:tbl>
      <w:tblPr>
        <w:tblW w:w="9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0"/>
        <w:gridCol w:w="1620"/>
        <w:gridCol w:w="2003"/>
        <w:gridCol w:w="1110"/>
      </w:tblGrid>
      <w:tr w14:paraId="000E8EE6" w14:textId="77777777" w:rsidTr="00545031">
        <w:tblPrEx>
          <w:tblW w:w="94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80" w:type="dxa"/>
            <w:shd w:val="clear" w:color="auto" w:fill="E7E6E6" w:themeFill="background2"/>
          </w:tcPr>
          <w:p w:rsidR="00BF5F91" w:rsidRPr="00BF5F91" w:rsidP="001B52C7" w14:paraId="7F0236BE" w14:textId="77777777">
            <w:pPr>
              <w:jc w:val="both"/>
              <w:rPr>
                <w:b/>
              </w:rPr>
            </w:pPr>
            <w:r w:rsidRPr="00BF5F91">
              <w:rPr>
                <w:b/>
              </w:rPr>
              <w:t xml:space="preserve">Type/Category of Respondent </w:t>
            </w:r>
          </w:p>
        </w:tc>
        <w:tc>
          <w:tcPr>
            <w:tcW w:w="1620" w:type="dxa"/>
            <w:shd w:val="clear" w:color="auto" w:fill="E7E6E6" w:themeFill="background2"/>
          </w:tcPr>
          <w:p w:rsidR="00BF5F91" w:rsidRPr="00BF5F91" w:rsidP="005E0093" w14:paraId="12FB192D" w14:textId="3D025B18">
            <w:pPr>
              <w:rPr>
                <w:b/>
              </w:rPr>
            </w:pPr>
            <w:r w:rsidRPr="00BF5F91">
              <w:rPr>
                <w:b/>
              </w:rPr>
              <w:t>N</w:t>
            </w:r>
            <w:r w:rsidR="005E0093">
              <w:rPr>
                <w:b/>
              </w:rPr>
              <w:t xml:space="preserve">umber </w:t>
            </w:r>
            <w:r w:rsidRPr="00BF5F91">
              <w:rPr>
                <w:b/>
              </w:rPr>
              <w:t>of Respondents</w:t>
            </w:r>
          </w:p>
        </w:tc>
        <w:tc>
          <w:tcPr>
            <w:tcW w:w="2003" w:type="dxa"/>
            <w:shd w:val="clear" w:color="auto" w:fill="E7E6E6" w:themeFill="background2"/>
          </w:tcPr>
          <w:p w:rsidR="00BF5F91" w:rsidRPr="00BF5F91" w:rsidP="001B52C7" w14:paraId="46019A74" w14:textId="77777777">
            <w:pPr>
              <w:jc w:val="both"/>
              <w:rPr>
                <w:b/>
              </w:rPr>
            </w:pPr>
            <w:r w:rsidRPr="00BF5F91">
              <w:rPr>
                <w:b/>
              </w:rPr>
              <w:t>Participation Time (</w:t>
            </w:r>
            <w:r w:rsidR="008B3293">
              <w:rPr>
                <w:b/>
              </w:rPr>
              <w:t>hourly</w:t>
            </w:r>
            <w:r w:rsidRPr="00BF5F91">
              <w:rPr>
                <w:b/>
              </w:rPr>
              <w:t>)</w:t>
            </w:r>
          </w:p>
        </w:tc>
        <w:tc>
          <w:tcPr>
            <w:tcW w:w="1110" w:type="dxa"/>
            <w:shd w:val="clear" w:color="auto" w:fill="E7E6E6" w:themeFill="background2"/>
          </w:tcPr>
          <w:p w:rsidR="00BF5F91" w:rsidRPr="00BF5F91" w:rsidP="001B52C7" w14:paraId="468F3C71" w14:textId="77777777">
            <w:pPr>
              <w:jc w:val="both"/>
              <w:rPr>
                <w:b/>
              </w:rPr>
            </w:pPr>
            <w:r w:rsidRPr="00BF5F91">
              <w:rPr>
                <w:b/>
              </w:rPr>
              <w:t>Burden (hours)</w:t>
            </w:r>
          </w:p>
        </w:tc>
      </w:tr>
      <w:tr w14:paraId="7D459BAA" w14:textId="77777777" w:rsidTr="00545031">
        <w:tblPrEx>
          <w:tblW w:w="9413" w:type="dxa"/>
          <w:tblInd w:w="355" w:type="dxa"/>
          <w:tblLayout w:type="fixed"/>
          <w:tblLook w:val="01E0"/>
        </w:tblPrEx>
        <w:trPr>
          <w:trHeight w:val="274"/>
        </w:trPr>
        <w:tc>
          <w:tcPr>
            <w:tcW w:w="4680" w:type="dxa"/>
          </w:tcPr>
          <w:p w:rsidR="00BF5F91" w:rsidRPr="00BF5F91" w:rsidP="00545031" w14:paraId="498CCAD9" w14:textId="58FBD0D5">
            <w:r>
              <w:t>Interview</w:t>
            </w:r>
            <w:r>
              <w:t xml:space="preserve"> </w:t>
            </w:r>
            <w:r w:rsidR="00831763">
              <w:t>participant (</w:t>
            </w:r>
            <w:r w:rsidR="00CD7F67">
              <w:t>email response</w:t>
            </w:r>
            <w:r w:rsidR="00831763">
              <w:t>)</w:t>
            </w:r>
          </w:p>
        </w:tc>
        <w:tc>
          <w:tcPr>
            <w:tcW w:w="1620" w:type="dxa"/>
          </w:tcPr>
          <w:p w:rsidR="00BF5F91" w:rsidRPr="00BF5F91" w:rsidP="00545031" w14:paraId="394EB0A3" w14:textId="2703B350">
            <w:pPr>
              <w:jc w:val="right"/>
            </w:pPr>
            <w:r>
              <w:t>24</w:t>
            </w:r>
          </w:p>
        </w:tc>
        <w:tc>
          <w:tcPr>
            <w:tcW w:w="2003" w:type="dxa"/>
          </w:tcPr>
          <w:p w:rsidR="00BF5F91" w:rsidRPr="00BF5F91" w:rsidP="00545031" w14:paraId="1ADB4179" w14:textId="7A4D35E0">
            <w:pPr>
              <w:jc w:val="right"/>
            </w:pPr>
            <w:r>
              <w:t>0.</w:t>
            </w:r>
            <w:r w:rsidR="00ED20F0">
              <w:t>0</w:t>
            </w:r>
            <w:r w:rsidR="00AD62E6">
              <w:t>2</w:t>
            </w:r>
            <w:r w:rsidR="00ED20F0">
              <w:t xml:space="preserve"> </w:t>
            </w:r>
            <w:r>
              <w:t>(</w:t>
            </w:r>
            <w:r w:rsidR="001545BF">
              <w:t xml:space="preserve">1 </w:t>
            </w:r>
            <w:r>
              <w:t>minute)</w:t>
            </w:r>
          </w:p>
        </w:tc>
        <w:tc>
          <w:tcPr>
            <w:tcW w:w="1110" w:type="dxa"/>
          </w:tcPr>
          <w:p w:rsidR="00BF5F91" w:rsidRPr="00BF5F91" w:rsidP="00545031" w14:paraId="686B73C8" w14:textId="7F18CAA2">
            <w:pPr>
              <w:jc w:val="right"/>
            </w:pPr>
            <w:r>
              <w:t xml:space="preserve">  </w:t>
            </w:r>
            <w:r w:rsidR="00CD7F67">
              <w:t>.4</w:t>
            </w:r>
          </w:p>
        </w:tc>
      </w:tr>
      <w:tr w14:paraId="528FAAD0" w14:textId="77777777" w:rsidTr="00545031">
        <w:tblPrEx>
          <w:tblW w:w="9413" w:type="dxa"/>
          <w:tblInd w:w="355" w:type="dxa"/>
          <w:tblLayout w:type="fixed"/>
          <w:tblLook w:val="01E0"/>
        </w:tblPrEx>
        <w:trPr>
          <w:trHeight w:val="274"/>
        </w:trPr>
        <w:tc>
          <w:tcPr>
            <w:tcW w:w="4680" w:type="dxa"/>
          </w:tcPr>
          <w:p w:rsidR="00CD7F67" w:rsidP="00545031" w14:paraId="6AFEE3AB" w14:textId="56F5D899">
            <w:r>
              <w:t>Interview participant (scheduling)</w:t>
            </w:r>
          </w:p>
        </w:tc>
        <w:tc>
          <w:tcPr>
            <w:tcW w:w="1620" w:type="dxa"/>
          </w:tcPr>
          <w:p w:rsidR="00CD7F67" w:rsidP="00545031" w14:paraId="4F7114A0" w14:textId="67561E62">
            <w:pPr>
              <w:jc w:val="right"/>
            </w:pPr>
            <w:r>
              <w:t>24</w:t>
            </w:r>
          </w:p>
        </w:tc>
        <w:tc>
          <w:tcPr>
            <w:tcW w:w="2003" w:type="dxa"/>
          </w:tcPr>
          <w:p w:rsidR="00CD7F67" w:rsidP="00545031" w14:paraId="4031218E" w14:textId="75229738">
            <w:pPr>
              <w:jc w:val="right"/>
            </w:pPr>
            <w:r>
              <w:t>0.07 (4 minutes)</w:t>
            </w:r>
          </w:p>
        </w:tc>
        <w:tc>
          <w:tcPr>
            <w:tcW w:w="1110" w:type="dxa"/>
          </w:tcPr>
          <w:p w:rsidR="00CD7F67" w:rsidP="00545031" w14:paraId="37E11FD9" w14:textId="5CA6A371">
            <w:pPr>
              <w:jc w:val="right"/>
            </w:pPr>
            <w:r>
              <w:t>1.6</w:t>
            </w:r>
          </w:p>
        </w:tc>
      </w:tr>
      <w:tr w14:paraId="693E801A" w14:textId="77777777" w:rsidTr="00545031">
        <w:tblPrEx>
          <w:tblW w:w="9413" w:type="dxa"/>
          <w:tblInd w:w="355" w:type="dxa"/>
          <w:tblLayout w:type="fixed"/>
          <w:tblLook w:val="01E0"/>
        </w:tblPrEx>
        <w:trPr>
          <w:trHeight w:val="274"/>
        </w:trPr>
        <w:tc>
          <w:tcPr>
            <w:tcW w:w="4680" w:type="dxa"/>
          </w:tcPr>
          <w:p w:rsidR="00831763" w:rsidP="00545031" w14:paraId="6DF1D278" w14:textId="4B102E9D">
            <w:r>
              <w:t>Interview</w:t>
            </w:r>
            <w:r w:rsidR="00545031">
              <w:t xml:space="preserve"> </w:t>
            </w:r>
            <w:r>
              <w:t>participant (</w:t>
            </w:r>
            <w:r w:rsidR="25563B8D">
              <w:t xml:space="preserve">consent, demographic survey, and </w:t>
            </w:r>
            <w:r>
              <w:t>interview)</w:t>
            </w:r>
          </w:p>
        </w:tc>
        <w:tc>
          <w:tcPr>
            <w:tcW w:w="1620" w:type="dxa"/>
          </w:tcPr>
          <w:p w:rsidR="00831763" w:rsidP="00545031" w14:paraId="712436E2" w14:textId="5402D030">
            <w:pPr>
              <w:jc w:val="right"/>
            </w:pPr>
            <w:r>
              <w:t>24</w:t>
            </w:r>
          </w:p>
        </w:tc>
        <w:tc>
          <w:tcPr>
            <w:tcW w:w="2003" w:type="dxa"/>
          </w:tcPr>
          <w:p w:rsidR="00831763" w:rsidP="00545031" w14:paraId="155A6E85" w14:textId="0AF9B043">
            <w:pPr>
              <w:jc w:val="right"/>
            </w:pPr>
            <w:r>
              <w:t>1</w:t>
            </w:r>
            <w:r>
              <w:t xml:space="preserve"> (</w:t>
            </w:r>
            <w:r w:rsidR="003B3240">
              <w:t>60</w:t>
            </w:r>
            <w:r>
              <w:t xml:space="preserve"> minutes)</w:t>
            </w:r>
          </w:p>
        </w:tc>
        <w:tc>
          <w:tcPr>
            <w:tcW w:w="1110" w:type="dxa"/>
          </w:tcPr>
          <w:p w:rsidR="00831763" w:rsidP="00545031" w14:paraId="494EA5E1" w14:textId="17FE8733">
            <w:pPr>
              <w:jc w:val="right"/>
            </w:pPr>
            <w:r>
              <w:t>24</w:t>
            </w:r>
          </w:p>
        </w:tc>
      </w:tr>
      <w:tr w14:paraId="5C8DECDC" w14:textId="77777777" w:rsidTr="00545031">
        <w:tblPrEx>
          <w:tblW w:w="9413" w:type="dxa"/>
          <w:tblInd w:w="355" w:type="dxa"/>
          <w:tblLayout w:type="fixed"/>
          <w:tblLook w:val="01E0"/>
        </w:tblPrEx>
        <w:trPr>
          <w:trHeight w:val="274"/>
        </w:trPr>
        <w:tc>
          <w:tcPr>
            <w:tcW w:w="4680" w:type="dxa"/>
          </w:tcPr>
          <w:p w:rsidR="005A580E" w:rsidP="001B52C7" w14:paraId="0AB4AADE" w14:textId="55EEC85B">
            <w:pPr>
              <w:jc w:val="both"/>
            </w:pPr>
            <w:r>
              <w:t>Total</w:t>
            </w:r>
          </w:p>
        </w:tc>
        <w:tc>
          <w:tcPr>
            <w:tcW w:w="1620" w:type="dxa"/>
          </w:tcPr>
          <w:p w:rsidR="005A580E" w:rsidP="00545031" w14:paraId="500BB3AE" w14:textId="4BBAA57F">
            <w:pPr>
              <w:jc w:val="right"/>
            </w:pPr>
            <w:r>
              <w:t>24</w:t>
            </w:r>
          </w:p>
        </w:tc>
        <w:tc>
          <w:tcPr>
            <w:tcW w:w="2003" w:type="dxa"/>
          </w:tcPr>
          <w:p w:rsidR="005A580E" w:rsidP="001B52C7" w14:paraId="6BF8FA6B" w14:textId="77777777">
            <w:pPr>
              <w:jc w:val="both"/>
            </w:pPr>
          </w:p>
        </w:tc>
        <w:tc>
          <w:tcPr>
            <w:tcW w:w="1110" w:type="dxa"/>
          </w:tcPr>
          <w:p w:rsidR="005A580E" w:rsidP="00545031" w14:paraId="49ABBD67" w14:textId="6F93D414">
            <w:pPr>
              <w:jc w:val="right"/>
            </w:pPr>
            <w:r>
              <w:t>26</w:t>
            </w:r>
          </w:p>
        </w:tc>
      </w:tr>
    </w:tbl>
    <w:p w:rsidR="00BF5F91" w:rsidP="001B52C7" w14:paraId="7271CB0E" w14:textId="77777777">
      <w:pPr>
        <w:jc w:val="both"/>
        <w:rPr>
          <w:b/>
        </w:rPr>
      </w:pPr>
    </w:p>
    <w:p w:rsidR="00B505B2" w:rsidP="00545031" w14:paraId="0775FDEE" w14:textId="0BACDD56">
      <w:pPr>
        <w:ind w:left="360"/>
        <w:rPr>
          <w:b/>
          <w:bCs/>
        </w:rPr>
      </w:pPr>
      <w:r>
        <w:t>R</w:t>
      </w:r>
      <w:r w:rsidR="005D6689">
        <w:t>esearchers estimate that</w:t>
      </w:r>
      <w:r w:rsidR="002B6502">
        <w:t xml:space="preserve"> </w:t>
      </w:r>
      <w:r w:rsidR="005D6689">
        <w:t xml:space="preserve">it will take one minute to respond to the </w:t>
      </w:r>
      <w:r w:rsidR="00D2584C">
        <w:t>email and</w:t>
      </w:r>
      <w:r w:rsidR="005D6689">
        <w:t xml:space="preserve"> may take up to four additional minutes to schedule an interview time by phone.</w:t>
      </w:r>
      <w:r w:rsidR="00FB5F25">
        <w:t xml:space="preserve"> </w:t>
      </w:r>
      <w:r w:rsidR="425CEF4A">
        <w:t>T</w:t>
      </w:r>
      <w:r w:rsidR="000442EC">
        <w:t>he researchers</w:t>
      </w:r>
      <w:r w:rsidR="45A79A16">
        <w:t xml:space="preserve"> also</w:t>
      </w:r>
      <w:r w:rsidR="000442EC">
        <w:t xml:space="preserve"> anticipate that it will take </w:t>
      </w:r>
      <w:r w:rsidR="00DF55D1">
        <w:t xml:space="preserve">five </w:t>
      </w:r>
      <w:r w:rsidR="000442EC">
        <w:t>minutes to obtain oral consent, five minutes to complete the demographic survey, and 50 minutes for the remainder of the interview.</w:t>
      </w:r>
      <w:r w:rsidR="00233699">
        <w:t xml:space="preserve"> </w:t>
      </w:r>
    </w:p>
    <w:p w:rsidR="00BD39DC" w:rsidRPr="00BF5F91" w:rsidP="001B52C7" w14:paraId="0E56F295" w14:textId="77777777">
      <w:pPr>
        <w:jc w:val="both"/>
        <w:rPr>
          <w:b/>
        </w:rPr>
      </w:pPr>
    </w:p>
    <w:p w:rsidR="00BF5F91" w:rsidRPr="005A580E" w:rsidP="001B52C7" w14:paraId="1287D37F" w14:textId="6846AE9F">
      <w:pPr>
        <w:widowControl w:val="0"/>
        <w:numPr>
          <w:ilvl w:val="0"/>
          <w:numId w:val="23"/>
        </w:numPr>
        <w:contextualSpacing/>
        <w:jc w:val="both"/>
        <w:rPr>
          <w:b/>
          <w:snapToGrid w:val="0"/>
        </w:rPr>
      </w:pPr>
      <w:r w:rsidRPr="00BF5F91">
        <w:rPr>
          <w:b/>
          <w:snapToGrid w:val="0"/>
        </w:rPr>
        <w:t xml:space="preserve">Date(s) to be Conducted:  </w:t>
      </w:r>
    </w:p>
    <w:p w:rsidR="005A580E" w:rsidP="005A580E" w14:paraId="1D1DB71B" w14:textId="77777777">
      <w:pPr>
        <w:widowControl w:val="0"/>
        <w:ind w:left="360"/>
        <w:contextualSpacing/>
        <w:jc w:val="both"/>
      </w:pPr>
    </w:p>
    <w:p w:rsidR="005A580E" w:rsidRPr="00BF5F91" w:rsidP="15BA3897" w14:paraId="419BD084" w14:textId="6519CB36">
      <w:pPr>
        <w:widowControl w:val="0"/>
        <w:ind w:left="360"/>
        <w:contextualSpacing/>
        <w:jc w:val="both"/>
        <w:rPr>
          <w:b/>
          <w:bCs/>
          <w:snapToGrid w:val="0"/>
        </w:rPr>
      </w:pPr>
      <w:r>
        <w:t>Yale</w:t>
      </w:r>
      <w:r>
        <w:t xml:space="preserve"> plans to conduct interviews between </w:t>
      </w:r>
      <w:r w:rsidR="00B901A1">
        <w:t>Ju</w:t>
      </w:r>
      <w:r w:rsidR="510E0445">
        <w:t>ly</w:t>
      </w:r>
      <w:r>
        <w:t xml:space="preserve"> </w:t>
      </w:r>
      <w:r w:rsidR="0056027C">
        <w:t xml:space="preserve">and </w:t>
      </w:r>
      <w:r w:rsidR="14D0BFFF">
        <w:t>August</w:t>
      </w:r>
      <w:r w:rsidR="0056027C">
        <w:t xml:space="preserve"> </w:t>
      </w:r>
      <w:r>
        <w:t>202</w:t>
      </w:r>
      <w:r w:rsidR="00E22205">
        <w:t>3</w:t>
      </w:r>
      <w:r>
        <w:t>.</w:t>
      </w:r>
    </w:p>
    <w:p w:rsidR="00BF5F91" w:rsidRPr="00BF5F91" w:rsidP="001B52C7" w14:paraId="7FC968E7" w14:textId="77777777">
      <w:pPr>
        <w:widowControl w:val="0"/>
        <w:ind w:left="360"/>
        <w:contextualSpacing/>
        <w:jc w:val="both"/>
        <w:rPr>
          <w:snapToGrid w:val="0"/>
        </w:rPr>
      </w:pPr>
    </w:p>
    <w:p w:rsidR="00BF5F91" w:rsidRPr="00BF5F91" w:rsidP="001B52C7" w14:paraId="6CCA67D7" w14:textId="2995D59F">
      <w:pPr>
        <w:numPr>
          <w:ilvl w:val="0"/>
          <w:numId w:val="23"/>
        </w:numPr>
        <w:contextualSpacing/>
        <w:jc w:val="both"/>
      </w:pPr>
      <w:r w:rsidRPr="00BF5F91">
        <w:rPr>
          <w:b/>
        </w:rPr>
        <w:t xml:space="preserve">Requested Approval Date: </w:t>
      </w:r>
      <w:r w:rsidRPr="00545031" w:rsidR="00042173">
        <w:rPr>
          <w:bCs/>
        </w:rPr>
        <w:t>Ju</w:t>
      </w:r>
      <w:r w:rsidR="00080B25">
        <w:rPr>
          <w:bCs/>
        </w:rPr>
        <w:t>ly</w:t>
      </w:r>
      <w:r w:rsidR="005A580E">
        <w:rPr>
          <w:rFonts w:eastAsia="Calibri"/>
        </w:rPr>
        <w:t xml:space="preserve"> 202</w:t>
      </w:r>
      <w:r w:rsidR="00E22205">
        <w:rPr>
          <w:rFonts w:eastAsia="Calibri"/>
        </w:rPr>
        <w:t>3</w:t>
      </w:r>
    </w:p>
    <w:p w:rsidR="00046138" w:rsidP="001B52C7" w14:paraId="1766EA9E" w14:textId="77777777">
      <w:pPr>
        <w:jc w:val="both"/>
        <w:rPr>
          <w:b/>
        </w:rPr>
      </w:pPr>
    </w:p>
    <w:p w:rsidR="00BF5F91" w:rsidRPr="00BF5F91" w:rsidP="001B52C7" w14:paraId="629DE183" w14:textId="77777777">
      <w:pPr>
        <w:numPr>
          <w:ilvl w:val="0"/>
          <w:numId w:val="23"/>
        </w:numPr>
        <w:contextualSpacing/>
        <w:jc w:val="both"/>
        <w:rPr>
          <w:b/>
        </w:rPr>
      </w:pPr>
      <w:r w:rsidRPr="00BF5F91">
        <w:rPr>
          <w:b/>
        </w:rPr>
        <w:t>FDA Contacts:</w:t>
      </w:r>
    </w:p>
    <w:p w:rsidR="00BF5F91" w:rsidRPr="00BF5F91" w:rsidP="001B52C7" w14:paraId="5DE15A85" w14:textId="77777777">
      <w:pPr>
        <w:ind w:left="720"/>
        <w:contextualSpacing/>
        <w:jc w:val="both"/>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4500"/>
      </w:tblGrid>
      <w:tr w14:paraId="26F5D202" w14:textId="77777777" w:rsidTr="003F73AA">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70" w:type="dxa"/>
            <w:shd w:val="clear" w:color="auto" w:fill="auto"/>
          </w:tcPr>
          <w:p w:rsidR="00BF5F91" w:rsidRPr="00BF5F91" w:rsidP="001B52C7" w14:paraId="295A8ACB" w14:textId="77777777">
            <w:pPr>
              <w:jc w:val="both"/>
              <w:rPr>
                <w:rFonts w:eastAsia="Calibri"/>
                <w:bCs/>
              </w:rPr>
            </w:pPr>
            <w:bookmarkStart w:id="2" w:name="_Hlk25584364"/>
            <w:r w:rsidRPr="00BF5F91">
              <w:rPr>
                <w:rFonts w:eastAsia="Calibri"/>
                <w:bCs/>
              </w:rPr>
              <w:t>Program Office Contact</w:t>
            </w:r>
          </w:p>
        </w:tc>
        <w:tc>
          <w:tcPr>
            <w:tcW w:w="4500" w:type="dxa"/>
            <w:shd w:val="clear" w:color="auto" w:fill="auto"/>
          </w:tcPr>
          <w:p w:rsidR="00BF5F91" w:rsidRPr="00BF5F91" w:rsidP="001B52C7" w14:paraId="118B457F" w14:textId="77777777">
            <w:pPr>
              <w:jc w:val="both"/>
              <w:rPr>
                <w:rFonts w:eastAsia="Calibri"/>
                <w:bCs/>
              </w:rPr>
            </w:pPr>
            <w:r w:rsidRPr="00BF5F91">
              <w:rPr>
                <w:rFonts w:eastAsia="Calibri"/>
                <w:bCs/>
              </w:rPr>
              <w:t>FDA PRA Contact</w:t>
            </w:r>
          </w:p>
        </w:tc>
      </w:tr>
      <w:tr w14:paraId="76270BBF" w14:textId="77777777" w:rsidTr="003F73AA">
        <w:tblPrEx>
          <w:tblW w:w="0" w:type="auto"/>
          <w:tblInd w:w="355" w:type="dxa"/>
          <w:tblLook w:val="04A0"/>
        </w:tblPrEx>
        <w:tc>
          <w:tcPr>
            <w:tcW w:w="4770" w:type="dxa"/>
            <w:shd w:val="clear" w:color="auto" w:fill="auto"/>
          </w:tcPr>
          <w:p w:rsidR="00CD5A59" w:rsidP="001B52C7" w14:paraId="07142945" w14:textId="64ECBA33">
            <w:pPr>
              <w:jc w:val="both"/>
              <w:rPr>
                <w:rFonts w:eastAsia="Calibri"/>
              </w:rPr>
            </w:pPr>
            <w:r>
              <w:rPr>
                <w:rFonts w:eastAsia="Calibri"/>
              </w:rPr>
              <w:t>Julie Schneider</w:t>
            </w:r>
          </w:p>
          <w:p w:rsidR="00597515" w:rsidRPr="00BF5F91" w:rsidP="001B52C7" w14:paraId="68B01E13" w14:textId="25DFA6AB">
            <w:pPr>
              <w:jc w:val="both"/>
              <w:rPr>
                <w:rFonts w:eastAsia="Calibri"/>
              </w:rPr>
            </w:pPr>
            <w:r>
              <w:rPr>
                <w:rFonts w:eastAsia="Calibri"/>
              </w:rPr>
              <w:t>Oncology Center of Excellence</w:t>
            </w:r>
          </w:p>
          <w:p w:rsidR="00CD5A59" w:rsidP="001B52C7" w14:paraId="06F8ADC6" w14:textId="77777777">
            <w:pPr>
              <w:jc w:val="both"/>
              <w:rPr>
                <w:rFonts w:eastAsia="Calibri"/>
              </w:rPr>
            </w:pPr>
            <w:r>
              <w:rPr>
                <w:rFonts w:eastAsia="Calibri"/>
              </w:rPr>
              <w:t>U.S. Food and Drug Administration</w:t>
            </w:r>
          </w:p>
          <w:p w:rsidR="002E74A1" w:rsidP="002E74A1" w14:paraId="0D2F47D8" w14:textId="53ABB9A0">
            <w:pPr>
              <w:jc w:val="both"/>
              <w:rPr>
                <w:rFonts w:eastAsia="Calibri"/>
              </w:rPr>
            </w:pPr>
            <w:hyperlink r:id="rId8" w:history="1">
              <w:r w:rsidRPr="0069715A" w:rsidR="00545031">
                <w:rPr>
                  <w:rStyle w:val="Hyperlink"/>
                  <w:rFonts w:eastAsia="Calibri"/>
                </w:rPr>
                <w:t>julie.schneider@fda.hhs.gov</w:t>
              </w:r>
            </w:hyperlink>
            <w:r w:rsidR="00545031">
              <w:rPr>
                <w:rFonts w:eastAsia="Calibri"/>
              </w:rPr>
              <w:t xml:space="preserve"> </w:t>
            </w:r>
          </w:p>
          <w:p w:rsidR="002E74A1" w:rsidRPr="00BF5F91" w:rsidP="002E74A1" w14:paraId="22D2E546" w14:textId="2485DF0C">
            <w:pPr>
              <w:jc w:val="both"/>
              <w:rPr>
                <w:rFonts w:eastAsia="Calibri"/>
              </w:rPr>
            </w:pPr>
            <w:r>
              <w:rPr>
                <w:rFonts w:eastAsia="Calibri"/>
              </w:rPr>
              <w:t>240-402-4658</w:t>
            </w:r>
            <w:r>
              <w:rPr>
                <w:rFonts w:eastAsia="Calibri"/>
              </w:rPr>
              <w:t xml:space="preserve"> </w:t>
            </w:r>
          </w:p>
        </w:tc>
        <w:tc>
          <w:tcPr>
            <w:tcW w:w="4500" w:type="dxa"/>
            <w:shd w:val="clear" w:color="auto" w:fill="auto"/>
          </w:tcPr>
          <w:p w:rsidR="004D321A" w:rsidP="00545031" w14:paraId="7CBC1532" w14:textId="74310A07">
            <w:pPr>
              <w:rPr>
                <w:rFonts w:eastAsia="Calibri"/>
                <w:bCs/>
              </w:rPr>
            </w:pPr>
            <w:r>
              <w:rPr>
                <w:rFonts w:eastAsia="Calibri"/>
                <w:bCs/>
              </w:rPr>
              <w:t>JonnaLynn Capezzuto</w:t>
            </w:r>
          </w:p>
          <w:p w:rsidR="00545031" w:rsidP="00545031" w14:paraId="05FCECBE" w14:textId="77777777">
            <w:pPr>
              <w:rPr>
                <w:rFonts w:eastAsia="Calibri"/>
                <w:bCs/>
              </w:rPr>
            </w:pPr>
            <w:r>
              <w:rPr>
                <w:rFonts w:eastAsia="Calibri"/>
                <w:bCs/>
              </w:rPr>
              <w:t>Director, Paperwork Reduction Act Staff</w:t>
            </w:r>
            <w:r>
              <w:rPr>
                <w:rFonts w:eastAsia="Calibri"/>
                <w:bCs/>
              </w:rPr>
              <w:br/>
              <w:t>Office of Operations</w:t>
            </w:r>
          </w:p>
          <w:p w:rsidR="00545031" w:rsidP="00545031" w14:paraId="6B9CC2BD" w14:textId="77777777">
            <w:pPr>
              <w:rPr>
                <w:rFonts w:eastAsia="Calibri"/>
                <w:bCs/>
              </w:rPr>
            </w:pPr>
            <w:r>
              <w:rPr>
                <w:rFonts w:eastAsia="Calibri"/>
                <w:bCs/>
              </w:rPr>
              <w:t>U.S. Food and Drug Administration</w:t>
            </w:r>
          </w:p>
          <w:p w:rsidR="00545031" w:rsidP="00545031" w14:paraId="1E67C239" w14:textId="36B25BC5">
            <w:pPr>
              <w:rPr>
                <w:rFonts w:eastAsia="Calibri"/>
                <w:bCs/>
              </w:rPr>
            </w:pPr>
            <w:hyperlink r:id="rId9" w:history="1">
              <w:r w:rsidRPr="0069715A">
                <w:rPr>
                  <w:rStyle w:val="Hyperlink"/>
                  <w:rFonts w:eastAsia="Calibri"/>
                  <w:bCs/>
                </w:rPr>
                <w:t>Jonnalynn.capezzuto@fda.hhs.gov</w:t>
              </w:r>
            </w:hyperlink>
          </w:p>
          <w:p w:rsidR="00545031" w:rsidRPr="00BF5F91" w:rsidP="00545031" w14:paraId="377A9EB3" w14:textId="4219839B">
            <w:pPr>
              <w:rPr>
                <w:rFonts w:eastAsia="Calibri"/>
                <w:bCs/>
              </w:rPr>
            </w:pPr>
            <w:r>
              <w:rPr>
                <w:rFonts w:eastAsia="Calibri"/>
                <w:bCs/>
              </w:rPr>
              <w:t>301-796-3794</w:t>
            </w:r>
          </w:p>
        </w:tc>
      </w:tr>
      <w:bookmarkEnd w:id="1"/>
      <w:bookmarkEnd w:id="2"/>
    </w:tbl>
    <w:p w:rsidR="00856B5D" w:rsidP="001B52C7" w14:paraId="77477126" w14:textId="0ACCAD54">
      <w:pPr>
        <w:contextualSpacing/>
        <w:jc w:val="both"/>
        <w:rPr>
          <w:rFonts w:eastAsia="Calibri"/>
        </w:rPr>
      </w:pPr>
    </w:p>
    <w:p w:rsidR="00C83F6A" w:rsidP="009D44AC" w14:paraId="730D3CBC" w14:textId="77777777">
      <w:pPr>
        <w:contextualSpacing/>
        <w:jc w:val="both"/>
        <w:rPr>
          <w:rFonts w:eastAsia="Calibri"/>
          <w:b/>
        </w:rPr>
      </w:pPr>
    </w:p>
    <w:p w:rsidR="00C83F6A" w:rsidP="009D44AC" w14:paraId="72812CF0" w14:textId="18516593">
      <w:pPr>
        <w:contextualSpacing/>
        <w:jc w:val="both"/>
        <w:rPr>
          <w:rFonts w:eastAsia="Calibri"/>
          <w:b/>
        </w:rPr>
      </w:pPr>
    </w:p>
    <w:p w:rsidR="00E05E2E" w:rsidP="009D44AC" w14:paraId="05B273AD" w14:textId="2A0C5AF6">
      <w:pPr>
        <w:contextualSpacing/>
        <w:jc w:val="both"/>
        <w:rPr>
          <w:rFonts w:eastAsia="Calibri"/>
          <w:b/>
        </w:rPr>
      </w:pPr>
    </w:p>
    <w:p w:rsidR="00E05E2E" w:rsidP="009D44AC" w14:paraId="370A622A" w14:textId="2464B416">
      <w:pPr>
        <w:contextualSpacing/>
        <w:jc w:val="both"/>
        <w:rPr>
          <w:rFonts w:eastAsia="Calibri"/>
          <w:b/>
        </w:rPr>
      </w:pPr>
    </w:p>
    <w:p w:rsidR="00E05E2E" w:rsidP="009D44AC" w14:paraId="465D66C4" w14:textId="77777777">
      <w:pPr>
        <w:contextualSpacing/>
        <w:jc w:val="both"/>
        <w:rPr>
          <w:rFonts w:eastAsia="Calibri"/>
          <w:b/>
        </w:rPr>
      </w:pPr>
    </w:p>
    <w:p w:rsidR="00F31B17" w:rsidP="009D44AC" w14:paraId="2F43BD2E" w14:textId="77777777">
      <w:pPr>
        <w:contextualSpacing/>
        <w:jc w:val="both"/>
        <w:rPr>
          <w:rFonts w:eastAsia="Calibri"/>
          <w:b/>
        </w:rPr>
      </w:pPr>
    </w:p>
    <w:p w:rsidR="00856B5D" w:rsidRPr="00BF5F91" w:rsidP="00A66E39" w14:paraId="69221FFE" w14:textId="6B5937A7">
      <w:pPr>
        <w:pStyle w:val="EndNoteBibliography"/>
        <w:ind w:left="720" w:hanging="720"/>
        <w:rPr>
          <w:rFonts w:eastAsia="Calibri"/>
        </w:rPr>
      </w:pPr>
    </w:p>
    <w:sectPr w:rsidSect="008B645B">
      <w:headerReference w:type="default" r:id="rId10"/>
      <w:footerReference w:type="default" r:id="rId11"/>
      <w:pgSz w:w="12240" w:h="15840"/>
      <w:pgMar w:top="72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AEE" w14:paraId="51DB206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57BB">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91" w14:paraId="70CF70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54730E"/>
    <w:multiLevelType w:val="hybridMultilevel"/>
    <w:tmpl w:val="DDF4694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D163854"/>
    <w:multiLevelType w:val="hybridMultilevel"/>
    <w:tmpl w:val="7232474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42C0038"/>
    <w:multiLevelType w:val="hybridMultilevel"/>
    <w:tmpl w:val="13563C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B4B3FF9"/>
    <w:multiLevelType w:val="hybridMultilevel"/>
    <w:tmpl w:val="F726364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4E3AEB"/>
    <w:multiLevelType w:val="hybridMultilevel"/>
    <w:tmpl w:val="26F29C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2024F46"/>
    <w:multiLevelType w:val="hybridMultilevel"/>
    <w:tmpl w:val="C8E45B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4418488">
    <w:abstractNumId w:val="15"/>
  </w:num>
  <w:num w:numId="2" w16cid:durableId="1081023383">
    <w:abstractNumId w:val="25"/>
  </w:num>
  <w:num w:numId="3" w16cid:durableId="313489153">
    <w:abstractNumId w:val="24"/>
  </w:num>
  <w:num w:numId="4" w16cid:durableId="442916532">
    <w:abstractNumId w:val="26"/>
  </w:num>
  <w:num w:numId="5" w16cid:durableId="1794985210">
    <w:abstractNumId w:val="5"/>
  </w:num>
  <w:num w:numId="6" w16cid:durableId="776490555">
    <w:abstractNumId w:val="2"/>
  </w:num>
  <w:num w:numId="7" w16cid:durableId="1240215065">
    <w:abstractNumId w:val="12"/>
  </w:num>
  <w:num w:numId="8" w16cid:durableId="136266828">
    <w:abstractNumId w:val="22"/>
  </w:num>
  <w:num w:numId="9" w16cid:durableId="1500194422">
    <w:abstractNumId w:val="14"/>
  </w:num>
  <w:num w:numId="10" w16cid:durableId="1350370788">
    <w:abstractNumId w:val="3"/>
  </w:num>
  <w:num w:numId="11" w16cid:durableId="591207633">
    <w:abstractNumId w:val="6"/>
  </w:num>
  <w:num w:numId="12" w16cid:durableId="1492913952">
    <w:abstractNumId w:val="9"/>
  </w:num>
  <w:num w:numId="13" w16cid:durableId="1435511683">
    <w:abstractNumId w:val="1"/>
  </w:num>
  <w:num w:numId="14" w16cid:durableId="2078239160">
    <w:abstractNumId w:val="11"/>
  </w:num>
  <w:num w:numId="15" w16cid:durableId="1081410573">
    <w:abstractNumId w:val="23"/>
  </w:num>
  <w:num w:numId="16" w16cid:durableId="431826131">
    <w:abstractNumId w:val="20"/>
  </w:num>
  <w:num w:numId="17" w16cid:durableId="953832688">
    <w:abstractNumId w:val="0"/>
  </w:num>
  <w:num w:numId="18" w16cid:durableId="2097360734">
    <w:abstractNumId w:val="10"/>
  </w:num>
  <w:num w:numId="19" w16cid:durableId="1149400584">
    <w:abstractNumId w:val="8"/>
  </w:num>
  <w:num w:numId="20" w16cid:durableId="1188568596">
    <w:abstractNumId w:val="19"/>
  </w:num>
  <w:num w:numId="21" w16cid:durableId="396439796">
    <w:abstractNumId w:val="16"/>
  </w:num>
  <w:num w:numId="22" w16cid:durableId="1868592122">
    <w:abstractNumId w:val="18"/>
  </w:num>
  <w:num w:numId="23" w16cid:durableId="2101951892">
    <w:abstractNumId w:val="4"/>
  </w:num>
  <w:num w:numId="24" w16cid:durableId="2051296342">
    <w:abstractNumId w:val="21"/>
  </w:num>
  <w:num w:numId="25" w16cid:durableId="1266108395">
    <w:abstractNumId w:val="17"/>
  </w:num>
  <w:num w:numId="26" w16cid:durableId="1648777723">
    <w:abstractNumId w:val="7"/>
  </w:num>
  <w:num w:numId="27" w16cid:durableId="1568304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1E11"/>
    <w:rsid w:val="00005D48"/>
    <w:rsid w:val="000060AB"/>
    <w:rsid w:val="000165E4"/>
    <w:rsid w:val="00016CC0"/>
    <w:rsid w:val="0001709F"/>
    <w:rsid w:val="00020F17"/>
    <w:rsid w:val="00024ACD"/>
    <w:rsid w:val="00026622"/>
    <w:rsid w:val="00026A16"/>
    <w:rsid w:val="00030174"/>
    <w:rsid w:val="0003505F"/>
    <w:rsid w:val="00035B5C"/>
    <w:rsid w:val="000368A2"/>
    <w:rsid w:val="00042173"/>
    <w:rsid w:val="000442EC"/>
    <w:rsid w:val="00045A61"/>
    <w:rsid w:val="00046138"/>
    <w:rsid w:val="00046956"/>
    <w:rsid w:val="00074C21"/>
    <w:rsid w:val="00080B25"/>
    <w:rsid w:val="000839DE"/>
    <w:rsid w:val="00084EF1"/>
    <w:rsid w:val="000857BB"/>
    <w:rsid w:val="00087A80"/>
    <w:rsid w:val="000903B9"/>
    <w:rsid w:val="00090A81"/>
    <w:rsid w:val="00091CF4"/>
    <w:rsid w:val="00092202"/>
    <w:rsid w:val="00093D32"/>
    <w:rsid w:val="00093E90"/>
    <w:rsid w:val="0009729A"/>
    <w:rsid w:val="000A3C87"/>
    <w:rsid w:val="000A43BC"/>
    <w:rsid w:val="000A525C"/>
    <w:rsid w:val="000B1952"/>
    <w:rsid w:val="000B34FC"/>
    <w:rsid w:val="000C101B"/>
    <w:rsid w:val="000C386B"/>
    <w:rsid w:val="000C46CA"/>
    <w:rsid w:val="000D6CEC"/>
    <w:rsid w:val="000D722B"/>
    <w:rsid w:val="000D72FE"/>
    <w:rsid w:val="000D79C1"/>
    <w:rsid w:val="000E0B8C"/>
    <w:rsid w:val="000E0EBB"/>
    <w:rsid w:val="000E2520"/>
    <w:rsid w:val="000E2A3E"/>
    <w:rsid w:val="000E2FAA"/>
    <w:rsid w:val="000E7C99"/>
    <w:rsid w:val="000E7D76"/>
    <w:rsid w:val="000F15E0"/>
    <w:rsid w:val="000F1CDA"/>
    <w:rsid w:val="000F4D62"/>
    <w:rsid w:val="001007D5"/>
    <w:rsid w:val="00102E56"/>
    <w:rsid w:val="00105AE7"/>
    <w:rsid w:val="00106767"/>
    <w:rsid w:val="001074BD"/>
    <w:rsid w:val="001078F1"/>
    <w:rsid w:val="001105E7"/>
    <w:rsid w:val="00110747"/>
    <w:rsid w:val="001138C6"/>
    <w:rsid w:val="001138D5"/>
    <w:rsid w:val="00113A4D"/>
    <w:rsid w:val="001223A3"/>
    <w:rsid w:val="0012405B"/>
    <w:rsid w:val="00126D06"/>
    <w:rsid w:val="00132EF8"/>
    <w:rsid w:val="001356AA"/>
    <w:rsid w:val="00135B9C"/>
    <w:rsid w:val="0013667E"/>
    <w:rsid w:val="00140343"/>
    <w:rsid w:val="00141BCD"/>
    <w:rsid w:val="0014355E"/>
    <w:rsid w:val="00144AC1"/>
    <w:rsid w:val="001466FB"/>
    <w:rsid w:val="00153F2B"/>
    <w:rsid w:val="001545BF"/>
    <w:rsid w:val="00165D41"/>
    <w:rsid w:val="00165D79"/>
    <w:rsid w:val="001677D9"/>
    <w:rsid w:val="00172A6E"/>
    <w:rsid w:val="001754F9"/>
    <w:rsid w:val="0017724E"/>
    <w:rsid w:val="00177308"/>
    <w:rsid w:val="0018065E"/>
    <w:rsid w:val="00180D6E"/>
    <w:rsid w:val="0018131F"/>
    <w:rsid w:val="001816C3"/>
    <w:rsid w:val="0019038D"/>
    <w:rsid w:val="00190AA2"/>
    <w:rsid w:val="00190D79"/>
    <w:rsid w:val="0019347A"/>
    <w:rsid w:val="00197EEA"/>
    <w:rsid w:val="001A45E3"/>
    <w:rsid w:val="001A68F4"/>
    <w:rsid w:val="001B0DE5"/>
    <w:rsid w:val="001B48AD"/>
    <w:rsid w:val="001B52C7"/>
    <w:rsid w:val="001C0117"/>
    <w:rsid w:val="001C6489"/>
    <w:rsid w:val="001D19B4"/>
    <w:rsid w:val="001D6068"/>
    <w:rsid w:val="001E0E7C"/>
    <w:rsid w:val="001E198B"/>
    <w:rsid w:val="001E4519"/>
    <w:rsid w:val="001F09C0"/>
    <w:rsid w:val="001F2A0A"/>
    <w:rsid w:val="001F4461"/>
    <w:rsid w:val="001F6879"/>
    <w:rsid w:val="0020194F"/>
    <w:rsid w:val="00203C02"/>
    <w:rsid w:val="00207E85"/>
    <w:rsid w:val="00207F09"/>
    <w:rsid w:val="00210E37"/>
    <w:rsid w:val="002121F4"/>
    <w:rsid w:val="002125E9"/>
    <w:rsid w:val="00212798"/>
    <w:rsid w:val="00213D67"/>
    <w:rsid w:val="0022065A"/>
    <w:rsid w:val="00222CE0"/>
    <w:rsid w:val="00233699"/>
    <w:rsid w:val="00234DBC"/>
    <w:rsid w:val="00236194"/>
    <w:rsid w:val="00237278"/>
    <w:rsid w:val="00240063"/>
    <w:rsid w:val="00245821"/>
    <w:rsid w:val="002532C0"/>
    <w:rsid w:val="00255540"/>
    <w:rsid w:val="00255B16"/>
    <w:rsid w:val="00261565"/>
    <w:rsid w:val="00262F7C"/>
    <w:rsid w:val="00264C93"/>
    <w:rsid w:val="0026610F"/>
    <w:rsid w:val="00272823"/>
    <w:rsid w:val="00280997"/>
    <w:rsid w:val="00281A30"/>
    <w:rsid w:val="00284EF8"/>
    <w:rsid w:val="002875EF"/>
    <w:rsid w:val="00291777"/>
    <w:rsid w:val="002A0E8B"/>
    <w:rsid w:val="002A7043"/>
    <w:rsid w:val="002B6502"/>
    <w:rsid w:val="002C2DDA"/>
    <w:rsid w:val="002C43D9"/>
    <w:rsid w:val="002C57A7"/>
    <w:rsid w:val="002C61BC"/>
    <w:rsid w:val="002D3E32"/>
    <w:rsid w:val="002D65CE"/>
    <w:rsid w:val="002D7E74"/>
    <w:rsid w:val="002E2624"/>
    <w:rsid w:val="002E4969"/>
    <w:rsid w:val="002E4BC3"/>
    <w:rsid w:val="002E58CF"/>
    <w:rsid w:val="002E634B"/>
    <w:rsid w:val="002E74A1"/>
    <w:rsid w:val="002F18D9"/>
    <w:rsid w:val="002F5329"/>
    <w:rsid w:val="002F5492"/>
    <w:rsid w:val="002F61FC"/>
    <w:rsid w:val="003073BF"/>
    <w:rsid w:val="0031210D"/>
    <w:rsid w:val="003140B1"/>
    <w:rsid w:val="00325476"/>
    <w:rsid w:val="00331ACA"/>
    <w:rsid w:val="00331C9C"/>
    <w:rsid w:val="00332451"/>
    <w:rsid w:val="00333363"/>
    <w:rsid w:val="003336A0"/>
    <w:rsid w:val="00344FC9"/>
    <w:rsid w:val="00346DEA"/>
    <w:rsid w:val="003508A7"/>
    <w:rsid w:val="00351A60"/>
    <w:rsid w:val="0035310A"/>
    <w:rsid w:val="00355558"/>
    <w:rsid w:val="00362729"/>
    <w:rsid w:val="00364051"/>
    <w:rsid w:val="00364C8A"/>
    <w:rsid w:val="00374183"/>
    <w:rsid w:val="003762F7"/>
    <w:rsid w:val="00383F4E"/>
    <w:rsid w:val="0038641D"/>
    <w:rsid w:val="003A2F10"/>
    <w:rsid w:val="003A65C3"/>
    <w:rsid w:val="003A6832"/>
    <w:rsid w:val="003B25A2"/>
    <w:rsid w:val="003B3240"/>
    <w:rsid w:val="003B58CD"/>
    <w:rsid w:val="003B7ADD"/>
    <w:rsid w:val="003C3141"/>
    <w:rsid w:val="003C428D"/>
    <w:rsid w:val="003C575F"/>
    <w:rsid w:val="003C6225"/>
    <w:rsid w:val="003C79A5"/>
    <w:rsid w:val="003D022B"/>
    <w:rsid w:val="003D0EC1"/>
    <w:rsid w:val="003D1D62"/>
    <w:rsid w:val="003D5B2C"/>
    <w:rsid w:val="003E0B75"/>
    <w:rsid w:val="003E1B5C"/>
    <w:rsid w:val="003E2BAB"/>
    <w:rsid w:val="003E51C4"/>
    <w:rsid w:val="003E52C8"/>
    <w:rsid w:val="003F117D"/>
    <w:rsid w:val="003F1C7A"/>
    <w:rsid w:val="003F2DD9"/>
    <w:rsid w:val="003F3DCD"/>
    <w:rsid w:val="003F5EA5"/>
    <w:rsid w:val="003F73AA"/>
    <w:rsid w:val="00401EC7"/>
    <w:rsid w:val="00402F6C"/>
    <w:rsid w:val="00411149"/>
    <w:rsid w:val="0041261F"/>
    <w:rsid w:val="00415A18"/>
    <w:rsid w:val="004172AA"/>
    <w:rsid w:val="00423A24"/>
    <w:rsid w:val="004259EB"/>
    <w:rsid w:val="0043542C"/>
    <w:rsid w:val="00435461"/>
    <w:rsid w:val="00436D55"/>
    <w:rsid w:val="004372B3"/>
    <w:rsid w:val="00437768"/>
    <w:rsid w:val="00445180"/>
    <w:rsid w:val="00445B5A"/>
    <w:rsid w:val="00446809"/>
    <w:rsid w:val="00460504"/>
    <w:rsid w:val="00462B38"/>
    <w:rsid w:val="004660D5"/>
    <w:rsid w:val="004677FA"/>
    <w:rsid w:val="00472F94"/>
    <w:rsid w:val="0047438A"/>
    <w:rsid w:val="00475A2D"/>
    <w:rsid w:val="004778D5"/>
    <w:rsid w:val="0048126A"/>
    <w:rsid w:val="00485924"/>
    <w:rsid w:val="00486EB5"/>
    <w:rsid w:val="0049419A"/>
    <w:rsid w:val="004973DA"/>
    <w:rsid w:val="004B694D"/>
    <w:rsid w:val="004C3572"/>
    <w:rsid w:val="004D321A"/>
    <w:rsid w:val="004D73DF"/>
    <w:rsid w:val="004E1A65"/>
    <w:rsid w:val="004F68D5"/>
    <w:rsid w:val="00505A81"/>
    <w:rsid w:val="00507286"/>
    <w:rsid w:val="0051236C"/>
    <w:rsid w:val="00512B50"/>
    <w:rsid w:val="00512E74"/>
    <w:rsid w:val="00514CE1"/>
    <w:rsid w:val="00515F21"/>
    <w:rsid w:val="0052010F"/>
    <w:rsid w:val="00521818"/>
    <w:rsid w:val="00521F03"/>
    <w:rsid w:val="005240EB"/>
    <w:rsid w:val="005277C1"/>
    <w:rsid w:val="0052796B"/>
    <w:rsid w:val="00527F6C"/>
    <w:rsid w:val="0053008A"/>
    <w:rsid w:val="00534A36"/>
    <w:rsid w:val="0053634B"/>
    <w:rsid w:val="005418B5"/>
    <w:rsid w:val="00543544"/>
    <w:rsid w:val="00545031"/>
    <w:rsid w:val="00545F15"/>
    <w:rsid w:val="0055202B"/>
    <w:rsid w:val="005541B8"/>
    <w:rsid w:val="005541F6"/>
    <w:rsid w:val="00555460"/>
    <w:rsid w:val="0056027C"/>
    <w:rsid w:val="005622A3"/>
    <w:rsid w:val="005726F3"/>
    <w:rsid w:val="005811C4"/>
    <w:rsid w:val="005841D2"/>
    <w:rsid w:val="00590326"/>
    <w:rsid w:val="00596465"/>
    <w:rsid w:val="00597515"/>
    <w:rsid w:val="005A11A3"/>
    <w:rsid w:val="005A18A4"/>
    <w:rsid w:val="005A34D0"/>
    <w:rsid w:val="005A580E"/>
    <w:rsid w:val="005A5A59"/>
    <w:rsid w:val="005A60BF"/>
    <w:rsid w:val="005B018D"/>
    <w:rsid w:val="005B31D9"/>
    <w:rsid w:val="005B388B"/>
    <w:rsid w:val="005B52DB"/>
    <w:rsid w:val="005C5A75"/>
    <w:rsid w:val="005C6A9C"/>
    <w:rsid w:val="005D0440"/>
    <w:rsid w:val="005D2085"/>
    <w:rsid w:val="005D6689"/>
    <w:rsid w:val="005E0093"/>
    <w:rsid w:val="005E16BC"/>
    <w:rsid w:val="005E23BA"/>
    <w:rsid w:val="005E3386"/>
    <w:rsid w:val="005E35D6"/>
    <w:rsid w:val="005E4981"/>
    <w:rsid w:val="005F16C3"/>
    <w:rsid w:val="005F233D"/>
    <w:rsid w:val="005F79E6"/>
    <w:rsid w:val="00602B5B"/>
    <w:rsid w:val="00602CB4"/>
    <w:rsid w:val="006051D4"/>
    <w:rsid w:val="00607046"/>
    <w:rsid w:val="006073F7"/>
    <w:rsid w:val="00614EC5"/>
    <w:rsid w:val="00615C6C"/>
    <w:rsid w:val="006312F0"/>
    <w:rsid w:val="006317C2"/>
    <w:rsid w:val="00635376"/>
    <w:rsid w:val="00644197"/>
    <w:rsid w:val="00645527"/>
    <w:rsid w:val="006462D9"/>
    <w:rsid w:val="00652197"/>
    <w:rsid w:val="00653B3C"/>
    <w:rsid w:val="006637BE"/>
    <w:rsid w:val="00667CED"/>
    <w:rsid w:val="00673785"/>
    <w:rsid w:val="00677811"/>
    <w:rsid w:val="00680D29"/>
    <w:rsid w:val="00682641"/>
    <w:rsid w:val="006877BC"/>
    <w:rsid w:val="00696316"/>
    <w:rsid w:val="00696B03"/>
    <w:rsid w:val="00696D57"/>
    <w:rsid w:val="0069715A"/>
    <w:rsid w:val="006A1E3D"/>
    <w:rsid w:val="006A7639"/>
    <w:rsid w:val="006B36EE"/>
    <w:rsid w:val="006B4A38"/>
    <w:rsid w:val="006C3937"/>
    <w:rsid w:val="006C57CE"/>
    <w:rsid w:val="006C6C68"/>
    <w:rsid w:val="006D12C8"/>
    <w:rsid w:val="006D3B31"/>
    <w:rsid w:val="006D6B4F"/>
    <w:rsid w:val="006F0F52"/>
    <w:rsid w:val="006F74CF"/>
    <w:rsid w:val="006F779F"/>
    <w:rsid w:val="00701935"/>
    <w:rsid w:val="00705915"/>
    <w:rsid w:val="00710CFE"/>
    <w:rsid w:val="0072545C"/>
    <w:rsid w:val="00725D17"/>
    <w:rsid w:val="00732E11"/>
    <w:rsid w:val="007342FB"/>
    <w:rsid w:val="0073562F"/>
    <w:rsid w:val="007359F1"/>
    <w:rsid w:val="00736332"/>
    <w:rsid w:val="007424EB"/>
    <w:rsid w:val="0074463A"/>
    <w:rsid w:val="00744F5B"/>
    <w:rsid w:val="0074607F"/>
    <w:rsid w:val="00747A1C"/>
    <w:rsid w:val="00750886"/>
    <w:rsid w:val="00750EF3"/>
    <w:rsid w:val="00760A54"/>
    <w:rsid w:val="00761D61"/>
    <w:rsid w:val="0076652D"/>
    <w:rsid w:val="007713B3"/>
    <w:rsid w:val="007748B5"/>
    <w:rsid w:val="007754F9"/>
    <w:rsid w:val="00776440"/>
    <w:rsid w:val="00790079"/>
    <w:rsid w:val="00792EBB"/>
    <w:rsid w:val="007957EC"/>
    <w:rsid w:val="00796760"/>
    <w:rsid w:val="007A4331"/>
    <w:rsid w:val="007B045B"/>
    <w:rsid w:val="007B3607"/>
    <w:rsid w:val="007B5F94"/>
    <w:rsid w:val="007B7143"/>
    <w:rsid w:val="007B777E"/>
    <w:rsid w:val="007C2716"/>
    <w:rsid w:val="007C2B03"/>
    <w:rsid w:val="007C42EA"/>
    <w:rsid w:val="007C4D4B"/>
    <w:rsid w:val="007C56AA"/>
    <w:rsid w:val="007C614D"/>
    <w:rsid w:val="007C7BD2"/>
    <w:rsid w:val="007D4CFA"/>
    <w:rsid w:val="007F1A2E"/>
    <w:rsid w:val="007F26CE"/>
    <w:rsid w:val="007F7888"/>
    <w:rsid w:val="00801616"/>
    <w:rsid w:val="0081641E"/>
    <w:rsid w:val="008225CC"/>
    <w:rsid w:val="00830839"/>
    <w:rsid w:val="00831763"/>
    <w:rsid w:val="00834B2F"/>
    <w:rsid w:val="00840740"/>
    <w:rsid w:val="00840EC3"/>
    <w:rsid w:val="00845E5F"/>
    <w:rsid w:val="00847BE3"/>
    <w:rsid w:val="00847E86"/>
    <w:rsid w:val="0085081F"/>
    <w:rsid w:val="00850A4A"/>
    <w:rsid w:val="00856B5D"/>
    <w:rsid w:val="00861C79"/>
    <w:rsid w:val="0087128E"/>
    <w:rsid w:val="0087297C"/>
    <w:rsid w:val="00874231"/>
    <w:rsid w:val="00875952"/>
    <w:rsid w:val="0087779B"/>
    <w:rsid w:val="00882AE4"/>
    <w:rsid w:val="008855EF"/>
    <w:rsid w:val="008863D0"/>
    <w:rsid w:val="00890604"/>
    <w:rsid w:val="008A0BD0"/>
    <w:rsid w:val="008A124E"/>
    <w:rsid w:val="008B23F8"/>
    <w:rsid w:val="008B28DC"/>
    <w:rsid w:val="008B3293"/>
    <w:rsid w:val="008B34B4"/>
    <w:rsid w:val="008B4DE4"/>
    <w:rsid w:val="008B645B"/>
    <w:rsid w:val="008C3B8F"/>
    <w:rsid w:val="008C5798"/>
    <w:rsid w:val="008C5F0F"/>
    <w:rsid w:val="008D1851"/>
    <w:rsid w:val="008D4738"/>
    <w:rsid w:val="008D55FA"/>
    <w:rsid w:val="008D565E"/>
    <w:rsid w:val="008E6145"/>
    <w:rsid w:val="008E6242"/>
    <w:rsid w:val="008E7198"/>
    <w:rsid w:val="008F0979"/>
    <w:rsid w:val="008F126F"/>
    <w:rsid w:val="008F6E91"/>
    <w:rsid w:val="008F7F51"/>
    <w:rsid w:val="0090394D"/>
    <w:rsid w:val="00907298"/>
    <w:rsid w:val="00911373"/>
    <w:rsid w:val="00911D7C"/>
    <w:rsid w:val="0091368D"/>
    <w:rsid w:val="00913825"/>
    <w:rsid w:val="0091537E"/>
    <w:rsid w:val="00915E13"/>
    <w:rsid w:val="009167B0"/>
    <w:rsid w:val="0092187C"/>
    <w:rsid w:val="00921BB0"/>
    <w:rsid w:val="00923212"/>
    <w:rsid w:val="00934BE7"/>
    <w:rsid w:val="0093775B"/>
    <w:rsid w:val="00940D56"/>
    <w:rsid w:val="009444D7"/>
    <w:rsid w:val="0094486D"/>
    <w:rsid w:val="0094660D"/>
    <w:rsid w:val="0095600C"/>
    <w:rsid w:val="00957478"/>
    <w:rsid w:val="0096489D"/>
    <w:rsid w:val="00971E6D"/>
    <w:rsid w:val="00984CDD"/>
    <w:rsid w:val="00985667"/>
    <w:rsid w:val="00990F05"/>
    <w:rsid w:val="009A24B5"/>
    <w:rsid w:val="009B0C30"/>
    <w:rsid w:val="009B2040"/>
    <w:rsid w:val="009B3436"/>
    <w:rsid w:val="009C3A82"/>
    <w:rsid w:val="009D3BC6"/>
    <w:rsid w:val="009D44AC"/>
    <w:rsid w:val="009D4A6A"/>
    <w:rsid w:val="009D6B7A"/>
    <w:rsid w:val="009E3C2F"/>
    <w:rsid w:val="009E6FFF"/>
    <w:rsid w:val="009F0C90"/>
    <w:rsid w:val="009F3E6B"/>
    <w:rsid w:val="00A156B1"/>
    <w:rsid w:val="00A175DD"/>
    <w:rsid w:val="00A22D50"/>
    <w:rsid w:val="00A25982"/>
    <w:rsid w:val="00A26BA5"/>
    <w:rsid w:val="00A27F3E"/>
    <w:rsid w:val="00A366BD"/>
    <w:rsid w:val="00A42D91"/>
    <w:rsid w:val="00A44468"/>
    <w:rsid w:val="00A44BF9"/>
    <w:rsid w:val="00A46671"/>
    <w:rsid w:val="00A51D8B"/>
    <w:rsid w:val="00A53BA2"/>
    <w:rsid w:val="00A53CDB"/>
    <w:rsid w:val="00A60B94"/>
    <w:rsid w:val="00A63790"/>
    <w:rsid w:val="00A63FF1"/>
    <w:rsid w:val="00A66A83"/>
    <w:rsid w:val="00A66E39"/>
    <w:rsid w:val="00A752B2"/>
    <w:rsid w:val="00A77790"/>
    <w:rsid w:val="00A77C5F"/>
    <w:rsid w:val="00A82DCC"/>
    <w:rsid w:val="00A92834"/>
    <w:rsid w:val="00AA01A8"/>
    <w:rsid w:val="00AA0314"/>
    <w:rsid w:val="00AB31DB"/>
    <w:rsid w:val="00AC3D74"/>
    <w:rsid w:val="00AC4B92"/>
    <w:rsid w:val="00AC4CEB"/>
    <w:rsid w:val="00AC7D1B"/>
    <w:rsid w:val="00AD578A"/>
    <w:rsid w:val="00AD62E6"/>
    <w:rsid w:val="00AE2C02"/>
    <w:rsid w:val="00AE5924"/>
    <w:rsid w:val="00AE5D37"/>
    <w:rsid w:val="00AE663C"/>
    <w:rsid w:val="00AF2D96"/>
    <w:rsid w:val="00AF3BB9"/>
    <w:rsid w:val="00AF5E47"/>
    <w:rsid w:val="00AF66AF"/>
    <w:rsid w:val="00B12BD0"/>
    <w:rsid w:val="00B15695"/>
    <w:rsid w:val="00B17F2E"/>
    <w:rsid w:val="00B2288B"/>
    <w:rsid w:val="00B22A2C"/>
    <w:rsid w:val="00B22D78"/>
    <w:rsid w:val="00B24722"/>
    <w:rsid w:val="00B27E3D"/>
    <w:rsid w:val="00B330AE"/>
    <w:rsid w:val="00B335A0"/>
    <w:rsid w:val="00B378CA"/>
    <w:rsid w:val="00B41016"/>
    <w:rsid w:val="00B412FF"/>
    <w:rsid w:val="00B41647"/>
    <w:rsid w:val="00B41C41"/>
    <w:rsid w:val="00B45330"/>
    <w:rsid w:val="00B46A0E"/>
    <w:rsid w:val="00B505B2"/>
    <w:rsid w:val="00B55A14"/>
    <w:rsid w:val="00B566B1"/>
    <w:rsid w:val="00B573C9"/>
    <w:rsid w:val="00B57732"/>
    <w:rsid w:val="00B60425"/>
    <w:rsid w:val="00B63979"/>
    <w:rsid w:val="00B65A49"/>
    <w:rsid w:val="00B65B76"/>
    <w:rsid w:val="00B67AA4"/>
    <w:rsid w:val="00B75E7B"/>
    <w:rsid w:val="00B815C1"/>
    <w:rsid w:val="00B83DBA"/>
    <w:rsid w:val="00B8660E"/>
    <w:rsid w:val="00B870F3"/>
    <w:rsid w:val="00B901A1"/>
    <w:rsid w:val="00B907F9"/>
    <w:rsid w:val="00B9344F"/>
    <w:rsid w:val="00B93698"/>
    <w:rsid w:val="00B956B6"/>
    <w:rsid w:val="00BA15DA"/>
    <w:rsid w:val="00BA4CA8"/>
    <w:rsid w:val="00BB27D5"/>
    <w:rsid w:val="00BC2748"/>
    <w:rsid w:val="00BC3385"/>
    <w:rsid w:val="00BC35F6"/>
    <w:rsid w:val="00BD1BEE"/>
    <w:rsid w:val="00BD2A9F"/>
    <w:rsid w:val="00BD39DC"/>
    <w:rsid w:val="00BD4B7D"/>
    <w:rsid w:val="00BD560E"/>
    <w:rsid w:val="00BE67F0"/>
    <w:rsid w:val="00BE7976"/>
    <w:rsid w:val="00BF0610"/>
    <w:rsid w:val="00BF0967"/>
    <w:rsid w:val="00BF4D99"/>
    <w:rsid w:val="00BF5F91"/>
    <w:rsid w:val="00BF7AEF"/>
    <w:rsid w:val="00C0615D"/>
    <w:rsid w:val="00C1182E"/>
    <w:rsid w:val="00C13A00"/>
    <w:rsid w:val="00C13EA3"/>
    <w:rsid w:val="00C21007"/>
    <w:rsid w:val="00C22765"/>
    <w:rsid w:val="00C2674E"/>
    <w:rsid w:val="00C32927"/>
    <w:rsid w:val="00C52722"/>
    <w:rsid w:val="00C5404C"/>
    <w:rsid w:val="00C56C0D"/>
    <w:rsid w:val="00C60C08"/>
    <w:rsid w:val="00C62019"/>
    <w:rsid w:val="00C83F6A"/>
    <w:rsid w:val="00C84C14"/>
    <w:rsid w:val="00C8732B"/>
    <w:rsid w:val="00C94E65"/>
    <w:rsid w:val="00CA04E3"/>
    <w:rsid w:val="00CA0A3D"/>
    <w:rsid w:val="00CA0C25"/>
    <w:rsid w:val="00CA1255"/>
    <w:rsid w:val="00CA59FC"/>
    <w:rsid w:val="00CA72E1"/>
    <w:rsid w:val="00CA734A"/>
    <w:rsid w:val="00CA7896"/>
    <w:rsid w:val="00CB6F4E"/>
    <w:rsid w:val="00CC0E33"/>
    <w:rsid w:val="00CC3781"/>
    <w:rsid w:val="00CC7461"/>
    <w:rsid w:val="00CD10D4"/>
    <w:rsid w:val="00CD321A"/>
    <w:rsid w:val="00CD47B8"/>
    <w:rsid w:val="00CD5A59"/>
    <w:rsid w:val="00CD65D4"/>
    <w:rsid w:val="00CD6B8A"/>
    <w:rsid w:val="00CD7F67"/>
    <w:rsid w:val="00CE18FD"/>
    <w:rsid w:val="00CE383F"/>
    <w:rsid w:val="00CE57C2"/>
    <w:rsid w:val="00CF10F4"/>
    <w:rsid w:val="00CF6AD4"/>
    <w:rsid w:val="00D03480"/>
    <w:rsid w:val="00D06E5E"/>
    <w:rsid w:val="00D1230C"/>
    <w:rsid w:val="00D1326F"/>
    <w:rsid w:val="00D133A0"/>
    <w:rsid w:val="00D14E95"/>
    <w:rsid w:val="00D21E0C"/>
    <w:rsid w:val="00D249A1"/>
    <w:rsid w:val="00D2584C"/>
    <w:rsid w:val="00D276A0"/>
    <w:rsid w:val="00D32268"/>
    <w:rsid w:val="00D340AB"/>
    <w:rsid w:val="00D36A8D"/>
    <w:rsid w:val="00D42925"/>
    <w:rsid w:val="00D458B1"/>
    <w:rsid w:val="00D5102A"/>
    <w:rsid w:val="00D512CF"/>
    <w:rsid w:val="00D542D4"/>
    <w:rsid w:val="00D562D0"/>
    <w:rsid w:val="00D62DD4"/>
    <w:rsid w:val="00D64CED"/>
    <w:rsid w:val="00D74718"/>
    <w:rsid w:val="00D75FF8"/>
    <w:rsid w:val="00D77013"/>
    <w:rsid w:val="00D772DA"/>
    <w:rsid w:val="00D86898"/>
    <w:rsid w:val="00D91885"/>
    <w:rsid w:val="00D9279A"/>
    <w:rsid w:val="00D9438A"/>
    <w:rsid w:val="00DA1EEE"/>
    <w:rsid w:val="00DA6282"/>
    <w:rsid w:val="00DB1A25"/>
    <w:rsid w:val="00DB3F95"/>
    <w:rsid w:val="00DC4461"/>
    <w:rsid w:val="00DC5762"/>
    <w:rsid w:val="00DC6A50"/>
    <w:rsid w:val="00DC76EE"/>
    <w:rsid w:val="00DD1669"/>
    <w:rsid w:val="00DD1CCA"/>
    <w:rsid w:val="00DD593B"/>
    <w:rsid w:val="00DD6106"/>
    <w:rsid w:val="00DE598C"/>
    <w:rsid w:val="00DF0881"/>
    <w:rsid w:val="00DF296F"/>
    <w:rsid w:val="00DF2A52"/>
    <w:rsid w:val="00DF55D1"/>
    <w:rsid w:val="00DF5AB3"/>
    <w:rsid w:val="00DF5E6F"/>
    <w:rsid w:val="00DF610B"/>
    <w:rsid w:val="00DF7BFC"/>
    <w:rsid w:val="00E00BFD"/>
    <w:rsid w:val="00E00CF0"/>
    <w:rsid w:val="00E05E2E"/>
    <w:rsid w:val="00E140F7"/>
    <w:rsid w:val="00E215FA"/>
    <w:rsid w:val="00E22205"/>
    <w:rsid w:val="00E26798"/>
    <w:rsid w:val="00E3131C"/>
    <w:rsid w:val="00E34BFB"/>
    <w:rsid w:val="00E360BD"/>
    <w:rsid w:val="00E45BA0"/>
    <w:rsid w:val="00E60268"/>
    <w:rsid w:val="00E61028"/>
    <w:rsid w:val="00E629FF"/>
    <w:rsid w:val="00E64301"/>
    <w:rsid w:val="00E652BB"/>
    <w:rsid w:val="00E74EC2"/>
    <w:rsid w:val="00E75BDA"/>
    <w:rsid w:val="00E823C0"/>
    <w:rsid w:val="00E84493"/>
    <w:rsid w:val="00E90EB0"/>
    <w:rsid w:val="00E93DB4"/>
    <w:rsid w:val="00E93E3D"/>
    <w:rsid w:val="00E94D3B"/>
    <w:rsid w:val="00E962B3"/>
    <w:rsid w:val="00E96C55"/>
    <w:rsid w:val="00EA0586"/>
    <w:rsid w:val="00EB39D3"/>
    <w:rsid w:val="00EC4BFD"/>
    <w:rsid w:val="00EC7206"/>
    <w:rsid w:val="00ED20F0"/>
    <w:rsid w:val="00ED62F8"/>
    <w:rsid w:val="00ED77B5"/>
    <w:rsid w:val="00ED7B73"/>
    <w:rsid w:val="00EE2769"/>
    <w:rsid w:val="00EE56F1"/>
    <w:rsid w:val="00EE679F"/>
    <w:rsid w:val="00EE7334"/>
    <w:rsid w:val="00F0206A"/>
    <w:rsid w:val="00F07C9F"/>
    <w:rsid w:val="00F121C0"/>
    <w:rsid w:val="00F12AEE"/>
    <w:rsid w:val="00F1761B"/>
    <w:rsid w:val="00F17B07"/>
    <w:rsid w:val="00F21DAE"/>
    <w:rsid w:val="00F31B17"/>
    <w:rsid w:val="00F3704A"/>
    <w:rsid w:val="00F378A6"/>
    <w:rsid w:val="00F56391"/>
    <w:rsid w:val="00F61DA3"/>
    <w:rsid w:val="00F62525"/>
    <w:rsid w:val="00F65DB6"/>
    <w:rsid w:val="00F67C4A"/>
    <w:rsid w:val="00F720A0"/>
    <w:rsid w:val="00F76037"/>
    <w:rsid w:val="00F8081B"/>
    <w:rsid w:val="00F83881"/>
    <w:rsid w:val="00F8611F"/>
    <w:rsid w:val="00F94F66"/>
    <w:rsid w:val="00F957CA"/>
    <w:rsid w:val="00F9676A"/>
    <w:rsid w:val="00F967A7"/>
    <w:rsid w:val="00FA111B"/>
    <w:rsid w:val="00FA2211"/>
    <w:rsid w:val="00FA3FEF"/>
    <w:rsid w:val="00FB5F25"/>
    <w:rsid w:val="00FB7EE0"/>
    <w:rsid w:val="00FC3311"/>
    <w:rsid w:val="00FE432C"/>
    <w:rsid w:val="00FE45BF"/>
    <w:rsid w:val="042712EB"/>
    <w:rsid w:val="0E98A60B"/>
    <w:rsid w:val="0F5AC9DE"/>
    <w:rsid w:val="11D33F44"/>
    <w:rsid w:val="14D0BFFF"/>
    <w:rsid w:val="15BA3897"/>
    <w:rsid w:val="18D086D4"/>
    <w:rsid w:val="25563B8D"/>
    <w:rsid w:val="30D9D7C6"/>
    <w:rsid w:val="3438CE9F"/>
    <w:rsid w:val="35AD48E9"/>
    <w:rsid w:val="424CC4D6"/>
    <w:rsid w:val="425CEF4A"/>
    <w:rsid w:val="45A79A16"/>
    <w:rsid w:val="46C4BE69"/>
    <w:rsid w:val="489A4C91"/>
    <w:rsid w:val="49C3687F"/>
    <w:rsid w:val="510E0445"/>
    <w:rsid w:val="51968C21"/>
    <w:rsid w:val="52332D10"/>
    <w:rsid w:val="57D08CD4"/>
    <w:rsid w:val="5B141EC9"/>
    <w:rsid w:val="63EF85A9"/>
    <w:rsid w:val="646D48B1"/>
    <w:rsid w:val="66091912"/>
    <w:rsid w:val="6947D9F8"/>
  </w:rsids>
  <w:docVars>
    <w:docVar w:name="EN.InstantFormat" w:val="&lt;ENInstantFormat&gt;&lt;Enabled&gt;1&lt;/Enabled&gt;&lt;ScanUnformatted&gt;1&lt;/ScanUnformatted&gt;&lt;ScanChanges&gt;1&lt;/ScanChanges&gt;&lt;Suspended&gt;0&lt;/Suspended&gt;&lt;/ENInstantFormat&gt;"/>
    <w:docVar w:name="EN.Layout" w:val="&lt;ENLayout&gt;&lt;Style&gt;AA Pain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sxtex0jtstfiepap3pe5rzawrxt29vtfvt&quot;&gt;OMB-FDA&lt;record-ids&gt;&lt;item&gt;1&lt;/item&gt;&lt;item&gt;2&lt;/item&gt;&lt;item&gt;3&lt;/item&gt;&lt;item&gt;4&lt;/item&gt;&lt;item&gt;5&lt;/item&gt;&lt;item&gt;6&lt;/item&gt;&lt;item&gt;7&lt;/item&gt;&lt;item&gt;8&lt;/item&gt;&lt;item&gt;9&lt;/item&gt;&lt;item&gt;10&lt;/item&gt;&lt;item&gt;11&lt;/item&gt;&lt;item&gt;12&lt;/item&gt;&lt;item&gt;14&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006CE5"/>
  <w15:chartTrackingRefBased/>
  <w15:docId w15:val="{8F8E8E5F-A339-4863-88B1-17B43EA0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styleId="FootnoteText">
    <w:name w:val="footnote text"/>
    <w:basedOn w:val="Normal"/>
    <w:link w:val="FootnoteTextChar"/>
    <w:uiPriority w:val="99"/>
    <w:semiHidden/>
    <w:unhideWhenUsed/>
    <w:rsid w:val="00B27E3D"/>
    <w:rPr>
      <w:sz w:val="20"/>
      <w:szCs w:val="20"/>
    </w:rPr>
  </w:style>
  <w:style w:type="character" w:customStyle="1" w:styleId="FootnoteTextChar">
    <w:name w:val="Footnote Text Char"/>
    <w:basedOn w:val="DefaultParagraphFont"/>
    <w:link w:val="FootnoteText"/>
    <w:uiPriority w:val="99"/>
    <w:semiHidden/>
    <w:rsid w:val="00B27E3D"/>
  </w:style>
  <w:style w:type="character" w:styleId="FootnoteReference">
    <w:name w:val="footnote reference"/>
    <w:uiPriority w:val="99"/>
    <w:unhideWhenUsed/>
    <w:rsid w:val="00B27E3D"/>
    <w:rPr>
      <w:vertAlign w:val="superscript"/>
    </w:rPr>
  </w:style>
  <w:style w:type="table" w:styleId="TableGrid">
    <w:name w:val="Table Grid"/>
    <w:basedOn w:val="TableNormal"/>
    <w:uiPriority w:val="59"/>
    <w:rsid w:val="00BF5F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54F9"/>
    <w:rPr>
      <w:sz w:val="16"/>
      <w:szCs w:val="16"/>
    </w:rPr>
  </w:style>
  <w:style w:type="paragraph" w:styleId="CommentText">
    <w:name w:val="annotation text"/>
    <w:basedOn w:val="Normal"/>
    <w:link w:val="CommentTextChar"/>
    <w:uiPriority w:val="99"/>
    <w:unhideWhenUsed/>
    <w:rsid w:val="001754F9"/>
    <w:rPr>
      <w:sz w:val="20"/>
      <w:szCs w:val="20"/>
    </w:rPr>
  </w:style>
  <w:style w:type="character" w:customStyle="1" w:styleId="CommentTextChar">
    <w:name w:val="Comment Text Char"/>
    <w:basedOn w:val="DefaultParagraphFont"/>
    <w:link w:val="CommentText"/>
    <w:uiPriority w:val="99"/>
    <w:rsid w:val="001754F9"/>
  </w:style>
  <w:style w:type="paragraph" w:styleId="CommentSubject">
    <w:name w:val="annotation subject"/>
    <w:basedOn w:val="CommentText"/>
    <w:next w:val="CommentText"/>
    <w:link w:val="CommentSubjectChar"/>
    <w:uiPriority w:val="99"/>
    <w:semiHidden/>
    <w:unhideWhenUsed/>
    <w:rsid w:val="001754F9"/>
    <w:rPr>
      <w:b/>
      <w:bCs/>
    </w:rPr>
  </w:style>
  <w:style w:type="character" w:customStyle="1" w:styleId="CommentSubjectChar">
    <w:name w:val="Comment Subject Char"/>
    <w:basedOn w:val="CommentTextChar"/>
    <w:link w:val="CommentSubject"/>
    <w:uiPriority w:val="99"/>
    <w:semiHidden/>
    <w:rsid w:val="001754F9"/>
    <w:rPr>
      <w:b/>
      <w:bCs/>
    </w:rPr>
  </w:style>
  <w:style w:type="paragraph" w:customStyle="1" w:styleId="EndNoteBibliographyTitle">
    <w:name w:val="EndNote Bibliography Title"/>
    <w:basedOn w:val="Normal"/>
    <w:link w:val="EndNoteBibliographyTitleChar"/>
    <w:rsid w:val="00D36A8D"/>
    <w:pPr>
      <w:jc w:val="center"/>
    </w:pPr>
  </w:style>
  <w:style w:type="character" w:customStyle="1" w:styleId="EndNoteBibliographyTitleChar">
    <w:name w:val="EndNote Bibliography Title Char"/>
    <w:basedOn w:val="DefaultParagraphFont"/>
    <w:link w:val="EndNoteBibliographyTitle"/>
    <w:rsid w:val="00D36A8D"/>
    <w:rPr>
      <w:sz w:val="24"/>
      <w:szCs w:val="24"/>
    </w:rPr>
  </w:style>
  <w:style w:type="paragraph" w:customStyle="1" w:styleId="EndNoteBibliography">
    <w:name w:val="EndNote Bibliography"/>
    <w:basedOn w:val="Normal"/>
    <w:link w:val="EndNoteBibliographyChar"/>
    <w:rsid w:val="00D36A8D"/>
  </w:style>
  <w:style w:type="character" w:customStyle="1" w:styleId="EndNoteBibliographyChar">
    <w:name w:val="EndNote Bibliography Char"/>
    <w:basedOn w:val="DefaultParagraphFont"/>
    <w:link w:val="EndNoteBibliography"/>
    <w:rsid w:val="00D36A8D"/>
    <w:rPr>
      <w:sz w:val="24"/>
      <w:szCs w:val="24"/>
    </w:rPr>
  </w:style>
  <w:style w:type="paragraph" w:styleId="Revision">
    <w:name w:val="Revision"/>
    <w:hidden/>
    <w:uiPriority w:val="99"/>
    <w:semiHidden/>
    <w:rsid w:val="004D73DF"/>
    <w:rPr>
      <w:sz w:val="24"/>
      <w:szCs w:val="24"/>
    </w:rPr>
  </w:style>
  <w:style w:type="paragraph" w:styleId="EndnoteText">
    <w:name w:val="endnote text"/>
    <w:basedOn w:val="Normal"/>
    <w:link w:val="EndnoteTextChar"/>
    <w:uiPriority w:val="99"/>
    <w:unhideWhenUsed/>
    <w:rsid w:val="00D512CF"/>
    <w:rPr>
      <w:sz w:val="20"/>
      <w:szCs w:val="20"/>
    </w:rPr>
  </w:style>
  <w:style w:type="character" w:customStyle="1" w:styleId="EndnoteTextChar">
    <w:name w:val="Endnote Text Char"/>
    <w:basedOn w:val="DefaultParagraphFont"/>
    <w:link w:val="EndnoteText"/>
    <w:uiPriority w:val="99"/>
    <w:rsid w:val="00D512CF"/>
  </w:style>
  <w:style w:type="character" w:styleId="EndnoteReference">
    <w:name w:val="endnote reference"/>
    <w:basedOn w:val="DefaultParagraphFont"/>
    <w:uiPriority w:val="99"/>
    <w:unhideWhenUsed/>
    <w:rsid w:val="00D512CF"/>
    <w:rPr>
      <w:vertAlign w:val="superscript"/>
    </w:rPr>
  </w:style>
  <w:style w:type="character" w:styleId="UnresolvedMention">
    <w:name w:val="Unresolved Mention"/>
    <w:basedOn w:val="DefaultParagraphFont"/>
    <w:uiPriority w:val="99"/>
    <w:unhideWhenUsed/>
    <w:rsid w:val="00C13A00"/>
    <w:rPr>
      <w:color w:val="605E5C"/>
      <w:shd w:val="clear" w:color="auto" w:fill="E1DFDD"/>
    </w:rPr>
  </w:style>
  <w:style w:type="character" w:styleId="SubtleEmphasis">
    <w:name w:val="Subtle Emphasis"/>
    <w:basedOn w:val="DefaultParagraphFont"/>
    <w:uiPriority w:val="19"/>
    <w:qFormat/>
    <w:rsid w:val="00F76037"/>
    <w:rPr>
      <w:i/>
      <w:iCs/>
    </w:rPr>
  </w:style>
  <w:style w:type="character" w:customStyle="1" w:styleId="apple-converted-space">
    <w:name w:val="apple-converted-space"/>
    <w:basedOn w:val="DefaultParagraphFont"/>
    <w:rsid w:val="00B24722"/>
  </w:style>
  <w:style w:type="character" w:customStyle="1" w:styleId="FooterChar">
    <w:name w:val="Footer Char"/>
    <w:link w:val="Footer"/>
    <w:uiPriority w:val="99"/>
    <w:rsid w:val="00B24722"/>
    <w:rPr>
      <w:sz w:val="24"/>
      <w:szCs w:val="24"/>
    </w:rPr>
  </w:style>
  <w:style w:type="character" w:styleId="Emphasis">
    <w:name w:val="Emphasis"/>
    <w:basedOn w:val="DefaultParagraphFont"/>
    <w:uiPriority w:val="20"/>
    <w:qFormat/>
    <w:rsid w:val="00B24722"/>
    <w:rPr>
      <w:i/>
      <w:iCs/>
    </w:rPr>
  </w:style>
  <w:style w:type="paragraph" w:styleId="Bibliography">
    <w:name w:val="Bibliography"/>
    <w:basedOn w:val="Normal"/>
    <w:next w:val="Normal"/>
    <w:uiPriority w:val="37"/>
    <w:unhideWhenUsed/>
    <w:rsid w:val="00B24722"/>
  </w:style>
  <w:style w:type="paragraph" w:customStyle="1" w:styleId="get-citation-citation">
    <w:name w:val="get-citation-citation"/>
    <w:basedOn w:val="Normal"/>
    <w:rsid w:val="00B24722"/>
    <w:pPr>
      <w:spacing w:before="100" w:beforeAutospacing="1" w:after="100" w:afterAutospacing="1"/>
    </w:pPr>
  </w:style>
  <w:style w:type="character" w:customStyle="1" w:styleId="nlmyear">
    <w:name w:val="nlm_year"/>
    <w:basedOn w:val="DefaultParagraphFont"/>
    <w:rsid w:val="00B24722"/>
  </w:style>
  <w:style w:type="character" w:customStyle="1" w:styleId="nlmarticle-title">
    <w:name w:val="nlm_article-title"/>
    <w:basedOn w:val="DefaultParagraphFont"/>
    <w:rsid w:val="00B24722"/>
  </w:style>
  <w:style w:type="character" w:customStyle="1" w:styleId="nlmfpage">
    <w:name w:val="nlm_fpage"/>
    <w:basedOn w:val="DefaultParagraphFont"/>
    <w:rsid w:val="00B24722"/>
  </w:style>
  <w:style w:type="character" w:customStyle="1" w:styleId="nlmlpage">
    <w:name w:val="nlm_lpage"/>
    <w:basedOn w:val="DefaultParagraphFont"/>
    <w:rsid w:val="00B24722"/>
  </w:style>
  <w:style w:type="character" w:customStyle="1" w:styleId="highwire-citation-authors">
    <w:name w:val="highwire-citation-authors"/>
    <w:basedOn w:val="DefaultParagraphFont"/>
    <w:rsid w:val="00B24722"/>
  </w:style>
  <w:style w:type="character" w:customStyle="1" w:styleId="highwire-citation-author">
    <w:name w:val="highwire-citation-author"/>
    <w:basedOn w:val="DefaultParagraphFont"/>
    <w:rsid w:val="00B24722"/>
  </w:style>
  <w:style w:type="character" w:customStyle="1" w:styleId="nlm-surname">
    <w:name w:val="nlm-surname"/>
    <w:basedOn w:val="DefaultParagraphFont"/>
    <w:rsid w:val="00B24722"/>
  </w:style>
  <w:style w:type="character" w:customStyle="1" w:styleId="citation-et">
    <w:name w:val="citation-et"/>
    <w:basedOn w:val="DefaultParagraphFont"/>
    <w:rsid w:val="00B24722"/>
  </w:style>
  <w:style w:type="character" w:customStyle="1" w:styleId="highwire-cite-metadata-journal">
    <w:name w:val="highwire-cite-metadata-journal"/>
    <w:basedOn w:val="DefaultParagraphFont"/>
    <w:rsid w:val="00B24722"/>
  </w:style>
  <w:style w:type="character" w:customStyle="1" w:styleId="highwire-cite-metadata-date">
    <w:name w:val="highwire-cite-metadata-date"/>
    <w:basedOn w:val="DefaultParagraphFont"/>
    <w:rsid w:val="00B24722"/>
  </w:style>
  <w:style w:type="character" w:customStyle="1" w:styleId="label">
    <w:name w:val="label"/>
    <w:basedOn w:val="DefaultParagraphFont"/>
    <w:rsid w:val="00B24722"/>
  </w:style>
  <w:style w:type="character" w:customStyle="1" w:styleId="highwire-cite-metadata-doi">
    <w:name w:val="highwire-cite-metadata-doi"/>
    <w:basedOn w:val="DefaultParagraphFont"/>
    <w:rsid w:val="00B24722"/>
  </w:style>
  <w:style w:type="character" w:customStyle="1" w:styleId="HeaderChar">
    <w:name w:val="Header Char"/>
    <w:basedOn w:val="DefaultParagraphFont"/>
    <w:link w:val="Header"/>
    <w:uiPriority w:val="99"/>
    <w:rsid w:val="00F56391"/>
    <w:rPr>
      <w:snapToGrid w:val="0"/>
      <w:sz w:val="24"/>
      <w:szCs w:val="24"/>
    </w:rPr>
  </w:style>
  <w:style w:type="character" w:styleId="Mention">
    <w:name w:val="Mention"/>
    <w:basedOn w:val="DefaultParagraphFont"/>
    <w:uiPriority w:val="99"/>
    <w:unhideWhenUsed/>
    <w:rsid w:val="00E610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ulie.schneider@fda.hhs.gov" TargetMode="External" /><Relationship Id="rId9" Type="http://schemas.openxmlformats.org/officeDocument/2006/relationships/hyperlink" Target="mailto:Jonnalynn.capezzuto@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c19e2-07bf-48e3-9638-5047d7891ec3" xsi:nil="true"/>
    <lcf76f155ced4ddcb4097134ff3c332f xmlns="b5022a83-871b-4d85-bad2-b5228c1d4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Mor02</b:Tag>
    <b:SourceType>Book</b:SourceType>
    <b:Guid>{8145D5E2-0945-42F6-9A47-7BED37619AAA}</b:Guid>
    <b:Author>
      <b:Author>
        <b:NameList>
          <b:Person>
            <b:Last>Morgan</b:Last>
            <b:First>M.G.,</b:First>
            <b:Middle>B. Fischhoff, A. Bostrom, et al.,</b:Middle>
          </b:Person>
        </b:NameList>
      </b:Author>
    </b:Author>
    <b:Title> Risk Communication: A Mental Models Approach</b:Title>
    <b:Year>2002</b:Year>
    <b:Publisher>Cambridge University Press</b:Publisher>
    <b:RefOrder>2</b:RefOrder>
  </b:Source>
  <b:Source>
    <b:Tag>Placeholder1</b:Tag>
    <b:SourceType>JournalArticle</b:SourceType>
    <b:Guid>{26EEB525-0528-4871-8D77-C96D66D526A2}</b:Guid>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1D8C5-2DA9-4D92-B6D2-2DDEB9E2F1F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5022a83-871b-4d85-bad2-b5228c1d4066"/>
    <ds:schemaRef ds:uri="http://purl.org/dc/elements/1.1/"/>
    <ds:schemaRef ds:uri="http://schemas.microsoft.com/sharepoint/v3"/>
    <ds:schemaRef ds:uri="514c19e2-07bf-48e3-9638-5047d7891ec3"/>
    <ds:schemaRef ds:uri="http://www.w3.org/XML/1998/namespace"/>
  </ds:schemaRefs>
</ds:datastoreItem>
</file>

<file path=customXml/itemProps2.xml><?xml version="1.0" encoding="utf-8"?>
<ds:datastoreItem xmlns:ds="http://schemas.openxmlformats.org/officeDocument/2006/customXml" ds:itemID="{974FABF1-37D9-449A-A5D7-B236CEA5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5671A-E4CA-40A2-BD1F-D50BA143D678}">
  <ds:schemaRefs>
    <ds:schemaRef ds:uri="http://schemas.openxmlformats.org/officeDocument/2006/bibliography"/>
  </ds:schemaRefs>
</ds:datastoreItem>
</file>

<file path=customXml/itemProps4.xml><?xml version="1.0" encoding="utf-8"?>
<ds:datastoreItem xmlns:ds="http://schemas.openxmlformats.org/officeDocument/2006/customXml" ds:itemID="{219E3A86-90D6-42AC-9C49-18B94C48B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1534</Words>
  <Characters>9077</Characters>
  <Application>Microsoft Office Word</Application>
  <DocSecurity>0</DocSecurity>
  <Lines>75</Lines>
  <Paragraphs>21</Paragraphs>
  <ScaleCrop>false</ScaleCrop>
  <Company>SSI</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MERC OMB MEP</dc:subject>
  <dc:creator>StClair, Christopher</dc:creator>
  <cp:keywords>MERC OMB MEP</cp:keywords>
  <cp:lastModifiedBy>Capezzuto, JonnaLynn</cp:lastModifiedBy>
  <cp:revision>3</cp:revision>
  <cp:lastPrinted>2013-06-14T16:30:00Z</cp:lastPrinted>
  <dcterms:created xsi:type="dcterms:W3CDTF">2023-06-21T16:45:00Z</dcterms:created>
  <dcterms:modified xsi:type="dcterms:W3CDTF">2023-06-21T19:59:00Z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0x0101006B717CE75F4DEC4D80522EAF4278EB71</vt:lpwstr>
  </property>
  <property fmtid="{D5CDD505-2E9C-101B-9397-08002B2CF9AE}" pid="4" name="MediaServiceImageTags">
    <vt:lpwstr/>
  </property>
  <property fmtid="{D5CDD505-2E9C-101B-9397-08002B2CF9AE}" pid="5" name="Order">
    <vt:r8>2596000</vt:r8>
  </property>
  <property fmtid="{D5CDD505-2E9C-101B-9397-08002B2CF9AE}" pid="6" name="TriggerFlowInfo">
    <vt:lpwstr/>
  </property>
  <property fmtid="{D5CDD505-2E9C-101B-9397-08002B2CF9AE}" pid="7" name="_ExtendedDescription">
    <vt:lpwstr/>
  </property>
  <property fmtid="{D5CDD505-2E9C-101B-9397-08002B2CF9AE}" pid="8" name="_NewReviewCycle">
    <vt:lpwstr/>
  </property>
</Properties>
</file>