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2299" w:rsidRPr="00F00848" w:rsidP="009F6C0E" w14:paraId="2EFD30E9" w14:textId="602C982A">
      <w:pPr>
        <w:pStyle w:val="BodyText"/>
        <w:spacing w:before="40"/>
        <w:ind w:left="1795" w:right="1776"/>
        <w:jc w:val="center"/>
        <w:rPr>
          <w:rFonts w:cs="Times New Roman"/>
        </w:rPr>
      </w:pPr>
      <w:r w:rsidRPr="00F00848">
        <w:rPr>
          <w:rFonts w:cs="Times New Roman"/>
        </w:rPr>
        <w:t xml:space="preserve">UNITED STATES FOOD </w:t>
      </w:r>
      <w:r w:rsidRPr="00F00848" w:rsidR="00BA4176">
        <w:rPr>
          <w:rFonts w:cs="Times New Roman"/>
        </w:rPr>
        <w:t xml:space="preserve">&amp; </w:t>
      </w:r>
      <w:r w:rsidRPr="00F00848">
        <w:rPr>
          <w:rFonts w:cs="Times New Roman"/>
        </w:rPr>
        <w:t>DRUG ADMINISTRATION</w:t>
      </w:r>
    </w:p>
    <w:p w:rsidR="001B2299" w:rsidP="009F6C0E" w14:paraId="424A2DE4" w14:textId="6101F5D8">
      <w:pPr>
        <w:rPr>
          <w:rFonts w:ascii="Times New Roman" w:eastAsia="Times New Roman" w:hAnsi="Times New Roman" w:cs="Times New Roman"/>
          <w:sz w:val="24"/>
          <w:szCs w:val="24"/>
        </w:rPr>
      </w:pPr>
    </w:p>
    <w:p w:rsidR="00E714DB" w:rsidP="009F6C0E" w14:paraId="40915AD5" w14:textId="0B021B86">
      <w:pPr>
        <w:jc w:val="center"/>
        <w:rPr>
          <w:rFonts w:ascii="Times New Roman" w:eastAsia="Times New Roman" w:hAnsi="Times New Roman" w:cs="Times New Roman"/>
          <w:sz w:val="24"/>
          <w:szCs w:val="24"/>
        </w:rPr>
      </w:pPr>
      <w:r w:rsidRPr="00B31D41">
        <w:rPr>
          <w:rFonts w:ascii="Times New Roman" w:eastAsia="Times New Roman" w:hAnsi="Times New Roman" w:cs="Times New Roman"/>
          <w:sz w:val="24"/>
          <w:szCs w:val="24"/>
        </w:rPr>
        <w:t>Investigational New Drug Applications</w:t>
      </w:r>
      <w:r w:rsidR="00004423">
        <w:rPr>
          <w:rFonts w:ascii="Times New Roman" w:eastAsia="Times New Roman" w:hAnsi="Times New Roman" w:cs="Times New Roman"/>
          <w:sz w:val="24"/>
          <w:szCs w:val="24"/>
        </w:rPr>
        <w:t>:</w:t>
      </w:r>
    </w:p>
    <w:p w:rsidR="003B7950" w:rsidP="009F6C0E" w14:paraId="2AC74C6C"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 Reporting</w:t>
      </w:r>
    </w:p>
    <w:p w:rsidR="00685098" w:rsidP="009F6C0E" w14:paraId="789A2FB3" w14:textId="6A49C2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Agency </w:t>
      </w:r>
      <w:r w:rsidR="00B31D41">
        <w:rPr>
          <w:rFonts w:ascii="Times New Roman" w:eastAsia="Times New Roman" w:hAnsi="Times New Roman" w:cs="Times New Roman"/>
          <w:sz w:val="24"/>
          <w:szCs w:val="24"/>
        </w:rPr>
        <w:t>Rulemaking</w:t>
      </w:r>
      <w:r>
        <w:rPr>
          <w:rFonts w:ascii="Times New Roman" w:eastAsia="Times New Roman" w:hAnsi="Times New Roman" w:cs="Times New Roman"/>
          <w:sz w:val="24"/>
          <w:szCs w:val="24"/>
        </w:rPr>
        <w:t xml:space="preserve">:  </w:t>
      </w:r>
      <w:r w:rsidR="003C44C3">
        <w:rPr>
          <w:rFonts w:ascii="Times New Roman" w:eastAsia="Times New Roman" w:hAnsi="Times New Roman" w:cs="Times New Roman"/>
          <w:sz w:val="24"/>
          <w:szCs w:val="24"/>
        </w:rPr>
        <w:t xml:space="preserve"> </w:t>
      </w:r>
      <w:r w:rsidRPr="009F6C0E" w:rsidR="003C44C3">
        <w:rPr>
          <w:rFonts w:ascii="Times New Roman" w:eastAsia="Times New Roman" w:hAnsi="Times New Roman" w:cs="Times New Roman"/>
          <w:b/>
          <w:bCs/>
          <w:sz w:val="24"/>
          <w:szCs w:val="24"/>
        </w:rPr>
        <w:t>RIN 0910-AH</w:t>
      </w:r>
      <w:r w:rsidR="003B7950">
        <w:rPr>
          <w:rFonts w:ascii="Times New Roman" w:eastAsia="Times New Roman" w:hAnsi="Times New Roman" w:cs="Times New Roman"/>
          <w:b/>
          <w:bCs/>
          <w:sz w:val="24"/>
          <w:szCs w:val="24"/>
        </w:rPr>
        <w:t>37</w:t>
      </w:r>
    </w:p>
    <w:p w:rsidR="00B31D41" w:rsidRPr="00F00848" w:rsidP="009F6C0E" w14:paraId="08D9ADED" w14:textId="77777777">
      <w:pPr>
        <w:jc w:val="center"/>
        <w:rPr>
          <w:rFonts w:ascii="Times New Roman" w:eastAsia="Times New Roman" w:hAnsi="Times New Roman" w:cs="Times New Roman"/>
          <w:sz w:val="24"/>
          <w:szCs w:val="24"/>
        </w:rPr>
      </w:pPr>
    </w:p>
    <w:p w:rsidR="001B2299" w:rsidRPr="00F00848" w:rsidP="009F6C0E" w14:paraId="0A99902F" w14:textId="2CE77B6D">
      <w:pPr>
        <w:pStyle w:val="BodyText"/>
        <w:ind w:left="1795" w:right="1776"/>
        <w:jc w:val="center"/>
        <w:rPr>
          <w:rFonts w:cs="Times New Roman"/>
        </w:rPr>
      </w:pPr>
      <w:r>
        <w:rPr>
          <w:rFonts w:cs="Times New Roman"/>
          <w:u w:val="single" w:color="000000"/>
        </w:rPr>
        <w:t xml:space="preserve">OMB Control No. </w:t>
      </w:r>
      <w:r w:rsidRPr="00F00848" w:rsidR="00BA4176">
        <w:rPr>
          <w:rFonts w:cs="Times New Roman"/>
          <w:u w:val="single" w:color="000000"/>
        </w:rPr>
        <w:t>- NEW</w:t>
      </w:r>
    </w:p>
    <w:p w:rsidR="001B2299" w:rsidRPr="00F00848" w:rsidP="009F6C0E" w14:paraId="403D0376" w14:textId="77777777">
      <w:pPr>
        <w:rPr>
          <w:rFonts w:ascii="Times New Roman" w:eastAsia="Times New Roman" w:hAnsi="Times New Roman" w:cs="Times New Roman"/>
          <w:sz w:val="20"/>
          <w:szCs w:val="20"/>
        </w:rPr>
      </w:pPr>
    </w:p>
    <w:p w:rsidR="00004423" w:rsidP="009F6C0E" w14:paraId="0D4B549D" w14:textId="77777777">
      <w:pPr>
        <w:spacing w:before="69"/>
        <w:ind w:left="120"/>
        <w:rPr>
          <w:rFonts w:ascii="Times New Roman" w:eastAsia="Times New Roman" w:hAnsi="Times New Roman" w:cs="Times New Roman"/>
          <w:sz w:val="24"/>
          <w:szCs w:val="24"/>
        </w:rPr>
      </w:pPr>
    </w:p>
    <w:p w:rsidR="001B2299" w:rsidRPr="00F00848" w:rsidP="009F6C0E" w14:paraId="3500DAC4" w14:textId="41419DB1">
      <w:pPr>
        <w:spacing w:before="69"/>
        <w:ind w:left="120"/>
        <w:rPr>
          <w:rFonts w:ascii="Times New Roman" w:eastAsia="Times New Roman" w:hAnsi="Times New Roman" w:cs="Times New Roman"/>
          <w:sz w:val="24"/>
          <w:szCs w:val="24"/>
        </w:rPr>
      </w:pPr>
      <w:r w:rsidRPr="00F00848">
        <w:rPr>
          <w:rFonts w:ascii="Times New Roman" w:eastAsia="Times New Roman" w:hAnsi="Times New Roman" w:cs="Times New Roman"/>
          <w:sz w:val="24"/>
          <w:szCs w:val="24"/>
        </w:rPr>
        <w:t xml:space="preserve">SUPPORTING STATEMENT – </w:t>
      </w:r>
      <w:r w:rsidRPr="00F00848">
        <w:rPr>
          <w:rFonts w:ascii="Times New Roman" w:eastAsia="Times New Roman" w:hAnsi="Times New Roman" w:cs="Times New Roman"/>
          <w:b/>
          <w:bCs/>
          <w:sz w:val="24"/>
          <w:szCs w:val="24"/>
        </w:rPr>
        <w:t>Part A: Justification</w:t>
      </w:r>
      <w:r w:rsidRPr="00F00848">
        <w:rPr>
          <w:rFonts w:ascii="Times New Roman" w:eastAsia="Times New Roman" w:hAnsi="Times New Roman" w:cs="Times New Roman"/>
          <w:sz w:val="24"/>
          <w:szCs w:val="24"/>
        </w:rPr>
        <w:t>:</w:t>
      </w:r>
    </w:p>
    <w:p w:rsidR="001B2299" w:rsidRPr="00F00848" w:rsidP="009F6C0E" w14:paraId="7CD54E6B" w14:textId="77777777">
      <w:pPr>
        <w:rPr>
          <w:rFonts w:ascii="Times New Roman" w:eastAsia="Times New Roman" w:hAnsi="Times New Roman" w:cs="Times New Roman"/>
          <w:sz w:val="24"/>
          <w:szCs w:val="24"/>
        </w:rPr>
      </w:pPr>
    </w:p>
    <w:p w:rsidR="001B2299" w:rsidRPr="00F00848" w:rsidP="009F6C0E" w14:paraId="1E2E4813" w14:textId="77777777">
      <w:pPr>
        <w:pStyle w:val="BodyText"/>
        <w:numPr>
          <w:ilvl w:val="0"/>
          <w:numId w:val="1"/>
        </w:numPr>
        <w:rPr>
          <w:rFonts w:cs="Times New Roman"/>
        </w:rPr>
      </w:pPr>
      <w:r w:rsidRPr="00F00848">
        <w:rPr>
          <w:rFonts w:cs="Times New Roman"/>
          <w:u w:val="single" w:color="000000"/>
        </w:rPr>
        <w:t>Circumstances Making the Collection of Information Necessary</w:t>
      </w:r>
    </w:p>
    <w:p w:rsidR="001B2299" w:rsidRPr="00F00848" w:rsidP="009F6C0E" w14:paraId="708FB546" w14:textId="77777777">
      <w:pPr>
        <w:spacing w:before="11"/>
        <w:rPr>
          <w:rFonts w:ascii="Times New Roman" w:eastAsia="Times New Roman" w:hAnsi="Times New Roman" w:cs="Times New Roman"/>
          <w:sz w:val="14"/>
          <w:szCs w:val="14"/>
        </w:rPr>
      </w:pPr>
    </w:p>
    <w:p w:rsidR="00D758D8" w:rsidP="007D6D5C" w14:paraId="58BF1495" w14:textId="39C08F9F">
      <w:pPr>
        <w:pStyle w:val="BodyText"/>
        <w:spacing w:before="69"/>
        <w:ind w:left="119" w:right="171"/>
        <w:rPr>
          <w:rFonts w:cs="Times New Roman"/>
        </w:rPr>
      </w:pPr>
      <w:r w:rsidRPr="007D6D5C">
        <w:rPr>
          <w:rFonts w:cs="Times New Roman"/>
        </w:rPr>
        <w:t xml:space="preserve">In the </w:t>
      </w:r>
      <w:r w:rsidRPr="007D6D5C">
        <w:rPr>
          <w:rFonts w:cs="Times New Roman"/>
          <w:u w:val="single"/>
        </w:rPr>
        <w:t>Federal Register</w:t>
      </w:r>
      <w:r w:rsidRPr="007D6D5C">
        <w:rPr>
          <w:rFonts w:cs="Times New Roman"/>
        </w:rPr>
        <w:t xml:space="preserve"> of October 11,</w:t>
      </w:r>
      <w:r>
        <w:rPr>
          <w:rFonts w:cs="Times New Roman"/>
        </w:rPr>
        <w:t xml:space="preserve"> </w:t>
      </w:r>
      <w:r w:rsidRPr="007D6D5C">
        <w:rPr>
          <w:rFonts w:cs="Times New Roman"/>
        </w:rPr>
        <w:t xml:space="preserve">1995 (60 FR 53078), </w:t>
      </w:r>
      <w:r>
        <w:rPr>
          <w:rFonts w:cs="Times New Roman"/>
        </w:rPr>
        <w:t xml:space="preserve">we </w:t>
      </w:r>
      <w:r w:rsidRPr="007D6D5C">
        <w:rPr>
          <w:rFonts w:cs="Times New Roman"/>
        </w:rPr>
        <w:t>published a</w:t>
      </w:r>
      <w:r>
        <w:rPr>
          <w:rFonts w:cs="Times New Roman"/>
        </w:rPr>
        <w:t xml:space="preserve"> </w:t>
      </w:r>
      <w:r w:rsidRPr="007D6D5C">
        <w:rPr>
          <w:rFonts w:cs="Times New Roman"/>
        </w:rPr>
        <w:t>notice entitled</w:t>
      </w:r>
      <w:r>
        <w:rPr>
          <w:rFonts w:cs="Times New Roman"/>
        </w:rPr>
        <w:t>, “</w:t>
      </w:r>
      <w:r w:rsidRPr="007D6D5C">
        <w:rPr>
          <w:rFonts w:cs="Times New Roman"/>
          <w:i/>
          <w:iCs/>
        </w:rPr>
        <w:t>International Harmonization, Policy on Standards</w:t>
      </w:r>
      <w:r w:rsidRPr="007D6D5C">
        <w:rPr>
          <w:rFonts w:cs="Times New Roman"/>
        </w:rPr>
        <w:t>’’</w:t>
      </w:r>
      <w:r>
        <w:rPr>
          <w:rFonts w:cs="Times New Roman"/>
        </w:rPr>
        <w:t xml:space="preserve"> </w:t>
      </w:r>
      <w:r w:rsidRPr="007D6D5C">
        <w:rPr>
          <w:rFonts w:cs="Times New Roman"/>
        </w:rPr>
        <w:t>that described FDA’s policy for working</w:t>
      </w:r>
      <w:r>
        <w:rPr>
          <w:rFonts w:cs="Times New Roman"/>
        </w:rPr>
        <w:t xml:space="preserve"> </w:t>
      </w:r>
      <w:r w:rsidRPr="007D6D5C">
        <w:rPr>
          <w:rFonts w:cs="Times New Roman"/>
        </w:rPr>
        <w:t>with other countries to achieve greater</w:t>
      </w:r>
      <w:r>
        <w:rPr>
          <w:rFonts w:cs="Times New Roman"/>
        </w:rPr>
        <w:t xml:space="preserve"> </w:t>
      </w:r>
      <w:r w:rsidRPr="007D6D5C">
        <w:rPr>
          <w:rFonts w:cs="Times New Roman"/>
        </w:rPr>
        <w:t>harmonization of regulatory</w:t>
      </w:r>
      <w:r>
        <w:rPr>
          <w:rFonts w:cs="Times New Roman"/>
        </w:rPr>
        <w:t xml:space="preserve"> </w:t>
      </w:r>
      <w:r w:rsidRPr="007D6D5C">
        <w:rPr>
          <w:rFonts w:cs="Times New Roman"/>
        </w:rPr>
        <w:t>requirements and guidelines.</w:t>
      </w:r>
      <w:r w:rsidR="00BF1846">
        <w:rPr>
          <w:rFonts w:cs="Times New Roman"/>
        </w:rPr>
        <w:t xml:space="preserve">  </w:t>
      </w:r>
      <w:r w:rsidRPr="007D6D5C">
        <w:rPr>
          <w:rFonts w:cs="Times New Roman"/>
        </w:rPr>
        <w:t>It also</w:t>
      </w:r>
      <w:r>
        <w:rPr>
          <w:rFonts w:cs="Times New Roman"/>
        </w:rPr>
        <w:t xml:space="preserve"> </w:t>
      </w:r>
      <w:r w:rsidRPr="007D6D5C">
        <w:rPr>
          <w:rFonts w:cs="Times New Roman"/>
        </w:rPr>
        <w:t>described FDA’s views on international</w:t>
      </w:r>
      <w:r>
        <w:rPr>
          <w:rFonts w:cs="Times New Roman"/>
        </w:rPr>
        <w:t xml:space="preserve"> </w:t>
      </w:r>
      <w:r w:rsidRPr="007D6D5C">
        <w:rPr>
          <w:rFonts w:cs="Times New Roman"/>
        </w:rPr>
        <w:t>harmonization and collaboration as a</w:t>
      </w:r>
      <w:r>
        <w:rPr>
          <w:rFonts w:cs="Times New Roman"/>
        </w:rPr>
        <w:t xml:space="preserve"> </w:t>
      </w:r>
      <w:r w:rsidRPr="007D6D5C">
        <w:rPr>
          <w:rFonts w:cs="Times New Roman"/>
        </w:rPr>
        <w:t>way to enhance regulatory effectiveness</w:t>
      </w:r>
      <w:r>
        <w:rPr>
          <w:rFonts w:cs="Times New Roman"/>
        </w:rPr>
        <w:t xml:space="preserve"> </w:t>
      </w:r>
      <w:r w:rsidRPr="007D6D5C">
        <w:rPr>
          <w:rFonts w:cs="Times New Roman"/>
        </w:rPr>
        <w:t>by providing more consumer protection</w:t>
      </w:r>
      <w:r>
        <w:rPr>
          <w:rFonts w:cs="Times New Roman"/>
        </w:rPr>
        <w:t xml:space="preserve"> </w:t>
      </w:r>
      <w:r w:rsidRPr="007D6D5C">
        <w:rPr>
          <w:rFonts w:cs="Times New Roman"/>
        </w:rPr>
        <w:t>without added expenditure of</w:t>
      </w:r>
      <w:r>
        <w:rPr>
          <w:rFonts w:cs="Times New Roman"/>
        </w:rPr>
        <w:t xml:space="preserve"> </w:t>
      </w:r>
      <w:r w:rsidRPr="007D6D5C">
        <w:rPr>
          <w:rFonts w:cs="Times New Roman"/>
        </w:rPr>
        <w:t>government resources.</w:t>
      </w:r>
      <w:r w:rsidR="00E72191">
        <w:rPr>
          <w:rFonts w:cs="Times New Roman"/>
        </w:rPr>
        <w:t xml:space="preserve">  </w:t>
      </w:r>
      <w:r w:rsidRPr="007D6D5C">
        <w:rPr>
          <w:rFonts w:cs="Times New Roman"/>
        </w:rPr>
        <w:t>Harmonization</w:t>
      </w:r>
      <w:r>
        <w:rPr>
          <w:rFonts w:cs="Times New Roman"/>
        </w:rPr>
        <w:t xml:space="preserve"> </w:t>
      </w:r>
      <w:r w:rsidRPr="007D6D5C">
        <w:rPr>
          <w:rFonts w:cs="Times New Roman"/>
        </w:rPr>
        <w:t>and collaboration can also increase</w:t>
      </w:r>
      <w:r>
        <w:rPr>
          <w:rFonts w:cs="Times New Roman"/>
        </w:rPr>
        <w:t xml:space="preserve"> </w:t>
      </w:r>
      <w:r w:rsidRPr="007D6D5C">
        <w:rPr>
          <w:rFonts w:cs="Times New Roman"/>
        </w:rPr>
        <w:t>worldwide consumer access to safe,</w:t>
      </w:r>
      <w:r>
        <w:rPr>
          <w:rFonts w:cs="Times New Roman"/>
        </w:rPr>
        <w:t xml:space="preserve"> </w:t>
      </w:r>
      <w:r w:rsidRPr="007D6D5C">
        <w:rPr>
          <w:rFonts w:cs="Times New Roman"/>
        </w:rPr>
        <w:t>effective, and high-quality products.</w:t>
      </w:r>
      <w:r w:rsidR="00065FBA">
        <w:rPr>
          <w:rFonts w:cs="Times New Roman"/>
        </w:rPr>
        <w:t xml:space="preserve">  T</w:t>
      </w:r>
      <w:r w:rsidRPr="00F00848" w:rsidR="00C874DA">
        <w:rPr>
          <w:rFonts w:cs="Times New Roman"/>
        </w:rPr>
        <w:t xml:space="preserve">his information collection supports Food and Drug Administration (FDA, us or we) </w:t>
      </w:r>
      <w:r w:rsidRPr="00F00848" w:rsidR="00C67753">
        <w:rPr>
          <w:rFonts w:cs="Times New Roman"/>
        </w:rPr>
        <w:t>rulemaking</w:t>
      </w:r>
      <w:r w:rsidRPr="00F00848" w:rsidR="00826BA0">
        <w:rPr>
          <w:rFonts w:cs="Times New Roman"/>
        </w:rPr>
        <w:t xml:space="preserve"> </w:t>
      </w:r>
      <w:r w:rsidRPr="00A43E59" w:rsidR="00C87E2F">
        <w:rPr>
          <w:rFonts w:cs="Times New Roman"/>
          <w:b/>
          <w:bCs/>
        </w:rPr>
        <w:t>RIN 091</w:t>
      </w:r>
      <w:r w:rsidRPr="00A43E59" w:rsidR="00A43E59">
        <w:rPr>
          <w:rFonts w:cs="Times New Roman"/>
          <w:b/>
          <w:bCs/>
        </w:rPr>
        <w:t>0-AH</w:t>
      </w:r>
      <w:r w:rsidR="003B7950">
        <w:rPr>
          <w:rFonts w:cs="Times New Roman"/>
          <w:b/>
          <w:bCs/>
        </w:rPr>
        <w:t>3</w:t>
      </w:r>
      <w:r w:rsidRPr="00A43E59" w:rsidR="00A43E59">
        <w:rPr>
          <w:rFonts w:cs="Times New Roman"/>
          <w:b/>
          <w:bCs/>
        </w:rPr>
        <w:t>7</w:t>
      </w:r>
      <w:r>
        <w:rPr>
          <w:rFonts w:cs="Times New Roman"/>
        </w:rPr>
        <w:t xml:space="preserve"> w</w:t>
      </w:r>
      <w:r w:rsidR="003B7950">
        <w:rPr>
          <w:rFonts w:cs="Times New Roman"/>
        </w:rPr>
        <w:t xml:space="preserve">e are proposing to </w:t>
      </w:r>
      <w:r w:rsidRPr="000E7A3B" w:rsidR="000E7A3B">
        <w:rPr>
          <w:rFonts w:cs="Times New Roman"/>
        </w:rPr>
        <w:t xml:space="preserve">replace </w:t>
      </w:r>
      <w:r w:rsidR="000E7A3B">
        <w:rPr>
          <w:rFonts w:cs="Times New Roman"/>
        </w:rPr>
        <w:t xml:space="preserve">the </w:t>
      </w:r>
      <w:r w:rsidRPr="000E7A3B" w:rsidR="000E7A3B">
        <w:rPr>
          <w:rFonts w:cs="Times New Roman"/>
        </w:rPr>
        <w:t>current annual reporting requirement for investigational new drug applications (INDs) with the annual FDA development safety update report (FDA DSUR).  The proposed annual FDA DSUR is intended to be consistent with the format and content of the DSUR that is supported by the International Council for Harmonisation of Technical Requirements for Pharmaceuticals for Human Use (ICH), described in FDA’s ICH guidance for industry entitled “E2F Development Safety Update Report” (E2F DSUR) (August 2011).  The proposed annual FDA DSUR regulation, if finalized, would require an annual report that is more comprehensive and informative than the IND annual report currently required under FDA regulations.</w:t>
      </w:r>
      <w:r w:rsidR="00B46BC5">
        <w:rPr>
          <w:rFonts w:cs="Times New Roman"/>
        </w:rPr>
        <w:t xml:space="preserve">  </w:t>
      </w:r>
      <w:r w:rsidR="00C12A29">
        <w:rPr>
          <w:rFonts w:cs="Times New Roman"/>
        </w:rPr>
        <w:t>Specifically t</w:t>
      </w:r>
      <w:r w:rsidRPr="00410F99" w:rsidR="00410F99">
        <w:rPr>
          <w:rFonts w:cs="Times New Roman"/>
        </w:rPr>
        <w:t>he rule revises 21 CFR part 312.</w:t>
      </w:r>
      <w:r w:rsidR="009B5874">
        <w:rPr>
          <w:rFonts w:cs="Times New Roman"/>
        </w:rPr>
        <w:t xml:space="preserve">33 – </w:t>
      </w:r>
      <w:r w:rsidRPr="00B46BC5" w:rsidR="009B5874">
        <w:rPr>
          <w:rFonts w:cs="Times New Roman"/>
          <w:i/>
          <w:iCs/>
        </w:rPr>
        <w:t>Annual Reports</w:t>
      </w:r>
      <w:r w:rsidR="00B46BC5">
        <w:rPr>
          <w:rFonts w:cs="Times New Roman"/>
        </w:rPr>
        <w:t>.</w:t>
      </w:r>
    </w:p>
    <w:p w:rsidR="00D758D8" w:rsidP="007D6D5C" w14:paraId="5C7A7CDE" w14:textId="77777777">
      <w:pPr>
        <w:pStyle w:val="BodyText"/>
        <w:spacing w:before="69"/>
        <w:ind w:left="119" w:right="171"/>
        <w:rPr>
          <w:rFonts w:cs="Times New Roman"/>
        </w:rPr>
      </w:pPr>
    </w:p>
    <w:p w:rsidR="007D6D5C" w:rsidRPr="00F00848" w:rsidP="00B46BC5" w14:paraId="47C7B8BE" w14:textId="63C1B7AC">
      <w:pPr>
        <w:pStyle w:val="BodyText"/>
        <w:spacing w:before="69"/>
        <w:ind w:left="119" w:right="171"/>
        <w:rPr>
          <w:rFonts w:cs="Times New Roman"/>
        </w:rPr>
      </w:pPr>
      <w:r>
        <w:rPr>
          <w:rFonts w:cs="Times New Roman"/>
        </w:rPr>
        <w:t>We therefore request approval</w:t>
      </w:r>
      <w:r w:rsidR="00781320">
        <w:rPr>
          <w:rFonts w:cs="Times New Roman"/>
        </w:rPr>
        <w:t xml:space="preserve"> for </w:t>
      </w:r>
      <w:r w:rsidR="001B25AF">
        <w:rPr>
          <w:rFonts w:cs="Times New Roman"/>
        </w:rPr>
        <w:t xml:space="preserve">the </w:t>
      </w:r>
      <w:r w:rsidR="00781320">
        <w:rPr>
          <w:rFonts w:cs="Times New Roman"/>
        </w:rPr>
        <w:t xml:space="preserve">information collection modifications </w:t>
      </w:r>
      <w:r w:rsidR="001B25AF">
        <w:rPr>
          <w:rFonts w:cs="Times New Roman"/>
        </w:rPr>
        <w:t>in 21 CFR 312</w:t>
      </w:r>
      <w:r w:rsidR="00CF2E2F">
        <w:rPr>
          <w:rFonts w:cs="Times New Roman"/>
        </w:rPr>
        <w:t>.33</w:t>
      </w:r>
      <w:r w:rsidR="001B25AF">
        <w:rPr>
          <w:rFonts w:cs="Times New Roman"/>
        </w:rPr>
        <w:t xml:space="preserve"> </w:t>
      </w:r>
      <w:r w:rsidR="00781320">
        <w:rPr>
          <w:rFonts w:cs="Times New Roman"/>
        </w:rPr>
        <w:t>resulting from the rulemaking and discussed in this supporting statement.</w:t>
      </w:r>
    </w:p>
    <w:p w:rsidR="001B2299" w:rsidRPr="00F00848" w:rsidP="009F6C0E" w14:paraId="4134B1D4" w14:textId="77777777">
      <w:pPr>
        <w:pStyle w:val="BodyText"/>
        <w:numPr>
          <w:ilvl w:val="0"/>
          <w:numId w:val="1"/>
        </w:numPr>
        <w:spacing w:before="200"/>
        <w:rPr>
          <w:rFonts w:cs="Times New Roman"/>
        </w:rPr>
      </w:pPr>
      <w:r w:rsidRPr="00F00848">
        <w:rPr>
          <w:rFonts w:cs="Times New Roman"/>
          <w:u w:val="single" w:color="000000"/>
        </w:rPr>
        <w:t>Purpose and Use of the Information Collection</w:t>
      </w:r>
    </w:p>
    <w:p w:rsidR="001B2299" w:rsidRPr="00F00848" w:rsidP="009F6C0E" w14:paraId="1D96FA18" w14:textId="77777777">
      <w:pPr>
        <w:spacing w:before="11"/>
        <w:rPr>
          <w:rFonts w:ascii="Times New Roman" w:eastAsia="Times New Roman" w:hAnsi="Times New Roman" w:cs="Times New Roman"/>
          <w:sz w:val="14"/>
          <w:szCs w:val="14"/>
        </w:rPr>
      </w:pPr>
    </w:p>
    <w:p w:rsidR="00F722C5" w:rsidRPr="00B729EE" w:rsidP="00EC1882" w14:paraId="3CA05F36" w14:textId="77BE4344">
      <w:pPr>
        <w:pStyle w:val="BodyText"/>
        <w:ind w:left="90"/>
        <w:rPr>
          <w:rFonts w:cs="Times New Roman"/>
        </w:rPr>
      </w:pPr>
      <w:r w:rsidRPr="00B729EE">
        <w:rPr>
          <w:rFonts w:cs="Times New Roman"/>
        </w:rPr>
        <w:t xml:space="preserve">We believe </w:t>
      </w:r>
      <w:r w:rsidRPr="00B729EE" w:rsidR="0059639B">
        <w:rPr>
          <w:rFonts w:cs="Times New Roman"/>
        </w:rPr>
        <w:t xml:space="preserve">the </w:t>
      </w:r>
      <w:r w:rsidRPr="00B729EE">
        <w:rPr>
          <w:rFonts w:cs="Times New Roman"/>
        </w:rPr>
        <w:t xml:space="preserve">proposed annual FDA DSUR </w:t>
      </w:r>
      <w:r w:rsidRPr="00B729EE" w:rsidR="00DB2424">
        <w:rPr>
          <w:rFonts w:cs="Times New Roman"/>
        </w:rPr>
        <w:t xml:space="preserve">will provide greater utility </w:t>
      </w:r>
      <w:r w:rsidRPr="00B729EE">
        <w:rPr>
          <w:rFonts w:cs="Times New Roman"/>
        </w:rPr>
        <w:t>over the current IND annual report</w:t>
      </w:r>
      <w:r w:rsidRPr="00B729EE" w:rsidR="00DB2424">
        <w:rPr>
          <w:rFonts w:cs="Times New Roman"/>
        </w:rPr>
        <w:t xml:space="preserve"> by </w:t>
      </w:r>
      <w:r w:rsidRPr="00B729EE">
        <w:rPr>
          <w:rFonts w:cs="Times New Roman"/>
        </w:rPr>
        <w:t>enabling</w:t>
      </w:r>
      <w:r w:rsidRPr="00B729EE" w:rsidR="00B76F70">
        <w:rPr>
          <w:rFonts w:cs="Times New Roman"/>
        </w:rPr>
        <w:t xml:space="preserve"> us</w:t>
      </w:r>
      <w:r w:rsidRPr="00B729EE">
        <w:rPr>
          <w:rFonts w:cs="Times New Roman"/>
        </w:rPr>
        <w:t xml:space="preserve"> to </w:t>
      </w:r>
      <w:r w:rsidRPr="00B729EE" w:rsidR="008C2253">
        <w:rPr>
          <w:rFonts w:cs="Times New Roman"/>
        </w:rPr>
        <w:t>identify and review new safety signal information; by creating a more efficient reporting process for certain sponsors by supporting a more comprehensive format for submission to FDA and multiple regulatory authorities worldwide; and by allowing regulatory authorities worldwide to have access to the same data within the same timeframes more efficiently</w:t>
      </w:r>
      <w:r w:rsidRPr="00B729EE" w:rsidR="0059639B">
        <w:rPr>
          <w:rFonts w:cs="Times New Roman"/>
        </w:rPr>
        <w:t>.</w:t>
      </w:r>
      <w:r w:rsidRPr="00B729EE" w:rsidR="002A4937">
        <w:rPr>
          <w:rFonts w:cs="Times New Roman"/>
        </w:rPr>
        <w:t xml:space="preserve">  </w:t>
      </w:r>
      <w:r w:rsidRPr="00B729EE">
        <w:rPr>
          <w:rFonts w:cs="Times New Roman"/>
        </w:rPr>
        <w:t xml:space="preserve">Furthermore, </w:t>
      </w:r>
      <w:r w:rsidRPr="00B729EE" w:rsidR="00CF2E2F">
        <w:rPr>
          <w:rFonts w:cs="Times New Roman"/>
        </w:rPr>
        <w:t xml:space="preserve">we believe </w:t>
      </w:r>
      <w:r w:rsidRPr="00B729EE" w:rsidR="00996284">
        <w:rPr>
          <w:rFonts w:cs="Times New Roman"/>
        </w:rPr>
        <w:t xml:space="preserve">implementing </w:t>
      </w:r>
      <w:r w:rsidRPr="00B729EE" w:rsidR="00A544A9">
        <w:rPr>
          <w:rFonts w:cs="Times New Roman"/>
        </w:rPr>
        <w:t xml:space="preserve">reporting requirements </w:t>
      </w:r>
      <w:r w:rsidRPr="00B729EE" w:rsidR="002A4937">
        <w:rPr>
          <w:rFonts w:cs="Times New Roman"/>
        </w:rPr>
        <w:t xml:space="preserve">similar to those used </w:t>
      </w:r>
      <w:r w:rsidRPr="00B729EE" w:rsidR="00F545B5">
        <w:rPr>
          <w:rFonts w:cs="Times New Roman"/>
        </w:rPr>
        <w:t xml:space="preserve">internationally </w:t>
      </w:r>
      <w:r w:rsidRPr="00B729EE">
        <w:rPr>
          <w:rFonts w:cs="Times New Roman"/>
        </w:rPr>
        <w:t xml:space="preserve">could help sponsors who need to satisfy annual reporting requirements in different countries and regions and would help prevent sponsors from sending duplicative information in different formats to different regulatory authorities.  A similar annual reporting </w:t>
      </w:r>
      <w:r w:rsidRPr="00B729EE">
        <w:rPr>
          <w:rFonts w:cs="Times New Roman"/>
        </w:rPr>
        <w:t>requirement would also help provide authorities in different countries with a common description of the evolving safety profile of a drug, and thus, could help ensure greater consistency and predictability in regulatory actions.  We expect that the proposed annual FDA DSUR would help harmonize FDA’s requirements for IND annual reporting with the E2F DSUR.</w:t>
      </w:r>
    </w:p>
    <w:p w:rsidR="006D50DA" w:rsidRPr="00F00848" w:rsidP="009F6C0E" w14:paraId="1ACB4D51" w14:textId="44182082">
      <w:pPr>
        <w:pStyle w:val="BodyText"/>
        <w:spacing w:before="199"/>
        <w:ind w:left="100" w:right="199"/>
        <w:rPr>
          <w:rFonts w:cs="Times New Roman"/>
        </w:rPr>
      </w:pPr>
      <w:r w:rsidRPr="00F00848">
        <w:rPr>
          <w:rFonts w:cs="Times New Roman"/>
          <w:i/>
        </w:rPr>
        <w:t>Description of Respondents</w:t>
      </w:r>
      <w:r w:rsidRPr="00F00848">
        <w:rPr>
          <w:rFonts w:cs="Times New Roman"/>
        </w:rPr>
        <w:t xml:space="preserve">:  </w:t>
      </w:r>
      <w:r w:rsidRPr="005B01C6" w:rsidR="005B01C6">
        <w:rPr>
          <w:rFonts w:cs="Times New Roman"/>
        </w:rPr>
        <w:t>Respondents to the information collection are individuals and organizations who plan to conduct or sponsor a clinical investigation evaluating a drug use of a product lawfully marketed in the United States as a conventional food, dietary supplement, or cosmetic for human use</w:t>
      </w:r>
      <w:r w:rsidRPr="00760ABD" w:rsidR="00760ABD">
        <w:rPr>
          <w:rFonts w:cs="Times New Roman"/>
        </w:rPr>
        <w:t>.</w:t>
      </w:r>
      <w:r w:rsidR="00DE4776">
        <w:rPr>
          <w:rFonts w:cs="Times New Roman"/>
        </w:rPr>
        <w:t xml:space="preserve"> </w:t>
      </w:r>
    </w:p>
    <w:p w:rsidR="001B2299" w:rsidRPr="00F00848" w:rsidP="009F6C0E" w14:paraId="7E82DCA6" w14:textId="7F1022FA">
      <w:pPr>
        <w:pStyle w:val="BodyText"/>
        <w:spacing w:before="199"/>
        <w:ind w:left="100" w:right="199"/>
        <w:rPr>
          <w:rFonts w:cs="Times New Roman"/>
        </w:rPr>
      </w:pPr>
      <w:r w:rsidRPr="00F00848">
        <w:rPr>
          <w:rFonts w:cs="Times New Roman"/>
        </w:rPr>
        <w:t xml:space="preserve">3.  </w:t>
      </w:r>
      <w:r w:rsidRPr="00F00848" w:rsidR="00C874DA">
        <w:rPr>
          <w:rFonts w:cs="Times New Roman"/>
          <w:u w:val="single" w:color="000000"/>
        </w:rPr>
        <w:t>Use of Improved Information Technology and Burden Reduction</w:t>
      </w:r>
    </w:p>
    <w:p w:rsidR="001B2299" w:rsidRPr="00F00848" w:rsidP="009F6C0E" w14:paraId="7D57BEF1" w14:textId="77777777">
      <w:pPr>
        <w:spacing w:before="11"/>
        <w:rPr>
          <w:rFonts w:ascii="Times New Roman" w:eastAsia="Times New Roman" w:hAnsi="Times New Roman" w:cs="Times New Roman"/>
          <w:sz w:val="14"/>
          <w:szCs w:val="14"/>
        </w:rPr>
      </w:pPr>
    </w:p>
    <w:p w:rsidR="00B42628" w:rsidRPr="00B42628" w:rsidP="009F6C0E" w14:paraId="7764816B" w14:textId="4F241157">
      <w:pPr>
        <w:widowControl/>
        <w:spacing w:after="200"/>
        <w:ind w:left="180"/>
        <w:rPr>
          <w:rFonts w:ascii="Times New Roman" w:eastAsia="Calibri" w:hAnsi="Times New Roman" w:cs="Times New Roman"/>
          <w:sz w:val="24"/>
          <w:szCs w:val="24"/>
        </w:rPr>
      </w:pPr>
      <w:r>
        <w:rPr>
          <w:rFonts w:ascii="Times New Roman" w:eastAsia="Calibri" w:hAnsi="Times New Roman" w:cs="Times New Roman"/>
          <w:sz w:val="24"/>
          <w:szCs w:val="24"/>
        </w:rPr>
        <w:t xml:space="preserve">We </w:t>
      </w:r>
      <w:r w:rsidRPr="00B42628">
        <w:rPr>
          <w:rFonts w:ascii="Times New Roman" w:eastAsia="Calibri" w:hAnsi="Times New Roman" w:cs="Times New Roman"/>
          <w:sz w:val="24"/>
          <w:szCs w:val="24"/>
        </w:rPr>
        <w:t>utilize the “</w:t>
      </w:r>
      <w:r w:rsidRPr="00B42628">
        <w:rPr>
          <w:rFonts w:ascii="Times New Roman" w:eastAsia="Calibri" w:hAnsi="Times New Roman" w:cs="Times New Roman"/>
          <w:i/>
          <w:iCs/>
          <w:sz w:val="24"/>
          <w:szCs w:val="24"/>
        </w:rPr>
        <w:t>Electronic Submission Gateway</w:t>
      </w:r>
      <w:r w:rsidRPr="00B42628">
        <w:rPr>
          <w:rFonts w:ascii="Times New Roman" w:eastAsia="Calibri" w:hAnsi="Times New Roman" w:cs="Times New Roman"/>
          <w:sz w:val="24"/>
          <w:szCs w:val="24"/>
        </w:rPr>
        <w:t xml:space="preserve">” (ESG) to receive most submissions.  We encourage </w:t>
      </w:r>
      <w:r>
        <w:rPr>
          <w:rFonts w:ascii="Times New Roman" w:eastAsia="Calibri" w:hAnsi="Times New Roman" w:cs="Times New Roman"/>
          <w:sz w:val="24"/>
          <w:szCs w:val="24"/>
        </w:rPr>
        <w:t xml:space="preserve">respondents to </w:t>
      </w:r>
      <w:r w:rsidRPr="00B42628">
        <w:rPr>
          <w:rFonts w:ascii="Times New Roman" w:eastAsia="Calibri" w:hAnsi="Times New Roman" w:cs="Times New Roman"/>
          <w:sz w:val="24"/>
          <w:szCs w:val="24"/>
        </w:rPr>
        <w:t>prepar</w:t>
      </w:r>
      <w:r>
        <w:rPr>
          <w:rFonts w:ascii="Times New Roman" w:eastAsia="Calibri" w:hAnsi="Times New Roman" w:cs="Times New Roman"/>
          <w:sz w:val="24"/>
          <w:szCs w:val="24"/>
        </w:rPr>
        <w:t>e</w:t>
      </w:r>
      <w:r w:rsidRPr="00B42628">
        <w:rPr>
          <w:rFonts w:ascii="Times New Roman" w:eastAsia="Calibri" w:hAnsi="Times New Roman" w:cs="Times New Roman"/>
          <w:sz w:val="24"/>
          <w:szCs w:val="24"/>
        </w:rPr>
        <w:t xml:space="preserve"> submissions in an “</w:t>
      </w:r>
      <w:r w:rsidRPr="00B42628">
        <w:rPr>
          <w:rFonts w:ascii="Times New Roman" w:eastAsia="Calibri" w:hAnsi="Times New Roman" w:cs="Times New Roman"/>
          <w:i/>
          <w:iCs/>
          <w:sz w:val="24"/>
          <w:szCs w:val="24"/>
        </w:rPr>
        <w:t>Electronic Common Technical Document</w:t>
      </w:r>
      <w:r w:rsidRPr="00B42628">
        <w:rPr>
          <w:rFonts w:ascii="Times New Roman" w:eastAsia="Calibri" w:hAnsi="Times New Roman" w:cs="Times New Roman"/>
          <w:sz w:val="24"/>
          <w:szCs w:val="24"/>
        </w:rPr>
        <w:t xml:space="preserve">” (eCTD) format, a standardized format for applications, amendments, supplements, and reports to FDA’s Center for Biologics Evaluation and Research (CBER) and Center for Drug Evaluation and Research (CDER).  In this way, reviewers can easily find and access requisite information, whether part of an original submission or an amendment.  We continue to develop and provide resources for submitting information to FDA using the ESG, including the fact sheet available at </w:t>
      </w:r>
      <w:hyperlink r:id="rId5" w:history="1">
        <w:r w:rsidRPr="00B42628">
          <w:rPr>
            <w:rFonts w:ascii="Times New Roman" w:eastAsia="Calibri" w:hAnsi="Times New Roman" w:cs="Times New Roman"/>
            <w:color w:val="0563C1"/>
            <w:sz w:val="24"/>
            <w:szCs w:val="24"/>
            <w:u w:val="single"/>
          </w:rPr>
          <w:t>https://www.fda.gov/media/98901/download</w:t>
        </w:r>
      </w:hyperlink>
      <w:r w:rsidRPr="00B42628">
        <w:rPr>
          <w:rFonts w:ascii="Times New Roman" w:eastAsia="Calibri" w:hAnsi="Times New Roman" w:cs="Times New Roman"/>
          <w:sz w:val="24"/>
          <w:szCs w:val="24"/>
        </w:rPr>
        <w:t xml:space="preserve">.  </w:t>
      </w:r>
    </w:p>
    <w:p w:rsidR="001B2299" w:rsidRPr="00B42628" w:rsidP="009F6C0E" w14:paraId="2A452075" w14:textId="02BCC8E9">
      <w:pPr>
        <w:widowControl/>
        <w:spacing w:after="200"/>
        <w:ind w:left="180"/>
        <w:rPr>
          <w:rFonts w:ascii="Times New Roman" w:eastAsia="Calibri" w:hAnsi="Times New Roman" w:cs="Times New Roman"/>
          <w:sz w:val="24"/>
          <w:szCs w:val="24"/>
        </w:rPr>
      </w:pPr>
      <w:r w:rsidRPr="00B42628">
        <w:rPr>
          <w:rFonts w:ascii="Times New Roman" w:eastAsia="Calibri" w:hAnsi="Times New Roman" w:cs="Times New Roman"/>
          <w:sz w:val="24"/>
          <w:szCs w:val="24"/>
        </w:rPr>
        <w:t>Additionally, we utilize administrative cover sheets pursuant to 21 CFR 312.23, which sets forth format and content requirements, to facilitate the processing of submissions.  Cover sheets are included within the “</w:t>
      </w:r>
      <w:r w:rsidRPr="00B42628">
        <w:rPr>
          <w:rFonts w:ascii="Times New Roman" w:eastAsia="Calibri" w:hAnsi="Times New Roman" w:cs="Times New Roman"/>
          <w:i/>
          <w:iCs/>
          <w:sz w:val="24"/>
          <w:szCs w:val="24"/>
        </w:rPr>
        <w:t>Administrative Module</w:t>
      </w:r>
      <w:r w:rsidRPr="00B42628">
        <w:rPr>
          <w:rFonts w:ascii="Times New Roman" w:eastAsia="Calibri" w:hAnsi="Times New Roman" w:cs="Times New Roman"/>
          <w:sz w:val="24"/>
          <w:szCs w:val="24"/>
        </w:rPr>
        <w:t>” of the eCTD.  We also provide resource information regarding eCTD technical specifications and submission requirements.  We estimate 76% of IND submissions will be completed electronically.  We are unaware of any legal or technological obstacles to reducing burden</w:t>
      </w:r>
      <w:r w:rsidRPr="00F00848" w:rsidR="00C874DA">
        <w:rPr>
          <w:rFonts w:cs="Times New Roman"/>
        </w:rPr>
        <w:t>.</w:t>
      </w:r>
    </w:p>
    <w:p w:rsidR="001B2299" w:rsidRPr="00F00848" w:rsidP="009F6C0E" w14:paraId="38FAFA8D" w14:textId="77777777">
      <w:pPr>
        <w:pStyle w:val="BodyText"/>
        <w:numPr>
          <w:ilvl w:val="0"/>
          <w:numId w:val="2"/>
        </w:numPr>
        <w:spacing w:before="200"/>
        <w:rPr>
          <w:rFonts w:cs="Times New Roman"/>
        </w:rPr>
      </w:pPr>
      <w:r w:rsidRPr="00F00848">
        <w:rPr>
          <w:rFonts w:cs="Times New Roman"/>
          <w:u w:val="single" w:color="000000"/>
        </w:rPr>
        <w:t>Efforts to Identify Duplication and Use of Similar Information</w:t>
      </w:r>
    </w:p>
    <w:p w:rsidR="001B2299" w:rsidRPr="00F00848" w:rsidP="009F6C0E" w14:paraId="0F6AC918" w14:textId="77777777">
      <w:pPr>
        <w:spacing w:before="11"/>
        <w:rPr>
          <w:rFonts w:ascii="Times New Roman" w:eastAsia="Times New Roman" w:hAnsi="Times New Roman" w:cs="Times New Roman"/>
          <w:sz w:val="14"/>
          <w:szCs w:val="14"/>
        </w:rPr>
      </w:pPr>
    </w:p>
    <w:p w:rsidR="00DB7FE5" w:rsidRPr="00F00848" w:rsidP="009F6C0E" w14:paraId="4F653CBD" w14:textId="636DF868">
      <w:pPr>
        <w:pStyle w:val="BodyText"/>
        <w:spacing w:before="69"/>
        <w:ind w:left="100" w:right="199"/>
        <w:rPr>
          <w:rFonts w:cs="Times New Roman"/>
        </w:rPr>
      </w:pPr>
      <w:r w:rsidRPr="00F00848">
        <w:rPr>
          <w:rFonts w:cs="Times New Roman"/>
        </w:rPr>
        <w:t xml:space="preserve">We are unaware of duplicative information collection.  </w:t>
      </w:r>
    </w:p>
    <w:p w:rsidR="001B2299" w:rsidRPr="00F00848" w:rsidP="009F6C0E" w14:paraId="79BA9233" w14:textId="77777777">
      <w:pPr>
        <w:pStyle w:val="BodyText"/>
        <w:numPr>
          <w:ilvl w:val="0"/>
          <w:numId w:val="2"/>
        </w:numPr>
        <w:spacing w:before="200"/>
        <w:rPr>
          <w:rFonts w:cs="Times New Roman"/>
        </w:rPr>
      </w:pPr>
      <w:r w:rsidRPr="00F00848">
        <w:rPr>
          <w:rFonts w:cs="Times New Roman"/>
          <w:u w:val="single" w:color="000000"/>
        </w:rPr>
        <w:t>Impact on Small Businesses or Other Small Entities</w:t>
      </w:r>
    </w:p>
    <w:p w:rsidR="008D6EBA" w:rsidRPr="00F00848" w:rsidP="009F6C0E" w14:paraId="466BFEE7" w14:textId="77777777">
      <w:pPr>
        <w:pStyle w:val="BodyText"/>
        <w:spacing w:before="200"/>
        <w:ind w:left="90"/>
        <w:rPr>
          <w:rFonts w:cs="Times New Roman"/>
        </w:rPr>
      </w:pPr>
      <w:r w:rsidRPr="00F00848">
        <w:rPr>
          <w:rFonts w:cs="Times New Roman"/>
        </w:rPr>
        <w:t>The information collection poses no undue impact on small entities.  We have conducted a preliminary regulatory impact ana</w:t>
      </w:r>
      <w:r w:rsidRPr="00F00848" w:rsidR="00863BA9">
        <w:rPr>
          <w:rFonts w:cs="Times New Roman"/>
        </w:rPr>
        <w:t xml:space="preserve">lysis in support of the proposed rulemaking. </w:t>
      </w:r>
    </w:p>
    <w:p w:rsidR="001B2299" w:rsidRPr="00F00848" w:rsidP="009F6C0E" w14:paraId="133A49DD" w14:textId="05667390">
      <w:pPr>
        <w:pStyle w:val="BodyText"/>
        <w:numPr>
          <w:ilvl w:val="0"/>
          <w:numId w:val="2"/>
        </w:numPr>
        <w:spacing w:before="200"/>
        <w:rPr>
          <w:rFonts w:cs="Times New Roman"/>
        </w:rPr>
      </w:pPr>
      <w:r w:rsidRPr="00F00848">
        <w:rPr>
          <w:rFonts w:cs="Times New Roman"/>
          <w:u w:val="single" w:color="000000"/>
        </w:rPr>
        <w:t>Consequences of Collecting the Information Less Frequently</w:t>
      </w:r>
    </w:p>
    <w:p w:rsidR="001B2299" w:rsidRPr="00F00848" w:rsidP="009F6C0E" w14:paraId="3E306C0A" w14:textId="77777777">
      <w:pPr>
        <w:spacing w:before="11"/>
        <w:rPr>
          <w:rFonts w:ascii="Times New Roman" w:eastAsia="Times New Roman" w:hAnsi="Times New Roman" w:cs="Times New Roman"/>
          <w:sz w:val="14"/>
          <w:szCs w:val="14"/>
        </w:rPr>
      </w:pPr>
    </w:p>
    <w:p w:rsidR="001B2299" w:rsidRPr="00F00848" w:rsidP="009F6C0E" w14:paraId="62ADA3C8" w14:textId="0C0F4793">
      <w:pPr>
        <w:pStyle w:val="BodyText"/>
        <w:spacing w:before="69"/>
        <w:ind w:right="65"/>
        <w:rPr>
          <w:rFonts w:cs="Times New Roman"/>
        </w:rPr>
      </w:pPr>
      <w:r w:rsidRPr="00F00848">
        <w:rPr>
          <w:rFonts w:cs="Times New Roman"/>
        </w:rPr>
        <w:t>The information collection is consistent with statutory and regulatory requi</w:t>
      </w:r>
      <w:r w:rsidRPr="00F00848" w:rsidR="006B03E7">
        <w:rPr>
          <w:rFonts w:cs="Times New Roman"/>
        </w:rPr>
        <w:t>rements.</w:t>
      </w:r>
    </w:p>
    <w:p w:rsidR="001B2299" w:rsidRPr="00F00848" w:rsidP="009F6C0E" w14:paraId="3A711BEE" w14:textId="77777777">
      <w:pPr>
        <w:pStyle w:val="BodyText"/>
        <w:numPr>
          <w:ilvl w:val="0"/>
          <w:numId w:val="2"/>
        </w:numPr>
        <w:spacing w:before="200"/>
        <w:rPr>
          <w:rFonts w:cs="Times New Roman"/>
        </w:rPr>
      </w:pPr>
      <w:r w:rsidRPr="00F00848">
        <w:rPr>
          <w:rFonts w:cs="Times New Roman"/>
          <w:u w:val="single" w:color="000000"/>
        </w:rPr>
        <w:t>Special Circumstances Relating to the Guidelines of 5 CFR 1320.5</w:t>
      </w:r>
    </w:p>
    <w:p w:rsidR="001B2299" w:rsidRPr="00F00848" w:rsidP="009F6C0E" w14:paraId="20493EFF" w14:textId="77777777">
      <w:pPr>
        <w:spacing w:before="11"/>
        <w:rPr>
          <w:rFonts w:ascii="Times New Roman" w:eastAsia="Times New Roman" w:hAnsi="Times New Roman" w:cs="Times New Roman"/>
          <w:sz w:val="14"/>
          <w:szCs w:val="14"/>
        </w:rPr>
      </w:pPr>
    </w:p>
    <w:p w:rsidR="001B2299" w:rsidRPr="00F00848" w:rsidP="009F6C0E" w14:paraId="350285B1" w14:textId="77777777">
      <w:pPr>
        <w:pStyle w:val="BodyText"/>
        <w:spacing w:before="69"/>
        <w:rPr>
          <w:rFonts w:cs="Times New Roman"/>
        </w:rPr>
      </w:pPr>
      <w:r w:rsidRPr="00F00848">
        <w:rPr>
          <w:rFonts w:cs="Times New Roman"/>
        </w:rPr>
        <w:t>There are no special circumstances for this collection of information.</w:t>
      </w:r>
    </w:p>
    <w:p w:rsidR="001B2299" w:rsidRPr="00F00848" w:rsidP="009F6C0E" w14:paraId="3CCFB4F6" w14:textId="77777777">
      <w:pPr>
        <w:pStyle w:val="BodyText"/>
        <w:numPr>
          <w:ilvl w:val="0"/>
          <w:numId w:val="2"/>
        </w:numPr>
        <w:spacing w:before="199" w:line="276" w:lineRule="auto"/>
        <w:ind w:right="505"/>
        <w:rPr>
          <w:rFonts w:cs="Times New Roman"/>
        </w:rPr>
      </w:pPr>
      <w:r w:rsidRPr="00F00848">
        <w:rPr>
          <w:rFonts w:cs="Times New Roman"/>
          <w:u w:val="single" w:color="000000"/>
        </w:rPr>
        <w:t>Comments in Response to the Federal Register Notice and Efforts to Consult Outside the</w:t>
      </w:r>
      <w:r w:rsidRPr="00F00848">
        <w:rPr>
          <w:rFonts w:cs="Times New Roman"/>
        </w:rPr>
        <w:t xml:space="preserve"> </w:t>
      </w:r>
      <w:r w:rsidRPr="00F00848">
        <w:rPr>
          <w:rFonts w:cs="Times New Roman"/>
          <w:u w:val="single" w:color="000000"/>
        </w:rPr>
        <w:t>Agency</w:t>
      </w:r>
    </w:p>
    <w:p w:rsidR="001B2299" w:rsidRPr="00F00848" w:rsidP="009F6C0E" w14:paraId="075E1D28" w14:textId="77777777">
      <w:pPr>
        <w:spacing w:before="5"/>
        <w:rPr>
          <w:rFonts w:ascii="Times New Roman" w:eastAsia="Times New Roman" w:hAnsi="Times New Roman" w:cs="Times New Roman"/>
          <w:sz w:val="11"/>
          <w:szCs w:val="11"/>
        </w:rPr>
      </w:pPr>
    </w:p>
    <w:p w:rsidR="001B2299" w:rsidRPr="00F00848" w:rsidP="009F6C0E" w14:paraId="40914E90" w14:textId="55D1F77C">
      <w:pPr>
        <w:pStyle w:val="BodyText"/>
        <w:spacing w:before="69"/>
        <w:ind w:right="65"/>
        <w:rPr>
          <w:rFonts w:cs="Times New Roman"/>
        </w:rPr>
      </w:pPr>
      <w:r w:rsidRPr="00F00848">
        <w:rPr>
          <w:rFonts w:cs="Times New Roman"/>
        </w:rPr>
        <w:t>In accordance with 5 CFR 1320.</w:t>
      </w:r>
      <w:r w:rsidRPr="00F00848" w:rsidR="00D97BEE">
        <w:rPr>
          <w:rFonts w:cs="Times New Roman"/>
        </w:rPr>
        <w:t xml:space="preserve">11, we </w:t>
      </w:r>
      <w:r w:rsidRPr="00F00848" w:rsidR="001E520E">
        <w:rPr>
          <w:rFonts w:cs="Times New Roman"/>
        </w:rPr>
        <w:t xml:space="preserve">published </w:t>
      </w:r>
      <w:r w:rsidRPr="00F00848" w:rsidR="008E0E14">
        <w:rPr>
          <w:rFonts w:cs="Times New Roman"/>
        </w:rPr>
        <w:t xml:space="preserve">a proposed rule in </w:t>
      </w:r>
      <w:r w:rsidRPr="00F00848" w:rsidR="001E520E">
        <w:rPr>
          <w:rFonts w:cs="Times New Roman"/>
        </w:rPr>
        <w:t>the</w:t>
      </w:r>
      <w:r w:rsidRPr="00F00848">
        <w:rPr>
          <w:rFonts w:cs="Times New Roman"/>
        </w:rPr>
        <w:t xml:space="preserve"> </w:t>
      </w:r>
      <w:r w:rsidRPr="00F00848">
        <w:rPr>
          <w:rFonts w:cs="Times New Roman"/>
          <w:iCs/>
          <w:u w:val="single"/>
        </w:rPr>
        <w:t xml:space="preserve">Federal </w:t>
      </w:r>
      <w:r w:rsidRPr="00F00848" w:rsidR="007F4703">
        <w:rPr>
          <w:rFonts w:cs="Times New Roman"/>
          <w:iCs/>
          <w:u w:val="single"/>
        </w:rPr>
        <w:t>Register</w:t>
      </w:r>
      <w:r w:rsidRPr="00F00848" w:rsidR="001E520E">
        <w:rPr>
          <w:rFonts w:cs="Times New Roman"/>
          <w:iCs/>
        </w:rPr>
        <w:t xml:space="preserve"> of </w:t>
      </w:r>
      <w:r w:rsidR="006A2E08">
        <w:rPr>
          <w:rFonts w:cs="Times New Roman"/>
          <w:iCs/>
        </w:rPr>
        <w:t xml:space="preserve">December 9, 2022 (87 FR </w:t>
      </w:r>
      <w:r w:rsidR="003E048F">
        <w:rPr>
          <w:rFonts w:cs="Times New Roman"/>
          <w:iCs/>
        </w:rPr>
        <w:t>755</w:t>
      </w:r>
      <w:r w:rsidR="00F570DE">
        <w:rPr>
          <w:rFonts w:cs="Times New Roman"/>
          <w:iCs/>
        </w:rPr>
        <w:t>51</w:t>
      </w:r>
      <w:r w:rsidR="00923DEB">
        <w:rPr>
          <w:rFonts w:cs="Times New Roman"/>
          <w:iCs/>
        </w:rPr>
        <w:t xml:space="preserve">) </w:t>
      </w:r>
      <w:r w:rsidRPr="00F00848" w:rsidR="00DF7EE4">
        <w:rPr>
          <w:rFonts w:cs="Times New Roman"/>
          <w:iCs/>
        </w:rPr>
        <w:t xml:space="preserve">that </w:t>
      </w:r>
      <w:r w:rsidRPr="00F00848" w:rsidR="00605550">
        <w:rPr>
          <w:rFonts w:cs="Times New Roman"/>
          <w:iCs/>
        </w:rPr>
        <w:t>includ</w:t>
      </w:r>
      <w:r w:rsidRPr="00F00848" w:rsidR="00DF7EE4">
        <w:rPr>
          <w:rFonts w:cs="Times New Roman"/>
          <w:iCs/>
        </w:rPr>
        <w:t xml:space="preserve">ed </w:t>
      </w:r>
      <w:r w:rsidRPr="00F00848" w:rsidR="00605550">
        <w:rPr>
          <w:rFonts w:cs="Times New Roman"/>
          <w:iCs/>
        </w:rPr>
        <w:t>an a</w:t>
      </w:r>
      <w:r w:rsidRPr="00F00848" w:rsidR="008F0AA0">
        <w:rPr>
          <w:rFonts w:cs="Times New Roman"/>
          <w:iCs/>
        </w:rPr>
        <w:t xml:space="preserve">nalysis </w:t>
      </w:r>
      <w:r w:rsidR="00923DEB">
        <w:rPr>
          <w:rFonts w:cs="Times New Roman"/>
          <w:iCs/>
        </w:rPr>
        <w:t xml:space="preserve">under the PRA </w:t>
      </w:r>
      <w:r w:rsidRPr="00F00848" w:rsidR="001F2148">
        <w:rPr>
          <w:rFonts w:cs="Times New Roman"/>
          <w:iCs/>
        </w:rPr>
        <w:t>and</w:t>
      </w:r>
      <w:r w:rsidRPr="00F00848" w:rsidR="00DF7EE4">
        <w:rPr>
          <w:rFonts w:cs="Times New Roman"/>
          <w:iCs/>
        </w:rPr>
        <w:t xml:space="preserve"> solicited</w:t>
      </w:r>
      <w:r w:rsidRPr="00F00848" w:rsidR="001F2148">
        <w:rPr>
          <w:rFonts w:cs="Times New Roman"/>
          <w:iCs/>
        </w:rPr>
        <w:t xml:space="preserve"> public comment </w:t>
      </w:r>
      <w:r w:rsidR="00923DEB">
        <w:rPr>
          <w:rFonts w:cs="Times New Roman"/>
          <w:iCs/>
        </w:rPr>
        <w:t xml:space="preserve">on </w:t>
      </w:r>
      <w:r w:rsidRPr="00F00848" w:rsidR="001F2148">
        <w:rPr>
          <w:rFonts w:cs="Times New Roman"/>
          <w:iCs/>
        </w:rPr>
        <w:t>the proposed information collection.</w:t>
      </w:r>
      <w:r w:rsidRPr="00F00848" w:rsidR="001F2148">
        <w:rPr>
          <w:rFonts w:cs="Times New Roman"/>
        </w:rPr>
        <w:t xml:space="preserve"> </w:t>
      </w:r>
    </w:p>
    <w:p w:rsidR="001B2299" w:rsidRPr="00F00848" w:rsidP="009F6C0E" w14:paraId="217FCBA6" w14:textId="77777777">
      <w:pPr>
        <w:pStyle w:val="BodyText"/>
        <w:spacing w:before="69"/>
        <w:ind w:right="65"/>
        <w:rPr>
          <w:rFonts w:cs="Times New Roman"/>
        </w:rPr>
      </w:pPr>
    </w:p>
    <w:p w:rsidR="001B2299" w:rsidRPr="00F00848" w:rsidP="009F6C0E" w14:paraId="3EB450E8" w14:textId="77777777">
      <w:pPr>
        <w:pStyle w:val="BodyText"/>
        <w:numPr>
          <w:ilvl w:val="0"/>
          <w:numId w:val="2"/>
        </w:numPr>
        <w:rPr>
          <w:rFonts w:cs="Times New Roman"/>
        </w:rPr>
      </w:pPr>
      <w:r w:rsidRPr="00F00848">
        <w:rPr>
          <w:rFonts w:cs="Times New Roman"/>
          <w:u w:val="single" w:color="000000"/>
        </w:rPr>
        <w:t>Explanation of Any Payment or Gift to Respondents</w:t>
      </w:r>
    </w:p>
    <w:p w:rsidR="001B2299" w:rsidRPr="00F00848" w:rsidP="009F6C0E" w14:paraId="2690B790" w14:textId="77777777">
      <w:pPr>
        <w:spacing w:before="11"/>
        <w:rPr>
          <w:rFonts w:ascii="Times New Roman" w:eastAsia="Times New Roman" w:hAnsi="Times New Roman" w:cs="Times New Roman"/>
          <w:sz w:val="14"/>
          <w:szCs w:val="14"/>
        </w:rPr>
      </w:pPr>
    </w:p>
    <w:p w:rsidR="001B2299" w:rsidRPr="00F00848" w:rsidP="009F6C0E" w14:paraId="18DEDCA4" w14:textId="5FDB5271">
      <w:pPr>
        <w:pStyle w:val="BodyText"/>
        <w:spacing w:before="69"/>
        <w:rPr>
          <w:rFonts w:cs="Times New Roman"/>
        </w:rPr>
      </w:pPr>
      <w:r w:rsidRPr="00F00848">
        <w:rPr>
          <w:rFonts w:cs="Times New Roman"/>
        </w:rPr>
        <w:t>This information collection does not provide any payments or gifts to respondents.</w:t>
      </w:r>
    </w:p>
    <w:p w:rsidR="00B6286A" w:rsidRPr="00F00848" w:rsidP="009F6C0E" w14:paraId="7BF6A95D" w14:textId="77777777">
      <w:pPr>
        <w:pStyle w:val="BodyText"/>
        <w:spacing w:before="69"/>
        <w:rPr>
          <w:rFonts w:cs="Times New Roman"/>
        </w:rPr>
      </w:pPr>
    </w:p>
    <w:p w:rsidR="001B2299" w:rsidRPr="00F00848" w:rsidP="009F6C0E" w14:paraId="362553C1" w14:textId="77777777">
      <w:pPr>
        <w:pStyle w:val="BodyText"/>
        <w:numPr>
          <w:ilvl w:val="0"/>
          <w:numId w:val="2"/>
        </w:numPr>
        <w:spacing w:before="40"/>
        <w:rPr>
          <w:rFonts w:cs="Times New Roman"/>
        </w:rPr>
      </w:pPr>
      <w:r w:rsidRPr="00F00848">
        <w:rPr>
          <w:rFonts w:cs="Times New Roman"/>
          <w:u w:val="single" w:color="000000"/>
        </w:rPr>
        <w:t>Assurance of Confidentiality Provided to Respondents</w:t>
      </w:r>
    </w:p>
    <w:p w:rsidR="001B2299" w:rsidRPr="00F00848" w:rsidP="009F6C0E" w14:paraId="510AEF80" w14:textId="77777777">
      <w:pPr>
        <w:spacing w:before="11"/>
        <w:rPr>
          <w:rFonts w:ascii="Times New Roman" w:eastAsia="Times New Roman" w:hAnsi="Times New Roman" w:cs="Times New Roman"/>
          <w:sz w:val="14"/>
          <w:szCs w:val="14"/>
        </w:rPr>
      </w:pPr>
    </w:p>
    <w:p w:rsidR="00A55C72" w:rsidP="009F6C0E" w14:paraId="30660FC1" w14:textId="77777777">
      <w:pPr>
        <w:ind w:left="180"/>
        <w:rPr>
          <w:rFonts w:ascii="Times New Roman" w:hAnsi="Times New Roman" w:cs="Times New Roman"/>
          <w:sz w:val="24"/>
          <w:szCs w:val="24"/>
        </w:rPr>
      </w:pPr>
    </w:p>
    <w:p w:rsidR="00221BF1" w:rsidRPr="00A55C72" w:rsidP="009F6C0E" w14:paraId="5296D8F7" w14:textId="3C700469">
      <w:pPr>
        <w:ind w:left="180"/>
        <w:rPr>
          <w:rFonts w:ascii="Times New Roman" w:hAnsi="Times New Roman" w:cs="Times New Roman"/>
          <w:b/>
          <w:bCs/>
          <w:sz w:val="24"/>
          <w:szCs w:val="24"/>
        </w:rPr>
      </w:pPr>
      <w:r w:rsidRPr="00A55C72">
        <w:rPr>
          <w:rFonts w:ascii="Times New Roman" w:hAnsi="Times New Roman" w:cs="Times New Roman"/>
          <w:b/>
          <w:bCs/>
          <w:sz w:val="24"/>
          <w:szCs w:val="24"/>
        </w:rPr>
        <w:t>Consistent with 5 CFR 1320.5(d)(2)(vii), data will be kept private to the extent allowed by law:</w:t>
      </w:r>
    </w:p>
    <w:p w:rsidR="00221BF1" w:rsidP="009F6C0E" w14:paraId="48968C72" w14:textId="77777777">
      <w:pPr>
        <w:ind w:left="180"/>
        <w:rPr>
          <w:rFonts w:ascii="Times New Roman" w:hAnsi="Times New Roman" w:cs="Times New Roman"/>
          <w:sz w:val="24"/>
          <w:szCs w:val="24"/>
        </w:rPr>
      </w:pPr>
    </w:p>
    <w:p w:rsidR="00DF7EE4" w:rsidRPr="00F00848" w:rsidP="009F6C0E" w14:paraId="7EF5BF1C" w14:textId="4B098DED">
      <w:pPr>
        <w:ind w:left="180"/>
        <w:rPr>
          <w:rFonts w:ascii="Times New Roman" w:hAnsi="Times New Roman" w:cs="Times New Roman"/>
          <w:i/>
          <w:iCs/>
          <w:sz w:val="24"/>
          <w:szCs w:val="24"/>
        </w:rPr>
      </w:pPr>
      <w:r w:rsidRPr="00F00848">
        <w:rPr>
          <w:rFonts w:ascii="Times New Roman" w:hAnsi="Times New Roman" w:cs="Times New Roman"/>
          <w:i/>
          <w:iCs/>
          <w:sz w:val="24"/>
          <w:szCs w:val="24"/>
        </w:rPr>
        <w:t>The Privacy Act of 1974</w:t>
      </w:r>
    </w:p>
    <w:p w:rsidR="00DF7EE4" w:rsidRPr="00F00848" w:rsidP="009F6C0E" w14:paraId="1CA80B05" w14:textId="77777777">
      <w:pPr>
        <w:ind w:left="180"/>
        <w:rPr>
          <w:rFonts w:ascii="Times New Roman" w:hAnsi="Times New Roman" w:cs="Times New Roman"/>
          <w:sz w:val="24"/>
          <w:szCs w:val="24"/>
        </w:rPr>
      </w:pPr>
    </w:p>
    <w:p w:rsidR="00D345D4" w:rsidRPr="00D345D4" w:rsidP="009F6C0E" w14:paraId="4E2CB63C" w14:textId="77777777">
      <w:pPr>
        <w:widowControl/>
        <w:ind w:left="180"/>
        <w:rPr>
          <w:rFonts w:ascii="Times New Roman" w:eastAsia="Times New Roman" w:hAnsi="Times New Roman" w:cs="Times New Roman"/>
          <w:sz w:val="24"/>
          <w:szCs w:val="24"/>
        </w:rPr>
      </w:pPr>
      <w:r w:rsidRPr="00D345D4">
        <w:rPr>
          <w:rFonts w:ascii="Times New Roman" w:eastAsia="Times New Roman" w:hAnsi="Times New Roman" w:cs="Times New Roman"/>
          <w:sz w:val="24"/>
          <w:szCs w:val="24"/>
        </w:rPr>
        <w:t xml:space="preserve">In preparing this supporting statement, we consulted our Privacy Office to ensure appropriate identification and handling of information collected.  Although this ICR collects personally identifiable information (PII), it is collected in the context of the subject individuals’ professional capacity and the FDA-related work performed for their employer (e.g., point of contact at a regulated entity).  The PII submitted via Form FDA 1571 (Investigational New Drug Application (IND)) is name, address, telephone number, fax number, and email address. The PII submitted via Form FDA 1572 (Statement of Investigator) is name, address, and education. The PII submitted via Form FDA 3926 (Individual Patient Expanded Access Investigational New Drug Application (IND)) is patient’s initials, brief medical history, physician’s name, physician’s IND number, address, email address, telephone number, and fax number. </w:t>
      </w:r>
    </w:p>
    <w:p w:rsidR="00D345D4" w:rsidRPr="00D345D4" w:rsidP="009F6C0E" w14:paraId="2457F437" w14:textId="77777777">
      <w:pPr>
        <w:widowControl/>
        <w:ind w:left="180"/>
        <w:rPr>
          <w:rFonts w:ascii="Times New Roman" w:eastAsia="Times New Roman" w:hAnsi="Times New Roman" w:cs="Times New Roman"/>
          <w:sz w:val="24"/>
          <w:szCs w:val="24"/>
        </w:rPr>
      </w:pPr>
    </w:p>
    <w:p w:rsidR="00820B1C" w:rsidP="009F6C0E" w14:paraId="7C69DDE6" w14:textId="15BD8359">
      <w:pPr>
        <w:widowControl/>
        <w:ind w:left="180"/>
        <w:rPr>
          <w:rFonts w:ascii="Times New Roman" w:eastAsia="Times New Roman" w:hAnsi="Times New Roman" w:cs="Times New Roman"/>
          <w:sz w:val="24"/>
          <w:szCs w:val="24"/>
        </w:rPr>
      </w:pPr>
      <w:r w:rsidRPr="00D345D4">
        <w:rPr>
          <w:rFonts w:ascii="Times New Roman" w:eastAsia="Times New Roman" w:hAnsi="Times New Roman" w:cs="Times New Roman"/>
          <w:sz w:val="24"/>
          <w:szCs w:val="24"/>
        </w:rPr>
        <w:t>The PII submitted via Form FDA 3674 (Certification of Compliance) is name, address, country, telephone number, and fax number. Sometimes investigators include Form FDA 3455 (Disclosure: Financial Interests and Arrangements of Clinical Investigators). The PII submitted via Form FDA 3455 is name, title, and financial information.  We have determined that the PII collected is not subject to the Privacy Act of 1974 and the particular notice and other requirements of the Privacy Act do not apply.  Specifically, FDA does not use names or any other personal identifiers to routinely retrieve records from the information collected.  FDA minimizes the PII collected to protect the privacy of the individuals.</w:t>
      </w:r>
    </w:p>
    <w:p w:rsidR="00221BF1" w:rsidRPr="00D345D4" w:rsidP="009F6C0E" w14:paraId="2264AF7F" w14:textId="77777777">
      <w:pPr>
        <w:widowControl/>
        <w:ind w:left="180"/>
        <w:rPr>
          <w:rFonts w:ascii="Times New Roman" w:eastAsia="Times New Roman" w:hAnsi="Times New Roman" w:cs="Times New Roman"/>
          <w:sz w:val="24"/>
          <w:szCs w:val="24"/>
        </w:rPr>
      </w:pPr>
    </w:p>
    <w:p w:rsidR="00DF7EE4" w:rsidRPr="00F00848" w:rsidP="009F6C0E" w14:paraId="2D26E4E5" w14:textId="77777777">
      <w:pPr>
        <w:ind w:left="180"/>
        <w:rPr>
          <w:rFonts w:ascii="Times New Roman" w:hAnsi="Times New Roman" w:cs="Times New Roman"/>
          <w:i/>
          <w:iCs/>
          <w:sz w:val="24"/>
          <w:szCs w:val="24"/>
        </w:rPr>
      </w:pPr>
      <w:r w:rsidRPr="00F00848">
        <w:rPr>
          <w:rFonts w:ascii="Times New Roman" w:hAnsi="Times New Roman" w:cs="Times New Roman"/>
          <w:i/>
          <w:iCs/>
          <w:sz w:val="24"/>
          <w:szCs w:val="24"/>
        </w:rPr>
        <w:t xml:space="preserve">The Freedom </w:t>
      </w:r>
      <w:r w:rsidRPr="00F00848" w:rsidR="00820B1C">
        <w:rPr>
          <w:rFonts w:ascii="Times New Roman" w:hAnsi="Times New Roman" w:cs="Times New Roman"/>
          <w:i/>
          <w:iCs/>
          <w:sz w:val="24"/>
          <w:szCs w:val="24"/>
        </w:rPr>
        <w:t xml:space="preserve">of Information Act (FOIA) </w:t>
      </w:r>
    </w:p>
    <w:p w:rsidR="00DF7EE4" w:rsidRPr="00F00848" w:rsidP="009F6C0E" w14:paraId="3C7EE07B" w14:textId="77777777">
      <w:pPr>
        <w:ind w:left="180"/>
        <w:rPr>
          <w:rFonts w:ascii="Times New Roman" w:hAnsi="Times New Roman" w:cs="Times New Roman"/>
          <w:sz w:val="24"/>
          <w:szCs w:val="24"/>
        </w:rPr>
      </w:pPr>
    </w:p>
    <w:p w:rsidR="00004423" w:rsidP="009F6C0E" w14:paraId="06E2891B" w14:textId="53C891BF">
      <w:pPr>
        <w:ind w:left="180"/>
        <w:rPr>
          <w:rFonts w:ascii="Times New Roman" w:hAnsi="Times New Roman" w:cs="Times New Roman"/>
          <w:sz w:val="24"/>
          <w:szCs w:val="24"/>
        </w:rPr>
      </w:pPr>
      <w:r w:rsidRPr="00F37709">
        <w:rPr>
          <w:rFonts w:ascii="Times New Roman" w:hAnsi="Times New Roman" w:cs="Times New Roman"/>
          <w:sz w:val="24"/>
          <w:szCs w:val="24"/>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092624" w:rsidRPr="00004423" w:rsidP="00004423" w14:paraId="09DCAADB" w14:textId="74A930FD">
      <w:pPr>
        <w:rPr>
          <w:rFonts w:ascii="Times New Roman" w:hAnsi="Times New Roman" w:cs="Times New Roman"/>
          <w:sz w:val="24"/>
          <w:szCs w:val="24"/>
        </w:rPr>
      </w:pPr>
      <w:r>
        <w:rPr>
          <w:rFonts w:ascii="Times New Roman" w:hAnsi="Times New Roman" w:cs="Times New Roman"/>
          <w:sz w:val="24"/>
          <w:szCs w:val="24"/>
        </w:rPr>
        <w:br w:type="page"/>
      </w:r>
    </w:p>
    <w:p w:rsidR="001B2299" w:rsidRPr="00F00848" w:rsidP="009F6C0E" w14:paraId="4ABBE920" w14:textId="77777777">
      <w:pPr>
        <w:pStyle w:val="BodyText"/>
        <w:numPr>
          <w:ilvl w:val="0"/>
          <w:numId w:val="2"/>
        </w:numPr>
        <w:rPr>
          <w:rFonts w:cs="Times New Roman"/>
        </w:rPr>
      </w:pPr>
      <w:r w:rsidRPr="00F00848">
        <w:rPr>
          <w:rFonts w:cs="Times New Roman"/>
          <w:u w:val="single" w:color="000000"/>
        </w:rPr>
        <w:t>Justification for Sensitive Questions</w:t>
      </w:r>
    </w:p>
    <w:p w:rsidR="001B2299" w:rsidRPr="00F00848" w:rsidP="009F6C0E" w14:paraId="25EB3B68" w14:textId="77777777">
      <w:pPr>
        <w:spacing w:before="11"/>
        <w:rPr>
          <w:rFonts w:ascii="Times New Roman" w:eastAsia="Times New Roman" w:hAnsi="Times New Roman" w:cs="Times New Roman"/>
          <w:sz w:val="14"/>
          <w:szCs w:val="14"/>
        </w:rPr>
      </w:pPr>
    </w:p>
    <w:p w:rsidR="001B2299" w:rsidRPr="00F00848" w:rsidP="009F6C0E" w14:paraId="3163BBA6" w14:textId="17EF6E35">
      <w:pPr>
        <w:pStyle w:val="BodyText"/>
        <w:spacing w:before="69"/>
        <w:rPr>
          <w:rFonts w:cs="Times New Roman"/>
        </w:rPr>
      </w:pPr>
      <w:r w:rsidRPr="00F00848">
        <w:rPr>
          <w:rFonts w:cs="Times New Roman"/>
        </w:rPr>
        <w:t xml:space="preserve">This information collection does not </w:t>
      </w:r>
      <w:r w:rsidR="00EC5ECE">
        <w:rPr>
          <w:rFonts w:cs="Times New Roman"/>
        </w:rPr>
        <w:t xml:space="preserve">include </w:t>
      </w:r>
      <w:r w:rsidRPr="00F00848">
        <w:rPr>
          <w:rFonts w:cs="Times New Roman"/>
        </w:rPr>
        <w:t>questions that are of a personally sensitive nature.</w:t>
      </w:r>
    </w:p>
    <w:p w:rsidR="00E75738" w:rsidRPr="009F6C0E" w:rsidP="009F6C0E" w14:paraId="2BBBD1DF" w14:textId="56773042">
      <w:pPr>
        <w:pStyle w:val="BodyText"/>
        <w:numPr>
          <w:ilvl w:val="0"/>
          <w:numId w:val="2"/>
        </w:numPr>
        <w:spacing w:before="200"/>
        <w:rPr>
          <w:rFonts w:cs="Times New Roman"/>
        </w:rPr>
      </w:pPr>
      <w:r w:rsidRPr="009F6C0E">
        <w:rPr>
          <w:rFonts w:cs="Times New Roman"/>
          <w:u w:val="single" w:color="000000"/>
        </w:rPr>
        <w:t>Estimates of Annualized Burden Hours and Cost</w:t>
      </w:r>
    </w:p>
    <w:p w:rsidR="00A21558" w:rsidP="00A21558" w14:paraId="56DA99C6" w14:textId="77777777">
      <w:pPr>
        <w:pStyle w:val="BodyText"/>
        <w:ind w:left="0"/>
        <w:rPr>
          <w:rFonts w:cs="Times New Roman"/>
        </w:rPr>
      </w:pPr>
      <w:r>
        <w:rPr>
          <w:rFonts w:cs="Times New Roman"/>
        </w:rPr>
        <w:tab/>
      </w:r>
    </w:p>
    <w:p w:rsidR="00A21558" w:rsidRPr="00A21558" w:rsidP="00A21558" w14:paraId="49F7A333" w14:textId="672D854D">
      <w:pPr>
        <w:pStyle w:val="BodyText"/>
        <w:ind w:left="0"/>
        <w:rPr>
          <w:rFonts w:cs="Times New Roman"/>
          <w:i/>
        </w:rPr>
      </w:pPr>
      <w:r>
        <w:rPr>
          <w:rFonts w:cs="Times New Roman"/>
        </w:rPr>
        <w:tab/>
      </w:r>
      <w:r w:rsidRPr="00E75738" w:rsidR="00C874DA">
        <w:rPr>
          <w:rFonts w:cs="Times New Roman"/>
          <w:i/>
        </w:rPr>
        <w:t>12a.  Annualized Hour Burden Estimate</w:t>
      </w:r>
    </w:p>
    <w:p w:rsidR="003E712F" w:rsidP="00A21558" w14:paraId="6F48ABF3" w14:textId="77777777">
      <w:pPr>
        <w:widowControl/>
        <w:ind w:firstLine="720"/>
        <w:jc w:val="center"/>
        <w:rPr>
          <w:rFonts w:ascii="Times New Roman" w:eastAsia="Times New Roman" w:hAnsi="Times New Roman" w:cs="Times New Roman"/>
          <w:sz w:val="20"/>
          <w:szCs w:val="20"/>
        </w:rPr>
      </w:pPr>
      <w:bookmarkStart w:id="0" w:name="_Hlk29547464"/>
    </w:p>
    <w:p w:rsidR="00A21558" w:rsidRPr="00A21558" w:rsidP="00A21558" w14:paraId="2AAEBADE" w14:textId="585FD3AE">
      <w:pPr>
        <w:widowControl/>
        <w:ind w:firstLine="720"/>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 xml:space="preserve">Table </w:t>
      </w:r>
      <w:r>
        <w:rPr>
          <w:rFonts w:ascii="Times New Roman" w:eastAsia="Times New Roman" w:hAnsi="Times New Roman" w:cs="Times New Roman"/>
          <w:sz w:val="20"/>
          <w:szCs w:val="20"/>
        </w:rPr>
        <w:t>1</w:t>
      </w:r>
      <w:r w:rsidRPr="00A21558">
        <w:rPr>
          <w:rFonts w:ascii="Times New Roman" w:eastAsia="Times New Roman" w:hAnsi="Times New Roman" w:cs="Times New Roman"/>
          <w:sz w:val="20"/>
          <w:szCs w:val="20"/>
        </w:rPr>
        <w:t>.--Estimated Annual Reporting Burden for Human Drugs Regulated by CDER</w:t>
      </w:r>
      <w:r w:rsidRPr="00A21558">
        <w:rPr>
          <w:rFonts w:ascii="Times New Roman" w:eastAsia="Times New Roman" w:hAnsi="Times New Roman" w:cs="Times New Roman"/>
          <w:sz w:val="20"/>
          <w:szCs w:val="20"/>
          <w:vertAlign w:val="superscript"/>
        </w:rPr>
        <w:t>1</w:t>
      </w:r>
    </w:p>
    <w:tbl>
      <w:tblPr>
        <w:tblW w:w="8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5"/>
        <w:gridCol w:w="1710"/>
        <w:gridCol w:w="1851"/>
        <w:gridCol w:w="1526"/>
        <w:gridCol w:w="1663"/>
        <w:gridCol w:w="1064"/>
      </w:tblGrid>
      <w:tr w14:paraId="56B88704" w14:textId="77777777" w:rsidTr="00937D6A">
        <w:tblPrEx>
          <w:tblW w:w="8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jc w:val="center"/>
        </w:trPr>
        <w:tc>
          <w:tcPr>
            <w:tcW w:w="1165" w:type="dxa"/>
            <w:shd w:val="clear" w:color="000000" w:fill="auto"/>
          </w:tcPr>
          <w:p w:rsidR="00A21558" w:rsidRPr="00A21558" w:rsidP="00A21558" w14:paraId="0C43A9F9"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21 CFR Section</w:t>
            </w:r>
          </w:p>
        </w:tc>
        <w:tc>
          <w:tcPr>
            <w:tcW w:w="1710" w:type="dxa"/>
            <w:shd w:val="clear" w:color="000000" w:fill="auto"/>
          </w:tcPr>
          <w:p w:rsidR="00A21558" w:rsidRPr="00A21558" w:rsidP="00A21558" w14:paraId="1ADC6856"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No. of Respondents</w:t>
            </w:r>
          </w:p>
        </w:tc>
        <w:tc>
          <w:tcPr>
            <w:tcW w:w="1851" w:type="dxa"/>
            <w:shd w:val="clear" w:color="000000" w:fill="auto"/>
          </w:tcPr>
          <w:p w:rsidR="00A21558" w:rsidRPr="00A21558" w:rsidP="00A21558" w14:paraId="149B6B89"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No. of Responses per Respondent</w:t>
            </w:r>
          </w:p>
        </w:tc>
        <w:tc>
          <w:tcPr>
            <w:tcW w:w="1526" w:type="dxa"/>
            <w:shd w:val="clear" w:color="000000" w:fill="auto"/>
          </w:tcPr>
          <w:p w:rsidR="00A21558" w:rsidRPr="00A21558" w:rsidP="00A21558" w14:paraId="29791467"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Total Annual Responses</w:t>
            </w:r>
          </w:p>
        </w:tc>
        <w:tc>
          <w:tcPr>
            <w:tcW w:w="1663" w:type="dxa"/>
            <w:shd w:val="clear" w:color="000000" w:fill="auto"/>
          </w:tcPr>
          <w:p w:rsidR="00A21558" w:rsidRPr="00A21558" w:rsidP="00A21558" w14:paraId="25107EA6"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Average Burden per Response</w:t>
            </w:r>
          </w:p>
        </w:tc>
        <w:tc>
          <w:tcPr>
            <w:tcW w:w="1064" w:type="dxa"/>
            <w:shd w:val="clear" w:color="000000" w:fill="auto"/>
          </w:tcPr>
          <w:p w:rsidR="00A21558" w:rsidRPr="00A21558" w:rsidP="00A21558" w14:paraId="04D767DF"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Total Hours</w:t>
            </w:r>
          </w:p>
        </w:tc>
      </w:tr>
      <w:tr w14:paraId="6ACD7E17" w14:textId="77777777" w:rsidTr="00937D6A">
        <w:tblPrEx>
          <w:tblW w:w="8979" w:type="dxa"/>
          <w:jc w:val="center"/>
          <w:tblLayout w:type="fixed"/>
          <w:tblLook w:val="04A0"/>
        </w:tblPrEx>
        <w:trPr>
          <w:cantSplit/>
          <w:jc w:val="center"/>
        </w:trPr>
        <w:tc>
          <w:tcPr>
            <w:tcW w:w="1165" w:type="dxa"/>
            <w:tcBorders>
              <w:bottom w:val="single" w:sz="4" w:space="0" w:color="000000"/>
            </w:tcBorders>
            <w:shd w:val="clear" w:color="000000" w:fill="auto"/>
          </w:tcPr>
          <w:p w:rsidR="00A21558" w:rsidRPr="00A21558" w:rsidP="00A21558" w14:paraId="0020765B" w14:textId="77777777">
            <w:pPr>
              <w:widowControl/>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 312.33</w:t>
            </w:r>
          </w:p>
        </w:tc>
        <w:tc>
          <w:tcPr>
            <w:tcW w:w="1710" w:type="dxa"/>
            <w:tcBorders>
              <w:bottom w:val="single" w:sz="4" w:space="0" w:color="000000"/>
            </w:tcBorders>
            <w:shd w:val="clear" w:color="000000" w:fill="auto"/>
          </w:tcPr>
          <w:p w:rsidR="00A21558" w:rsidRPr="00A21558" w:rsidP="00A21558" w14:paraId="786922A0"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2,877</w:t>
            </w:r>
          </w:p>
        </w:tc>
        <w:tc>
          <w:tcPr>
            <w:tcW w:w="1851" w:type="dxa"/>
            <w:tcBorders>
              <w:bottom w:val="single" w:sz="4" w:space="0" w:color="000000"/>
            </w:tcBorders>
            <w:shd w:val="clear" w:color="000000" w:fill="auto"/>
          </w:tcPr>
          <w:p w:rsidR="00A21558" w:rsidRPr="00A21558" w:rsidP="00A21558" w14:paraId="74623C59"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3.38</w:t>
            </w:r>
          </w:p>
        </w:tc>
        <w:tc>
          <w:tcPr>
            <w:tcW w:w="1526" w:type="dxa"/>
            <w:tcBorders>
              <w:bottom w:val="single" w:sz="4" w:space="0" w:color="000000"/>
            </w:tcBorders>
            <w:shd w:val="clear" w:color="000000" w:fill="auto"/>
          </w:tcPr>
          <w:p w:rsidR="00A21558" w:rsidRPr="00A21558" w:rsidP="00A21558" w14:paraId="77B22408"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9,736</w:t>
            </w:r>
          </w:p>
        </w:tc>
        <w:tc>
          <w:tcPr>
            <w:tcW w:w="1663" w:type="dxa"/>
            <w:tcBorders>
              <w:bottom w:val="single" w:sz="4" w:space="0" w:color="000000"/>
            </w:tcBorders>
            <w:shd w:val="clear" w:color="000000" w:fill="auto"/>
          </w:tcPr>
          <w:p w:rsidR="00A21558" w:rsidRPr="00A21558" w:rsidP="00A21558" w14:paraId="081D30EF"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396</w:t>
            </w:r>
          </w:p>
        </w:tc>
        <w:tc>
          <w:tcPr>
            <w:tcW w:w="1064" w:type="dxa"/>
            <w:tcBorders>
              <w:bottom w:val="single" w:sz="4" w:space="0" w:color="000000"/>
            </w:tcBorders>
            <w:shd w:val="clear" w:color="000000" w:fill="auto"/>
          </w:tcPr>
          <w:p w:rsidR="00A21558" w:rsidRPr="00A21558" w:rsidP="00A21558" w14:paraId="62EAF533"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3,855,456</w:t>
            </w:r>
          </w:p>
        </w:tc>
      </w:tr>
      <w:tr w14:paraId="221DB4DD" w14:textId="77777777" w:rsidTr="003E712F">
        <w:tblPrEx>
          <w:tblW w:w="8979" w:type="dxa"/>
          <w:jc w:val="center"/>
          <w:tblLayout w:type="fixed"/>
          <w:tblLook w:val="04A0"/>
        </w:tblPrEx>
        <w:trPr>
          <w:cantSplit/>
          <w:trHeight w:val="530"/>
          <w:jc w:val="center"/>
        </w:trPr>
        <w:tc>
          <w:tcPr>
            <w:tcW w:w="8979" w:type="dxa"/>
            <w:gridSpan w:val="6"/>
            <w:tcBorders>
              <w:left w:val="nil"/>
              <w:bottom w:val="nil"/>
              <w:right w:val="nil"/>
            </w:tcBorders>
            <w:shd w:val="clear" w:color="000000" w:fill="auto"/>
          </w:tcPr>
          <w:p w:rsidR="00A21558" w:rsidRPr="00A21558" w:rsidP="00A21558" w14:paraId="72AAEB9C" w14:textId="52676CD5">
            <w:pPr>
              <w:widowControl/>
              <w:rPr>
                <w:rFonts w:ascii="Times New Roman" w:eastAsia="Times New Roman" w:hAnsi="Times New Roman" w:cs="Times New Roman"/>
                <w:color w:val="000000"/>
                <w:sz w:val="20"/>
                <w:szCs w:val="20"/>
              </w:rPr>
            </w:pPr>
            <w:r w:rsidRPr="00A21558">
              <w:rPr>
                <w:rFonts w:ascii="Times New Roman" w:eastAsia="Times New Roman" w:hAnsi="Times New Roman" w:cs="Times New Roman"/>
                <w:color w:val="000000"/>
                <w:sz w:val="20"/>
                <w:szCs w:val="20"/>
                <w:vertAlign w:val="superscript"/>
              </w:rPr>
              <w:t xml:space="preserve">1 </w:t>
            </w:r>
            <w:r w:rsidRPr="00A21558">
              <w:rPr>
                <w:rFonts w:ascii="Times New Roman" w:eastAsia="Times New Roman" w:hAnsi="Times New Roman" w:cs="Times New Roman"/>
                <w:color w:val="000000"/>
                <w:sz w:val="20"/>
                <w:szCs w:val="20"/>
              </w:rPr>
              <w:t>There are no capital or operating and maintenance costs associated with this collection of information.</w:t>
            </w:r>
          </w:p>
        </w:tc>
      </w:tr>
    </w:tbl>
    <w:p w:rsidR="00A21558" w:rsidRPr="00A21558" w:rsidP="00A21558" w14:paraId="68B0390E" w14:textId="77777777">
      <w:pPr>
        <w:widowControl/>
        <w:rPr>
          <w:rFonts w:ascii="Times New Roman" w:eastAsia="Times New Roman" w:hAnsi="Times New Roman" w:cs="Times New Roman"/>
          <w:color w:val="000000"/>
          <w:sz w:val="24"/>
          <w:szCs w:val="24"/>
        </w:rPr>
      </w:pPr>
    </w:p>
    <w:p w:rsidR="00A21558" w:rsidRPr="00A21558" w:rsidP="00A21558" w14:paraId="4B89C5D2" w14:textId="64C70111">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 xml:space="preserve">Table </w:t>
      </w:r>
      <w:r>
        <w:rPr>
          <w:rFonts w:ascii="Times New Roman" w:eastAsia="Times New Roman" w:hAnsi="Times New Roman" w:cs="Times New Roman"/>
          <w:sz w:val="20"/>
          <w:szCs w:val="20"/>
        </w:rPr>
        <w:t>2</w:t>
      </w:r>
      <w:r w:rsidRPr="00A21558">
        <w:rPr>
          <w:rFonts w:ascii="Times New Roman" w:eastAsia="Times New Roman" w:hAnsi="Times New Roman" w:cs="Times New Roman"/>
          <w:sz w:val="20"/>
          <w:szCs w:val="20"/>
        </w:rPr>
        <w:t>.--Estimated Annual Reporting Burden for Human Drugs Regulated by CBER</w:t>
      </w:r>
      <w:r w:rsidRPr="00A21558">
        <w:rPr>
          <w:rFonts w:ascii="Times New Roman" w:eastAsia="Times New Roman" w:hAnsi="Times New Roman" w:cs="Times New Roman"/>
          <w:sz w:val="20"/>
          <w:szCs w:val="20"/>
          <w:vertAlign w:val="superscript"/>
        </w:rPr>
        <w:t>1</w:t>
      </w: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5"/>
        <w:gridCol w:w="1620"/>
        <w:gridCol w:w="1821"/>
        <w:gridCol w:w="1509"/>
        <w:gridCol w:w="1620"/>
        <w:gridCol w:w="1064"/>
      </w:tblGrid>
      <w:tr w14:paraId="6FFB9B2A" w14:textId="77777777" w:rsidTr="00937D6A">
        <w:tblPrEx>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431"/>
          <w:jc w:val="center"/>
        </w:trPr>
        <w:tc>
          <w:tcPr>
            <w:tcW w:w="1435" w:type="dxa"/>
            <w:shd w:val="clear" w:color="000000" w:fill="auto"/>
          </w:tcPr>
          <w:p w:rsidR="00A21558" w:rsidRPr="00A21558" w:rsidP="00A21558" w14:paraId="7F76ED2A"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21 CFR Section</w:t>
            </w:r>
          </w:p>
        </w:tc>
        <w:tc>
          <w:tcPr>
            <w:tcW w:w="1620" w:type="dxa"/>
            <w:shd w:val="clear" w:color="000000" w:fill="auto"/>
          </w:tcPr>
          <w:p w:rsidR="00A21558" w:rsidRPr="00A21558" w:rsidP="00A21558" w14:paraId="10756955"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No. of Respondents</w:t>
            </w:r>
          </w:p>
        </w:tc>
        <w:tc>
          <w:tcPr>
            <w:tcW w:w="1821" w:type="dxa"/>
            <w:shd w:val="clear" w:color="000000" w:fill="auto"/>
          </w:tcPr>
          <w:p w:rsidR="00A21558" w:rsidRPr="00A21558" w:rsidP="00A21558" w14:paraId="0356AC23"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No. of Responses per Respondent</w:t>
            </w:r>
          </w:p>
        </w:tc>
        <w:tc>
          <w:tcPr>
            <w:tcW w:w="1509" w:type="dxa"/>
            <w:shd w:val="clear" w:color="000000" w:fill="auto"/>
          </w:tcPr>
          <w:p w:rsidR="00A21558" w:rsidRPr="00A21558" w:rsidP="00A21558" w14:paraId="2F166E6B"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Total Annual Responses</w:t>
            </w:r>
          </w:p>
        </w:tc>
        <w:tc>
          <w:tcPr>
            <w:tcW w:w="1620" w:type="dxa"/>
            <w:shd w:val="clear" w:color="000000" w:fill="auto"/>
          </w:tcPr>
          <w:p w:rsidR="00A21558" w:rsidRPr="00A21558" w:rsidP="00A21558" w14:paraId="0A96BF17"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Average Burden per Response</w:t>
            </w:r>
          </w:p>
        </w:tc>
        <w:tc>
          <w:tcPr>
            <w:tcW w:w="1064" w:type="dxa"/>
            <w:shd w:val="clear" w:color="000000" w:fill="auto"/>
          </w:tcPr>
          <w:p w:rsidR="00A21558" w:rsidRPr="00A21558" w:rsidP="00A21558" w14:paraId="542D7C04" w14:textId="77777777">
            <w:pPr>
              <w:widowControl/>
              <w:jc w:val="center"/>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Total Hours</w:t>
            </w:r>
          </w:p>
        </w:tc>
      </w:tr>
      <w:tr w14:paraId="71ED90C3" w14:textId="77777777" w:rsidTr="00937D6A">
        <w:tblPrEx>
          <w:tblW w:w="9069" w:type="dxa"/>
          <w:jc w:val="center"/>
          <w:tblLayout w:type="fixed"/>
          <w:tblLook w:val="04A0"/>
        </w:tblPrEx>
        <w:trPr>
          <w:cantSplit/>
          <w:jc w:val="center"/>
        </w:trPr>
        <w:tc>
          <w:tcPr>
            <w:tcW w:w="1435" w:type="dxa"/>
            <w:tcBorders>
              <w:bottom w:val="single" w:sz="4" w:space="0" w:color="000000"/>
            </w:tcBorders>
            <w:shd w:val="clear" w:color="000000" w:fill="auto"/>
          </w:tcPr>
          <w:p w:rsidR="00A21558" w:rsidRPr="00A21558" w:rsidP="00A21558" w14:paraId="227C81D0" w14:textId="2A297064">
            <w:pPr>
              <w:widowControl/>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 312.33</w:t>
            </w:r>
            <w:r w:rsidR="00DD3936">
              <w:rPr>
                <w:rFonts w:ascii="Times New Roman" w:eastAsia="Times New Roman" w:hAnsi="Times New Roman" w:cs="Times New Roman"/>
                <w:sz w:val="20"/>
                <w:szCs w:val="20"/>
              </w:rPr>
              <w:t xml:space="preserve"> – annual reports</w:t>
            </w:r>
          </w:p>
        </w:tc>
        <w:tc>
          <w:tcPr>
            <w:tcW w:w="1620" w:type="dxa"/>
            <w:tcBorders>
              <w:bottom w:val="single" w:sz="4" w:space="0" w:color="000000"/>
            </w:tcBorders>
            <w:shd w:val="clear" w:color="000000" w:fill="auto"/>
          </w:tcPr>
          <w:p w:rsidR="00A21558" w:rsidRPr="00A21558" w:rsidP="00A21558" w14:paraId="1D8CBD3D"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745</w:t>
            </w:r>
          </w:p>
        </w:tc>
        <w:tc>
          <w:tcPr>
            <w:tcW w:w="1821" w:type="dxa"/>
            <w:tcBorders>
              <w:bottom w:val="single" w:sz="4" w:space="0" w:color="000000"/>
            </w:tcBorders>
            <w:shd w:val="clear" w:color="000000" w:fill="auto"/>
          </w:tcPr>
          <w:p w:rsidR="00A21558" w:rsidRPr="00A21558" w:rsidP="00A21558" w14:paraId="3B449B3C"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2.49</w:t>
            </w:r>
          </w:p>
        </w:tc>
        <w:tc>
          <w:tcPr>
            <w:tcW w:w="1509" w:type="dxa"/>
            <w:tcBorders>
              <w:bottom w:val="single" w:sz="4" w:space="0" w:color="000000"/>
            </w:tcBorders>
            <w:shd w:val="clear" w:color="000000" w:fill="auto"/>
          </w:tcPr>
          <w:p w:rsidR="00A21558" w:rsidRPr="00A21558" w:rsidP="00A21558" w14:paraId="520430FA"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1,856</w:t>
            </w:r>
          </w:p>
        </w:tc>
        <w:tc>
          <w:tcPr>
            <w:tcW w:w="1620" w:type="dxa"/>
            <w:tcBorders>
              <w:bottom w:val="single" w:sz="4" w:space="0" w:color="000000"/>
            </w:tcBorders>
            <w:shd w:val="clear" w:color="000000" w:fill="auto"/>
          </w:tcPr>
          <w:p w:rsidR="00A21558" w:rsidRPr="00A21558" w:rsidP="00A21558" w14:paraId="05D7BB0B"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396</w:t>
            </w:r>
          </w:p>
        </w:tc>
        <w:tc>
          <w:tcPr>
            <w:tcW w:w="1064" w:type="dxa"/>
            <w:tcBorders>
              <w:bottom w:val="single" w:sz="4" w:space="0" w:color="000000"/>
            </w:tcBorders>
            <w:shd w:val="clear" w:color="000000" w:fill="auto"/>
          </w:tcPr>
          <w:p w:rsidR="00A21558" w:rsidRPr="00A21558" w:rsidP="00A21558" w14:paraId="402F4EC4" w14:textId="77777777">
            <w:pPr>
              <w:widowControl/>
              <w:jc w:val="right"/>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734,976</w:t>
            </w:r>
          </w:p>
        </w:tc>
      </w:tr>
      <w:tr w14:paraId="047D7F13" w14:textId="77777777" w:rsidTr="00937D6A">
        <w:tblPrEx>
          <w:tblW w:w="9069" w:type="dxa"/>
          <w:jc w:val="center"/>
          <w:tblLayout w:type="fixed"/>
          <w:tblLook w:val="04A0"/>
        </w:tblPrEx>
        <w:trPr>
          <w:cantSplit/>
          <w:jc w:val="center"/>
        </w:trPr>
        <w:tc>
          <w:tcPr>
            <w:tcW w:w="9069" w:type="dxa"/>
            <w:gridSpan w:val="6"/>
            <w:tcBorders>
              <w:top w:val="single" w:sz="4" w:space="0" w:color="000000"/>
              <w:left w:val="nil"/>
              <w:bottom w:val="nil"/>
              <w:right w:val="nil"/>
            </w:tcBorders>
            <w:shd w:val="clear" w:color="000000" w:fill="auto"/>
          </w:tcPr>
          <w:p w:rsidR="00A21558" w:rsidRPr="00A21558" w:rsidP="00A21558" w14:paraId="41D787B2" w14:textId="77777777">
            <w:pPr>
              <w:widowControl/>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vertAlign w:val="superscript"/>
              </w:rPr>
              <w:t>1</w:t>
            </w:r>
            <w:r w:rsidRPr="00A21558">
              <w:rPr>
                <w:rFonts w:ascii="Times New Roman" w:eastAsia="Times New Roman" w:hAnsi="Times New Roman" w:cs="Times New Roman"/>
                <w:sz w:val="20"/>
                <w:szCs w:val="20"/>
              </w:rPr>
              <w:t xml:space="preserve"> There are no capital or operating and maintenance costs associated with this collection of information.</w:t>
            </w:r>
          </w:p>
        </w:tc>
      </w:tr>
      <w:tr w14:paraId="2D6D470F" w14:textId="77777777" w:rsidTr="00937D6A">
        <w:tblPrEx>
          <w:tblW w:w="9069" w:type="dxa"/>
          <w:jc w:val="center"/>
          <w:tblLayout w:type="fixed"/>
          <w:tblLook w:val="04A0"/>
        </w:tblPrEx>
        <w:trPr>
          <w:cantSplit/>
          <w:jc w:val="center"/>
        </w:trPr>
        <w:tc>
          <w:tcPr>
            <w:tcW w:w="9069" w:type="dxa"/>
            <w:gridSpan w:val="6"/>
            <w:tcBorders>
              <w:top w:val="nil"/>
              <w:left w:val="nil"/>
              <w:bottom w:val="nil"/>
              <w:right w:val="nil"/>
            </w:tcBorders>
            <w:shd w:val="clear" w:color="000000" w:fill="auto"/>
          </w:tcPr>
          <w:p w:rsidR="00A21558" w:rsidRPr="00A21558" w:rsidP="00A21558" w14:paraId="5D80B359" w14:textId="77777777">
            <w:pPr>
              <w:widowControl/>
              <w:rPr>
                <w:rFonts w:ascii="Times New Roman" w:eastAsia="Times New Roman" w:hAnsi="Times New Roman" w:cs="Times New Roman"/>
                <w:sz w:val="20"/>
                <w:szCs w:val="20"/>
              </w:rPr>
            </w:pPr>
            <w:r w:rsidRPr="00A21558">
              <w:rPr>
                <w:rFonts w:ascii="Times New Roman" w:eastAsia="Times New Roman" w:hAnsi="Times New Roman" w:cs="Times New Roman"/>
                <w:sz w:val="20"/>
                <w:szCs w:val="20"/>
              </w:rPr>
              <w:t>Note:  The Total Annual Responses may not sum up as a result of rounding.</w:t>
            </w:r>
          </w:p>
        </w:tc>
      </w:tr>
      <w:bookmarkEnd w:id="0"/>
    </w:tbl>
    <w:p w:rsidR="00D8125F" w:rsidP="009F6C0E" w14:paraId="4350ECCF" w14:textId="41CF9984">
      <w:pPr>
        <w:ind w:left="180"/>
        <w:rPr>
          <w:rFonts w:ascii="Times New Roman" w:eastAsia="Times New Roman" w:hAnsi="Times New Roman" w:cs="Times New Roman"/>
          <w:sz w:val="24"/>
          <w:szCs w:val="24"/>
        </w:rPr>
      </w:pPr>
    </w:p>
    <w:p w:rsidR="00D8125F" w:rsidRPr="000620DA" w:rsidP="009F6C0E" w14:paraId="12269AC4" w14:textId="3B11724D">
      <w:pPr>
        <w:ind w:left="18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sidRPr="000620DA">
        <w:rPr>
          <w:rFonts w:ascii="Times New Roman" w:eastAsia="Times New Roman" w:hAnsi="Times New Roman" w:cs="Times New Roman"/>
          <w:i/>
          <w:iCs/>
          <w:sz w:val="24"/>
          <w:szCs w:val="24"/>
        </w:rPr>
        <w:t>12b.  Annualized Cost Burden Estimate</w:t>
      </w:r>
    </w:p>
    <w:p w:rsidR="00E75738" w:rsidP="009F6C0E" w14:paraId="275AD2D5" w14:textId="77777777">
      <w:pPr>
        <w:ind w:left="180"/>
        <w:rPr>
          <w:rFonts w:ascii="Times New Roman" w:eastAsia="Times New Roman" w:hAnsi="Times New Roman" w:cs="Times New Roman"/>
          <w:sz w:val="24"/>
          <w:szCs w:val="24"/>
        </w:rPr>
      </w:pPr>
    </w:p>
    <w:p w:rsidR="001234B5" w:rsidRPr="00F00848" w:rsidP="00E07511" w14:paraId="074AE4C4" w14:textId="028F7694">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implementation are discussed in our </w:t>
      </w:r>
      <w:r w:rsidR="00E07511">
        <w:rPr>
          <w:rFonts w:ascii="Times New Roman" w:eastAsia="Times New Roman" w:hAnsi="Times New Roman" w:cs="Times New Roman"/>
          <w:sz w:val="24"/>
          <w:szCs w:val="24"/>
        </w:rPr>
        <w:t>analysis of impacts statement submitted with this ICR.</w:t>
      </w:r>
    </w:p>
    <w:p w:rsidR="001B2299" w:rsidRPr="00F00848" w:rsidP="009F6C0E" w14:paraId="673EB533" w14:textId="77777777">
      <w:pPr>
        <w:pStyle w:val="BodyText"/>
        <w:numPr>
          <w:ilvl w:val="0"/>
          <w:numId w:val="2"/>
        </w:numPr>
        <w:spacing w:before="69"/>
        <w:rPr>
          <w:rFonts w:cs="Times New Roman"/>
        </w:rPr>
      </w:pPr>
      <w:r w:rsidRPr="00F00848">
        <w:rPr>
          <w:rFonts w:cs="Times New Roman"/>
          <w:u w:val="single" w:color="000000"/>
        </w:rPr>
        <w:t>Estimates of Other Total Annual Costs to Respondents/Recordkeepers or Capital Costs</w:t>
      </w:r>
    </w:p>
    <w:p w:rsidR="001B2299" w:rsidRPr="00F00848" w:rsidP="009F6C0E" w14:paraId="6BBA5146" w14:textId="77777777">
      <w:pPr>
        <w:spacing w:before="11"/>
        <w:rPr>
          <w:rFonts w:ascii="Times New Roman" w:eastAsia="Times New Roman" w:hAnsi="Times New Roman" w:cs="Times New Roman"/>
          <w:sz w:val="14"/>
          <w:szCs w:val="14"/>
        </w:rPr>
      </w:pPr>
    </w:p>
    <w:p w:rsidR="001B2299" w:rsidRPr="00F00848" w:rsidP="009F6C0E" w14:paraId="65CCCBE9" w14:textId="704D0732">
      <w:pPr>
        <w:pStyle w:val="BodyText"/>
        <w:spacing w:before="69"/>
        <w:rPr>
          <w:rFonts w:cs="Times New Roman"/>
        </w:rPr>
      </w:pPr>
      <w:r w:rsidRPr="00F00848">
        <w:rPr>
          <w:rFonts w:cs="Times New Roman"/>
        </w:rPr>
        <w:t xml:space="preserve">There are no capital, start-up, </w:t>
      </w:r>
      <w:r w:rsidRPr="00F00848" w:rsidR="009E5A16">
        <w:rPr>
          <w:rFonts w:cs="Times New Roman"/>
        </w:rPr>
        <w:t>operating,</w:t>
      </w:r>
      <w:r w:rsidRPr="00F00848">
        <w:rPr>
          <w:rFonts w:cs="Times New Roman"/>
        </w:rPr>
        <w:t xml:space="preserve"> or maintenance costs associated with this collection.</w:t>
      </w:r>
    </w:p>
    <w:p w:rsidR="001B2299" w:rsidRPr="00F00848" w:rsidP="009F6C0E" w14:paraId="7CB78F9E" w14:textId="77777777">
      <w:pPr>
        <w:spacing w:before="1"/>
        <w:rPr>
          <w:rFonts w:ascii="Times New Roman" w:eastAsia="Times New Roman" w:hAnsi="Times New Roman" w:cs="Times New Roman"/>
          <w:sz w:val="21"/>
          <w:szCs w:val="21"/>
        </w:rPr>
      </w:pPr>
    </w:p>
    <w:p w:rsidR="001B2299" w:rsidRPr="009F6C0E" w:rsidP="009F6C0E" w14:paraId="290DA8C5" w14:textId="77777777">
      <w:pPr>
        <w:pStyle w:val="BodyText"/>
        <w:numPr>
          <w:ilvl w:val="0"/>
          <w:numId w:val="2"/>
        </w:numPr>
        <w:rPr>
          <w:rFonts w:cs="Times New Roman"/>
        </w:rPr>
      </w:pPr>
      <w:r w:rsidRPr="009F6C0E">
        <w:rPr>
          <w:rFonts w:cs="Times New Roman"/>
          <w:u w:val="single" w:color="000000"/>
        </w:rPr>
        <w:t>Annualized Cost to the Federal Government</w:t>
      </w:r>
    </w:p>
    <w:p w:rsidR="001B2299" w:rsidRPr="00F00848" w:rsidP="009F6C0E" w14:paraId="0C105786" w14:textId="77777777">
      <w:pPr>
        <w:spacing w:before="11"/>
        <w:ind w:left="90"/>
        <w:rPr>
          <w:rFonts w:ascii="Times New Roman" w:eastAsia="Times New Roman" w:hAnsi="Times New Roman" w:cs="Times New Roman"/>
          <w:sz w:val="14"/>
          <w:szCs w:val="14"/>
        </w:rPr>
      </w:pPr>
    </w:p>
    <w:p w:rsidR="00B52886" w:rsidRPr="00B52886" w:rsidP="009F6C0E" w14:paraId="681A3E07" w14:textId="59E98F04">
      <w:pPr>
        <w:spacing w:after="200"/>
        <w:ind w:left="180"/>
        <w:rPr>
          <w:rFonts w:ascii="Times New Roman" w:eastAsia="Calibri" w:hAnsi="Times New Roman" w:cs="Times New Roman"/>
          <w:sz w:val="24"/>
          <w:szCs w:val="24"/>
        </w:rPr>
      </w:pPr>
      <w:r>
        <w:rPr>
          <w:rFonts w:ascii="Times New Roman" w:eastAsia="Calibri" w:hAnsi="Times New Roman" w:cs="Times New Roman"/>
          <w:sz w:val="24"/>
          <w:szCs w:val="24"/>
        </w:rPr>
        <w:t>We assume cost</w:t>
      </w:r>
      <w:r w:rsidR="007F4AE4">
        <w:rPr>
          <w:rFonts w:ascii="Times New Roman" w:eastAsia="Calibri" w:hAnsi="Times New Roman" w:cs="Times New Roman"/>
          <w:sz w:val="24"/>
          <w:szCs w:val="24"/>
        </w:rPr>
        <w:t>s</w:t>
      </w:r>
      <w:r w:rsidR="002D387C">
        <w:rPr>
          <w:rFonts w:ascii="Times New Roman" w:eastAsia="Calibri" w:hAnsi="Times New Roman" w:cs="Times New Roman"/>
          <w:sz w:val="24"/>
          <w:szCs w:val="24"/>
        </w:rPr>
        <w:t xml:space="preserve"> to </w:t>
      </w:r>
      <w:r w:rsidR="007F4AE4">
        <w:rPr>
          <w:rFonts w:ascii="Times New Roman" w:eastAsia="Calibri" w:hAnsi="Times New Roman" w:cs="Times New Roman"/>
          <w:sz w:val="24"/>
          <w:szCs w:val="24"/>
        </w:rPr>
        <w:t xml:space="preserve">the Federal government will be </w:t>
      </w:r>
      <w:r w:rsidR="00312601">
        <w:rPr>
          <w:rFonts w:ascii="Times New Roman" w:eastAsia="Calibri" w:hAnsi="Times New Roman" w:cs="Times New Roman"/>
          <w:sz w:val="24"/>
          <w:szCs w:val="24"/>
        </w:rPr>
        <w:t xml:space="preserve">reflected </w:t>
      </w:r>
      <w:r w:rsidR="002D387C">
        <w:rPr>
          <w:rFonts w:ascii="Times New Roman" w:eastAsia="Calibri" w:hAnsi="Times New Roman" w:cs="Times New Roman"/>
          <w:sz w:val="24"/>
          <w:szCs w:val="24"/>
        </w:rPr>
        <w:t xml:space="preserve">in additional </w:t>
      </w:r>
      <w:r w:rsidR="00385480">
        <w:rPr>
          <w:rFonts w:ascii="Times New Roman" w:eastAsia="Calibri" w:hAnsi="Times New Roman" w:cs="Times New Roman"/>
          <w:sz w:val="24"/>
          <w:szCs w:val="24"/>
        </w:rPr>
        <w:t>review hours</w:t>
      </w:r>
      <w:r w:rsidR="00312601">
        <w:rPr>
          <w:rFonts w:ascii="Times New Roman" w:eastAsia="Calibri" w:hAnsi="Times New Roman" w:cs="Times New Roman"/>
          <w:sz w:val="24"/>
          <w:szCs w:val="24"/>
        </w:rPr>
        <w:t xml:space="preserve">, albeit </w:t>
      </w:r>
      <w:r w:rsidR="00F14116">
        <w:rPr>
          <w:rFonts w:ascii="Times New Roman" w:eastAsia="Calibri" w:hAnsi="Times New Roman" w:cs="Times New Roman"/>
          <w:sz w:val="24"/>
          <w:szCs w:val="24"/>
        </w:rPr>
        <w:t>offset by industry user fees</w:t>
      </w:r>
      <w:r w:rsidR="00312601">
        <w:rPr>
          <w:rFonts w:ascii="Times New Roman" w:eastAsia="Calibri" w:hAnsi="Times New Roman" w:cs="Times New Roman"/>
          <w:sz w:val="24"/>
          <w:szCs w:val="24"/>
        </w:rPr>
        <w:t xml:space="preserve">.  We </w:t>
      </w:r>
      <w:r w:rsidR="00F14116">
        <w:rPr>
          <w:rFonts w:ascii="Times New Roman" w:eastAsia="Calibri" w:hAnsi="Times New Roman" w:cs="Times New Roman"/>
          <w:sz w:val="24"/>
          <w:szCs w:val="24"/>
        </w:rPr>
        <w:t>estimate</w:t>
      </w:r>
      <w:r w:rsidR="007F4AE4">
        <w:rPr>
          <w:rFonts w:ascii="Times New Roman" w:eastAsia="Calibri" w:hAnsi="Times New Roman" w:cs="Times New Roman"/>
          <w:sz w:val="24"/>
          <w:szCs w:val="24"/>
        </w:rPr>
        <w:t xml:space="preserve"> $1,000,000 for costs of rulemaking</w:t>
      </w:r>
      <w:r w:rsidR="00D60566">
        <w:rPr>
          <w:rFonts w:ascii="Times New Roman" w:eastAsia="Calibri" w:hAnsi="Times New Roman" w:cs="Times New Roman"/>
          <w:sz w:val="24"/>
          <w:szCs w:val="24"/>
        </w:rPr>
        <w:t>.</w:t>
      </w:r>
    </w:p>
    <w:p w:rsidR="001B2299" w:rsidRPr="00F00848" w:rsidP="009F6C0E" w14:paraId="4755D4B6" w14:textId="77777777">
      <w:pPr>
        <w:pStyle w:val="BodyText"/>
        <w:numPr>
          <w:ilvl w:val="0"/>
          <w:numId w:val="2"/>
        </w:numPr>
        <w:spacing w:before="199"/>
        <w:rPr>
          <w:rFonts w:cs="Times New Roman"/>
        </w:rPr>
      </w:pPr>
      <w:r w:rsidRPr="00F00848">
        <w:rPr>
          <w:rFonts w:cs="Times New Roman"/>
          <w:u w:val="single" w:color="000000"/>
        </w:rPr>
        <w:t>Explanation for Program Changes or Adjustments</w:t>
      </w:r>
    </w:p>
    <w:p w:rsidR="0084164E" w:rsidP="009F6C0E" w14:paraId="25A1AB1B" w14:textId="77777777">
      <w:pPr>
        <w:ind w:left="180"/>
        <w:rPr>
          <w:rFonts w:ascii="Times New Roman" w:eastAsia="Times New Roman" w:hAnsi="Times New Roman" w:cs="Times New Roman"/>
          <w:sz w:val="14"/>
          <w:szCs w:val="14"/>
        </w:rPr>
      </w:pPr>
    </w:p>
    <w:p w:rsidR="001B2299" w:rsidRPr="00FD1FA5" w:rsidP="009F6C0E" w14:paraId="19041900" w14:textId="6CE27AEB">
      <w:pPr>
        <w:ind w:left="180"/>
        <w:rPr>
          <w:rFonts w:ascii="Times New Roman" w:eastAsia="Times New Roman" w:hAnsi="Times New Roman" w:cs="Times New Roman"/>
          <w:sz w:val="24"/>
          <w:szCs w:val="24"/>
        </w:rPr>
      </w:pPr>
      <w:r>
        <w:rPr>
          <w:rFonts w:ascii="Times New Roman" w:hAnsi="Times New Roman" w:cs="Times New Roman"/>
          <w:sz w:val="24"/>
          <w:szCs w:val="24"/>
        </w:rPr>
        <w:t>Th</w:t>
      </w:r>
      <w:r w:rsidR="004667DB">
        <w:rPr>
          <w:rFonts w:ascii="Times New Roman" w:hAnsi="Times New Roman" w:cs="Times New Roman"/>
          <w:sz w:val="24"/>
          <w:szCs w:val="24"/>
        </w:rPr>
        <w:t xml:space="preserve">e proposed rulemaking would add </w:t>
      </w:r>
      <w:r w:rsidR="000479D8">
        <w:rPr>
          <w:rFonts w:ascii="Times New Roman" w:hAnsi="Times New Roman" w:cs="Times New Roman"/>
          <w:sz w:val="24"/>
          <w:szCs w:val="24"/>
        </w:rPr>
        <w:t>11,592 responses and 4,595,190 hours annually to FDA’s active information collection inventory</w:t>
      </w:r>
      <w:r>
        <w:rPr>
          <w:rFonts w:ascii="Times New Roman" w:hAnsi="Times New Roman" w:cs="Times New Roman"/>
          <w:sz w:val="24"/>
          <w:szCs w:val="24"/>
        </w:rPr>
        <w:t>.</w:t>
      </w:r>
    </w:p>
    <w:p w:rsidR="001B2299" w:rsidRPr="00F00848" w:rsidP="009F6C0E" w14:paraId="507CA81F" w14:textId="77777777">
      <w:pPr>
        <w:pStyle w:val="BodyText"/>
        <w:numPr>
          <w:ilvl w:val="0"/>
          <w:numId w:val="2"/>
        </w:numPr>
        <w:spacing w:before="200"/>
        <w:rPr>
          <w:rFonts w:cs="Times New Roman"/>
        </w:rPr>
      </w:pPr>
      <w:r w:rsidRPr="00F00848">
        <w:rPr>
          <w:rFonts w:cs="Times New Roman"/>
          <w:u w:val="single" w:color="000000"/>
        </w:rPr>
        <w:t>Plans for Tabulation and Publication and Project Time Schedule</w:t>
      </w:r>
    </w:p>
    <w:p w:rsidR="001B2299" w:rsidRPr="00F00848" w:rsidP="009F6C0E" w14:paraId="594A80CE" w14:textId="77777777">
      <w:pPr>
        <w:spacing w:before="11"/>
        <w:rPr>
          <w:rFonts w:ascii="Times New Roman" w:eastAsia="Times New Roman" w:hAnsi="Times New Roman" w:cs="Times New Roman"/>
          <w:sz w:val="14"/>
          <w:szCs w:val="14"/>
        </w:rPr>
      </w:pPr>
    </w:p>
    <w:p w:rsidR="001B2299" w:rsidRPr="00F00848" w:rsidP="009F6C0E" w14:paraId="1A3C4CFC" w14:textId="77777777">
      <w:pPr>
        <w:pStyle w:val="BodyText"/>
        <w:spacing w:before="69"/>
        <w:rPr>
          <w:rFonts w:cs="Times New Roman"/>
        </w:rPr>
      </w:pPr>
      <w:r w:rsidRPr="00F00848">
        <w:rPr>
          <w:rFonts w:cs="Times New Roman"/>
        </w:rPr>
        <w:t>The information from this collection will not be published or tabulated.</w:t>
      </w:r>
    </w:p>
    <w:p w:rsidR="001B2299" w:rsidRPr="00F00848" w:rsidP="009F6C0E" w14:paraId="1662137A" w14:textId="77777777">
      <w:pPr>
        <w:pStyle w:val="BodyText"/>
        <w:numPr>
          <w:ilvl w:val="0"/>
          <w:numId w:val="2"/>
        </w:numPr>
        <w:spacing w:before="200"/>
        <w:rPr>
          <w:rFonts w:cs="Times New Roman"/>
        </w:rPr>
      </w:pPr>
      <w:r w:rsidRPr="00F00848">
        <w:rPr>
          <w:rFonts w:cs="Times New Roman"/>
          <w:u w:val="single" w:color="000000"/>
        </w:rPr>
        <w:t>Reason(s) Display of OMB Expiration Date is Inappropriate</w:t>
      </w:r>
    </w:p>
    <w:p w:rsidR="001B2299" w:rsidRPr="00F00848" w:rsidP="009F6C0E" w14:paraId="4B91DE13" w14:textId="77777777">
      <w:pPr>
        <w:spacing w:before="11"/>
        <w:rPr>
          <w:rFonts w:ascii="Times New Roman" w:eastAsia="Times New Roman" w:hAnsi="Times New Roman" w:cs="Times New Roman"/>
          <w:sz w:val="14"/>
          <w:szCs w:val="14"/>
        </w:rPr>
      </w:pPr>
    </w:p>
    <w:p w:rsidR="001B2299" w:rsidRPr="00F00848" w:rsidP="009F6C0E" w14:paraId="360165EE" w14:textId="77777777">
      <w:pPr>
        <w:pStyle w:val="BodyText"/>
        <w:spacing w:before="69"/>
        <w:rPr>
          <w:rFonts w:cs="Times New Roman"/>
        </w:rPr>
      </w:pPr>
      <w:r w:rsidRPr="00F00848">
        <w:rPr>
          <w:rFonts w:cs="Times New Roman"/>
        </w:rPr>
        <w:t>Displaying the OMB approval date is appropriate.</w:t>
      </w:r>
    </w:p>
    <w:p w:rsidR="00004423" w14:paraId="4C16A402" w14:textId="77777777">
      <w:pPr>
        <w:rPr>
          <w:rFonts w:ascii="Times New Roman" w:eastAsia="Times New Roman" w:hAnsi="Times New Roman" w:cs="Times New Roman"/>
          <w:sz w:val="24"/>
          <w:szCs w:val="24"/>
        </w:rPr>
      </w:pPr>
      <w:r>
        <w:rPr>
          <w:rFonts w:cs="Times New Roman"/>
        </w:rPr>
        <w:br w:type="page"/>
      </w:r>
    </w:p>
    <w:p w:rsidR="001B2299" w:rsidRPr="00F00848" w:rsidP="009F6C0E" w14:paraId="6EB02BEE" w14:textId="48D5C5EB">
      <w:pPr>
        <w:pStyle w:val="BodyText"/>
        <w:numPr>
          <w:ilvl w:val="0"/>
          <w:numId w:val="2"/>
        </w:numPr>
        <w:spacing w:before="200"/>
        <w:rPr>
          <w:rFonts w:cs="Times New Roman"/>
        </w:rPr>
      </w:pPr>
      <w:r w:rsidRPr="00F00848">
        <w:rPr>
          <w:rFonts w:cs="Times New Roman"/>
          <w:u w:val="single" w:color="000000"/>
        </w:rPr>
        <w:t>Exceptions to Certification for Paperwork Reduction Act Submissions</w:t>
      </w:r>
    </w:p>
    <w:p w:rsidR="001B2299" w:rsidRPr="00F00848" w:rsidP="009F6C0E" w14:paraId="77924CCF" w14:textId="77777777">
      <w:pPr>
        <w:spacing w:before="11"/>
        <w:rPr>
          <w:rFonts w:ascii="Times New Roman" w:eastAsia="Times New Roman" w:hAnsi="Times New Roman" w:cs="Times New Roman"/>
          <w:sz w:val="14"/>
          <w:szCs w:val="14"/>
        </w:rPr>
      </w:pPr>
    </w:p>
    <w:p w:rsidR="001B2299" w:rsidRPr="00F00848" w:rsidP="009F6C0E" w14:paraId="42998B13" w14:textId="77777777">
      <w:pPr>
        <w:pStyle w:val="BodyText"/>
        <w:spacing w:before="69"/>
        <w:rPr>
          <w:rFonts w:cs="Times New Roman"/>
        </w:rPr>
      </w:pPr>
      <w:r w:rsidRPr="00F00848">
        <w:rPr>
          <w:rFonts w:cs="Times New Roman"/>
        </w:rPr>
        <w:t>There are no exceptions to the certification.</w:t>
      </w:r>
    </w:p>
    <w:sectPr w:rsidSect="009F6C0E">
      <w:footerReference w:type="default" r:id="rId6"/>
      <w:pgSz w:w="12240" w:h="15840"/>
      <w:pgMar w:top="1440" w:right="1440" w:bottom="1440" w:left="1440" w:header="0" w:footer="1296"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299" w14:paraId="5DA395CC" w14:textId="2B98D9AC">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3859530</wp:posOffset>
              </wp:positionH>
              <wp:positionV relativeFrom="page">
                <wp:posOffset>9467850</wp:posOffset>
              </wp:positionV>
              <wp:extent cx="127000" cy="177800"/>
              <wp:effectExtent l="1905" t="0" r="4445" b="317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2299" w14:textId="77777777">
                          <w:pPr>
                            <w:pStyle w:val="BodyText"/>
                            <w:spacing w:line="26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45.5pt;margin-left:30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B2299" w14:paraId="57000902" w14:textId="77777777">
                    <w:pPr>
                      <w:pStyle w:val="BodyText"/>
                      <w:spacing w:line="265" w:lineRule="exact"/>
                      <w:ind w:left="4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E61CDC"/>
    <w:multiLevelType w:val="hybridMultilevel"/>
    <w:tmpl w:val="C1E29E22"/>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0EB3029"/>
    <w:multiLevelType w:val="hybridMultilevel"/>
    <w:tmpl w:val="738647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6241502"/>
    <w:multiLevelType w:val="hybridMultilevel"/>
    <w:tmpl w:val="536023C4"/>
    <w:lvl w:ilvl="0">
      <w:start w:val="1"/>
      <w:numFmt w:val="decimal"/>
      <w:lvlText w:val="%1."/>
      <w:lvlJc w:val="left"/>
      <w:pPr>
        <w:ind w:left="480" w:hanging="360"/>
      </w:pPr>
      <w:rPr>
        <w:rFonts w:ascii="Times New Roman" w:eastAsia="Times New Roman" w:hAnsi="Times New Roman" w:hint="default"/>
        <w:sz w:val="24"/>
        <w:szCs w:val="24"/>
      </w:rPr>
    </w:lvl>
    <w:lvl w:ilvl="1">
      <w:start w:val="1"/>
      <w:numFmt w:val="bullet"/>
      <w:lvlText w:val="•"/>
      <w:lvlJc w:val="left"/>
      <w:pPr>
        <w:ind w:left="1390" w:hanging="360"/>
      </w:pPr>
      <w:rPr>
        <w:rFonts w:hint="default"/>
      </w:rPr>
    </w:lvl>
    <w:lvl w:ilvl="2">
      <w:start w:val="1"/>
      <w:numFmt w:val="bullet"/>
      <w:lvlText w:val="•"/>
      <w:lvlJc w:val="left"/>
      <w:pPr>
        <w:ind w:left="2300" w:hanging="360"/>
      </w:pPr>
      <w:rPr>
        <w:rFonts w:hint="default"/>
      </w:rPr>
    </w:lvl>
    <w:lvl w:ilvl="3">
      <w:start w:val="1"/>
      <w:numFmt w:val="bullet"/>
      <w:lvlText w:val="•"/>
      <w:lvlJc w:val="left"/>
      <w:pPr>
        <w:ind w:left="3210" w:hanging="360"/>
      </w:pPr>
      <w:rPr>
        <w:rFonts w:hint="default"/>
      </w:rPr>
    </w:lvl>
    <w:lvl w:ilvl="4">
      <w:start w:val="1"/>
      <w:numFmt w:val="bullet"/>
      <w:lvlText w:val="•"/>
      <w:lvlJc w:val="left"/>
      <w:pPr>
        <w:ind w:left="4120"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5940" w:hanging="360"/>
      </w:pPr>
      <w:rPr>
        <w:rFonts w:hint="default"/>
      </w:rPr>
    </w:lvl>
    <w:lvl w:ilvl="7">
      <w:start w:val="1"/>
      <w:numFmt w:val="bullet"/>
      <w:lvlText w:val="•"/>
      <w:lvlJc w:val="left"/>
      <w:pPr>
        <w:ind w:left="6850" w:hanging="360"/>
      </w:pPr>
      <w:rPr>
        <w:rFonts w:hint="default"/>
      </w:rPr>
    </w:lvl>
    <w:lvl w:ilvl="8">
      <w:start w:val="1"/>
      <w:numFmt w:val="bullet"/>
      <w:lvlText w:val="•"/>
      <w:lvlJc w:val="left"/>
      <w:pPr>
        <w:ind w:left="7760" w:hanging="360"/>
      </w:pPr>
      <w:rPr>
        <w:rFonts w:hint="default"/>
      </w:rPr>
    </w:lvl>
  </w:abstractNum>
  <w:abstractNum w:abstractNumId="3">
    <w:nsid w:val="540A4555"/>
    <w:multiLevelType w:val="hybridMultilevel"/>
    <w:tmpl w:val="06DA262A"/>
    <w:lvl w:ilvl="0">
      <w:start w:val="4"/>
      <w:numFmt w:val="decimal"/>
      <w:lvlText w:val="%1."/>
      <w:lvlJc w:val="left"/>
      <w:pPr>
        <w:ind w:left="480" w:hanging="360"/>
      </w:pPr>
      <w:rPr>
        <w:rFonts w:ascii="Times New Roman" w:eastAsia="Times New Roman" w:hAnsi="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0951735">
    <w:abstractNumId w:val="2"/>
  </w:num>
  <w:num w:numId="2" w16cid:durableId="1414738577">
    <w:abstractNumId w:val="3"/>
  </w:num>
  <w:num w:numId="3" w16cid:durableId="425467065">
    <w:abstractNumId w:val="1"/>
  </w:num>
  <w:num w:numId="4" w16cid:durableId="207843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99"/>
    <w:rsid w:val="00004423"/>
    <w:rsid w:val="000479D8"/>
    <w:rsid w:val="000620DA"/>
    <w:rsid w:val="00062D76"/>
    <w:rsid w:val="00065FBA"/>
    <w:rsid w:val="00074EC9"/>
    <w:rsid w:val="00086980"/>
    <w:rsid w:val="00092624"/>
    <w:rsid w:val="000B4B19"/>
    <w:rsid w:val="000D15C8"/>
    <w:rsid w:val="000D6FBD"/>
    <w:rsid w:val="000E7A3B"/>
    <w:rsid w:val="00101AAE"/>
    <w:rsid w:val="001234B5"/>
    <w:rsid w:val="0015459A"/>
    <w:rsid w:val="001A5101"/>
    <w:rsid w:val="001B2299"/>
    <w:rsid w:val="001B25AF"/>
    <w:rsid w:val="001B7133"/>
    <w:rsid w:val="001E520E"/>
    <w:rsid w:val="001F2148"/>
    <w:rsid w:val="00202875"/>
    <w:rsid w:val="0021458A"/>
    <w:rsid w:val="00217222"/>
    <w:rsid w:val="00221BF1"/>
    <w:rsid w:val="00274398"/>
    <w:rsid w:val="002A4937"/>
    <w:rsid w:val="002A5A27"/>
    <w:rsid w:val="002B432D"/>
    <w:rsid w:val="002D387C"/>
    <w:rsid w:val="002E4521"/>
    <w:rsid w:val="002F7282"/>
    <w:rsid w:val="00302990"/>
    <w:rsid w:val="00312601"/>
    <w:rsid w:val="00353CA6"/>
    <w:rsid w:val="003555BA"/>
    <w:rsid w:val="00385480"/>
    <w:rsid w:val="00386140"/>
    <w:rsid w:val="0039129B"/>
    <w:rsid w:val="00393B31"/>
    <w:rsid w:val="003A28C2"/>
    <w:rsid w:val="003B7950"/>
    <w:rsid w:val="003C1FFF"/>
    <w:rsid w:val="003C44C3"/>
    <w:rsid w:val="003E048F"/>
    <w:rsid w:val="003E712F"/>
    <w:rsid w:val="003F0195"/>
    <w:rsid w:val="00410F99"/>
    <w:rsid w:val="00423C65"/>
    <w:rsid w:val="0044078D"/>
    <w:rsid w:val="00452818"/>
    <w:rsid w:val="004667DB"/>
    <w:rsid w:val="004B0C46"/>
    <w:rsid w:val="004B23AC"/>
    <w:rsid w:val="004B5787"/>
    <w:rsid w:val="004D7551"/>
    <w:rsid w:val="004F24AF"/>
    <w:rsid w:val="00516924"/>
    <w:rsid w:val="00524D51"/>
    <w:rsid w:val="00527BBF"/>
    <w:rsid w:val="00544456"/>
    <w:rsid w:val="00556652"/>
    <w:rsid w:val="00592081"/>
    <w:rsid w:val="0059639B"/>
    <w:rsid w:val="00597467"/>
    <w:rsid w:val="005B01C6"/>
    <w:rsid w:val="005E074C"/>
    <w:rsid w:val="005E0933"/>
    <w:rsid w:val="005E729F"/>
    <w:rsid w:val="005F14A1"/>
    <w:rsid w:val="00605550"/>
    <w:rsid w:val="00617682"/>
    <w:rsid w:val="0063179B"/>
    <w:rsid w:val="00633703"/>
    <w:rsid w:val="00635AD8"/>
    <w:rsid w:val="006520C2"/>
    <w:rsid w:val="00665BCE"/>
    <w:rsid w:val="006711D4"/>
    <w:rsid w:val="006723E8"/>
    <w:rsid w:val="00685098"/>
    <w:rsid w:val="00691D3F"/>
    <w:rsid w:val="006A2E08"/>
    <w:rsid w:val="006B03E7"/>
    <w:rsid w:val="006D37A1"/>
    <w:rsid w:val="006D50DA"/>
    <w:rsid w:val="006E692C"/>
    <w:rsid w:val="006F49A9"/>
    <w:rsid w:val="00701273"/>
    <w:rsid w:val="00710BA6"/>
    <w:rsid w:val="00733363"/>
    <w:rsid w:val="007353D1"/>
    <w:rsid w:val="0073683C"/>
    <w:rsid w:val="00760ABD"/>
    <w:rsid w:val="007752B7"/>
    <w:rsid w:val="00781320"/>
    <w:rsid w:val="00784BF1"/>
    <w:rsid w:val="0079234A"/>
    <w:rsid w:val="007979DE"/>
    <w:rsid w:val="007B3F31"/>
    <w:rsid w:val="007D6D5C"/>
    <w:rsid w:val="007E3294"/>
    <w:rsid w:val="007F4703"/>
    <w:rsid w:val="007F4AE4"/>
    <w:rsid w:val="007F79AE"/>
    <w:rsid w:val="00820B1C"/>
    <w:rsid w:val="00824C0E"/>
    <w:rsid w:val="00826BA0"/>
    <w:rsid w:val="00827A7B"/>
    <w:rsid w:val="00835EB7"/>
    <w:rsid w:val="0084164E"/>
    <w:rsid w:val="00843BCD"/>
    <w:rsid w:val="00863BA9"/>
    <w:rsid w:val="008931F9"/>
    <w:rsid w:val="008A2B96"/>
    <w:rsid w:val="008C2253"/>
    <w:rsid w:val="008C4429"/>
    <w:rsid w:val="008C5E86"/>
    <w:rsid w:val="008D3F22"/>
    <w:rsid w:val="008D6EBA"/>
    <w:rsid w:val="008E0E14"/>
    <w:rsid w:val="008E6C36"/>
    <w:rsid w:val="008F0AA0"/>
    <w:rsid w:val="008F4B19"/>
    <w:rsid w:val="00923DEB"/>
    <w:rsid w:val="009359F9"/>
    <w:rsid w:val="00953EF0"/>
    <w:rsid w:val="009541F9"/>
    <w:rsid w:val="00992BD6"/>
    <w:rsid w:val="00996284"/>
    <w:rsid w:val="009B5874"/>
    <w:rsid w:val="009B74D4"/>
    <w:rsid w:val="009E5A16"/>
    <w:rsid w:val="009F1773"/>
    <w:rsid w:val="009F4C96"/>
    <w:rsid w:val="009F61C9"/>
    <w:rsid w:val="009F6C0E"/>
    <w:rsid w:val="00A21558"/>
    <w:rsid w:val="00A43E59"/>
    <w:rsid w:val="00A52403"/>
    <w:rsid w:val="00A544A9"/>
    <w:rsid w:val="00A55C72"/>
    <w:rsid w:val="00A65EDC"/>
    <w:rsid w:val="00A835DF"/>
    <w:rsid w:val="00A92B5C"/>
    <w:rsid w:val="00A958CC"/>
    <w:rsid w:val="00AA4E94"/>
    <w:rsid w:val="00AA7183"/>
    <w:rsid w:val="00AB2BE7"/>
    <w:rsid w:val="00AE080D"/>
    <w:rsid w:val="00B27E71"/>
    <w:rsid w:val="00B31D41"/>
    <w:rsid w:val="00B3783A"/>
    <w:rsid w:val="00B42628"/>
    <w:rsid w:val="00B46BC5"/>
    <w:rsid w:val="00B52886"/>
    <w:rsid w:val="00B6286A"/>
    <w:rsid w:val="00B66FEB"/>
    <w:rsid w:val="00B70B57"/>
    <w:rsid w:val="00B729EE"/>
    <w:rsid w:val="00B76F70"/>
    <w:rsid w:val="00B92860"/>
    <w:rsid w:val="00B9724D"/>
    <w:rsid w:val="00BA4176"/>
    <w:rsid w:val="00BB3121"/>
    <w:rsid w:val="00BB7C93"/>
    <w:rsid w:val="00BD4805"/>
    <w:rsid w:val="00BE050A"/>
    <w:rsid w:val="00BF1846"/>
    <w:rsid w:val="00C12A29"/>
    <w:rsid w:val="00C20747"/>
    <w:rsid w:val="00C26B08"/>
    <w:rsid w:val="00C34A1E"/>
    <w:rsid w:val="00C35850"/>
    <w:rsid w:val="00C42C35"/>
    <w:rsid w:val="00C55C45"/>
    <w:rsid w:val="00C6755C"/>
    <w:rsid w:val="00C67753"/>
    <w:rsid w:val="00C84F45"/>
    <w:rsid w:val="00C874DA"/>
    <w:rsid w:val="00C87E2F"/>
    <w:rsid w:val="00C9008C"/>
    <w:rsid w:val="00CB1D62"/>
    <w:rsid w:val="00CB3257"/>
    <w:rsid w:val="00CB3F8C"/>
    <w:rsid w:val="00CB6D09"/>
    <w:rsid w:val="00CF2E2F"/>
    <w:rsid w:val="00D04B49"/>
    <w:rsid w:val="00D34491"/>
    <w:rsid w:val="00D345D4"/>
    <w:rsid w:val="00D60566"/>
    <w:rsid w:val="00D758D8"/>
    <w:rsid w:val="00D8125F"/>
    <w:rsid w:val="00D81738"/>
    <w:rsid w:val="00D97BEE"/>
    <w:rsid w:val="00DB2424"/>
    <w:rsid w:val="00DB7FE5"/>
    <w:rsid w:val="00DD1B6C"/>
    <w:rsid w:val="00DD3936"/>
    <w:rsid w:val="00DE4776"/>
    <w:rsid w:val="00DE4778"/>
    <w:rsid w:val="00DE5466"/>
    <w:rsid w:val="00DF7EE4"/>
    <w:rsid w:val="00E00A6A"/>
    <w:rsid w:val="00E07511"/>
    <w:rsid w:val="00E13D75"/>
    <w:rsid w:val="00E54F6B"/>
    <w:rsid w:val="00E714DB"/>
    <w:rsid w:val="00E72191"/>
    <w:rsid w:val="00E75738"/>
    <w:rsid w:val="00E81650"/>
    <w:rsid w:val="00EB26E5"/>
    <w:rsid w:val="00EC1882"/>
    <w:rsid w:val="00EC5ECE"/>
    <w:rsid w:val="00EE0DDD"/>
    <w:rsid w:val="00EE5CA3"/>
    <w:rsid w:val="00F00848"/>
    <w:rsid w:val="00F032F8"/>
    <w:rsid w:val="00F14116"/>
    <w:rsid w:val="00F2521E"/>
    <w:rsid w:val="00F37709"/>
    <w:rsid w:val="00F545B5"/>
    <w:rsid w:val="00F570DE"/>
    <w:rsid w:val="00F61D6C"/>
    <w:rsid w:val="00F66619"/>
    <w:rsid w:val="00F6769C"/>
    <w:rsid w:val="00F722C5"/>
    <w:rsid w:val="00F95EB9"/>
    <w:rsid w:val="00FD1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51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199"/>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7E71"/>
    <w:rPr>
      <w:sz w:val="16"/>
      <w:szCs w:val="16"/>
    </w:rPr>
  </w:style>
  <w:style w:type="paragraph" w:styleId="CommentText">
    <w:name w:val="annotation text"/>
    <w:basedOn w:val="Normal"/>
    <w:link w:val="CommentTextChar"/>
    <w:uiPriority w:val="99"/>
    <w:semiHidden/>
    <w:unhideWhenUsed/>
    <w:rsid w:val="00B27E71"/>
    <w:rPr>
      <w:sz w:val="20"/>
      <w:szCs w:val="20"/>
    </w:rPr>
  </w:style>
  <w:style w:type="character" w:customStyle="1" w:styleId="CommentTextChar">
    <w:name w:val="Comment Text Char"/>
    <w:basedOn w:val="DefaultParagraphFont"/>
    <w:link w:val="CommentText"/>
    <w:uiPriority w:val="99"/>
    <w:semiHidden/>
    <w:rsid w:val="00B27E71"/>
    <w:rPr>
      <w:sz w:val="20"/>
      <w:szCs w:val="20"/>
    </w:rPr>
  </w:style>
  <w:style w:type="paragraph" w:styleId="CommentSubject">
    <w:name w:val="annotation subject"/>
    <w:basedOn w:val="CommentText"/>
    <w:next w:val="CommentText"/>
    <w:link w:val="CommentSubjectChar"/>
    <w:uiPriority w:val="99"/>
    <w:semiHidden/>
    <w:unhideWhenUsed/>
    <w:rsid w:val="00B27E71"/>
    <w:rPr>
      <w:b/>
      <w:bCs/>
    </w:rPr>
  </w:style>
  <w:style w:type="character" w:customStyle="1" w:styleId="CommentSubjectChar">
    <w:name w:val="Comment Subject Char"/>
    <w:basedOn w:val="CommentTextChar"/>
    <w:link w:val="CommentSubject"/>
    <w:uiPriority w:val="99"/>
    <w:semiHidden/>
    <w:rsid w:val="00B27E71"/>
    <w:rPr>
      <w:b/>
      <w:bCs/>
      <w:sz w:val="20"/>
      <w:szCs w:val="20"/>
    </w:rPr>
  </w:style>
  <w:style w:type="paragraph" w:styleId="Revision">
    <w:name w:val="Revision"/>
    <w:hidden/>
    <w:uiPriority w:val="99"/>
    <w:semiHidden/>
    <w:rsid w:val="00CB1D62"/>
    <w:pPr>
      <w:widowControl/>
    </w:pPr>
  </w:style>
  <w:style w:type="paragraph" w:styleId="Header">
    <w:name w:val="header"/>
    <w:basedOn w:val="Normal"/>
    <w:link w:val="HeaderChar"/>
    <w:uiPriority w:val="99"/>
    <w:unhideWhenUsed/>
    <w:rsid w:val="00A65EDC"/>
    <w:pPr>
      <w:tabs>
        <w:tab w:val="center" w:pos="4680"/>
        <w:tab w:val="right" w:pos="9360"/>
      </w:tabs>
    </w:pPr>
  </w:style>
  <w:style w:type="character" w:customStyle="1" w:styleId="HeaderChar">
    <w:name w:val="Header Char"/>
    <w:basedOn w:val="DefaultParagraphFont"/>
    <w:link w:val="Header"/>
    <w:uiPriority w:val="99"/>
    <w:rsid w:val="00A65EDC"/>
  </w:style>
  <w:style w:type="paragraph" w:styleId="Footer">
    <w:name w:val="footer"/>
    <w:basedOn w:val="Normal"/>
    <w:link w:val="FooterChar"/>
    <w:uiPriority w:val="99"/>
    <w:unhideWhenUsed/>
    <w:rsid w:val="00A65EDC"/>
    <w:pPr>
      <w:tabs>
        <w:tab w:val="center" w:pos="4680"/>
        <w:tab w:val="right" w:pos="9360"/>
      </w:tabs>
    </w:pPr>
  </w:style>
  <w:style w:type="character" w:customStyle="1" w:styleId="FooterChar">
    <w:name w:val="Footer Char"/>
    <w:basedOn w:val="DefaultParagraphFont"/>
    <w:link w:val="Footer"/>
    <w:uiPriority w:val="99"/>
    <w:rsid w:val="00A65EDC"/>
  </w:style>
  <w:style w:type="table" w:customStyle="1" w:styleId="TableGrid11">
    <w:name w:val="Table Grid11"/>
    <w:basedOn w:val="TableNormal"/>
    <w:next w:val="TableGrid"/>
    <w:rsid w:val="002A5A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A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79DE"/>
    <w:rPr>
      <w:color w:val="0000FF" w:themeColor="hyperlink"/>
      <w:u w:val="single"/>
    </w:rPr>
  </w:style>
  <w:style w:type="character" w:styleId="UnresolvedMention">
    <w:name w:val="Unresolved Mention"/>
    <w:basedOn w:val="DefaultParagraphFont"/>
    <w:uiPriority w:val="99"/>
    <w:semiHidden/>
    <w:unhideWhenUsed/>
    <w:rsid w:val="00797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a/98901/download"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8E8C-015D-43AE-B842-1700BC39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2023-11-06T16:28:00Z</dcterms:created>
  <dcterms:modified xsi:type="dcterms:W3CDTF">2023-11-06T16:28:00Z</dcterms:modified>
</cp:coreProperties>
</file>