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85AD3" w:rsidP="007741AF" w14:paraId="068EEAF1" w14:textId="5969BF20">
      <w:pPr>
        <w:jc w:val="center"/>
      </w:pPr>
      <w:r>
        <w:t xml:space="preserve">United </w:t>
      </w:r>
      <w:r w:rsidR="00BD3F21">
        <w:t xml:space="preserve">States </w:t>
      </w:r>
      <w:r>
        <w:t>Food and Drug Administration</w:t>
      </w:r>
    </w:p>
    <w:p w:rsidR="00B001B4" w:rsidP="007741AF" w14:paraId="33D7DB58" w14:textId="77777777">
      <w:pPr>
        <w:jc w:val="center"/>
      </w:pPr>
    </w:p>
    <w:p w:rsidR="009335E3" w:rsidP="00DE0720" w14:paraId="7B0696DB" w14:textId="77777777">
      <w:pPr>
        <w:spacing w:line="480" w:lineRule="auto"/>
        <w:contextualSpacing/>
        <w:jc w:val="center"/>
      </w:pPr>
      <w:r>
        <w:t xml:space="preserve">A Survey on </w:t>
      </w:r>
      <w:r w:rsidRPr="00F975B2">
        <w:t>Quantitative Claims in Direct-to-Consumer Prescription Drug Advertisin</w:t>
      </w:r>
      <w:r>
        <w:t>g</w:t>
      </w:r>
    </w:p>
    <w:p w:rsidR="00B001B4" w:rsidRPr="00B001B4" w:rsidP="00E571B5" w14:paraId="46D6523C" w14:textId="77777777">
      <w:pPr>
        <w:pStyle w:val="NormalWeb"/>
        <w:spacing w:before="0" w:beforeAutospacing="0" w:after="0" w:afterAutospacing="0"/>
        <w:jc w:val="center"/>
        <w:rPr>
          <w:color w:val="000000"/>
        </w:rPr>
      </w:pPr>
      <w:r w:rsidRPr="00B001B4">
        <w:rPr>
          <w:color w:val="000000"/>
        </w:rPr>
        <w:t>OMB Control No. 0910-NEW</w:t>
      </w:r>
    </w:p>
    <w:p w:rsidR="00B001B4" w:rsidRPr="00B001B4" w:rsidP="00B001B4" w14:paraId="271D993F" w14:textId="77777777">
      <w:pPr>
        <w:pStyle w:val="NormalWeb"/>
        <w:jc w:val="center"/>
        <w:rPr>
          <w:color w:val="000000"/>
        </w:rPr>
      </w:pPr>
      <w:r w:rsidRPr="00B001B4">
        <w:rPr>
          <w:color w:val="000000"/>
        </w:rPr>
        <w:t>SUPPORTING STATEMENT</w:t>
      </w:r>
    </w:p>
    <w:p w:rsidR="00B001B4" w:rsidRPr="00DE0720" w:rsidP="00B001B4" w14:paraId="358CCA5F" w14:textId="77777777">
      <w:pPr>
        <w:pStyle w:val="NormalWeb"/>
        <w:rPr>
          <w:b/>
          <w:bCs/>
          <w:color w:val="000000"/>
        </w:rPr>
      </w:pPr>
      <w:r w:rsidRPr="00DE0720">
        <w:rPr>
          <w:b/>
          <w:bCs/>
          <w:color w:val="000000"/>
        </w:rPr>
        <w:t>Part B. Statistical Methods</w:t>
      </w:r>
    </w:p>
    <w:p w:rsidR="004C6979" w:rsidRPr="007A33C8" w:rsidP="007741AF" w14:paraId="753C7919" w14:textId="77777777">
      <w:pPr>
        <w:numPr>
          <w:ilvl w:val="0"/>
          <w:numId w:val="2"/>
        </w:numPr>
        <w:spacing w:before="100" w:beforeAutospacing="1" w:after="100" w:afterAutospacing="1"/>
        <w:rPr>
          <w:u w:val="single"/>
        </w:rPr>
      </w:pPr>
      <w:r w:rsidRPr="007A33C8">
        <w:rPr>
          <w:u w:val="single"/>
        </w:rPr>
        <w:t>Responden</w:t>
      </w:r>
      <w:r w:rsidRPr="007A33C8" w:rsidR="004846BF">
        <w:rPr>
          <w:u w:val="single"/>
        </w:rPr>
        <w:t>t Universe and Sampling Methods</w:t>
      </w:r>
    </w:p>
    <w:p w:rsidR="00B760F4" w:rsidRPr="007A33C8" w:rsidP="005A119D" w14:paraId="2BFEA513" w14:textId="70BB8227">
      <w:pPr>
        <w:ind w:left="720"/>
      </w:pPr>
      <w:r w:rsidRPr="00373D01">
        <w:t>Adults aged 18 or over will be eligible for participation.</w:t>
      </w:r>
      <w:r>
        <w:t xml:space="preserve"> </w:t>
      </w:r>
      <w:r w:rsidR="00040922">
        <w:t xml:space="preserve"> </w:t>
      </w:r>
      <w:r w:rsidRPr="007A33C8">
        <w:t xml:space="preserve">To obtain a nationally representative sample, we will use address-based sampling (ABS). </w:t>
      </w:r>
      <w:r w:rsidR="00040922">
        <w:t xml:space="preserve"> </w:t>
      </w:r>
      <w:r w:rsidRPr="007A33C8">
        <w:t xml:space="preserve">Westat, the contractor, will utilize the vendor Marketing Systems Group (MSG) to provide a frame for the ABS sample. </w:t>
      </w:r>
      <w:r w:rsidR="007A33C8">
        <w:t xml:space="preserve"> </w:t>
      </w:r>
      <w:r w:rsidRPr="007A33C8">
        <w:t xml:space="preserve">MSG obtains addresses from the U.S. Postal Service </w:t>
      </w:r>
      <w:r>
        <w:t xml:space="preserve">Computerized </w:t>
      </w:r>
      <w:r w:rsidRPr="007A33C8">
        <w:t xml:space="preserve">Delivery Sequence File and appends information that can be used in stratification, such as demographic characteristics at the Census block level. </w:t>
      </w:r>
    </w:p>
    <w:p w:rsidR="00B760F4" w:rsidRPr="007A33C8" w:rsidP="00B760F4" w14:paraId="630FA071" w14:textId="77777777">
      <w:pPr>
        <w:ind w:left="360"/>
      </w:pPr>
    </w:p>
    <w:p w:rsidR="00CD3E51" w:rsidP="005A119D" w14:paraId="698B0762" w14:textId="35D0EB56">
      <w:pPr>
        <w:ind w:left="720"/>
      </w:pPr>
      <w:r w:rsidRPr="007A33C8">
        <w:t>We will use a stratified random sample of 2,993 addresses on the ABS frame, estimating 1,100 completed surveys (assuming a 40</w:t>
      </w:r>
      <w:r w:rsidR="00F258D6">
        <w:t xml:space="preserve"> percent</w:t>
      </w:r>
      <w:r w:rsidRPr="007A33C8">
        <w:t xml:space="preserve"> response rate and 5</w:t>
      </w:r>
      <w:r w:rsidR="00F258D6">
        <w:t xml:space="preserve"> percent</w:t>
      </w:r>
      <w:r w:rsidRPr="007A33C8">
        <w:t xml:space="preserve"> bad addresses or returned mail). </w:t>
      </w:r>
      <w:r w:rsidR="007A33C8">
        <w:t xml:space="preserve"> </w:t>
      </w:r>
      <w:r w:rsidRPr="007A33C8">
        <w:t xml:space="preserve">The stratification variables will be chosen to ensure a nationally representative sample of the general adult population. </w:t>
      </w:r>
      <w:r w:rsidR="007A33C8">
        <w:t xml:space="preserve"> </w:t>
      </w:r>
      <w:r w:rsidRPr="007A33C8">
        <w:t xml:space="preserve">The precision obtained from a stratified random sample is not the same as a simple random sample of 1,100 completed surveys because of both within-household selection and nonresponse adjustment. </w:t>
      </w:r>
      <w:r w:rsidR="007A33C8">
        <w:t xml:space="preserve"> </w:t>
      </w:r>
      <w:r w:rsidRPr="007A33C8">
        <w:t>Within-household selection of one adult means that a household weighting factor has to be assigned, which is the number of adults in the household (i.e., number of adults that the sampled adult is representing in the household).</w:t>
      </w:r>
      <w:r>
        <w:t xml:space="preserve"> </w:t>
      </w:r>
    </w:p>
    <w:p w:rsidR="00CD3E51" w:rsidP="00CD3E51" w14:paraId="15A72FDE" w14:textId="77777777">
      <w:pPr>
        <w:ind w:left="360"/>
      </w:pPr>
    </w:p>
    <w:p w:rsidR="004C6979" w:rsidRPr="007A33C8" w:rsidP="00DE0720" w14:paraId="49E41564" w14:textId="5A758DF5">
      <w:pPr>
        <w:numPr>
          <w:ilvl w:val="0"/>
          <w:numId w:val="2"/>
        </w:numPr>
        <w:rPr>
          <w:u w:val="single"/>
        </w:rPr>
      </w:pPr>
      <w:r w:rsidRPr="007A33C8">
        <w:rPr>
          <w:u w:val="single"/>
        </w:rPr>
        <w:t>Procedures fo</w:t>
      </w:r>
      <w:r w:rsidRPr="007A33C8" w:rsidR="004846BF">
        <w:rPr>
          <w:u w:val="single"/>
        </w:rPr>
        <w:t>r the Collection of Information</w:t>
      </w:r>
    </w:p>
    <w:p w:rsidR="00CD3E51" w:rsidP="007741AF" w14:paraId="4E156A94" w14:textId="77777777">
      <w:pPr>
        <w:ind w:firstLine="720"/>
        <w:rPr>
          <w:b/>
        </w:rPr>
      </w:pPr>
    </w:p>
    <w:p w:rsidR="00BC79AD" w:rsidRPr="007A33C8" w:rsidP="007741AF" w14:paraId="26A69406" w14:textId="77777777">
      <w:pPr>
        <w:ind w:firstLine="720"/>
        <w:rPr>
          <w:b/>
        </w:rPr>
      </w:pPr>
      <w:r w:rsidRPr="007A33C8">
        <w:rPr>
          <w:b/>
        </w:rPr>
        <w:t>Survey Overview</w:t>
      </w:r>
    </w:p>
    <w:p w:rsidR="003D1D28" w:rsidRPr="007A33C8" w:rsidP="007741AF" w14:paraId="5F895F01" w14:textId="77777777">
      <w:pPr>
        <w:jc w:val="center"/>
        <w:rPr>
          <w:b/>
        </w:rPr>
      </w:pPr>
    </w:p>
    <w:p w:rsidR="003D1D28" w:rsidP="007741AF" w14:paraId="340E8560" w14:textId="78BD3505">
      <w:pPr>
        <w:ind w:left="720"/>
      </w:pPr>
      <w:r w:rsidRPr="007A33C8">
        <w:t xml:space="preserve">The </w:t>
      </w:r>
      <w:r w:rsidRPr="007A33C8" w:rsidR="007741AF">
        <w:t xml:space="preserve">20-minute </w:t>
      </w:r>
      <w:r w:rsidRPr="007A33C8" w:rsidR="00217502">
        <w:t>survey contains questions about respondents</w:t>
      </w:r>
      <w:r w:rsidR="00FF200C">
        <w:t>’</w:t>
      </w:r>
      <w:r w:rsidRPr="007A33C8" w:rsidR="00217502">
        <w:t xml:space="preserve"> perceptions and understanding of several quantitative claims drawn from direct-to-consumer (DTC) ads in the marketplace (Appendix A).  We will also measure other potentially important variables such as demographics and numeracy.  The survey questions were informed by consumer feedback elicited in one-on-one interviews (OMB </w:t>
      </w:r>
      <w:r w:rsidR="00FF200C">
        <w:t>c</w:t>
      </w:r>
      <w:r w:rsidRPr="007A33C8" w:rsidR="00217502">
        <w:t xml:space="preserve">ontrol </w:t>
      </w:r>
      <w:r w:rsidR="002D15FC">
        <w:t>number</w:t>
      </w:r>
      <w:r w:rsidRPr="007A33C8" w:rsidR="00217502">
        <w:t xml:space="preserve"> 0910-0847</w:t>
      </w:r>
      <w:r w:rsidR="002D15FC">
        <w:t>,</w:t>
      </w:r>
      <w:r w:rsidRPr="007A33C8" w:rsidR="00217502">
        <w:t xml:space="preserve"> “Quantitative Claims in Direct-to-Consumer Prescription Drug Advertising: </w:t>
      </w:r>
      <w:r w:rsidR="00FF200C">
        <w:t xml:space="preserve"> </w:t>
      </w:r>
      <w:r w:rsidRPr="007A33C8" w:rsidR="00217502">
        <w:t>Consumer Interviews”).</w:t>
      </w:r>
    </w:p>
    <w:p w:rsidR="003D1D28" w:rsidP="007741AF" w14:paraId="2C1F8FD0" w14:textId="77777777">
      <w:pPr>
        <w:jc w:val="center"/>
        <w:rPr>
          <w:b/>
        </w:rPr>
      </w:pPr>
    </w:p>
    <w:p w:rsidR="003D1D28" w:rsidRPr="00710F80" w:rsidP="007741AF" w14:paraId="51DCF388" w14:textId="77777777">
      <w:pPr>
        <w:ind w:firstLine="720"/>
        <w:rPr>
          <w:b/>
        </w:rPr>
      </w:pPr>
      <w:r w:rsidRPr="00710F80">
        <w:rPr>
          <w:b/>
        </w:rPr>
        <w:t>Procedure</w:t>
      </w:r>
    </w:p>
    <w:p w:rsidR="00BC79AD" w:rsidRPr="009335E3" w:rsidP="007741AF" w14:paraId="2477817F" w14:textId="77777777">
      <w:pPr>
        <w:jc w:val="center"/>
        <w:rPr>
          <w:b/>
          <w:highlight w:val="yellow"/>
        </w:rPr>
      </w:pPr>
    </w:p>
    <w:p w:rsidR="00B760F4" w:rsidRPr="008A624A" w:rsidP="00B760F4" w14:paraId="17AFBDDB" w14:textId="604BAD5D">
      <w:pPr>
        <w:ind w:left="720"/>
        <w:rPr>
          <w:bCs/>
        </w:rPr>
      </w:pPr>
      <w:r w:rsidRPr="007A33C8">
        <w:rPr>
          <w:bCs/>
        </w:rPr>
        <w:t xml:space="preserve">The data collection protocol will include mailing </w:t>
      </w:r>
      <w:r w:rsidRPr="007A33C8" w:rsidR="00E956CA">
        <w:rPr>
          <w:bCs/>
        </w:rPr>
        <w:t>invitations</w:t>
      </w:r>
      <w:r w:rsidR="00E956CA">
        <w:rPr>
          <w:bCs/>
        </w:rPr>
        <w:t xml:space="preserve"> to</w:t>
      </w:r>
      <w:r w:rsidRPr="007A33C8" w:rsidR="00E956CA">
        <w:rPr>
          <w:bCs/>
        </w:rPr>
        <w:t xml:space="preserve"> </w:t>
      </w:r>
      <w:r w:rsidRPr="007A33C8">
        <w:rPr>
          <w:bCs/>
        </w:rPr>
        <w:t>potential respondents to complete a we</w:t>
      </w:r>
      <w:r w:rsidRPr="008A624A">
        <w:rPr>
          <w:bCs/>
        </w:rPr>
        <w:t>b-based survey followed by a paper survey mailing in the last contact, with a total of four contacts</w:t>
      </w:r>
      <w:r w:rsidRPr="008A624A" w:rsidR="00217502">
        <w:rPr>
          <w:bCs/>
        </w:rPr>
        <w:t xml:space="preserve"> (Appendices B</w:t>
      </w:r>
      <w:r w:rsidR="001722E1">
        <w:rPr>
          <w:bCs/>
        </w:rPr>
        <w:t xml:space="preserve"> through </w:t>
      </w:r>
      <w:r w:rsidRPr="008A624A" w:rsidR="00217502">
        <w:rPr>
          <w:bCs/>
        </w:rPr>
        <w:t>E)</w:t>
      </w:r>
      <w:r w:rsidRPr="008A624A">
        <w:rPr>
          <w:bCs/>
        </w:rPr>
        <w:t xml:space="preserve">. </w:t>
      </w:r>
      <w:r w:rsidRPr="008A624A" w:rsidR="007A33C8">
        <w:rPr>
          <w:bCs/>
        </w:rPr>
        <w:t xml:space="preserve"> </w:t>
      </w:r>
      <w:r w:rsidRPr="008A624A">
        <w:rPr>
          <w:bCs/>
        </w:rPr>
        <w:t xml:space="preserve">While the primary mode of response </w:t>
      </w:r>
      <w:r w:rsidRPr="008A624A">
        <w:rPr>
          <w:bCs/>
        </w:rPr>
        <w:t xml:space="preserve">is expected to come from the web survey, we will use a paper survey in the final mailing to attain a higher response rate and ensure responses from hard-to-reach populations with lower education, older consumers, and people with low socioeconomic levels who may not have access to the web. </w:t>
      </w:r>
      <w:r w:rsidRPr="008A624A" w:rsidR="007A33C8">
        <w:rPr>
          <w:bCs/>
        </w:rPr>
        <w:t xml:space="preserve"> </w:t>
      </w:r>
      <w:r w:rsidRPr="008A624A">
        <w:rPr>
          <w:bCs/>
        </w:rPr>
        <w:t>This four-contact</w:t>
      </w:r>
      <w:r w:rsidR="00732A78">
        <w:rPr>
          <w:bCs/>
        </w:rPr>
        <w:t>,</w:t>
      </w:r>
      <w:r w:rsidRPr="008A624A">
        <w:rPr>
          <w:bCs/>
        </w:rPr>
        <w:t xml:space="preserve"> mixed-mode approach along with incentives is a cost-effective approach to achieve a high response rate while also ensuring diversity of respondents.</w:t>
      </w:r>
    </w:p>
    <w:p w:rsidR="00217502" w:rsidRPr="008A624A" w:rsidP="00B760F4" w14:paraId="4C13306E" w14:textId="77777777">
      <w:pPr>
        <w:ind w:left="720"/>
        <w:rPr>
          <w:bCs/>
        </w:rPr>
      </w:pPr>
    </w:p>
    <w:p w:rsidR="0099022F" w:rsidRPr="008A624A" w:rsidP="00B760F4" w14:paraId="1735DCCE" w14:textId="0978CA49">
      <w:pPr>
        <w:ind w:left="720"/>
        <w:rPr>
          <w:bCs/>
        </w:rPr>
      </w:pPr>
      <w:r w:rsidRPr="008A624A">
        <w:rPr>
          <w:bCs/>
        </w:rPr>
        <w:t xml:space="preserve">We will first send a prenotification letter on FDA letterhead. </w:t>
      </w:r>
      <w:r w:rsidRPr="008A624A" w:rsidR="007A33C8">
        <w:rPr>
          <w:bCs/>
        </w:rPr>
        <w:t xml:space="preserve"> </w:t>
      </w:r>
      <w:r w:rsidRPr="008A624A">
        <w:rPr>
          <w:bCs/>
        </w:rPr>
        <w:t xml:space="preserve">The letter will </w:t>
      </w:r>
      <w:r w:rsidR="00FD492D">
        <w:rPr>
          <w:bCs/>
        </w:rPr>
        <w:t>d</w:t>
      </w:r>
      <w:r w:rsidR="0030768C">
        <w:rPr>
          <w:bCs/>
        </w:rPr>
        <w:t>escribe</w:t>
      </w:r>
      <w:r w:rsidRPr="008A624A" w:rsidR="00FD492D">
        <w:rPr>
          <w:bCs/>
        </w:rPr>
        <w:t xml:space="preserve"> </w:t>
      </w:r>
      <w:r w:rsidRPr="008A624A">
        <w:rPr>
          <w:bCs/>
        </w:rPr>
        <w:t xml:space="preserve">the study purpose and the importance of the responses, introduce Westat as the contractor, and inform recipients of the upcoming opportunity to participate. </w:t>
      </w:r>
      <w:r w:rsidRPr="008A624A" w:rsidR="007A33C8">
        <w:rPr>
          <w:bCs/>
        </w:rPr>
        <w:t xml:space="preserve"> </w:t>
      </w:r>
      <w:r w:rsidRPr="008A624A" w:rsidR="004469F7">
        <w:rPr>
          <w:bCs/>
        </w:rPr>
        <w:t xml:space="preserve">The letter will include a link to an FDA website describing the survey (Appendix F). </w:t>
      </w:r>
      <w:r w:rsidR="0031721D">
        <w:rPr>
          <w:bCs/>
        </w:rPr>
        <w:t xml:space="preserve"> </w:t>
      </w:r>
      <w:r w:rsidRPr="008A624A">
        <w:rPr>
          <w:bCs/>
        </w:rPr>
        <w:t xml:space="preserve">One week after the prenotification letter is mailed, </w:t>
      </w:r>
      <w:r w:rsidRPr="008A624A" w:rsidR="00217502">
        <w:rPr>
          <w:bCs/>
        </w:rPr>
        <w:t>we</w:t>
      </w:r>
      <w:r w:rsidRPr="008A624A">
        <w:rPr>
          <w:bCs/>
        </w:rPr>
        <w:t xml:space="preserve"> will send a survey invitation letter </w:t>
      </w:r>
      <w:r w:rsidR="00EB34DC">
        <w:rPr>
          <w:bCs/>
        </w:rPr>
        <w:t>that includes</w:t>
      </w:r>
      <w:r w:rsidRPr="008A624A" w:rsidR="00EB34DC">
        <w:rPr>
          <w:bCs/>
        </w:rPr>
        <w:t xml:space="preserve"> </w:t>
      </w:r>
      <w:r w:rsidRPr="008A624A">
        <w:rPr>
          <w:bCs/>
        </w:rPr>
        <w:t xml:space="preserve">a unique survey login, instructions on who within the household should complete the survey (i.e., the adult household member with the next birthday), a $5 prepaid incentive, and a promised additional incentive of $10 upon completion of the survey for 75 percent of the sample (see </w:t>
      </w:r>
      <w:r w:rsidRPr="008A624A" w:rsidR="00217502">
        <w:rPr>
          <w:bCs/>
        </w:rPr>
        <w:t>Part A</w:t>
      </w:r>
      <w:r w:rsidRPr="008A624A">
        <w:rPr>
          <w:bCs/>
        </w:rPr>
        <w:t xml:space="preserve"> </w:t>
      </w:r>
      <w:r w:rsidRPr="008A624A" w:rsidR="00217502">
        <w:rPr>
          <w:bCs/>
        </w:rPr>
        <w:t>for details of</w:t>
      </w:r>
      <w:r w:rsidRPr="008A624A">
        <w:rPr>
          <w:bCs/>
        </w:rPr>
        <w:t xml:space="preserve"> the </w:t>
      </w:r>
      <w:r w:rsidRPr="008A624A" w:rsidR="00217502">
        <w:rPr>
          <w:bCs/>
        </w:rPr>
        <w:t>i</w:t>
      </w:r>
      <w:r w:rsidRPr="008A624A">
        <w:rPr>
          <w:bCs/>
        </w:rPr>
        <w:t xml:space="preserve">ncentive </w:t>
      </w:r>
      <w:r w:rsidRPr="008A624A" w:rsidR="00217502">
        <w:rPr>
          <w:bCs/>
        </w:rPr>
        <w:t>e</w:t>
      </w:r>
      <w:r w:rsidRPr="008A624A">
        <w:rPr>
          <w:bCs/>
        </w:rPr>
        <w:t xml:space="preserve">xperiment). </w:t>
      </w:r>
    </w:p>
    <w:p w:rsidR="00B760F4" w:rsidRPr="008A624A" w:rsidP="00B760F4" w14:paraId="08649372" w14:textId="77777777">
      <w:pPr>
        <w:ind w:left="720"/>
        <w:rPr>
          <w:bCs/>
        </w:rPr>
      </w:pPr>
    </w:p>
    <w:p w:rsidR="00B760F4" w:rsidP="00B760F4" w14:paraId="15793044" w14:textId="79F512CE">
      <w:pPr>
        <w:ind w:left="720"/>
        <w:rPr>
          <w:b/>
        </w:rPr>
      </w:pPr>
      <w:r w:rsidRPr="008A624A">
        <w:rPr>
          <w:bCs/>
        </w:rPr>
        <w:t>We will conduct a soft launch of the invitation letter to approximately 10</w:t>
      </w:r>
      <w:r w:rsidR="00F258D6">
        <w:rPr>
          <w:bCs/>
        </w:rPr>
        <w:t xml:space="preserve"> percent</w:t>
      </w:r>
      <w:r w:rsidRPr="008A624A">
        <w:rPr>
          <w:bCs/>
        </w:rPr>
        <w:t xml:space="preserve"> of the sample to test and evaluate procedures for the web survey. </w:t>
      </w:r>
      <w:r w:rsidRPr="008A624A" w:rsidR="007A33C8">
        <w:rPr>
          <w:bCs/>
        </w:rPr>
        <w:t xml:space="preserve"> </w:t>
      </w:r>
      <w:r w:rsidRPr="008A624A">
        <w:rPr>
          <w:bCs/>
        </w:rPr>
        <w:t xml:space="preserve">Any issues discovered will be corrected and tested as quickly as possible. </w:t>
      </w:r>
      <w:r w:rsidRPr="008A624A" w:rsidR="007A33C8">
        <w:rPr>
          <w:bCs/>
        </w:rPr>
        <w:t xml:space="preserve"> </w:t>
      </w:r>
      <w:r w:rsidRPr="008A624A">
        <w:rPr>
          <w:bCs/>
        </w:rPr>
        <w:t xml:space="preserve">We will subsequently mail the remaining survey invitations. </w:t>
      </w:r>
      <w:r w:rsidRPr="008A624A" w:rsidR="007A33C8">
        <w:rPr>
          <w:bCs/>
        </w:rPr>
        <w:t xml:space="preserve"> </w:t>
      </w:r>
      <w:r w:rsidRPr="008A624A">
        <w:rPr>
          <w:bCs/>
        </w:rPr>
        <w:t xml:space="preserve">The third mailing will be a sealed postcard reminder with survey login information to all nonrespondents. </w:t>
      </w:r>
      <w:r w:rsidRPr="008A624A" w:rsidR="007A33C8">
        <w:rPr>
          <w:bCs/>
        </w:rPr>
        <w:t xml:space="preserve"> </w:t>
      </w:r>
      <w:r w:rsidRPr="008A624A">
        <w:rPr>
          <w:bCs/>
        </w:rPr>
        <w:t xml:space="preserve">The fourth mailing will include a paper copy of the survey with a return address envelope. </w:t>
      </w:r>
      <w:r w:rsidRPr="008A624A" w:rsidR="007A33C8">
        <w:rPr>
          <w:bCs/>
        </w:rPr>
        <w:t xml:space="preserve"> </w:t>
      </w:r>
      <w:r w:rsidRPr="008A624A">
        <w:rPr>
          <w:bCs/>
        </w:rPr>
        <w:t>A final mailing with the $10 postpaid incentive will be sent to individuals in the promised incentive groups who completed the survey and who did not</w:t>
      </w:r>
      <w:r w:rsidRPr="008A624A">
        <w:rPr>
          <w:b/>
        </w:rPr>
        <w:t xml:space="preserve"> </w:t>
      </w:r>
      <w:r w:rsidRPr="008A624A">
        <w:rPr>
          <w:bCs/>
        </w:rPr>
        <w:t>select the egift card option</w:t>
      </w:r>
      <w:r w:rsidRPr="008A624A" w:rsidR="00217502">
        <w:rPr>
          <w:bCs/>
        </w:rPr>
        <w:t xml:space="preserve"> (Appendix </w:t>
      </w:r>
      <w:r w:rsidRPr="008A624A" w:rsidR="004469F7">
        <w:rPr>
          <w:bCs/>
        </w:rPr>
        <w:t>G</w:t>
      </w:r>
      <w:r w:rsidRPr="008A624A" w:rsidR="00217502">
        <w:rPr>
          <w:bCs/>
        </w:rPr>
        <w:t>)</w:t>
      </w:r>
      <w:r w:rsidRPr="008A624A">
        <w:rPr>
          <w:bCs/>
        </w:rPr>
        <w:t>.</w:t>
      </w:r>
    </w:p>
    <w:p w:rsidR="00B760F4" w:rsidRPr="00DF38D5" w:rsidP="00B760F4" w14:paraId="653D6EDA" w14:textId="77777777">
      <w:pPr>
        <w:rPr>
          <w:b/>
        </w:rPr>
      </w:pPr>
    </w:p>
    <w:p w:rsidR="00BC79AD" w:rsidRPr="00DF38D5" w:rsidP="007741AF" w14:paraId="00D28C59" w14:textId="77777777">
      <w:pPr>
        <w:ind w:firstLine="720"/>
        <w:rPr>
          <w:b/>
        </w:rPr>
      </w:pPr>
      <w:r w:rsidRPr="00DF38D5">
        <w:rPr>
          <w:b/>
        </w:rPr>
        <w:t>Analysis Plan</w:t>
      </w:r>
    </w:p>
    <w:p w:rsidR="007741AF" w:rsidP="007741AF" w14:paraId="285EDC12" w14:textId="77777777"/>
    <w:p w:rsidR="007741AF" w:rsidRPr="007A33C8" w:rsidP="00E571B5" w14:paraId="5A2D58AF" w14:textId="0BFC4751">
      <w:pPr>
        <w:ind w:left="720"/>
      </w:pPr>
      <w:r w:rsidRPr="007A33C8">
        <w:t xml:space="preserve">We will analyze the survey data to provide descriptive statistics (e.g., frequencies, percentages, composite scores, means) as well as breakouts by subgroups of adult consumers of interest (e.g., age, gender, race/ethnicity, education). </w:t>
      </w:r>
      <w:r w:rsidR="007A33C8">
        <w:t xml:space="preserve"> </w:t>
      </w:r>
      <w:r w:rsidRPr="007A33C8">
        <w:t xml:space="preserve">These descriptive statistic results will be weighted to represent the adult consumer population. </w:t>
      </w:r>
      <w:r w:rsidR="007A33C8">
        <w:t xml:space="preserve"> </w:t>
      </w:r>
      <w:r w:rsidRPr="007A33C8">
        <w:t xml:space="preserve">We will use NVivo to facilitate coding and analysis of the open-ended responses. </w:t>
      </w:r>
      <w:r w:rsidR="007A33C8">
        <w:t xml:space="preserve"> </w:t>
      </w:r>
      <w:r w:rsidRPr="007A33C8">
        <w:t>Two trained coders will code a subset of the open-ended responses</w:t>
      </w:r>
      <w:r w:rsidR="00E9545E">
        <w:t>,</w:t>
      </w:r>
      <w:r w:rsidRPr="007A33C8">
        <w:t xml:space="preserve"> and Cohen’s kappa will be used to calculate inter-rater reliability.</w:t>
      </w:r>
    </w:p>
    <w:p w:rsidR="00E571B5" w:rsidRPr="007A33C8" w:rsidP="00E571B5" w14:paraId="18B0151F" w14:textId="77777777">
      <w:pPr>
        <w:ind w:left="720"/>
      </w:pPr>
    </w:p>
    <w:p w:rsidR="00E571B5" w:rsidRPr="007A33C8" w:rsidP="00E571B5" w14:paraId="3626F278" w14:textId="45C0ED8B">
      <w:pPr>
        <w:ind w:left="720"/>
        <w:rPr>
          <w:bCs/>
        </w:rPr>
      </w:pPr>
      <w:r w:rsidRPr="007A33C8">
        <w:rPr>
          <w:bCs/>
        </w:rPr>
        <w:t xml:space="preserve">Nonresponse bias in a survey can be substantial when three conditions hold: </w:t>
      </w:r>
      <w:r w:rsidR="00E9545E">
        <w:rPr>
          <w:bCs/>
        </w:rPr>
        <w:t xml:space="preserve"> </w:t>
      </w:r>
      <w:r w:rsidRPr="007A33C8">
        <w:rPr>
          <w:bCs/>
        </w:rPr>
        <w:t>(1) the response rate is relatively low, (2) there are considerable differences in response propensity across important subgroups of the population</w:t>
      </w:r>
      <w:r w:rsidR="00E9545E">
        <w:rPr>
          <w:bCs/>
        </w:rPr>
        <w:t>,</w:t>
      </w:r>
      <w:r w:rsidRPr="007A33C8">
        <w:rPr>
          <w:bCs/>
        </w:rPr>
        <w:t xml:space="preserve"> and (3) the difference between the characteristics of respondents and nonrespondents is relatively large. </w:t>
      </w:r>
      <w:r w:rsidR="007A33C8">
        <w:rPr>
          <w:bCs/>
        </w:rPr>
        <w:t xml:space="preserve"> </w:t>
      </w:r>
      <w:r w:rsidRPr="007A33C8">
        <w:rPr>
          <w:bCs/>
        </w:rPr>
        <w:t>We will conduct nonresponse bias analysis according to OMB</w:t>
      </w:r>
      <w:r w:rsidR="00A84FBB">
        <w:rPr>
          <w:bCs/>
        </w:rPr>
        <w:t>’s</w:t>
      </w:r>
      <w:r w:rsidRPr="007A33C8">
        <w:rPr>
          <w:bCs/>
        </w:rPr>
        <w:t xml:space="preserve"> </w:t>
      </w:r>
      <w:r w:rsidR="00A84FBB">
        <w:rPr>
          <w:bCs/>
        </w:rPr>
        <w:t>“</w:t>
      </w:r>
      <w:r w:rsidRPr="007A33C8">
        <w:rPr>
          <w:bCs/>
        </w:rPr>
        <w:t>Standards and Guidelines for Statistical Surveys.</w:t>
      </w:r>
      <w:r w:rsidR="00A84FBB">
        <w:rPr>
          <w:bCs/>
        </w:rPr>
        <w:t>”</w:t>
      </w:r>
      <w:r w:rsidRPr="007A33C8">
        <w:rPr>
          <w:bCs/>
        </w:rPr>
        <w:t xml:space="preserve"> </w:t>
      </w:r>
      <w:r w:rsidR="007A33C8">
        <w:rPr>
          <w:bCs/>
        </w:rPr>
        <w:t xml:space="preserve"> </w:t>
      </w:r>
      <w:r w:rsidRPr="007A33C8">
        <w:rPr>
          <w:bCs/>
        </w:rPr>
        <w:t xml:space="preserve">We will compare respondent characteristics with known population distributions, including comparisons of demographic data available from our sampling frame and variables of interest from the most current American Community Survey (ACS). </w:t>
      </w:r>
      <w:r w:rsidR="007A33C8">
        <w:rPr>
          <w:bCs/>
        </w:rPr>
        <w:t xml:space="preserve"> </w:t>
      </w:r>
      <w:r w:rsidRPr="007A33C8">
        <w:rPr>
          <w:bCs/>
        </w:rPr>
        <w:t xml:space="preserve">We will calibrate the sampling weights to the ACS totals to help improve the precision of the estimates (see more details below). </w:t>
      </w:r>
      <w:r w:rsidR="007A33C8">
        <w:rPr>
          <w:bCs/>
        </w:rPr>
        <w:t xml:space="preserve"> </w:t>
      </w:r>
      <w:r w:rsidRPr="007A33C8">
        <w:rPr>
          <w:bCs/>
        </w:rPr>
        <w:t xml:space="preserve">After adjusting for population </w:t>
      </w:r>
      <w:r w:rsidRPr="007A33C8">
        <w:rPr>
          <w:bCs/>
        </w:rPr>
        <w:t xml:space="preserve">differences (e.g., web respondents are likely younger), we will conduct analyses to determine if there are differences between web and paper responses.  </w:t>
      </w:r>
    </w:p>
    <w:p w:rsidR="00E571B5" w:rsidRPr="007A33C8" w:rsidP="007741AF" w14:paraId="0F30C5E1" w14:textId="77777777">
      <w:pPr>
        <w:ind w:firstLine="720"/>
      </w:pPr>
    </w:p>
    <w:p w:rsidR="003D1D28" w:rsidRPr="007A33C8" w:rsidP="007741AF" w14:paraId="5D240BDF" w14:textId="77777777">
      <w:pPr>
        <w:ind w:firstLine="720"/>
        <w:rPr>
          <w:b/>
        </w:rPr>
      </w:pPr>
      <w:r w:rsidRPr="007A33C8">
        <w:rPr>
          <w:b/>
        </w:rPr>
        <w:t>Weighting</w:t>
      </w:r>
    </w:p>
    <w:p w:rsidR="00766EFB" w:rsidRPr="007A33C8" w:rsidP="007741AF" w14:paraId="4AE8609F" w14:textId="77777777">
      <w:pPr>
        <w:ind w:firstLine="720"/>
        <w:rPr>
          <w:b/>
        </w:rPr>
      </w:pPr>
    </w:p>
    <w:p w:rsidR="00885576" w:rsidRPr="007A33C8" w:rsidP="00766EFB" w14:paraId="4FCFA235" w14:textId="24F800A7">
      <w:pPr>
        <w:ind w:left="720"/>
        <w:rPr>
          <w:bCs/>
        </w:rPr>
      </w:pPr>
      <w:r w:rsidRPr="007A33C8">
        <w:rPr>
          <w:bCs/>
        </w:rPr>
        <w:t xml:space="preserve">Sampling weights must be developed to account for the within-household adult selection. </w:t>
      </w:r>
      <w:r w:rsidR="00B97CA5">
        <w:rPr>
          <w:bCs/>
        </w:rPr>
        <w:t xml:space="preserve"> </w:t>
      </w:r>
      <w:r w:rsidRPr="007A33C8">
        <w:rPr>
          <w:bCs/>
        </w:rPr>
        <w:t xml:space="preserve">In addition, the weights for the survey must be adjusted for nonresponse and coverage errors, although the coverage error is expected to be small given the design. </w:t>
      </w:r>
      <w:r w:rsidR="007A33C8">
        <w:rPr>
          <w:bCs/>
        </w:rPr>
        <w:t xml:space="preserve"> </w:t>
      </w:r>
      <w:r w:rsidRPr="007A33C8">
        <w:rPr>
          <w:bCs/>
        </w:rPr>
        <w:t xml:space="preserve">Data from </w:t>
      </w:r>
      <w:r w:rsidRPr="007A33C8" w:rsidR="00E571B5">
        <w:rPr>
          <w:bCs/>
        </w:rPr>
        <w:t>the sampling</w:t>
      </w:r>
      <w:r w:rsidRPr="007A33C8">
        <w:rPr>
          <w:bCs/>
        </w:rPr>
        <w:t xml:space="preserve"> frame can be used in the formation of nonresponse adjustment cells. </w:t>
      </w:r>
      <w:r w:rsidR="007A33C8">
        <w:rPr>
          <w:bCs/>
        </w:rPr>
        <w:t xml:space="preserve"> </w:t>
      </w:r>
      <w:r w:rsidRPr="007A33C8">
        <w:rPr>
          <w:bCs/>
        </w:rPr>
        <w:t xml:space="preserve">This technique can reduce the risk of nonresponse bias if the adjustment cells are selected carefully. </w:t>
      </w:r>
      <w:r w:rsidR="007A33C8">
        <w:rPr>
          <w:bCs/>
        </w:rPr>
        <w:t xml:space="preserve"> </w:t>
      </w:r>
      <w:r w:rsidRPr="007A33C8">
        <w:rPr>
          <w:bCs/>
        </w:rPr>
        <w:t xml:space="preserve">We will conduct a final calibration of the weights or post-stratification adjustment. </w:t>
      </w:r>
      <w:r w:rsidR="00B97CA5">
        <w:rPr>
          <w:bCs/>
        </w:rPr>
        <w:t xml:space="preserve"> </w:t>
      </w:r>
      <w:r w:rsidRPr="007A33C8">
        <w:rPr>
          <w:bCs/>
        </w:rPr>
        <w:t xml:space="preserve">Westat uses raking to make these final adjustments, and the control totals can be based on ACS estimates. </w:t>
      </w:r>
      <w:r w:rsidR="007A33C8">
        <w:rPr>
          <w:bCs/>
        </w:rPr>
        <w:t xml:space="preserve"> </w:t>
      </w:r>
      <w:r w:rsidRPr="007A33C8">
        <w:rPr>
          <w:bCs/>
        </w:rPr>
        <w:t>This technique can simultaneously reduce nonresponse bias,</w:t>
      </w:r>
      <w:r w:rsidR="00B97CA5">
        <w:rPr>
          <w:bCs/>
        </w:rPr>
        <w:t xml:space="preserve"> </w:t>
      </w:r>
      <w:r w:rsidRPr="00B97CA5" w:rsidR="00B97CA5">
        <w:t>reduce</w:t>
      </w:r>
      <w:r w:rsidRPr="00B97CA5">
        <w:t xml:space="preserve"> coverage error</w:t>
      </w:r>
      <w:r w:rsidRPr="007A33C8">
        <w:rPr>
          <w:bCs/>
        </w:rPr>
        <w:t>, and increase the precision of the estimates (</w:t>
      </w:r>
      <w:r w:rsidR="00B97CA5">
        <w:rPr>
          <w:bCs/>
        </w:rPr>
        <w:t xml:space="preserve">i.e., </w:t>
      </w:r>
      <w:r w:rsidRPr="007A33C8">
        <w:rPr>
          <w:bCs/>
        </w:rPr>
        <w:t xml:space="preserve">reduce the variance). </w:t>
      </w:r>
      <w:r w:rsidR="007A33C8">
        <w:rPr>
          <w:bCs/>
        </w:rPr>
        <w:t xml:space="preserve"> </w:t>
      </w:r>
      <w:r w:rsidRPr="007A33C8">
        <w:rPr>
          <w:bCs/>
        </w:rPr>
        <w:t xml:space="preserve">Given the nature of response to advertising claims, it is likely that gender, age, education, and race/ethnicity may all be potentially important adjusters related to response propensity and response to </w:t>
      </w:r>
      <w:r w:rsidRPr="007A33C8" w:rsidR="008B3B7E">
        <w:rPr>
          <w:bCs/>
        </w:rPr>
        <w:t>advertising claims</w:t>
      </w:r>
      <w:r w:rsidRPr="007A33C8">
        <w:rPr>
          <w:bCs/>
        </w:rPr>
        <w:t xml:space="preserve">. </w:t>
      </w:r>
    </w:p>
    <w:p w:rsidR="00710F80" w:rsidRPr="007A33C8" w:rsidP="007741AF" w14:paraId="6B8E9B0D" w14:textId="77777777"/>
    <w:p w:rsidR="00981612" w:rsidRPr="007A33C8" w:rsidP="007741AF" w14:paraId="58DF2CB8" w14:textId="77777777">
      <w:pPr>
        <w:ind w:firstLine="720"/>
        <w:rPr>
          <w:b/>
        </w:rPr>
      </w:pPr>
      <w:r w:rsidRPr="007A33C8">
        <w:rPr>
          <w:b/>
        </w:rPr>
        <w:t>Power</w:t>
      </w:r>
    </w:p>
    <w:p w:rsidR="00FA781B" w:rsidRPr="007A33C8" w:rsidP="00FA781B" w14:paraId="04C3775F" w14:textId="77777777">
      <w:pPr>
        <w:ind w:left="720"/>
      </w:pPr>
    </w:p>
    <w:p w:rsidR="00FA781B" w:rsidRPr="007A33C8" w:rsidP="00FA781B" w14:paraId="59C739E6" w14:textId="3E84A28C">
      <w:pPr>
        <w:ind w:left="720"/>
      </w:pPr>
      <w:r w:rsidRPr="007A33C8">
        <w:t xml:space="preserve">We assume an overall 1.5 design effect (the inflation of variance from weighting effects against a simple random sample). </w:t>
      </w:r>
      <w:r w:rsidR="007A33C8">
        <w:t xml:space="preserve"> </w:t>
      </w:r>
      <w:r w:rsidRPr="007A33C8">
        <w:t>With this sample size and design effect, 1,100 completed surveys will provide a ±3.6</w:t>
      </w:r>
      <w:r w:rsidR="000949D2">
        <w:t>-</w:t>
      </w:r>
      <w:r w:rsidRPr="007A33C8">
        <w:t>percentage 95</w:t>
      </w:r>
      <w:r w:rsidR="00F258D6">
        <w:t xml:space="preserve"> percent</w:t>
      </w:r>
      <w:r w:rsidRPr="007A33C8">
        <w:t xml:space="preserve"> confidence interval around a sample percentage of 50</w:t>
      </w:r>
      <w:r w:rsidR="00F258D6">
        <w:t xml:space="preserve"> percent</w:t>
      </w:r>
      <w:r w:rsidRPr="007A33C8">
        <w:t xml:space="preserve">. </w:t>
      </w:r>
      <w:r w:rsidR="007A33C8">
        <w:t xml:space="preserve"> </w:t>
      </w:r>
      <w:r w:rsidRPr="007A33C8">
        <w:t>If we compare a subgroup that is one-third the population against its complement, we will have 80</w:t>
      </w:r>
      <w:r w:rsidR="00F258D6">
        <w:t xml:space="preserve"> percent</w:t>
      </w:r>
      <w:r w:rsidRPr="007A33C8">
        <w:t xml:space="preserve"> power to detect an 11</w:t>
      </w:r>
      <w:r w:rsidR="00343702">
        <w:t>-</w:t>
      </w:r>
      <w:r w:rsidRPr="007A33C8">
        <w:t>percentage point difference in these subgroup survey item percentages (with better power for larger subgroups and less power for smaller ones).  This assumes a two-sided 95</w:t>
      </w:r>
      <w:r w:rsidR="0098131B">
        <w:t>-</w:t>
      </w:r>
      <w:r w:rsidR="00F258D6">
        <w:t>percent</w:t>
      </w:r>
      <w:r w:rsidRPr="007A33C8">
        <w:t xml:space="preserve"> test of the null hypothesis of no difference, at a null percentage of 50</w:t>
      </w:r>
      <w:r w:rsidR="00F258D6">
        <w:t xml:space="preserve"> percent</w:t>
      </w:r>
      <w:r w:rsidRPr="007A33C8">
        <w:t xml:space="preserve">, with better power for other percentages. </w:t>
      </w:r>
    </w:p>
    <w:p w:rsidR="00FA781B" w:rsidRPr="007A33C8" w:rsidP="00FA781B" w14:paraId="4B0503D9" w14:textId="77777777">
      <w:pPr>
        <w:ind w:left="720"/>
      </w:pPr>
    </w:p>
    <w:p w:rsidR="007741AF" w:rsidRPr="007A33C8" w:rsidP="00FA781B" w14:paraId="1A7166C3" w14:textId="247887E3">
      <w:pPr>
        <w:ind w:left="720"/>
      </w:pPr>
      <w:r w:rsidRPr="007A33C8">
        <w:t xml:space="preserve">The standard error is √((p*(1-p)*DEFF)/n), </w:t>
      </w:r>
      <w:r w:rsidR="00C66290">
        <w:t>where</w:t>
      </w:r>
      <w:r w:rsidRPr="007A33C8" w:rsidR="00C66290">
        <w:t xml:space="preserve"> </w:t>
      </w:r>
      <w:r w:rsidRPr="007A33C8">
        <w:t>p</w:t>
      </w:r>
      <w:r w:rsidR="00C66290">
        <w:t xml:space="preserve"> is</w:t>
      </w:r>
      <w:r w:rsidRPr="007A33C8">
        <w:t xml:space="preserve"> the population prevalence, n </w:t>
      </w:r>
      <w:r w:rsidR="00C66290">
        <w:t xml:space="preserve">is </w:t>
      </w:r>
      <w:r w:rsidRPr="007A33C8">
        <w:t xml:space="preserve">the responding sample size, </w:t>
      </w:r>
      <w:r w:rsidR="00187CFB">
        <w:t xml:space="preserve">and </w:t>
      </w:r>
      <w:r w:rsidRPr="007A33C8">
        <w:t>DEFF</w:t>
      </w:r>
      <w:r w:rsidR="00C66290">
        <w:t xml:space="preserve"> is</w:t>
      </w:r>
      <w:r w:rsidRPr="007A33C8">
        <w:t xml:space="preserve"> a design effect. </w:t>
      </w:r>
      <w:r w:rsidR="007A33C8">
        <w:t xml:space="preserve"> </w:t>
      </w:r>
      <w:r w:rsidRPr="007A33C8">
        <w:t xml:space="preserve">The initial sample size is the responding sample size divided by response rate (adjusted for bad addresses). </w:t>
      </w:r>
      <w:r w:rsidR="007A33C8">
        <w:t xml:space="preserve"> </w:t>
      </w:r>
      <w:r w:rsidRPr="007A33C8">
        <w:t>Power calculations assume sample sizes of 1100/3 and 2*1100/3 for the two compared subgroups and independence between the subgroups.</w:t>
      </w:r>
    </w:p>
    <w:p w:rsidR="004C6979" w:rsidRPr="007A33C8" w:rsidP="007741AF" w14:paraId="0B8012E5" w14:textId="77777777">
      <w:pPr>
        <w:numPr>
          <w:ilvl w:val="0"/>
          <w:numId w:val="2"/>
        </w:numPr>
        <w:spacing w:before="100" w:beforeAutospacing="1" w:after="100" w:afterAutospacing="1"/>
        <w:rPr>
          <w:u w:val="single"/>
        </w:rPr>
      </w:pPr>
      <w:r w:rsidRPr="007A33C8">
        <w:rPr>
          <w:u w:val="single"/>
        </w:rPr>
        <w:t xml:space="preserve">Methods to Maximize Response </w:t>
      </w:r>
      <w:r w:rsidRPr="007A33C8" w:rsidR="004846BF">
        <w:rPr>
          <w:u w:val="single"/>
        </w:rPr>
        <w:t>Rates and Deal with Non</w:t>
      </w:r>
      <w:r w:rsidRPr="007A33C8" w:rsidR="00E00EA0">
        <w:rPr>
          <w:u w:val="single"/>
        </w:rPr>
        <w:t>-</w:t>
      </w:r>
      <w:r w:rsidRPr="007A33C8" w:rsidR="004846BF">
        <w:rPr>
          <w:u w:val="single"/>
        </w:rPr>
        <w:t>response</w:t>
      </w:r>
    </w:p>
    <w:p w:rsidR="00423C0D" w:rsidRPr="007A33C8" w:rsidP="007741AF" w14:paraId="4B619CAE" w14:textId="77777777">
      <w:pPr>
        <w:pStyle w:val="NormalWeb"/>
        <w:spacing w:before="0" w:beforeAutospacing="0" w:after="0" w:afterAutospacing="0"/>
        <w:ind w:left="360" w:firstLine="360"/>
      </w:pPr>
      <w:r w:rsidRPr="007A33C8">
        <w:rPr>
          <w:color w:val="000000"/>
        </w:rPr>
        <w:t>To help ensure that the participation rate is as high as possible</w:t>
      </w:r>
      <w:r w:rsidRPr="007A33C8">
        <w:t>, FDA will:</w:t>
      </w:r>
    </w:p>
    <w:p w:rsidR="004F7B92" w:rsidRPr="007A33C8" w:rsidP="004F7B92" w14:paraId="7AC48F9B" w14:textId="3F01CBA2">
      <w:pPr>
        <w:numPr>
          <w:ilvl w:val="0"/>
          <w:numId w:val="38"/>
        </w:numPr>
        <w:spacing w:before="120" w:after="120"/>
      </w:pPr>
      <w:r w:rsidRPr="007A33C8">
        <w:t>Send f</w:t>
      </w:r>
      <w:r w:rsidRPr="007A33C8" w:rsidR="00AC3BC7">
        <w:t>our</w:t>
      </w:r>
      <w:r w:rsidRPr="007A33C8">
        <w:t xml:space="preserve"> different contacts to participants</w:t>
      </w:r>
    </w:p>
    <w:p w:rsidR="004F7B92" w:rsidRPr="007A33C8" w:rsidP="004F7B92" w14:paraId="61C629B0" w14:textId="42EDDA39">
      <w:pPr>
        <w:numPr>
          <w:ilvl w:val="0"/>
          <w:numId w:val="38"/>
        </w:numPr>
      </w:pPr>
      <w:r w:rsidRPr="007A33C8">
        <w:t>Send a small cash incentive with the initial request to respond</w:t>
      </w:r>
    </w:p>
    <w:p w:rsidR="0082658B" w:rsidRPr="007A33C8" w:rsidP="007741AF" w14:paraId="0A3A32DC" w14:textId="39D9846A">
      <w:pPr>
        <w:numPr>
          <w:ilvl w:val="0"/>
          <w:numId w:val="38"/>
        </w:numPr>
        <w:spacing w:before="120" w:after="120"/>
      </w:pPr>
      <w:r w:rsidRPr="007A33C8">
        <w:t xml:space="preserve">Administer the </w:t>
      </w:r>
      <w:r w:rsidRPr="007A33C8" w:rsidR="00CF2AB6">
        <w:t>survey in two modes (web and mail)</w:t>
      </w:r>
      <w:r w:rsidRPr="007A33C8">
        <w:t xml:space="preserve">, allowing respondents to answer questions </w:t>
      </w:r>
      <w:r w:rsidRPr="007A33C8" w:rsidR="00F64F10">
        <w:t>in the mode,</w:t>
      </w:r>
      <w:r w:rsidRPr="007A33C8">
        <w:t xml:space="preserve"> time</w:t>
      </w:r>
      <w:r w:rsidRPr="007A33C8" w:rsidR="00F64F10">
        <w:t>,</w:t>
      </w:r>
      <w:r w:rsidRPr="007A33C8">
        <w:t xml:space="preserve"> and location of their choosing</w:t>
      </w:r>
    </w:p>
    <w:p w:rsidR="004F7B92" w:rsidRPr="007A33C8" w:rsidP="004F7B92" w14:paraId="75BDE74D" w14:textId="4C9D835B">
      <w:pPr>
        <w:numPr>
          <w:ilvl w:val="0"/>
          <w:numId w:val="38"/>
        </w:numPr>
        <w:spacing w:before="120" w:after="120"/>
      </w:pPr>
      <w:r w:rsidRPr="007A33C8">
        <w:t xml:space="preserve">Design </w:t>
      </w:r>
      <w:r w:rsidR="00491A66">
        <w:t xml:space="preserve">the </w:t>
      </w:r>
      <w:r w:rsidRPr="007A33C8">
        <w:t xml:space="preserve">survey </w:t>
      </w:r>
      <w:r w:rsidR="00280A64">
        <w:t>to</w:t>
      </w:r>
      <w:r w:rsidRPr="007A33C8" w:rsidR="00280A64">
        <w:t xml:space="preserve"> </w:t>
      </w:r>
      <w:r w:rsidRPr="007A33C8">
        <w:t>minimize burden (</w:t>
      </w:r>
      <w:r w:rsidR="00280A64">
        <w:t xml:space="preserve">e.g., </w:t>
      </w:r>
      <w:r w:rsidRPr="007A33C8">
        <w:t>short in length, clearly written, and with appealing graphics)</w:t>
      </w:r>
    </w:p>
    <w:p w:rsidR="004C6979" w:rsidRPr="007A33C8" w:rsidP="007741AF" w14:paraId="115F7CD2" w14:textId="77777777">
      <w:pPr>
        <w:numPr>
          <w:ilvl w:val="0"/>
          <w:numId w:val="2"/>
        </w:numPr>
        <w:spacing w:before="100" w:beforeAutospacing="1" w:after="100" w:afterAutospacing="1"/>
        <w:rPr>
          <w:u w:val="single"/>
        </w:rPr>
      </w:pPr>
      <w:r w:rsidRPr="007A33C8">
        <w:rPr>
          <w:u w:val="single"/>
        </w:rPr>
        <w:t>Test of Procedu</w:t>
      </w:r>
      <w:r w:rsidRPr="007A33C8" w:rsidR="004846BF">
        <w:rPr>
          <w:u w:val="single"/>
        </w:rPr>
        <w:t>res or Methods to be Undertaken</w:t>
      </w:r>
    </w:p>
    <w:p w:rsidR="00B001B4" w:rsidRPr="007A33C8" w:rsidP="00B001B4" w14:paraId="174443E8" w14:textId="0AAE6419">
      <w:pPr>
        <w:spacing w:before="100" w:beforeAutospacing="1" w:after="100" w:afterAutospacing="1"/>
        <w:ind w:left="720"/>
      </w:pPr>
      <w:r w:rsidRPr="007A33C8">
        <w:t xml:space="preserve">Data collection will begin with a soft launch to test and evaluate procedures. </w:t>
      </w:r>
      <w:r w:rsidR="007A33C8">
        <w:t xml:space="preserve"> </w:t>
      </w:r>
      <w:r w:rsidRPr="007A33C8">
        <w:t xml:space="preserve">The soft launch will utilize the same procedures and methods as the full data collection but utilize only a small sample. </w:t>
      </w:r>
      <w:r w:rsidR="007A33C8">
        <w:t xml:space="preserve"> </w:t>
      </w:r>
      <w:r w:rsidRPr="007A33C8">
        <w:t xml:space="preserve">In addition, findings from the </w:t>
      </w:r>
      <w:r w:rsidRPr="007A33C8" w:rsidR="00251B27">
        <w:t>qualitative</w:t>
      </w:r>
      <w:r w:rsidRPr="007A33C8">
        <w:t xml:space="preserve"> interviews </w:t>
      </w:r>
      <w:r w:rsidRPr="007A33C8" w:rsidR="00251B27">
        <w:t>(</w:t>
      </w:r>
      <w:r w:rsidRPr="007A33C8" w:rsidR="00217502">
        <w:t xml:space="preserve">OMB </w:t>
      </w:r>
      <w:r w:rsidR="009A7998">
        <w:t>c</w:t>
      </w:r>
      <w:r w:rsidRPr="007A33C8" w:rsidR="00217502">
        <w:t xml:space="preserve">ontrol </w:t>
      </w:r>
      <w:r w:rsidR="009A7998">
        <w:t>number</w:t>
      </w:r>
      <w:r w:rsidRPr="007A33C8" w:rsidR="00217502">
        <w:t xml:space="preserve"> </w:t>
      </w:r>
      <w:r w:rsidRPr="007A33C8" w:rsidR="009E2D1C">
        <w:t>0910-0847</w:t>
      </w:r>
      <w:r w:rsidR="004962D5">
        <w:t>,</w:t>
      </w:r>
      <w:r w:rsidRPr="007A33C8" w:rsidR="009E2D1C">
        <w:t xml:space="preserve"> “Quantitative Claims in Direct-to-Consumer Prescription Drug Advertising: </w:t>
      </w:r>
      <w:r w:rsidR="00F76470">
        <w:t xml:space="preserve"> </w:t>
      </w:r>
      <w:r w:rsidRPr="007A33C8" w:rsidR="009E2D1C">
        <w:t>Consumer Interviews”</w:t>
      </w:r>
      <w:r w:rsidRPr="007A33C8" w:rsidR="00251B27">
        <w:t xml:space="preserve">) </w:t>
      </w:r>
      <w:r w:rsidR="002F2D84">
        <w:t>were</w:t>
      </w:r>
      <w:r w:rsidRPr="007A33C8">
        <w:t xml:space="preserve"> used to refine the questions and response options implemented in the survey. </w:t>
      </w:r>
    </w:p>
    <w:p w:rsidR="00423C0D" w:rsidRPr="007A33C8" w:rsidP="007741AF" w14:paraId="30EDD6ED" w14:textId="77777777">
      <w:pPr>
        <w:numPr>
          <w:ilvl w:val="0"/>
          <w:numId w:val="2"/>
        </w:numPr>
        <w:spacing w:before="100" w:beforeAutospacing="1" w:after="100" w:afterAutospacing="1"/>
      </w:pPr>
      <w:r w:rsidRPr="007A33C8">
        <w:rPr>
          <w:u w:val="single"/>
        </w:rPr>
        <w:t>Individuals Consulted on Statistical Aspects and Individuals Collecting and/or Analyzing Data</w:t>
      </w:r>
    </w:p>
    <w:p w:rsidR="00EF3493" w:rsidRPr="007A33C8" w:rsidP="007A33C8" w14:paraId="2F5B0C0E" w14:textId="3C6498B6">
      <w:pPr>
        <w:spacing w:before="100" w:beforeAutospacing="1" w:after="100" w:afterAutospacing="1"/>
        <w:ind w:left="720"/>
      </w:pPr>
      <w:r w:rsidRPr="007A33C8">
        <w:t>The contractor</w:t>
      </w:r>
      <w:r w:rsidR="007A33C8">
        <w:t>,</w:t>
      </w:r>
      <w:r w:rsidRPr="007A33C8" w:rsidR="009335E3">
        <w:t xml:space="preserve"> Westat</w:t>
      </w:r>
      <w:r w:rsidRPr="007A33C8">
        <w:t>, will collect</w:t>
      </w:r>
      <w:r w:rsidRPr="007A33C8" w:rsidR="00B001B4">
        <w:t xml:space="preserve"> and analyze</w:t>
      </w:r>
      <w:r w:rsidRPr="007A33C8">
        <w:t xml:space="preserve"> the data on behalf of FDA as a task order under </w:t>
      </w:r>
      <w:r w:rsidR="004962D5">
        <w:t>c</w:t>
      </w:r>
      <w:r w:rsidRPr="007A33C8">
        <w:t xml:space="preserve">ontract </w:t>
      </w:r>
      <w:r w:rsidRPr="007A33C8" w:rsidR="00B001B4">
        <w:t>75F40120A00018</w:t>
      </w:r>
      <w:r w:rsidRPr="007A33C8">
        <w:t xml:space="preserve">. </w:t>
      </w:r>
      <w:r w:rsidR="007A33C8">
        <w:t xml:space="preserve"> </w:t>
      </w:r>
      <w:r w:rsidRPr="007A33C8" w:rsidR="00B001B4">
        <w:t>Naomi Yount</w:t>
      </w:r>
      <w:r w:rsidRPr="007A33C8">
        <w:t xml:space="preserve">, Ph.D., </w:t>
      </w:r>
      <w:r w:rsidRPr="007A33C8" w:rsidR="009E2D1C">
        <w:t>301-610-8842</w:t>
      </w:r>
      <w:r w:rsidRPr="007A33C8">
        <w:rPr>
          <w:noProof/>
        </w:rPr>
        <w:t xml:space="preserve">, </w:t>
      </w:r>
      <w:r w:rsidRPr="007A33C8">
        <w:t xml:space="preserve">is </w:t>
      </w:r>
      <w:r w:rsidRPr="007A33C8" w:rsidR="009335E3">
        <w:t>Westat</w:t>
      </w:r>
      <w:r w:rsidRPr="007A33C8" w:rsidR="008424CA">
        <w:t>’s</w:t>
      </w:r>
      <w:r w:rsidRPr="007A33C8">
        <w:t xml:space="preserve"> </w:t>
      </w:r>
      <w:r w:rsidR="00E34583">
        <w:t>p</w:t>
      </w:r>
      <w:r w:rsidRPr="007A33C8">
        <w:t xml:space="preserve">roject </w:t>
      </w:r>
      <w:r w:rsidR="00E34583">
        <w:t>d</w:t>
      </w:r>
      <w:r w:rsidRPr="007A33C8">
        <w:t>irector for this project</w:t>
      </w:r>
      <w:r w:rsidRPr="007A33C8">
        <w:rPr>
          <w:noProof/>
        </w:rPr>
        <w:t xml:space="preserve">.  Data </w:t>
      </w:r>
      <w:r w:rsidRPr="007A33C8" w:rsidR="00B001B4">
        <w:rPr>
          <w:noProof/>
        </w:rPr>
        <w:t xml:space="preserve">collection and </w:t>
      </w:r>
      <w:r w:rsidRPr="007A33C8">
        <w:t xml:space="preserve">analysis will be overseen by the </w:t>
      </w:r>
      <w:r w:rsidR="005D721B">
        <w:t xml:space="preserve">OPDP </w:t>
      </w:r>
      <w:r w:rsidRPr="007A33C8">
        <w:t xml:space="preserve">Research Team, Office of Medical Policy, </w:t>
      </w:r>
      <w:r w:rsidR="004962D5">
        <w:t>Center</w:t>
      </w:r>
      <w:r w:rsidR="005D721B">
        <w:t xml:space="preserve"> for Drug Evaluation and Research</w:t>
      </w:r>
      <w:r w:rsidRPr="007A33C8">
        <w:t>, FDA, and coordinated</w:t>
      </w:r>
      <w:r w:rsidRPr="007A33C8" w:rsidR="009335E3">
        <w:t xml:space="preserve"> by Helen W. Sullivan, Ph.D., MPH</w:t>
      </w:r>
      <w:r w:rsidRPr="007A33C8">
        <w:t xml:space="preserve">, 301-796-4188 and </w:t>
      </w:r>
      <w:r w:rsidRPr="007A33C8" w:rsidR="00B001B4">
        <w:t>Kevin Betts</w:t>
      </w:r>
      <w:r w:rsidRPr="007A33C8">
        <w:t xml:space="preserve">, Ph.D., </w:t>
      </w:r>
      <w:r w:rsidRPr="007A33C8" w:rsidR="00B001B4">
        <w:t>240-4</w:t>
      </w:r>
      <w:r w:rsidR="009C1501">
        <w:t>85-6252</w:t>
      </w:r>
      <w:r w:rsidRPr="007A33C8">
        <w:t>.</w:t>
      </w:r>
    </w:p>
    <w:sectPr w:rsidSect="00EB7538">
      <w:footerReference w:type="even" r:id="rId8"/>
      <w:footerReference w:type="default" r:id="rId9"/>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Franklin Gothic Medium">
    <w:panose1 w:val="020B06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MDOK M+ Melior">
    <w:altName w:val="Cambri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63DE5" w:rsidP="003F3DF5" w14:paraId="016909DC"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E63DE5" w14:paraId="35ABF3FF"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63DE5" w:rsidP="003F3DF5" w14:paraId="719D812C"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17C56">
      <w:rPr>
        <w:rStyle w:val="PageNumber"/>
        <w:noProof/>
      </w:rPr>
      <w:t>1</w:t>
    </w:r>
    <w:r>
      <w:rPr>
        <w:rStyle w:val="PageNumber"/>
      </w:rPr>
      <w:fldChar w:fldCharType="end"/>
    </w:r>
  </w:p>
  <w:p w:rsidR="00E63DE5" w14:paraId="4271738A"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FFFFFFFF"/>
    <w:lvl w:ilvl="0">
      <w:start w:val="0"/>
      <w:numFmt w:val="decimal"/>
      <w:lvlText w:val="*"/>
      <w:lvlJc w:val="left"/>
    </w:lvl>
  </w:abstractNum>
  <w:abstractNum w:abstractNumId="1">
    <w:nsid w:val="045F4DB8"/>
    <w:multiLevelType w:val="hybridMultilevel"/>
    <w:tmpl w:val="7EBEB4EC"/>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2">
    <w:nsid w:val="06F213D9"/>
    <w:multiLevelType w:val="hybridMultilevel"/>
    <w:tmpl w:val="1D0CDD2E"/>
    <w:lvl w:ilvl="0">
      <w:start w:val="0"/>
      <w:numFmt w:val="bullet"/>
      <w:lvlText w:val="•"/>
      <w:lvlJc w:val="left"/>
      <w:pPr>
        <w:ind w:left="2955" w:hanging="1155"/>
      </w:pPr>
      <w:rPr>
        <w:rFonts w:ascii="Garamond" w:eastAsia="Times New Roman" w:hAnsi="Garamond" w:cs="Times New Roman"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3">
    <w:nsid w:val="0AA34062"/>
    <w:multiLevelType w:val="hybridMultilevel"/>
    <w:tmpl w:val="4FE0CDB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
    <w:nsid w:val="0B3A6ACE"/>
    <w:multiLevelType w:val="hybridMultilevel"/>
    <w:tmpl w:val="44EA2790"/>
    <w:lvl w:ilvl="0">
      <w:start w:val="1"/>
      <w:numFmt w:val="bullet"/>
      <w:lvlText w:val=""/>
      <w:lvlJc w:val="left"/>
      <w:pPr>
        <w:tabs>
          <w:tab w:val="num" w:pos="1440"/>
        </w:tabs>
        <w:ind w:left="1440" w:hanging="360"/>
      </w:pPr>
      <w:rPr>
        <w:rFonts w:ascii="Symbol" w:hAnsi="Symbol" w:hint="default"/>
        <w:color w:val="auto"/>
        <w:sz w:val="20"/>
        <w:szCs w:val="20"/>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5">
    <w:nsid w:val="0ED002F3"/>
    <w:multiLevelType w:val="hybridMultilevel"/>
    <w:tmpl w:val="CC9AD5C0"/>
    <w:lvl w:ilvl="0">
      <w:start w:val="1"/>
      <w:numFmt w:val="bullet"/>
      <w:pStyle w:val="N1-1stBullet"/>
      <w:lvlText w:val=""/>
      <w:lvlJc w:val="left"/>
      <w:pPr>
        <w:tabs>
          <w:tab w:val="num" w:pos="1152"/>
        </w:tabs>
        <w:ind w:left="1152" w:hanging="576"/>
      </w:pPr>
      <w:rPr>
        <w:rFonts w:ascii="Wingdings" w:hAnsi="Wingdings" w:hint="default"/>
        <w:sz w:val="18"/>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nsid w:val="14B91F04"/>
    <w:multiLevelType w:val="hybridMultilevel"/>
    <w:tmpl w:val="0764FE0C"/>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7">
    <w:nsid w:val="16877C4A"/>
    <w:multiLevelType w:val="singleLevel"/>
    <w:tmpl w:val="745C8DE6"/>
    <w:lvl w:ilvl="0">
      <w:start w:val="1"/>
      <w:numFmt w:val="bullet"/>
      <w:pStyle w:val="CM12"/>
      <w:lvlText w:val=""/>
      <w:lvlJc w:val="left"/>
      <w:pPr>
        <w:tabs>
          <w:tab w:val="num" w:pos="1080"/>
        </w:tabs>
        <w:ind w:left="1080" w:hanging="360"/>
      </w:pPr>
      <w:rPr>
        <w:rFonts w:ascii="Wingdings" w:hAnsi="Wingdings" w:hint="default"/>
        <w:sz w:val="24"/>
      </w:rPr>
    </w:lvl>
  </w:abstractNum>
  <w:abstractNum w:abstractNumId="8">
    <w:nsid w:val="1A3B7D75"/>
    <w:multiLevelType w:val="multilevel"/>
    <w:tmpl w:val="247863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ADE7567"/>
    <w:multiLevelType w:val="hybridMultilevel"/>
    <w:tmpl w:val="7DFE1E68"/>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0">
    <w:nsid w:val="1BEF4FB6"/>
    <w:multiLevelType w:val="hybridMultilevel"/>
    <w:tmpl w:val="A498C99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1E2515D4"/>
    <w:multiLevelType w:val="hybridMultilevel"/>
    <w:tmpl w:val="3A8806BE"/>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2">
    <w:nsid w:val="29CA6BBF"/>
    <w:multiLevelType w:val="hybridMultilevel"/>
    <w:tmpl w:val="B4AEF0E0"/>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3">
    <w:nsid w:val="2A3F6F8E"/>
    <w:multiLevelType w:val="hybridMultilevel"/>
    <w:tmpl w:val="F3F0DD98"/>
    <w:lvl w:ilvl="0">
      <w:start w:val="1"/>
      <w:numFmt w:val="bullet"/>
      <w:lvlText w:val=""/>
      <w:lvlJc w:val="left"/>
      <w:pPr>
        <w:tabs>
          <w:tab w:val="num" w:pos="1500"/>
        </w:tabs>
        <w:ind w:left="1500" w:hanging="360"/>
      </w:pPr>
      <w:rPr>
        <w:rFonts w:ascii="Symbol" w:hAnsi="Symbol" w:hint="default"/>
      </w:rPr>
    </w:lvl>
    <w:lvl w:ilvl="1" w:tentative="1">
      <w:start w:val="1"/>
      <w:numFmt w:val="bullet"/>
      <w:lvlText w:val="o"/>
      <w:lvlJc w:val="left"/>
      <w:pPr>
        <w:tabs>
          <w:tab w:val="num" w:pos="2220"/>
        </w:tabs>
        <w:ind w:left="2220" w:hanging="360"/>
      </w:pPr>
      <w:rPr>
        <w:rFonts w:ascii="Courier New" w:hAnsi="Courier New" w:cs="Courier New" w:hint="default"/>
      </w:rPr>
    </w:lvl>
    <w:lvl w:ilvl="2" w:tentative="1">
      <w:start w:val="1"/>
      <w:numFmt w:val="bullet"/>
      <w:lvlText w:val=""/>
      <w:lvlJc w:val="left"/>
      <w:pPr>
        <w:tabs>
          <w:tab w:val="num" w:pos="2940"/>
        </w:tabs>
        <w:ind w:left="2940" w:hanging="360"/>
      </w:pPr>
      <w:rPr>
        <w:rFonts w:ascii="Wingdings" w:hAnsi="Wingdings" w:hint="default"/>
      </w:rPr>
    </w:lvl>
    <w:lvl w:ilvl="3" w:tentative="1">
      <w:start w:val="1"/>
      <w:numFmt w:val="bullet"/>
      <w:lvlText w:val=""/>
      <w:lvlJc w:val="left"/>
      <w:pPr>
        <w:tabs>
          <w:tab w:val="num" w:pos="3660"/>
        </w:tabs>
        <w:ind w:left="3660" w:hanging="360"/>
      </w:pPr>
      <w:rPr>
        <w:rFonts w:ascii="Symbol" w:hAnsi="Symbol" w:hint="default"/>
      </w:rPr>
    </w:lvl>
    <w:lvl w:ilvl="4" w:tentative="1">
      <w:start w:val="1"/>
      <w:numFmt w:val="bullet"/>
      <w:lvlText w:val="o"/>
      <w:lvlJc w:val="left"/>
      <w:pPr>
        <w:tabs>
          <w:tab w:val="num" w:pos="4380"/>
        </w:tabs>
        <w:ind w:left="4380" w:hanging="360"/>
      </w:pPr>
      <w:rPr>
        <w:rFonts w:ascii="Courier New" w:hAnsi="Courier New" w:cs="Courier New" w:hint="default"/>
      </w:rPr>
    </w:lvl>
    <w:lvl w:ilvl="5" w:tentative="1">
      <w:start w:val="1"/>
      <w:numFmt w:val="bullet"/>
      <w:lvlText w:val=""/>
      <w:lvlJc w:val="left"/>
      <w:pPr>
        <w:tabs>
          <w:tab w:val="num" w:pos="5100"/>
        </w:tabs>
        <w:ind w:left="5100" w:hanging="360"/>
      </w:pPr>
      <w:rPr>
        <w:rFonts w:ascii="Wingdings" w:hAnsi="Wingdings" w:hint="default"/>
      </w:rPr>
    </w:lvl>
    <w:lvl w:ilvl="6" w:tentative="1">
      <w:start w:val="1"/>
      <w:numFmt w:val="bullet"/>
      <w:lvlText w:val=""/>
      <w:lvlJc w:val="left"/>
      <w:pPr>
        <w:tabs>
          <w:tab w:val="num" w:pos="5820"/>
        </w:tabs>
        <w:ind w:left="5820" w:hanging="360"/>
      </w:pPr>
      <w:rPr>
        <w:rFonts w:ascii="Symbol" w:hAnsi="Symbol" w:hint="default"/>
      </w:rPr>
    </w:lvl>
    <w:lvl w:ilvl="7" w:tentative="1">
      <w:start w:val="1"/>
      <w:numFmt w:val="bullet"/>
      <w:lvlText w:val="o"/>
      <w:lvlJc w:val="left"/>
      <w:pPr>
        <w:tabs>
          <w:tab w:val="num" w:pos="6540"/>
        </w:tabs>
        <w:ind w:left="6540" w:hanging="360"/>
      </w:pPr>
      <w:rPr>
        <w:rFonts w:ascii="Courier New" w:hAnsi="Courier New" w:cs="Courier New" w:hint="default"/>
      </w:rPr>
    </w:lvl>
    <w:lvl w:ilvl="8" w:tentative="1">
      <w:start w:val="1"/>
      <w:numFmt w:val="bullet"/>
      <w:lvlText w:val=""/>
      <w:lvlJc w:val="left"/>
      <w:pPr>
        <w:tabs>
          <w:tab w:val="num" w:pos="7260"/>
        </w:tabs>
        <w:ind w:left="7260" w:hanging="360"/>
      </w:pPr>
      <w:rPr>
        <w:rFonts w:ascii="Wingdings" w:hAnsi="Wingdings" w:hint="default"/>
      </w:rPr>
    </w:lvl>
  </w:abstractNum>
  <w:abstractNum w:abstractNumId="14">
    <w:nsid w:val="2E385D16"/>
    <w:multiLevelType w:val="hybridMultilevel"/>
    <w:tmpl w:val="06B48976"/>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5">
    <w:nsid w:val="32133949"/>
    <w:multiLevelType w:val="hybridMultilevel"/>
    <w:tmpl w:val="EE1E777E"/>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6">
    <w:nsid w:val="329D65D6"/>
    <w:multiLevelType w:val="hybridMultilevel"/>
    <w:tmpl w:val="35AA028C"/>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7">
    <w:nsid w:val="38FD062F"/>
    <w:multiLevelType w:val="hybridMultilevel"/>
    <w:tmpl w:val="EEB071E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399D09AB"/>
    <w:multiLevelType w:val="multilevel"/>
    <w:tmpl w:val="247863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3A727494"/>
    <w:multiLevelType w:val="hybridMultilevel"/>
    <w:tmpl w:val="33C2E122"/>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0">
    <w:nsid w:val="41AB03BC"/>
    <w:multiLevelType w:val="hybridMultilevel"/>
    <w:tmpl w:val="CB806EC8"/>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1">
    <w:nsid w:val="434F798B"/>
    <w:multiLevelType w:val="hybridMultilevel"/>
    <w:tmpl w:val="4D5AF6FA"/>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2">
    <w:nsid w:val="45912058"/>
    <w:multiLevelType w:val="hybridMultilevel"/>
    <w:tmpl w:val="063EBFB2"/>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3">
    <w:nsid w:val="4A97385B"/>
    <w:multiLevelType w:val="multilevel"/>
    <w:tmpl w:val="6870F0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4B0E2065"/>
    <w:multiLevelType w:val="hybridMultilevel"/>
    <w:tmpl w:val="FDFAF3D2"/>
    <w:lvl w:ilvl="0">
      <w:start w:val="1"/>
      <w:numFmt w:val="bullet"/>
      <w:lvlText w:val=""/>
      <w:lvlJc w:val="left"/>
      <w:pPr>
        <w:tabs>
          <w:tab w:val="num" w:pos="1800"/>
        </w:tabs>
        <w:ind w:left="1800" w:hanging="360"/>
      </w:pPr>
      <w:rPr>
        <w:rFonts w:ascii="Symbol" w:hAnsi="Symbol" w:hint="default"/>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25">
    <w:nsid w:val="4D422FFD"/>
    <w:multiLevelType w:val="hybridMultilevel"/>
    <w:tmpl w:val="69FEA0E4"/>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6">
    <w:nsid w:val="4D5C0C3F"/>
    <w:multiLevelType w:val="hybridMultilevel"/>
    <w:tmpl w:val="C9A0A822"/>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7">
    <w:nsid w:val="503A1327"/>
    <w:multiLevelType w:val="hybridMultilevel"/>
    <w:tmpl w:val="D930ACDA"/>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8">
    <w:nsid w:val="50A4594D"/>
    <w:multiLevelType w:val="hybridMultilevel"/>
    <w:tmpl w:val="A8BA8802"/>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9">
    <w:nsid w:val="52B10A5B"/>
    <w:multiLevelType w:val="hybridMultilevel"/>
    <w:tmpl w:val="F4C6EC1C"/>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30">
    <w:nsid w:val="596E0CED"/>
    <w:multiLevelType w:val="hybridMultilevel"/>
    <w:tmpl w:val="37540DB0"/>
    <w:lvl w:ilvl="0">
      <w:start w:val="1"/>
      <w:numFmt w:val="bullet"/>
      <w:lvlText w:val=""/>
      <w:lvlJc w:val="left"/>
      <w:pPr>
        <w:tabs>
          <w:tab w:val="num" w:pos="1800"/>
        </w:tabs>
        <w:ind w:left="1800" w:hanging="360"/>
      </w:pPr>
      <w:rPr>
        <w:rFonts w:ascii="Symbol" w:hAnsi="Symbol" w:hint="default"/>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31">
    <w:nsid w:val="5ADB58CB"/>
    <w:multiLevelType w:val="hybridMultilevel"/>
    <w:tmpl w:val="A57AC9BA"/>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32">
    <w:nsid w:val="5B9A63D6"/>
    <w:multiLevelType w:val="hybridMultilevel"/>
    <w:tmpl w:val="707CAA4C"/>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33">
    <w:nsid w:val="60986D98"/>
    <w:multiLevelType w:val="hybridMultilevel"/>
    <w:tmpl w:val="5128DC8A"/>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658B58D1"/>
    <w:multiLevelType w:val="hybridMultilevel"/>
    <w:tmpl w:val="42041264"/>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35">
    <w:nsid w:val="68DA5096"/>
    <w:multiLevelType w:val="hybridMultilevel"/>
    <w:tmpl w:val="AC744B66"/>
    <w:lvl w:ilvl="0">
      <w:start w:val="1"/>
      <w:numFmt w:val="bullet"/>
      <w:lvlText w:val=""/>
      <w:lvlJc w:val="left"/>
      <w:pPr>
        <w:tabs>
          <w:tab w:val="num" w:pos="1500"/>
        </w:tabs>
        <w:ind w:left="1500" w:hanging="360"/>
      </w:pPr>
      <w:rPr>
        <w:rFonts w:ascii="Symbol" w:hAnsi="Symbol" w:hint="default"/>
      </w:rPr>
    </w:lvl>
    <w:lvl w:ilvl="1" w:tentative="1">
      <w:start w:val="1"/>
      <w:numFmt w:val="bullet"/>
      <w:lvlText w:val="o"/>
      <w:lvlJc w:val="left"/>
      <w:pPr>
        <w:tabs>
          <w:tab w:val="num" w:pos="2220"/>
        </w:tabs>
        <w:ind w:left="2220" w:hanging="360"/>
      </w:pPr>
      <w:rPr>
        <w:rFonts w:ascii="Courier New" w:hAnsi="Courier New" w:cs="Courier New" w:hint="default"/>
      </w:rPr>
    </w:lvl>
    <w:lvl w:ilvl="2" w:tentative="1">
      <w:start w:val="1"/>
      <w:numFmt w:val="bullet"/>
      <w:lvlText w:val=""/>
      <w:lvlJc w:val="left"/>
      <w:pPr>
        <w:tabs>
          <w:tab w:val="num" w:pos="2940"/>
        </w:tabs>
        <w:ind w:left="2940" w:hanging="360"/>
      </w:pPr>
      <w:rPr>
        <w:rFonts w:ascii="Wingdings" w:hAnsi="Wingdings" w:hint="default"/>
      </w:rPr>
    </w:lvl>
    <w:lvl w:ilvl="3" w:tentative="1">
      <w:start w:val="1"/>
      <w:numFmt w:val="bullet"/>
      <w:lvlText w:val=""/>
      <w:lvlJc w:val="left"/>
      <w:pPr>
        <w:tabs>
          <w:tab w:val="num" w:pos="3660"/>
        </w:tabs>
        <w:ind w:left="3660" w:hanging="360"/>
      </w:pPr>
      <w:rPr>
        <w:rFonts w:ascii="Symbol" w:hAnsi="Symbol" w:hint="default"/>
      </w:rPr>
    </w:lvl>
    <w:lvl w:ilvl="4" w:tentative="1">
      <w:start w:val="1"/>
      <w:numFmt w:val="bullet"/>
      <w:lvlText w:val="o"/>
      <w:lvlJc w:val="left"/>
      <w:pPr>
        <w:tabs>
          <w:tab w:val="num" w:pos="4380"/>
        </w:tabs>
        <w:ind w:left="4380" w:hanging="360"/>
      </w:pPr>
      <w:rPr>
        <w:rFonts w:ascii="Courier New" w:hAnsi="Courier New" w:cs="Courier New" w:hint="default"/>
      </w:rPr>
    </w:lvl>
    <w:lvl w:ilvl="5" w:tentative="1">
      <w:start w:val="1"/>
      <w:numFmt w:val="bullet"/>
      <w:lvlText w:val=""/>
      <w:lvlJc w:val="left"/>
      <w:pPr>
        <w:tabs>
          <w:tab w:val="num" w:pos="5100"/>
        </w:tabs>
        <w:ind w:left="5100" w:hanging="360"/>
      </w:pPr>
      <w:rPr>
        <w:rFonts w:ascii="Wingdings" w:hAnsi="Wingdings" w:hint="default"/>
      </w:rPr>
    </w:lvl>
    <w:lvl w:ilvl="6" w:tentative="1">
      <w:start w:val="1"/>
      <w:numFmt w:val="bullet"/>
      <w:lvlText w:val=""/>
      <w:lvlJc w:val="left"/>
      <w:pPr>
        <w:tabs>
          <w:tab w:val="num" w:pos="5820"/>
        </w:tabs>
        <w:ind w:left="5820" w:hanging="360"/>
      </w:pPr>
      <w:rPr>
        <w:rFonts w:ascii="Symbol" w:hAnsi="Symbol" w:hint="default"/>
      </w:rPr>
    </w:lvl>
    <w:lvl w:ilvl="7" w:tentative="1">
      <w:start w:val="1"/>
      <w:numFmt w:val="bullet"/>
      <w:lvlText w:val="o"/>
      <w:lvlJc w:val="left"/>
      <w:pPr>
        <w:tabs>
          <w:tab w:val="num" w:pos="6540"/>
        </w:tabs>
        <w:ind w:left="6540" w:hanging="360"/>
      </w:pPr>
      <w:rPr>
        <w:rFonts w:ascii="Courier New" w:hAnsi="Courier New" w:cs="Courier New" w:hint="default"/>
      </w:rPr>
    </w:lvl>
    <w:lvl w:ilvl="8" w:tentative="1">
      <w:start w:val="1"/>
      <w:numFmt w:val="bullet"/>
      <w:lvlText w:val=""/>
      <w:lvlJc w:val="left"/>
      <w:pPr>
        <w:tabs>
          <w:tab w:val="num" w:pos="7260"/>
        </w:tabs>
        <w:ind w:left="7260" w:hanging="360"/>
      </w:pPr>
      <w:rPr>
        <w:rFonts w:ascii="Wingdings" w:hAnsi="Wingdings" w:hint="default"/>
      </w:rPr>
    </w:lvl>
  </w:abstractNum>
  <w:abstractNum w:abstractNumId="36">
    <w:nsid w:val="72FB651B"/>
    <w:multiLevelType w:val="hybridMultilevel"/>
    <w:tmpl w:val="05665982"/>
    <w:lvl w:ilvl="0">
      <w:start w:val="1"/>
      <w:numFmt w:val="bullet"/>
      <w:pStyle w:val="bullets"/>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37">
    <w:nsid w:val="73346864"/>
    <w:multiLevelType w:val="hybridMultilevel"/>
    <w:tmpl w:val="06C6322C"/>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38">
    <w:nsid w:val="739F61EA"/>
    <w:multiLevelType w:val="hybridMultilevel"/>
    <w:tmpl w:val="4344FD86"/>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39">
    <w:nsid w:val="76C77CC5"/>
    <w:multiLevelType w:val="hybridMultilevel"/>
    <w:tmpl w:val="D144B9D2"/>
    <w:lvl w:ilvl="0">
      <w:start w:val="1"/>
      <w:numFmt w:val="bullet"/>
      <w:lvlText w:val=""/>
      <w:lvlJc w:val="left"/>
      <w:pPr>
        <w:ind w:left="198" w:hanging="360"/>
      </w:pPr>
      <w:rPr>
        <w:rFonts w:ascii="Symbol" w:hAnsi="Symbol" w:hint="default"/>
        <w:color w:val="14487C"/>
        <w:sz w:val="24"/>
      </w:rPr>
    </w:lvl>
    <w:lvl w:ilvl="1" w:tentative="1">
      <w:start w:val="1"/>
      <w:numFmt w:val="bullet"/>
      <w:lvlText w:val="o"/>
      <w:lvlJc w:val="left"/>
      <w:pPr>
        <w:ind w:left="918" w:hanging="360"/>
      </w:pPr>
      <w:rPr>
        <w:rFonts w:ascii="Courier New" w:hAnsi="Courier New" w:cs="Courier New" w:hint="default"/>
      </w:rPr>
    </w:lvl>
    <w:lvl w:ilvl="2" w:tentative="1">
      <w:start w:val="1"/>
      <w:numFmt w:val="bullet"/>
      <w:lvlText w:val=""/>
      <w:lvlJc w:val="left"/>
      <w:pPr>
        <w:ind w:left="1638" w:hanging="360"/>
      </w:pPr>
      <w:rPr>
        <w:rFonts w:ascii="Wingdings" w:hAnsi="Wingdings" w:hint="default"/>
      </w:rPr>
    </w:lvl>
    <w:lvl w:ilvl="3" w:tentative="1">
      <w:start w:val="1"/>
      <w:numFmt w:val="bullet"/>
      <w:lvlText w:val=""/>
      <w:lvlJc w:val="left"/>
      <w:pPr>
        <w:ind w:left="2358" w:hanging="360"/>
      </w:pPr>
      <w:rPr>
        <w:rFonts w:ascii="Symbol" w:hAnsi="Symbol" w:hint="default"/>
      </w:rPr>
    </w:lvl>
    <w:lvl w:ilvl="4" w:tentative="1">
      <w:start w:val="1"/>
      <w:numFmt w:val="bullet"/>
      <w:lvlText w:val="o"/>
      <w:lvlJc w:val="left"/>
      <w:pPr>
        <w:ind w:left="3078" w:hanging="360"/>
      </w:pPr>
      <w:rPr>
        <w:rFonts w:ascii="Courier New" w:hAnsi="Courier New" w:cs="Courier New" w:hint="default"/>
      </w:rPr>
    </w:lvl>
    <w:lvl w:ilvl="5" w:tentative="1">
      <w:start w:val="1"/>
      <w:numFmt w:val="bullet"/>
      <w:lvlText w:val=""/>
      <w:lvlJc w:val="left"/>
      <w:pPr>
        <w:ind w:left="3798" w:hanging="360"/>
      </w:pPr>
      <w:rPr>
        <w:rFonts w:ascii="Wingdings" w:hAnsi="Wingdings" w:hint="default"/>
      </w:rPr>
    </w:lvl>
    <w:lvl w:ilvl="6" w:tentative="1">
      <w:start w:val="1"/>
      <w:numFmt w:val="bullet"/>
      <w:lvlText w:val=""/>
      <w:lvlJc w:val="left"/>
      <w:pPr>
        <w:ind w:left="4518" w:hanging="360"/>
      </w:pPr>
      <w:rPr>
        <w:rFonts w:ascii="Symbol" w:hAnsi="Symbol" w:hint="default"/>
      </w:rPr>
    </w:lvl>
    <w:lvl w:ilvl="7" w:tentative="1">
      <w:start w:val="1"/>
      <w:numFmt w:val="bullet"/>
      <w:lvlText w:val="o"/>
      <w:lvlJc w:val="left"/>
      <w:pPr>
        <w:ind w:left="5238" w:hanging="360"/>
      </w:pPr>
      <w:rPr>
        <w:rFonts w:ascii="Courier New" w:hAnsi="Courier New" w:cs="Courier New" w:hint="default"/>
      </w:rPr>
    </w:lvl>
    <w:lvl w:ilvl="8" w:tentative="1">
      <w:start w:val="1"/>
      <w:numFmt w:val="bullet"/>
      <w:lvlText w:val=""/>
      <w:lvlJc w:val="left"/>
      <w:pPr>
        <w:ind w:left="5958" w:hanging="360"/>
      </w:pPr>
      <w:rPr>
        <w:rFonts w:ascii="Wingdings" w:hAnsi="Wingdings" w:hint="default"/>
      </w:rPr>
    </w:lvl>
  </w:abstractNum>
  <w:abstractNum w:abstractNumId="40">
    <w:nsid w:val="77567685"/>
    <w:multiLevelType w:val="hybridMultilevel"/>
    <w:tmpl w:val="1FEE564A"/>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41">
    <w:nsid w:val="77DC103B"/>
    <w:multiLevelType w:val="hybridMultilevel"/>
    <w:tmpl w:val="AB600B52"/>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42">
    <w:nsid w:val="7FE538FE"/>
    <w:multiLevelType w:val="hybridMultilevel"/>
    <w:tmpl w:val="30D832A6"/>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num w:numId="1" w16cid:durableId="1437287172">
    <w:abstractNumId w:val="18"/>
  </w:num>
  <w:num w:numId="2" w16cid:durableId="1054549899">
    <w:abstractNumId w:val="23"/>
  </w:num>
  <w:num w:numId="3" w16cid:durableId="958150638">
    <w:abstractNumId w:val="0"/>
    <w:lvlOverride w:ilvl="0">
      <w:lvl w:ilvl="0">
        <w:start w:val="0"/>
        <w:numFmt w:val="bullet"/>
        <w:lvlText w:val=""/>
        <w:legacy w:legacy="1" w:legacySpace="0" w:legacyIndent="360"/>
        <w:lvlJc w:val="left"/>
        <w:pPr>
          <w:ind w:left="720" w:hanging="360"/>
        </w:pPr>
        <w:rPr>
          <w:rFonts w:ascii="Symbol" w:hAnsi="Symbol" w:hint="default"/>
        </w:rPr>
      </w:lvl>
    </w:lvlOverride>
  </w:num>
  <w:num w:numId="4" w16cid:durableId="1892575095">
    <w:abstractNumId w:val="28"/>
  </w:num>
  <w:num w:numId="5" w16cid:durableId="260645177">
    <w:abstractNumId w:val="14"/>
  </w:num>
  <w:num w:numId="6" w16cid:durableId="1201239591">
    <w:abstractNumId w:val="31"/>
  </w:num>
  <w:num w:numId="7" w16cid:durableId="146940841">
    <w:abstractNumId w:val="37"/>
  </w:num>
  <w:num w:numId="8" w16cid:durableId="1127507971">
    <w:abstractNumId w:val="11"/>
  </w:num>
  <w:num w:numId="9" w16cid:durableId="49227460">
    <w:abstractNumId w:val="32"/>
  </w:num>
  <w:num w:numId="10" w16cid:durableId="1507865350">
    <w:abstractNumId w:val="27"/>
  </w:num>
  <w:num w:numId="11" w16cid:durableId="866141524">
    <w:abstractNumId w:val="16"/>
  </w:num>
  <w:num w:numId="12" w16cid:durableId="1875728895">
    <w:abstractNumId w:val="41"/>
  </w:num>
  <w:num w:numId="13" w16cid:durableId="1628006369">
    <w:abstractNumId w:val="26"/>
  </w:num>
  <w:num w:numId="14" w16cid:durableId="1658343594">
    <w:abstractNumId w:val="15"/>
  </w:num>
  <w:num w:numId="15" w16cid:durableId="1145463359">
    <w:abstractNumId w:val="22"/>
  </w:num>
  <w:num w:numId="16" w16cid:durableId="1435249328">
    <w:abstractNumId w:val="21"/>
  </w:num>
  <w:num w:numId="17" w16cid:durableId="1732581204">
    <w:abstractNumId w:val="36"/>
  </w:num>
  <w:num w:numId="18" w16cid:durableId="738868879">
    <w:abstractNumId w:val="40"/>
  </w:num>
  <w:num w:numId="19" w16cid:durableId="1039667513">
    <w:abstractNumId w:val="38"/>
  </w:num>
  <w:num w:numId="20" w16cid:durableId="1495874497">
    <w:abstractNumId w:val="25"/>
  </w:num>
  <w:num w:numId="21" w16cid:durableId="613944997">
    <w:abstractNumId w:val="20"/>
  </w:num>
  <w:num w:numId="22" w16cid:durableId="2011134102">
    <w:abstractNumId w:val="6"/>
  </w:num>
  <w:num w:numId="23" w16cid:durableId="1573738187">
    <w:abstractNumId w:val="34"/>
  </w:num>
  <w:num w:numId="24" w16cid:durableId="1277555">
    <w:abstractNumId w:val="29"/>
  </w:num>
  <w:num w:numId="25" w16cid:durableId="1633367502">
    <w:abstractNumId w:val="19"/>
  </w:num>
  <w:num w:numId="26" w16cid:durableId="1802068303">
    <w:abstractNumId w:val="13"/>
  </w:num>
  <w:num w:numId="27" w16cid:durableId="1739477624">
    <w:abstractNumId w:val="42"/>
  </w:num>
  <w:num w:numId="28" w16cid:durableId="203255666">
    <w:abstractNumId w:val="35"/>
  </w:num>
  <w:num w:numId="29" w16cid:durableId="1218710688">
    <w:abstractNumId w:val="12"/>
  </w:num>
  <w:num w:numId="30" w16cid:durableId="255019207">
    <w:abstractNumId w:val="24"/>
  </w:num>
  <w:num w:numId="31" w16cid:durableId="994601535">
    <w:abstractNumId w:val="4"/>
  </w:num>
  <w:num w:numId="32" w16cid:durableId="799961683">
    <w:abstractNumId w:val="1"/>
  </w:num>
  <w:num w:numId="33" w16cid:durableId="547886195">
    <w:abstractNumId w:val="7"/>
  </w:num>
  <w:num w:numId="34" w16cid:durableId="624119535">
    <w:abstractNumId w:val="30"/>
  </w:num>
  <w:num w:numId="35" w16cid:durableId="165506809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775751389">
    <w:abstractNumId w:val="9"/>
  </w:num>
  <w:num w:numId="37" w16cid:durableId="1880507630">
    <w:abstractNumId w:val="17"/>
  </w:num>
  <w:num w:numId="38" w16cid:durableId="337658767">
    <w:abstractNumId w:val="3"/>
  </w:num>
  <w:num w:numId="39" w16cid:durableId="291519302">
    <w:abstractNumId w:val="8"/>
  </w:num>
  <w:num w:numId="40" w16cid:durableId="798958593">
    <w:abstractNumId w:val="5"/>
  </w:num>
  <w:num w:numId="41" w16cid:durableId="87779303">
    <w:abstractNumId w:val="39"/>
  </w:num>
  <w:num w:numId="42" w16cid:durableId="1450121380">
    <w:abstractNumId w:val="2"/>
  </w:num>
  <w:num w:numId="43" w16cid:durableId="322516474">
    <w:abstractNumId w:val="10"/>
  </w:num>
  <w:num w:numId="44" w16cid:durableId="1741559914">
    <w:abstractNumId w:val="3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538"/>
    <w:rsid w:val="000324D8"/>
    <w:rsid w:val="00040160"/>
    <w:rsid w:val="00040922"/>
    <w:rsid w:val="00040D2C"/>
    <w:rsid w:val="00046FE2"/>
    <w:rsid w:val="000532C8"/>
    <w:rsid w:val="0006570F"/>
    <w:rsid w:val="000739A4"/>
    <w:rsid w:val="000840C7"/>
    <w:rsid w:val="000949D2"/>
    <w:rsid w:val="000B73B1"/>
    <w:rsid w:val="000B7714"/>
    <w:rsid w:val="000C0A1E"/>
    <w:rsid w:val="000D48FD"/>
    <w:rsid w:val="000D7569"/>
    <w:rsid w:val="000D7C58"/>
    <w:rsid w:val="000E1C64"/>
    <w:rsid w:val="000E36BA"/>
    <w:rsid w:val="000E7CF3"/>
    <w:rsid w:val="000F553F"/>
    <w:rsid w:val="000F6CA6"/>
    <w:rsid w:val="00100739"/>
    <w:rsid w:val="00107885"/>
    <w:rsid w:val="00114FC4"/>
    <w:rsid w:val="0012329C"/>
    <w:rsid w:val="001260B4"/>
    <w:rsid w:val="00134FA7"/>
    <w:rsid w:val="00137950"/>
    <w:rsid w:val="00152F29"/>
    <w:rsid w:val="00154358"/>
    <w:rsid w:val="0016663D"/>
    <w:rsid w:val="00167BE3"/>
    <w:rsid w:val="00171D7F"/>
    <w:rsid w:val="001722E1"/>
    <w:rsid w:val="0017237B"/>
    <w:rsid w:val="00172A34"/>
    <w:rsid w:val="00175B7B"/>
    <w:rsid w:val="0017723D"/>
    <w:rsid w:val="00181DF3"/>
    <w:rsid w:val="00185270"/>
    <w:rsid w:val="00187CFB"/>
    <w:rsid w:val="00193E2A"/>
    <w:rsid w:val="001A322F"/>
    <w:rsid w:val="001A3B5A"/>
    <w:rsid w:val="001A444E"/>
    <w:rsid w:val="001B7CE9"/>
    <w:rsid w:val="001C416C"/>
    <w:rsid w:val="001C42D8"/>
    <w:rsid w:val="001C4B5E"/>
    <w:rsid w:val="001D2477"/>
    <w:rsid w:val="001D495A"/>
    <w:rsid w:val="001E3E05"/>
    <w:rsid w:val="001F1997"/>
    <w:rsid w:val="001F59EE"/>
    <w:rsid w:val="00205D3E"/>
    <w:rsid w:val="00213BCA"/>
    <w:rsid w:val="00216419"/>
    <w:rsid w:val="00217502"/>
    <w:rsid w:val="00217C56"/>
    <w:rsid w:val="002259EF"/>
    <w:rsid w:val="00231EE9"/>
    <w:rsid w:val="00242ED1"/>
    <w:rsid w:val="00251B27"/>
    <w:rsid w:val="00251EBF"/>
    <w:rsid w:val="0025328C"/>
    <w:rsid w:val="00254069"/>
    <w:rsid w:val="00256561"/>
    <w:rsid w:val="002640E0"/>
    <w:rsid w:val="00265816"/>
    <w:rsid w:val="0027039C"/>
    <w:rsid w:val="002734E5"/>
    <w:rsid w:val="0027419B"/>
    <w:rsid w:val="002746DB"/>
    <w:rsid w:val="00280A64"/>
    <w:rsid w:val="00280CAF"/>
    <w:rsid w:val="00281073"/>
    <w:rsid w:val="00282F09"/>
    <w:rsid w:val="00285AD3"/>
    <w:rsid w:val="002A4B47"/>
    <w:rsid w:val="002B2607"/>
    <w:rsid w:val="002C6B45"/>
    <w:rsid w:val="002D0827"/>
    <w:rsid w:val="002D0C6C"/>
    <w:rsid w:val="002D14D8"/>
    <w:rsid w:val="002D15FC"/>
    <w:rsid w:val="002D4799"/>
    <w:rsid w:val="002E357B"/>
    <w:rsid w:val="002E3FA4"/>
    <w:rsid w:val="002E7C59"/>
    <w:rsid w:val="002F06A7"/>
    <w:rsid w:val="002F2D84"/>
    <w:rsid w:val="002F552B"/>
    <w:rsid w:val="002F5BB3"/>
    <w:rsid w:val="002F7854"/>
    <w:rsid w:val="00302419"/>
    <w:rsid w:val="0030768C"/>
    <w:rsid w:val="0031721D"/>
    <w:rsid w:val="0032277F"/>
    <w:rsid w:val="0032654A"/>
    <w:rsid w:val="003412A5"/>
    <w:rsid w:val="00343702"/>
    <w:rsid w:val="00345CE3"/>
    <w:rsid w:val="00350523"/>
    <w:rsid w:val="0035557E"/>
    <w:rsid w:val="00373D01"/>
    <w:rsid w:val="003740BC"/>
    <w:rsid w:val="003801A3"/>
    <w:rsid w:val="003820D3"/>
    <w:rsid w:val="00383D90"/>
    <w:rsid w:val="0038509D"/>
    <w:rsid w:val="003933F7"/>
    <w:rsid w:val="003A2364"/>
    <w:rsid w:val="003A551D"/>
    <w:rsid w:val="003A6004"/>
    <w:rsid w:val="003B42B3"/>
    <w:rsid w:val="003B6384"/>
    <w:rsid w:val="003B7D6B"/>
    <w:rsid w:val="003C4EBB"/>
    <w:rsid w:val="003D1531"/>
    <w:rsid w:val="003D1AC9"/>
    <w:rsid w:val="003D1D28"/>
    <w:rsid w:val="003E4EC6"/>
    <w:rsid w:val="003E527E"/>
    <w:rsid w:val="003E553E"/>
    <w:rsid w:val="003E7078"/>
    <w:rsid w:val="003F1421"/>
    <w:rsid w:val="003F3DF5"/>
    <w:rsid w:val="003F538E"/>
    <w:rsid w:val="004069C6"/>
    <w:rsid w:val="00411B7E"/>
    <w:rsid w:val="00411D11"/>
    <w:rsid w:val="00415E23"/>
    <w:rsid w:val="00423C0D"/>
    <w:rsid w:val="00424061"/>
    <w:rsid w:val="00424D6D"/>
    <w:rsid w:val="00443969"/>
    <w:rsid w:val="004469F7"/>
    <w:rsid w:val="00447D74"/>
    <w:rsid w:val="00450A74"/>
    <w:rsid w:val="0046292A"/>
    <w:rsid w:val="00465350"/>
    <w:rsid w:val="004744BA"/>
    <w:rsid w:val="004846BF"/>
    <w:rsid w:val="00491A66"/>
    <w:rsid w:val="004962D5"/>
    <w:rsid w:val="004A15A1"/>
    <w:rsid w:val="004B6AD4"/>
    <w:rsid w:val="004C47C2"/>
    <w:rsid w:val="004C6979"/>
    <w:rsid w:val="004D3E7A"/>
    <w:rsid w:val="004E0E7D"/>
    <w:rsid w:val="004F7B92"/>
    <w:rsid w:val="00511669"/>
    <w:rsid w:val="00523FA3"/>
    <w:rsid w:val="00526D67"/>
    <w:rsid w:val="00531E80"/>
    <w:rsid w:val="00544138"/>
    <w:rsid w:val="00554DEF"/>
    <w:rsid w:val="0056599C"/>
    <w:rsid w:val="00571AC0"/>
    <w:rsid w:val="0057509E"/>
    <w:rsid w:val="00584583"/>
    <w:rsid w:val="005A119D"/>
    <w:rsid w:val="005A4099"/>
    <w:rsid w:val="005A59A1"/>
    <w:rsid w:val="005C38B2"/>
    <w:rsid w:val="005C5029"/>
    <w:rsid w:val="005C55C2"/>
    <w:rsid w:val="005D4DF5"/>
    <w:rsid w:val="005D6ED9"/>
    <w:rsid w:val="005D721B"/>
    <w:rsid w:val="005F0651"/>
    <w:rsid w:val="005F1FC8"/>
    <w:rsid w:val="00600837"/>
    <w:rsid w:val="006023B1"/>
    <w:rsid w:val="00606E2B"/>
    <w:rsid w:val="00611D6B"/>
    <w:rsid w:val="00615D1E"/>
    <w:rsid w:val="00615D4F"/>
    <w:rsid w:val="00620F8E"/>
    <w:rsid w:val="006348DF"/>
    <w:rsid w:val="00635096"/>
    <w:rsid w:val="0063605B"/>
    <w:rsid w:val="0064391D"/>
    <w:rsid w:val="0064695A"/>
    <w:rsid w:val="00651E91"/>
    <w:rsid w:val="0066768B"/>
    <w:rsid w:val="0067255C"/>
    <w:rsid w:val="006830C1"/>
    <w:rsid w:val="00694C18"/>
    <w:rsid w:val="006974B3"/>
    <w:rsid w:val="006A26C6"/>
    <w:rsid w:val="006A58DE"/>
    <w:rsid w:val="006A6C67"/>
    <w:rsid w:val="006A7D5D"/>
    <w:rsid w:val="006B5E70"/>
    <w:rsid w:val="006E48F4"/>
    <w:rsid w:val="006F2EF5"/>
    <w:rsid w:val="006F4D6D"/>
    <w:rsid w:val="006F6EF8"/>
    <w:rsid w:val="00705086"/>
    <w:rsid w:val="00710F80"/>
    <w:rsid w:val="00732A78"/>
    <w:rsid w:val="007409EF"/>
    <w:rsid w:val="007446CF"/>
    <w:rsid w:val="00746A87"/>
    <w:rsid w:val="00754497"/>
    <w:rsid w:val="00754BE0"/>
    <w:rsid w:val="007666A0"/>
    <w:rsid w:val="00766EFB"/>
    <w:rsid w:val="007741AF"/>
    <w:rsid w:val="0078524B"/>
    <w:rsid w:val="00787C39"/>
    <w:rsid w:val="00793053"/>
    <w:rsid w:val="00795CEB"/>
    <w:rsid w:val="00795DF3"/>
    <w:rsid w:val="007A33C8"/>
    <w:rsid w:val="007A373C"/>
    <w:rsid w:val="007B225C"/>
    <w:rsid w:val="007B7A56"/>
    <w:rsid w:val="007C75B1"/>
    <w:rsid w:val="007D3DFC"/>
    <w:rsid w:val="007D7C9C"/>
    <w:rsid w:val="007E48B6"/>
    <w:rsid w:val="007F2C59"/>
    <w:rsid w:val="00801EE4"/>
    <w:rsid w:val="00805443"/>
    <w:rsid w:val="0080776D"/>
    <w:rsid w:val="00810145"/>
    <w:rsid w:val="008108FA"/>
    <w:rsid w:val="00810FF1"/>
    <w:rsid w:val="00822336"/>
    <w:rsid w:val="00823DFA"/>
    <w:rsid w:val="0082658B"/>
    <w:rsid w:val="008424CA"/>
    <w:rsid w:val="00843752"/>
    <w:rsid w:val="00872AFC"/>
    <w:rsid w:val="00876526"/>
    <w:rsid w:val="00885576"/>
    <w:rsid w:val="00885B09"/>
    <w:rsid w:val="00892400"/>
    <w:rsid w:val="008A209D"/>
    <w:rsid w:val="008A4911"/>
    <w:rsid w:val="008A624A"/>
    <w:rsid w:val="008B0E29"/>
    <w:rsid w:val="008B0EFA"/>
    <w:rsid w:val="008B30AB"/>
    <w:rsid w:val="008B3B7E"/>
    <w:rsid w:val="008C4B1A"/>
    <w:rsid w:val="008C5368"/>
    <w:rsid w:val="008D189F"/>
    <w:rsid w:val="008D5E7F"/>
    <w:rsid w:val="008F2743"/>
    <w:rsid w:val="008F4031"/>
    <w:rsid w:val="00901043"/>
    <w:rsid w:val="009051D2"/>
    <w:rsid w:val="00905DEF"/>
    <w:rsid w:val="00907392"/>
    <w:rsid w:val="00913B43"/>
    <w:rsid w:val="00924AFF"/>
    <w:rsid w:val="00930203"/>
    <w:rsid w:val="009311D2"/>
    <w:rsid w:val="00931275"/>
    <w:rsid w:val="00931598"/>
    <w:rsid w:val="009335E3"/>
    <w:rsid w:val="00936AC7"/>
    <w:rsid w:val="009652AB"/>
    <w:rsid w:val="009747E4"/>
    <w:rsid w:val="009765CB"/>
    <w:rsid w:val="009807AD"/>
    <w:rsid w:val="0098131B"/>
    <w:rsid w:val="00981612"/>
    <w:rsid w:val="00982646"/>
    <w:rsid w:val="00987F45"/>
    <w:rsid w:val="0099022F"/>
    <w:rsid w:val="00990E8D"/>
    <w:rsid w:val="009924B5"/>
    <w:rsid w:val="009950E0"/>
    <w:rsid w:val="009952E5"/>
    <w:rsid w:val="009A1674"/>
    <w:rsid w:val="009A7998"/>
    <w:rsid w:val="009C1501"/>
    <w:rsid w:val="009C666B"/>
    <w:rsid w:val="009C684F"/>
    <w:rsid w:val="009C7182"/>
    <w:rsid w:val="009C7D60"/>
    <w:rsid w:val="009D074C"/>
    <w:rsid w:val="009E2086"/>
    <w:rsid w:val="009E2D1C"/>
    <w:rsid w:val="009E2FDB"/>
    <w:rsid w:val="009E64F5"/>
    <w:rsid w:val="009F0A7E"/>
    <w:rsid w:val="009F2B4F"/>
    <w:rsid w:val="009F66B5"/>
    <w:rsid w:val="00A10D1B"/>
    <w:rsid w:val="00A20A7D"/>
    <w:rsid w:val="00A35D42"/>
    <w:rsid w:val="00A46CCF"/>
    <w:rsid w:val="00A55000"/>
    <w:rsid w:val="00A673AF"/>
    <w:rsid w:val="00A6780F"/>
    <w:rsid w:val="00A70426"/>
    <w:rsid w:val="00A725E8"/>
    <w:rsid w:val="00A73542"/>
    <w:rsid w:val="00A76D0D"/>
    <w:rsid w:val="00A84FBB"/>
    <w:rsid w:val="00A91E9A"/>
    <w:rsid w:val="00A93ED9"/>
    <w:rsid w:val="00AA1F72"/>
    <w:rsid w:val="00AB5F79"/>
    <w:rsid w:val="00AC3BC7"/>
    <w:rsid w:val="00AC425F"/>
    <w:rsid w:val="00AC6A64"/>
    <w:rsid w:val="00AC6A99"/>
    <w:rsid w:val="00AF5DE1"/>
    <w:rsid w:val="00B001B4"/>
    <w:rsid w:val="00B055EF"/>
    <w:rsid w:val="00B05672"/>
    <w:rsid w:val="00B14278"/>
    <w:rsid w:val="00B23285"/>
    <w:rsid w:val="00B23769"/>
    <w:rsid w:val="00B25627"/>
    <w:rsid w:val="00B32C0B"/>
    <w:rsid w:val="00B531F2"/>
    <w:rsid w:val="00B553F0"/>
    <w:rsid w:val="00B63ECB"/>
    <w:rsid w:val="00B73038"/>
    <w:rsid w:val="00B760F4"/>
    <w:rsid w:val="00B778F3"/>
    <w:rsid w:val="00B77C23"/>
    <w:rsid w:val="00B82974"/>
    <w:rsid w:val="00B86DFA"/>
    <w:rsid w:val="00B936D0"/>
    <w:rsid w:val="00B97CA5"/>
    <w:rsid w:val="00BA2E82"/>
    <w:rsid w:val="00BA44A2"/>
    <w:rsid w:val="00BC79AD"/>
    <w:rsid w:val="00BD3046"/>
    <w:rsid w:val="00BD3F21"/>
    <w:rsid w:val="00BE0419"/>
    <w:rsid w:val="00BE3600"/>
    <w:rsid w:val="00C01F6F"/>
    <w:rsid w:val="00C06A46"/>
    <w:rsid w:val="00C06AC6"/>
    <w:rsid w:val="00C149AB"/>
    <w:rsid w:val="00C25D22"/>
    <w:rsid w:val="00C27499"/>
    <w:rsid w:val="00C40694"/>
    <w:rsid w:val="00C63DB9"/>
    <w:rsid w:val="00C66290"/>
    <w:rsid w:val="00C70542"/>
    <w:rsid w:val="00C707BD"/>
    <w:rsid w:val="00C75CBF"/>
    <w:rsid w:val="00C926B0"/>
    <w:rsid w:val="00CC1CA7"/>
    <w:rsid w:val="00CC2894"/>
    <w:rsid w:val="00CC4899"/>
    <w:rsid w:val="00CD3E51"/>
    <w:rsid w:val="00CD77C3"/>
    <w:rsid w:val="00CE112C"/>
    <w:rsid w:val="00CE2C96"/>
    <w:rsid w:val="00CF1486"/>
    <w:rsid w:val="00CF2AB6"/>
    <w:rsid w:val="00CF5212"/>
    <w:rsid w:val="00D166D7"/>
    <w:rsid w:val="00D204BA"/>
    <w:rsid w:val="00D608DA"/>
    <w:rsid w:val="00D609EA"/>
    <w:rsid w:val="00D730BF"/>
    <w:rsid w:val="00D763D0"/>
    <w:rsid w:val="00D8271B"/>
    <w:rsid w:val="00D92F2F"/>
    <w:rsid w:val="00DB3739"/>
    <w:rsid w:val="00DB7C18"/>
    <w:rsid w:val="00DC67FE"/>
    <w:rsid w:val="00DC690B"/>
    <w:rsid w:val="00DC76C7"/>
    <w:rsid w:val="00DC7A33"/>
    <w:rsid w:val="00DD09F5"/>
    <w:rsid w:val="00DD3A4D"/>
    <w:rsid w:val="00DD4201"/>
    <w:rsid w:val="00DE0720"/>
    <w:rsid w:val="00DE5711"/>
    <w:rsid w:val="00DE574D"/>
    <w:rsid w:val="00DF38D5"/>
    <w:rsid w:val="00E00EA0"/>
    <w:rsid w:val="00E13764"/>
    <w:rsid w:val="00E21E9C"/>
    <w:rsid w:val="00E26758"/>
    <w:rsid w:val="00E34583"/>
    <w:rsid w:val="00E36779"/>
    <w:rsid w:val="00E4357B"/>
    <w:rsid w:val="00E463BC"/>
    <w:rsid w:val="00E571B5"/>
    <w:rsid w:val="00E63DE5"/>
    <w:rsid w:val="00E652F9"/>
    <w:rsid w:val="00E65A37"/>
    <w:rsid w:val="00E666EB"/>
    <w:rsid w:val="00E7010E"/>
    <w:rsid w:val="00E773C0"/>
    <w:rsid w:val="00E77B48"/>
    <w:rsid w:val="00E802AD"/>
    <w:rsid w:val="00E803FD"/>
    <w:rsid w:val="00E812DA"/>
    <w:rsid w:val="00E90219"/>
    <w:rsid w:val="00E91799"/>
    <w:rsid w:val="00E9545E"/>
    <w:rsid w:val="00E956CA"/>
    <w:rsid w:val="00EA34E3"/>
    <w:rsid w:val="00EA4CE0"/>
    <w:rsid w:val="00EB34DC"/>
    <w:rsid w:val="00EB3ADA"/>
    <w:rsid w:val="00EB6A4F"/>
    <w:rsid w:val="00EB7538"/>
    <w:rsid w:val="00EC3D7A"/>
    <w:rsid w:val="00EF1345"/>
    <w:rsid w:val="00EF1CE0"/>
    <w:rsid w:val="00EF3493"/>
    <w:rsid w:val="00EF3CCE"/>
    <w:rsid w:val="00EF6B26"/>
    <w:rsid w:val="00F10C5F"/>
    <w:rsid w:val="00F207A4"/>
    <w:rsid w:val="00F258D6"/>
    <w:rsid w:val="00F2790D"/>
    <w:rsid w:val="00F355AC"/>
    <w:rsid w:val="00F427DE"/>
    <w:rsid w:val="00F57B45"/>
    <w:rsid w:val="00F57FD3"/>
    <w:rsid w:val="00F64F10"/>
    <w:rsid w:val="00F71A5A"/>
    <w:rsid w:val="00F76470"/>
    <w:rsid w:val="00F769E0"/>
    <w:rsid w:val="00F76EBC"/>
    <w:rsid w:val="00F83808"/>
    <w:rsid w:val="00F861E8"/>
    <w:rsid w:val="00F93E09"/>
    <w:rsid w:val="00F975B2"/>
    <w:rsid w:val="00FA781B"/>
    <w:rsid w:val="00FB373C"/>
    <w:rsid w:val="00FC6BDE"/>
    <w:rsid w:val="00FD492D"/>
    <w:rsid w:val="00FE5C99"/>
    <w:rsid w:val="00FF200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49518F9"/>
  <w15:chartTrackingRefBased/>
  <w15:docId w15:val="{63C2EAA6-EF1D-4436-9438-8275226BB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46CCF"/>
    <w:rPr>
      <w:sz w:val="24"/>
      <w:szCs w:val="24"/>
    </w:rPr>
  </w:style>
  <w:style w:type="paragraph" w:styleId="Heading1">
    <w:name w:val="heading 1"/>
    <w:basedOn w:val="Normal"/>
    <w:next w:val="Normal"/>
    <w:link w:val="Heading1Char"/>
    <w:qFormat/>
    <w:rsid w:val="000C0A1E"/>
    <w:pPr>
      <w:keepNext/>
      <w:spacing w:before="240" w:after="60"/>
      <w:outlineLvl w:val="0"/>
    </w:pPr>
    <w:rPr>
      <w:rFonts w:ascii="Cambria" w:hAnsi="Cambria"/>
      <w:b/>
      <w:bCs/>
      <w:kern w:val="32"/>
      <w:sz w:val="32"/>
      <w:szCs w:val="32"/>
    </w:rPr>
  </w:style>
  <w:style w:type="paragraph" w:styleId="Heading3">
    <w:name w:val="heading 3"/>
    <w:aliases w:val="H3-Sec. Head"/>
    <w:basedOn w:val="Heading1"/>
    <w:next w:val="L1-FlLSp12"/>
    <w:link w:val="Heading3Char"/>
    <w:qFormat/>
    <w:rsid w:val="000C0A1E"/>
    <w:pPr>
      <w:tabs>
        <w:tab w:val="left" w:pos="1152"/>
      </w:tabs>
      <w:spacing w:before="0" w:after="360" w:line="360" w:lineRule="atLeast"/>
      <w:ind w:left="1152" w:hanging="1152"/>
      <w:outlineLvl w:val="2"/>
    </w:pPr>
    <w:rPr>
      <w:rFonts w:ascii="Franklin Gothic Medium" w:hAnsi="Franklin Gothic Medium"/>
      <w:bCs w:val="0"/>
      <w:color w:val="324162"/>
      <w:kern w:val="0"/>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B7538"/>
    <w:pPr>
      <w:spacing w:before="100" w:beforeAutospacing="1" w:after="100" w:afterAutospacing="1"/>
    </w:pPr>
  </w:style>
  <w:style w:type="paragraph" w:styleId="BodyText2">
    <w:name w:val="Body Text 2"/>
    <w:basedOn w:val="Normal"/>
    <w:rsid w:val="00CD77C3"/>
    <w:rPr>
      <w:szCs w:val="20"/>
    </w:rPr>
  </w:style>
  <w:style w:type="paragraph" w:styleId="BodyTextIndent">
    <w:name w:val="Body Text Indent"/>
    <w:basedOn w:val="Normal"/>
    <w:rsid w:val="00CD77C3"/>
    <w:pPr>
      <w:spacing w:after="120"/>
      <w:ind w:left="360"/>
    </w:pPr>
  </w:style>
  <w:style w:type="paragraph" w:styleId="BodyTextIndent2">
    <w:name w:val="Body Text Indent 2"/>
    <w:basedOn w:val="Normal"/>
    <w:rsid w:val="00CD77C3"/>
    <w:pPr>
      <w:spacing w:after="120" w:line="480" w:lineRule="auto"/>
      <w:ind w:left="360"/>
    </w:pPr>
  </w:style>
  <w:style w:type="character" w:styleId="HTMLAcronym">
    <w:name w:val="HTML Acronym"/>
    <w:basedOn w:val="DefaultParagraphFont"/>
    <w:rsid w:val="00A35D42"/>
  </w:style>
  <w:style w:type="paragraph" w:styleId="HTMLTopofForm">
    <w:name w:val="HTML Top of Form"/>
    <w:basedOn w:val="Normal"/>
    <w:next w:val="Normal"/>
    <w:hidden/>
    <w:rsid w:val="00584583"/>
    <w:pPr>
      <w:pBdr>
        <w:bottom w:val="single" w:sz="6" w:space="1" w:color="auto"/>
      </w:pBdr>
      <w:jc w:val="center"/>
    </w:pPr>
    <w:rPr>
      <w:rFonts w:ascii="Arial" w:hAnsi="Arial" w:cs="Arial"/>
      <w:vanish/>
      <w:sz w:val="16"/>
      <w:szCs w:val="16"/>
    </w:rPr>
  </w:style>
  <w:style w:type="paragraph" w:styleId="HTMLBottomofForm">
    <w:name w:val="HTML Bottom of Form"/>
    <w:basedOn w:val="Normal"/>
    <w:next w:val="Normal"/>
    <w:hidden/>
    <w:rsid w:val="00584583"/>
    <w:pPr>
      <w:pBdr>
        <w:top w:val="single" w:sz="6" w:space="1" w:color="auto"/>
      </w:pBdr>
      <w:jc w:val="center"/>
    </w:pPr>
    <w:rPr>
      <w:rFonts w:ascii="Arial" w:hAnsi="Arial" w:cs="Arial"/>
      <w:vanish/>
      <w:sz w:val="16"/>
      <w:szCs w:val="16"/>
    </w:rPr>
  </w:style>
  <w:style w:type="paragraph" w:styleId="BalloonText">
    <w:name w:val="Balloon Text"/>
    <w:basedOn w:val="Normal"/>
    <w:semiHidden/>
    <w:rsid w:val="00254069"/>
    <w:rPr>
      <w:rFonts w:ascii="Tahoma" w:hAnsi="Tahoma" w:cs="Tahoma"/>
      <w:sz w:val="16"/>
      <w:szCs w:val="16"/>
    </w:rPr>
  </w:style>
  <w:style w:type="table" w:styleId="TableGrid">
    <w:name w:val="Table Grid"/>
    <w:basedOn w:val="TableNormal"/>
    <w:rsid w:val="009F2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611D6B"/>
    <w:pPr>
      <w:tabs>
        <w:tab w:val="center" w:pos="4320"/>
        <w:tab w:val="right" w:pos="8640"/>
      </w:tabs>
    </w:pPr>
  </w:style>
  <w:style w:type="character" w:styleId="PageNumber">
    <w:name w:val="page number"/>
    <w:basedOn w:val="DefaultParagraphFont"/>
    <w:rsid w:val="00611D6B"/>
  </w:style>
  <w:style w:type="paragraph" w:customStyle="1" w:styleId="CM12">
    <w:name w:val="CM12"/>
    <w:basedOn w:val="Normal"/>
    <w:next w:val="Normal"/>
    <w:rsid w:val="00411B7E"/>
    <w:pPr>
      <w:widowControl w:val="0"/>
      <w:numPr>
        <w:numId w:val="33"/>
      </w:numPr>
      <w:tabs>
        <w:tab w:val="clear" w:pos="1080"/>
      </w:tabs>
      <w:autoSpaceDE w:val="0"/>
      <w:autoSpaceDN w:val="0"/>
      <w:adjustRightInd w:val="0"/>
      <w:spacing w:line="120" w:lineRule="atLeast"/>
      <w:ind w:left="0" w:firstLine="0"/>
    </w:pPr>
    <w:rPr>
      <w:rFonts w:ascii="OMDOK M+ Melior" w:hAnsi="OMDOK M+ Melior"/>
    </w:rPr>
  </w:style>
  <w:style w:type="paragraph" w:customStyle="1" w:styleId="bullets">
    <w:name w:val="bullets"/>
    <w:basedOn w:val="Normal"/>
    <w:rsid w:val="00411B7E"/>
    <w:pPr>
      <w:numPr>
        <w:numId w:val="17"/>
      </w:numPr>
      <w:spacing w:after="240"/>
    </w:pPr>
    <w:rPr>
      <w:sz w:val="22"/>
      <w:szCs w:val="20"/>
    </w:rPr>
  </w:style>
  <w:style w:type="character" w:styleId="CommentReference">
    <w:name w:val="annotation reference"/>
    <w:uiPriority w:val="99"/>
    <w:rsid w:val="00411B7E"/>
    <w:rPr>
      <w:sz w:val="16"/>
      <w:szCs w:val="16"/>
    </w:rPr>
  </w:style>
  <w:style w:type="paragraph" w:styleId="CommentText">
    <w:name w:val="annotation text"/>
    <w:basedOn w:val="Normal"/>
    <w:link w:val="CommentTextChar"/>
    <w:uiPriority w:val="99"/>
    <w:rsid w:val="00411B7E"/>
    <w:rPr>
      <w:sz w:val="20"/>
      <w:szCs w:val="20"/>
    </w:rPr>
  </w:style>
  <w:style w:type="character" w:customStyle="1" w:styleId="CommentTextChar">
    <w:name w:val="Comment Text Char"/>
    <w:basedOn w:val="DefaultParagraphFont"/>
    <w:link w:val="CommentText"/>
    <w:uiPriority w:val="99"/>
    <w:rsid w:val="00411B7E"/>
  </w:style>
  <w:style w:type="paragraph" w:styleId="PlainText">
    <w:name w:val="Plain Text"/>
    <w:basedOn w:val="Normal"/>
    <w:link w:val="PlainTextChar"/>
    <w:uiPriority w:val="99"/>
    <w:unhideWhenUsed/>
    <w:rsid w:val="00E7010E"/>
    <w:rPr>
      <w:rFonts w:ascii="Calibri" w:eastAsia="Calibri" w:hAnsi="Calibri"/>
      <w:sz w:val="22"/>
      <w:szCs w:val="21"/>
    </w:rPr>
  </w:style>
  <w:style w:type="character" w:customStyle="1" w:styleId="PlainTextChar">
    <w:name w:val="Plain Text Char"/>
    <w:link w:val="PlainText"/>
    <w:uiPriority w:val="99"/>
    <w:rsid w:val="00E7010E"/>
    <w:rPr>
      <w:rFonts w:ascii="Calibri" w:eastAsia="Calibri" w:hAnsi="Calibri"/>
      <w:sz w:val="22"/>
      <w:szCs w:val="21"/>
    </w:rPr>
  </w:style>
  <w:style w:type="paragraph" w:styleId="ListParagraph">
    <w:name w:val="List Paragraph"/>
    <w:basedOn w:val="Normal"/>
    <w:uiPriority w:val="34"/>
    <w:qFormat/>
    <w:rsid w:val="00F57B45"/>
    <w:pPr>
      <w:spacing w:after="200" w:line="276" w:lineRule="auto"/>
      <w:ind w:left="720"/>
      <w:contextualSpacing/>
    </w:pPr>
    <w:rPr>
      <w:rFonts w:ascii="Calibri" w:eastAsia="Calibri" w:hAnsi="Calibri"/>
      <w:sz w:val="22"/>
      <w:szCs w:val="22"/>
    </w:rPr>
  </w:style>
  <w:style w:type="character" w:customStyle="1" w:styleId="bodytextChar">
    <w:name w:val="body text Char"/>
    <w:aliases w:val="body text1 Char Char Char Char,body tx Char,bt Char,bt Char Char Char Char,bt Char1,flush Char,flush Char Char Char,indent Char,memo Char,memo body text Char,memo body text Char Char"/>
    <w:link w:val="BodyText1"/>
    <w:locked/>
    <w:rsid w:val="00F57B45"/>
    <w:rPr>
      <w:lang w:val="x-none" w:eastAsia="x-none"/>
    </w:rPr>
  </w:style>
  <w:style w:type="paragraph" w:customStyle="1" w:styleId="BodyText1">
    <w:name w:val="Body Text1"/>
    <w:basedOn w:val="Normal"/>
    <w:link w:val="bodytextChar"/>
    <w:rsid w:val="00F57B45"/>
    <w:pPr>
      <w:spacing w:before="120" w:after="120"/>
      <w:ind w:firstLine="720"/>
    </w:pPr>
    <w:rPr>
      <w:sz w:val="20"/>
      <w:szCs w:val="20"/>
      <w:lang w:val="x-none" w:eastAsia="x-none"/>
    </w:rPr>
  </w:style>
  <w:style w:type="character" w:customStyle="1" w:styleId="bodytextpsgChar">
    <w:name w:val="body text_psg Char"/>
    <w:link w:val="bodytextpsg"/>
    <w:locked/>
    <w:rsid w:val="00E90219"/>
  </w:style>
  <w:style w:type="paragraph" w:customStyle="1" w:styleId="bodytextpsg">
    <w:name w:val="body text_psg"/>
    <w:basedOn w:val="Normal"/>
    <w:link w:val="bodytextpsgChar"/>
    <w:rsid w:val="00E90219"/>
    <w:pPr>
      <w:spacing w:after="240" w:line="320" w:lineRule="exact"/>
      <w:ind w:firstLine="720"/>
    </w:pPr>
    <w:rPr>
      <w:sz w:val="20"/>
      <w:szCs w:val="20"/>
    </w:rPr>
  </w:style>
  <w:style w:type="paragraph" w:styleId="FootnoteText">
    <w:name w:val="footnote text"/>
    <w:basedOn w:val="Normal"/>
    <w:link w:val="FootnoteTextChar"/>
    <w:rsid w:val="00981612"/>
    <w:pPr>
      <w:widowControl w:val="0"/>
    </w:pPr>
    <w:rPr>
      <w:snapToGrid w:val="0"/>
      <w:sz w:val="20"/>
      <w:szCs w:val="20"/>
    </w:rPr>
  </w:style>
  <w:style w:type="character" w:customStyle="1" w:styleId="FootnoteTextChar">
    <w:name w:val="Footnote Text Char"/>
    <w:link w:val="FootnoteText"/>
    <w:rsid w:val="00981612"/>
    <w:rPr>
      <w:snapToGrid w:val="0"/>
    </w:rPr>
  </w:style>
  <w:style w:type="character" w:styleId="FootnoteReference">
    <w:name w:val="footnote reference"/>
    <w:rsid w:val="00981612"/>
    <w:rPr>
      <w:vertAlign w:val="superscript"/>
    </w:rPr>
  </w:style>
  <w:style w:type="paragraph" w:styleId="BodyText">
    <w:name w:val="Body Text"/>
    <w:basedOn w:val="Normal"/>
    <w:link w:val="BodyTextChar0"/>
    <w:rsid w:val="0099022F"/>
    <w:pPr>
      <w:spacing w:after="120"/>
    </w:pPr>
  </w:style>
  <w:style w:type="character" w:customStyle="1" w:styleId="BodyTextChar0">
    <w:name w:val="Body Text Char"/>
    <w:link w:val="BodyText"/>
    <w:rsid w:val="0099022F"/>
    <w:rPr>
      <w:sz w:val="24"/>
      <w:szCs w:val="24"/>
    </w:rPr>
  </w:style>
  <w:style w:type="paragraph" w:styleId="CommentSubject">
    <w:name w:val="annotation subject"/>
    <w:basedOn w:val="CommentText"/>
    <w:next w:val="CommentText"/>
    <w:link w:val="CommentSubjectChar"/>
    <w:rsid w:val="002D0C6C"/>
    <w:rPr>
      <w:b/>
      <w:bCs/>
    </w:rPr>
  </w:style>
  <w:style w:type="character" w:customStyle="1" w:styleId="CommentSubjectChar">
    <w:name w:val="Comment Subject Char"/>
    <w:link w:val="CommentSubject"/>
    <w:rsid w:val="002D0C6C"/>
    <w:rPr>
      <w:b/>
      <w:bCs/>
    </w:rPr>
  </w:style>
  <w:style w:type="character" w:styleId="Hyperlink">
    <w:name w:val="Hyperlink"/>
    <w:uiPriority w:val="99"/>
    <w:unhideWhenUsed/>
    <w:rsid w:val="00F76EBC"/>
    <w:rPr>
      <w:color w:val="0000FF"/>
      <w:u w:val="single"/>
    </w:rPr>
  </w:style>
  <w:style w:type="character" w:customStyle="1" w:styleId="cit-last-page">
    <w:name w:val="cit-last-page"/>
    <w:rsid w:val="00F76EBC"/>
  </w:style>
  <w:style w:type="paragraph" w:styleId="NoSpacing">
    <w:name w:val="No Spacing"/>
    <w:uiPriority w:val="1"/>
    <w:qFormat/>
    <w:rsid w:val="00606E2B"/>
    <w:rPr>
      <w:rFonts w:eastAsia="Calibri"/>
      <w:sz w:val="24"/>
      <w:szCs w:val="22"/>
    </w:rPr>
  </w:style>
  <w:style w:type="character" w:customStyle="1" w:styleId="st">
    <w:name w:val="st"/>
    <w:rsid w:val="001A322F"/>
  </w:style>
  <w:style w:type="paragraph" w:customStyle="1" w:styleId="Default">
    <w:name w:val="Default"/>
    <w:rsid w:val="009335E3"/>
    <w:pPr>
      <w:autoSpaceDE w:val="0"/>
      <w:autoSpaceDN w:val="0"/>
      <w:adjustRightInd w:val="0"/>
    </w:pPr>
    <w:rPr>
      <w:rFonts w:eastAsia="Calibri"/>
      <w:color w:val="000000"/>
      <w:sz w:val="24"/>
      <w:szCs w:val="24"/>
    </w:rPr>
  </w:style>
  <w:style w:type="character" w:customStyle="1" w:styleId="Heading3Char">
    <w:name w:val="Heading 3 Char"/>
    <w:aliases w:val="H3-Sec. Head Char"/>
    <w:link w:val="Heading3"/>
    <w:rsid w:val="000C0A1E"/>
    <w:rPr>
      <w:rFonts w:ascii="Franklin Gothic Medium" w:hAnsi="Franklin Gothic Medium"/>
      <w:b/>
      <w:color w:val="324162"/>
      <w:sz w:val="28"/>
    </w:rPr>
  </w:style>
  <w:style w:type="paragraph" w:customStyle="1" w:styleId="L1-FlLSp12">
    <w:name w:val="L1-FlL Sp&amp;1/2"/>
    <w:basedOn w:val="Normal"/>
    <w:link w:val="L1-FlLSp12Char"/>
    <w:rsid w:val="000C0A1E"/>
    <w:pPr>
      <w:tabs>
        <w:tab w:val="left" w:pos="1152"/>
      </w:tabs>
      <w:spacing w:line="360" w:lineRule="atLeast"/>
    </w:pPr>
    <w:rPr>
      <w:rFonts w:ascii="Garamond" w:hAnsi="Garamond"/>
      <w:szCs w:val="20"/>
    </w:rPr>
  </w:style>
  <w:style w:type="paragraph" w:customStyle="1" w:styleId="N1-1stBullet">
    <w:name w:val="N1-1st Bullet"/>
    <w:basedOn w:val="Normal"/>
    <w:link w:val="N1-1stBulletChar"/>
    <w:rsid w:val="000C0A1E"/>
    <w:pPr>
      <w:numPr>
        <w:numId w:val="40"/>
      </w:numPr>
      <w:spacing w:after="240" w:line="240" w:lineRule="atLeast"/>
    </w:pPr>
    <w:rPr>
      <w:rFonts w:ascii="Garamond" w:hAnsi="Garamond"/>
      <w:szCs w:val="20"/>
    </w:rPr>
  </w:style>
  <w:style w:type="character" w:customStyle="1" w:styleId="L1-FlLSp12Char">
    <w:name w:val="L1-FlL Sp&amp;1/2 Char"/>
    <w:link w:val="L1-FlLSp12"/>
    <w:rsid w:val="000C0A1E"/>
    <w:rPr>
      <w:rFonts w:ascii="Garamond" w:hAnsi="Garamond"/>
      <w:sz w:val="24"/>
    </w:rPr>
  </w:style>
  <w:style w:type="character" w:customStyle="1" w:styleId="N1-1stBulletChar">
    <w:name w:val="N1-1st Bullet Char"/>
    <w:link w:val="N1-1stBullet"/>
    <w:locked/>
    <w:rsid w:val="000C0A1E"/>
    <w:rPr>
      <w:rFonts w:ascii="Garamond" w:hAnsi="Garamond"/>
      <w:sz w:val="24"/>
    </w:rPr>
  </w:style>
  <w:style w:type="paragraph" w:customStyle="1" w:styleId="N1-1stBullet-Last">
    <w:name w:val="N1-1st Bullet-Last"/>
    <w:basedOn w:val="N1-1stBullet"/>
    <w:qFormat/>
    <w:rsid w:val="000C0A1E"/>
    <w:pPr>
      <w:spacing w:before="120" w:line="240" w:lineRule="auto"/>
      <w:ind w:left="346" w:hanging="288"/>
    </w:pPr>
    <w:rPr>
      <w:rFonts w:ascii="Times New Roman" w:eastAsia="MS Mincho" w:hAnsi="Times New Roman"/>
      <w:color w:val="000000"/>
      <w:szCs w:val="24"/>
    </w:rPr>
  </w:style>
  <w:style w:type="character" w:customStyle="1" w:styleId="Heading1Char">
    <w:name w:val="Heading 1 Char"/>
    <w:link w:val="Heading1"/>
    <w:rsid w:val="000C0A1E"/>
    <w:rPr>
      <w:rFonts w:ascii="Cambria" w:eastAsia="Times New Roman" w:hAnsi="Cambria" w:cs="Times New Roman"/>
      <w:b/>
      <w:bCs/>
      <w:kern w:val="32"/>
      <w:sz w:val="32"/>
      <w:szCs w:val="32"/>
    </w:rPr>
  </w:style>
  <w:style w:type="paragraph" w:customStyle="1" w:styleId="RF-Reference">
    <w:name w:val="RF-Reference"/>
    <w:basedOn w:val="Normal"/>
    <w:rsid w:val="004F7B92"/>
    <w:pPr>
      <w:spacing w:line="240" w:lineRule="exact"/>
      <w:ind w:left="216" w:hanging="216"/>
    </w:pPr>
    <w:rPr>
      <w:rFonts w:ascii="Garamond" w:hAnsi="Garamond"/>
      <w:szCs w:val="20"/>
    </w:rPr>
  </w:style>
  <w:style w:type="paragraph" w:styleId="Revision">
    <w:name w:val="Revision"/>
    <w:hidden/>
    <w:uiPriority w:val="99"/>
    <w:semiHidden/>
    <w:rsid w:val="009C1501"/>
    <w:rPr>
      <w:sz w:val="24"/>
      <w:szCs w:val="24"/>
    </w:rPr>
  </w:style>
  <w:style w:type="paragraph" w:styleId="Header">
    <w:name w:val="header"/>
    <w:basedOn w:val="Normal"/>
    <w:link w:val="HeaderChar"/>
    <w:rsid w:val="00F93E09"/>
    <w:pPr>
      <w:tabs>
        <w:tab w:val="center" w:pos="4680"/>
        <w:tab w:val="right" w:pos="9360"/>
      </w:tabs>
    </w:pPr>
  </w:style>
  <w:style w:type="character" w:customStyle="1" w:styleId="HeaderChar">
    <w:name w:val="Header Char"/>
    <w:link w:val="Header"/>
    <w:rsid w:val="00F93E0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514c19e2-07bf-48e3-9638-5047d7891ec3" xsi:nil="true"/>
    <_ip_UnifiedCompliancePolicyProperties xmlns="http://schemas.microsoft.com/sharepoint/v3" xsi:nil="true"/>
    <lcf76f155ced4ddcb4097134ff3c332f xmlns="b5022a83-871b-4d85-bad2-b5228c1d406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B717CE75F4DEC4D80522EAF4278EB71" ma:contentTypeVersion="14" ma:contentTypeDescription="Create a new document." ma:contentTypeScope="" ma:versionID="cd986c7d05876b042ad691679a941980">
  <xsd:schema xmlns:xsd="http://www.w3.org/2001/XMLSchema" xmlns:xs="http://www.w3.org/2001/XMLSchema" xmlns:p="http://schemas.microsoft.com/office/2006/metadata/properties" xmlns:ns1="http://schemas.microsoft.com/sharepoint/v3" xmlns:ns2="b5022a83-871b-4d85-bad2-b5228c1d4066" xmlns:ns3="514c19e2-07bf-48e3-9638-5047d7891ec3" targetNamespace="http://schemas.microsoft.com/office/2006/metadata/properties" ma:root="true" ma:fieldsID="907c56896ea33cb7389ee4d4a38e2cde" ns1:_="" ns2:_="" ns3:_="">
    <xsd:import namespace="http://schemas.microsoft.com/sharepoint/v3"/>
    <xsd:import namespace="b5022a83-871b-4d85-bad2-b5228c1d4066"/>
    <xsd:import namespace="514c19e2-07bf-48e3-9638-5047d7891ec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lcf76f155ced4ddcb4097134ff3c332f" minOccurs="0"/>
                <xsd:element ref="ns3:TaxCatchAll"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5022a83-871b-4d85-bad2-b5228c1d40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79cf906e-e933-44a8-8421-1c91ada6f1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14c19e2-07bf-48e3-9638-5047d7891ec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2ad9954-4acc-4350-8437-45cd4bfe2891}" ma:internalName="TaxCatchAll" ma:showField="CatchAllData" ma:web="514c19e2-07bf-48e3-9638-5047d7891ec3">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F3984C-864F-4099-AF93-F260F20F36BD}">
  <ds:schemaRefs>
    <ds:schemaRef ds:uri="http://schemas.microsoft.com/sharepoint/v3"/>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schemas.microsoft.com/office/2006/metadata/properties"/>
    <ds:schemaRef ds:uri="b5022a83-871b-4d85-bad2-b5228c1d4066"/>
    <ds:schemaRef ds:uri="514c19e2-07bf-48e3-9638-5047d7891ec3"/>
    <ds:schemaRef ds:uri="http://www.w3.org/XML/1998/namespace"/>
    <ds:schemaRef ds:uri="http://purl.org/dc/dcmitype/"/>
  </ds:schemaRefs>
</ds:datastoreItem>
</file>

<file path=customXml/itemProps2.xml><?xml version="1.0" encoding="utf-8"?>
<ds:datastoreItem xmlns:ds="http://schemas.openxmlformats.org/officeDocument/2006/customXml" ds:itemID="{5AFA1AEF-7309-452D-A8D3-D42C6A30CD90}">
  <ds:schemaRefs>
    <ds:schemaRef ds:uri="http://schemas.microsoft.com/sharepoint/v3/contenttype/forms"/>
  </ds:schemaRefs>
</ds:datastoreItem>
</file>

<file path=customXml/itemProps3.xml><?xml version="1.0" encoding="utf-8"?>
<ds:datastoreItem xmlns:ds="http://schemas.openxmlformats.org/officeDocument/2006/customXml" ds:itemID="{B9C70E50-43B4-4694-A5C1-C38C46BE53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5022a83-871b-4d85-bad2-b5228c1d4066"/>
    <ds:schemaRef ds:uri="514c19e2-07bf-48e3-9638-5047d7891e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333E9A0-2D55-4EF6-B804-16B8C7098B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1423</Words>
  <Characters>8092</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[Insert Title of Information Collection]</vt:lpstr>
    </vt:vector>
  </TitlesOfParts>
  <Company>US FDA</Company>
  <LinksUpToDate>false</LinksUpToDate>
  <CharactersWithSpaces>9497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[Insert Title of Information Collection]</dc:title>
  <dc:creator>jcapezzu</dc:creator>
  <cp:lastModifiedBy>Capezzuto, JonnaLynn</cp:lastModifiedBy>
  <cp:revision>2</cp:revision>
  <cp:lastPrinted>2010-12-08T19:17:00Z</cp:lastPrinted>
  <dcterms:created xsi:type="dcterms:W3CDTF">2023-11-02T19:58:00Z</dcterms:created>
  <dcterms:modified xsi:type="dcterms:W3CDTF">2023-11-02T19:58:00Z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0x0101006B717CE75F4DEC4D80522EAF4278EB71</vt:lpwstr>
  </property>
  <property fmtid="{D5CDD505-2E9C-101B-9397-08002B2CF9AE}" pid="3" name="MediaServiceImageTags">
    <vt:lpwstr/>
  </property>
</Properties>
</file>