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C0B" w:rsidP="00431BB3" w14:paraId="2288E875" w14:textId="77777777">
      <w:pPr>
        <w:pStyle w:val="BodyText"/>
        <w:jc w:val="center"/>
      </w:pPr>
      <w:r>
        <w:t>UNITED STATES FOOD &amp; DRUG ADMINISTRATION</w:t>
      </w:r>
    </w:p>
    <w:p w:rsidR="00636C13" w:rsidP="00431BB3" w14:paraId="286A48F5" w14:textId="77777777">
      <w:pPr>
        <w:jc w:val="center"/>
        <w:rPr>
          <w:sz w:val="24"/>
        </w:rPr>
      </w:pPr>
    </w:p>
    <w:p w:rsidR="00966459" w:rsidRPr="00E74592" w:rsidP="00431BB3" w14:paraId="15CB9033" w14:textId="1F7E3950">
      <w:pPr>
        <w:jc w:val="center"/>
        <w:rPr>
          <w:sz w:val="24"/>
          <w:szCs w:val="24"/>
        </w:rPr>
      </w:pPr>
      <w:r w:rsidRPr="004718DF">
        <w:rPr>
          <w:i/>
          <w:iCs/>
          <w:sz w:val="24"/>
          <w:szCs w:val="24"/>
        </w:rPr>
        <w:t>Institutional Review Board Waiver or Alteration of Informed Consent for Minimal Risk Clinical Investigations</w:t>
      </w:r>
      <w:r w:rsidRPr="00E74592">
        <w:rPr>
          <w:sz w:val="24"/>
          <w:szCs w:val="24"/>
        </w:rPr>
        <w:t xml:space="preserve"> </w:t>
      </w:r>
      <w:r>
        <w:rPr>
          <w:sz w:val="24"/>
          <w:szCs w:val="24"/>
        </w:rPr>
        <w:t xml:space="preserve">– </w:t>
      </w:r>
      <w:r w:rsidRPr="004718DF">
        <w:rPr>
          <w:i/>
          <w:iCs/>
          <w:sz w:val="24"/>
          <w:szCs w:val="24"/>
        </w:rPr>
        <w:t>Final Rule</w:t>
      </w:r>
    </w:p>
    <w:p w:rsidR="000935F9" w:rsidP="00431BB3" w14:paraId="54E18B27" w14:textId="77777777">
      <w:pPr>
        <w:jc w:val="center"/>
        <w:rPr>
          <w:sz w:val="24"/>
        </w:rPr>
      </w:pPr>
    </w:p>
    <w:p w:rsidR="00431BB3" w:rsidRPr="00431BB3" w:rsidP="00431BB3" w14:paraId="381BAC26" w14:textId="007F3F06">
      <w:pPr>
        <w:jc w:val="center"/>
        <w:rPr>
          <w:sz w:val="24"/>
          <w:u w:val="single"/>
        </w:rPr>
      </w:pPr>
      <w:r w:rsidRPr="00431BB3">
        <w:rPr>
          <w:sz w:val="24"/>
          <w:u w:val="single"/>
        </w:rPr>
        <w:t>OMB Control No. 0910-0130 – Revision</w:t>
      </w:r>
    </w:p>
    <w:p w:rsidR="00431BB3" w:rsidP="00431BB3" w14:paraId="4A0CECA5" w14:textId="77777777">
      <w:pPr>
        <w:jc w:val="center"/>
        <w:rPr>
          <w:sz w:val="24"/>
        </w:rPr>
      </w:pPr>
    </w:p>
    <w:p w:rsidR="00C57C0B" w:rsidRPr="00431BB3" w:rsidP="00431BB3" w14:paraId="2288E878" w14:textId="0AAA9F1A">
      <w:pPr>
        <w:rPr>
          <w:sz w:val="24"/>
        </w:rPr>
      </w:pPr>
      <w:r>
        <w:rPr>
          <w:sz w:val="24"/>
        </w:rPr>
        <w:t>SUPPORTING STATEMENT</w:t>
      </w:r>
      <w:r w:rsidR="00636C13">
        <w:rPr>
          <w:sz w:val="24"/>
        </w:rPr>
        <w:t xml:space="preserve"> </w:t>
      </w:r>
      <w:r w:rsidR="00431BB3">
        <w:rPr>
          <w:sz w:val="24"/>
        </w:rPr>
        <w:t xml:space="preserve">– </w:t>
      </w:r>
      <w:r>
        <w:rPr>
          <w:b/>
          <w:sz w:val="24"/>
        </w:rPr>
        <w:t>Part A:</w:t>
      </w:r>
      <w:r>
        <w:rPr>
          <w:b/>
          <w:spacing w:val="56"/>
          <w:sz w:val="24"/>
        </w:rPr>
        <w:t xml:space="preserve"> </w:t>
      </w:r>
      <w:r>
        <w:rPr>
          <w:b/>
          <w:sz w:val="24"/>
        </w:rPr>
        <w:t>Justification</w:t>
      </w:r>
      <w:r w:rsidR="00431BB3">
        <w:rPr>
          <w:b/>
          <w:sz w:val="24"/>
        </w:rPr>
        <w:t>:</w:t>
      </w:r>
    </w:p>
    <w:p w:rsidR="00C57C0B" w:rsidP="00431BB3" w14:paraId="2288E879" w14:textId="2E863090">
      <w:pPr>
        <w:pStyle w:val="BodyText"/>
        <w:rPr>
          <w:b/>
        </w:rPr>
      </w:pPr>
    </w:p>
    <w:p w:rsidR="00431BB3" w:rsidP="00431BB3" w14:paraId="6D01DB87" w14:textId="77777777">
      <w:pPr>
        <w:pStyle w:val="BodyText"/>
        <w:rPr>
          <w:b/>
        </w:rPr>
      </w:pPr>
    </w:p>
    <w:p w:rsidR="00C57C0B" w:rsidP="00431BB3" w14:paraId="2288E87A" w14:textId="77777777">
      <w:pPr>
        <w:pStyle w:val="ListParagraph"/>
        <w:numPr>
          <w:ilvl w:val="0"/>
          <w:numId w:val="2"/>
        </w:numPr>
        <w:tabs>
          <w:tab w:val="left" w:pos="421"/>
        </w:tabs>
        <w:ind w:left="0" w:hanging="300"/>
        <w:rPr>
          <w:sz w:val="24"/>
          <w:u w:val="none"/>
        </w:rPr>
      </w:pPr>
      <w:r>
        <w:rPr>
          <w:sz w:val="24"/>
        </w:rPr>
        <w:t>Circumstances Making the Collection of Information</w:t>
      </w:r>
      <w:r>
        <w:rPr>
          <w:spacing w:val="-2"/>
          <w:sz w:val="24"/>
        </w:rPr>
        <w:t xml:space="preserve"> </w:t>
      </w:r>
      <w:r>
        <w:rPr>
          <w:sz w:val="24"/>
        </w:rPr>
        <w:t>Necessary</w:t>
      </w:r>
    </w:p>
    <w:p w:rsidR="00C57C0B" w:rsidP="00431BB3" w14:paraId="2288E87B" w14:textId="77777777">
      <w:pPr>
        <w:pStyle w:val="BodyText"/>
        <w:rPr>
          <w:sz w:val="16"/>
        </w:rPr>
      </w:pPr>
    </w:p>
    <w:p w:rsidR="00C57C0B" w:rsidP="00431BB3" w14:paraId="2288E87C" w14:textId="09FC368D">
      <w:pPr>
        <w:pStyle w:val="BodyText"/>
      </w:pPr>
      <w:r>
        <w:t xml:space="preserve">This information collection supports Food and Drug Administration (FDA, the </w:t>
      </w:r>
      <w:r w:rsidR="00636C13">
        <w:t>a</w:t>
      </w:r>
      <w:r>
        <w:t xml:space="preserve">gency, us or we) </w:t>
      </w:r>
      <w:r w:rsidR="000C5433">
        <w:t xml:space="preserve">rulemaking RIN 0910-AH52.  </w:t>
      </w:r>
      <w:r>
        <w:t xml:space="preserve"> The regulations in 21 CFR parts 50 and 56 </w:t>
      </w:r>
      <w:r w:rsidRPr="00937F8E" w:rsidR="00937F8E">
        <w:t xml:space="preserve">are intended to protect the rights and safety of human subjects involved in FDA-regulated clinical investigations </w:t>
      </w:r>
      <w:r w:rsidR="00937F8E">
        <w:t xml:space="preserve">and </w:t>
      </w:r>
      <w:r>
        <w:t>apply to all clinical investigations regulated by FDA under sections 505(i) or 520(g) of the Federal Food, Drug, and Cosmetic Act (the act) (21 U.S.C. 355(i) or 360j(g)), as well as clinical investigations that support applications for research or marketing permits for products regulated by FDA, including food and color additives, drugs for human use, medical devices for human use, biological products for human use, and electronic products.</w:t>
      </w:r>
    </w:p>
    <w:p w:rsidR="006801BA" w:rsidP="00431BB3" w14:paraId="075D8F27" w14:textId="5B3EB272">
      <w:pPr>
        <w:pStyle w:val="BodyText"/>
      </w:pPr>
    </w:p>
    <w:p w:rsidR="00EE4C35" w:rsidP="00431BB3" w14:paraId="3146CD3C" w14:textId="54AF6E11">
      <w:pPr>
        <w:pStyle w:val="BodyText"/>
      </w:pPr>
      <w:r w:rsidRPr="00D40CC8">
        <w:t xml:space="preserve">We are revising the information collection to include an </w:t>
      </w:r>
      <w:r w:rsidRPr="00D40CC8" w:rsidR="000E5FAE">
        <w:t>ex</w:t>
      </w:r>
      <w:r w:rsidR="00A945BC">
        <w:t>cep</w:t>
      </w:r>
      <w:r w:rsidRPr="00D40CC8" w:rsidR="000E5FAE">
        <w:t xml:space="preserve">tion </w:t>
      </w:r>
      <w:r w:rsidR="00290A6F">
        <w:t xml:space="preserve">from the requirement to obtain informed </w:t>
      </w:r>
      <w:r w:rsidRPr="00D40CC8" w:rsidR="000E5FAE">
        <w:t xml:space="preserve">consent for </w:t>
      </w:r>
      <w:r w:rsidRPr="00D40CC8" w:rsidR="00D40CC8">
        <w:t xml:space="preserve">certain </w:t>
      </w:r>
      <w:r w:rsidRPr="00D40CC8" w:rsidR="000E5FAE">
        <w:t>minimal risk clinical investigations.</w:t>
      </w:r>
      <w:r w:rsidR="00431BB3">
        <w:t xml:space="preserve">  </w:t>
      </w:r>
      <w:r w:rsidR="00167039">
        <w:t xml:space="preserve">The 21st Century Cures Act (Cures Act) (Pub. L. 114-255, section </w:t>
      </w:r>
      <w:r w:rsidR="00215326">
        <w:t>3024</w:t>
      </w:r>
      <w:r w:rsidR="00167039">
        <w:t xml:space="preserve">) amended </w:t>
      </w:r>
      <w:r w:rsidR="00AC1F6E">
        <w:t>s</w:t>
      </w:r>
      <w:r w:rsidRPr="00BD4776" w:rsidR="00AC1F6E">
        <w:t xml:space="preserve">ections 505(i)(4) and 520(g)(3) of the </w:t>
      </w:r>
      <w:r w:rsidRPr="00286087" w:rsidR="002425A9">
        <w:t>Federal Food, Drug, and Cosmetic Act</w:t>
      </w:r>
      <w:r w:rsidR="00167039">
        <w:t xml:space="preserve"> </w:t>
      </w:r>
      <w:r w:rsidR="00EE3C1B">
        <w:t xml:space="preserve">to </w:t>
      </w:r>
      <w:r w:rsidR="00DE3F06">
        <w:t>provide</w:t>
      </w:r>
      <w:r w:rsidRPr="00EE4C35">
        <w:t xml:space="preserve"> </w:t>
      </w:r>
      <w:r w:rsidRPr="00DE3F06" w:rsidR="00DE3F06">
        <w:t>FDA with the authority to permit an exception from informed consent requirements when the proposed clinical testing poses no more than minimal risk to the human subject and includes appropriate safeguards to protect the rights, safety, and welfare of the human subject.</w:t>
      </w:r>
      <w:r w:rsidR="004D318F">
        <w:t xml:space="preserve">  </w:t>
      </w:r>
      <w:r w:rsidRPr="00EE4C35">
        <w:t>The rule will permit an IRB to waive or alter certain informed consent elements or to waive the requirement to obtain informed consent, under limited conditions, for minimal risk clinical investigations.</w:t>
      </w:r>
      <w:r>
        <w:t xml:space="preserve"> </w:t>
      </w:r>
    </w:p>
    <w:p w:rsidR="00CB5BE2" w:rsidP="00431BB3" w14:paraId="1EA2C351" w14:textId="5797BB50">
      <w:pPr>
        <w:pStyle w:val="BodyText"/>
      </w:pPr>
    </w:p>
    <w:p w:rsidR="00636C13" w:rsidP="00431BB3" w14:paraId="1FD0469F" w14:textId="691E762A">
      <w:pPr>
        <w:pStyle w:val="BodyText"/>
      </w:pPr>
      <w:r>
        <w:t xml:space="preserve">Unlike current FDA regulations, which </w:t>
      </w:r>
      <w:r w:rsidR="006D11F0">
        <w:t>allow for exception from the general requirements for informed consent only in life-threatening situations when certain conditions are met (21 CFR 50.23) or when the requirements for emergency research are met (21 CFR 50.24)</w:t>
      </w:r>
      <w:r w:rsidR="006B2505">
        <w:t xml:space="preserve">, </w:t>
      </w:r>
      <w:r w:rsidR="00DA6953">
        <w:t>HHS</w:t>
      </w:r>
      <w:r w:rsidR="00730977">
        <w:t>’s</w:t>
      </w:r>
      <w:r w:rsidR="00DA6953">
        <w:t xml:space="preserve"> “</w:t>
      </w:r>
      <w:r w:rsidRPr="004D318F" w:rsidR="00DA6953">
        <w:rPr>
          <w:i/>
          <w:iCs/>
        </w:rPr>
        <w:t>Federal Policy for the Protection of Human Subjects</w:t>
      </w:r>
      <w:r w:rsidR="00DA6953">
        <w:t>” (the Common Rule</w:t>
      </w:r>
      <w:r w:rsidR="00D17DA5">
        <w:t xml:space="preserve"> </w:t>
      </w:r>
      <w:r w:rsidRPr="00E74592" w:rsidR="00D17DA5">
        <w:t>(</w:t>
      </w:r>
      <w:r w:rsidRPr="006C600D" w:rsidR="00A2157D">
        <w:t>82 FR 7149, January 19, 2017</w:t>
      </w:r>
      <w:r w:rsidRPr="00E74592" w:rsidR="00D17DA5">
        <w:t>))</w:t>
      </w:r>
      <w:r w:rsidR="00DA6953">
        <w:t xml:space="preserve"> </w:t>
      </w:r>
      <w:r w:rsidR="00B5178D">
        <w:t xml:space="preserve">allows a waiver of informed consent for minimal risk research if specific criteria are met. </w:t>
      </w:r>
      <w:r w:rsidR="004D318F">
        <w:t xml:space="preserve"> </w:t>
      </w:r>
      <w:r w:rsidR="008901BF">
        <w:t xml:space="preserve">The Common Rule </w:t>
      </w:r>
      <w:r w:rsidR="00E41487">
        <w:t>criteria</w:t>
      </w:r>
      <w:r w:rsidR="008901BF">
        <w:t xml:space="preserve"> ha</w:t>
      </w:r>
      <w:r w:rsidR="0030201C">
        <w:t>ve</w:t>
      </w:r>
      <w:r w:rsidR="008901BF">
        <w:t xml:space="preserve"> been adopted and successfully employed for decades by numerous Federal agencies.</w:t>
      </w:r>
      <w:r>
        <w:rPr>
          <w:rStyle w:val="FootnoteReference"/>
        </w:rPr>
        <w:footnoteReference w:id="2"/>
      </w:r>
      <w:r w:rsidR="004D318F">
        <w:t xml:space="preserve">  </w:t>
      </w:r>
      <w:r w:rsidRPr="2D44E87F" w:rsidR="003D319D">
        <w:t xml:space="preserve">We believe that </w:t>
      </w:r>
      <w:r w:rsidR="00275571">
        <w:t>the final rule</w:t>
      </w:r>
      <w:r w:rsidRPr="2D44E87F" w:rsidR="003D319D">
        <w:t xml:space="preserve"> </w:t>
      </w:r>
      <w:r w:rsidR="003D319D">
        <w:t>will both safeguard the rights, safety, and welfare of human subjects and enable minimal risk clinical investigations that may facilitate medical advances and promote public health</w:t>
      </w:r>
      <w:r w:rsidR="00B02A55">
        <w:t>.</w:t>
      </w:r>
      <w:r w:rsidR="003D319D">
        <w:t xml:space="preserve"> In addition, b</w:t>
      </w:r>
      <w:r w:rsidRPr="004D2370" w:rsidR="004D2370">
        <w:t xml:space="preserve">ecause some clinical research is subject to both FDA and the HHS requirements, </w:t>
      </w:r>
      <w:r w:rsidR="004F0A4E">
        <w:t xml:space="preserve">we believe that </w:t>
      </w:r>
      <w:r w:rsidRPr="004D2370" w:rsidR="004D2370">
        <w:t xml:space="preserve">harmonization of </w:t>
      </w:r>
      <w:r w:rsidR="004F0A4E">
        <w:t xml:space="preserve">our </w:t>
      </w:r>
      <w:r w:rsidRPr="004D2370" w:rsidR="004D2370">
        <w:t xml:space="preserve">waiver provision </w:t>
      </w:r>
      <w:r w:rsidR="00B70426">
        <w:t>for minimal risk clinical investigations will help to</w:t>
      </w:r>
      <w:r w:rsidRPr="004D2370" w:rsidR="004D2370">
        <w:t xml:space="preserve"> provide clarity for and reduce burden on the research community</w:t>
      </w:r>
      <w:r w:rsidR="00B70426">
        <w:t xml:space="preserve"> by </w:t>
      </w:r>
      <w:r w:rsidRPr="00A30729" w:rsidR="00B70426">
        <w:t>minimiz</w:t>
      </w:r>
      <w:r w:rsidR="00B70426">
        <w:t>ing</w:t>
      </w:r>
      <w:r w:rsidRPr="00A30729" w:rsidR="00B70426">
        <w:t xml:space="preserve"> the need for separate processes for review of such requests</w:t>
      </w:r>
      <w:r w:rsidRPr="004D2370" w:rsidR="004D2370">
        <w:t>.</w:t>
      </w:r>
    </w:p>
    <w:p w:rsidR="00431BB3" w:rsidP="00431BB3" w14:paraId="72BC3026" w14:textId="77777777">
      <w:pPr>
        <w:pStyle w:val="BodyText"/>
      </w:pPr>
    </w:p>
    <w:p w:rsidR="00C57C0B" w:rsidP="00431BB3" w14:paraId="2288E88B" w14:textId="74155DCB">
      <w:pPr>
        <w:pStyle w:val="BodyText"/>
      </w:pPr>
      <w:r>
        <w:t xml:space="preserve">We </w:t>
      </w:r>
      <w:r w:rsidR="00ED12F3">
        <w:t xml:space="preserve">therefore </w:t>
      </w:r>
      <w:r>
        <w:t xml:space="preserve">request OMB approval of the information collection provisions found in </w:t>
      </w:r>
      <w:r w:rsidR="00AB2F6B">
        <w:t>the amended regulations</w:t>
      </w:r>
      <w:r w:rsidR="00636C13">
        <w:t xml:space="preserve"> and</w:t>
      </w:r>
      <w:r w:rsidR="003A3038">
        <w:t xml:space="preserve"> </w:t>
      </w:r>
      <w:r w:rsidR="00365F10">
        <w:t>discussed in this supporting statement</w:t>
      </w:r>
      <w:r w:rsidR="00636C13">
        <w:t>.</w:t>
      </w:r>
    </w:p>
    <w:p w:rsidR="00636C13" w:rsidP="00431BB3" w14:paraId="6ED293E1" w14:textId="77777777">
      <w:pPr>
        <w:pStyle w:val="BodyText"/>
      </w:pPr>
    </w:p>
    <w:p w:rsidR="00C57C0B" w:rsidP="00431BB3" w14:paraId="2288E88C" w14:textId="77777777">
      <w:pPr>
        <w:pStyle w:val="ListParagraph"/>
        <w:numPr>
          <w:ilvl w:val="0"/>
          <w:numId w:val="2"/>
        </w:numPr>
        <w:tabs>
          <w:tab w:val="left" w:pos="420"/>
        </w:tabs>
        <w:ind w:left="0" w:hanging="300"/>
        <w:rPr>
          <w:sz w:val="24"/>
          <w:u w:val="none"/>
        </w:rPr>
      </w:pPr>
      <w:r>
        <w:rPr>
          <w:sz w:val="24"/>
        </w:rPr>
        <w:t>Purpose and Use of the Information</w:t>
      </w:r>
      <w:r>
        <w:rPr>
          <w:spacing w:val="-3"/>
          <w:sz w:val="24"/>
        </w:rPr>
        <w:t xml:space="preserve"> </w:t>
      </w:r>
      <w:r>
        <w:rPr>
          <w:sz w:val="24"/>
        </w:rPr>
        <w:t>Collection</w:t>
      </w:r>
    </w:p>
    <w:p w:rsidR="00C57C0B" w:rsidP="00431BB3" w14:paraId="2288E88D" w14:textId="77777777">
      <w:pPr>
        <w:pStyle w:val="BodyText"/>
        <w:rPr>
          <w:sz w:val="16"/>
        </w:rPr>
      </w:pPr>
    </w:p>
    <w:p w:rsidR="00C57C0B" w:rsidP="00431BB3" w14:paraId="2288E88E" w14:textId="666C8217">
      <w:pPr>
        <w:pStyle w:val="BodyText"/>
      </w:pPr>
      <w:r>
        <w:t>The information collection is used to protect the rights</w:t>
      </w:r>
      <w:r w:rsidR="00A70E2E">
        <w:t xml:space="preserve"> </w:t>
      </w:r>
      <w:r w:rsidR="00A8222A">
        <w:t>and welfare</w:t>
      </w:r>
      <w:r>
        <w:t xml:space="preserve"> of human subjects involved in FDA-regulated research. We also use the information collection to support conducting audit inspections of IRBs to determine whether IRBs and clinical investigators are providing adequate protections to human subjects participating in clinical research we regulate.</w:t>
      </w:r>
    </w:p>
    <w:p w:rsidR="00C57C0B" w:rsidP="00431BB3" w14:paraId="2288E89D" w14:textId="77777777">
      <w:pPr>
        <w:pStyle w:val="BodyText"/>
      </w:pPr>
    </w:p>
    <w:p w:rsidR="00C57C0B" w:rsidP="00431BB3" w14:paraId="2288E89E" w14:textId="0B10A56E">
      <w:pPr>
        <w:pStyle w:val="BodyText"/>
      </w:pPr>
      <w:r>
        <w:t xml:space="preserve">The IRB must maintain documentation of its activities as required under 21 CFR 56.115. </w:t>
      </w:r>
      <w:r w:rsidR="004D318F">
        <w:t xml:space="preserve"> </w:t>
      </w:r>
      <w:r>
        <w:t>The records are maintained by IRBs to document that the IRB’s responsibilities to protect the rights and welfare of human subjects in compliance with FDA regulations have been fulfilled and must be made accessible for inspection and copying to FDA at reasonable times and in a reasonable manner.</w:t>
      </w:r>
    </w:p>
    <w:p w:rsidR="003F77F0" w:rsidP="00431BB3" w14:paraId="2FD17151" w14:textId="77777777">
      <w:pPr>
        <w:pStyle w:val="BodyText"/>
      </w:pPr>
    </w:p>
    <w:p w:rsidR="00C57C0B" w:rsidP="00431BB3" w14:paraId="2288E8A0" w14:textId="77777777">
      <w:pPr>
        <w:pStyle w:val="ListParagraph"/>
        <w:numPr>
          <w:ilvl w:val="0"/>
          <w:numId w:val="2"/>
        </w:numPr>
        <w:tabs>
          <w:tab w:val="left" w:pos="421"/>
        </w:tabs>
        <w:ind w:left="0" w:hanging="300"/>
        <w:rPr>
          <w:sz w:val="24"/>
          <w:u w:val="none"/>
        </w:rPr>
      </w:pPr>
      <w:r>
        <w:rPr>
          <w:sz w:val="24"/>
        </w:rPr>
        <w:t>Use of Improved Information Technology and Burden</w:t>
      </w:r>
      <w:r>
        <w:rPr>
          <w:spacing w:val="-1"/>
          <w:sz w:val="24"/>
        </w:rPr>
        <w:t xml:space="preserve"> </w:t>
      </w:r>
      <w:r>
        <w:rPr>
          <w:sz w:val="24"/>
        </w:rPr>
        <w:t>Reductions</w:t>
      </w:r>
    </w:p>
    <w:p w:rsidR="00C57C0B" w:rsidP="00431BB3" w14:paraId="2288E8A1" w14:textId="77777777">
      <w:pPr>
        <w:pStyle w:val="BodyText"/>
        <w:rPr>
          <w:sz w:val="16"/>
        </w:rPr>
      </w:pPr>
    </w:p>
    <w:p w:rsidR="00C57C0B" w:rsidP="00431BB3" w14:paraId="2288E8A2" w14:textId="77777777">
      <w:pPr>
        <w:pStyle w:val="BodyText"/>
      </w:pPr>
      <w:r>
        <w:t>The regulations impose no technological burdens nor require standardized formats for respondents, and we encourage the use of automated technology.</w:t>
      </w:r>
    </w:p>
    <w:p w:rsidR="00C57C0B" w:rsidP="00431BB3" w14:paraId="2288E8A3" w14:textId="77777777">
      <w:pPr>
        <w:pStyle w:val="BodyText"/>
      </w:pPr>
    </w:p>
    <w:p w:rsidR="00C57C0B" w:rsidP="00431BB3" w14:paraId="2288E8A4" w14:textId="77777777">
      <w:pPr>
        <w:pStyle w:val="ListParagraph"/>
        <w:numPr>
          <w:ilvl w:val="0"/>
          <w:numId w:val="2"/>
        </w:numPr>
        <w:tabs>
          <w:tab w:val="left" w:pos="421"/>
        </w:tabs>
        <w:ind w:left="0" w:hanging="300"/>
        <w:rPr>
          <w:sz w:val="24"/>
          <w:u w:val="none"/>
        </w:rPr>
      </w:pPr>
      <w:r>
        <w:rPr>
          <w:sz w:val="24"/>
        </w:rPr>
        <w:t>Efforts to Identify Duplication and Use of Similar</w:t>
      </w:r>
      <w:r>
        <w:rPr>
          <w:spacing w:val="-1"/>
          <w:sz w:val="24"/>
        </w:rPr>
        <w:t xml:space="preserve"> </w:t>
      </w:r>
      <w:r>
        <w:rPr>
          <w:sz w:val="24"/>
        </w:rPr>
        <w:t>Information</w:t>
      </w:r>
    </w:p>
    <w:p w:rsidR="00C57C0B" w:rsidP="00431BB3" w14:paraId="2288E8A5" w14:textId="77777777">
      <w:pPr>
        <w:pStyle w:val="BodyText"/>
        <w:rPr>
          <w:sz w:val="16"/>
        </w:rPr>
      </w:pPr>
    </w:p>
    <w:p w:rsidR="00C57C0B" w:rsidP="00431BB3" w14:paraId="2288E8A6" w14:textId="77777777">
      <w:pPr>
        <w:pStyle w:val="BodyText"/>
      </w:pPr>
      <w:r>
        <w:t>We are unaware of duplicative information collection, although we maintain ICRs that</w:t>
      </w:r>
    </w:p>
    <w:p w:rsidR="00C57C0B" w:rsidP="00431BB3" w14:paraId="2288E8A7" w14:textId="71A4E5A1">
      <w:pPr>
        <w:pStyle w:val="BodyText"/>
      </w:pPr>
      <w:r>
        <w:t xml:space="preserve">cover other information collection burden for sponsors of and investigators conducting FDA- regulated studies involving human subjects. </w:t>
      </w:r>
      <w:r w:rsidR="004D318F">
        <w:t xml:space="preserve"> </w:t>
      </w:r>
      <w:r>
        <w:t>For example, our regulations in 21 CFR part 312 include investigator recordkeeping requirements for studies conducted under an investigational new drug application (IND) (21 CFR § 312.62).</w:t>
      </w:r>
      <w:r w:rsidR="000F2033">
        <w:t xml:space="preserve">  </w:t>
      </w:r>
      <w:r w:rsidR="0015497A">
        <w:t>The collections of i</w:t>
      </w:r>
      <w:r>
        <w:t>nformation in part 312 are currently approved under OMB Control No. 0910-0014.</w:t>
      </w:r>
      <w:r w:rsidR="000F2033">
        <w:t xml:space="preserve">  </w:t>
      </w:r>
      <w:r>
        <w:t xml:space="preserve">Similarly, </w:t>
      </w:r>
      <w:r w:rsidR="009B2B5A">
        <w:t xml:space="preserve">the collections of information pertaining to </w:t>
      </w:r>
      <w:r>
        <w:t>recordkeeping requirements for investigators conducting studies under an investigational device exemption (IDE) in 21 CFR § 812.140 are currently approved under OMB Control N</w:t>
      </w:r>
      <w:r w:rsidR="00F05C47">
        <w:t xml:space="preserve">o. </w:t>
      </w:r>
      <w:r>
        <w:t>0910-0078.</w:t>
      </w:r>
    </w:p>
    <w:p w:rsidR="00C57C0B" w:rsidP="00431BB3" w14:paraId="2288E8A8" w14:textId="77777777">
      <w:pPr>
        <w:pStyle w:val="BodyText"/>
      </w:pPr>
    </w:p>
    <w:p w:rsidR="00C57C0B" w:rsidP="00431BB3" w14:paraId="2288E8A9" w14:textId="77777777">
      <w:pPr>
        <w:pStyle w:val="ListParagraph"/>
        <w:numPr>
          <w:ilvl w:val="0"/>
          <w:numId w:val="2"/>
        </w:numPr>
        <w:tabs>
          <w:tab w:val="left" w:pos="421"/>
        </w:tabs>
        <w:ind w:left="0" w:hanging="300"/>
        <w:rPr>
          <w:sz w:val="24"/>
          <w:u w:val="none"/>
        </w:rPr>
      </w:pPr>
      <w:r>
        <w:rPr>
          <w:sz w:val="24"/>
        </w:rPr>
        <w:t>Impact on Small Businesses or Other Small</w:t>
      </w:r>
      <w:r>
        <w:rPr>
          <w:spacing w:val="-1"/>
          <w:sz w:val="24"/>
        </w:rPr>
        <w:t xml:space="preserve"> </w:t>
      </w:r>
      <w:r>
        <w:rPr>
          <w:sz w:val="24"/>
        </w:rPr>
        <w:t>Entities</w:t>
      </w:r>
    </w:p>
    <w:p w:rsidR="00C57C0B" w:rsidP="00431BB3" w14:paraId="2288E8AA" w14:textId="77777777">
      <w:pPr>
        <w:pStyle w:val="BodyText"/>
        <w:rPr>
          <w:sz w:val="16"/>
        </w:rPr>
      </w:pPr>
    </w:p>
    <w:p w:rsidR="00845514" w:rsidP="00431BB3" w14:paraId="78D62D23" w14:textId="77777777">
      <w:pPr>
        <w:pStyle w:val="BodyText"/>
      </w:pPr>
      <w:r>
        <w:t xml:space="preserve">The information collection poses no undue burden on small entities.  </w:t>
      </w:r>
      <w:r w:rsidR="00EA632A">
        <w:t xml:space="preserve">A substantial majority of IRB reviews are conducted at large institutions such as universities, medical schools, and research and teaching hospitals. The recordkeeping requires what FDA believes is the minimal documentation necessary to ensure both the effective operation of IRBs and implementation of human subject protection. </w:t>
      </w:r>
      <w:r w:rsidR="000F2033">
        <w:t xml:space="preserve"> </w:t>
      </w:r>
      <w:r w:rsidR="00EA632A">
        <w:t xml:space="preserve">Likewise, a substantial majority of clinical investigators conducting FDA-regulated research conduct those studies at large institutions such as universities, medical schools, and research and teaching hospitals. </w:t>
      </w:r>
      <w:r w:rsidR="000F2033">
        <w:t xml:space="preserve"> </w:t>
      </w:r>
      <w:r w:rsidR="00EA632A">
        <w:t xml:space="preserve">To assist respondents, FDA has developed and widely distributes a series of guidance documents to assist IRBs, clinical investigators and others concerned with the protection of research subjects to conform to the requirements in FDA regulations. </w:t>
      </w:r>
      <w:r>
        <w:t xml:space="preserve"> </w:t>
      </w:r>
      <w:r w:rsidR="00EA632A">
        <w:t>For example, FDA has developed an “</w:t>
      </w:r>
      <w:r w:rsidR="00EA632A">
        <w:rPr>
          <w:i/>
        </w:rPr>
        <w:t>Institutional Review Board Frequently Asked Questions Information Sheet,</w:t>
      </w:r>
      <w:r w:rsidR="00EA632A">
        <w:t xml:space="preserve">” available on its website at: </w:t>
      </w:r>
      <w:hyperlink r:id="rId6">
        <w:r w:rsidR="00EA632A">
          <w:rPr>
            <w:color w:val="0000FF"/>
            <w:u w:val="single" w:color="0000FF"/>
          </w:rPr>
          <w:t>https://www.fda.gov/RegulatoryInform</w:t>
        </w:r>
      </w:hyperlink>
      <w:r w:rsidR="00EA632A">
        <w:rPr>
          <w:color w:val="0000FF"/>
          <w:u w:val="single" w:color="0000FF"/>
        </w:rPr>
        <w:t>a</w:t>
      </w:r>
      <w:hyperlink r:id="rId6">
        <w:r w:rsidR="00EA632A">
          <w:rPr>
            <w:color w:val="0000FF"/>
            <w:u w:val="single" w:color="0000FF"/>
          </w:rPr>
          <w:t>tion/Guidances/ucm126420.h</w:t>
        </w:r>
      </w:hyperlink>
      <w:r w:rsidR="00EA632A">
        <w:rPr>
          <w:color w:val="0000FF"/>
          <w:u w:val="single" w:color="0000FF"/>
        </w:rPr>
        <w:t>tm</w:t>
      </w:r>
      <w:r w:rsidR="00EA632A">
        <w:t xml:space="preserve">. </w:t>
      </w:r>
    </w:p>
    <w:p w:rsidR="00845514" w:rsidP="00431BB3" w14:paraId="1E12A460" w14:textId="77777777">
      <w:pPr>
        <w:pStyle w:val="BodyText"/>
      </w:pPr>
    </w:p>
    <w:p w:rsidR="009958A5" w:rsidP="00431BB3" w14:paraId="2380C846" w14:textId="234080D5">
      <w:pPr>
        <w:pStyle w:val="BodyText"/>
        <w:rPr>
          <w:color w:val="0000FF"/>
        </w:rPr>
      </w:pPr>
      <w:r>
        <w:t xml:space="preserve">Information is available regarding the agency’s bioresearch monitoring program as well, which respondents may also find helpful. FDA has issued other guidance to assist respondents to the information collection including </w:t>
      </w:r>
      <w:r>
        <w:rPr>
          <w:i/>
        </w:rPr>
        <w:t xml:space="preserve">Minutes of Institutional Review Board (IRB) Meetings, </w:t>
      </w:r>
      <w:r>
        <w:t>available at</w:t>
      </w:r>
      <w:r w:rsidR="003C7CEF">
        <w:t xml:space="preserve"> </w:t>
      </w:r>
      <w:hyperlink r:id="rId7" w:history="1">
        <w:r w:rsidRPr="00D45FFD" w:rsidR="00D5754A">
          <w:rPr>
            <w:rStyle w:val="Hyperlink"/>
          </w:rPr>
          <w:t>https://www.fda.gov/regulatory-information/search-fda-guidance-documents/minutes-institutional-review-board-irb-meetings</w:t>
        </w:r>
      </w:hyperlink>
      <w:r w:rsidR="00D5754A">
        <w:t>;</w:t>
      </w:r>
      <w:r>
        <w:t xml:space="preserve"> and </w:t>
      </w:r>
      <w:r>
        <w:rPr>
          <w:i/>
        </w:rPr>
        <w:t>Institutional Review Board (IRB) Written Procedures</w:t>
      </w:r>
      <w:r>
        <w:t>, available at</w:t>
      </w:r>
      <w:r w:rsidR="00D5754A">
        <w:rPr>
          <w:color w:val="0000FF"/>
        </w:rPr>
        <w:t xml:space="preserve"> </w:t>
      </w:r>
      <w:hyperlink r:id="rId8" w:history="1">
        <w:r w:rsidRPr="00D45FFD" w:rsidR="005672B8">
          <w:rPr>
            <w:rStyle w:val="Hyperlink"/>
          </w:rPr>
          <w:t>https://www.fda.gov/regulatory-information/search-fda-guidance-documents/institutional-review-board-irb-written-procedures</w:t>
        </w:r>
      </w:hyperlink>
      <w:r w:rsidRPr="005672B8" w:rsidR="005672B8">
        <w:t>.</w:t>
      </w:r>
      <w:r w:rsidR="005672B8">
        <w:rPr>
          <w:color w:val="0000FF"/>
        </w:rPr>
        <w:t xml:space="preserve"> </w:t>
      </w:r>
    </w:p>
    <w:p w:rsidR="00D452C1" w:rsidRPr="00D452C1" w:rsidP="00431BB3" w14:paraId="7C9B340E" w14:textId="77777777">
      <w:pPr>
        <w:pStyle w:val="BodyText"/>
        <w:rPr>
          <w:color w:val="0000FF"/>
        </w:rPr>
      </w:pPr>
    </w:p>
    <w:p w:rsidR="00C57C0B" w:rsidP="00431BB3" w14:paraId="2288E8AD" w14:textId="77777777">
      <w:pPr>
        <w:pStyle w:val="ListParagraph"/>
        <w:numPr>
          <w:ilvl w:val="0"/>
          <w:numId w:val="2"/>
        </w:numPr>
        <w:tabs>
          <w:tab w:val="left" w:pos="421"/>
        </w:tabs>
        <w:ind w:left="0" w:hanging="300"/>
        <w:rPr>
          <w:sz w:val="24"/>
          <w:u w:val="none"/>
        </w:rPr>
      </w:pPr>
      <w:r>
        <w:rPr>
          <w:sz w:val="24"/>
        </w:rPr>
        <w:t>Consequences of Collecting the Information Less</w:t>
      </w:r>
      <w:r>
        <w:rPr>
          <w:spacing w:val="-4"/>
          <w:sz w:val="24"/>
        </w:rPr>
        <w:t xml:space="preserve"> </w:t>
      </w:r>
      <w:r>
        <w:rPr>
          <w:sz w:val="24"/>
        </w:rPr>
        <w:t>Frequently</w:t>
      </w:r>
    </w:p>
    <w:p w:rsidR="00C57C0B" w:rsidP="00431BB3" w14:paraId="2288E8AE" w14:textId="77777777">
      <w:pPr>
        <w:pStyle w:val="BodyText"/>
        <w:rPr>
          <w:sz w:val="16"/>
        </w:rPr>
      </w:pPr>
    </w:p>
    <w:p w:rsidR="00C57C0B" w:rsidP="00431BB3" w14:paraId="2288E8AF" w14:textId="036D652C">
      <w:pPr>
        <w:pStyle w:val="BodyText"/>
      </w:pPr>
      <w:r>
        <w:t xml:space="preserve">The information collection schedule is consistent with </w:t>
      </w:r>
      <w:r w:rsidR="00AB2F6B">
        <w:t xml:space="preserve">applicable statutory and regulatory authorities.  </w:t>
      </w:r>
    </w:p>
    <w:p w:rsidR="00C57C0B" w:rsidP="00431BB3" w14:paraId="2288E8B0" w14:textId="77777777">
      <w:pPr>
        <w:pStyle w:val="BodyText"/>
      </w:pPr>
    </w:p>
    <w:p w:rsidR="00C57C0B" w:rsidP="00431BB3" w14:paraId="2288E8B1" w14:textId="77777777">
      <w:pPr>
        <w:pStyle w:val="ListParagraph"/>
        <w:numPr>
          <w:ilvl w:val="0"/>
          <w:numId w:val="2"/>
        </w:numPr>
        <w:tabs>
          <w:tab w:val="left" w:pos="421"/>
        </w:tabs>
        <w:ind w:left="0" w:hanging="300"/>
        <w:rPr>
          <w:sz w:val="24"/>
          <w:u w:val="none"/>
        </w:rPr>
      </w:pPr>
      <w:r>
        <w:rPr>
          <w:sz w:val="24"/>
        </w:rPr>
        <w:t>Special Circumstances Relating to the Guidelines in 5 CFR</w:t>
      </w:r>
      <w:r>
        <w:rPr>
          <w:spacing w:val="-4"/>
          <w:sz w:val="24"/>
        </w:rPr>
        <w:t xml:space="preserve"> </w:t>
      </w:r>
      <w:r>
        <w:rPr>
          <w:sz w:val="24"/>
        </w:rPr>
        <w:t>1320.5(d)(2)</w:t>
      </w:r>
    </w:p>
    <w:p w:rsidR="00C57C0B" w:rsidP="00431BB3" w14:paraId="2288E8B2" w14:textId="77777777">
      <w:pPr>
        <w:pStyle w:val="BodyText"/>
        <w:rPr>
          <w:sz w:val="16"/>
        </w:rPr>
      </w:pPr>
    </w:p>
    <w:p w:rsidR="00C57C0B" w:rsidP="00431BB3" w14:paraId="2288E8B3" w14:textId="08F45E8C">
      <w:pPr>
        <w:pStyle w:val="BodyText"/>
      </w:pPr>
      <w:r>
        <w:t xml:space="preserve">There are no special circumstances </w:t>
      </w:r>
      <w:r w:rsidR="00587AE2">
        <w:t xml:space="preserve">relating to the </w:t>
      </w:r>
      <w:r>
        <w:t>information</w:t>
      </w:r>
      <w:r w:rsidR="00587AE2">
        <w:t xml:space="preserve"> collection.</w:t>
      </w:r>
    </w:p>
    <w:p w:rsidR="00C57C0B" w:rsidP="00431BB3" w14:paraId="2288E8B4" w14:textId="77777777">
      <w:pPr>
        <w:pStyle w:val="BodyText"/>
      </w:pPr>
    </w:p>
    <w:p w:rsidR="00C57C0B" w:rsidP="00431BB3" w14:paraId="2288E8B5" w14:textId="77777777">
      <w:pPr>
        <w:pStyle w:val="ListParagraph"/>
        <w:numPr>
          <w:ilvl w:val="0"/>
          <w:numId w:val="2"/>
        </w:numPr>
        <w:ind w:left="-360" w:firstLine="0"/>
        <w:rPr>
          <w:sz w:val="24"/>
          <w:u w:val="none"/>
        </w:rPr>
      </w:pPr>
      <w:r>
        <w:rPr>
          <w:sz w:val="24"/>
        </w:rPr>
        <w:t>Comments in Response to the Federal Register Notice and Efforts to Consult Outside the Agency</w:t>
      </w:r>
    </w:p>
    <w:p w:rsidR="00C57C0B" w:rsidP="00431BB3" w14:paraId="2288E8B6" w14:textId="77777777">
      <w:pPr>
        <w:pStyle w:val="BodyText"/>
        <w:rPr>
          <w:sz w:val="16"/>
        </w:rPr>
      </w:pPr>
    </w:p>
    <w:p w:rsidR="00C57C0B" w:rsidP="00431BB3" w14:paraId="2288E8B8" w14:textId="0BB0D43C">
      <w:pPr>
        <w:pStyle w:val="BodyText"/>
      </w:pPr>
      <w:r w:rsidRPr="00AB2F6B">
        <w:t xml:space="preserve">In the </w:t>
      </w:r>
      <w:r w:rsidRPr="00636C13">
        <w:rPr>
          <w:i/>
          <w:iCs/>
        </w:rPr>
        <w:t>Federal Register</w:t>
      </w:r>
      <w:r w:rsidRPr="00AB2F6B">
        <w:t xml:space="preserve"> of November 15, 2018 (83 FR 57378), FDA issued a proposed rule to revise our informed consent regulations at part 50 (21 CFR part 50) to permit an IRB to waive or alter certain informed consent elements or to waive the requirement to obtain informed consent, under limited conditions, for certain FDA-regulated minimal risk clinical investigations.</w:t>
      </w:r>
      <w:r>
        <w:t xml:space="preserve">  We </w:t>
      </w:r>
      <w:r w:rsidRPr="00AB2F6B">
        <w:t>stated</w:t>
      </w:r>
      <w:r>
        <w:t xml:space="preserve"> in the rule that</w:t>
      </w:r>
      <w:r w:rsidRPr="00AB2F6B">
        <w:t>, “</w:t>
      </w:r>
      <w:r w:rsidRPr="00636C13">
        <w:rPr>
          <w:i/>
          <w:iCs/>
        </w:rPr>
        <w:t>[t]his proposed rule refers to previously approved collections of information found in FDA regulations… .  Therefore, FDA tentatively concludes the requirements in this document are not subject to additional review by OMB</w:t>
      </w:r>
      <w:r w:rsidRPr="00AB2F6B">
        <w:t xml:space="preserve">.”  In developing the final rule, </w:t>
      </w:r>
      <w:r>
        <w:t xml:space="preserve">we </w:t>
      </w:r>
      <w:r w:rsidRPr="00AB2F6B">
        <w:t xml:space="preserve">determined that there are information collections contained in the rule that are subject to review by OMB under the PRA (44 U.S.C. 3501-3521).  </w:t>
      </w:r>
      <w:r w:rsidR="00664052">
        <w:t>We discuss this more fully in our final rule and provide</w:t>
      </w:r>
      <w:r w:rsidR="00F7711D">
        <w:t xml:space="preserve"> a summary of burden analysis in Q-12 of this supporting statement.</w:t>
      </w:r>
    </w:p>
    <w:p w:rsidR="00F7711D" w:rsidP="00431BB3" w14:paraId="19CAC77C" w14:textId="77777777">
      <w:pPr>
        <w:pStyle w:val="BodyText"/>
      </w:pPr>
    </w:p>
    <w:p w:rsidR="00C57C0B" w:rsidRPr="004718DF" w:rsidP="00431BB3" w14:paraId="2288E8B9" w14:textId="77777777">
      <w:pPr>
        <w:pStyle w:val="ListParagraph"/>
        <w:numPr>
          <w:ilvl w:val="0"/>
          <w:numId w:val="2"/>
        </w:numPr>
        <w:tabs>
          <w:tab w:val="left" w:pos="420"/>
        </w:tabs>
        <w:ind w:left="0" w:hanging="299"/>
        <w:rPr>
          <w:sz w:val="24"/>
          <w:szCs w:val="24"/>
          <w:u w:val="none"/>
        </w:rPr>
      </w:pPr>
      <w:r>
        <w:rPr>
          <w:sz w:val="24"/>
        </w:rPr>
        <w:t>Explanation of Any Payment or Gift to</w:t>
      </w:r>
      <w:r>
        <w:rPr>
          <w:spacing w:val="-7"/>
          <w:sz w:val="24"/>
        </w:rPr>
        <w:t xml:space="preserve"> </w:t>
      </w:r>
      <w:r>
        <w:rPr>
          <w:sz w:val="24"/>
        </w:rPr>
        <w:t>Respondents</w:t>
      </w:r>
    </w:p>
    <w:p w:rsidR="00C57C0B" w:rsidRPr="0001316D" w:rsidP="00431BB3" w14:paraId="2288E8BA" w14:textId="77777777">
      <w:pPr>
        <w:pStyle w:val="BodyText"/>
      </w:pPr>
    </w:p>
    <w:p w:rsidR="0010279F" w:rsidRPr="0001316D" w:rsidP="00431BB3" w14:paraId="05CB4B90" w14:textId="77777777">
      <w:pPr>
        <w:ind w:firstLine="120"/>
        <w:rPr>
          <w:sz w:val="24"/>
          <w:szCs w:val="24"/>
        </w:rPr>
      </w:pPr>
      <w:r w:rsidRPr="0001316D">
        <w:rPr>
          <w:sz w:val="24"/>
          <w:szCs w:val="24"/>
        </w:rPr>
        <w:t>There are no incentives, payments, or gifts associated with this information collection.</w:t>
      </w:r>
    </w:p>
    <w:p w:rsidR="00C57C0B" w:rsidRPr="0010279F" w:rsidP="00431BB3" w14:paraId="2288E8BC" w14:textId="77777777">
      <w:pPr>
        <w:pStyle w:val="BodyText"/>
      </w:pPr>
    </w:p>
    <w:p w:rsidR="00C57C0B" w:rsidRPr="001E638C" w:rsidP="00431BB3" w14:paraId="2288E8BD" w14:textId="77777777">
      <w:pPr>
        <w:pStyle w:val="ListParagraph"/>
        <w:numPr>
          <w:ilvl w:val="0"/>
          <w:numId w:val="2"/>
        </w:numPr>
        <w:tabs>
          <w:tab w:val="left" w:pos="540"/>
        </w:tabs>
        <w:ind w:left="0" w:hanging="419"/>
        <w:rPr>
          <w:sz w:val="24"/>
          <w:szCs w:val="24"/>
          <w:u w:val="none"/>
        </w:rPr>
      </w:pPr>
      <w:r w:rsidRPr="004718DF">
        <w:rPr>
          <w:sz w:val="24"/>
          <w:szCs w:val="24"/>
        </w:rPr>
        <w:t>Assurance of Confidentiality Provided to</w:t>
      </w:r>
      <w:r w:rsidRPr="004718DF">
        <w:rPr>
          <w:spacing w:val="-5"/>
          <w:sz w:val="24"/>
          <w:szCs w:val="24"/>
        </w:rPr>
        <w:t xml:space="preserve"> </w:t>
      </w:r>
      <w:r w:rsidRPr="001E638C">
        <w:rPr>
          <w:sz w:val="24"/>
          <w:szCs w:val="24"/>
        </w:rPr>
        <w:t>Respondents</w:t>
      </w:r>
    </w:p>
    <w:p w:rsidR="00C57C0B" w:rsidP="00431BB3" w14:paraId="2288E8BE" w14:textId="77777777">
      <w:pPr>
        <w:pStyle w:val="BodyText"/>
        <w:rPr>
          <w:sz w:val="16"/>
        </w:rPr>
      </w:pPr>
    </w:p>
    <w:p w:rsidR="00177DD0" w:rsidRPr="00177DD0" w:rsidP="00431BB3" w14:paraId="579C0CD9" w14:textId="4C9E5D5A">
      <w:pPr>
        <w:rPr>
          <w:b/>
          <w:bCs/>
          <w:sz w:val="24"/>
          <w:szCs w:val="24"/>
        </w:rPr>
      </w:pPr>
      <w:r>
        <w:rPr>
          <w:b/>
          <w:bCs/>
          <w:sz w:val="24"/>
          <w:szCs w:val="24"/>
        </w:rPr>
        <w:t>Consistent with 5 CFR 1320.5(d)(2)(vii), data will be kept private to the extent allowed by law:</w:t>
      </w:r>
    </w:p>
    <w:p w:rsidR="00177DD0" w:rsidP="00431BB3" w14:paraId="6B8A34AC" w14:textId="77777777">
      <w:pPr>
        <w:rPr>
          <w:sz w:val="24"/>
          <w:szCs w:val="24"/>
        </w:rPr>
      </w:pPr>
    </w:p>
    <w:p w:rsidR="00A2045C" w:rsidRPr="00A2045C" w:rsidP="00431BB3" w14:paraId="1B7E9AD3" w14:textId="7919BD90">
      <w:pPr>
        <w:rPr>
          <w:i/>
          <w:iCs/>
          <w:sz w:val="24"/>
          <w:szCs w:val="24"/>
        </w:rPr>
      </w:pPr>
      <w:r w:rsidRPr="00A2045C">
        <w:rPr>
          <w:i/>
          <w:iCs/>
          <w:sz w:val="24"/>
          <w:szCs w:val="24"/>
        </w:rPr>
        <w:t>The Privacy Act of 1974</w:t>
      </w:r>
    </w:p>
    <w:p w:rsidR="00A2045C" w:rsidP="00431BB3" w14:paraId="5F0FFDFC" w14:textId="77777777">
      <w:pPr>
        <w:rPr>
          <w:sz w:val="24"/>
          <w:szCs w:val="24"/>
        </w:rPr>
      </w:pPr>
    </w:p>
    <w:p w:rsidR="00B64722" w:rsidRPr="0046598D" w:rsidP="00431BB3" w14:paraId="70059F2F" w14:textId="5F9CA51B">
      <w:pPr>
        <w:rPr>
          <w:sz w:val="24"/>
          <w:szCs w:val="24"/>
        </w:rPr>
      </w:pPr>
      <w:r w:rsidRPr="00FF1B8E">
        <w:rPr>
          <w:sz w:val="24"/>
          <w:szCs w:val="24"/>
        </w:rPr>
        <w:t xml:space="preserve">In preparing this </w:t>
      </w:r>
      <w:r w:rsidR="00A2045C">
        <w:rPr>
          <w:sz w:val="24"/>
          <w:szCs w:val="24"/>
        </w:rPr>
        <w:t>s</w:t>
      </w:r>
      <w:r w:rsidRPr="00FF1B8E">
        <w:rPr>
          <w:sz w:val="24"/>
          <w:szCs w:val="24"/>
        </w:rPr>
        <w:t xml:space="preserve">upporting </w:t>
      </w:r>
      <w:r w:rsidR="00A2045C">
        <w:rPr>
          <w:sz w:val="24"/>
          <w:szCs w:val="24"/>
        </w:rPr>
        <w:t>s</w:t>
      </w:r>
      <w:r w:rsidRPr="00FF1B8E">
        <w:rPr>
          <w:sz w:val="24"/>
          <w:szCs w:val="24"/>
        </w:rPr>
        <w:t>tatement, we consulted our Privacy Office to ensure appropriate identification and handling of information collected.</w:t>
      </w:r>
      <w:r w:rsidR="00A2045C">
        <w:rPr>
          <w:sz w:val="24"/>
          <w:szCs w:val="24"/>
        </w:rPr>
        <w:t xml:space="preserve">  </w:t>
      </w:r>
      <w:r w:rsidRPr="00FF1B8E">
        <w:rPr>
          <w:sz w:val="24"/>
          <w:szCs w:val="24"/>
        </w:rPr>
        <w:t xml:space="preserve">This ICR does not collect personally identifiable information (PII) or information of a personal nature. </w:t>
      </w:r>
      <w:r w:rsidRPr="0046598D">
        <w:rPr>
          <w:sz w:val="24"/>
          <w:szCs w:val="24"/>
        </w:rPr>
        <w:t>This rule supports FDA’s I</w:t>
      </w:r>
      <w:r w:rsidR="001E638C">
        <w:rPr>
          <w:sz w:val="24"/>
          <w:szCs w:val="24"/>
        </w:rPr>
        <w:t>RB</w:t>
      </w:r>
      <w:r w:rsidRPr="0046598D">
        <w:rPr>
          <w:sz w:val="24"/>
          <w:szCs w:val="24"/>
        </w:rPr>
        <w:t xml:space="preserve"> </w:t>
      </w:r>
      <w:r w:rsidR="00415C30">
        <w:rPr>
          <w:sz w:val="24"/>
          <w:szCs w:val="24"/>
        </w:rPr>
        <w:t>w</w:t>
      </w:r>
      <w:r w:rsidRPr="0046598D">
        <w:rPr>
          <w:sz w:val="24"/>
          <w:szCs w:val="24"/>
        </w:rPr>
        <w:t xml:space="preserve">aiver or </w:t>
      </w:r>
      <w:r w:rsidR="00415C30">
        <w:rPr>
          <w:sz w:val="24"/>
          <w:szCs w:val="24"/>
        </w:rPr>
        <w:t>a</w:t>
      </w:r>
      <w:r w:rsidRPr="0046598D">
        <w:rPr>
          <w:sz w:val="24"/>
          <w:szCs w:val="24"/>
        </w:rPr>
        <w:t xml:space="preserve">lteration of </w:t>
      </w:r>
      <w:r w:rsidR="00415C30">
        <w:rPr>
          <w:sz w:val="24"/>
          <w:szCs w:val="24"/>
        </w:rPr>
        <w:t>i</w:t>
      </w:r>
      <w:r w:rsidRPr="0046598D">
        <w:rPr>
          <w:sz w:val="24"/>
          <w:szCs w:val="24"/>
        </w:rPr>
        <w:t xml:space="preserve">nformed </w:t>
      </w:r>
      <w:r w:rsidR="00415C30">
        <w:rPr>
          <w:sz w:val="24"/>
          <w:szCs w:val="24"/>
        </w:rPr>
        <w:t>c</w:t>
      </w:r>
      <w:r w:rsidRPr="0046598D">
        <w:rPr>
          <w:sz w:val="24"/>
          <w:szCs w:val="24"/>
        </w:rPr>
        <w:t xml:space="preserve">onsent </w:t>
      </w:r>
      <w:r w:rsidR="00415C30">
        <w:rPr>
          <w:sz w:val="24"/>
          <w:szCs w:val="24"/>
        </w:rPr>
        <w:t xml:space="preserve">requirements </w:t>
      </w:r>
      <w:r w:rsidRPr="0046598D">
        <w:rPr>
          <w:sz w:val="24"/>
          <w:szCs w:val="24"/>
        </w:rPr>
        <w:t xml:space="preserve">for </w:t>
      </w:r>
      <w:r w:rsidR="00415C30">
        <w:rPr>
          <w:sz w:val="24"/>
          <w:szCs w:val="24"/>
        </w:rPr>
        <w:t>certain types of m</w:t>
      </w:r>
      <w:r w:rsidRPr="0046598D">
        <w:rPr>
          <w:sz w:val="24"/>
          <w:szCs w:val="24"/>
        </w:rPr>
        <w:t xml:space="preserve">inimal </w:t>
      </w:r>
      <w:r w:rsidR="00415C30">
        <w:rPr>
          <w:sz w:val="24"/>
          <w:szCs w:val="24"/>
        </w:rPr>
        <w:t>r</w:t>
      </w:r>
      <w:r w:rsidRPr="0046598D">
        <w:rPr>
          <w:sz w:val="24"/>
          <w:szCs w:val="24"/>
        </w:rPr>
        <w:t xml:space="preserve">isk </w:t>
      </w:r>
      <w:r w:rsidR="00415C30">
        <w:rPr>
          <w:sz w:val="24"/>
          <w:szCs w:val="24"/>
        </w:rPr>
        <w:t>c</w:t>
      </w:r>
      <w:r w:rsidRPr="0046598D">
        <w:rPr>
          <w:sz w:val="24"/>
          <w:szCs w:val="24"/>
        </w:rPr>
        <w:t xml:space="preserve">linical </w:t>
      </w:r>
      <w:r w:rsidR="00415C30">
        <w:rPr>
          <w:sz w:val="24"/>
          <w:szCs w:val="24"/>
        </w:rPr>
        <w:t>i</w:t>
      </w:r>
      <w:r w:rsidRPr="0046598D">
        <w:rPr>
          <w:sz w:val="24"/>
          <w:szCs w:val="24"/>
        </w:rPr>
        <w:t>nvestigations.</w:t>
      </w:r>
      <w:r w:rsidRPr="0046598D">
        <w:rPr>
          <w:bCs/>
          <w:sz w:val="24"/>
          <w:szCs w:val="24"/>
        </w:rPr>
        <w:t xml:space="preserve"> </w:t>
      </w:r>
      <w:r w:rsidRPr="0046598D">
        <w:rPr>
          <w:sz w:val="24"/>
          <w:szCs w:val="24"/>
        </w:rPr>
        <w:t>Typically</w:t>
      </w:r>
      <w:r>
        <w:rPr>
          <w:sz w:val="24"/>
          <w:szCs w:val="24"/>
        </w:rPr>
        <w:t>,</w:t>
      </w:r>
      <w:r w:rsidRPr="0046598D">
        <w:rPr>
          <w:sz w:val="24"/>
          <w:szCs w:val="24"/>
        </w:rPr>
        <w:t xml:space="preserve"> informed consent contains the name of the subject or his/her legally </w:t>
      </w:r>
      <w:r w:rsidRPr="0046598D">
        <w:rPr>
          <w:sz w:val="24"/>
          <w:szCs w:val="24"/>
        </w:rPr>
        <w:t xml:space="preserve">authorized representative. </w:t>
      </w:r>
      <w:r>
        <w:rPr>
          <w:sz w:val="24"/>
          <w:szCs w:val="24"/>
        </w:rPr>
        <w:t>With this</w:t>
      </w:r>
      <w:r w:rsidRPr="0046598D">
        <w:rPr>
          <w:sz w:val="24"/>
          <w:szCs w:val="24"/>
        </w:rPr>
        <w:t xml:space="preserve"> rule</w:t>
      </w:r>
      <w:r w:rsidR="00D46C41">
        <w:rPr>
          <w:sz w:val="24"/>
          <w:szCs w:val="24"/>
        </w:rPr>
        <w:t>,</w:t>
      </w:r>
      <w:r w:rsidRPr="0046598D">
        <w:rPr>
          <w:sz w:val="24"/>
          <w:szCs w:val="24"/>
        </w:rPr>
        <w:t xml:space="preserve"> the IRB </w:t>
      </w:r>
      <w:r w:rsidR="00D46C41">
        <w:rPr>
          <w:sz w:val="24"/>
          <w:szCs w:val="24"/>
        </w:rPr>
        <w:t>may</w:t>
      </w:r>
      <w:r w:rsidRPr="0046598D">
        <w:rPr>
          <w:sz w:val="24"/>
          <w:szCs w:val="24"/>
        </w:rPr>
        <w:t xml:space="preserve"> waive info</w:t>
      </w:r>
      <w:r>
        <w:rPr>
          <w:sz w:val="24"/>
          <w:szCs w:val="24"/>
        </w:rPr>
        <w:t>r</w:t>
      </w:r>
      <w:r w:rsidRPr="0046598D">
        <w:rPr>
          <w:sz w:val="24"/>
          <w:szCs w:val="24"/>
        </w:rPr>
        <w:t xml:space="preserve">med consent for a very small segment of </w:t>
      </w:r>
      <w:r w:rsidR="00F54C98">
        <w:rPr>
          <w:sz w:val="24"/>
          <w:szCs w:val="24"/>
        </w:rPr>
        <w:t xml:space="preserve">FDA-regulated </w:t>
      </w:r>
      <w:r w:rsidR="00D46C41">
        <w:rPr>
          <w:sz w:val="24"/>
          <w:szCs w:val="24"/>
        </w:rPr>
        <w:t>research</w:t>
      </w:r>
      <w:r w:rsidRPr="0046598D">
        <w:rPr>
          <w:sz w:val="24"/>
          <w:szCs w:val="24"/>
        </w:rPr>
        <w:t xml:space="preserve"> (</w:t>
      </w:r>
      <w:r w:rsidR="00415C30">
        <w:rPr>
          <w:sz w:val="24"/>
          <w:szCs w:val="24"/>
        </w:rPr>
        <w:t>those</w:t>
      </w:r>
      <w:r w:rsidR="00F54C98">
        <w:rPr>
          <w:sz w:val="24"/>
          <w:szCs w:val="24"/>
        </w:rPr>
        <w:t xml:space="preserve"> investigations</w:t>
      </w:r>
      <w:r w:rsidR="00415C30">
        <w:rPr>
          <w:sz w:val="24"/>
          <w:szCs w:val="24"/>
        </w:rPr>
        <w:t xml:space="preserve"> that meet the criteria for the waiver</w:t>
      </w:r>
      <w:r w:rsidRPr="0046598D">
        <w:rPr>
          <w:sz w:val="24"/>
          <w:szCs w:val="24"/>
        </w:rPr>
        <w:t>).</w:t>
      </w:r>
      <w:r w:rsidRPr="00FF1B8E">
        <w:rPr>
          <w:sz w:val="24"/>
          <w:szCs w:val="24"/>
        </w:rPr>
        <w:t xml:space="preserve"> Because</w:t>
      </w:r>
      <w:r w:rsidRPr="00FF1B8E">
        <w:rPr>
          <w:color w:val="FF0000"/>
          <w:sz w:val="24"/>
          <w:szCs w:val="24"/>
        </w:rPr>
        <w:t xml:space="preserve"> </w:t>
      </w:r>
      <w:r w:rsidRPr="00FF1B8E">
        <w:rPr>
          <w:sz w:val="24"/>
          <w:szCs w:val="24"/>
        </w:rPr>
        <w:t>FDA</w:t>
      </w:r>
      <w:r>
        <w:rPr>
          <w:sz w:val="24"/>
          <w:szCs w:val="24"/>
        </w:rPr>
        <w:t xml:space="preserve"> does not </w:t>
      </w:r>
      <w:r w:rsidRPr="00FF1B8E">
        <w:rPr>
          <w:sz w:val="24"/>
          <w:szCs w:val="24"/>
        </w:rPr>
        <w:t>collect PII, the ICR is not subject to the Privacy Act of 1974 and the requirements of the Privacy Act such as displaying a Privacy Act Statement on a collection form do not apply.</w:t>
      </w:r>
    </w:p>
    <w:p w:rsidR="00B64722" w:rsidRPr="00FF1B8E" w:rsidP="00431BB3" w14:paraId="22B8BDA5" w14:textId="77777777">
      <w:pPr>
        <w:pStyle w:val="NoSpacing"/>
        <w:rPr>
          <w:rFonts w:ascii="Times New Roman" w:hAnsi="Times New Roman" w:cs="Times New Roman"/>
          <w:sz w:val="24"/>
          <w:szCs w:val="24"/>
        </w:rPr>
      </w:pPr>
    </w:p>
    <w:p w:rsidR="00A2045C" w:rsidRPr="00A2045C" w:rsidP="00431BB3" w14:paraId="53BA0568" w14:textId="77777777">
      <w:pPr>
        <w:rPr>
          <w:i/>
          <w:iCs/>
          <w:sz w:val="24"/>
          <w:szCs w:val="24"/>
        </w:rPr>
      </w:pPr>
      <w:r w:rsidRPr="00A2045C">
        <w:rPr>
          <w:i/>
          <w:iCs/>
          <w:sz w:val="24"/>
          <w:szCs w:val="24"/>
        </w:rPr>
        <w:t xml:space="preserve">The </w:t>
      </w:r>
      <w:r w:rsidRPr="00A2045C" w:rsidR="00B64722">
        <w:rPr>
          <w:i/>
          <w:iCs/>
          <w:sz w:val="24"/>
          <w:szCs w:val="24"/>
        </w:rPr>
        <w:t xml:space="preserve">Freedom of Information Act (FOIA) </w:t>
      </w:r>
    </w:p>
    <w:p w:rsidR="00A2045C" w:rsidP="00431BB3" w14:paraId="2C3DB62A" w14:textId="77777777">
      <w:pPr>
        <w:rPr>
          <w:sz w:val="24"/>
          <w:szCs w:val="24"/>
        </w:rPr>
      </w:pPr>
    </w:p>
    <w:p w:rsidR="00B64722" w:rsidRPr="00FF1B8E" w:rsidP="00431BB3" w14:paraId="24502841" w14:textId="7AB00691">
      <w:pPr>
        <w:rPr>
          <w:sz w:val="24"/>
          <w:szCs w:val="24"/>
        </w:rPr>
      </w:pPr>
      <w:r>
        <w:rPr>
          <w:sz w:val="24"/>
          <w:szCs w:val="24"/>
        </w:rPr>
        <w:t xml:space="preserve">Under FOIA </w:t>
      </w:r>
      <w:r w:rsidRPr="00FF1B8E">
        <w:rPr>
          <w:sz w:val="24"/>
          <w:szCs w:val="24"/>
        </w:rPr>
        <w:t>(5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w:t>
      </w:r>
      <w:r w:rsidR="0098167A">
        <w:rPr>
          <w:sz w:val="24"/>
          <w:szCs w:val="24"/>
        </w:rPr>
        <w:t>,</w:t>
      </w:r>
      <w:r w:rsidRPr="00FF1B8E">
        <w:rPr>
          <w:sz w:val="24"/>
          <w:szCs w:val="24"/>
        </w:rPr>
        <w:t xml:space="preserve"> and confidential commercial or financial information. </w:t>
      </w:r>
    </w:p>
    <w:p w:rsidR="00C57C0B" w:rsidP="00431BB3" w14:paraId="2288E8C0" w14:textId="77777777">
      <w:pPr>
        <w:pStyle w:val="BodyText"/>
        <w:rPr>
          <w:sz w:val="23"/>
        </w:rPr>
      </w:pPr>
    </w:p>
    <w:p w:rsidR="00C57C0B" w:rsidP="00431BB3" w14:paraId="2288E8C1" w14:textId="5C2AB550">
      <w:pPr>
        <w:pStyle w:val="ListParagraph"/>
        <w:numPr>
          <w:ilvl w:val="0"/>
          <w:numId w:val="2"/>
        </w:numPr>
        <w:tabs>
          <w:tab w:val="left" w:pos="541"/>
        </w:tabs>
        <w:ind w:left="0" w:hanging="420"/>
        <w:rPr>
          <w:sz w:val="24"/>
          <w:u w:val="none"/>
        </w:rPr>
      </w:pPr>
      <w:r>
        <w:rPr>
          <w:sz w:val="24"/>
        </w:rPr>
        <w:t>Justification for Sensitive</w:t>
      </w:r>
      <w:r>
        <w:rPr>
          <w:spacing w:val="-1"/>
          <w:sz w:val="24"/>
        </w:rPr>
        <w:t xml:space="preserve"> </w:t>
      </w:r>
      <w:r>
        <w:rPr>
          <w:sz w:val="24"/>
        </w:rPr>
        <w:t>Questions</w:t>
      </w:r>
    </w:p>
    <w:p w:rsidR="00C57C0B" w:rsidP="00431BB3" w14:paraId="2288E8C2" w14:textId="77777777">
      <w:pPr>
        <w:pStyle w:val="BodyText"/>
        <w:rPr>
          <w:sz w:val="16"/>
        </w:rPr>
      </w:pPr>
    </w:p>
    <w:p w:rsidR="00C57C0B" w:rsidP="00431BB3" w14:paraId="2288E8C3" w14:textId="684587F4">
      <w:pPr>
        <w:pStyle w:val="BodyText"/>
      </w:pPr>
      <w:r>
        <w:t xml:space="preserve">The information collection does not include questions of a sensitive nature.  </w:t>
      </w:r>
    </w:p>
    <w:p w:rsidR="00275571" w:rsidP="00431BB3" w14:paraId="2EE5597E" w14:textId="77777777">
      <w:pPr>
        <w:pStyle w:val="BodyText"/>
      </w:pPr>
    </w:p>
    <w:p w:rsidR="00C57C0B" w:rsidP="00431BB3" w14:paraId="2288E8C5" w14:textId="77777777">
      <w:pPr>
        <w:pStyle w:val="ListParagraph"/>
        <w:numPr>
          <w:ilvl w:val="0"/>
          <w:numId w:val="2"/>
        </w:numPr>
        <w:tabs>
          <w:tab w:val="left" w:pos="541"/>
        </w:tabs>
        <w:ind w:left="0" w:hanging="420"/>
        <w:rPr>
          <w:sz w:val="24"/>
          <w:u w:val="none"/>
        </w:rPr>
      </w:pPr>
      <w:r>
        <w:rPr>
          <w:sz w:val="24"/>
        </w:rPr>
        <w:t>Estimates of Annualized Burden Hours and</w:t>
      </w:r>
      <w:r>
        <w:rPr>
          <w:spacing w:val="-5"/>
          <w:sz w:val="24"/>
        </w:rPr>
        <w:t xml:space="preserve"> </w:t>
      </w:r>
      <w:r>
        <w:rPr>
          <w:sz w:val="24"/>
        </w:rPr>
        <w:t>Costs</w:t>
      </w:r>
    </w:p>
    <w:p w:rsidR="00C57C0B" w:rsidP="00431BB3" w14:paraId="2288E8C6" w14:textId="77777777">
      <w:pPr>
        <w:pStyle w:val="BodyText"/>
        <w:rPr>
          <w:sz w:val="16"/>
        </w:rPr>
      </w:pPr>
    </w:p>
    <w:p w:rsidR="00C57C0B" w:rsidRPr="00DC309C" w:rsidP="00431BB3" w14:paraId="2288E8C7" w14:textId="77777777">
      <w:pPr>
        <w:rPr>
          <w:i/>
          <w:sz w:val="24"/>
        </w:rPr>
      </w:pPr>
      <w:r w:rsidRPr="00DC309C">
        <w:rPr>
          <w:sz w:val="24"/>
        </w:rPr>
        <w:t xml:space="preserve">12a. </w:t>
      </w:r>
      <w:r w:rsidRPr="00DC309C">
        <w:rPr>
          <w:i/>
          <w:sz w:val="24"/>
        </w:rPr>
        <w:t>Annualized Hour Burden Estimate</w:t>
      </w:r>
    </w:p>
    <w:p w:rsidR="00C57C0B" w:rsidRPr="00915D5B" w:rsidP="00431BB3" w14:paraId="2288E8C8" w14:textId="77777777">
      <w:pPr>
        <w:pStyle w:val="BodyText"/>
        <w:rPr>
          <w:i/>
          <w:color w:val="FF0000"/>
        </w:rPr>
      </w:pPr>
    </w:p>
    <w:p w:rsidR="009816F5" w:rsidRPr="009816F5" w:rsidP="00431BB3" w14:paraId="4352AB6C" w14:textId="6A6FB1DC">
      <w:pPr>
        <w:rPr>
          <w:bCs/>
          <w:iCs/>
          <w:sz w:val="24"/>
          <w:szCs w:val="24"/>
        </w:rPr>
      </w:pPr>
      <w:r>
        <w:rPr>
          <w:bCs/>
          <w:i/>
          <w:sz w:val="24"/>
          <w:szCs w:val="24"/>
        </w:rPr>
        <w:tab/>
      </w:r>
      <w:r w:rsidRPr="009816F5">
        <w:rPr>
          <w:bCs/>
          <w:i/>
          <w:sz w:val="24"/>
          <w:szCs w:val="24"/>
        </w:rPr>
        <w:t>Description of Respondents</w:t>
      </w:r>
      <w:r w:rsidRPr="009816F5">
        <w:rPr>
          <w:bCs/>
          <w:iCs/>
          <w:sz w:val="24"/>
          <w:szCs w:val="24"/>
        </w:rPr>
        <w:t>: Respondents to the information collections include investigators who request waivers or alterations of informed consent</w:t>
      </w:r>
      <w:r w:rsidRPr="009816F5">
        <w:rPr>
          <w:bCs/>
          <w:iCs/>
          <w:sz w:val="24"/>
          <w:szCs w:val="24"/>
        </w:rPr>
        <w:t xml:space="preserve"> </w:t>
      </w:r>
      <w:r w:rsidRPr="009816F5">
        <w:rPr>
          <w:bCs/>
          <w:iCs/>
          <w:sz w:val="24"/>
          <w:szCs w:val="24"/>
        </w:rPr>
        <w:t>under § 50.22 (table 2) and IRBs that review and approve FDA-regulated clinical investigations (table 3).</w:t>
      </w:r>
    </w:p>
    <w:p w:rsidR="00D844CB" w:rsidP="00431BB3" w14:paraId="14C00EDE" w14:textId="77777777">
      <w:pPr>
        <w:rPr>
          <w:bCs/>
          <w:iCs/>
          <w:sz w:val="24"/>
          <w:szCs w:val="24"/>
        </w:rPr>
      </w:pPr>
      <w:r w:rsidRPr="009816F5">
        <w:rPr>
          <w:bCs/>
          <w:iCs/>
          <w:sz w:val="24"/>
          <w:szCs w:val="24"/>
        </w:rPr>
        <w:t xml:space="preserve">    </w:t>
      </w:r>
    </w:p>
    <w:p w:rsidR="00A2045C" w:rsidRPr="00580ACB" w:rsidP="00431BB3" w14:paraId="044358AA" w14:textId="52A6FF19">
      <w:pPr>
        <w:jc w:val="center"/>
        <w:rPr>
          <w:bCs/>
          <w:iCs/>
          <w:sz w:val="20"/>
          <w:szCs w:val="20"/>
        </w:rPr>
      </w:pPr>
      <w:r w:rsidRPr="00580ACB">
        <w:rPr>
          <w:bCs/>
          <w:iCs/>
          <w:sz w:val="20"/>
          <w:szCs w:val="20"/>
        </w:rPr>
        <w:t>Table 1.--Estimated Third Party Disclosure and Burden for Waiver or Alteration of Informed Consent for Minimal Risk Clinical Investigations</w:t>
      </w:r>
      <w:r w:rsidRPr="00580ACB">
        <w:rPr>
          <w:bCs/>
          <w:iCs/>
          <w:sz w:val="20"/>
          <w:szCs w:val="20"/>
          <w:vertAlign w:val="superscript"/>
        </w:rPr>
        <w:t>1</w:t>
      </w:r>
    </w:p>
    <w:p w:rsidR="00A2045C" w:rsidRPr="009816F5" w:rsidP="00431BB3" w14:paraId="26AD374B" w14:textId="77777777">
      <w:pPr>
        <w:rPr>
          <w:bCs/>
          <w:iCs/>
          <w:sz w:val="24"/>
          <w:szCs w:val="24"/>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3240"/>
        <w:gridCol w:w="1440"/>
        <w:gridCol w:w="1710"/>
        <w:gridCol w:w="1440"/>
        <w:gridCol w:w="1260"/>
        <w:gridCol w:w="900"/>
      </w:tblGrid>
      <w:tr w14:paraId="5863954B" w14:textId="77777777" w:rsidTr="00431BB3">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cantSplit/>
          <w:trHeight w:val="1054"/>
        </w:trPr>
        <w:tc>
          <w:tcPr>
            <w:tcW w:w="3240" w:type="dxa"/>
            <w:vAlign w:val="center"/>
          </w:tcPr>
          <w:p w:rsidR="007C4D6E" w:rsidRPr="00B20893" w:rsidP="00431BB3" w14:paraId="5E2F014D" w14:textId="4132BD46">
            <w:pPr>
              <w:rPr>
                <w:bCs/>
                <w:iCs/>
                <w:sz w:val="20"/>
                <w:szCs w:val="20"/>
              </w:rPr>
            </w:pPr>
            <w:r w:rsidRPr="00B20893">
              <w:rPr>
                <w:bCs/>
                <w:iCs/>
                <w:sz w:val="20"/>
                <w:szCs w:val="20"/>
              </w:rPr>
              <w:t>21 CFR Part 50 (Protection of Human Subjects)</w:t>
            </w:r>
          </w:p>
        </w:tc>
        <w:tc>
          <w:tcPr>
            <w:tcW w:w="1440" w:type="dxa"/>
            <w:vAlign w:val="center"/>
          </w:tcPr>
          <w:p w:rsidR="007C4D6E" w:rsidRPr="00B20893" w:rsidP="00431BB3" w14:paraId="4C51C4A2" w14:textId="529400F1">
            <w:pPr>
              <w:rPr>
                <w:bCs/>
                <w:iCs/>
                <w:sz w:val="20"/>
                <w:szCs w:val="20"/>
              </w:rPr>
            </w:pPr>
            <w:r w:rsidRPr="00B20893">
              <w:rPr>
                <w:bCs/>
                <w:iCs/>
                <w:sz w:val="20"/>
                <w:szCs w:val="20"/>
              </w:rPr>
              <w:t>No. of Respondents</w:t>
            </w:r>
          </w:p>
          <w:p w:rsidR="007C4D6E" w:rsidRPr="00B20893" w:rsidP="00431BB3" w14:paraId="77F156A3" w14:textId="77777777">
            <w:pPr>
              <w:rPr>
                <w:bCs/>
                <w:iCs/>
                <w:sz w:val="20"/>
                <w:szCs w:val="20"/>
              </w:rPr>
            </w:pPr>
          </w:p>
        </w:tc>
        <w:tc>
          <w:tcPr>
            <w:tcW w:w="1710" w:type="dxa"/>
            <w:vAlign w:val="center"/>
          </w:tcPr>
          <w:p w:rsidR="007C4D6E" w:rsidRPr="00B20893" w:rsidP="00431BB3" w14:paraId="0095989D" w14:textId="5D306D10">
            <w:pPr>
              <w:rPr>
                <w:bCs/>
                <w:iCs/>
                <w:sz w:val="20"/>
                <w:szCs w:val="20"/>
              </w:rPr>
            </w:pPr>
            <w:r w:rsidRPr="00B20893">
              <w:rPr>
                <w:bCs/>
                <w:iCs/>
                <w:sz w:val="20"/>
                <w:szCs w:val="20"/>
              </w:rPr>
              <w:t>No. of Disclosures per Respondent</w:t>
            </w:r>
          </w:p>
        </w:tc>
        <w:tc>
          <w:tcPr>
            <w:tcW w:w="1440" w:type="dxa"/>
          </w:tcPr>
          <w:p w:rsidR="00B20893" w:rsidP="00431BB3" w14:paraId="6C15AFB9" w14:textId="77777777">
            <w:pPr>
              <w:rPr>
                <w:bCs/>
                <w:iCs/>
                <w:sz w:val="20"/>
                <w:szCs w:val="20"/>
              </w:rPr>
            </w:pPr>
          </w:p>
          <w:p w:rsidR="007C4D6E" w:rsidRPr="00B20893" w:rsidP="00431BB3" w14:paraId="17C6F412" w14:textId="4698B99E">
            <w:pPr>
              <w:rPr>
                <w:bCs/>
                <w:iCs/>
                <w:sz w:val="20"/>
                <w:szCs w:val="20"/>
              </w:rPr>
            </w:pPr>
            <w:r w:rsidRPr="00B20893">
              <w:rPr>
                <w:bCs/>
                <w:iCs/>
                <w:sz w:val="20"/>
                <w:szCs w:val="20"/>
              </w:rPr>
              <w:t>No. of</w:t>
            </w:r>
            <w:r w:rsidRPr="00B20893" w:rsidR="00622CBF">
              <w:rPr>
                <w:bCs/>
                <w:iCs/>
                <w:sz w:val="20"/>
                <w:szCs w:val="20"/>
              </w:rPr>
              <w:t xml:space="preserve"> Annual Disclosures</w:t>
            </w:r>
          </w:p>
        </w:tc>
        <w:tc>
          <w:tcPr>
            <w:tcW w:w="1260" w:type="dxa"/>
            <w:vAlign w:val="center"/>
          </w:tcPr>
          <w:p w:rsidR="007C4D6E" w:rsidRPr="00B20893" w:rsidP="00431BB3" w14:paraId="060C7A02" w14:textId="0485B03E">
            <w:pPr>
              <w:rPr>
                <w:bCs/>
                <w:iCs/>
                <w:sz w:val="20"/>
                <w:szCs w:val="20"/>
              </w:rPr>
            </w:pPr>
            <w:r w:rsidRPr="00B20893">
              <w:rPr>
                <w:bCs/>
                <w:iCs/>
                <w:sz w:val="20"/>
                <w:szCs w:val="20"/>
              </w:rPr>
              <w:t>Average Burden per Record (h)</w:t>
            </w:r>
          </w:p>
        </w:tc>
        <w:tc>
          <w:tcPr>
            <w:tcW w:w="900" w:type="dxa"/>
            <w:vAlign w:val="center"/>
          </w:tcPr>
          <w:p w:rsidR="007C4D6E" w:rsidRPr="00B20893" w:rsidP="00431BB3" w14:paraId="27B15055" w14:textId="77777777">
            <w:pPr>
              <w:rPr>
                <w:bCs/>
                <w:iCs/>
                <w:sz w:val="20"/>
                <w:szCs w:val="20"/>
              </w:rPr>
            </w:pPr>
            <w:r w:rsidRPr="00B20893">
              <w:rPr>
                <w:bCs/>
                <w:iCs/>
                <w:sz w:val="20"/>
                <w:szCs w:val="20"/>
              </w:rPr>
              <w:t>Total Hours</w:t>
            </w:r>
          </w:p>
        </w:tc>
      </w:tr>
      <w:tr w14:paraId="18470879" w14:textId="77777777" w:rsidTr="00431BB3">
        <w:tblPrEx>
          <w:tblW w:w="9990" w:type="dxa"/>
          <w:tblInd w:w="-5" w:type="dxa"/>
          <w:tblLayout w:type="fixed"/>
          <w:tblCellMar>
            <w:left w:w="120" w:type="dxa"/>
            <w:right w:w="120" w:type="dxa"/>
          </w:tblCellMar>
          <w:tblLook w:val="04A0"/>
        </w:tblPrEx>
        <w:trPr>
          <w:cantSplit/>
          <w:trHeight w:val="793"/>
        </w:trPr>
        <w:tc>
          <w:tcPr>
            <w:tcW w:w="3240" w:type="dxa"/>
            <w:vAlign w:val="center"/>
          </w:tcPr>
          <w:p w:rsidR="007C4D6E" w:rsidRPr="00B20893" w:rsidP="00431BB3" w14:paraId="7F633293" w14:textId="77777777">
            <w:pPr>
              <w:rPr>
                <w:bCs/>
                <w:iCs/>
                <w:sz w:val="20"/>
                <w:szCs w:val="20"/>
              </w:rPr>
            </w:pPr>
            <w:r w:rsidRPr="00B20893">
              <w:rPr>
                <w:bCs/>
                <w:iCs/>
                <w:sz w:val="20"/>
                <w:szCs w:val="20"/>
              </w:rPr>
              <w:t>50.22 – development of request for waiver or alteration of informed consent for submission to IRB</w:t>
            </w:r>
          </w:p>
        </w:tc>
        <w:tc>
          <w:tcPr>
            <w:tcW w:w="1440" w:type="dxa"/>
            <w:vAlign w:val="center"/>
            <w:hideMark/>
          </w:tcPr>
          <w:p w:rsidR="007C4D6E" w:rsidRPr="00B20893" w:rsidP="00431BB3" w14:paraId="1B982F22" w14:textId="77777777">
            <w:pPr>
              <w:jc w:val="center"/>
              <w:rPr>
                <w:bCs/>
                <w:iCs/>
                <w:sz w:val="20"/>
                <w:szCs w:val="20"/>
                <w:vertAlign w:val="superscript"/>
              </w:rPr>
            </w:pPr>
            <w:r w:rsidRPr="00B20893">
              <w:rPr>
                <w:bCs/>
                <w:iCs/>
                <w:sz w:val="20"/>
                <w:szCs w:val="20"/>
              </w:rPr>
              <w:t>551</w:t>
            </w:r>
          </w:p>
        </w:tc>
        <w:tc>
          <w:tcPr>
            <w:tcW w:w="1710" w:type="dxa"/>
            <w:vAlign w:val="center"/>
            <w:hideMark/>
          </w:tcPr>
          <w:p w:rsidR="007C4D6E" w:rsidRPr="00B20893" w:rsidP="00431BB3" w14:paraId="3854FD66" w14:textId="77777777">
            <w:pPr>
              <w:jc w:val="center"/>
              <w:rPr>
                <w:bCs/>
                <w:iCs/>
                <w:sz w:val="20"/>
                <w:szCs w:val="20"/>
              </w:rPr>
            </w:pPr>
            <w:r w:rsidRPr="00B20893">
              <w:rPr>
                <w:bCs/>
                <w:iCs/>
                <w:sz w:val="20"/>
                <w:szCs w:val="20"/>
              </w:rPr>
              <w:t>1</w:t>
            </w:r>
          </w:p>
        </w:tc>
        <w:tc>
          <w:tcPr>
            <w:tcW w:w="1440" w:type="dxa"/>
          </w:tcPr>
          <w:p w:rsidR="00580ACB" w:rsidP="00431BB3" w14:paraId="6E3BB213" w14:textId="77777777">
            <w:pPr>
              <w:jc w:val="center"/>
              <w:rPr>
                <w:bCs/>
                <w:iCs/>
                <w:sz w:val="20"/>
                <w:szCs w:val="20"/>
              </w:rPr>
            </w:pPr>
          </w:p>
          <w:p w:rsidR="007C4D6E" w:rsidRPr="00B20893" w:rsidP="00431BB3" w14:paraId="6C62C196" w14:textId="49877FB9">
            <w:pPr>
              <w:jc w:val="center"/>
              <w:rPr>
                <w:bCs/>
                <w:iCs/>
                <w:sz w:val="20"/>
                <w:szCs w:val="20"/>
              </w:rPr>
            </w:pPr>
            <w:r w:rsidRPr="00B20893">
              <w:rPr>
                <w:bCs/>
                <w:iCs/>
                <w:sz w:val="20"/>
                <w:szCs w:val="20"/>
              </w:rPr>
              <w:t>551</w:t>
            </w:r>
          </w:p>
        </w:tc>
        <w:tc>
          <w:tcPr>
            <w:tcW w:w="1260" w:type="dxa"/>
            <w:vAlign w:val="center"/>
          </w:tcPr>
          <w:p w:rsidR="007C4D6E" w:rsidRPr="00B20893" w:rsidP="00431BB3" w14:paraId="2F8A07ED" w14:textId="6C254206">
            <w:pPr>
              <w:jc w:val="center"/>
              <w:rPr>
                <w:bCs/>
                <w:iCs/>
                <w:sz w:val="20"/>
                <w:szCs w:val="20"/>
              </w:rPr>
            </w:pPr>
            <w:r w:rsidRPr="00B20893">
              <w:rPr>
                <w:bCs/>
                <w:iCs/>
                <w:sz w:val="20"/>
                <w:szCs w:val="20"/>
              </w:rPr>
              <w:t>1.0</w:t>
            </w:r>
          </w:p>
        </w:tc>
        <w:tc>
          <w:tcPr>
            <w:tcW w:w="900" w:type="dxa"/>
            <w:vAlign w:val="center"/>
          </w:tcPr>
          <w:p w:rsidR="007C4D6E" w:rsidRPr="00B20893" w:rsidP="00431BB3" w14:paraId="5D5EC8B7" w14:textId="77777777">
            <w:pPr>
              <w:jc w:val="center"/>
              <w:rPr>
                <w:bCs/>
                <w:iCs/>
                <w:sz w:val="20"/>
                <w:szCs w:val="20"/>
              </w:rPr>
            </w:pPr>
            <w:r w:rsidRPr="00B20893">
              <w:rPr>
                <w:bCs/>
                <w:iCs/>
                <w:sz w:val="20"/>
                <w:szCs w:val="20"/>
              </w:rPr>
              <w:t>551</w:t>
            </w:r>
          </w:p>
        </w:tc>
      </w:tr>
    </w:tbl>
    <w:p w:rsidR="00A2045C" w:rsidRPr="009816F5" w:rsidP="00431BB3" w14:paraId="781CC453" w14:textId="573B5D2F">
      <w:pPr>
        <w:rPr>
          <w:bCs/>
          <w:iCs/>
          <w:sz w:val="20"/>
          <w:szCs w:val="20"/>
        </w:rPr>
      </w:pPr>
      <w:r w:rsidRPr="009816F5">
        <w:rPr>
          <w:bCs/>
          <w:iCs/>
          <w:sz w:val="20"/>
          <w:szCs w:val="20"/>
          <w:vertAlign w:val="superscript"/>
        </w:rPr>
        <w:t>1</w:t>
      </w:r>
      <w:r w:rsidRPr="009816F5">
        <w:rPr>
          <w:bCs/>
          <w:iCs/>
          <w:sz w:val="20"/>
          <w:szCs w:val="20"/>
        </w:rPr>
        <w:t xml:space="preserve">  There are no capital or operating and maintenance costs associated with the information collection.</w:t>
      </w:r>
    </w:p>
    <w:p w:rsidR="00B20893" w:rsidP="00431BB3" w14:paraId="57F5E782" w14:textId="77777777">
      <w:pPr>
        <w:rPr>
          <w:bCs/>
          <w:iCs/>
          <w:sz w:val="24"/>
          <w:szCs w:val="24"/>
        </w:rPr>
      </w:pPr>
    </w:p>
    <w:p w:rsidR="00301E73" w:rsidP="00431BB3" w14:paraId="51C90BAB" w14:textId="31EFCF71">
      <w:pPr>
        <w:rPr>
          <w:bCs/>
          <w:iCs/>
          <w:sz w:val="24"/>
          <w:szCs w:val="24"/>
        </w:rPr>
      </w:pPr>
      <w:r w:rsidRPr="00D452C1">
        <w:rPr>
          <w:bCs/>
          <w:iCs/>
          <w:sz w:val="24"/>
          <w:szCs w:val="24"/>
        </w:rPr>
        <w:t xml:space="preserve">Our ability to provide a precise estimate for this burden is limited by the lack of information regarding the number of FDA-regulated clinical investigations for which a waiver or alteration of informed consent will be requested under new § 50.22 on an annual basis.  </w:t>
      </w:r>
      <w:r w:rsidR="003040DF">
        <w:rPr>
          <w:bCs/>
          <w:iCs/>
          <w:sz w:val="24"/>
          <w:szCs w:val="24"/>
        </w:rPr>
        <w:t xml:space="preserve">  </w:t>
      </w:r>
      <w:r w:rsidRPr="009816F5" w:rsidR="008C61D1">
        <w:rPr>
          <w:bCs/>
          <w:iCs/>
          <w:sz w:val="24"/>
          <w:szCs w:val="24"/>
        </w:rPr>
        <w:t>Based on our review of information from ClinicalTrials.gov (</w:t>
      </w:r>
      <w:hyperlink r:id="rId9">
        <w:r w:rsidRPr="009816F5" w:rsidR="008C61D1">
          <w:rPr>
            <w:rStyle w:val="Hyperlink"/>
            <w:bCs/>
            <w:iCs/>
            <w:sz w:val="24"/>
            <w:szCs w:val="24"/>
          </w:rPr>
          <w:t>https://clinicaltrials.gov/</w:t>
        </w:r>
      </w:hyperlink>
      <w:r w:rsidRPr="009816F5" w:rsidR="008C61D1">
        <w:rPr>
          <w:bCs/>
          <w:iCs/>
          <w:sz w:val="24"/>
          <w:szCs w:val="24"/>
        </w:rPr>
        <w:t xml:space="preserve">; accessed on June 21, 2022), we estimate that there will be, at most, 551 new FDA-regulated clinical investigations per year for which an investigator might request a waiver or alteration of informed consent under the new regulations at § 50.22.  We do not anticipate that investigators will request waivers or alterations of informed consent for ongoing clinical investigations that are approved by an IRB before the effective date of the rule, and therefore, our estimate reflects burden we attribute to new clinical </w:t>
      </w:r>
      <w:r w:rsidRPr="009816F5" w:rsidR="008C61D1">
        <w:rPr>
          <w:bCs/>
          <w:iCs/>
          <w:sz w:val="24"/>
          <w:szCs w:val="24"/>
        </w:rPr>
        <w:t>investigations.  Our estimate of the annual number of studies for which a waiver or alteration of consent under § 50.22 may be requested is based on an analysis of studies registered to the ClinicalTrials.gov databank as having started in 2021.  This analysis focused on studies that, as registered, include a U.S. site, are not expanded access studies, do not have an IND or IDE, and study an FDA-regulated product (n=2201).  This sample includes the studies registered to ClinicalTrials.gov most likely to be minimal risk clinical investigations but is not limited to such clinical investigations.  D</w:t>
      </w:r>
      <w:r w:rsidRPr="009816F5" w:rsidR="008C61D1">
        <w:rPr>
          <w:bCs/>
          <w:iCs/>
          <w:sz w:val="24"/>
          <w:szCs w:val="24"/>
        </w:rPr>
        <w:t xml:space="preserve">evice studies reported on ClinicalTrials.gov as not </w:t>
      </w:r>
      <w:r w:rsidRPr="009816F5" w:rsidR="008C61D1">
        <w:rPr>
          <w:bCs/>
          <w:iCs/>
          <w:sz w:val="24"/>
          <w:szCs w:val="24"/>
        </w:rPr>
        <w:t>having</w:t>
      </w:r>
      <w:r w:rsidRPr="009816F5" w:rsidR="008C61D1">
        <w:rPr>
          <w:bCs/>
          <w:iCs/>
          <w:sz w:val="24"/>
          <w:szCs w:val="24"/>
        </w:rPr>
        <w:t xml:space="preserve"> an IDE </w:t>
      </w:r>
      <w:r w:rsidRPr="009816F5" w:rsidR="008C61D1">
        <w:rPr>
          <w:bCs/>
          <w:iCs/>
          <w:sz w:val="24"/>
          <w:szCs w:val="24"/>
        </w:rPr>
        <w:t>would likely include</w:t>
      </w:r>
      <w:r w:rsidRPr="009816F5" w:rsidR="008C61D1">
        <w:rPr>
          <w:bCs/>
          <w:iCs/>
          <w:sz w:val="24"/>
          <w:szCs w:val="24"/>
        </w:rPr>
        <w:t xml:space="preserve"> </w:t>
      </w:r>
      <w:r w:rsidRPr="009816F5" w:rsidR="008C61D1">
        <w:rPr>
          <w:bCs/>
          <w:iCs/>
          <w:sz w:val="24"/>
          <w:szCs w:val="24"/>
        </w:rPr>
        <w:t xml:space="preserve">studies of </w:t>
      </w:r>
      <w:r w:rsidRPr="009816F5" w:rsidR="008C61D1">
        <w:rPr>
          <w:bCs/>
          <w:iCs/>
          <w:sz w:val="24"/>
          <w:szCs w:val="24"/>
        </w:rPr>
        <w:t>“non</w:t>
      </w:r>
      <w:r w:rsidRPr="009816F5" w:rsidR="008C61D1">
        <w:rPr>
          <w:bCs/>
          <w:iCs/>
          <w:sz w:val="24"/>
          <w:szCs w:val="24"/>
        </w:rPr>
        <w:t>-</w:t>
      </w:r>
      <w:r w:rsidRPr="009816F5" w:rsidR="008C61D1">
        <w:rPr>
          <w:bCs/>
          <w:iCs/>
          <w:sz w:val="24"/>
          <w:szCs w:val="24"/>
        </w:rPr>
        <w:t xml:space="preserve">significant risk” devices that are </w:t>
      </w:r>
      <w:r w:rsidRPr="009816F5" w:rsidR="008C61D1">
        <w:rPr>
          <w:bCs/>
          <w:iCs/>
          <w:sz w:val="24"/>
          <w:szCs w:val="24"/>
        </w:rPr>
        <w:t>conducted under</w:t>
      </w:r>
      <w:r w:rsidRPr="009816F5" w:rsidR="008C61D1">
        <w:rPr>
          <w:bCs/>
          <w:iCs/>
          <w:sz w:val="24"/>
          <w:szCs w:val="24"/>
        </w:rPr>
        <w:t xml:space="preserve"> the abbreviated IDE requirements</w:t>
      </w:r>
      <w:r w:rsidR="008C61D1">
        <w:rPr>
          <w:bCs/>
          <w:iCs/>
          <w:sz w:val="24"/>
          <w:szCs w:val="24"/>
        </w:rPr>
        <w:t xml:space="preserve"> (</w:t>
      </w:r>
      <w:r w:rsidRPr="009816F5" w:rsidR="008C61D1">
        <w:rPr>
          <w:bCs/>
          <w:iCs/>
          <w:sz w:val="24"/>
          <w:szCs w:val="24"/>
        </w:rPr>
        <w:t>See 21 CFR 812.2(b)</w:t>
      </w:r>
      <w:r w:rsidR="008C61D1">
        <w:rPr>
          <w:bCs/>
          <w:iCs/>
          <w:sz w:val="24"/>
          <w:szCs w:val="24"/>
        </w:rPr>
        <w:t>)</w:t>
      </w:r>
      <w:r w:rsidRPr="009816F5" w:rsidR="008C61D1">
        <w:rPr>
          <w:bCs/>
          <w:iCs/>
          <w:sz w:val="24"/>
          <w:szCs w:val="24"/>
        </w:rPr>
        <w:t>.</w:t>
      </w:r>
      <w:r w:rsidRPr="009816F5" w:rsidR="008C61D1">
        <w:rPr>
          <w:bCs/>
          <w:iCs/>
          <w:sz w:val="24"/>
          <w:szCs w:val="24"/>
        </w:rPr>
        <w:t xml:space="preserve"> </w:t>
      </w:r>
      <w:r w:rsidR="008C61D1">
        <w:rPr>
          <w:bCs/>
          <w:iCs/>
          <w:sz w:val="24"/>
          <w:szCs w:val="24"/>
        </w:rPr>
        <w:t xml:space="preserve"> However, </w:t>
      </w:r>
      <w:r w:rsidRPr="009816F5" w:rsidR="008C61D1">
        <w:rPr>
          <w:bCs/>
          <w:iCs/>
          <w:sz w:val="24"/>
          <w:szCs w:val="24"/>
        </w:rPr>
        <w:t xml:space="preserve">“non-significant risk” and “minimal risk” are different concepts that serve different regulatory purposes, so “non-significant” risk device studies </w:t>
      </w:r>
      <w:r w:rsidRPr="009816F5" w:rsidR="008C61D1">
        <w:rPr>
          <w:bCs/>
          <w:iCs/>
          <w:sz w:val="24"/>
          <w:szCs w:val="24"/>
        </w:rPr>
        <w:t>captured</w:t>
      </w:r>
      <w:r w:rsidRPr="009816F5" w:rsidR="008C61D1">
        <w:rPr>
          <w:bCs/>
          <w:iCs/>
          <w:sz w:val="24"/>
          <w:szCs w:val="24"/>
        </w:rPr>
        <w:t xml:space="preserve"> in our </w:t>
      </w:r>
      <w:r w:rsidRPr="009816F5" w:rsidR="008C61D1">
        <w:rPr>
          <w:bCs/>
          <w:iCs/>
          <w:sz w:val="24"/>
          <w:szCs w:val="24"/>
        </w:rPr>
        <w:t>C</w:t>
      </w:r>
      <w:r w:rsidRPr="009816F5" w:rsidR="008C61D1">
        <w:rPr>
          <w:bCs/>
          <w:iCs/>
          <w:sz w:val="24"/>
          <w:szCs w:val="24"/>
        </w:rPr>
        <w:t>linical</w:t>
      </w:r>
      <w:r w:rsidRPr="009816F5" w:rsidR="008C61D1">
        <w:rPr>
          <w:bCs/>
          <w:iCs/>
          <w:sz w:val="24"/>
          <w:szCs w:val="24"/>
        </w:rPr>
        <w:t>T</w:t>
      </w:r>
      <w:r w:rsidRPr="009816F5" w:rsidR="008C61D1">
        <w:rPr>
          <w:bCs/>
          <w:iCs/>
          <w:sz w:val="24"/>
          <w:szCs w:val="24"/>
        </w:rPr>
        <w:t>rials.gov sample may not meet the minimal risk criteri</w:t>
      </w:r>
      <w:r w:rsidRPr="009816F5" w:rsidR="008C61D1">
        <w:rPr>
          <w:bCs/>
          <w:iCs/>
          <w:sz w:val="24"/>
          <w:szCs w:val="24"/>
        </w:rPr>
        <w:t>on</w:t>
      </w:r>
      <w:r w:rsidRPr="009816F5" w:rsidR="008C61D1">
        <w:rPr>
          <w:bCs/>
          <w:iCs/>
          <w:sz w:val="24"/>
          <w:szCs w:val="24"/>
        </w:rPr>
        <w:t xml:space="preserve"> </w:t>
      </w:r>
      <w:r w:rsidRPr="009816F5" w:rsidR="008C61D1">
        <w:rPr>
          <w:bCs/>
          <w:iCs/>
          <w:sz w:val="24"/>
          <w:szCs w:val="24"/>
        </w:rPr>
        <w:t xml:space="preserve"> at § 50.22(a) for</w:t>
      </w:r>
      <w:r w:rsidRPr="009816F5" w:rsidR="008C61D1">
        <w:rPr>
          <w:bCs/>
          <w:iCs/>
          <w:sz w:val="24"/>
          <w:szCs w:val="24"/>
        </w:rPr>
        <w:t xml:space="preserve"> a waiver or alteration of consent. </w:t>
      </w:r>
      <w:r w:rsidRPr="009816F5" w:rsidR="008C61D1">
        <w:rPr>
          <w:bCs/>
          <w:iCs/>
          <w:sz w:val="24"/>
          <w:szCs w:val="24"/>
        </w:rPr>
        <w:t xml:space="preserve"> In addition, not all drug studies that are exempt from the requirement to have an IND would qualify as minimal risk.</w:t>
      </w:r>
      <w:r w:rsidRPr="009816F5" w:rsidR="008C61D1">
        <w:rPr>
          <w:b/>
          <w:bCs/>
          <w:iCs/>
          <w:sz w:val="24"/>
          <w:szCs w:val="24"/>
        </w:rPr>
        <w:t xml:space="preserve"> </w:t>
      </w:r>
      <w:r w:rsidR="008C61D1">
        <w:rPr>
          <w:b/>
          <w:bCs/>
          <w:iCs/>
          <w:sz w:val="24"/>
          <w:szCs w:val="24"/>
        </w:rPr>
        <w:t xml:space="preserve"> </w:t>
      </w:r>
      <w:r w:rsidRPr="009816F5" w:rsidR="008C61D1">
        <w:rPr>
          <w:bCs/>
          <w:iCs/>
          <w:sz w:val="24"/>
          <w:szCs w:val="24"/>
        </w:rPr>
        <w:t>Thus, we expect that the sample of 2201 studies identified includes studies that are more than minimal risk.  This sample may also include studies that would not be FDA-regulated clinical investigations, as defined at 21 CFR 50.3(c).</w:t>
      </w:r>
    </w:p>
    <w:p w:rsidR="008C61D1" w:rsidRPr="009816F5" w:rsidP="00431BB3" w14:paraId="21140676" w14:textId="6484B2B7">
      <w:pPr>
        <w:rPr>
          <w:bCs/>
          <w:iCs/>
          <w:sz w:val="24"/>
          <w:szCs w:val="24"/>
        </w:rPr>
      </w:pPr>
      <w:r w:rsidRPr="009816F5">
        <w:rPr>
          <w:bCs/>
          <w:iCs/>
          <w:sz w:val="24"/>
          <w:szCs w:val="24"/>
        </w:rPr>
        <w:t xml:space="preserve"> </w:t>
      </w:r>
    </w:p>
    <w:p w:rsidR="0094303A" w:rsidRPr="009816F5" w:rsidP="00431BB3" w14:paraId="1F0CC9F9" w14:textId="760BDC59">
      <w:pPr>
        <w:rPr>
          <w:bCs/>
          <w:iCs/>
          <w:sz w:val="24"/>
          <w:szCs w:val="24"/>
        </w:rPr>
      </w:pPr>
      <w:r w:rsidRPr="009816F5">
        <w:rPr>
          <w:bCs/>
          <w:iCs/>
          <w:sz w:val="24"/>
          <w:szCs w:val="24"/>
        </w:rPr>
        <w:t>In addition, to qualify for a waiver, studies in this sample of potential minimal risk clinical investigations would need to meet all the requirements outlined in §</w:t>
      </w:r>
      <w:r w:rsidR="00F20816">
        <w:rPr>
          <w:bCs/>
          <w:iCs/>
          <w:sz w:val="24"/>
          <w:szCs w:val="24"/>
        </w:rPr>
        <w:t> </w:t>
      </w:r>
      <w:r w:rsidRPr="009816F5">
        <w:rPr>
          <w:bCs/>
          <w:iCs/>
          <w:sz w:val="24"/>
          <w:szCs w:val="24"/>
        </w:rPr>
        <w:t xml:space="preserve">50.22, not just the “minimal risk” criterion.  Many of these potential minimal risk investigations may be practicable to conduct without a waiver or alteration of informed consent and thus investigators would be unlikely to request a waiver or alteration for those studies.  Clinical investigators and IRBs have implemented FDA’s general requirements for informed consent at Part 50 for decades; we do not expect clinical investigators to often propose, or for IRBs to often find, that it is impracticable to carry out a clinical investigation without a waiver or alteration of informed consent. Given these additional considerations, we estimate that, at most, an investigator might request a waiver or alteration of informed consent under new § 50.22 for approximately 25%  (n= 551) of the investigations identified in our sample. </w:t>
      </w:r>
    </w:p>
    <w:p w:rsidR="0094303A" w:rsidP="00431BB3" w14:paraId="48AD281A" w14:textId="77777777">
      <w:pPr>
        <w:rPr>
          <w:bCs/>
          <w:iCs/>
          <w:sz w:val="24"/>
          <w:szCs w:val="24"/>
        </w:rPr>
      </w:pPr>
    </w:p>
    <w:p w:rsidR="0094303A" w:rsidRPr="009816F5" w:rsidP="00431BB3" w14:paraId="35E854B3" w14:textId="77777777">
      <w:pPr>
        <w:rPr>
          <w:bCs/>
          <w:iCs/>
          <w:sz w:val="24"/>
          <w:szCs w:val="24"/>
        </w:rPr>
      </w:pPr>
      <w:r w:rsidRPr="009816F5">
        <w:rPr>
          <w:bCs/>
          <w:iCs/>
          <w:sz w:val="24"/>
          <w:szCs w:val="24"/>
        </w:rPr>
        <w:t>For this rule, we estimate that for each new clinical investigation for which a waiver or alteration of informed consent is requested under 21 CFR 50.22, one respondent (an investigator) will spend a total of 1.0 hours to prepare a request for a waiver or alteration of consent as part of a submission for IRB approval of proposed research (table 2).</w:t>
      </w:r>
    </w:p>
    <w:p w:rsidR="00D844CB" w:rsidP="00431BB3" w14:paraId="0D84C54E" w14:textId="3B609D8E">
      <w:pPr>
        <w:rPr>
          <w:bCs/>
          <w:iCs/>
          <w:sz w:val="24"/>
          <w:szCs w:val="24"/>
        </w:rPr>
      </w:pPr>
    </w:p>
    <w:p w:rsidR="007D5799" w:rsidRPr="00580ACB" w:rsidP="00431BB3" w14:paraId="0A0C4C35" w14:textId="0FBF4EAE">
      <w:pPr>
        <w:jc w:val="center"/>
        <w:rPr>
          <w:bCs/>
          <w:iCs/>
          <w:sz w:val="20"/>
          <w:szCs w:val="20"/>
        </w:rPr>
      </w:pPr>
      <w:r w:rsidRPr="00580ACB">
        <w:rPr>
          <w:bCs/>
          <w:iCs/>
          <w:sz w:val="20"/>
          <w:szCs w:val="20"/>
        </w:rPr>
        <w:t xml:space="preserve">Table 2.--Estimated Recordkeeping Burden for Waiver or Alteration of Informed Consent for </w:t>
      </w:r>
    </w:p>
    <w:p w:rsidR="007D5799" w:rsidRPr="00580ACB" w:rsidP="00431BB3" w14:paraId="5F36A90D" w14:textId="77777777">
      <w:pPr>
        <w:jc w:val="center"/>
        <w:rPr>
          <w:bCs/>
          <w:iCs/>
          <w:sz w:val="20"/>
          <w:szCs w:val="20"/>
          <w:vertAlign w:val="superscript"/>
        </w:rPr>
      </w:pPr>
      <w:r w:rsidRPr="00580ACB">
        <w:rPr>
          <w:bCs/>
          <w:iCs/>
          <w:sz w:val="20"/>
          <w:szCs w:val="20"/>
        </w:rPr>
        <w:t>Minimal Risk Clinical Investigations</w:t>
      </w:r>
      <w:r w:rsidRPr="00580ACB">
        <w:rPr>
          <w:bCs/>
          <w:iCs/>
          <w:sz w:val="20"/>
          <w:szCs w:val="20"/>
          <w:vertAlign w:val="superscript"/>
        </w:rPr>
        <w:t>1</w:t>
      </w:r>
    </w:p>
    <w:p w:rsidR="007D5799" w:rsidRPr="009816F5" w:rsidP="00431BB3" w14:paraId="4F003E39" w14:textId="77777777">
      <w:pPr>
        <w:jc w:val="center"/>
        <w:rPr>
          <w:bCs/>
          <w:iCs/>
          <w:sz w:val="24"/>
          <w:szCs w:val="24"/>
        </w:rPr>
      </w:pP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3150"/>
        <w:gridCol w:w="1350"/>
        <w:gridCol w:w="1440"/>
        <w:gridCol w:w="1080"/>
        <w:gridCol w:w="1170"/>
        <w:gridCol w:w="990"/>
      </w:tblGrid>
      <w:tr w14:paraId="4998D639" w14:textId="77777777" w:rsidTr="00F11C4D">
        <w:tblPrEx>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rHeight w:val="1054"/>
        </w:trPr>
        <w:tc>
          <w:tcPr>
            <w:tcW w:w="3150" w:type="dxa"/>
            <w:vAlign w:val="center"/>
          </w:tcPr>
          <w:p w:rsidR="00637156" w:rsidRPr="00B20893" w:rsidP="00431BB3" w14:paraId="575FFD21" w14:textId="7012E072">
            <w:pPr>
              <w:jc w:val="center"/>
              <w:rPr>
                <w:bCs/>
                <w:iCs/>
                <w:sz w:val="20"/>
                <w:szCs w:val="20"/>
              </w:rPr>
            </w:pPr>
            <w:r w:rsidRPr="00B20893">
              <w:rPr>
                <w:bCs/>
                <w:iCs/>
                <w:sz w:val="20"/>
                <w:szCs w:val="20"/>
              </w:rPr>
              <w:t>21 CFR Part 56 (Institutional Review Boards (IRBs)</w:t>
            </w:r>
          </w:p>
        </w:tc>
        <w:tc>
          <w:tcPr>
            <w:tcW w:w="1350" w:type="dxa"/>
            <w:vAlign w:val="center"/>
          </w:tcPr>
          <w:p w:rsidR="00637156" w:rsidRPr="00B20893" w:rsidP="00431BB3" w14:paraId="187EAE76" w14:textId="1F39723F">
            <w:pPr>
              <w:jc w:val="center"/>
              <w:rPr>
                <w:bCs/>
                <w:iCs/>
                <w:sz w:val="20"/>
                <w:szCs w:val="20"/>
              </w:rPr>
            </w:pPr>
            <w:r w:rsidRPr="00B20893">
              <w:rPr>
                <w:bCs/>
                <w:iCs/>
                <w:sz w:val="20"/>
                <w:szCs w:val="20"/>
              </w:rPr>
              <w:t>No. of Respondents</w:t>
            </w:r>
          </w:p>
          <w:p w:rsidR="00637156" w:rsidRPr="00B20893" w:rsidP="00431BB3" w14:paraId="4EF7A5AE" w14:textId="77777777">
            <w:pPr>
              <w:jc w:val="center"/>
              <w:rPr>
                <w:bCs/>
                <w:iCs/>
                <w:sz w:val="20"/>
                <w:szCs w:val="20"/>
              </w:rPr>
            </w:pPr>
          </w:p>
        </w:tc>
        <w:tc>
          <w:tcPr>
            <w:tcW w:w="1440" w:type="dxa"/>
            <w:vAlign w:val="center"/>
          </w:tcPr>
          <w:p w:rsidR="00637156" w:rsidRPr="00B20893" w:rsidP="00431BB3" w14:paraId="0D9BE2A0" w14:textId="77777777">
            <w:pPr>
              <w:jc w:val="center"/>
              <w:rPr>
                <w:bCs/>
                <w:iCs/>
                <w:sz w:val="20"/>
                <w:szCs w:val="20"/>
              </w:rPr>
            </w:pPr>
            <w:r w:rsidRPr="00B20893">
              <w:rPr>
                <w:bCs/>
                <w:iCs/>
                <w:sz w:val="20"/>
                <w:szCs w:val="20"/>
              </w:rPr>
              <w:t>No. of Records per Response</w:t>
            </w:r>
          </w:p>
        </w:tc>
        <w:tc>
          <w:tcPr>
            <w:tcW w:w="1080" w:type="dxa"/>
          </w:tcPr>
          <w:p w:rsidR="00B20893" w:rsidP="00431BB3" w14:paraId="1276F9AE" w14:textId="77777777">
            <w:pPr>
              <w:jc w:val="center"/>
              <w:rPr>
                <w:bCs/>
                <w:iCs/>
                <w:sz w:val="20"/>
                <w:szCs w:val="20"/>
              </w:rPr>
            </w:pPr>
          </w:p>
          <w:p w:rsidR="00637156" w:rsidRPr="00B20893" w:rsidP="00431BB3" w14:paraId="6714F3BE" w14:textId="69198101">
            <w:pPr>
              <w:jc w:val="center"/>
              <w:rPr>
                <w:bCs/>
                <w:iCs/>
                <w:sz w:val="20"/>
                <w:szCs w:val="20"/>
              </w:rPr>
            </w:pPr>
            <w:r w:rsidRPr="00B20893">
              <w:rPr>
                <w:bCs/>
                <w:iCs/>
                <w:sz w:val="20"/>
                <w:szCs w:val="20"/>
              </w:rPr>
              <w:t>No. of Annual Records</w:t>
            </w:r>
          </w:p>
        </w:tc>
        <w:tc>
          <w:tcPr>
            <w:tcW w:w="1170" w:type="dxa"/>
            <w:vAlign w:val="center"/>
          </w:tcPr>
          <w:p w:rsidR="00637156" w:rsidRPr="00B20893" w:rsidP="00431BB3" w14:paraId="3051C282" w14:textId="74B88D63">
            <w:pPr>
              <w:jc w:val="center"/>
              <w:rPr>
                <w:bCs/>
                <w:iCs/>
                <w:sz w:val="20"/>
                <w:szCs w:val="20"/>
              </w:rPr>
            </w:pPr>
            <w:r w:rsidRPr="00B20893">
              <w:rPr>
                <w:bCs/>
                <w:iCs/>
                <w:sz w:val="20"/>
                <w:szCs w:val="20"/>
              </w:rPr>
              <w:t>Average Burden per Record (h)</w:t>
            </w:r>
          </w:p>
        </w:tc>
        <w:tc>
          <w:tcPr>
            <w:tcW w:w="990" w:type="dxa"/>
            <w:vAlign w:val="center"/>
          </w:tcPr>
          <w:p w:rsidR="00637156" w:rsidRPr="00B20893" w:rsidP="00431BB3" w14:paraId="4B9FB969" w14:textId="77777777">
            <w:pPr>
              <w:jc w:val="center"/>
              <w:rPr>
                <w:bCs/>
                <w:iCs/>
                <w:sz w:val="20"/>
                <w:szCs w:val="20"/>
              </w:rPr>
            </w:pPr>
            <w:r w:rsidRPr="00B20893">
              <w:rPr>
                <w:bCs/>
                <w:iCs/>
                <w:sz w:val="20"/>
                <w:szCs w:val="20"/>
              </w:rPr>
              <w:t>Total Hours</w:t>
            </w:r>
          </w:p>
        </w:tc>
      </w:tr>
      <w:tr w14:paraId="63C03206" w14:textId="77777777" w:rsidTr="00F11C4D">
        <w:tblPrEx>
          <w:tblW w:w="9180" w:type="dxa"/>
          <w:tblInd w:w="85" w:type="dxa"/>
          <w:tblLayout w:type="fixed"/>
          <w:tblCellMar>
            <w:left w:w="120" w:type="dxa"/>
            <w:right w:w="120" w:type="dxa"/>
          </w:tblCellMar>
          <w:tblLook w:val="04A0"/>
        </w:tblPrEx>
        <w:trPr>
          <w:trHeight w:val="793"/>
        </w:trPr>
        <w:tc>
          <w:tcPr>
            <w:tcW w:w="3150" w:type="dxa"/>
            <w:vAlign w:val="center"/>
          </w:tcPr>
          <w:p w:rsidR="00637156" w:rsidRPr="00B20893" w:rsidP="00431BB3" w14:paraId="075F23D3" w14:textId="77777777">
            <w:pPr>
              <w:ind w:hanging="30"/>
              <w:rPr>
                <w:bCs/>
                <w:iCs/>
                <w:sz w:val="20"/>
                <w:szCs w:val="20"/>
              </w:rPr>
            </w:pPr>
            <w:r w:rsidRPr="00B20893">
              <w:rPr>
                <w:bCs/>
                <w:iCs/>
                <w:sz w:val="20"/>
                <w:szCs w:val="20"/>
              </w:rPr>
              <w:t>56.115 – IRB determination and documentation regarding waiver or alteration request</w:t>
            </w:r>
          </w:p>
        </w:tc>
        <w:tc>
          <w:tcPr>
            <w:tcW w:w="1350" w:type="dxa"/>
            <w:vAlign w:val="center"/>
          </w:tcPr>
          <w:p w:rsidR="00637156" w:rsidRPr="00B20893" w:rsidP="00431BB3" w14:paraId="67EE0455" w14:textId="77777777">
            <w:pPr>
              <w:ind w:hanging="30"/>
              <w:jc w:val="center"/>
              <w:rPr>
                <w:bCs/>
                <w:iCs/>
                <w:sz w:val="20"/>
                <w:szCs w:val="20"/>
              </w:rPr>
            </w:pPr>
            <w:r w:rsidRPr="00B20893">
              <w:rPr>
                <w:bCs/>
                <w:iCs/>
                <w:sz w:val="20"/>
                <w:szCs w:val="20"/>
              </w:rPr>
              <w:t>551</w:t>
            </w:r>
          </w:p>
        </w:tc>
        <w:tc>
          <w:tcPr>
            <w:tcW w:w="1440" w:type="dxa"/>
            <w:vAlign w:val="center"/>
          </w:tcPr>
          <w:p w:rsidR="00637156" w:rsidRPr="00B20893" w:rsidP="00431BB3" w14:paraId="312910F0" w14:textId="77777777">
            <w:pPr>
              <w:ind w:hanging="30"/>
              <w:jc w:val="center"/>
              <w:rPr>
                <w:bCs/>
                <w:iCs/>
                <w:sz w:val="20"/>
                <w:szCs w:val="20"/>
              </w:rPr>
            </w:pPr>
            <w:r w:rsidRPr="00B20893">
              <w:rPr>
                <w:bCs/>
                <w:iCs/>
                <w:sz w:val="20"/>
                <w:szCs w:val="20"/>
              </w:rPr>
              <w:t>1</w:t>
            </w:r>
          </w:p>
        </w:tc>
        <w:tc>
          <w:tcPr>
            <w:tcW w:w="1080" w:type="dxa"/>
          </w:tcPr>
          <w:p w:rsidR="00580ACB" w:rsidP="00431BB3" w14:paraId="327D6C2B" w14:textId="77777777">
            <w:pPr>
              <w:ind w:hanging="30"/>
              <w:jc w:val="center"/>
              <w:rPr>
                <w:bCs/>
                <w:iCs/>
                <w:sz w:val="20"/>
                <w:szCs w:val="20"/>
              </w:rPr>
            </w:pPr>
          </w:p>
          <w:p w:rsidR="00637156" w:rsidRPr="00B20893" w:rsidP="00431BB3" w14:paraId="4DD864F4" w14:textId="032B62E4">
            <w:pPr>
              <w:ind w:hanging="30"/>
              <w:jc w:val="center"/>
              <w:rPr>
                <w:bCs/>
                <w:iCs/>
                <w:sz w:val="20"/>
                <w:szCs w:val="20"/>
              </w:rPr>
            </w:pPr>
            <w:r w:rsidRPr="00B20893">
              <w:rPr>
                <w:bCs/>
                <w:iCs/>
                <w:sz w:val="20"/>
                <w:szCs w:val="20"/>
              </w:rPr>
              <w:t>551</w:t>
            </w:r>
          </w:p>
        </w:tc>
        <w:tc>
          <w:tcPr>
            <w:tcW w:w="1170" w:type="dxa"/>
            <w:vAlign w:val="center"/>
          </w:tcPr>
          <w:p w:rsidR="00637156" w:rsidRPr="00B20893" w:rsidP="00431BB3" w14:paraId="0F7B9BC9" w14:textId="090CDF1F">
            <w:pPr>
              <w:ind w:hanging="30"/>
              <w:jc w:val="center"/>
              <w:rPr>
                <w:bCs/>
                <w:iCs/>
                <w:sz w:val="20"/>
                <w:szCs w:val="20"/>
              </w:rPr>
            </w:pPr>
            <w:r w:rsidRPr="00B20893">
              <w:rPr>
                <w:bCs/>
                <w:iCs/>
                <w:sz w:val="20"/>
                <w:szCs w:val="20"/>
              </w:rPr>
              <w:t>1.0</w:t>
            </w:r>
          </w:p>
        </w:tc>
        <w:tc>
          <w:tcPr>
            <w:tcW w:w="990" w:type="dxa"/>
            <w:vAlign w:val="center"/>
          </w:tcPr>
          <w:p w:rsidR="00637156" w:rsidRPr="00B20893" w:rsidP="00431BB3" w14:paraId="14142445" w14:textId="77777777">
            <w:pPr>
              <w:ind w:hanging="30"/>
              <w:jc w:val="center"/>
              <w:rPr>
                <w:bCs/>
                <w:iCs/>
                <w:sz w:val="20"/>
                <w:szCs w:val="20"/>
              </w:rPr>
            </w:pPr>
            <w:r w:rsidRPr="00B20893">
              <w:rPr>
                <w:bCs/>
                <w:iCs/>
                <w:sz w:val="20"/>
                <w:szCs w:val="20"/>
              </w:rPr>
              <w:t>551</w:t>
            </w:r>
          </w:p>
        </w:tc>
      </w:tr>
    </w:tbl>
    <w:p w:rsidR="007D5799" w:rsidRPr="009816F5" w:rsidP="00431BB3" w14:paraId="5F4BEA8B" w14:textId="77777777">
      <w:pPr>
        <w:rPr>
          <w:bCs/>
          <w:iCs/>
          <w:sz w:val="20"/>
          <w:szCs w:val="20"/>
        </w:rPr>
      </w:pPr>
      <w:r w:rsidRPr="009816F5">
        <w:rPr>
          <w:bCs/>
          <w:iCs/>
          <w:sz w:val="20"/>
          <w:szCs w:val="20"/>
          <w:vertAlign w:val="superscript"/>
        </w:rPr>
        <w:t>1</w:t>
      </w:r>
      <w:r w:rsidRPr="009816F5">
        <w:rPr>
          <w:bCs/>
          <w:iCs/>
          <w:sz w:val="20"/>
          <w:szCs w:val="20"/>
        </w:rPr>
        <w:t xml:space="preserve">  There are no capital or operating and maintenance costs associated with the information collection.</w:t>
      </w:r>
    </w:p>
    <w:p w:rsidR="007D5799" w:rsidRPr="009816F5" w:rsidP="00431BB3" w14:paraId="7E71B294" w14:textId="77777777">
      <w:pPr>
        <w:rPr>
          <w:bCs/>
          <w:iCs/>
          <w:sz w:val="24"/>
          <w:szCs w:val="24"/>
        </w:rPr>
      </w:pPr>
    </w:p>
    <w:p w:rsidR="00C009B2" w:rsidRPr="00B20893" w:rsidP="00431BB3" w14:paraId="0EBDB08C" w14:textId="05D2C19D">
      <w:pPr>
        <w:rPr>
          <w:bCs/>
          <w:iCs/>
          <w:sz w:val="24"/>
          <w:szCs w:val="24"/>
        </w:rPr>
      </w:pPr>
      <w:r w:rsidRPr="009816F5">
        <w:rPr>
          <w:bCs/>
          <w:iCs/>
          <w:sz w:val="24"/>
          <w:szCs w:val="24"/>
        </w:rPr>
        <w:t>As noted above, the accuracy of our estimate may be limited due to a lack of data on the numbers of FDA-regulated clinical investigations for which a waiver or alteration will be requested, as FDA regulations have not provided for an exception from informed consent requirements for this type of research prior to the issuance of this rule</w:t>
      </w:r>
      <w:r>
        <w:rPr>
          <w:bCs/>
          <w:iCs/>
          <w:sz w:val="24"/>
          <w:szCs w:val="24"/>
        </w:rPr>
        <w:t xml:space="preserve">.  </w:t>
      </w:r>
      <w:r w:rsidRPr="009816F5">
        <w:rPr>
          <w:bCs/>
          <w:iCs/>
          <w:sz w:val="24"/>
          <w:szCs w:val="24"/>
        </w:rPr>
        <w:t xml:space="preserve">We </w:t>
      </w:r>
      <w:r w:rsidR="00B34387">
        <w:rPr>
          <w:bCs/>
          <w:iCs/>
          <w:sz w:val="24"/>
          <w:szCs w:val="24"/>
        </w:rPr>
        <w:t xml:space="preserve">intend to </w:t>
      </w:r>
      <w:r w:rsidRPr="009816F5">
        <w:rPr>
          <w:bCs/>
          <w:iCs/>
          <w:sz w:val="24"/>
          <w:szCs w:val="24"/>
        </w:rPr>
        <w:t xml:space="preserve">adjust </w:t>
      </w:r>
      <w:r w:rsidR="00975417">
        <w:rPr>
          <w:bCs/>
          <w:iCs/>
          <w:sz w:val="24"/>
          <w:szCs w:val="24"/>
        </w:rPr>
        <w:t xml:space="preserve">our estimate of burden </w:t>
      </w:r>
      <w:r w:rsidRPr="009816F5">
        <w:rPr>
          <w:bCs/>
          <w:iCs/>
          <w:sz w:val="24"/>
          <w:szCs w:val="24"/>
        </w:rPr>
        <w:t xml:space="preserve">upon </w:t>
      </w:r>
      <w:r w:rsidR="00831A49">
        <w:rPr>
          <w:bCs/>
          <w:iCs/>
          <w:sz w:val="24"/>
          <w:szCs w:val="24"/>
        </w:rPr>
        <w:t xml:space="preserve">our evaluation of </w:t>
      </w:r>
      <w:r w:rsidR="00975417">
        <w:rPr>
          <w:bCs/>
          <w:iCs/>
          <w:sz w:val="24"/>
          <w:szCs w:val="24"/>
        </w:rPr>
        <w:t xml:space="preserve">respondents’ </w:t>
      </w:r>
      <w:r w:rsidRPr="009816F5">
        <w:rPr>
          <w:bCs/>
          <w:iCs/>
          <w:sz w:val="24"/>
          <w:szCs w:val="24"/>
        </w:rPr>
        <w:t>implementation of the final rule</w:t>
      </w:r>
      <w:r w:rsidR="00831A49">
        <w:rPr>
          <w:bCs/>
          <w:iCs/>
          <w:sz w:val="24"/>
          <w:szCs w:val="24"/>
        </w:rPr>
        <w:t xml:space="preserve"> provisions</w:t>
      </w:r>
      <w:r w:rsidRPr="009816F5">
        <w:rPr>
          <w:bCs/>
          <w:iCs/>
          <w:sz w:val="24"/>
          <w:szCs w:val="24"/>
        </w:rPr>
        <w:t>.</w:t>
      </w:r>
      <w:r w:rsidR="004B115A">
        <w:rPr>
          <w:bCs/>
          <w:iCs/>
          <w:sz w:val="24"/>
          <w:szCs w:val="24"/>
        </w:rPr>
        <w:t xml:space="preserve">  For purposes of assessing burden attendant to the rulemaking </w:t>
      </w:r>
      <w:r w:rsidR="00B34387">
        <w:rPr>
          <w:bCs/>
          <w:iCs/>
          <w:sz w:val="24"/>
          <w:szCs w:val="24"/>
        </w:rPr>
        <w:t xml:space="preserve">however, </w:t>
      </w:r>
      <w:r w:rsidR="004B115A">
        <w:rPr>
          <w:bCs/>
          <w:iCs/>
          <w:sz w:val="24"/>
          <w:szCs w:val="24"/>
        </w:rPr>
        <w:t xml:space="preserve">we </w:t>
      </w:r>
      <w:r w:rsidRPr="0094303A" w:rsidR="0094303A">
        <w:rPr>
          <w:bCs/>
          <w:iCs/>
          <w:sz w:val="24"/>
          <w:szCs w:val="24"/>
        </w:rPr>
        <w:t>estimate that for each new request, one IRB will spend a total of 1.0 hours to review the request and document its findings regarding whether the requested waiver or alteration satisfies the requirements under §§ 50.22 (table 23).  This estimate includes 0.75 hours (45 minutes) for the IRB review of the request, and .25 hours (15 minutes) to document the IRB’s decision regarding the request.  We believe these IRBs are likely to document the findings required to approve the waiver or alteration request in IRB meeting minutes that they are required to maintain under existing requirements at § 56.115(a)(2), although the findings could be documented elsewhere in IRB records.</w:t>
      </w:r>
      <w:r w:rsidR="004B115A">
        <w:rPr>
          <w:bCs/>
          <w:iCs/>
          <w:sz w:val="24"/>
          <w:szCs w:val="24"/>
        </w:rPr>
        <w:t xml:space="preserve"> </w:t>
      </w:r>
    </w:p>
    <w:p w:rsidR="000B4B66" w:rsidRPr="00202636" w:rsidP="00431BB3" w14:paraId="745C723C" w14:textId="4366E96A">
      <w:pPr>
        <w:rPr>
          <w:bCs/>
          <w:sz w:val="24"/>
          <w:szCs w:val="24"/>
        </w:rPr>
      </w:pPr>
    </w:p>
    <w:p w:rsidR="00F6282D" w:rsidRPr="005F48B7" w:rsidP="00431BB3" w14:paraId="4633A155" w14:textId="001BBB54">
      <w:pPr>
        <w:rPr>
          <w:i/>
          <w:sz w:val="24"/>
        </w:rPr>
      </w:pPr>
      <w:r w:rsidRPr="005F48B7">
        <w:rPr>
          <w:sz w:val="24"/>
        </w:rPr>
        <w:t xml:space="preserve">12b. </w:t>
      </w:r>
      <w:r w:rsidRPr="005F48B7">
        <w:rPr>
          <w:i/>
          <w:sz w:val="24"/>
        </w:rPr>
        <w:t>Annualized Cost Burden Estimate</w:t>
      </w:r>
    </w:p>
    <w:p w:rsidR="00F6282D" w:rsidRPr="005F48B7" w:rsidP="00431BB3" w14:paraId="79F88C88" w14:textId="77777777">
      <w:pPr>
        <w:rPr>
          <w:i/>
          <w:sz w:val="24"/>
        </w:rPr>
      </w:pPr>
    </w:p>
    <w:p w:rsidR="000B4B66" w:rsidP="00431BB3" w14:paraId="600F99D5" w14:textId="1F7D78DB">
      <w:pPr>
        <w:contextualSpacing/>
        <w:rPr>
          <w:sz w:val="24"/>
          <w:szCs w:val="24"/>
        </w:rPr>
      </w:pPr>
      <w:r>
        <w:rPr>
          <w:sz w:val="24"/>
          <w:szCs w:val="24"/>
        </w:rPr>
        <w:tab/>
      </w:r>
      <w:r w:rsidRPr="6E59E866" w:rsidR="00B73747">
        <w:rPr>
          <w:sz w:val="24"/>
          <w:szCs w:val="24"/>
        </w:rPr>
        <w:t>The rule will require clinical investigators and/or sponsor representatives of clinical investigations to draft requests for waivers or alterations of consent.</w:t>
      </w:r>
      <w:r w:rsidR="00B73747">
        <w:rPr>
          <w:sz w:val="24"/>
          <w:szCs w:val="24"/>
        </w:rPr>
        <w:t xml:space="preserve"> </w:t>
      </w:r>
      <w:r w:rsidRPr="005A7CE6" w:rsidR="00B73747">
        <w:rPr>
          <w:iCs/>
          <w:sz w:val="24"/>
          <w:szCs w:val="24"/>
        </w:rPr>
        <w:t>The estimated net present value of document drafting costs associated with the rule are approximately $</w:t>
      </w:r>
      <w:r w:rsidR="00B73747">
        <w:rPr>
          <w:iCs/>
          <w:sz w:val="24"/>
          <w:szCs w:val="24"/>
        </w:rPr>
        <w:t>3.8</w:t>
      </w:r>
      <w:r w:rsidRPr="001661E2" w:rsidR="00B73747">
        <w:rPr>
          <w:iCs/>
          <w:sz w:val="24"/>
          <w:szCs w:val="24"/>
        </w:rPr>
        <w:t xml:space="preserve"> </w:t>
      </w:r>
      <w:r w:rsidRPr="005A7CE6" w:rsidR="00B73747">
        <w:rPr>
          <w:iCs/>
          <w:sz w:val="24"/>
          <w:szCs w:val="24"/>
        </w:rPr>
        <w:t>million, with a lower bound of approximately $</w:t>
      </w:r>
      <w:r w:rsidRPr="001661E2" w:rsidR="00B73747">
        <w:rPr>
          <w:iCs/>
          <w:sz w:val="24"/>
          <w:szCs w:val="24"/>
        </w:rPr>
        <w:t>1.</w:t>
      </w:r>
      <w:r w:rsidR="00B73747">
        <w:rPr>
          <w:iCs/>
          <w:sz w:val="24"/>
          <w:szCs w:val="24"/>
        </w:rPr>
        <w:t>9</w:t>
      </w:r>
      <w:r w:rsidRPr="001661E2" w:rsidR="00B73747">
        <w:rPr>
          <w:iCs/>
          <w:sz w:val="24"/>
          <w:szCs w:val="24"/>
        </w:rPr>
        <w:t xml:space="preserve"> </w:t>
      </w:r>
      <w:r w:rsidRPr="005A7CE6" w:rsidR="00B73747">
        <w:rPr>
          <w:iCs/>
          <w:sz w:val="24"/>
          <w:szCs w:val="24"/>
        </w:rPr>
        <w:t>million and an upper bound of approximately $</w:t>
      </w:r>
      <w:r w:rsidR="00B73747">
        <w:rPr>
          <w:iCs/>
          <w:sz w:val="24"/>
          <w:szCs w:val="24"/>
        </w:rPr>
        <w:t>7.6</w:t>
      </w:r>
      <w:r w:rsidRPr="001661E2" w:rsidR="00B73747">
        <w:rPr>
          <w:iCs/>
          <w:sz w:val="24"/>
          <w:szCs w:val="24"/>
        </w:rPr>
        <w:t xml:space="preserve"> </w:t>
      </w:r>
      <w:r w:rsidRPr="005A7CE6" w:rsidR="00B73747">
        <w:rPr>
          <w:iCs/>
          <w:sz w:val="24"/>
          <w:szCs w:val="24"/>
        </w:rPr>
        <w:t>million, discounted at 3 percent over 10 years. At a 7 percent discount rate, the estimated net present value of costs is approximately $</w:t>
      </w:r>
      <w:r w:rsidR="00B73747">
        <w:rPr>
          <w:iCs/>
          <w:sz w:val="24"/>
          <w:szCs w:val="24"/>
        </w:rPr>
        <w:t>3.4</w:t>
      </w:r>
      <w:r w:rsidRPr="001661E2" w:rsidR="00B73747">
        <w:rPr>
          <w:iCs/>
          <w:sz w:val="24"/>
          <w:szCs w:val="24"/>
        </w:rPr>
        <w:t xml:space="preserve"> </w:t>
      </w:r>
      <w:r w:rsidRPr="005A7CE6" w:rsidR="00B73747">
        <w:rPr>
          <w:iCs/>
          <w:sz w:val="24"/>
          <w:szCs w:val="24"/>
        </w:rPr>
        <w:t>mi</w:t>
      </w:r>
      <w:r w:rsidRPr="005756BA" w:rsidR="00B73747">
        <w:rPr>
          <w:iCs/>
          <w:sz w:val="24"/>
          <w:szCs w:val="24"/>
        </w:rPr>
        <w:t>llion, with a lower bound of approximately $</w:t>
      </w:r>
      <w:r w:rsidR="00B73747">
        <w:rPr>
          <w:iCs/>
          <w:sz w:val="24"/>
          <w:szCs w:val="24"/>
        </w:rPr>
        <w:t>1.7 million</w:t>
      </w:r>
      <w:r w:rsidRPr="005A7CE6" w:rsidR="00B73747">
        <w:rPr>
          <w:iCs/>
          <w:sz w:val="24"/>
          <w:szCs w:val="24"/>
        </w:rPr>
        <w:t xml:space="preserve"> and an upper bound of approximately $</w:t>
      </w:r>
      <w:r w:rsidR="00B73747">
        <w:rPr>
          <w:iCs/>
          <w:sz w:val="24"/>
          <w:szCs w:val="24"/>
        </w:rPr>
        <w:t>6.8</w:t>
      </w:r>
      <w:r w:rsidRPr="001661E2" w:rsidR="00B73747">
        <w:rPr>
          <w:iCs/>
          <w:sz w:val="24"/>
          <w:szCs w:val="24"/>
        </w:rPr>
        <w:t xml:space="preserve"> </w:t>
      </w:r>
      <w:r w:rsidRPr="005A7CE6" w:rsidR="00B73747">
        <w:rPr>
          <w:iCs/>
          <w:sz w:val="24"/>
          <w:szCs w:val="24"/>
        </w:rPr>
        <w:t xml:space="preserve">million. </w:t>
      </w:r>
      <w:r w:rsidR="00B73747">
        <w:rPr>
          <w:iCs/>
          <w:sz w:val="24"/>
          <w:szCs w:val="24"/>
        </w:rPr>
        <w:t>The annualized document drafting costs associated with the rule are approximately $444.2 thousand at a 3 percent discount rate, with a lower bound of approximately $222.1 thousand and an upper bound of approximately $888.4 thousand. At a 7 percent discount rate, annualized costs are approximately $480.7 thousand, with a lower bound of approximately $240.3 and an upper</w:t>
      </w:r>
      <w:r w:rsidR="00EA17E0">
        <w:rPr>
          <w:iCs/>
          <w:sz w:val="24"/>
          <w:szCs w:val="24"/>
        </w:rPr>
        <w:t xml:space="preserve"> bound of approximately $961.3 thousand.</w:t>
      </w:r>
    </w:p>
    <w:p w:rsidR="00735921" w:rsidRPr="00735921" w:rsidP="00431BB3" w14:paraId="7EBEDC6C" w14:textId="77777777">
      <w:pPr>
        <w:contextualSpacing/>
        <w:rPr>
          <w:sz w:val="24"/>
          <w:szCs w:val="24"/>
        </w:rPr>
      </w:pPr>
    </w:p>
    <w:p w:rsidR="00C252CE" w:rsidP="00431BB3" w14:paraId="120A5B25" w14:textId="174F3F0C">
      <w:pPr>
        <w:contextualSpacing/>
        <w:rPr>
          <w:iCs/>
          <w:sz w:val="24"/>
          <w:szCs w:val="24"/>
        </w:rPr>
      </w:pPr>
      <w:r w:rsidRPr="005A7CE6">
        <w:rPr>
          <w:iCs/>
          <w:sz w:val="24"/>
          <w:szCs w:val="24"/>
        </w:rPr>
        <w:t>We</w:t>
      </w:r>
      <w:r>
        <w:rPr>
          <w:iCs/>
          <w:sz w:val="24"/>
          <w:szCs w:val="24"/>
        </w:rPr>
        <w:t xml:space="preserve"> </w:t>
      </w:r>
      <w:r w:rsidRPr="005A7CE6">
        <w:rPr>
          <w:iCs/>
          <w:sz w:val="24"/>
          <w:szCs w:val="24"/>
        </w:rPr>
        <w:t xml:space="preserve">anticipate that affected IRBs will incur additional costs associated with the </w:t>
      </w:r>
      <w:r w:rsidR="00035615">
        <w:rPr>
          <w:iCs/>
          <w:sz w:val="24"/>
          <w:szCs w:val="24"/>
        </w:rPr>
        <w:t xml:space="preserve">time burden associated with </w:t>
      </w:r>
      <w:r w:rsidRPr="005A7CE6">
        <w:rPr>
          <w:iCs/>
          <w:sz w:val="24"/>
          <w:szCs w:val="24"/>
        </w:rPr>
        <w:t>review of waiver applications and recordkeeping burdens pertaining to the rule.</w:t>
      </w:r>
      <w:r w:rsidR="00035615">
        <w:rPr>
          <w:iCs/>
          <w:sz w:val="24"/>
          <w:szCs w:val="24"/>
        </w:rPr>
        <w:t xml:space="preserve">  </w:t>
      </w:r>
      <w:r w:rsidRPr="005A7CE6">
        <w:rPr>
          <w:iCs/>
          <w:sz w:val="24"/>
          <w:szCs w:val="24"/>
        </w:rPr>
        <w:t xml:space="preserve">The net present value of estimated </w:t>
      </w:r>
      <w:r w:rsidR="00035615">
        <w:rPr>
          <w:iCs/>
          <w:sz w:val="24"/>
          <w:szCs w:val="24"/>
        </w:rPr>
        <w:t xml:space="preserve">review and </w:t>
      </w:r>
      <w:r w:rsidRPr="005A7CE6">
        <w:rPr>
          <w:iCs/>
          <w:sz w:val="24"/>
          <w:szCs w:val="24"/>
        </w:rPr>
        <w:t>recordkeeping costs is approximately $</w:t>
      </w:r>
      <w:r>
        <w:rPr>
          <w:iCs/>
          <w:sz w:val="24"/>
          <w:szCs w:val="24"/>
        </w:rPr>
        <w:t>14.9</w:t>
      </w:r>
      <w:r w:rsidRPr="005A7CE6">
        <w:rPr>
          <w:iCs/>
          <w:sz w:val="24"/>
          <w:szCs w:val="24"/>
        </w:rPr>
        <w:t xml:space="preserve"> million, </w:t>
      </w:r>
      <w:r>
        <w:rPr>
          <w:iCs/>
          <w:sz w:val="24"/>
          <w:szCs w:val="24"/>
        </w:rPr>
        <w:t xml:space="preserve">with a lower bound </w:t>
      </w:r>
      <w:r w:rsidRPr="005A7CE6">
        <w:rPr>
          <w:iCs/>
          <w:sz w:val="24"/>
          <w:szCs w:val="24"/>
        </w:rPr>
        <w:t>of approximately $</w:t>
      </w:r>
      <w:r>
        <w:rPr>
          <w:iCs/>
          <w:sz w:val="24"/>
          <w:szCs w:val="24"/>
        </w:rPr>
        <w:t>7.4</w:t>
      </w:r>
      <w:r w:rsidRPr="00A222D6">
        <w:rPr>
          <w:iCs/>
          <w:sz w:val="24"/>
          <w:szCs w:val="24"/>
        </w:rPr>
        <w:t xml:space="preserve"> </w:t>
      </w:r>
      <w:r w:rsidRPr="005A7CE6">
        <w:rPr>
          <w:iCs/>
          <w:sz w:val="24"/>
          <w:szCs w:val="24"/>
        </w:rPr>
        <w:t>million and an upper bound of approximately $</w:t>
      </w:r>
      <w:r>
        <w:rPr>
          <w:iCs/>
          <w:sz w:val="24"/>
          <w:szCs w:val="24"/>
        </w:rPr>
        <w:t>29.7</w:t>
      </w:r>
      <w:r w:rsidRPr="00866DA9">
        <w:rPr>
          <w:iCs/>
          <w:sz w:val="24"/>
          <w:szCs w:val="24"/>
        </w:rPr>
        <w:t xml:space="preserve"> </w:t>
      </w:r>
      <w:r w:rsidRPr="005A7CE6">
        <w:rPr>
          <w:iCs/>
          <w:sz w:val="24"/>
          <w:szCs w:val="24"/>
        </w:rPr>
        <w:t>million, discounted at 3 percent over 10 years. At a 7 percent discount rate, the net present value is approximately $</w:t>
      </w:r>
      <w:r>
        <w:rPr>
          <w:iCs/>
          <w:sz w:val="24"/>
          <w:szCs w:val="24"/>
        </w:rPr>
        <w:t>12.2</w:t>
      </w:r>
      <w:r w:rsidRPr="00A222D6">
        <w:rPr>
          <w:iCs/>
          <w:sz w:val="24"/>
          <w:szCs w:val="24"/>
        </w:rPr>
        <w:t xml:space="preserve"> </w:t>
      </w:r>
      <w:r w:rsidRPr="005A7CE6">
        <w:rPr>
          <w:iCs/>
          <w:sz w:val="24"/>
          <w:szCs w:val="24"/>
        </w:rPr>
        <w:t>million, with a lower bound of a</w:t>
      </w:r>
      <w:r w:rsidRPr="005756BA">
        <w:rPr>
          <w:iCs/>
          <w:sz w:val="24"/>
          <w:szCs w:val="24"/>
        </w:rPr>
        <w:t>pproximately $</w:t>
      </w:r>
      <w:r>
        <w:rPr>
          <w:iCs/>
          <w:sz w:val="24"/>
          <w:szCs w:val="24"/>
        </w:rPr>
        <w:t>6.1</w:t>
      </w:r>
      <w:r w:rsidRPr="005756BA">
        <w:rPr>
          <w:iCs/>
          <w:sz w:val="24"/>
          <w:szCs w:val="24"/>
        </w:rPr>
        <w:t xml:space="preserve"> million and an upper bound of approximately $</w:t>
      </w:r>
      <w:r>
        <w:rPr>
          <w:iCs/>
          <w:sz w:val="24"/>
          <w:szCs w:val="24"/>
        </w:rPr>
        <w:t>24.5</w:t>
      </w:r>
      <w:r w:rsidRPr="00866DA9">
        <w:rPr>
          <w:iCs/>
          <w:sz w:val="24"/>
          <w:szCs w:val="24"/>
        </w:rPr>
        <w:t xml:space="preserve"> </w:t>
      </w:r>
      <w:r w:rsidRPr="005A7CE6">
        <w:rPr>
          <w:iCs/>
          <w:sz w:val="24"/>
          <w:szCs w:val="24"/>
        </w:rPr>
        <w:t xml:space="preserve">million.  Annualized </w:t>
      </w:r>
      <w:r w:rsidR="00035615">
        <w:rPr>
          <w:iCs/>
          <w:sz w:val="24"/>
          <w:szCs w:val="24"/>
        </w:rPr>
        <w:t xml:space="preserve">review and </w:t>
      </w:r>
      <w:r w:rsidRPr="005A7CE6">
        <w:rPr>
          <w:iCs/>
          <w:sz w:val="24"/>
          <w:szCs w:val="24"/>
        </w:rPr>
        <w:t>recordkeeping costs are approximately $</w:t>
      </w:r>
      <w:r>
        <w:rPr>
          <w:iCs/>
          <w:sz w:val="24"/>
          <w:szCs w:val="24"/>
        </w:rPr>
        <w:t>1.7</w:t>
      </w:r>
      <w:r w:rsidRPr="00A222D6">
        <w:rPr>
          <w:iCs/>
          <w:sz w:val="24"/>
          <w:szCs w:val="24"/>
        </w:rPr>
        <w:t xml:space="preserve"> </w:t>
      </w:r>
      <w:r w:rsidRPr="005A7CE6">
        <w:rPr>
          <w:iCs/>
          <w:sz w:val="24"/>
          <w:szCs w:val="24"/>
        </w:rPr>
        <w:t>million, with a lower bound of approximately $</w:t>
      </w:r>
      <w:r>
        <w:rPr>
          <w:iCs/>
          <w:sz w:val="24"/>
          <w:szCs w:val="24"/>
        </w:rPr>
        <w:t>871.6</w:t>
      </w:r>
      <w:r w:rsidRPr="00A222D6">
        <w:rPr>
          <w:iCs/>
          <w:sz w:val="24"/>
          <w:szCs w:val="24"/>
        </w:rPr>
        <w:t xml:space="preserve"> </w:t>
      </w:r>
      <w:r w:rsidRPr="005A7CE6">
        <w:rPr>
          <w:iCs/>
          <w:sz w:val="24"/>
          <w:szCs w:val="24"/>
        </w:rPr>
        <w:t>thousand and an upper bound of approximately $</w:t>
      </w:r>
      <w:r>
        <w:rPr>
          <w:iCs/>
          <w:sz w:val="24"/>
          <w:szCs w:val="24"/>
        </w:rPr>
        <w:t>3.5</w:t>
      </w:r>
      <w:r w:rsidRPr="00A222D6">
        <w:rPr>
          <w:iCs/>
          <w:sz w:val="24"/>
          <w:szCs w:val="24"/>
        </w:rPr>
        <w:t xml:space="preserve"> </w:t>
      </w:r>
      <w:r w:rsidRPr="005A7CE6">
        <w:rPr>
          <w:iCs/>
          <w:sz w:val="24"/>
          <w:szCs w:val="24"/>
        </w:rPr>
        <w:t>million, at 3 and 7 pe</w:t>
      </w:r>
      <w:r w:rsidRPr="005756BA">
        <w:rPr>
          <w:iCs/>
          <w:sz w:val="24"/>
          <w:szCs w:val="24"/>
        </w:rPr>
        <w:t xml:space="preserve">rcent discount rates.  </w:t>
      </w:r>
    </w:p>
    <w:p w:rsidR="00C252CE" w:rsidRPr="000B4B66" w:rsidP="00431BB3" w14:paraId="60FC3EA0" w14:textId="77777777">
      <w:pPr>
        <w:pStyle w:val="ListParagraph"/>
        <w:tabs>
          <w:tab w:val="left" w:pos="541"/>
        </w:tabs>
        <w:ind w:left="0" w:firstLine="0"/>
        <w:rPr>
          <w:sz w:val="24"/>
          <w:u w:val="none"/>
        </w:rPr>
      </w:pPr>
    </w:p>
    <w:p w:rsidR="00C57C0B" w:rsidP="00431BB3" w14:paraId="2288E975" w14:textId="008A98AB">
      <w:pPr>
        <w:pStyle w:val="ListParagraph"/>
        <w:numPr>
          <w:ilvl w:val="0"/>
          <w:numId w:val="2"/>
        </w:numPr>
        <w:tabs>
          <w:tab w:val="left" w:pos="541"/>
        </w:tabs>
        <w:ind w:left="0" w:hanging="450"/>
        <w:rPr>
          <w:sz w:val="24"/>
          <w:u w:val="none"/>
        </w:rPr>
      </w:pPr>
      <w:r>
        <w:rPr>
          <w:sz w:val="24"/>
        </w:rPr>
        <w:t>Estimates of Other Total Annual Cost Burden to Respondents and Recordkeepers/Capital Costs</w:t>
      </w:r>
    </w:p>
    <w:p w:rsidR="00C57C0B" w:rsidP="00431BB3" w14:paraId="2288E976" w14:textId="77777777">
      <w:pPr>
        <w:pStyle w:val="BodyText"/>
        <w:rPr>
          <w:sz w:val="16"/>
        </w:rPr>
      </w:pPr>
    </w:p>
    <w:p w:rsidR="00C57C0B" w:rsidP="00431BB3" w14:paraId="2288E977" w14:textId="47F63AFB">
      <w:pPr>
        <w:pStyle w:val="BodyText"/>
      </w:pPr>
      <w:r>
        <w:t>There are no capital costs, or operating and maintenance costs, associated with the information</w:t>
      </w:r>
      <w:r w:rsidR="00884007">
        <w:t xml:space="preserve"> collection.</w:t>
      </w:r>
    </w:p>
    <w:p w:rsidR="00C57C0B" w:rsidP="00431BB3" w14:paraId="2288E978" w14:textId="77777777">
      <w:pPr>
        <w:pStyle w:val="BodyText"/>
      </w:pPr>
    </w:p>
    <w:p w:rsidR="00C57C0B" w:rsidP="00431BB3" w14:paraId="2288E979" w14:textId="77777777">
      <w:pPr>
        <w:pStyle w:val="ListParagraph"/>
        <w:numPr>
          <w:ilvl w:val="0"/>
          <w:numId w:val="2"/>
        </w:numPr>
        <w:tabs>
          <w:tab w:val="left" w:pos="540"/>
        </w:tabs>
        <w:ind w:left="0" w:hanging="419"/>
        <w:rPr>
          <w:sz w:val="24"/>
          <w:u w:val="none"/>
        </w:rPr>
      </w:pPr>
      <w:r>
        <w:rPr>
          <w:sz w:val="24"/>
        </w:rPr>
        <w:t>Annualized Cost to the Federal</w:t>
      </w:r>
      <w:r>
        <w:rPr>
          <w:spacing w:val="-5"/>
          <w:sz w:val="24"/>
        </w:rPr>
        <w:t xml:space="preserve"> </w:t>
      </w:r>
      <w:r>
        <w:rPr>
          <w:sz w:val="24"/>
        </w:rPr>
        <w:t>Government</w:t>
      </w:r>
    </w:p>
    <w:p w:rsidR="00C57C0B" w:rsidP="00431BB3" w14:paraId="2288E97A" w14:textId="77777777">
      <w:pPr>
        <w:pStyle w:val="BodyText"/>
        <w:rPr>
          <w:sz w:val="16"/>
        </w:rPr>
      </w:pPr>
    </w:p>
    <w:p w:rsidR="00C57C0B" w:rsidP="00431BB3" w14:paraId="2288E97B" w14:textId="3AC7C449">
      <w:pPr>
        <w:pStyle w:val="BodyText"/>
      </w:pPr>
      <w:r>
        <w:t xml:space="preserve">We currently estimate </w:t>
      </w:r>
      <w:r w:rsidR="008E2751">
        <w:t xml:space="preserve">$8,750,000 in annual costs to the Federal government to administer </w:t>
      </w:r>
      <w:r w:rsidR="008E2751">
        <w:t>requirements in 21 CFR parts 50 and 56, including the costs of this rulemaking.</w:t>
      </w:r>
      <w:r w:rsidR="008E2751">
        <w:t xml:space="preserve"> </w:t>
      </w:r>
    </w:p>
    <w:p w:rsidR="00C57C0B" w:rsidP="00431BB3" w14:paraId="2288E97C" w14:textId="77777777">
      <w:pPr>
        <w:pStyle w:val="BodyText"/>
      </w:pPr>
    </w:p>
    <w:p w:rsidR="00C57C0B" w:rsidP="00431BB3" w14:paraId="2288E97D" w14:textId="77777777">
      <w:pPr>
        <w:pStyle w:val="ListParagraph"/>
        <w:numPr>
          <w:ilvl w:val="0"/>
          <w:numId w:val="2"/>
        </w:numPr>
        <w:tabs>
          <w:tab w:val="left" w:pos="541"/>
        </w:tabs>
        <w:ind w:left="0" w:hanging="420"/>
        <w:rPr>
          <w:sz w:val="24"/>
          <w:u w:val="none"/>
        </w:rPr>
      </w:pPr>
      <w:r>
        <w:rPr>
          <w:sz w:val="24"/>
        </w:rPr>
        <w:t>Explanation for Program Changes or</w:t>
      </w:r>
      <w:r>
        <w:rPr>
          <w:spacing w:val="-4"/>
          <w:sz w:val="24"/>
        </w:rPr>
        <w:t xml:space="preserve"> </w:t>
      </w:r>
      <w:r>
        <w:rPr>
          <w:sz w:val="24"/>
        </w:rPr>
        <w:t>Adjustments</w:t>
      </w:r>
    </w:p>
    <w:p w:rsidR="00C57C0B" w:rsidP="00431BB3" w14:paraId="2288E97E" w14:textId="77777777">
      <w:pPr>
        <w:pStyle w:val="BodyText"/>
        <w:rPr>
          <w:sz w:val="16"/>
        </w:rPr>
      </w:pPr>
    </w:p>
    <w:p w:rsidR="00C478FA" w:rsidRPr="00884AF1" w:rsidP="00431BB3" w14:paraId="60AB5669" w14:textId="023CA8FB">
      <w:pPr>
        <w:pStyle w:val="BodyText"/>
        <w:rPr>
          <w:color w:val="FF0000"/>
        </w:rPr>
      </w:pPr>
      <w:r w:rsidRPr="009C30AA">
        <w:rPr>
          <w:rFonts w:eastAsia="Calibri"/>
        </w:rPr>
        <w:t>We estimate the rulemaking will result in an annual burden increase of 1,102 responses and 1,102 hours from recordkeeping and disclosure activity relating to the revised regulations</w:t>
      </w:r>
      <w:r w:rsidR="00B20893">
        <w:rPr>
          <w:rFonts w:eastAsia="Calibri"/>
        </w:rPr>
        <w:t xml:space="preserve"> in 21 CFR parts 50 and 56.</w:t>
      </w:r>
    </w:p>
    <w:p w:rsidR="00C57C0B" w:rsidP="00431BB3" w14:paraId="2288E980" w14:textId="77777777">
      <w:pPr>
        <w:pStyle w:val="BodyText"/>
        <w:rPr>
          <w:sz w:val="16"/>
        </w:rPr>
      </w:pPr>
    </w:p>
    <w:p w:rsidR="00C57C0B" w:rsidP="00431BB3" w14:paraId="2288E981" w14:textId="77777777">
      <w:pPr>
        <w:pStyle w:val="ListParagraph"/>
        <w:numPr>
          <w:ilvl w:val="0"/>
          <w:numId w:val="2"/>
        </w:numPr>
        <w:tabs>
          <w:tab w:val="left" w:pos="540"/>
        </w:tabs>
        <w:ind w:left="0" w:hanging="420"/>
        <w:rPr>
          <w:sz w:val="24"/>
          <w:u w:val="none"/>
        </w:rPr>
      </w:pPr>
      <w:r>
        <w:rPr>
          <w:sz w:val="24"/>
        </w:rPr>
        <w:t>Plans for Tabulation and Publication and Project Time</w:t>
      </w:r>
      <w:r>
        <w:rPr>
          <w:spacing w:val="-3"/>
          <w:sz w:val="24"/>
        </w:rPr>
        <w:t xml:space="preserve"> </w:t>
      </w:r>
      <w:r>
        <w:rPr>
          <w:sz w:val="24"/>
        </w:rPr>
        <w:t>Schedule</w:t>
      </w:r>
    </w:p>
    <w:p w:rsidR="00C57C0B" w:rsidP="00431BB3" w14:paraId="2288E982" w14:textId="77777777">
      <w:pPr>
        <w:pStyle w:val="BodyText"/>
        <w:rPr>
          <w:sz w:val="16"/>
        </w:rPr>
      </w:pPr>
    </w:p>
    <w:p w:rsidR="00C57C0B" w:rsidP="00431BB3" w14:paraId="2288E983" w14:textId="67567EA9">
      <w:pPr>
        <w:pStyle w:val="BodyText"/>
      </w:pPr>
      <w:r w:rsidRPr="005C71CA">
        <w:rPr>
          <w:rFonts w:eastAsia="Calibri"/>
        </w:rPr>
        <w:t>This information collected will not be published or tabulated</w:t>
      </w:r>
      <w:r w:rsidR="00EA632A">
        <w:t>.</w:t>
      </w:r>
    </w:p>
    <w:p w:rsidR="00C57C0B" w:rsidP="00431BB3" w14:paraId="2288E984" w14:textId="77777777">
      <w:pPr>
        <w:pStyle w:val="BodyText"/>
        <w:rPr>
          <w:sz w:val="23"/>
        </w:rPr>
      </w:pPr>
    </w:p>
    <w:p w:rsidR="00C57C0B" w:rsidP="00431BB3" w14:paraId="2288E985" w14:textId="77777777">
      <w:pPr>
        <w:pStyle w:val="ListParagraph"/>
        <w:numPr>
          <w:ilvl w:val="0"/>
          <w:numId w:val="2"/>
        </w:numPr>
        <w:tabs>
          <w:tab w:val="left" w:pos="540"/>
        </w:tabs>
        <w:ind w:left="0" w:hanging="419"/>
        <w:rPr>
          <w:sz w:val="24"/>
          <w:u w:val="none"/>
        </w:rPr>
      </w:pPr>
      <w:r>
        <w:rPr>
          <w:sz w:val="24"/>
        </w:rPr>
        <w:t>Reason(s) Display of OMB Expiration Date is</w:t>
      </w:r>
      <w:r>
        <w:rPr>
          <w:spacing w:val="-10"/>
          <w:sz w:val="24"/>
        </w:rPr>
        <w:t xml:space="preserve"> </w:t>
      </w:r>
      <w:r>
        <w:rPr>
          <w:sz w:val="24"/>
        </w:rPr>
        <w:t>Inappropriate</w:t>
      </w:r>
    </w:p>
    <w:p w:rsidR="00C57C0B" w:rsidP="00431BB3" w14:paraId="2288E986" w14:textId="77777777">
      <w:pPr>
        <w:pStyle w:val="BodyText"/>
        <w:rPr>
          <w:sz w:val="16"/>
        </w:rPr>
      </w:pPr>
    </w:p>
    <w:p w:rsidR="00F873E8" w:rsidP="00431BB3" w14:paraId="7F972E6C" w14:textId="104D5306">
      <w:pPr>
        <w:pStyle w:val="BodyText"/>
      </w:pPr>
      <w:r>
        <w:t>FDA will display the OMB control number as required by 5 CFR 1320.5</w:t>
      </w:r>
      <w:r w:rsidR="008A52BC">
        <w:t>.</w:t>
      </w:r>
    </w:p>
    <w:p w:rsidR="00C57C0B" w:rsidP="00431BB3" w14:paraId="2288E988" w14:textId="77777777">
      <w:pPr>
        <w:pStyle w:val="BodyText"/>
      </w:pPr>
    </w:p>
    <w:p w:rsidR="00C57C0B" w:rsidP="00431BB3" w14:paraId="2288E989" w14:textId="20A42315">
      <w:pPr>
        <w:pStyle w:val="ListParagraph"/>
        <w:numPr>
          <w:ilvl w:val="0"/>
          <w:numId w:val="2"/>
        </w:numPr>
        <w:tabs>
          <w:tab w:val="left" w:pos="541"/>
        </w:tabs>
        <w:ind w:left="0" w:hanging="420"/>
        <w:rPr>
          <w:sz w:val="24"/>
          <w:u w:val="none"/>
        </w:rPr>
      </w:pPr>
      <w:r>
        <w:rPr>
          <w:sz w:val="24"/>
        </w:rPr>
        <w:t>Exceptions to the Certification for Paperwork Reduction Act</w:t>
      </w:r>
      <w:r>
        <w:rPr>
          <w:spacing w:val="-9"/>
          <w:sz w:val="24"/>
        </w:rPr>
        <w:t xml:space="preserve"> </w:t>
      </w:r>
      <w:r>
        <w:rPr>
          <w:sz w:val="24"/>
        </w:rPr>
        <w:t>Submissions</w:t>
      </w:r>
    </w:p>
    <w:p w:rsidR="00C57C0B" w:rsidP="00431BB3" w14:paraId="2288E98A" w14:textId="77777777">
      <w:pPr>
        <w:pStyle w:val="BodyText"/>
        <w:rPr>
          <w:sz w:val="16"/>
        </w:rPr>
      </w:pPr>
    </w:p>
    <w:p w:rsidR="00C57C0B" w:rsidP="00431BB3" w14:paraId="2288E98B" w14:textId="77777777">
      <w:pPr>
        <w:pStyle w:val="BodyText"/>
      </w:pPr>
      <w:r>
        <w:t>There are no exceptions to the certification.</w:t>
      </w:r>
    </w:p>
    <w:sectPr w:rsidSect="00431BB3">
      <w:headerReference w:type="default" r:id="rId10"/>
      <w:footerReference w:type="default" r:id="rId11"/>
      <w:pgSz w:w="12240" w:h="15840"/>
      <w:pgMar w:top="1440" w:right="1440" w:bottom="1440" w:left="1440" w:header="432" w:footer="432"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C0B" w14:paraId="2288E98C" w14:textId="0AF6F7F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9491345</wp:posOffset>
              </wp:positionV>
              <wp:extent cx="127000" cy="194310"/>
              <wp:effectExtent l="3175" t="4445" r="317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57C0B" w14:textId="30644224">
                          <w:pPr>
                            <w:pStyle w:val="BodyText"/>
                            <w:spacing w:before="10"/>
                            <w:ind w:left="4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747.35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57C0B" w14:paraId="2288E98E" w14:textId="30644224">
                    <w:pPr>
                      <w:pStyle w:val="BodyText"/>
                      <w:spacing w:before="10"/>
                      <w:ind w:left="4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2E27" w14:paraId="5125C900" w14:textId="77777777">
      <w:r>
        <w:separator/>
      </w:r>
    </w:p>
  </w:footnote>
  <w:footnote w:type="continuationSeparator" w:id="1">
    <w:p w:rsidR="00F52E27" w14:paraId="69B3548F" w14:textId="77777777">
      <w:r>
        <w:continuationSeparator/>
      </w:r>
    </w:p>
  </w:footnote>
  <w:footnote w:id="2">
    <w:p w:rsidR="004F0A4E" w14:paraId="572DF53C" w14:textId="08EE001B">
      <w:pPr>
        <w:pStyle w:val="FootnoteText"/>
      </w:pPr>
      <w:r>
        <w:rPr>
          <w:rStyle w:val="FootnoteReference"/>
        </w:rPr>
        <w:footnoteRef/>
      </w:r>
      <w:r>
        <w:t xml:space="preserve"> 45 CFR 46.116(</w:t>
      </w:r>
      <w:r w:rsidR="00E41487">
        <w:t>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8964436"/>
      <w:docPartObj>
        <w:docPartGallery w:val="Page Numbers (Top of Page)"/>
        <w:docPartUnique/>
      </w:docPartObj>
    </w:sdtPr>
    <w:sdtEndPr>
      <w:rPr>
        <w:noProof/>
      </w:rPr>
    </w:sdtEndPr>
    <w:sdtContent>
      <w:p w:rsidR="001834F6" w14:paraId="1C418CFA" w14:textId="77777777">
        <w:pPr>
          <w:pStyle w:val="Header"/>
        </w:pPr>
      </w:p>
      <w:p w:rsidR="001834F6" w14:paraId="5C2D0007" w14:textId="77777777">
        <w:pPr>
          <w:pStyle w:val="Header"/>
        </w:pPr>
      </w:p>
      <w:p w:rsidR="001834F6" w14:paraId="7D9D7A8D" w14:textId="77777777">
        <w:pPr>
          <w:pStyle w:val="Header"/>
        </w:pPr>
      </w:p>
      <w:p w:rsidR="001834F6" w:rsidP="001834F6" w14:paraId="499B437F" w14:textId="1984257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834F6" w14:paraId="457D75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653CF5"/>
    <w:multiLevelType w:val="hybridMultilevel"/>
    <w:tmpl w:val="CF3E10A4"/>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6A45152D"/>
    <w:multiLevelType w:val="hybridMultilevel"/>
    <w:tmpl w:val="2F2873DE"/>
    <w:lvl w:ilvl="0">
      <w:start w:val="1"/>
      <w:numFmt w:val="decimal"/>
      <w:lvlText w:val="%1."/>
      <w:lvlJc w:val="left"/>
      <w:pPr>
        <w:ind w:left="420" w:hanging="301"/>
      </w:pPr>
      <w:rPr>
        <w:rFonts w:ascii="Times New Roman" w:eastAsia="Times New Roman" w:hAnsi="Times New Roman" w:cs="Times New Roman" w:hint="default"/>
        <w:spacing w:val="-2"/>
        <w:w w:val="100"/>
        <w:sz w:val="24"/>
        <w:szCs w:val="24"/>
      </w:rPr>
    </w:lvl>
    <w:lvl w:ilvl="1">
      <w:start w:val="0"/>
      <w:numFmt w:val="bullet"/>
      <w:lvlText w:val="•"/>
      <w:lvlJc w:val="left"/>
      <w:pPr>
        <w:ind w:left="1356" w:hanging="301"/>
      </w:pPr>
      <w:rPr>
        <w:rFonts w:hint="default"/>
      </w:rPr>
    </w:lvl>
    <w:lvl w:ilvl="2">
      <w:start w:val="0"/>
      <w:numFmt w:val="bullet"/>
      <w:lvlText w:val="•"/>
      <w:lvlJc w:val="left"/>
      <w:pPr>
        <w:ind w:left="2292" w:hanging="301"/>
      </w:pPr>
      <w:rPr>
        <w:rFonts w:hint="default"/>
      </w:rPr>
    </w:lvl>
    <w:lvl w:ilvl="3">
      <w:start w:val="0"/>
      <w:numFmt w:val="bullet"/>
      <w:lvlText w:val="•"/>
      <w:lvlJc w:val="left"/>
      <w:pPr>
        <w:ind w:left="3228" w:hanging="301"/>
      </w:pPr>
      <w:rPr>
        <w:rFonts w:hint="default"/>
      </w:rPr>
    </w:lvl>
    <w:lvl w:ilvl="4">
      <w:start w:val="0"/>
      <w:numFmt w:val="bullet"/>
      <w:lvlText w:val="•"/>
      <w:lvlJc w:val="left"/>
      <w:pPr>
        <w:ind w:left="4164" w:hanging="301"/>
      </w:pPr>
      <w:rPr>
        <w:rFonts w:hint="default"/>
      </w:rPr>
    </w:lvl>
    <w:lvl w:ilvl="5">
      <w:start w:val="0"/>
      <w:numFmt w:val="bullet"/>
      <w:lvlText w:val="•"/>
      <w:lvlJc w:val="left"/>
      <w:pPr>
        <w:ind w:left="5100" w:hanging="301"/>
      </w:pPr>
      <w:rPr>
        <w:rFonts w:hint="default"/>
      </w:rPr>
    </w:lvl>
    <w:lvl w:ilvl="6">
      <w:start w:val="0"/>
      <w:numFmt w:val="bullet"/>
      <w:lvlText w:val="•"/>
      <w:lvlJc w:val="left"/>
      <w:pPr>
        <w:ind w:left="6036" w:hanging="301"/>
      </w:pPr>
      <w:rPr>
        <w:rFonts w:hint="default"/>
      </w:rPr>
    </w:lvl>
    <w:lvl w:ilvl="7">
      <w:start w:val="0"/>
      <w:numFmt w:val="bullet"/>
      <w:lvlText w:val="•"/>
      <w:lvlJc w:val="left"/>
      <w:pPr>
        <w:ind w:left="6972" w:hanging="301"/>
      </w:pPr>
      <w:rPr>
        <w:rFonts w:hint="default"/>
      </w:rPr>
    </w:lvl>
    <w:lvl w:ilvl="8">
      <w:start w:val="0"/>
      <w:numFmt w:val="bullet"/>
      <w:lvlText w:val="•"/>
      <w:lvlJc w:val="left"/>
      <w:pPr>
        <w:ind w:left="7908" w:hanging="301"/>
      </w:pPr>
      <w:rPr>
        <w:rFonts w:hint="default"/>
      </w:rPr>
    </w:lvl>
  </w:abstractNum>
  <w:abstractNum w:abstractNumId="2">
    <w:nsid w:val="79493AFA"/>
    <w:multiLevelType w:val="multilevel"/>
    <w:tmpl w:val="0A303DAA"/>
    <w:lvl w:ilvl="0">
      <w:start w:val="50"/>
      <w:numFmt w:val="decimal"/>
      <w:lvlText w:val="%1"/>
      <w:lvlJc w:val="left"/>
      <w:pPr>
        <w:ind w:left="2730" w:hanging="1171"/>
      </w:pPr>
      <w:rPr>
        <w:rFonts w:hint="default"/>
      </w:rPr>
    </w:lvl>
    <w:lvl w:ilvl="1">
      <w:start w:val="24"/>
      <w:numFmt w:val="decimal"/>
      <w:lvlText w:val="%1.%2"/>
      <w:lvlJc w:val="left"/>
      <w:pPr>
        <w:ind w:left="2730" w:hanging="1171"/>
      </w:pPr>
      <w:rPr>
        <w:rFonts w:ascii="Times New Roman" w:eastAsia="Times New Roman" w:hAnsi="Times New Roman" w:cs="Times New Roman" w:hint="default"/>
        <w:spacing w:val="-3"/>
        <w:w w:val="100"/>
        <w:sz w:val="24"/>
        <w:szCs w:val="24"/>
      </w:rPr>
    </w:lvl>
    <w:lvl w:ilvl="2">
      <w:start w:val="0"/>
      <w:numFmt w:val="bullet"/>
      <w:lvlText w:val="•"/>
      <w:lvlJc w:val="left"/>
      <w:pPr>
        <w:ind w:left="4132" w:hanging="1171"/>
      </w:pPr>
      <w:rPr>
        <w:rFonts w:hint="default"/>
      </w:rPr>
    </w:lvl>
    <w:lvl w:ilvl="3">
      <w:start w:val="0"/>
      <w:numFmt w:val="bullet"/>
      <w:lvlText w:val="•"/>
      <w:lvlJc w:val="left"/>
      <w:pPr>
        <w:ind w:left="4838" w:hanging="1171"/>
      </w:pPr>
      <w:rPr>
        <w:rFonts w:hint="default"/>
      </w:rPr>
    </w:lvl>
    <w:lvl w:ilvl="4">
      <w:start w:val="0"/>
      <w:numFmt w:val="bullet"/>
      <w:lvlText w:val="•"/>
      <w:lvlJc w:val="left"/>
      <w:pPr>
        <w:ind w:left="5544" w:hanging="1171"/>
      </w:pPr>
      <w:rPr>
        <w:rFonts w:hint="default"/>
      </w:rPr>
    </w:lvl>
    <w:lvl w:ilvl="5">
      <w:start w:val="0"/>
      <w:numFmt w:val="bullet"/>
      <w:lvlText w:val="•"/>
      <w:lvlJc w:val="left"/>
      <w:pPr>
        <w:ind w:left="6250" w:hanging="1171"/>
      </w:pPr>
      <w:rPr>
        <w:rFonts w:hint="default"/>
      </w:rPr>
    </w:lvl>
    <w:lvl w:ilvl="6">
      <w:start w:val="0"/>
      <w:numFmt w:val="bullet"/>
      <w:lvlText w:val="•"/>
      <w:lvlJc w:val="left"/>
      <w:pPr>
        <w:ind w:left="6956" w:hanging="1171"/>
      </w:pPr>
      <w:rPr>
        <w:rFonts w:hint="default"/>
      </w:rPr>
    </w:lvl>
    <w:lvl w:ilvl="7">
      <w:start w:val="0"/>
      <w:numFmt w:val="bullet"/>
      <w:lvlText w:val="•"/>
      <w:lvlJc w:val="left"/>
      <w:pPr>
        <w:ind w:left="7662" w:hanging="1171"/>
      </w:pPr>
      <w:rPr>
        <w:rFonts w:hint="default"/>
      </w:rPr>
    </w:lvl>
    <w:lvl w:ilvl="8">
      <w:start w:val="0"/>
      <w:numFmt w:val="bullet"/>
      <w:lvlText w:val="•"/>
      <w:lvlJc w:val="left"/>
      <w:pPr>
        <w:ind w:left="8368" w:hanging="1171"/>
      </w:pPr>
      <w:rPr>
        <w:rFonts w:hint="default"/>
      </w:rPr>
    </w:lvl>
  </w:abstractNum>
  <w:num w:numId="1" w16cid:durableId="661087625">
    <w:abstractNumId w:val="2"/>
  </w:num>
  <w:num w:numId="2" w16cid:durableId="715740206">
    <w:abstractNumId w:val="1"/>
  </w:num>
  <w:num w:numId="3" w16cid:durableId="8743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0B"/>
    <w:rsid w:val="00007975"/>
    <w:rsid w:val="0001316D"/>
    <w:rsid w:val="000137C0"/>
    <w:rsid w:val="000202F5"/>
    <w:rsid w:val="00031343"/>
    <w:rsid w:val="00035615"/>
    <w:rsid w:val="00036BE2"/>
    <w:rsid w:val="00040881"/>
    <w:rsid w:val="000460FF"/>
    <w:rsid w:val="0004793F"/>
    <w:rsid w:val="00053D8F"/>
    <w:rsid w:val="000760FF"/>
    <w:rsid w:val="0008657C"/>
    <w:rsid w:val="000935F9"/>
    <w:rsid w:val="000972A6"/>
    <w:rsid w:val="000A5B4E"/>
    <w:rsid w:val="000A5C35"/>
    <w:rsid w:val="000A7BA8"/>
    <w:rsid w:val="000B4B66"/>
    <w:rsid w:val="000B6733"/>
    <w:rsid w:val="000C5433"/>
    <w:rsid w:val="000C7630"/>
    <w:rsid w:val="000D78CB"/>
    <w:rsid w:val="000E5FAE"/>
    <w:rsid w:val="000F2033"/>
    <w:rsid w:val="00102751"/>
    <w:rsid w:val="0010279F"/>
    <w:rsid w:val="001137DC"/>
    <w:rsid w:val="00114C4F"/>
    <w:rsid w:val="00116D51"/>
    <w:rsid w:val="001323CE"/>
    <w:rsid w:val="00133BBB"/>
    <w:rsid w:val="0015497A"/>
    <w:rsid w:val="00164E78"/>
    <w:rsid w:val="001661E2"/>
    <w:rsid w:val="00167039"/>
    <w:rsid w:val="001720BC"/>
    <w:rsid w:val="0017443C"/>
    <w:rsid w:val="00177DD0"/>
    <w:rsid w:val="0018159D"/>
    <w:rsid w:val="001815FB"/>
    <w:rsid w:val="00182B27"/>
    <w:rsid w:val="001834F6"/>
    <w:rsid w:val="001876AD"/>
    <w:rsid w:val="001B7AB5"/>
    <w:rsid w:val="001D0346"/>
    <w:rsid w:val="001D6921"/>
    <w:rsid w:val="001E076F"/>
    <w:rsid w:val="001E638C"/>
    <w:rsid w:val="001F3835"/>
    <w:rsid w:val="001F4A0F"/>
    <w:rsid w:val="001F6ECB"/>
    <w:rsid w:val="00201B7D"/>
    <w:rsid w:val="00202636"/>
    <w:rsid w:val="00202915"/>
    <w:rsid w:val="002052A0"/>
    <w:rsid w:val="00215326"/>
    <w:rsid w:val="0022745F"/>
    <w:rsid w:val="00235FB8"/>
    <w:rsid w:val="002425A9"/>
    <w:rsid w:val="0025273D"/>
    <w:rsid w:val="00254387"/>
    <w:rsid w:val="00260B71"/>
    <w:rsid w:val="00275571"/>
    <w:rsid w:val="0028424B"/>
    <w:rsid w:val="00286087"/>
    <w:rsid w:val="00290A6F"/>
    <w:rsid w:val="00297116"/>
    <w:rsid w:val="002A39AE"/>
    <w:rsid w:val="002B32B9"/>
    <w:rsid w:val="002D19A4"/>
    <w:rsid w:val="002D4E0A"/>
    <w:rsid w:val="002F6F3E"/>
    <w:rsid w:val="00301E73"/>
    <w:rsid w:val="0030201C"/>
    <w:rsid w:val="003040DF"/>
    <w:rsid w:val="0030500C"/>
    <w:rsid w:val="00314BB9"/>
    <w:rsid w:val="0031798C"/>
    <w:rsid w:val="0032194B"/>
    <w:rsid w:val="00322EB5"/>
    <w:rsid w:val="00335B7F"/>
    <w:rsid w:val="00335F8D"/>
    <w:rsid w:val="00340315"/>
    <w:rsid w:val="00355B37"/>
    <w:rsid w:val="00365F10"/>
    <w:rsid w:val="003665C2"/>
    <w:rsid w:val="00374286"/>
    <w:rsid w:val="003812FA"/>
    <w:rsid w:val="003A258A"/>
    <w:rsid w:val="003A3038"/>
    <w:rsid w:val="003B114C"/>
    <w:rsid w:val="003B3564"/>
    <w:rsid w:val="003B4700"/>
    <w:rsid w:val="003C7CEF"/>
    <w:rsid w:val="003D319D"/>
    <w:rsid w:val="003F076A"/>
    <w:rsid w:val="003F2882"/>
    <w:rsid w:val="003F2C39"/>
    <w:rsid w:val="003F5536"/>
    <w:rsid w:val="003F77F0"/>
    <w:rsid w:val="004119EF"/>
    <w:rsid w:val="00411EEF"/>
    <w:rsid w:val="00415C30"/>
    <w:rsid w:val="00417AE4"/>
    <w:rsid w:val="00422BBF"/>
    <w:rsid w:val="00425413"/>
    <w:rsid w:val="00425CBD"/>
    <w:rsid w:val="00430683"/>
    <w:rsid w:val="00431BB3"/>
    <w:rsid w:val="0043634A"/>
    <w:rsid w:val="004378E9"/>
    <w:rsid w:val="00441042"/>
    <w:rsid w:val="00450336"/>
    <w:rsid w:val="0045075E"/>
    <w:rsid w:val="0046009D"/>
    <w:rsid w:val="0046598D"/>
    <w:rsid w:val="00467A4D"/>
    <w:rsid w:val="004718DF"/>
    <w:rsid w:val="00476B2D"/>
    <w:rsid w:val="00477684"/>
    <w:rsid w:val="004846A7"/>
    <w:rsid w:val="00492507"/>
    <w:rsid w:val="00496621"/>
    <w:rsid w:val="004A01EE"/>
    <w:rsid w:val="004A5BA7"/>
    <w:rsid w:val="004A73F1"/>
    <w:rsid w:val="004B115A"/>
    <w:rsid w:val="004C0D1C"/>
    <w:rsid w:val="004C2DF4"/>
    <w:rsid w:val="004D2370"/>
    <w:rsid w:val="004D318F"/>
    <w:rsid w:val="004D3307"/>
    <w:rsid w:val="004D3845"/>
    <w:rsid w:val="004E5DC4"/>
    <w:rsid w:val="004F0A4E"/>
    <w:rsid w:val="00504912"/>
    <w:rsid w:val="00510851"/>
    <w:rsid w:val="005141B0"/>
    <w:rsid w:val="005304A9"/>
    <w:rsid w:val="00536499"/>
    <w:rsid w:val="00536835"/>
    <w:rsid w:val="00547A46"/>
    <w:rsid w:val="005502AD"/>
    <w:rsid w:val="005577C1"/>
    <w:rsid w:val="005672B8"/>
    <w:rsid w:val="005703D0"/>
    <w:rsid w:val="005756BA"/>
    <w:rsid w:val="00580ACB"/>
    <w:rsid w:val="00583639"/>
    <w:rsid w:val="00584BD9"/>
    <w:rsid w:val="00587AE2"/>
    <w:rsid w:val="00595ABE"/>
    <w:rsid w:val="005A5083"/>
    <w:rsid w:val="005A7CE6"/>
    <w:rsid w:val="005C2B2F"/>
    <w:rsid w:val="005C5FAA"/>
    <w:rsid w:val="005C71CA"/>
    <w:rsid w:val="005C7379"/>
    <w:rsid w:val="005D07C5"/>
    <w:rsid w:val="005D7F4B"/>
    <w:rsid w:val="005F48B7"/>
    <w:rsid w:val="005F5165"/>
    <w:rsid w:val="00613E5C"/>
    <w:rsid w:val="00620BC5"/>
    <w:rsid w:val="00622CBF"/>
    <w:rsid w:val="00623CFD"/>
    <w:rsid w:val="00635EAD"/>
    <w:rsid w:val="00636771"/>
    <w:rsid w:val="00636C13"/>
    <w:rsid w:val="00637156"/>
    <w:rsid w:val="0065054D"/>
    <w:rsid w:val="00652829"/>
    <w:rsid w:val="00663F3E"/>
    <w:rsid w:val="00664052"/>
    <w:rsid w:val="00666ED7"/>
    <w:rsid w:val="006676EB"/>
    <w:rsid w:val="00673060"/>
    <w:rsid w:val="006801BA"/>
    <w:rsid w:val="006B2505"/>
    <w:rsid w:val="006C2CFC"/>
    <w:rsid w:val="006C600D"/>
    <w:rsid w:val="006D11F0"/>
    <w:rsid w:val="006E2A63"/>
    <w:rsid w:val="006E375C"/>
    <w:rsid w:val="006E70DA"/>
    <w:rsid w:val="0070164E"/>
    <w:rsid w:val="00706B34"/>
    <w:rsid w:val="0071311A"/>
    <w:rsid w:val="00720EB9"/>
    <w:rsid w:val="00730977"/>
    <w:rsid w:val="00732E76"/>
    <w:rsid w:val="00735921"/>
    <w:rsid w:val="00736C37"/>
    <w:rsid w:val="00741122"/>
    <w:rsid w:val="00742EEF"/>
    <w:rsid w:val="0074512E"/>
    <w:rsid w:val="00745996"/>
    <w:rsid w:val="0075475A"/>
    <w:rsid w:val="00755C6E"/>
    <w:rsid w:val="00777335"/>
    <w:rsid w:val="00781A3A"/>
    <w:rsid w:val="007828C1"/>
    <w:rsid w:val="00783C5F"/>
    <w:rsid w:val="00790DF0"/>
    <w:rsid w:val="00795CF1"/>
    <w:rsid w:val="0079629C"/>
    <w:rsid w:val="007A6102"/>
    <w:rsid w:val="007B2DEB"/>
    <w:rsid w:val="007B6D67"/>
    <w:rsid w:val="007C4D6E"/>
    <w:rsid w:val="007C5715"/>
    <w:rsid w:val="007C776F"/>
    <w:rsid w:val="007D5799"/>
    <w:rsid w:val="007E037C"/>
    <w:rsid w:val="007E220E"/>
    <w:rsid w:val="007E5058"/>
    <w:rsid w:val="007F2B6D"/>
    <w:rsid w:val="00802A9A"/>
    <w:rsid w:val="008063DA"/>
    <w:rsid w:val="008106A0"/>
    <w:rsid w:val="00815024"/>
    <w:rsid w:val="0082208F"/>
    <w:rsid w:val="00825F0F"/>
    <w:rsid w:val="00831A49"/>
    <w:rsid w:val="00842DC2"/>
    <w:rsid w:val="00845514"/>
    <w:rsid w:val="00856862"/>
    <w:rsid w:val="00866DA9"/>
    <w:rsid w:val="00881F27"/>
    <w:rsid w:val="008820DB"/>
    <w:rsid w:val="00884007"/>
    <w:rsid w:val="00884AF1"/>
    <w:rsid w:val="0088612E"/>
    <w:rsid w:val="008901BF"/>
    <w:rsid w:val="00891E80"/>
    <w:rsid w:val="008A52BC"/>
    <w:rsid w:val="008B1445"/>
    <w:rsid w:val="008B3C8C"/>
    <w:rsid w:val="008C4FF5"/>
    <w:rsid w:val="008C605D"/>
    <w:rsid w:val="008C61D1"/>
    <w:rsid w:val="008C73A8"/>
    <w:rsid w:val="008D1C81"/>
    <w:rsid w:val="008D5B04"/>
    <w:rsid w:val="008E2751"/>
    <w:rsid w:val="008E3985"/>
    <w:rsid w:val="0090025D"/>
    <w:rsid w:val="00913E0C"/>
    <w:rsid w:val="00915D5B"/>
    <w:rsid w:val="00922CDF"/>
    <w:rsid w:val="00925BE2"/>
    <w:rsid w:val="00936E52"/>
    <w:rsid w:val="00937F8E"/>
    <w:rsid w:val="009420DD"/>
    <w:rsid w:val="0094303A"/>
    <w:rsid w:val="009452AC"/>
    <w:rsid w:val="0095264F"/>
    <w:rsid w:val="00953F68"/>
    <w:rsid w:val="00956176"/>
    <w:rsid w:val="009648CB"/>
    <w:rsid w:val="00965841"/>
    <w:rsid w:val="00966459"/>
    <w:rsid w:val="00971835"/>
    <w:rsid w:val="00971C13"/>
    <w:rsid w:val="00975417"/>
    <w:rsid w:val="0098167A"/>
    <w:rsid w:val="009816F5"/>
    <w:rsid w:val="00981DAF"/>
    <w:rsid w:val="009958A5"/>
    <w:rsid w:val="00995AE6"/>
    <w:rsid w:val="009A4E88"/>
    <w:rsid w:val="009A5761"/>
    <w:rsid w:val="009B2B5A"/>
    <w:rsid w:val="009B74FE"/>
    <w:rsid w:val="009C30AA"/>
    <w:rsid w:val="009C54B4"/>
    <w:rsid w:val="009D6080"/>
    <w:rsid w:val="009E45DF"/>
    <w:rsid w:val="009E54F7"/>
    <w:rsid w:val="009F1A0E"/>
    <w:rsid w:val="00A04429"/>
    <w:rsid w:val="00A1099F"/>
    <w:rsid w:val="00A10F5D"/>
    <w:rsid w:val="00A14116"/>
    <w:rsid w:val="00A17EEF"/>
    <w:rsid w:val="00A2045C"/>
    <w:rsid w:val="00A2157D"/>
    <w:rsid w:val="00A222D6"/>
    <w:rsid w:val="00A25CFE"/>
    <w:rsid w:val="00A27DD0"/>
    <w:rsid w:val="00A30729"/>
    <w:rsid w:val="00A308FF"/>
    <w:rsid w:val="00A378D8"/>
    <w:rsid w:val="00A4451F"/>
    <w:rsid w:val="00A4521C"/>
    <w:rsid w:val="00A512E0"/>
    <w:rsid w:val="00A56EAC"/>
    <w:rsid w:val="00A65082"/>
    <w:rsid w:val="00A6582D"/>
    <w:rsid w:val="00A664BD"/>
    <w:rsid w:val="00A70E2E"/>
    <w:rsid w:val="00A8222A"/>
    <w:rsid w:val="00A945BC"/>
    <w:rsid w:val="00AA003A"/>
    <w:rsid w:val="00AA1CF5"/>
    <w:rsid w:val="00AB2F6B"/>
    <w:rsid w:val="00AC1201"/>
    <w:rsid w:val="00AC1F6E"/>
    <w:rsid w:val="00AC5F90"/>
    <w:rsid w:val="00AD1D65"/>
    <w:rsid w:val="00AD61F7"/>
    <w:rsid w:val="00AD7B95"/>
    <w:rsid w:val="00AE4C0D"/>
    <w:rsid w:val="00AF43F8"/>
    <w:rsid w:val="00B02A55"/>
    <w:rsid w:val="00B1747E"/>
    <w:rsid w:val="00B20893"/>
    <w:rsid w:val="00B27ECD"/>
    <w:rsid w:val="00B318A8"/>
    <w:rsid w:val="00B34387"/>
    <w:rsid w:val="00B359B9"/>
    <w:rsid w:val="00B44A62"/>
    <w:rsid w:val="00B5178D"/>
    <w:rsid w:val="00B57EC2"/>
    <w:rsid w:val="00B64722"/>
    <w:rsid w:val="00B6481E"/>
    <w:rsid w:val="00B70426"/>
    <w:rsid w:val="00B72515"/>
    <w:rsid w:val="00B73747"/>
    <w:rsid w:val="00B73B8B"/>
    <w:rsid w:val="00B8039A"/>
    <w:rsid w:val="00B9441D"/>
    <w:rsid w:val="00B96B26"/>
    <w:rsid w:val="00BA01B3"/>
    <w:rsid w:val="00BA787E"/>
    <w:rsid w:val="00BA7A27"/>
    <w:rsid w:val="00BB4498"/>
    <w:rsid w:val="00BC6DCF"/>
    <w:rsid w:val="00BD168B"/>
    <w:rsid w:val="00BD3119"/>
    <w:rsid w:val="00BD4776"/>
    <w:rsid w:val="00BD7A64"/>
    <w:rsid w:val="00BE1265"/>
    <w:rsid w:val="00BE1847"/>
    <w:rsid w:val="00BE59D4"/>
    <w:rsid w:val="00BF17CA"/>
    <w:rsid w:val="00C009B2"/>
    <w:rsid w:val="00C01585"/>
    <w:rsid w:val="00C032C6"/>
    <w:rsid w:val="00C042D6"/>
    <w:rsid w:val="00C063DE"/>
    <w:rsid w:val="00C06966"/>
    <w:rsid w:val="00C10929"/>
    <w:rsid w:val="00C12995"/>
    <w:rsid w:val="00C15047"/>
    <w:rsid w:val="00C252CE"/>
    <w:rsid w:val="00C33272"/>
    <w:rsid w:val="00C33483"/>
    <w:rsid w:val="00C478FA"/>
    <w:rsid w:val="00C56988"/>
    <w:rsid w:val="00C57C0B"/>
    <w:rsid w:val="00C67BB7"/>
    <w:rsid w:val="00C87D21"/>
    <w:rsid w:val="00CA02D2"/>
    <w:rsid w:val="00CA29F9"/>
    <w:rsid w:val="00CA6F35"/>
    <w:rsid w:val="00CB0CC6"/>
    <w:rsid w:val="00CB59DE"/>
    <w:rsid w:val="00CB5BE2"/>
    <w:rsid w:val="00CC4191"/>
    <w:rsid w:val="00CD34A9"/>
    <w:rsid w:val="00CD5233"/>
    <w:rsid w:val="00CD686D"/>
    <w:rsid w:val="00CE3243"/>
    <w:rsid w:val="00CE745C"/>
    <w:rsid w:val="00D1368F"/>
    <w:rsid w:val="00D17DA5"/>
    <w:rsid w:val="00D217AC"/>
    <w:rsid w:val="00D2184B"/>
    <w:rsid w:val="00D321F5"/>
    <w:rsid w:val="00D40CC8"/>
    <w:rsid w:val="00D452C1"/>
    <w:rsid w:val="00D45FFD"/>
    <w:rsid w:val="00D46C41"/>
    <w:rsid w:val="00D56969"/>
    <w:rsid w:val="00D5754A"/>
    <w:rsid w:val="00D6057D"/>
    <w:rsid w:val="00D8442D"/>
    <w:rsid w:val="00D844CB"/>
    <w:rsid w:val="00D90F5B"/>
    <w:rsid w:val="00D9451D"/>
    <w:rsid w:val="00DA0D9B"/>
    <w:rsid w:val="00DA5AFF"/>
    <w:rsid w:val="00DA6953"/>
    <w:rsid w:val="00DC0690"/>
    <w:rsid w:val="00DC309C"/>
    <w:rsid w:val="00DD2F16"/>
    <w:rsid w:val="00DE3F06"/>
    <w:rsid w:val="00DF1A32"/>
    <w:rsid w:val="00DF5CD6"/>
    <w:rsid w:val="00E04DCE"/>
    <w:rsid w:val="00E10B33"/>
    <w:rsid w:val="00E13306"/>
    <w:rsid w:val="00E22839"/>
    <w:rsid w:val="00E26620"/>
    <w:rsid w:val="00E357E4"/>
    <w:rsid w:val="00E41487"/>
    <w:rsid w:val="00E50F92"/>
    <w:rsid w:val="00E5417F"/>
    <w:rsid w:val="00E67E76"/>
    <w:rsid w:val="00E74592"/>
    <w:rsid w:val="00E74956"/>
    <w:rsid w:val="00E77474"/>
    <w:rsid w:val="00E918A3"/>
    <w:rsid w:val="00EA17E0"/>
    <w:rsid w:val="00EA3D3A"/>
    <w:rsid w:val="00EA632A"/>
    <w:rsid w:val="00EA71EF"/>
    <w:rsid w:val="00EB4834"/>
    <w:rsid w:val="00EC3F66"/>
    <w:rsid w:val="00EC735B"/>
    <w:rsid w:val="00ED006A"/>
    <w:rsid w:val="00ED12F3"/>
    <w:rsid w:val="00ED164D"/>
    <w:rsid w:val="00EE3C1B"/>
    <w:rsid w:val="00EE4C35"/>
    <w:rsid w:val="00EE66F5"/>
    <w:rsid w:val="00EF3C1A"/>
    <w:rsid w:val="00F05C47"/>
    <w:rsid w:val="00F11C4D"/>
    <w:rsid w:val="00F13244"/>
    <w:rsid w:val="00F20816"/>
    <w:rsid w:val="00F210EB"/>
    <w:rsid w:val="00F2778A"/>
    <w:rsid w:val="00F30111"/>
    <w:rsid w:val="00F31ECB"/>
    <w:rsid w:val="00F35296"/>
    <w:rsid w:val="00F35416"/>
    <w:rsid w:val="00F4382C"/>
    <w:rsid w:val="00F52E27"/>
    <w:rsid w:val="00F54B7A"/>
    <w:rsid w:val="00F54C98"/>
    <w:rsid w:val="00F56602"/>
    <w:rsid w:val="00F56761"/>
    <w:rsid w:val="00F60D4D"/>
    <w:rsid w:val="00F6282D"/>
    <w:rsid w:val="00F628EC"/>
    <w:rsid w:val="00F67E9C"/>
    <w:rsid w:val="00F7544B"/>
    <w:rsid w:val="00F76B02"/>
    <w:rsid w:val="00F7711D"/>
    <w:rsid w:val="00F8053A"/>
    <w:rsid w:val="00F828DA"/>
    <w:rsid w:val="00F873E8"/>
    <w:rsid w:val="00F93295"/>
    <w:rsid w:val="00F944FB"/>
    <w:rsid w:val="00FA34AF"/>
    <w:rsid w:val="00FA5A31"/>
    <w:rsid w:val="00FB4874"/>
    <w:rsid w:val="00FB6179"/>
    <w:rsid w:val="00FB6BF2"/>
    <w:rsid w:val="00FF1B8E"/>
    <w:rsid w:val="2D44E87F"/>
    <w:rsid w:val="6E59E8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8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pPr>
      <w:ind w:left="420" w:hanging="300"/>
    </w:pPr>
    <w:rPr>
      <w:u w:val="single" w:color="000000"/>
    </w:rPr>
  </w:style>
  <w:style w:type="paragraph" w:customStyle="1" w:styleId="TableParagraph">
    <w:name w:val="Table Paragraph"/>
    <w:basedOn w:val="Normal"/>
    <w:uiPriority w:val="1"/>
    <w:qFormat/>
    <w:pPr>
      <w:jc w:val="right"/>
    </w:pPr>
  </w:style>
  <w:style w:type="character" w:styleId="Hyperlink">
    <w:name w:val="Hyperlink"/>
    <w:basedOn w:val="DefaultParagraphFont"/>
    <w:uiPriority w:val="99"/>
    <w:unhideWhenUsed/>
    <w:rsid w:val="00F35296"/>
    <w:rPr>
      <w:color w:val="0000FF" w:themeColor="hyperlink"/>
      <w:u w:val="single"/>
    </w:rPr>
  </w:style>
  <w:style w:type="character" w:styleId="UnresolvedMention">
    <w:name w:val="Unresolved Mention"/>
    <w:basedOn w:val="DefaultParagraphFont"/>
    <w:uiPriority w:val="99"/>
    <w:semiHidden/>
    <w:unhideWhenUsed/>
    <w:rsid w:val="00F35296"/>
    <w:rPr>
      <w:color w:val="605E5C"/>
      <w:shd w:val="clear" w:color="auto" w:fill="E1DFDD"/>
    </w:rPr>
  </w:style>
  <w:style w:type="character" w:styleId="CommentReference">
    <w:name w:val="annotation reference"/>
    <w:basedOn w:val="DefaultParagraphFont"/>
    <w:uiPriority w:val="99"/>
    <w:unhideWhenUsed/>
    <w:rsid w:val="001D0346"/>
    <w:rPr>
      <w:sz w:val="16"/>
      <w:szCs w:val="16"/>
    </w:rPr>
  </w:style>
  <w:style w:type="paragraph" w:styleId="CommentText">
    <w:name w:val="annotation text"/>
    <w:basedOn w:val="Normal"/>
    <w:link w:val="CommentTextChar"/>
    <w:uiPriority w:val="99"/>
    <w:unhideWhenUsed/>
    <w:rsid w:val="001D0346"/>
    <w:rPr>
      <w:sz w:val="20"/>
      <w:szCs w:val="20"/>
    </w:rPr>
  </w:style>
  <w:style w:type="character" w:customStyle="1" w:styleId="CommentTextChar">
    <w:name w:val="Comment Text Char"/>
    <w:basedOn w:val="DefaultParagraphFont"/>
    <w:link w:val="CommentText"/>
    <w:uiPriority w:val="99"/>
    <w:rsid w:val="001D03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346"/>
    <w:rPr>
      <w:b/>
      <w:bCs/>
    </w:rPr>
  </w:style>
  <w:style w:type="character" w:customStyle="1" w:styleId="CommentSubjectChar">
    <w:name w:val="Comment Subject Char"/>
    <w:basedOn w:val="CommentTextChar"/>
    <w:link w:val="CommentSubject"/>
    <w:uiPriority w:val="99"/>
    <w:semiHidden/>
    <w:rsid w:val="001D0346"/>
    <w:rPr>
      <w:rFonts w:ascii="Times New Roman" w:eastAsia="Times New Roman" w:hAnsi="Times New Roman" w:cs="Times New Roman"/>
      <w:b/>
      <w:bCs/>
      <w:sz w:val="20"/>
      <w:szCs w:val="20"/>
    </w:rPr>
  </w:style>
  <w:style w:type="paragraph" w:styleId="FootnoteText">
    <w:name w:val="footnote text"/>
    <w:basedOn w:val="Normal"/>
    <w:link w:val="FootnoteTextChar"/>
    <w:rsid w:val="00182B27"/>
    <w:pPr>
      <w:widowControl/>
      <w:autoSpaceDE/>
      <w:autoSpaceDN/>
    </w:pPr>
    <w:rPr>
      <w:sz w:val="20"/>
      <w:szCs w:val="20"/>
    </w:rPr>
  </w:style>
  <w:style w:type="character" w:customStyle="1" w:styleId="FootnoteTextChar">
    <w:name w:val="Footnote Text Char"/>
    <w:basedOn w:val="DefaultParagraphFont"/>
    <w:link w:val="FootnoteText"/>
    <w:uiPriority w:val="99"/>
    <w:rsid w:val="00182B27"/>
    <w:rPr>
      <w:rFonts w:ascii="Times New Roman" w:eastAsia="Times New Roman" w:hAnsi="Times New Roman" w:cs="Times New Roman"/>
      <w:sz w:val="20"/>
      <w:szCs w:val="20"/>
    </w:rPr>
  </w:style>
  <w:style w:type="character" w:styleId="FootnoteReference">
    <w:name w:val="footnote reference"/>
    <w:uiPriority w:val="99"/>
    <w:rsid w:val="00182B27"/>
    <w:rPr>
      <w:vertAlign w:val="superscript"/>
    </w:r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link w:val="ListParagraph"/>
    <w:uiPriority w:val="34"/>
    <w:locked/>
    <w:rsid w:val="00182B27"/>
    <w:rPr>
      <w:rFonts w:ascii="Times New Roman" w:eastAsia="Times New Roman" w:hAnsi="Times New Roman" w:cs="Times New Roman"/>
      <w:u w:val="single" w:color="000000"/>
    </w:rPr>
  </w:style>
  <w:style w:type="character" w:styleId="FollowedHyperlink">
    <w:name w:val="FollowedHyperlink"/>
    <w:basedOn w:val="DefaultParagraphFont"/>
    <w:uiPriority w:val="99"/>
    <w:semiHidden/>
    <w:unhideWhenUsed/>
    <w:rsid w:val="00971835"/>
    <w:rPr>
      <w:color w:val="800080" w:themeColor="followedHyperlink"/>
      <w:u w:val="single"/>
    </w:rPr>
  </w:style>
  <w:style w:type="paragraph" w:styleId="NoSpacing">
    <w:name w:val="No Spacing"/>
    <w:basedOn w:val="Normal"/>
    <w:link w:val="NoSpacingChar"/>
    <w:uiPriority w:val="1"/>
    <w:qFormat/>
    <w:rsid w:val="00B64722"/>
    <w:pPr>
      <w:widowControl/>
      <w:autoSpaceDE/>
      <w:autoSpaceDN/>
    </w:pPr>
    <w:rPr>
      <w:rFonts w:ascii="Calibri" w:hAnsi="Calibri" w:eastAsiaTheme="minorHAnsi" w:cs="Calibri"/>
    </w:rPr>
  </w:style>
  <w:style w:type="character" w:customStyle="1" w:styleId="NoSpacingChar">
    <w:name w:val="No Spacing Char"/>
    <w:link w:val="NoSpacing"/>
    <w:uiPriority w:val="1"/>
    <w:rsid w:val="00B64722"/>
    <w:rPr>
      <w:rFonts w:ascii="Calibri" w:hAnsi="Calibri" w:cs="Calibri"/>
    </w:rPr>
  </w:style>
  <w:style w:type="paragraph" w:styleId="Revision">
    <w:name w:val="Revision"/>
    <w:hidden/>
    <w:uiPriority w:val="99"/>
    <w:semiHidden/>
    <w:rsid w:val="00B8039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1834F6"/>
    <w:pPr>
      <w:tabs>
        <w:tab w:val="center" w:pos="4680"/>
        <w:tab w:val="right" w:pos="9360"/>
      </w:tabs>
    </w:pPr>
  </w:style>
  <w:style w:type="character" w:customStyle="1" w:styleId="HeaderChar">
    <w:name w:val="Header Char"/>
    <w:basedOn w:val="DefaultParagraphFont"/>
    <w:link w:val="Header"/>
    <w:uiPriority w:val="99"/>
    <w:rsid w:val="001834F6"/>
    <w:rPr>
      <w:rFonts w:ascii="Times New Roman" w:eastAsia="Times New Roman" w:hAnsi="Times New Roman" w:cs="Times New Roman"/>
    </w:rPr>
  </w:style>
  <w:style w:type="paragraph" w:styleId="Footer">
    <w:name w:val="footer"/>
    <w:basedOn w:val="Normal"/>
    <w:link w:val="FooterChar"/>
    <w:uiPriority w:val="99"/>
    <w:unhideWhenUsed/>
    <w:rsid w:val="001834F6"/>
    <w:pPr>
      <w:tabs>
        <w:tab w:val="center" w:pos="4680"/>
        <w:tab w:val="right" w:pos="9360"/>
      </w:tabs>
    </w:pPr>
  </w:style>
  <w:style w:type="character" w:customStyle="1" w:styleId="FooterChar">
    <w:name w:val="Footer Char"/>
    <w:basedOn w:val="DefaultParagraphFont"/>
    <w:link w:val="Footer"/>
    <w:uiPriority w:val="99"/>
    <w:rsid w:val="001834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da.gov/RegulatoryInformation/Guidances/ucm126420.htm" TargetMode="External" /><Relationship Id="rId7" Type="http://schemas.openxmlformats.org/officeDocument/2006/relationships/hyperlink" Target="https://www.fda.gov/regulatory-information/search-fda-guidance-documents/minutes-institutional-review-board-irb-meetings" TargetMode="External" /><Relationship Id="rId8" Type="http://schemas.openxmlformats.org/officeDocument/2006/relationships/hyperlink" Target="https://www.fda.gov/regulatory-information/search-fda-guidance-documents/institutional-review-board-irb-written-procedures" TargetMode="External" /><Relationship Id="rId9" Type="http://schemas.openxmlformats.org/officeDocument/2006/relationships/hyperlink" Target="https://clinicaltria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08B1-A3AF-4F49-9886-2D854D9C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2023-11-27T20:51:00Z</dcterms:created>
  <dcterms:modified xsi:type="dcterms:W3CDTF">2023-11-27T20:55:00Z</dcterms:modified>
</cp:coreProperties>
</file>